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452" w:rsidRDefault="00A46452">
      <w:pPr>
        <w:wordWrap w:val="0"/>
        <w:topLinePunct/>
        <w:adjustRightInd w:val="0"/>
        <w:snapToGrid w:val="0"/>
        <w:spacing w:line="240" w:lineRule="auto"/>
        <w:ind w:firstLineChars="0" w:firstLine="0"/>
        <w:rPr>
          <w:rFonts w:eastAsia="黑体" w:cs="Times New Roman"/>
          <w:b/>
          <w:bCs/>
          <w:spacing w:val="50"/>
          <w:kern w:val="44"/>
          <w:sz w:val="60"/>
          <w:szCs w:val="60"/>
        </w:rPr>
      </w:pPr>
      <w:bookmarkStart w:id="0" w:name="_GoBack"/>
      <w:bookmarkEnd w:id="0"/>
    </w:p>
    <w:p w:rsidR="00A46452" w:rsidRDefault="00A46452">
      <w:pPr>
        <w:wordWrap w:val="0"/>
        <w:topLinePunct/>
        <w:adjustRightInd w:val="0"/>
        <w:snapToGrid w:val="0"/>
        <w:spacing w:line="240" w:lineRule="auto"/>
        <w:ind w:firstLineChars="0" w:firstLine="0"/>
        <w:rPr>
          <w:rFonts w:eastAsia="黑体" w:cs="Times New Roman"/>
          <w:b/>
          <w:bCs/>
          <w:spacing w:val="50"/>
          <w:kern w:val="44"/>
          <w:sz w:val="60"/>
          <w:szCs w:val="60"/>
        </w:rPr>
      </w:pPr>
    </w:p>
    <w:p w:rsidR="00A46452" w:rsidRDefault="00A46452">
      <w:pPr>
        <w:wordWrap w:val="0"/>
        <w:topLinePunct/>
        <w:adjustRightInd w:val="0"/>
        <w:snapToGrid w:val="0"/>
        <w:spacing w:line="240" w:lineRule="auto"/>
        <w:ind w:firstLineChars="0" w:firstLine="0"/>
        <w:rPr>
          <w:rFonts w:eastAsia="黑体" w:cs="Times New Roman"/>
          <w:b/>
          <w:bCs/>
          <w:spacing w:val="50"/>
          <w:kern w:val="44"/>
          <w:sz w:val="60"/>
          <w:szCs w:val="60"/>
        </w:rPr>
      </w:pPr>
    </w:p>
    <w:p w:rsidR="00A46452" w:rsidRDefault="009A3928">
      <w:pPr>
        <w:wordWrap w:val="0"/>
        <w:topLinePunct/>
        <w:adjustRightInd w:val="0"/>
        <w:snapToGrid w:val="0"/>
        <w:spacing w:before="60" w:line="240" w:lineRule="auto"/>
        <w:ind w:leftChars="-71" w:left="-170" w:firstLineChars="3" w:firstLine="17"/>
        <w:jc w:val="center"/>
        <w:rPr>
          <w:rFonts w:eastAsia="隶书" w:cs="Times New Roman"/>
          <w:b/>
          <w:sz w:val="56"/>
          <w:szCs w:val="56"/>
        </w:rPr>
      </w:pPr>
      <w:r>
        <w:rPr>
          <w:rFonts w:eastAsia="隶书" w:cs="Times New Roman"/>
          <w:b/>
          <w:sz w:val="56"/>
          <w:szCs w:val="56"/>
        </w:rPr>
        <w:t>第三师图木舒克市</w:t>
      </w:r>
      <w:r>
        <w:rPr>
          <w:rFonts w:eastAsia="隶书" w:cs="Times New Roman"/>
          <w:b/>
          <w:sz w:val="56"/>
          <w:szCs w:val="56"/>
        </w:rPr>
        <w:t>－</w:t>
      </w:r>
      <w:r>
        <w:rPr>
          <w:rFonts w:eastAsia="隶书" w:cs="Times New Roman"/>
          <w:b/>
          <w:sz w:val="56"/>
          <w:szCs w:val="56"/>
        </w:rPr>
        <w:t>柯坪县</w:t>
      </w:r>
      <w:r>
        <w:rPr>
          <w:rFonts w:eastAsia="隶书" w:cs="Times New Roman"/>
          <w:b/>
          <w:sz w:val="56"/>
          <w:szCs w:val="56"/>
        </w:rPr>
        <w:t>－</w:t>
      </w:r>
      <w:r>
        <w:rPr>
          <w:rFonts w:eastAsia="隶书" w:cs="Times New Roman"/>
          <w:b/>
          <w:sz w:val="56"/>
          <w:szCs w:val="56"/>
        </w:rPr>
        <w:t>乌什县公路（图木舒克</w:t>
      </w:r>
      <w:r>
        <w:rPr>
          <w:rFonts w:eastAsia="隶书" w:cs="Times New Roman"/>
          <w:b/>
          <w:sz w:val="56"/>
          <w:szCs w:val="56"/>
        </w:rPr>
        <w:t>-</w:t>
      </w:r>
      <w:r>
        <w:rPr>
          <w:rFonts w:eastAsia="隶书" w:cs="Times New Roman"/>
          <w:b/>
          <w:sz w:val="56"/>
          <w:szCs w:val="56"/>
        </w:rPr>
        <w:t>柯坪段）</w:t>
      </w:r>
    </w:p>
    <w:p w:rsidR="00A46452" w:rsidRDefault="009A3928">
      <w:pPr>
        <w:wordWrap w:val="0"/>
        <w:topLinePunct/>
        <w:adjustRightInd w:val="0"/>
        <w:snapToGrid w:val="0"/>
        <w:spacing w:before="60" w:line="240" w:lineRule="auto"/>
        <w:ind w:leftChars="-71" w:left="-170" w:firstLineChars="3" w:firstLine="26"/>
        <w:jc w:val="center"/>
        <w:rPr>
          <w:rFonts w:eastAsia="隶书" w:cs="Times New Roman"/>
          <w:sz w:val="88"/>
          <w:szCs w:val="88"/>
        </w:rPr>
      </w:pPr>
      <w:r>
        <w:rPr>
          <w:rFonts w:eastAsia="隶书" w:cs="Times New Roman"/>
          <w:sz w:val="88"/>
          <w:szCs w:val="88"/>
        </w:rPr>
        <w:t>环境影响报告书</w:t>
      </w:r>
    </w:p>
    <w:p w:rsidR="00A46452" w:rsidRDefault="00A46452">
      <w:pPr>
        <w:wordWrap w:val="0"/>
        <w:topLinePunct/>
        <w:adjustRightInd w:val="0"/>
        <w:snapToGrid w:val="0"/>
        <w:spacing w:line="240" w:lineRule="auto"/>
        <w:ind w:firstLineChars="0" w:firstLine="0"/>
        <w:jc w:val="center"/>
        <w:rPr>
          <w:rFonts w:cs="Times New Roman"/>
          <w:b/>
          <w:szCs w:val="28"/>
        </w:rPr>
      </w:pPr>
    </w:p>
    <w:p w:rsidR="00A46452" w:rsidRDefault="00A46452">
      <w:pPr>
        <w:wordWrap w:val="0"/>
        <w:topLinePunct/>
        <w:adjustRightInd w:val="0"/>
        <w:snapToGrid w:val="0"/>
        <w:spacing w:line="240" w:lineRule="auto"/>
        <w:ind w:firstLineChars="0" w:firstLine="0"/>
        <w:jc w:val="center"/>
        <w:rPr>
          <w:rFonts w:cs="Times New Roman"/>
          <w:b/>
          <w:szCs w:val="28"/>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A46452">
      <w:pPr>
        <w:wordWrap w:val="0"/>
        <w:topLinePunct/>
        <w:adjustRightInd w:val="0"/>
        <w:snapToGrid w:val="0"/>
        <w:spacing w:line="240" w:lineRule="exact"/>
        <w:ind w:firstLine="1044"/>
        <w:rPr>
          <w:rFonts w:cs="Times New Roman"/>
          <w:b/>
          <w:sz w:val="52"/>
          <w:szCs w:val="52"/>
        </w:rPr>
      </w:pPr>
    </w:p>
    <w:p w:rsidR="00A46452" w:rsidRDefault="009A3928">
      <w:pPr>
        <w:wordWrap w:val="0"/>
        <w:topLinePunct/>
        <w:adjustRightInd w:val="0"/>
        <w:snapToGrid w:val="0"/>
        <w:ind w:firstLineChars="0" w:firstLine="0"/>
        <w:jc w:val="center"/>
        <w:rPr>
          <w:rFonts w:eastAsiaTheme="minorEastAsia" w:cs="Times New Roman"/>
          <w:b/>
          <w:bCs/>
          <w:sz w:val="32"/>
          <w:szCs w:val="32"/>
        </w:rPr>
      </w:pPr>
      <w:r>
        <w:rPr>
          <w:rFonts w:eastAsiaTheme="minorEastAsia" w:cs="Times New Roman"/>
          <w:b/>
          <w:bCs/>
          <w:sz w:val="32"/>
          <w:szCs w:val="32"/>
        </w:rPr>
        <w:t>建设单位：第三师图木舒克市公路建设项目管理处</w:t>
      </w:r>
    </w:p>
    <w:p w:rsidR="00A46452" w:rsidRDefault="009A3928">
      <w:pPr>
        <w:wordWrap w:val="0"/>
        <w:topLinePunct/>
        <w:adjustRightInd w:val="0"/>
        <w:snapToGrid w:val="0"/>
        <w:spacing w:line="240" w:lineRule="auto"/>
        <w:ind w:firstLineChars="0" w:firstLine="0"/>
        <w:jc w:val="center"/>
        <w:rPr>
          <w:rFonts w:eastAsia="华文楷体" w:cs="Times New Roman"/>
          <w:sz w:val="30"/>
          <w:szCs w:val="30"/>
        </w:rPr>
      </w:pPr>
      <w:r>
        <w:rPr>
          <w:rFonts w:eastAsiaTheme="minorEastAsia" w:cs="Times New Roman"/>
          <w:b/>
          <w:bCs/>
          <w:sz w:val="32"/>
          <w:szCs w:val="32"/>
        </w:rPr>
        <w:t>编制单位：新疆兵团勘测设计院集团股份有限公司</w:t>
      </w:r>
    </w:p>
    <w:p w:rsidR="00A46452" w:rsidRDefault="009A3928">
      <w:pPr>
        <w:wordWrap w:val="0"/>
        <w:topLinePunct/>
        <w:adjustRightInd w:val="0"/>
        <w:snapToGrid w:val="0"/>
        <w:ind w:firstLineChars="0" w:firstLine="0"/>
        <w:jc w:val="center"/>
        <w:rPr>
          <w:rFonts w:cs="Times New Roman"/>
          <w:b/>
          <w:sz w:val="32"/>
          <w:szCs w:val="24"/>
        </w:rPr>
      </w:pPr>
      <w:r>
        <w:rPr>
          <w:rFonts w:cs="Times New Roman"/>
          <w:b/>
          <w:sz w:val="32"/>
          <w:szCs w:val="24"/>
        </w:rPr>
        <w:t>二</w:t>
      </w:r>
      <w:r>
        <w:rPr>
          <w:rFonts w:cs="Times New Roman"/>
          <w:b/>
          <w:sz w:val="32"/>
          <w:szCs w:val="24"/>
        </w:rPr>
        <w:t>〇</w:t>
      </w:r>
      <w:r>
        <w:rPr>
          <w:rFonts w:cs="Times New Roman"/>
          <w:b/>
          <w:sz w:val="32"/>
          <w:szCs w:val="24"/>
        </w:rPr>
        <w:t>二五年</w:t>
      </w:r>
      <w:r>
        <w:rPr>
          <w:rFonts w:cs="Times New Roman"/>
          <w:b/>
          <w:sz w:val="32"/>
          <w:szCs w:val="24"/>
        </w:rPr>
        <w:t>四月</w:t>
      </w:r>
    </w:p>
    <w:p w:rsidR="00A46452" w:rsidRDefault="00A46452">
      <w:pPr>
        <w:wordWrap w:val="0"/>
        <w:topLinePunct/>
        <w:ind w:firstLineChars="0" w:firstLine="0"/>
        <w:rPr>
          <w:rFonts w:cs="Times New Roman"/>
          <w:b/>
          <w:sz w:val="32"/>
          <w:szCs w:val="24"/>
        </w:rPr>
      </w:pPr>
    </w:p>
    <w:p w:rsidR="00A46452" w:rsidRDefault="00A46452">
      <w:pPr>
        <w:wordWrap w:val="0"/>
        <w:topLinePunct/>
        <w:ind w:firstLineChars="0" w:firstLine="0"/>
        <w:rPr>
          <w:rFonts w:cs="Times New Roman"/>
          <w:b/>
          <w:sz w:val="32"/>
          <w:szCs w:val="24"/>
        </w:rPr>
        <w:sectPr w:rsidR="00A46452">
          <w:headerReference w:type="default" r:id="rId9"/>
          <w:headerReference w:type="first" r:id="rId10"/>
          <w:footerReference w:type="first" r:id="rId11"/>
          <w:pgSz w:w="11906" w:h="16838"/>
          <w:pgMar w:top="1440" w:right="1800" w:bottom="1440" w:left="1800" w:header="851" w:footer="850" w:gutter="0"/>
          <w:pgNumType w:start="1"/>
          <w:cols w:space="720"/>
          <w:titlePg/>
          <w:docGrid w:type="lines" w:linePitch="312"/>
        </w:sectPr>
      </w:pPr>
    </w:p>
    <w:p w:rsidR="00A46452" w:rsidRDefault="009A3928">
      <w:pPr>
        <w:pStyle w:val="10"/>
        <w:wordWrap w:val="0"/>
        <w:topLinePunct/>
        <w:adjustRightInd w:val="0"/>
        <w:snapToGrid w:val="0"/>
        <w:spacing w:line="320" w:lineRule="exact"/>
        <w:jc w:val="center"/>
        <w:outlineLvl w:val="0"/>
        <w:rPr>
          <w:rFonts w:cs="Times New Roman" w:hint="default"/>
          <w:sz w:val="24"/>
          <w:szCs w:val="24"/>
          <w:u w:val="single"/>
        </w:rPr>
      </w:pPr>
      <w:bookmarkStart w:id="1" w:name="_Toc38399369"/>
      <w:bookmarkStart w:id="2" w:name="_Toc35358066"/>
      <w:bookmarkStart w:id="3" w:name="_Toc25418"/>
      <w:bookmarkStart w:id="4" w:name="_Toc19830"/>
      <w:bookmarkStart w:id="5" w:name="_Toc13987"/>
      <w:bookmarkStart w:id="6" w:name="_Toc34986798"/>
      <w:bookmarkStart w:id="7" w:name="_Toc764"/>
      <w:bookmarkStart w:id="8" w:name="_Toc22776"/>
      <w:bookmarkStart w:id="9" w:name="_Toc27399"/>
      <w:bookmarkStart w:id="10" w:name="_Toc18127"/>
      <w:bookmarkStart w:id="11" w:name="_Toc38233874"/>
      <w:bookmarkStart w:id="12" w:name="_Toc16938"/>
      <w:bookmarkStart w:id="13" w:name="_Toc16943"/>
      <w:bookmarkStart w:id="14" w:name="_Toc38622112"/>
      <w:bookmarkStart w:id="15" w:name="_Toc14860017"/>
      <w:bookmarkStart w:id="16" w:name="_Toc4487"/>
      <w:bookmarkStart w:id="17" w:name="_Toc8649"/>
      <w:bookmarkStart w:id="18" w:name="_Toc26629"/>
      <w:bookmarkStart w:id="19" w:name="_Toc26569"/>
      <w:bookmarkStart w:id="20" w:name="_Toc23717"/>
      <w:bookmarkStart w:id="21" w:name="_Toc4603"/>
      <w:bookmarkStart w:id="22" w:name="_Toc10664"/>
      <w:bookmarkStart w:id="23" w:name="_Toc29823371"/>
      <w:bookmarkStart w:id="24" w:name="_Toc34986715"/>
      <w:bookmarkStart w:id="25" w:name="_Toc10840"/>
      <w:bookmarkStart w:id="26" w:name="_Toc38314569"/>
      <w:bookmarkStart w:id="27" w:name="_Toc30268"/>
      <w:r>
        <w:rPr>
          <w:rFonts w:cs="Times New Roman" w:hint="default"/>
          <w:bCs/>
          <w:sz w:val="30"/>
          <w:szCs w:val="30"/>
        </w:rPr>
        <w:lastRenderedPageBreak/>
        <w:t>目</w:t>
      </w:r>
      <w:r>
        <w:rPr>
          <w:rFonts w:cs="Times New Roman" w:hint="default"/>
          <w:bCs/>
          <w:sz w:val="30"/>
          <w:szCs w:val="30"/>
        </w:rPr>
        <w:t xml:space="preserve">  </w:t>
      </w:r>
      <w:r>
        <w:rPr>
          <w:rFonts w:cs="Times New Roman" w:hint="default"/>
          <w:bCs/>
          <w:sz w:val="30"/>
          <w:szCs w:val="30"/>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afff"/>
          <w:rFonts w:cs="Times New Roman" w:hint="default"/>
          <w:color w:val="auto"/>
          <w:sz w:val="24"/>
          <w:szCs w:val="24"/>
        </w:rPr>
        <w:fldChar w:fldCharType="begin"/>
      </w:r>
      <w:r>
        <w:rPr>
          <w:rStyle w:val="afff"/>
          <w:rFonts w:cs="Times New Roman" w:hint="default"/>
          <w:color w:val="auto"/>
          <w:sz w:val="24"/>
          <w:szCs w:val="24"/>
        </w:rPr>
        <w:instrText xml:space="preserve"> TOC \o "1-2" \h \z \u </w:instrText>
      </w:r>
      <w:r>
        <w:rPr>
          <w:rStyle w:val="afff"/>
          <w:rFonts w:cs="Times New Roman" w:hint="default"/>
          <w:color w:val="auto"/>
          <w:sz w:val="24"/>
          <w:szCs w:val="24"/>
        </w:rPr>
        <w:fldChar w:fldCharType="separate"/>
      </w:r>
    </w:p>
    <w:p w:rsidR="00A46452" w:rsidRDefault="009A3928">
      <w:pPr>
        <w:pStyle w:val="10"/>
        <w:tabs>
          <w:tab w:val="clear" w:pos="8296"/>
          <w:tab w:val="right" w:leader="dot" w:pos="8306"/>
        </w:tabs>
        <w:rPr>
          <w:rFonts w:hint="default"/>
          <w:sz w:val="24"/>
          <w:szCs w:val="24"/>
        </w:rPr>
      </w:pPr>
      <w:hyperlink w:anchor="_Toc5179" w:history="1">
        <w:r>
          <w:rPr>
            <w:rFonts w:eastAsia="黑体" w:cs="Times New Roman" w:hint="default"/>
            <w:sz w:val="24"/>
            <w:szCs w:val="24"/>
          </w:rPr>
          <w:t>1</w:t>
        </w:r>
        <w:r>
          <w:rPr>
            <w:rFonts w:eastAsia="黑体" w:cs="Times New Roman" w:hint="default"/>
            <w:sz w:val="24"/>
            <w:szCs w:val="24"/>
          </w:rPr>
          <w:t>概述</w:t>
        </w:r>
        <w:r>
          <w:rPr>
            <w:sz w:val="24"/>
            <w:szCs w:val="24"/>
          </w:rPr>
          <w:tab/>
        </w:r>
        <w:r>
          <w:rPr>
            <w:sz w:val="24"/>
            <w:szCs w:val="24"/>
          </w:rPr>
          <w:fldChar w:fldCharType="begin"/>
        </w:r>
        <w:r>
          <w:rPr>
            <w:sz w:val="24"/>
            <w:szCs w:val="24"/>
          </w:rPr>
          <w:instrText xml:space="preserve"> PAGEREF _Toc5179 \h </w:instrText>
        </w:r>
        <w:r>
          <w:rPr>
            <w:sz w:val="24"/>
            <w:szCs w:val="24"/>
          </w:rPr>
        </w:r>
        <w:r>
          <w:rPr>
            <w:sz w:val="24"/>
            <w:szCs w:val="24"/>
          </w:rPr>
          <w:fldChar w:fldCharType="separate"/>
        </w:r>
        <w:r>
          <w:rPr>
            <w:sz w:val="24"/>
            <w:szCs w:val="24"/>
          </w:rPr>
          <w:t>1</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2903" w:history="1">
        <w:r>
          <w:rPr>
            <w:rFonts w:cs="Times New Roman"/>
            <w:szCs w:val="24"/>
          </w:rPr>
          <w:t>1.1</w:t>
        </w:r>
        <w:r>
          <w:rPr>
            <w:rFonts w:cs="Times New Roman"/>
            <w:szCs w:val="24"/>
          </w:rPr>
          <w:t>项目背景</w:t>
        </w:r>
        <w:r>
          <w:rPr>
            <w:szCs w:val="24"/>
          </w:rPr>
          <w:tab/>
        </w:r>
        <w:r>
          <w:rPr>
            <w:szCs w:val="24"/>
          </w:rPr>
          <w:fldChar w:fldCharType="begin"/>
        </w:r>
        <w:r>
          <w:rPr>
            <w:szCs w:val="24"/>
          </w:rPr>
          <w:instrText xml:space="preserve"> PAGEREF _Toc2903 \h </w:instrText>
        </w:r>
        <w:r>
          <w:rPr>
            <w:szCs w:val="24"/>
          </w:rPr>
        </w:r>
        <w:r>
          <w:rPr>
            <w:szCs w:val="24"/>
          </w:rPr>
          <w:fldChar w:fldCharType="separate"/>
        </w:r>
        <w:r>
          <w:rPr>
            <w:szCs w:val="24"/>
          </w:rPr>
          <w:t>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8920" w:history="1">
        <w:r>
          <w:rPr>
            <w:rFonts w:cs="Times New Roman"/>
            <w:szCs w:val="24"/>
          </w:rPr>
          <w:t>1.2</w:t>
        </w:r>
        <w:r>
          <w:rPr>
            <w:rFonts w:cs="Times New Roman"/>
            <w:szCs w:val="24"/>
          </w:rPr>
          <w:t>建设</w:t>
        </w:r>
        <w:r>
          <w:rPr>
            <w:rFonts w:cs="Times New Roman"/>
            <w:szCs w:val="24"/>
          </w:rPr>
          <w:t>项目特点</w:t>
        </w:r>
        <w:r>
          <w:rPr>
            <w:szCs w:val="24"/>
          </w:rPr>
          <w:tab/>
        </w:r>
        <w:r>
          <w:rPr>
            <w:szCs w:val="24"/>
          </w:rPr>
          <w:fldChar w:fldCharType="begin"/>
        </w:r>
        <w:r>
          <w:rPr>
            <w:szCs w:val="24"/>
          </w:rPr>
          <w:instrText xml:space="preserve"> PAGEREF _Toc28920 \h </w:instrText>
        </w:r>
        <w:r>
          <w:rPr>
            <w:szCs w:val="24"/>
          </w:rPr>
        </w:r>
        <w:r>
          <w:rPr>
            <w:szCs w:val="24"/>
          </w:rPr>
          <w:fldChar w:fldCharType="separate"/>
        </w:r>
        <w:r>
          <w:rPr>
            <w:szCs w:val="24"/>
          </w:rPr>
          <w:t>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2821" w:history="1">
        <w:r>
          <w:rPr>
            <w:rFonts w:cs="Times New Roman"/>
            <w:szCs w:val="24"/>
          </w:rPr>
          <w:t>1.3</w:t>
        </w:r>
        <w:r>
          <w:rPr>
            <w:rFonts w:cs="Times New Roman"/>
            <w:szCs w:val="24"/>
          </w:rPr>
          <w:t>环境影响评价工作过程</w:t>
        </w:r>
        <w:r>
          <w:rPr>
            <w:szCs w:val="24"/>
          </w:rPr>
          <w:tab/>
        </w:r>
        <w:r>
          <w:rPr>
            <w:szCs w:val="24"/>
          </w:rPr>
          <w:fldChar w:fldCharType="begin"/>
        </w:r>
        <w:r>
          <w:rPr>
            <w:szCs w:val="24"/>
          </w:rPr>
          <w:instrText xml:space="preserve"> PAGEREF _Toc22821 \h </w:instrText>
        </w:r>
        <w:r>
          <w:rPr>
            <w:szCs w:val="24"/>
          </w:rPr>
        </w:r>
        <w:r>
          <w:rPr>
            <w:szCs w:val="24"/>
          </w:rPr>
          <w:fldChar w:fldCharType="separate"/>
        </w:r>
        <w:r>
          <w:rPr>
            <w:szCs w:val="24"/>
          </w:rPr>
          <w:t>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0145" w:history="1">
        <w:r>
          <w:rPr>
            <w:rFonts w:cs="Times New Roman"/>
            <w:szCs w:val="24"/>
          </w:rPr>
          <w:t>1.</w:t>
        </w:r>
        <w:r>
          <w:rPr>
            <w:rFonts w:cs="Times New Roman"/>
            <w:szCs w:val="24"/>
          </w:rPr>
          <w:t>4</w:t>
        </w:r>
        <w:r>
          <w:rPr>
            <w:rFonts w:cs="Times New Roman"/>
            <w:szCs w:val="24"/>
          </w:rPr>
          <w:t>分析判定相关情况</w:t>
        </w:r>
        <w:r>
          <w:rPr>
            <w:szCs w:val="24"/>
          </w:rPr>
          <w:tab/>
        </w:r>
        <w:r>
          <w:rPr>
            <w:szCs w:val="24"/>
          </w:rPr>
          <w:fldChar w:fldCharType="begin"/>
        </w:r>
        <w:r>
          <w:rPr>
            <w:szCs w:val="24"/>
          </w:rPr>
          <w:instrText xml:space="preserve"> PAGEREF _Toc10145 \h </w:instrText>
        </w:r>
        <w:r>
          <w:rPr>
            <w:szCs w:val="24"/>
          </w:rPr>
        </w:r>
        <w:r>
          <w:rPr>
            <w:szCs w:val="24"/>
          </w:rPr>
          <w:fldChar w:fldCharType="separate"/>
        </w:r>
        <w:r>
          <w:rPr>
            <w:szCs w:val="24"/>
          </w:rPr>
          <w:t>3</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8819" w:history="1">
        <w:r>
          <w:rPr>
            <w:rFonts w:cs="Times New Roman"/>
            <w:szCs w:val="24"/>
          </w:rPr>
          <w:t>1.5</w:t>
        </w:r>
        <w:r>
          <w:rPr>
            <w:rFonts w:cs="Times New Roman"/>
            <w:szCs w:val="24"/>
          </w:rPr>
          <w:t>关注的主要环境问题</w:t>
        </w:r>
        <w:r>
          <w:rPr>
            <w:szCs w:val="24"/>
          </w:rPr>
          <w:tab/>
        </w:r>
        <w:r>
          <w:rPr>
            <w:szCs w:val="24"/>
          </w:rPr>
          <w:fldChar w:fldCharType="begin"/>
        </w:r>
        <w:r>
          <w:rPr>
            <w:szCs w:val="24"/>
          </w:rPr>
          <w:instrText xml:space="preserve"> PAGEREF _Toc28819 \h </w:instrText>
        </w:r>
        <w:r>
          <w:rPr>
            <w:szCs w:val="24"/>
          </w:rPr>
        </w:r>
        <w:r>
          <w:rPr>
            <w:szCs w:val="24"/>
          </w:rPr>
          <w:fldChar w:fldCharType="separate"/>
        </w:r>
        <w:r>
          <w:rPr>
            <w:szCs w:val="24"/>
          </w:rPr>
          <w:t>4</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3613" w:history="1">
        <w:r>
          <w:rPr>
            <w:rFonts w:cs="Times New Roman"/>
            <w:szCs w:val="24"/>
          </w:rPr>
          <w:t>1.6</w:t>
        </w:r>
        <w:r>
          <w:rPr>
            <w:rFonts w:cs="Times New Roman"/>
            <w:szCs w:val="24"/>
          </w:rPr>
          <w:t>环境影响评价的主要结论</w:t>
        </w:r>
        <w:r>
          <w:rPr>
            <w:szCs w:val="24"/>
          </w:rPr>
          <w:tab/>
        </w:r>
        <w:r>
          <w:rPr>
            <w:szCs w:val="24"/>
          </w:rPr>
          <w:fldChar w:fldCharType="begin"/>
        </w:r>
        <w:r>
          <w:rPr>
            <w:szCs w:val="24"/>
          </w:rPr>
          <w:instrText xml:space="preserve"> PAGEREF _Toc23613 \h </w:instrText>
        </w:r>
        <w:r>
          <w:rPr>
            <w:szCs w:val="24"/>
          </w:rPr>
        </w:r>
        <w:r>
          <w:rPr>
            <w:szCs w:val="24"/>
          </w:rPr>
          <w:fldChar w:fldCharType="separate"/>
        </w:r>
        <w:r>
          <w:rPr>
            <w:szCs w:val="24"/>
          </w:rPr>
          <w:t>4</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23215" w:history="1">
        <w:r>
          <w:rPr>
            <w:rFonts w:eastAsia="黑体" w:cs="Times New Roman" w:hint="default"/>
            <w:sz w:val="24"/>
            <w:szCs w:val="24"/>
          </w:rPr>
          <w:t>2</w:t>
        </w:r>
        <w:r>
          <w:rPr>
            <w:rFonts w:eastAsia="黑体" w:cs="Times New Roman" w:hint="default"/>
            <w:sz w:val="24"/>
            <w:szCs w:val="24"/>
          </w:rPr>
          <w:t>总则</w:t>
        </w:r>
        <w:r>
          <w:rPr>
            <w:sz w:val="24"/>
            <w:szCs w:val="24"/>
          </w:rPr>
          <w:tab/>
        </w:r>
        <w:r>
          <w:rPr>
            <w:sz w:val="24"/>
            <w:szCs w:val="24"/>
          </w:rPr>
          <w:fldChar w:fldCharType="begin"/>
        </w:r>
        <w:r>
          <w:rPr>
            <w:sz w:val="24"/>
            <w:szCs w:val="24"/>
          </w:rPr>
          <w:instrText xml:space="preserve"> PAGEREF _Toc23215 \h </w:instrText>
        </w:r>
        <w:r>
          <w:rPr>
            <w:sz w:val="24"/>
            <w:szCs w:val="24"/>
          </w:rPr>
        </w:r>
        <w:r>
          <w:rPr>
            <w:sz w:val="24"/>
            <w:szCs w:val="24"/>
          </w:rPr>
          <w:fldChar w:fldCharType="separate"/>
        </w:r>
        <w:r>
          <w:rPr>
            <w:sz w:val="24"/>
            <w:szCs w:val="24"/>
          </w:rPr>
          <w:t>6</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7229" w:history="1">
        <w:r>
          <w:rPr>
            <w:rFonts w:cs="Times New Roman"/>
            <w:szCs w:val="24"/>
          </w:rPr>
          <w:t>2.1</w:t>
        </w:r>
        <w:r>
          <w:rPr>
            <w:rFonts w:cs="Times New Roman"/>
            <w:szCs w:val="24"/>
          </w:rPr>
          <w:t>编制依据</w:t>
        </w:r>
        <w:r>
          <w:rPr>
            <w:szCs w:val="24"/>
          </w:rPr>
          <w:tab/>
        </w:r>
        <w:r>
          <w:rPr>
            <w:szCs w:val="24"/>
          </w:rPr>
          <w:fldChar w:fldCharType="begin"/>
        </w:r>
        <w:r>
          <w:rPr>
            <w:szCs w:val="24"/>
          </w:rPr>
          <w:instrText xml:space="preserve"> PAGEREF _Toc7229 \h </w:instrText>
        </w:r>
        <w:r>
          <w:rPr>
            <w:szCs w:val="24"/>
          </w:rPr>
        </w:r>
        <w:r>
          <w:rPr>
            <w:szCs w:val="24"/>
          </w:rPr>
          <w:fldChar w:fldCharType="separate"/>
        </w:r>
        <w:r>
          <w:rPr>
            <w:szCs w:val="24"/>
          </w:rPr>
          <w:t>6</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3892" w:history="1">
        <w:r>
          <w:rPr>
            <w:rFonts w:eastAsiaTheme="minorEastAsia" w:cs="Times New Roman"/>
            <w:kern w:val="0"/>
            <w:szCs w:val="24"/>
          </w:rPr>
          <w:t>2</w:t>
        </w:r>
        <w:r>
          <w:rPr>
            <w:rFonts w:eastAsiaTheme="minorEastAsia" w:cs="Times New Roman"/>
            <w:kern w:val="0"/>
            <w:szCs w:val="24"/>
          </w:rPr>
          <w:t>.2</w:t>
        </w:r>
        <w:r>
          <w:rPr>
            <w:rFonts w:eastAsiaTheme="minorEastAsia" w:cs="Times New Roman"/>
            <w:kern w:val="0"/>
            <w:szCs w:val="24"/>
          </w:rPr>
          <w:t>评价目的</w:t>
        </w:r>
        <w:r>
          <w:rPr>
            <w:szCs w:val="24"/>
          </w:rPr>
          <w:tab/>
        </w:r>
        <w:r>
          <w:rPr>
            <w:szCs w:val="24"/>
          </w:rPr>
          <w:fldChar w:fldCharType="begin"/>
        </w:r>
        <w:r>
          <w:rPr>
            <w:szCs w:val="24"/>
          </w:rPr>
          <w:instrText xml:space="preserve"> PAGEREF _Toc23892 \h </w:instrText>
        </w:r>
        <w:r>
          <w:rPr>
            <w:szCs w:val="24"/>
          </w:rPr>
        </w:r>
        <w:r>
          <w:rPr>
            <w:szCs w:val="24"/>
          </w:rPr>
          <w:fldChar w:fldCharType="separate"/>
        </w:r>
        <w:r>
          <w:rPr>
            <w:szCs w:val="24"/>
          </w:rPr>
          <w:t>10</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4984" w:history="1">
        <w:r>
          <w:rPr>
            <w:rFonts w:cs="Times New Roman"/>
            <w:szCs w:val="24"/>
          </w:rPr>
          <w:t>2</w:t>
        </w:r>
        <w:r>
          <w:rPr>
            <w:rFonts w:cs="Times New Roman"/>
            <w:szCs w:val="24"/>
          </w:rPr>
          <w:t>.</w:t>
        </w:r>
        <w:r>
          <w:rPr>
            <w:rFonts w:cs="Times New Roman"/>
            <w:szCs w:val="24"/>
          </w:rPr>
          <w:t>3</w:t>
        </w:r>
        <w:r>
          <w:rPr>
            <w:rFonts w:cs="Times New Roman"/>
            <w:szCs w:val="24"/>
          </w:rPr>
          <w:t>评价原则</w:t>
        </w:r>
        <w:r>
          <w:rPr>
            <w:szCs w:val="24"/>
          </w:rPr>
          <w:tab/>
        </w:r>
        <w:r>
          <w:rPr>
            <w:szCs w:val="24"/>
          </w:rPr>
          <w:fldChar w:fldCharType="begin"/>
        </w:r>
        <w:r>
          <w:rPr>
            <w:szCs w:val="24"/>
          </w:rPr>
          <w:instrText xml:space="preserve"> PAGEREF _Toc4984 \h </w:instrText>
        </w:r>
        <w:r>
          <w:rPr>
            <w:szCs w:val="24"/>
          </w:rPr>
        </w:r>
        <w:r>
          <w:rPr>
            <w:szCs w:val="24"/>
          </w:rPr>
          <w:fldChar w:fldCharType="separate"/>
        </w:r>
        <w:r>
          <w:rPr>
            <w:szCs w:val="24"/>
          </w:rPr>
          <w:t>11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9414" w:history="1">
        <w:r>
          <w:rPr>
            <w:rFonts w:cs="Times New Roman"/>
            <w:szCs w:val="24"/>
          </w:rPr>
          <w:t>2.</w:t>
        </w:r>
        <w:r>
          <w:rPr>
            <w:rFonts w:cs="Times New Roman"/>
            <w:szCs w:val="24"/>
          </w:rPr>
          <w:t>4</w:t>
        </w:r>
        <w:r>
          <w:rPr>
            <w:rFonts w:cs="Times New Roman"/>
            <w:szCs w:val="24"/>
          </w:rPr>
          <w:t>环境影响因素识别和评价因子筛选</w:t>
        </w:r>
        <w:r>
          <w:rPr>
            <w:szCs w:val="24"/>
          </w:rPr>
          <w:tab/>
        </w:r>
        <w:r>
          <w:rPr>
            <w:szCs w:val="24"/>
          </w:rPr>
          <w:fldChar w:fldCharType="begin"/>
        </w:r>
        <w:r>
          <w:rPr>
            <w:szCs w:val="24"/>
          </w:rPr>
          <w:instrText xml:space="preserve"> PAGEREF _Toc9414 \h </w:instrText>
        </w:r>
        <w:r>
          <w:rPr>
            <w:szCs w:val="24"/>
          </w:rPr>
        </w:r>
        <w:r>
          <w:rPr>
            <w:szCs w:val="24"/>
          </w:rPr>
          <w:fldChar w:fldCharType="separate"/>
        </w:r>
        <w:r>
          <w:rPr>
            <w:szCs w:val="24"/>
          </w:rPr>
          <w:t>11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3790" w:history="1">
        <w:r>
          <w:rPr>
            <w:rFonts w:cs="Times New Roman"/>
            <w:szCs w:val="24"/>
          </w:rPr>
          <w:t>2.</w:t>
        </w:r>
        <w:r>
          <w:rPr>
            <w:rFonts w:cs="Times New Roman"/>
            <w:szCs w:val="24"/>
          </w:rPr>
          <w:t>5</w:t>
        </w:r>
        <w:r>
          <w:rPr>
            <w:rFonts w:cs="Times New Roman"/>
            <w:szCs w:val="24"/>
          </w:rPr>
          <w:t>环境功能区划和评价标准</w:t>
        </w:r>
        <w:r>
          <w:rPr>
            <w:szCs w:val="24"/>
          </w:rPr>
          <w:tab/>
        </w:r>
        <w:r>
          <w:rPr>
            <w:szCs w:val="24"/>
          </w:rPr>
          <w:fldChar w:fldCharType="begin"/>
        </w:r>
        <w:r>
          <w:rPr>
            <w:szCs w:val="24"/>
          </w:rPr>
          <w:instrText xml:space="preserve"> PAGEREF _Toc13790 \h </w:instrText>
        </w:r>
        <w:r>
          <w:rPr>
            <w:szCs w:val="24"/>
          </w:rPr>
        </w:r>
        <w:r>
          <w:rPr>
            <w:szCs w:val="24"/>
          </w:rPr>
          <w:fldChar w:fldCharType="separate"/>
        </w:r>
        <w:r>
          <w:rPr>
            <w:szCs w:val="24"/>
          </w:rPr>
          <w:t>13</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1250" w:history="1">
        <w:r>
          <w:rPr>
            <w:rFonts w:cs="Times New Roman"/>
            <w:szCs w:val="24"/>
          </w:rPr>
          <w:t>2.</w:t>
        </w:r>
        <w:r>
          <w:rPr>
            <w:rFonts w:cs="Times New Roman"/>
            <w:szCs w:val="24"/>
          </w:rPr>
          <w:t>6</w:t>
        </w:r>
        <w:r>
          <w:rPr>
            <w:rFonts w:cs="Times New Roman"/>
            <w:szCs w:val="24"/>
          </w:rPr>
          <w:t>评价工作等级和评价范围</w:t>
        </w:r>
        <w:r>
          <w:rPr>
            <w:szCs w:val="24"/>
          </w:rPr>
          <w:tab/>
        </w:r>
        <w:r>
          <w:rPr>
            <w:szCs w:val="24"/>
          </w:rPr>
          <w:fldChar w:fldCharType="begin"/>
        </w:r>
        <w:r>
          <w:rPr>
            <w:szCs w:val="24"/>
          </w:rPr>
          <w:instrText xml:space="preserve"> PAGEREF _Toc21250 \h </w:instrText>
        </w:r>
        <w:r>
          <w:rPr>
            <w:szCs w:val="24"/>
          </w:rPr>
        </w:r>
        <w:r>
          <w:rPr>
            <w:szCs w:val="24"/>
          </w:rPr>
          <w:fldChar w:fldCharType="separate"/>
        </w:r>
        <w:r>
          <w:rPr>
            <w:szCs w:val="24"/>
          </w:rPr>
          <w:t>18</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7646" w:history="1">
        <w:r>
          <w:rPr>
            <w:rFonts w:cs="Times New Roman"/>
            <w:szCs w:val="24"/>
          </w:rPr>
          <w:t>2.</w:t>
        </w:r>
        <w:r>
          <w:rPr>
            <w:rFonts w:cs="Times New Roman"/>
            <w:szCs w:val="24"/>
          </w:rPr>
          <w:t>7</w:t>
        </w:r>
        <w:r>
          <w:rPr>
            <w:rFonts w:cs="Times New Roman"/>
            <w:szCs w:val="24"/>
          </w:rPr>
          <w:t>主要环境保护目标</w:t>
        </w:r>
        <w:r>
          <w:rPr>
            <w:szCs w:val="24"/>
          </w:rPr>
          <w:tab/>
        </w:r>
        <w:r>
          <w:rPr>
            <w:szCs w:val="24"/>
          </w:rPr>
          <w:fldChar w:fldCharType="begin"/>
        </w:r>
        <w:r>
          <w:rPr>
            <w:szCs w:val="24"/>
          </w:rPr>
          <w:instrText xml:space="preserve"> PAGEREF _Toc27646 \h </w:instrText>
        </w:r>
        <w:r>
          <w:rPr>
            <w:szCs w:val="24"/>
          </w:rPr>
        </w:r>
        <w:r>
          <w:rPr>
            <w:szCs w:val="24"/>
          </w:rPr>
          <w:fldChar w:fldCharType="separate"/>
        </w:r>
        <w:r>
          <w:rPr>
            <w:szCs w:val="24"/>
          </w:rPr>
          <w:t>21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7325" w:history="1">
        <w:r>
          <w:rPr>
            <w:rFonts w:cs="Times New Roman"/>
            <w:szCs w:val="24"/>
          </w:rPr>
          <w:t>2.</w:t>
        </w:r>
        <w:r>
          <w:rPr>
            <w:rFonts w:cs="Times New Roman"/>
            <w:szCs w:val="24"/>
          </w:rPr>
          <w:t>8</w:t>
        </w:r>
        <w:r>
          <w:rPr>
            <w:rFonts w:cs="Times New Roman"/>
            <w:szCs w:val="24"/>
          </w:rPr>
          <w:t>评价重点</w:t>
        </w:r>
        <w:r>
          <w:rPr>
            <w:szCs w:val="24"/>
          </w:rPr>
          <w:tab/>
        </w:r>
        <w:r>
          <w:rPr>
            <w:szCs w:val="24"/>
          </w:rPr>
          <w:fldChar w:fldCharType="begin"/>
        </w:r>
        <w:r>
          <w:rPr>
            <w:szCs w:val="24"/>
          </w:rPr>
          <w:instrText xml:space="preserve"> PAGEREF _Toc27325 \h </w:instrText>
        </w:r>
        <w:r>
          <w:rPr>
            <w:szCs w:val="24"/>
          </w:rPr>
        </w:r>
        <w:r>
          <w:rPr>
            <w:szCs w:val="24"/>
          </w:rPr>
          <w:fldChar w:fldCharType="separate"/>
        </w:r>
        <w:r>
          <w:rPr>
            <w:szCs w:val="24"/>
          </w:rPr>
          <w:t>28</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55" w:history="1">
        <w:r>
          <w:rPr>
            <w:rFonts w:cs="Times New Roman"/>
            <w:szCs w:val="24"/>
          </w:rPr>
          <w:t>2.</w:t>
        </w:r>
        <w:r>
          <w:rPr>
            <w:rFonts w:cs="Times New Roman"/>
            <w:szCs w:val="24"/>
          </w:rPr>
          <w:t>9</w:t>
        </w:r>
        <w:r>
          <w:rPr>
            <w:rFonts w:cs="Times New Roman"/>
            <w:szCs w:val="24"/>
          </w:rPr>
          <w:t>评价时段</w:t>
        </w:r>
        <w:r>
          <w:rPr>
            <w:szCs w:val="24"/>
          </w:rPr>
          <w:tab/>
        </w:r>
        <w:r>
          <w:rPr>
            <w:szCs w:val="24"/>
          </w:rPr>
          <w:fldChar w:fldCharType="begin"/>
        </w:r>
        <w:r>
          <w:rPr>
            <w:szCs w:val="24"/>
          </w:rPr>
          <w:instrText xml:space="preserve"> PAGEREF _Toc155 \h </w:instrText>
        </w:r>
        <w:r>
          <w:rPr>
            <w:szCs w:val="24"/>
          </w:rPr>
        </w:r>
        <w:r>
          <w:rPr>
            <w:szCs w:val="24"/>
          </w:rPr>
          <w:fldChar w:fldCharType="separate"/>
        </w:r>
        <w:r>
          <w:rPr>
            <w:szCs w:val="24"/>
          </w:rPr>
          <w:t>28</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31523" w:history="1">
        <w:r>
          <w:rPr>
            <w:rFonts w:eastAsia="黑体" w:cs="Times New Roman" w:hint="default"/>
            <w:sz w:val="24"/>
            <w:szCs w:val="24"/>
          </w:rPr>
          <w:t>3</w:t>
        </w:r>
        <w:r>
          <w:rPr>
            <w:rFonts w:eastAsia="黑体" w:cs="Times New Roman" w:hint="default"/>
            <w:sz w:val="24"/>
            <w:szCs w:val="24"/>
          </w:rPr>
          <w:t>路由</w:t>
        </w:r>
        <w:r>
          <w:rPr>
            <w:rFonts w:eastAsia="黑体" w:cs="Times New Roman" w:hint="default"/>
            <w:sz w:val="24"/>
            <w:szCs w:val="24"/>
          </w:rPr>
          <w:t>分析</w:t>
        </w:r>
        <w:r>
          <w:rPr>
            <w:sz w:val="24"/>
            <w:szCs w:val="24"/>
          </w:rPr>
          <w:tab/>
        </w:r>
        <w:r>
          <w:rPr>
            <w:sz w:val="24"/>
            <w:szCs w:val="24"/>
          </w:rPr>
          <w:fldChar w:fldCharType="begin"/>
        </w:r>
        <w:r>
          <w:rPr>
            <w:sz w:val="24"/>
            <w:szCs w:val="24"/>
          </w:rPr>
          <w:instrText xml:space="preserve"> PAGEREF _Toc31523 \h </w:instrText>
        </w:r>
        <w:r>
          <w:rPr>
            <w:sz w:val="24"/>
            <w:szCs w:val="24"/>
          </w:rPr>
        </w:r>
        <w:r>
          <w:rPr>
            <w:sz w:val="24"/>
            <w:szCs w:val="24"/>
          </w:rPr>
          <w:fldChar w:fldCharType="separate"/>
        </w:r>
        <w:r>
          <w:rPr>
            <w:sz w:val="24"/>
            <w:szCs w:val="24"/>
          </w:rPr>
          <w:t>29</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16338" w:history="1">
        <w:r>
          <w:rPr>
            <w:rFonts w:cs="Times New Roman"/>
            <w:szCs w:val="24"/>
          </w:rPr>
          <w:t>3.</w:t>
        </w:r>
        <w:r>
          <w:rPr>
            <w:rFonts w:cs="Times New Roman"/>
            <w:szCs w:val="24"/>
          </w:rPr>
          <w:t>1</w:t>
        </w:r>
        <w:r>
          <w:rPr>
            <w:rFonts w:cs="Times New Roman"/>
            <w:szCs w:val="24"/>
          </w:rPr>
          <w:t>建设项目起终点论证</w:t>
        </w:r>
        <w:r>
          <w:rPr>
            <w:szCs w:val="24"/>
          </w:rPr>
          <w:tab/>
        </w:r>
        <w:r>
          <w:rPr>
            <w:szCs w:val="24"/>
          </w:rPr>
          <w:fldChar w:fldCharType="begin"/>
        </w:r>
        <w:r>
          <w:rPr>
            <w:szCs w:val="24"/>
          </w:rPr>
          <w:instrText xml:space="preserve"> PAGEREF _Toc16338 \h </w:instrText>
        </w:r>
        <w:r>
          <w:rPr>
            <w:szCs w:val="24"/>
          </w:rPr>
        </w:r>
        <w:r>
          <w:rPr>
            <w:szCs w:val="24"/>
          </w:rPr>
          <w:fldChar w:fldCharType="separate"/>
        </w:r>
        <w:r>
          <w:rPr>
            <w:szCs w:val="24"/>
          </w:rPr>
          <w:t>29</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3260" w:history="1">
        <w:r>
          <w:rPr>
            <w:rFonts w:cs="Times New Roman"/>
            <w:szCs w:val="24"/>
          </w:rPr>
          <w:t>3.2</w:t>
        </w:r>
        <w:r>
          <w:rPr>
            <w:rFonts w:cs="Times New Roman"/>
            <w:szCs w:val="24"/>
          </w:rPr>
          <w:t>廊道线路比选</w:t>
        </w:r>
        <w:r>
          <w:rPr>
            <w:szCs w:val="24"/>
          </w:rPr>
          <w:tab/>
        </w:r>
        <w:r>
          <w:rPr>
            <w:szCs w:val="24"/>
          </w:rPr>
          <w:fldChar w:fldCharType="begin"/>
        </w:r>
        <w:r>
          <w:rPr>
            <w:szCs w:val="24"/>
          </w:rPr>
          <w:instrText xml:space="preserve"> PAGEREF _Toc23260 \h </w:instrText>
        </w:r>
        <w:r>
          <w:rPr>
            <w:szCs w:val="24"/>
          </w:rPr>
        </w:r>
        <w:r>
          <w:rPr>
            <w:szCs w:val="24"/>
          </w:rPr>
          <w:fldChar w:fldCharType="separate"/>
        </w:r>
        <w:r>
          <w:rPr>
            <w:szCs w:val="24"/>
          </w:rPr>
          <w:t>32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31918" w:history="1">
        <w:r>
          <w:rPr>
            <w:rFonts w:cs="Times New Roman"/>
            <w:szCs w:val="24"/>
          </w:rPr>
          <w:t>3.3</w:t>
        </w:r>
        <w:r>
          <w:rPr>
            <w:rFonts w:cs="Times New Roman"/>
            <w:szCs w:val="24"/>
          </w:rPr>
          <w:t>穿越国家二级公益林不可避让分析</w:t>
        </w:r>
        <w:r>
          <w:rPr>
            <w:szCs w:val="24"/>
          </w:rPr>
          <w:tab/>
        </w:r>
        <w:r>
          <w:rPr>
            <w:szCs w:val="24"/>
          </w:rPr>
          <w:fldChar w:fldCharType="begin"/>
        </w:r>
        <w:r>
          <w:rPr>
            <w:szCs w:val="24"/>
          </w:rPr>
          <w:instrText xml:space="preserve"> PAGEREF _Toc31918 \h </w:instrText>
        </w:r>
        <w:r>
          <w:rPr>
            <w:szCs w:val="24"/>
          </w:rPr>
        </w:r>
        <w:r>
          <w:rPr>
            <w:szCs w:val="24"/>
          </w:rPr>
          <w:fldChar w:fldCharType="separate"/>
        </w:r>
        <w:r>
          <w:rPr>
            <w:szCs w:val="24"/>
          </w:rPr>
          <w:t>3</w:t>
        </w:r>
        <w:r>
          <w:rPr>
            <w:szCs w:val="24"/>
          </w:rPr>
          <w:t>5</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9658" w:history="1">
        <w:r>
          <w:rPr>
            <w:rFonts w:cs="Times New Roman"/>
            <w:szCs w:val="24"/>
          </w:rPr>
          <w:t>3.4</w:t>
        </w:r>
        <w:r>
          <w:rPr>
            <w:rFonts w:cs="Times New Roman"/>
            <w:szCs w:val="24"/>
          </w:rPr>
          <w:t>临时工程的选址合理性分析</w:t>
        </w:r>
        <w:r>
          <w:rPr>
            <w:szCs w:val="24"/>
          </w:rPr>
          <w:tab/>
        </w:r>
        <w:r>
          <w:rPr>
            <w:szCs w:val="24"/>
          </w:rPr>
          <w:fldChar w:fldCharType="begin"/>
        </w:r>
        <w:r>
          <w:rPr>
            <w:szCs w:val="24"/>
          </w:rPr>
          <w:instrText xml:space="preserve"> PAGEREF _Toc29658 \h </w:instrText>
        </w:r>
        <w:r>
          <w:rPr>
            <w:szCs w:val="24"/>
          </w:rPr>
        </w:r>
        <w:r>
          <w:rPr>
            <w:szCs w:val="24"/>
          </w:rPr>
          <w:fldChar w:fldCharType="separate"/>
        </w:r>
        <w:r>
          <w:rPr>
            <w:szCs w:val="24"/>
          </w:rPr>
          <w:t>36</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6169" w:history="1">
        <w:r>
          <w:rPr>
            <w:rFonts w:cs="Times New Roman"/>
            <w:szCs w:val="24"/>
          </w:rPr>
          <w:t>3.</w:t>
        </w:r>
        <w:r>
          <w:rPr>
            <w:rFonts w:cs="Times New Roman"/>
            <w:szCs w:val="24"/>
          </w:rPr>
          <w:t>5</w:t>
        </w:r>
        <w:r>
          <w:rPr>
            <w:rFonts w:cs="Times New Roman"/>
            <w:szCs w:val="24"/>
          </w:rPr>
          <w:t>小结</w:t>
        </w:r>
        <w:r>
          <w:rPr>
            <w:szCs w:val="24"/>
          </w:rPr>
          <w:tab/>
        </w:r>
        <w:r>
          <w:rPr>
            <w:szCs w:val="24"/>
          </w:rPr>
          <w:fldChar w:fldCharType="begin"/>
        </w:r>
        <w:r>
          <w:rPr>
            <w:szCs w:val="24"/>
          </w:rPr>
          <w:instrText xml:space="preserve"> PAGEREF _Toc6169 \h </w:instrText>
        </w:r>
        <w:r>
          <w:rPr>
            <w:szCs w:val="24"/>
          </w:rPr>
        </w:r>
        <w:r>
          <w:rPr>
            <w:szCs w:val="24"/>
          </w:rPr>
          <w:fldChar w:fldCharType="separate"/>
        </w:r>
        <w:r>
          <w:rPr>
            <w:szCs w:val="24"/>
          </w:rPr>
          <w:t>37</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28419" w:history="1">
        <w:r>
          <w:rPr>
            <w:rFonts w:eastAsia="黑体" w:cs="Times New Roman" w:hint="default"/>
            <w:sz w:val="24"/>
            <w:szCs w:val="24"/>
          </w:rPr>
          <w:t>4</w:t>
        </w:r>
        <w:r>
          <w:rPr>
            <w:rFonts w:eastAsia="黑体" w:cs="Times New Roman" w:hint="default"/>
            <w:sz w:val="24"/>
            <w:szCs w:val="24"/>
          </w:rPr>
          <w:t>工程概况</w:t>
        </w:r>
        <w:r>
          <w:rPr>
            <w:sz w:val="24"/>
            <w:szCs w:val="24"/>
          </w:rPr>
          <w:tab/>
        </w:r>
        <w:r>
          <w:rPr>
            <w:sz w:val="24"/>
            <w:szCs w:val="24"/>
          </w:rPr>
          <w:fldChar w:fldCharType="begin"/>
        </w:r>
        <w:r>
          <w:rPr>
            <w:sz w:val="24"/>
            <w:szCs w:val="24"/>
          </w:rPr>
          <w:instrText xml:space="preserve"> PAGEREF _Toc28419 \h </w:instrText>
        </w:r>
        <w:r>
          <w:rPr>
            <w:sz w:val="24"/>
            <w:szCs w:val="24"/>
          </w:rPr>
        </w:r>
        <w:r>
          <w:rPr>
            <w:sz w:val="24"/>
            <w:szCs w:val="24"/>
          </w:rPr>
          <w:fldChar w:fldCharType="separate"/>
        </w:r>
        <w:r>
          <w:rPr>
            <w:sz w:val="24"/>
            <w:szCs w:val="24"/>
          </w:rPr>
          <w:t>40</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15494" w:history="1">
        <w:r>
          <w:rPr>
            <w:rFonts w:cs="Times New Roman"/>
            <w:szCs w:val="24"/>
          </w:rPr>
          <w:t>4.1</w:t>
        </w:r>
        <w:r>
          <w:rPr>
            <w:rFonts w:cs="Times New Roman"/>
            <w:szCs w:val="24"/>
          </w:rPr>
          <w:t>既有公路概况</w:t>
        </w:r>
        <w:r>
          <w:rPr>
            <w:szCs w:val="24"/>
          </w:rPr>
          <w:tab/>
        </w:r>
        <w:r>
          <w:rPr>
            <w:szCs w:val="24"/>
          </w:rPr>
          <w:fldChar w:fldCharType="begin"/>
        </w:r>
        <w:r>
          <w:rPr>
            <w:szCs w:val="24"/>
          </w:rPr>
          <w:instrText xml:space="preserve"> PAGEREF _Toc15494 \h </w:instrText>
        </w:r>
        <w:r>
          <w:rPr>
            <w:szCs w:val="24"/>
          </w:rPr>
        </w:r>
        <w:r>
          <w:rPr>
            <w:szCs w:val="24"/>
          </w:rPr>
          <w:fldChar w:fldCharType="separate"/>
        </w:r>
        <w:r>
          <w:rPr>
            <w:szCs w:val="24"/>
          </w:rPr>
          <w:t>40</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7838" w:history="1">
        <w:r>
          <w:rPr>
            <w:rFonts w:cs="Times New Roman"/>
            <w:szCs w:val="24"/>
          </w:rPr>
          <w:t>4.2</w:t>
        </w:r>
        <w:r>
          <w:rPr>
            <w:rFonts w:cs="Times New Roman"/>
            <w:szCs w:val="24"/>
          </w:rPr>
          <w:t>本次新改扩工程概况</w:t>
        </w:r>
        <w:r>
          <w:rPr>
            <w:szCs w:val="24"/>
          </w:rPr>
          <w:tab/>
        </w:r>
        <w:r>
          <w:rPr>
            <w:szCs w:val="24"/>
          </w:rPr>
          <w:fldChar w:fldCharType="begin"/>
        </w:r>
        <w:r>
          <w:rPr>
            <w:szCs w:val="24"/>
          </w:rPr>
          <w:instrText xml:space="preserve"> PAGEREF _Toc17838 \h </w:instrText>
        </w:r>
        <w:r>
          <w:rPr>
            <w:szCs w:val="24"/>
          </w:rPr>
        </w:r>
        <w:r>
          <w:rPr>
            <w:szCs w:val="24"/>
          </w:rPr>
          <w:fldChar w:fldCharType="separate"/>
        </w:r>
        <w:r>
          <w:rPr>
            <w:szCs w:val="24"/>
          </w:rPr>
          <w:t>42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3502" w:history="1">
        <w:r>
          <w:rPr>
            <w:rFonts w:cs="Times New Roman"/>
            <w:szCs w:val="24"/>
          </w:rPr>
          <w:t>5</w:t>
        </w:r>
        <w:r>
          <w:rPr>
            <w:rFonts w:cs="Times New Roman"/>
            <w:szCs w:val="24"/>
          </w:rPr>
          <w:t>工程分析</w:t>
        </w:r>
        <w:r>
          <w:rPr>
            <w:szCs w:val="24"/>
          </w:rPr>
          <w:tab/>
        </w:r>
        <w:r>
          <w:rPr>
            <w:szCs w:val="24"/>
          </w:rPr>
          <w:fldChar w:fldCharType="begin"/>
        </w:r>
        <w:r>
          <w:rPr>
            <w:szCs w:val="24"/>
          </w:rPr>
          <w:instrText xml:space="preserve"> PAGEREF _Toc23502 \h </w:instrText>
        </w:r>
        <w:r>
          <w:rPr>
            <w:szCs w:val="24"/>
          </w:rPr>
        </w:r>
        <w:r>
          <w:rPr>
            <w:szCs w:val="24"/>
          </w:rPr>
          <w:fldChar w:fldCharType="separate"/>
        </w:r>
        <w:r>
          <w:rPr>
            <w:szCs w:val="24"/>
          </w:rPr>
          <w:t>76</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2432" w:history="1">
        <w:r>
          <w:rPr>
            <w:rFonts w:cs="Times New Roman"/>
            <w:szCs w:val="24"/>
          </w:rPr>
          <w:t>5.1</w:t>
        </w:r>
        <w:r>
          <w:rPr>
            <w:rFonts w:cs="Times New Roman"/>
            <w:szCs w:val="24"/>
          </w:rPr>
          <w:t>环境影响源识别</w:t>
        </w:r>
        <w:r>
          <w:rPr>
            <w:szCs w:val="24"/>
          </w:rPr>
          <w:tab/>
        </w:r>
        <w:r>
          <w:rPr>
            <w:szCs w:val="24"/>
          </w:rPr>
          <w:fldChar w:fldCharType="begin"/>
        </w:r>
        <w:r>
          <w:rPr>
            <w:szCs w:val="24"/>
          </w:rPr>
          <w:instrText xml:space="preserve"> PAGEREF _Toc12432 \h </w:instrText>
        </w:r>
        <w:r>
          <w:rPr>
            <w:szCs w:val="24"/>
          </w:rPr>
        </w:r>
        <w:r>
          <w:rPr>
            <w:szCs w:val="24"/>
          </w:rPr>
          <w:fldChar w:fldCharType="separate"/>
        </w:r>
        <w:r>
          <w:rPr>
            <w:szCs w:val="24"/>
          </w:rPr>
          <w:t>76</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0519" w:history="1">
        <w:r>
          <w:rPr>
            <w:rFonts w:cs="Times New Roman"/>
            <w:szCs w:val="24"/>
          </w:rPr>
          <w:t>5.2.</w:t>
        </w:r>
        <w:r>
          <w:rPr>
            <w:rFonts w:cs="Times New Roman"/>
            <w:szCs w:val="24"/>
          </w:rPr>
          <w:t>污染源源强核算</w:t>
        </w:r>
        <w:r>
          <w:rPr>
            <w:szCs w:val="24"/>
          </w:rPr>
          <w:tab/>
        </w:r>
        <w:r>
          <w:rPr>
            <w:szCs w:val="24"/>
          </w:rPr>
          <w:fldChar w:fldCharType="begin"/>
        </w:r>
        <w:r>
          <w:rPr>
            <w:szCs w:val="24"/>
          </w:rPr>
          <w:instrText xml:space="preserve"> PAGEREF _Toc10519 \h </w:instrText>
        </w:r>
        <w:r>
          <w:rPr>
            <w:szCs w:val="24"/>
          </w:rPr>
        </w:r>
        <w:r>
          <w:rPr>
            <w:szCs w:val="24"/>
          </w:rPr>
          <w:fldChar w:fldCharType="separate"/>
        </w:r>
        <w:r>
          <w:rPr>
            <w:szCs w:val="24"/>
          </w:rPr>
          <w:t>81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6253" w:history="1">
        <w:r>
          <w:rPr>
            <w:rFonts w:cs="Times New Roman"/>
            <w:szCs w:val="24"/>
          </w:rPr>
          <w:t>5.3</w:t>
        </w:r>
        <w:r>
          <w:rPr>
            <w:rFonts w:cs="Times New Roman"/>
            <w:szCs w:val="24"/>
          </w:rPr>
          <w:t>相关符合性分析</w:t>
        </w:r>
        <w:r>
          <w:rPr>
            <w:szCs w:val="24"/>
          </w:rPr>
          <w:tab/>
        </w:r>
        <w:r>
          <w:rPr>
            <w:szCs w:val="24"/>
          </w:rPr>
          <w:fldChar w:fldCharType="begin"/>
        </w:r>
        <w:r>
          <w:rPr>
            <w:szCs w:val="24"/>
          </w:rPr>
          <w:instrText xml:space="preserve"> PAGEREF _Toc26253 \h </w:instrText>
        </w:r>
        <w:r>
          <w:rPr>
            <w:szCs w:val="24"/>
          </w:rPr>
        </w:r>
        <w:r>
          <w:rPr>
            <w:szCs w:val="24"/>
          </w:rPr>
          <w:fldChar w:fldCharType="separate"/>
        </w:r>
        <w:r>
          <w:rPr>
            <w:szCs w:val="24"/>
          </w:rPr>
          <w:t>97</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22199" w:history="1">
        <w:r>
          <w:rPr>
            <w:rFonts w:eastAsia="黑体" w:cs="Times New Roman" w:hint="default"/>
            <w:sz w:val="24"/>
            <w:szCs w:val="24"/>
          </w:rPr>
          <w:t>6</w:t>
        </w:r>
        <w:r>
          <w:rPr>
            <w:rFonts w:eastAsia="黑体" w:cs="Times New Roman" w:hint="default"/>
            <w:sz w:val="24"/>
            <w:szCs w:val="24"/>
          </w:rPr>
          <w:t>环境现状调查与评价</w:t>
        </w:r>
        <w:r>
          <w:rPr>
            <w:sz w:val="24"/>
            <w:szCs w:val="24"/>
          </w:rPr>
          <w:tab/>
        </w:r>
        <w:r>
          <w:rPr>
            <w:sz w:val="24"/>
            <w:szCs w:val="24"/>
          </w:rPr>
          <w:fldChar w:fldCharType="begin"/>
        </w:r>
        <w:r>
          <w:rPr>
            <w:sz w:val="24"/>
            <w:szCs w:val="24"/>
          </w:rPr>
          <w:instrText xml:space="preserve"> PAGEREF _Toc22199 \h </w:instrText>
        </w:r>
        <w:r>
          <w:rPr>
            <w:sz w:val="24"/>
            <w:szCs w:val="24"/>
          </w:rPr>
        </w:r>
        <w:r>
          <w:rPr>
            <w:sz w:val="24"/>
            <w:szCs w:val="24"/>
          </w:rPr>
          <w:fldChar w:fldCharType="separate"/>
        </w:r>
        <w:r>
          <w:rPr>
            <w:sz w:val="24"/>
            <w:szCs w:val="24"/>
          </w:rPr>
          <w:t>127</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29571" w:history="1">
        <w:r>
          <w:rPr>
            <w:rFonts w:cs="Times New Roman"/>
            <w:szCs w:val="24"/>
          </w:rPr>
          <w:t>6</w:t>
        </w:r>
        <w:r>
          <w:rPr>
            <w:rFonts w:cs="Times New Roman"/>
            <w:szCs w:val="24"/>
          </w:rPr>
          <w:t>.1</w:t>
        </w:r>
        <w:r>
          <w:rPr>
            <w:rFonts w:cs="Times New Roman"/>
            <w:szCs w:val="24"/>
          </w:rPr>
          <w:t>自然环境现状调查与评价</w:t>
        </w:r>
        <w:r>
          <w:rPr>
            <w:szCs w:val="24"/>
          </w:rPr>
          <w:tab/>
        </w:r>
        <w:r>
          <w:rPr>
            <w:szCs w:val="24"/>
          </w:rPr>
          <w:fldChar w:fldCharType="begin"/>
        </w:r>
        <w:r>
          <w:rPr>
            <w:szCs w:val="24"/>
          </w:rPr>
          <w:instrText xml:space="preserve"> PAGEREF _Toc29571 \h </w:instrText>
        </w:r>
        <w:r>
          <w:rPr>
            <w:szCs w:val="24"/>
          </w:rPr>
        </w:r>
        <w:r>
          <w:rPr>
            <w:szCs w:val="24"/>
          </w:rPr>
          <w:fldChar w:fldCharType="separate"/>
        </w:r>
        <w:r>
          <w:rPr>
            <w:szCs w:val="24"/>
          </w:rPr>
          <w:t>127</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4693" w:history="1">
        <w:r>
          <w:rPr>
            <w:rFonts w:cs="Times New Roman"/>
            <w:szCs w:val="24"/>
          </w:rPr>
          <w:t>6</w:t>
        </w:r>
        <w:r>
          <w:rPr>
            <w:rFonts w:cs="Times New Roman"/>
            <w:szCs w:val="24"/>
          </w:rPr>
          <w:t>.2</w:t>
        </w:r>
        <w:r>
          <w:rPr>
            <w:rFonts w:cs="Times New Roman"/>
            <w:szCs w:val="24"/>
          </w:rPr>
          <w:t>生态环境调查及评价</w:t>
        </w:r>
        <w:r>
          <w:rPr>
            <w:szCs w:val="24"/>
          </w:rPr>
          <w:tab/>
        </w:r>
        <w:r>
          <w:rPr>
            <w:szCs w:val="24"/>
          </w:rPr>
          <w:fldChar w:fldCharType="begin"/>
        </w:r>
        <w:r>
          <w:rPr>
            <w:szCs w:val="24"/>
          </w:rPr>
          <w:instrText xml:space="preserve"> PAGEREF _Toc24693 \h </w:instrText>
        </w:r>
        <w:r>
          <w:rPr>
            <w:szCs w:val="24"/>
          </w:rPr>
        </w:r>
        <w:r>
          <w:rPr>
            <w:szCs w:val="24"/>
          </w:rPr>
          <w:fldChar w:fldCharType="separate"/>
        </w:r>
        <w:r>
          <w:rPr>
            <w:szCs w:val="24"/>
          </w:rPr>
          <w:t>135</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8177" w:history="1">
        <w:r>
          <w:rPr>
            <w:rFonts w:cs="Times New Roman"/>
            <w:szCs w:val="24"/>
          </w:rPr>
          <w:t>6</w:t>
        </w:r>
        <w:r>
          <w:rPr>
            <w:rFonts w:cs="Times New Roman"/>
            <w:szCs w:val="24"/>
          </w:rPr>
          <w:t>.3</w:t>
        </w:r>
        <w:r>
          <w:rPr>
            <w:rFonts w:cs="Times New Roman"/>
            <w:szCs w:val="24"/>
          </w:rPr>
          <w:t>环境质量现状调查与评价</w:t>
        </w:r>
        <w:r>
          <w:rPr>
            <w:szCs w:val="24"/>
          </w:rPr>
          <w:tab/>
        </w:r>
        <w:r>
          <w:rPr>
            <w:szCs w:val="24"/>
          </w:rPr>
          <w:fldChar w:fldCharType="begin"/>
        </w:r>
        <w:r>
          <w:rPr>
            <w:szCs w:val="24"/>
          </w:rPr>
          <w:instrText xml:space="preserve"> PAGEREF _Toc28177 \h </w:instrText>
        </w:r>
        <w:r>
          <w:rPr>
            <w:szCs w:val="24"/>
          </w:rPr>
        </w:r>
        <w:r>
          <w:rPr>
            <w:szCs w:val="24"/>
          </w:rPr>
          <w:fldChar w:fldCharType="separate"/>
        </w:r>
        <w:r>
          <w:rPr>
            <w:szCs w:val="24"/>
          </w:rPr>
          <w:t>181</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11416" w:history="1">
        <w:r>
          <w:rPr>
            <w:rFonts w:eastAsia="黑体" w:cs="Times New Roman" w:hint="default"/>
            <w:sz w:val="24"/>
            <w:szCs w:val="24"/>
          </w:rPr>
          <w:t>7</w:t>
        </w:r>
        <w:r>
          <w:rPr>
            <w:rFonts w:eastAsia="黑体" w:cs="Times New Roman" w:hint="default"/>
            <w:sz w:val="24"/>
            <w:szCs w:val="24"/>
          </w:rPr>
          <w:t>环境影响预测与评价</w:t>
        </w:r>
        <w:r>
          <w:rPr>
            <w:sz w:val="24"/>
            <w:szCs w:val="24"/>
          </w:rPr>
          <w:tab/>
        </w:r>
        <w:r>
          <w:rPr>
            <w:sz w:val="24"/>
            <w:szCs w:val="24"/>
          </w:rPr>
          <w:fldChar w:fldCharType="begin"/>
        </w:r>
        <w:r>
          <w:rPr>
            <w:sz w:val="24"/>
            <w:szCs w:val="24"/>
          </w:rPr>
          <w:instrText xml:space="preserve"> PAGEREF _Toc11416 \h </w:instrText>
        </w:r>
        <w:r>
          <w:rPr>
            <w:sz w:val="24"/>
            <w:szCs w:val="24"/>
          </w:rPr>
        </w:r>
        <w:r>
          <w:rPr>
            <w:sz w:val="24"/>
            <w:szCs w:val="24"/>
          </w:rPr>
          <w:fldChar w:fldCharType="separate"/>
        </w:r>
        <w:r>
          <w:rPr>
            <w:sz w:val="24"/>
            <w:szCs w:val="24"/>
          </w:rPr>
          <w:t>187</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19680" w:history="1">
        <w:r>
          <w:rPr>
            <w:rFonts w:cs="Times New Roman"/>
            <w:szCs w:val="24"/>
          </w:rPr>
          <w:t>7</w:t>
        </w:r>
        <w:r>
          <w:rPr>
            <w:rFonts w:cs="Times New Roman"/>
            <w:szCs w:val="24"/>
          </w:rPr>
          <w:t>.1</w:t>
        </w:r>
        <w:r>
          <w:rPr>
            <w:rFonts w:cs="Times New Roman"/>
            <w:szCs w:val="24"/>
          </w:rPr>
          <w:t>生态</w:t>
        </w:r>
        <w:r>
          <w:rPr>
            <w:rFonts w:cs="Times New Roman"/>
            <w:szCs w:val="24"/>
          </w:rPr>
          <w:t>环境</w:t>
        </w:r>
        <w:r>
          <w:rPr>
            <w:rFonts w:cs="Times New Roman"/>
            <w:szCs w:val="24"/>
          </w:rPr>
          <w:t>影响</w:t>
        </w:r>
        <w:r>
          <w:rPr>
            <w:rFonts w:cs="Times New Roman"/>
            <w:szCs w:val="24"/>
          </w:rPr>
          <w:t>预测及</w:t>
        </w:r>
        <w:r>
          <w:rPr>
            <w:rFonts w:cs="Times New Roman"/>
            <w:szCs w:val="24"/>
          </w:rPr>
          <w:t>分析</w:t>
        </w:r>
        <w:r>
          <w:rPr>
            <w:szCs w:val="24"/>
          </w:rPr>
          <w:tab/>
        </w:r>
        <w:r>
          <w:rPr>
            <w:szCs w:val="24"/>
          </w:rPr>
          <w:fldChar w:fldCharType="begin"/>
        </w:r>
        <w:r>
          <w:rPr>
            <w:szCs w:val="24"/>
          </w:rPr>
          <w:instrText xml:space="preserve"> PAGEREF _Toc19680 \h </w:instrText>
        </w:r>
        <w:r>
          <w:rPr>
            <w:szCs w:val="24"/>
          </w:rPr>
        </w:r>
        <w:r>
          <w:rPr>
            <w:szCs w:val="24"/>
          </w:rPr>
          <w:fldChar w:fldCharType="separate"/>
        </w:r>
        <w:r>
          <w:rPr>
            <w:szCs w:val="24"/>
          </w:rPr>
          <w:t>187</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5249" w:history="1">
        <w:r>
          <w:rPr>
            <w:rFonts w:cs="Times New Roman"/>
            <w:szCs w:val="24"/>
          </w:rPr>
          <w:t>7</w:t>
        </w:r>
        <w:r>
          <w:rPr>
            <w:rFonts w:cs="Times New Roman"/>
            <w:szCs w:val="24"/>
          </w:rPr>
          <w:t>.2</w:t>
        </w:r>
        <w:r>
          <w:rPr>
            <w:rFonts w:cs="Times New Roman"/>
            <w:szCs w:val="24"/>
          </w:rPr>
          <w:t>大气环境影响分析</w:t>
        </w:r>
        <w:r>
          <w:rPr>
            <w:szCs w:val="24"/>
          </w:rPr>
          <w:tab/>
        </w:r>
        <w:r>
          <w:rPr>
            <w:szCs w:val="24"/>
          </w:rPr>
          <w:fldChar w:fldCharType="begin"/>
        </w:r>
        <w:r>
          <w:rPr>
            <w:szCs w:val="24"/>
          </w:rPr>
          <w:instrText xml:space="preserve"> PAGEREF _Toc25249 \h </w:instrText>
        </w:r>
        <w:r>
          <w:rPr>
            <w:szCs w:val="24"/>
          </w:rPr>
        </w:r>
        <w:r>
          <w:rPr>
            <w:szCs w:val="24"/>
          </w:rPr>
          <w:fldChar w:fldCharType="separate"/>
        </w:r>
        <w:r>
          <w:rPr>
            <w:szCs w:val="24"/>
          </w:rPr>
          <w:t>216</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4322" w:history="1">
        <w:r>
          <w:rPr>
            <w:rFonts w:cs="Times New Roman"/>
            <w:szCs w:val="24"/>
          </w:rPr>
          <w:t>7</w:t>
        </w:r>
        <w:r>
          <w:rPr>
            <w:rFonts w:cs="Times New Roman"/>
            <w:szCs w:val="24"/>
          </w:rPr>
          <w:t>.3</w:t>
        </w:r>
        <w:r>
          <w:rPr>
            <w:rFonts w:cs="Times New Roman"/>
            <w:szCs w:val="24"/>
          </w:rPr>
          <w:t>地表水环境影响预测与评价</w:t>
        </w:r>
        <w:r>
          <w:rPr>
            <w:szCs w:val="24"/>
          </w:rPr>
          <w:tab/>
        </w:r>
        <w:r>
          <w:rPr>
            <w:szCs w:val="24"/>
          </w:rPr>
          <w:fldChar w:fldCharType="begin"/>
        </w:r>
        <w:r>
          <w:rPr>
            <w:szCs w:val="24"/>
          </w:rPr>
          <w:instrText xml:space="preserve"> PAGEREF _Toc24322 \h </w:instrText>
        </w:r>
        <w:r>
          <w:rPr>
            <w:szCs w:val="24"/>
          </w:rPr>
        </w:r>
        <w:r>
          <w:rPr>
            <w:szCs w:val="24"/>
          </w:rPr>
          <w:fldChar w:fldCharType="separate"/>
        </w:r>
        <w:r>
          <w:rPr>
            <w:szCs w:val="24"/>
          </w:rPr>
          <w:t>22</w:t>
        </w:r>
        <w:r>
          <w:rPr>
            <w:szCs w:val="24"/>
          </w:rPr>
          <w:t>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3238" w:history="1">
        <w:r>
          <w:rPr>
            <w:rFonts w:cs="Times New Roman"/>
            <w:szCs w:val="24"/>
          </w:rPr>
          <w:t>7</w:t>
        </w:r>
        <w:r>
          <w:rPr>
            <w:rFonts w:cs="Times New Roman"/>
            <w:szCs w:val="24"/>
          </w:rPr>
          <w:t>.4</w:t>
        </w:r>
        <w:r>
          <w:rPr>
            <w:rFonts w:cs="Times New Roman"/>
            <w:szCs w:val="24"/>
          </w:rPr>
          <w:t>声环境影响预测与评价</w:t>
        </w:r>
        <w:r>
          <w:rPr>
            <w:szCs w:val="24"/>
          </w:rPr>
          <w:tab/>
        </w:r>
        <w:r>
          <w:rPr>
            <w:szCs w:val="24"/>
          </w:rPr>
          <w:fldChar w:fldCharType="begin"/>
        </w:r>
        <w:r>
          <w:rPr>
            <w:szCs w:val="24"/>
          </w:rPr>
          <w:instrText xml:space="preserve"> PAGEREF _Toc3238 \h </w:instrText>
        </w:r>
        <w:r>
          <w:rPr>
            <w:szCs w:val="24"/>
          </w:rPr>
        </w:r>
        <w:r>
          <w:rPr>
            <w:szCs w:val="24"/>
          </w:rPr>
          <w:fldChar w:fldCharType="separate"/>
        </w:r>
        <w:r>
          <w:rPr>
            <w:szCs w:val="24"/>
          </w:rPr>
          <w:t>230</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8517" w:history="1">
        <w:r>
          <w:rPr>
            <w:rFonts w:cs="Times New Roman"/>
            <w:szCs w:val="24"/>
          </w:rPr>
          <w:t>7</w:t>
        </w:r>
        <w:r>
          <w:rPr>
            <w:rFonts w:cs="Times New Roman"/>
            <w:szCs w:val="24"/>
          </w:rPr>
          <w:t>.5</w:t>
        </w:r>
        <w:r>
          <w:rPr>
            <w:rFonts w:cs="Times New Roman"/>
            <w:szCs w:val="24"/>
          </w:rPr>
          <w:t>固体废物影响预测与评价</w:t>
        </w:r>
        <w:r>
          <w:rPr>
            <w:szCs w:val="24"/>
          </w:rPr>
          <w:tab/>
        </w:r>
        <w:r>
          <w:rPr>
            <w:szCs w:val="24"/>
          </w:rPr>
          <w:fldChar w:fldCharType="begin"/>
        </w:r>
        <w:r>
          <w:rPr>
            <w:szCs w:val="24"/>
          </w:rPr>
          <w:instrText xml:space="preserve"> PAGEREF _Toc18517 \h </w:instrText>
        </w:r>
        <w:r>
          <w:rPr>
            <w:szCs w:val="24"/>
          </w:rPr>
        </w:r>
        <w:r>
          <w:rPr>
            <w:szCs w:val="24"/>
          </w:rPr>
          <w:fldChar w:fldCharType="separate"/>
        </w:r>
        <w:r>
          <w:rPr>
            <w:szCs w:val="24"/>
          </w:rPr>
          <w:t>258</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62" w:history="1">
        <w:r>
          <w:rPr>
            <w:rFonts w:cs="Times New Roman"/>
            <w:szCs w:val="24"/>
          </w:rPr>
          <w:t>7.6</w:t>
        </w:r>
        <w:r>
          <w:rPr>
            <w:rFonts w:cs="Times New Roman"/>
            <w:szCs w:val="24"/>
          </w:rPr>
          <w:t>地下水环境影响预测与评价</w:t>
        </w:r>
        <w:r>
          <w:rPr>
            <w:szCs w:val="24"/>
          </w:rPr>
          <w:tab/>
        </w:r>
        <w:r>
          <w:rPr>
            <w:szCs w:val="24"/>
          </w:rPr>
          <w:fldChar w:fldCharType="begin"/>
        </w:r>
        <w:r>
          <w:rPr>
            <w:szCs w:val="24"/>
          </w:rPr>
          <w:instrText xml:space="preserve"> PAGEREF _Toc162 \h </w:instrText>
        </w:r>
        <w:r>
          <w:rPr>
            <w:szCs w:val="24"/>
          </w:rPr>
        </w:r>
        <w:r>
          <w:rPr>
            <w:szCs w:val="24"/>
          </w:rPr>
          <w:fldChar w:fldCharType="separate"/>
        </w:r>
        <w:r>
          <w:rPr>
            <w:szCs w:val="24"/>
          </w:rPr>
          <w:t>260</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0779" w:history="1">
        <w:r>
          <w:rPr>
            <w:rFonts w:cs="Times New Roman"/>
            <w:szCs w:val="24"/>
          </w:rPr>
          <w:t>7.7</w:t>
        </w:r>
        <w:r>
          <w:rPr>
            <w:rFonts w:cs="Times New Roman"/>
            <w:szCs w:val="24"/>
          </w:rPr>
          <w:t>环境风险分析与评价</w:t>
        </w:r>
        <w:r>
          <w:rPr>
            <w:szCs w:val="24"/>
          </w:rPr>
          <w:tab/>
        </w:r>
        <w:r>
          <w:rPr>
            <w:szCs w:val="24"/>
          </w:rPr>
          <w:fldChar w:fldCharType="begin"/>
        </w:r>
        <w:r>
          <w:rPr>
            <w:szCs w:val="24"/>
          </w:rPr>
          <w:instrText xml:space="preserve"> PAGEREF _Toc10779 \h </w:instrText>
        </w:r>
        <w:r>
          <w:rPr>
            <w:szCs w:val="24"/>
          </w:rPr>
        </w:r>
        <w:r>
          <w:rPr>
            <w:szCs w:val="24"/>
          </w:rPr>
          <w:fldChar w:fldCharType="separate"/>
        </w:r>
        <w:r>
          <w:rPr>
            <w:szCs w:val="24"/>
          </w:rPr>
          <w:t>2</w:t>
        </w:r>
        <w:r>
          <w:rPr>
            <w:szCs w:val="24"/>
          </w:rPr>
          <w:t>61</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14654" w:history="1">
        <w:r>
          <w:rPr>
            <w:rFonts w:eastAsia="黑体" w:cs="Times New Roman" w:hint="default"/>
            <w:sz w:val="24"/>
            <w:szCs w:val="24"/>
          </w:rPr>
          <w:t>8</w:t>
        </w:r>
        <w:r>
          <w:rPr>
            <w:rFonts w:eastAsia="黑体" w:cs="Times New Roman" w:hint="default"/>
            <w:sz w:val="24"/>
            <w:szCs w:val="24"/>
          </w:rPr>
          <w:t>环境保护措施及其可行性论证</w:t>
        </w:r>
        <w:r>
          <w:rPr>
            <w:sz w:val="24"/>
            <w:szCs w:val="24"/>
          </w:rPr>
          <w:tab/>
        </w:r>
        <w:r>
          <w:rPr>
            <w:sz w:val="24"/>
            <w:szCs w:val="24"/>
          </w:rPr>
          <w:fldChar w:fldCharType="begin"/>
        </w:r>
        <w:r>
          <w:rPr>
            <w:sz w:val="24"/>
            <w:szCs w:val="24"/>
          </w:rPr>
          <w:instrText xml:space="preserve"> PAGEREF _Toc14654 \h </w:instrText>
        </w:r>
        <w:r>
          <w:rPr>
            <w:sz w:val="24"/>
            <w:szCs w:val="24"/>
          </w:rPr>
        </w:r>
        <w:r>
          <w:rPr>
            <w:sz w:val="24"/>
            <w:szCs w:val="24"/>
          </w:rPr>
          <w:fldChar w:fldCharType="separate"/>
        </w:r>
        <w:r>
          <w:rPr>
            <w:sz w:val="24"/>
            <w:szCs w:val="24"/>
          </w:rPr>
          <w:t>271</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8477" w:history="1">
        <w:r>
          <w:rPr>
            <w:rFonts w:cs="Times New Roman"/>
            <w:szCs w:val="24"/>
          </w:rPr>
          <w:t>8.1</w:t>
        </w:r>
        <w:r>
          <w:rPr>
            <w:rFonts w:cs="Times New Roman"/>
            <w:szCs w:val="24"/>
          </w:rPr>
          <w:t>生态环境保护措施</w:t>
        </w:r>
        <w:r>
          <w:rPr>
            <w:szCs w:val="24"/>
          </w:rPr>
          <w:tab/>
        </w:r>
        <w:r>
          <w:rPr>
            <w:szCs w:val="24"/>
          </w:rPr>
          <w:fldChar w:fldCharType="begin"/>
        </w:r>
        <w:r>
          <w:rPr>
            <w:szCs w:val="24"/>
          </w:rPr>
          <w:instrText xml:space="preserve"> PAGEREF _Toc8477 \h </w:instrText>
        </w:r>
        <w:r>
          <w:rPr>
            <w:szCs w:val="24"/>
          </w:rPr>
        </w:r>
        <w:r>
          <w:rPr>
            <w:szCs w:val="24"/>
          </w:rPr>
          <w:fldChar w:fldCharType="separate"/>
        </w:r>
        <w:r>
          <w:rPr>
            <w:szCs w:val="24"/>
          </w:rPr>
          <w:t>271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6856" w:history="1">
        <w:r>
          <w:rPr>
            <w:rFonts w:cs="Times New Roman"/>
            <w:szCs w:val="24"/>
          </w:rPr>
          <w:t>8.2</w:t>
        </w:r>
        <w:r>
          <w:rPr>
            <w:rFonts w:cs="Times New Roman"/>
            <w:szCs w:val="24"/>
          </w:rPr>
          <w:t>环境空气污染防治措施</w:t>
        </w:r>
        <w:r>
          <w:rPr>
            <w:szCs w:val="24"/>
          </w:rPr>
          <w:tab/>
        </w:r>
        <w:r>
          <w:rPr>
            <w:szCs w:val="24"/>
          </w:rPr>
          <w:fldChar w:fldCharType="begin"/>
        </w:r>
        <w:r>
          <w:rPr>
            <w:szCs w:val="24"/>
          </w:rPr>
          <w:instrText xml:space="preserve"> PAGEREF _Toc16856 \h </w:instrText>
        </w:r>
        <w:r>
          <w:rPr>
            <w:szCs w:val="24"/>
          </w:rPr>
        </w:r>
        <w:r>
          <w:rPr>
            <w:szCs w:val="24"/>
          </w:rPr>
          <w:fldChar w:fldCharType="separate"/>
        </w:r>
        <w:r>
          <w:rPr>
            <w:szCs w:val="24"/>
          </w:rPr>
          <w:t>283</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9985" w:history="1">
        <w:r>
          <w:rPr>
            <w:rFonts w:cs="Times New Roman"/>
            <w:szCs w:val="24"/>
          </w:rPr>
          <w:t>8.3</w:t>
        </w:r>
        <w:r>
          <w:rPr>
            <w:rFonts w:cs="Times New Roman"/>
            <w:szCs w:val="24"/>
          </w:rPr>
          <w:t>地表水环境污染</w:t>
        </w:r>
        <w:r>
          <w:rPr>
            <w:rFonts w:cs="Times New Roman"/>
            <w:szCs w:val="24"/>
          </w:rPr>
          <w:t>防治措施</w:t>
        </w:r>
        <w:r>
          <w:rPr>
            <w:szCs w:val="24"/>
          </w:rPr>
          <w:tab/>
        </w:r>
        <w:r>
          <w:rPr>
            <w:szCs w:val="24"/>
          </w:rPr>
          <w:fldChar w:fldCharType="begin"/>
        </w:r>
        <w:r>
          <w:rPr>
            <w:szCs w:val="24"/>
          </w:rPr>
          <w:instrText xml:space="preserve"> PAGEREF _Toc19985 \h </w:instrText>
        </w:r>
        <w:r>
          <w:rPr>
            <w:szCs w:val="24"/>
          </w:rPr>
        </w:r>
        <w:r>
          <w:rPr>
            <w:szCs w:val="24"/>
          </w:rPr>
          <w:fldChar w:fldCharType="separate"/>
        </w:r>
        <w:r>
          <w:rPr>
            <w:szCs w:val="24"/>
          </w:rPr>
          <w:t>287</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4295" w:history="1">
        <w:r>
          <w:rPr>
            <w:rFonts w:cs="Times New Roman"/>
            <w:szCs w:val="24"/>
          </w:rPr>
          <w:t>8.4</w:t>
        </w:r>
        <w:r>
          <w:rPr>
            <w:rFonts w:cs="Times New Roman"/>
            <w:szCs w:val="24"/>
          </w:rPr>
          <w:t>地下水环境污染防治措施</w:t>
        </w:r>
        <w:r>
          <w:rPr>
            <w:szCs w:val="24"/>
          </w:rPr>
          <w:tab/>
        </w:r>
        <w:r>
          <w:rPr>
            <w:szCs w:val="24"/>
          </w:rPr>
          <w:fldChar w:fldCharType="begin"/>
        </w:r>
        <w:r>
          <w:rPr>
            <w:szCs w:val="24"/>
          </w:rPr>
          <w:instrText xml:space="preserve"> PAGEREF _Toc14295 \h </w:instrText>
        </w:r>
        <w:r>
          <w:rPr>
            <w:szCs w:val="24"/>
          </w:rPr>
        </w:r>
        <w:r>
          <w:rPr>
            <w:szCs w:val="24"/>
          </w:rPr>
          <w:fldChar w:fldCharType="separate"/>
        </w:r>
        <w:r>
          <w:rPr>
            <w:szCs w:val="24"/>
          </w:rPr>
          <w:t>292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548" w:history="1">
        <w:r>
          <w:rPr>
            <w:rFonts w:cs="Times New Roman"/>
            <w:szCs w:val="24"/>
          </w:rPr>
          <w:t>8.5</w:t>
        </w:r>
        <w:r>
          <w:rPr>
            <w:rFonts w:cs="Times New Roman"/>
            <w:szCs w:val="24"/>
          </w:rPr>
          <w:t>噪</w:t>
        </w:r>
        <w:r>
          <w:rPr>
            <w:rFonts w:cs="Times New Roman"/>
            <w:szCs w:val="24"/>
          </w:rPr>
          <w:t>声污染防治措施</w:t>
        </w:r>
        <w:r>
          <w:rPr>
            <w:szCs w:val="24"/>
          </w:rPr>
          <w:tab/>
        </w:r>
        <w:r>
          <w:rPr>
            <w:szCs w:val="24"/>
          </w:rPr>
          <w:fldChar w:fldCharType="begin"/>
        </w:r>
        <w:r>
          <w:rPr>
            <w:szCs w:val="24"/>
          </w:rPr>
          <w:instrText xml:space="preserve"> PAGEREF _Toc548 \h </w:instrText>
        </w:r>
        <w:r>
          <w:rPr>
            <w:szCs w:val="24"/>
          </w:rPr>
        </w:r>
        <w:r>
          <w:rPr>
            <w:szCs w:val="24"/>
          </w:rPr>
          <w:fldChar w:fldCharType="separate"/>
        </w:r>
        <w:r>
          <w:rPr>
            <w:szCs w:val="24"/>
          </w:rPr>
          <w:t>292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3198" w:history="1">
        <w:r>
          <w:rPr>
            <w:rFonts w:cs="Times New Roman"/>
            <w:szCs w:val="24"/>
          </w:rPr>
          <w:t>8.6</w:t>
        </w:r>
        <w:r>
          <w:rPr>
            <w:rFonts w:cs="Times New Roman"/>
            <w:szCs w:val="24"/>
          </w:rPr>
          <w:t>固体废物处理处置措施</w:t>
        </w:r>
        <w:r>
          <w:rPr>
            <w:szCs w:val="24"/>
          </w:rPr>
          <w:tab/>
        </w:r>
        <w:r>
          <w:rPr>
            <w:szCs w:val="24"/>
          </w:rPr>
          <w:fldChar w:fldCharType="begin"/>
        </w:r>
        <w:r>
          <w:rPr>
            <w:szCs w:val="24"/>
          </w:rPr>
          <w:instrText xml:space="preserve"> PAGEREF _Toc13198 \h </w:instrText>
        </w:r>
        <w:r>
          <w:rPr>
            <w:szCs w:val="24"/>
          </w:rPr>
        </w:r>
        <w:r>
          <w:rPr>
            <w:szCs w:val="24"/>
          </w:rPr>
          <w:fldChar w:fldCharType="separate"/>
        </w:r>
        <w:r>
          <w:rPr>
            <w:szCs w:val="24"/>
          </w:rPr>
          <w:t>301</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4545" w:history="1">
        <w:r>
          <w:rPr>
            <w:rFonts w:cs="Times New Roman"/>
            <w:szCs w:val="24"/>
          </w:rPr>
          <w:t>8.7</w:t>
        </w:r>
        <w:r>
          <w:rPr>
            <w:rFonts w:cs="Times New Roman"/>
            <w:szCs w:val="24"/>
          </w:rPr>
          <w:t>环保投资估算</w:t>
        </w:r>
        <w:r>
          <w:rPr>
            <w:szCs w:val="24"/>
          </w:rPr>
          <w:tab/>
        </w:r>
        <w:r>
          <w:rPr>
            <w:szCs w:val="24"/>
          </w:rPr>
          <w:fldChar w:fldCharType="begin"/>
        </w:r>
        <w:r>
          <w:rPr>
            <w:szCs w:val="24"/>
          </w:rPr>
          <w:instrText xml:space="preserve"> PAGEREF _Toc14545 \h </w:instrText>
        </w:r>
        <w:r>
          <w:rPr>
            <w:szCs w:val="24"/>
          </w:rPr>
        </w:r>
        <w:r>
          <w:rPr>
            <w:szCs w:val="24"/>
          </w:rPr>
          <w:fldChar w:fldCharType="separate"/>
        </w:r>
        <w:r>
          <w:rPr>
            <w:szCs w:val="24"/>
          </w:rPr>
          <w:t>302</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15670" w:history="1">
        <w:r>
          <w:rPr>
            <w:rFonts w:eastAsia="黑体" w:cs="Times New Roman" w:hint="default"/>
            <w:sz w:val="24"/>
            <w:szCs w:val="24"/>
          </w:rPr>
          <w:t>9</w:t>
        </w:r>
        <w:r>
          <w:rPr>
            <w:rFonts w:eastAsia="黑体" w:cs="Times New Roman" w:hint="default"/>
            <w:sz w:val="24"/>
            <w:szCs w:val="24"/>
          </w:rPr>
          <w:t>环境影响经济损益分析</w:t>
        </w:r>
        <w:r>
          <w:rPr>
            <w:sz w:val="24"/>
            <w:szCs w:val="24"/>
          </w:rPr>
          <w:tab/>
        </w:r>
        <w:r>
          <w:rPr>
            <w:sz w:val="24"/>
            <w:szCs w:val="24"/>
          </w:rPr>
          <w:fldChar w:fldCharType="begin"/>
        </w:r>
        <w:r>
          <w:rPr>
            <w:sz w:val="24"/>
            <w:szCs w:val="24"/>
          </w:rPr>
          <w:instrText xml:space="preserve"> PAGEREF _Toc15670 \h </w:instrText>
        </w:r>
        <w:r>
          <w:rPr>
            <w:sz w:val="24"/>
            <w:szCs w:val="24"/>
          </w:rPr>
        </w:r>
        <w:r>
          <w:rPr>
            <w:sz w:val="24"/>
            <w:szCs w:val="24"/>
          </w:rPr>
          <w:fldChar w:fldCharType="separate"/>
        </w:r>
        <w:r>
          <w:rPr>
            <w:sz w:val="24"/>
            <w:szCs w:val="24"/>
          </w:rPr>
          <w:t>304</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4460" w:history="1">
        <w:r>
          <w:rPr>
            <w:rFonts w:cs="Times New Roman"/>
            <w:szCs w:val="24"/>
          </w:rPr>
          <w:t>9.1</w:t>
        </w:r>
        <w:r>
          <w:rPr>
            <w:rFonts w:cs="Times New Roman"/>
            <w:szCs w:val="24"/>
          </w:rPr>
          <w:t>经济效益分析</w:t>
        </w:r>
        <w:r>
          <w:rPr>
            <w:szCs w:val="24"/>
          </w:rPr>
          <w:tab/>
        </w:r>
        <w:r>
          <w:rPr>
            <w:szCs w:val="24"/>
          </w:rPr>
          <w:fldChar w:fldCharType="begin"/>
        </w:r>
        <w:r>
          <w:rPr>
            <w:szCs w:val="24"/>
          </w:rPr>
          <w:instrText xml:space="preserve"> PAGEREF _Toc4460 \h </w:instrText>
        </w:r>
        <w:r>
          <w:rPr>
            <w:szCs w:val="24"/>
          </w:rPr>
        </w:r>
        <w:r>
          <w:rPr>
            <w:szCs w:val="24"/>
          </w:rPr>
          <w:fldChar w:fldCharType="separate"/>
        </w:r>
        <w:r>
          <w:rPr>
            <w:szCs w:val="24"/>
          </w:rPr>
          <w:t>304</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2222" w:history="1">
        <w:r>
          <w:rPr>
            <w:rFonts w:cs="Times New Roman"/>
            <w:szCs w:val="24"/>
          </w:rPr>
          <w:t>9.2</w:t>
        </w:r>
        <w:r>
          <w:rPr>
            <w:rFonts w:cs="Times New Roman"/>
            <w:szCs w:val="24"/>
          </w:rPr>
          <w:t>社会效益分析</w:t>
        </w:r>
        <w:r>
          <w:rPr>
            <w:szCs w:val="24"/>
          </w:rPr>
          <w:tab/>
        </w:r>
        <w:r>
          <w:rPr>
            <w:szCs w:val="24"/>
          </w:rPr>
          <w:fldChar w:fldCharType="begin"/>
        </w:r>
        <w:r>
          <w:rPr>
            <w:szCs w:val="24"/>
          </w:rPr>
          <w:instrText xml:space="preserve"> PAGEREF _Toc22222 \h </w:instrText>
        </w:r>
        <w:r>
          <w:rPr>
            <w:szCs w:val="24"/>
          </w:rPr>
        </w:r>
        <w:r>
          <w:rPr>
            <w:szCs w:val="24"/>
          </w:rPr>
          <w:fldChar w:fldCharType="separate"/>
        </w:r>
        <w:r>
          <w:rPr>
            <w:szCs w:val="24"/>
          </w:rPr>
          <w:t>305</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9977" w:history="1">
        <w:r>
          <w:rPr>
            <w:rFonts w:cs="Times New Roman"/>
            <w:szCs w:val="24"/>
          </w:rPr>
          <w:t>9.3</w:t>
        </w:r>
        <w:r>
          <w:rPr>
            <w:rFonts w:cs="Times New Roman"/>
            <w:szCs w:val="24"/>
          </w:rPr>
          <w:t>环境效益分</w:t>
        </w:r>
        <w:r>
          <w:rPr>
            <w:rFonts w:cs="Times New Roman"/>
            <w:szCs w:val="24"/>
          </w:rPr>
          <w:t>析</w:t>
        </w:r>
        <w:r>
          <w:rPr>
            <w:szCs w:val="24"/>
          </w:rPr>
          <w:tab/>
        </w:r>
        <w:r>
          <w:rPr>
            <w:szCs w:val="24"/>
          </w:rPr>
          <w:fldChar w:fldCharType="begin"/>
        </w:r>
        <w:r>
          <w:rPr>
            <w:szCs w:val="24"/>
          </w:rPr>
          <w:instrText xml:space="preserve"> PAGEREF _Toc19977 \h </w:instrText>
        </w:r>
        <w:r>
          <w:rPr>
            <w:szCs w:val="24"/>
          </w:rPr>
        </w:r>
        <w:r>
          <w:rPr>
            <w:szCs w:val="24"/>
          </w:rPr>
          <w:fldChar w:fldCharType="separate"/>
        </w:r>
        <w:r>
          <w:rPr>
            <w:szCs w:val="24"/>
          </w:rPr>
          <w:t>306</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10721" w:history="1">
        <w:r>
          <w:rPr>
            <w:rFonts w:eastAsia="黑体" w:cs="Times New Roman" w:hint="default"/>
            <w:sz w:val="24"/>
            <w:szCs w:val="24"/>
          </w:rPr>
          <w:t>10</w:t>
        </w:r>
        <w:r>
          <w:rPr>
            <w:rFonts w:eastAsia="黑体" w:cs="Times New Roman" w:hint="default"/>
            <w:sz w:val="24"/>
            <w:szCs w:val="24"/>
          </w:rPr>
          <w:t>环境管理及环境监测计划</w:t>
        </w:r>
        <w:r>
          <w:rPr>
            <w:sz w:val="24"/>
            <w:szCs w:val="24"/>
          </w:rPr>
          <w:tab/>
        </w:r>
        <w:r>
          <w:rPr>
            <w:sz w:val="24"/>
            <w:szCs w:val="24"/>
          </w:rPr>
          <w:fldChar w:fldCharType="begin"/>
        </w:r>
        <w:r>
          <w:rPr>
            <w:sz w:val="24"/>
            <w:szCs w:val="24"/>
          </w:rPr>
          <w:instrText xml:space="preserve"> PAGEREF _Toc10721 \h </w:instrText>
        </w:r>
        <w:r>
          <w:rPr>
            <w:sz w:val="24"/>
            <w:szCs w:val="24"/>
          </w:rPr>
        </w:r>
        <w:r>
          <w:rPr>
            <w:sz w:val="24"/>
            <w:szCs w:val="24"/>
          </w:rPr>
          <w:fldChar w:fldCharType="separate"/>
        </w:r>
        <w:r>
          <w:rPr>
            <w:sz w:val="24"/>
            <w:szCs w:val="24"/>
          </w:rPr>
          <w:t>309</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19119" w:history="1">
        <w:r>
          <w:rPr>
            <w:rFonts w:cs="Times New Roman"/>
            <w:szCs w:val="24"/>
          </w:rPr>
          <w:t>10.1</w:t>
        </w:r>
        <w:r>
          <w:rPr>
            <w:rFonts w:cs="Times New Roman"/>
            <w:szCs w:val="24"/>
          </w:rPr>
          <w:t>环境管理计划</w:t>
        </w:r>
        <w:r>
          <w:rPr>
            <w:szCs w:val="24"/>
          </w:rPr>
          <w:tab/>
        </w:r>
        <w:r>
          <w:rPr>
            <w:szCs w:val="24"/>
          </w:rPr>
          <w:fldChar w:fldCharType="begin"/>
        </w:r>
        <w:r>
          <w:rPr>
            <w:szCs w:val="24"/>
          </w:rPr>
          <w:instrText xml:space="preserve"> PAGEREF _Toc19119 \h </w:instrText>
        </w:r>
        <w:r>
          <w:rPr>
            <w:szCs w:val="24"/>
          </w:rPr>
        </w:r>
        <w:r>
          <w:rPr>
            <w:szCs w:val="24"/>
          </w:rPr>
          <w:fldChar w:fldCharType="separate"/>
        </w:r>
        <w:r>
          <w:rPr>
            <w:szCs w:val="24"/>
          </w:rPr>
          <w:t>309</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8313" w:history="1">
        <w:r>
          <w:rPr>
            <w:rFonts w:cs="Times New Roman"/>
            <w:szCs w:val="24"/>
          </w:rPr>
          <w:t>10.2</w:t>
        </w:r>
        <w:r>
          <w:rPr>
            <w:rFonts w:cs="Times New Roman"/>
            <w:szCs w:val="24"/>
          </w:rPr>
          <w:t>环境监测计划</w:t>
        </w:r>
        <w:r>
          <w:rPr>
            <w:szCs w:val="24"/>
          </w:rPr>
          <w:tab/>
        </w:r>
        <w:r>
          <w:rPr>
            <w:szCs w:val="24"/>
          </w:rPr>
          <w:fldChar w:fldCharType="begin"/>
        </w:r>
        <w:r>
          <w:rPr>
            <w:szCs w:val="24"/>
          </w:rPr>
          <w:instrText xml:space="preserve"> PAGEREF _Toc8313 \h </w:instrText>
        </w:r>
        <w:r>
          <w:rPr>
            <w:szCs w:val="24"/>
          </w:rPr>
        </w:r>
        <w:r>
          <w:rPr>
            <w:szCs w:val="24"/>
          </w:rPr>
          <w:fldChar w:fldCharType="separate"/>
        </w:r>
        <w:r>
          <w:rPr>
            <w:szCs w:val="24"/>
          </w:rPr>
          <w:t>312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4059" w:history="1">
        <w:r>
          <w:rPr>
            <w:rFonts w:cs="Times New Roman"/>
            <w:szCs w:val="24"/>
          </w:rPr>
          <w:t>10.3</w:t>
        </w:r>
        <w:r>
          <w:rPr>
            <w:rFonts w:cs="Times New Roman"/>
            <w:szCs w:val="24"/>
          </w:rPr>
          <w:t>项目竣工环保验收</w:t>
        </w:r>
        <w:r>
          <w:rPr>
            <w:szCs w:val="24"/>
          </w:rPr>
          <w:tab/>
        </w:r>
        <w:r>
          <w:rPr>
            <w:szCs w:val="24"/>
          </w:rPr>
          <w:fldChar w:fldCharType="begin"/>
        </w:r>
        <w:r>
          <w:rPr>
            <w:szCs w:val="24"/>
          </w:rPr>
          <w:instrText xml:space="preserve"> PAGEREF _Toc14059 \h </w:instrText>
        </w:r>
        <w:r>
          <w:rPr>
            <w:szCs w:val="24"/>
          </w:rPr>
        </w:r>
        <w:r>
          <w:rPr>
            <w:szCs w:val="24"/>
          </w:rPr>
          <w:fldChar w:fldCharType="separate"/>
        </w:r>
        <w:r>
          <w:rPr>
            <w:szCs w:val="24"/>
          </w:rPr>
          <w:t>320</w:t>
        </w:r>
        <w:r>
          <w:rPr>
            <w:szCs w:val="24"/>
          </w:rPr>
          <w:fldChar w:fldCharType="end"/>
        </w:r>
      </w:hyperlink>
    </w:p>
    <w:p w:rsidR="00A46452" w:rsidRDefault="009A3928">
      <w:pPr>
        <w:pStyle w:val="10"/>
        <w:tabs>
          <w:tab w:val="clear" w:pos="8296"/>
          <w:tab w:val="right" w:leader="dot" w:pos="8306"/>
        </w:tabs>
        <w:rPr>
          <w:rFonts w:hint="default"/>
          <w:sz w:val="24"/>
          <w:szCs w:val="24"/>
        </w:rPr>
      </w:pPr>
      <w:hyperlink w:anchor="_Toc10965" w:history="1">
        <w:r>
          <w:rPr>
            <w:rFonts w:eastAsia="黑体" w:cs="Times New Roman" w:hint="default"/>
            <w:sz w:val="24"/>
            <w:szCs w:val="24"/>
          </w:rPr>
          <w:t>11</w:t>
        </w:r>
        <w:r>
          <w:rPr>
            <w:rFonts w:eastAsia="黑体" w:cs="Times New Roman" w:hint="default"/>
            <w:sz w:val="24"/>
            <w:szCs w:val="24"/>
          </w:rPr>
          <w:t>环境影响评价结论</w:t>
        </w:r>
        <w:r>
          <w:rPr>
            <w:sz w:val="24"/>
            <w:szCs w:val="24"/>
          </w:rPr>
          <w:tab/>
        </w:r>
        <w:r>
          <w:rPr>
            <w:sz w:val="24"/>
            <w:szCs w:val="24"/>
          </w:rPr>
          <w:fldChar w:fldCharType="begin"/>
        </w:r>
        <w:r>
          <w:rPr>
            <w:sz w:val="24"/>
            <w:szCs w:val="24"/>
          </w:rPr>
          <w:instrText xml:space="preserve"> PAGEREF _Toc10965 \h </w:instrText>
        </w:r>
        <w:r>
          <w:rPr>
            <w:sz w:val="24"/>
            <w:szCs w:val="24"/>
          </w:rPr>
        </w:r>
        <w:r>
          <w:rPr>
            <w:sz w:val="24"/>
            <w:szCs w:val="24"/>
          </w:rPr>
          <w:fldChar w:fldCharType="separate"/>
        </w:r>
        <w:r>
          <w:rPr>
            <w:sz w:val="24"/>
            <w:szCs w:val="24"/>
          </w:rPr>
          <w:t>322</w:t>
        </w:r>
        <w:r>
          <w:rPr>
            <w:sz w:val="24"/>
            <w:szCs w:val="24"/>
          </w:rPr>
          <w:fldChar w:fldCharType="end"/>
        </w:r>
      </w:hyperlink>
    </w:p>
    <w:p w:rsidR="00A46452" w:rsidRDefault="009A3928" w:rsidP="00182EED">
      <w:pPr>
        <w:pStyle w:val="24"/>
        <w:tabs>
          <w:tab w:val="clear" w:pos="8296"/>
          <w:tab w:val="right" w:leader="dot" w:pos="8306"/>
        </w:tabs>
        <w:ind w:firstLine="480"/>
        <w:rPr>
          <w:szCs w:val="24"/>
        </w:rPr>
      </w:pPr>
      <w:hyperlink w:anchor="_Toc27974" w:history="1">
        <w:r>
          <w:rPr>
            <w:rFonts w:cs="Times New Roman"/>
            <w:szCs w:val="24"/>
          </w:rPr>
          <w:t>11.1</w:t>
        </w:r>
        <w:r>
          <w:rPr>
            <w:rFonts w:cs="Times New Roman"/>
            <w:szCs w:val="24"/>
          </w:rPr>
          <w:t>项目概况</w:t>
        </w:r>
        <w:r>
          <w:rPr>
            <w:szCs w:val="24"/>
          </w:rPr>
          <w:tab/>
        </w:r>
        <w:r>
          <w:rPr>
            <w:szCs w:val="24"/>
          </w:rPr>
          <w:fldChar w:fldCharType="begin"/>
        </w:r>
        <w:r>
          <w:rPr>
            <w:szCs w:val="24"/>
          </w:rPr>
          <w:instrText xml:space="preserve"> PAGEREF _Toc27974 \h </w:instrText>
        </w:r>
        <w:r>
          <w:rPr>
            <w:szCs w:val="24"/>
          </w:rPr>
        </w:r>
        <w:r>
          <w:rPr>
            <w:szCs w:val="24"/>
          </w:rPr>
          <w:fldChar w:fldCharType="separate"/>
        </w:r>
        <w:r>
          <w:rPr>
            <w:szCs w:val="24"/>
          </w:rPr>
          <w:t>322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16279" w:history="1">
        <w:r>
          <w:rPr>
            <w:rFonts w:cs="Times New Roman"/>
            <w:szCs w:val="24"/>
          </w:rPr>
          <w:t>11.2</w:t>
        </w:r>
        <w:r>
          <w:rPr>
            <w:rFonts w:cs="Times New Roman"/>
            <w:szCs w:val="24"/>
          </w:rPr>
          <w:t>环境现状</w:t>
        </w:r>
        <w:r>
          <w:rPr>
            <w:szCs w:val="24"/>
          </w:rPr>
          <w:tab/>
        </w:r>
        <w:r>
          <w:rPr>
            <w:szCs w:val="24"/>
          </w:rPr>
          <w:fldChar w:fldCharType="begin"/>
        </w:r>
        <w:r>
          <w:rPr>
            <w:szCs w:val="24"/>
          </w:rPr>
          <w:instrText xml:space="preserve"> PAGEREF _Toc16279 \h </w:instrText>
        </w:r>
        <w:r>
          <w:rPr>
            <w:szCs w:val="24"/>
          </w:rPr>
        </w:r>
        <w:r>
          <w:rPr>
            <w:szCs w:val="24"/>
          </w:rPr>
          <w:fldChar w:fldCharType="separate"/>
        </w:r>
        <w:r>
          <w:rPr>
            <w:szCs w:val="24"/>
          </w:rPr>
          <w:t>322</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4366" w:history="1">
        <w:r>
          <w:rPr>
            <w:rFonts w:cs="Times New Roman"/>
            <w:szCs w:val="24"/>
          </w:rPr>
          <w:t>11.3</w:t>
        </w:r>
        <w:r>
          <w:rPr>
            <w:rFonts w:cs="Times New Roman"/>
            <w:szCs w:val="24"/>
          </w:rPr>
          <w:t>主要环境影响和保护措施</w:t>
        </w:r>
        <w:r>
          <w:rPr>
            <w:szCs w:val="24"/>
          </w:rPr>
          <w:tab/>
        </w:r>
        <w:r>
          <w:rPr>
            <w:szCs w:val="24"/>
          </w:rPr>
          <w:fldChar w:fldCharType="begin"/>
        </w:r>
        <w:r>
          <w:rPr>
            <w:szCs w:val="24"/>
          </w:rPr>
          <w:instrText xml:space="preserve"> PAGEREF _Toc24366 \h </w:instrText>
        </w:r>
        <w:r>
          <w:rPr>
            <w:szCs w:val="24"/>
          </w:rPr>
        </w:r>
        <w:r>
          <w:rPr>
            <w:szCs w:val="24"/>
          </w:rPr>
          <w:fldChar w:fldCharType="separate"/>
        </w:r>
        <w:r>
          <w:rPr>
            <w:szCs w:val="24"/>
          </w:rPr>
          <w:t>324</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21115" w:history="1">
        <w:r>
          <w:rPr>
            <w:rFonts w:cs="Times New Roman"/>
            <w:szCs w:val="24"/>
          </w:rPr>
          <w:t>11.4</w:t>
        </w:r>
        <w:r>
          <w:rPr>
            <w:rFonts w:cs="Times New Roman"/>
            <w:szCs w:val="24"/>
          </w:rPr>
          <w:t>环境风险</w:t>
        </w:r>
        <w:r>
          <w:rPr>
            <w:szCs w:val="24"/>
          </w:rPr>
          <w:tab/>
        </w:r>
        <w:r>
          <w:rPr>
            <w:szCs w:val="24"/>
          </w:rPr>
          <w:fldChar w:fldCharType="begin"/>
        </w:r>
        <w:r>
          <w:rPr>
            <w:szCs w:val="24"/>
          </w:rPr>
          <w:instrText xml:space="preserve"> PAGEREF _Toc21115 \h </w:instrText>
        </w:r>
        <w:r>
          <w:rPr>
            <w:szCs w:val="24"/>
          </w:rPr>
        </w:r>
        <w:r>
          <w:rPr>
            <w:szCs w:val="24"/>
          </w:rPr>
          <w:fldChar w:fldCharType="separate"/>
        </w:r>
        <w:r>
          <w:rPr>
            <w:szCs w:val="24"/>
          </w:rPr>
          <w:t>327</w:t>
        </w:r>
        <w:r>
          <w:rPr>
            <w:szCs w:val="24"/>
          </w:rPr>
          <w:fldChar w:fldCharType="end"/>
        </w:r>
      </w:hyperlink>
    </w:p>
    <w:p w:rsidR="00A46452" w:rsidRDefault="009A3928" w:rsidP="00182EED">
      <w:pPr>
        <w:pStyle w:val="24"/>
        <w:tabs>
          <w:tab w:val="clear" w:pos="8296"/>
          <w:tab w:val="right" w:leader="dot" w:pos="8306"/>
        </w:tabs>
        <w:ind w:firstLine="480"/>
        <w:rPr>
          <w:szCs w:val="24"/>
        </w:rPr>
      </w:pPr>
      <w:hyperlink w:anchor="_Toc329" w:history="1">
        <w:r>
          <w:rPr>
            <w:rFonts w:cs="Times New Roman"/>
            <w:szCs w:val="24"/>
          </w:rPr>
          <w:t>11.5</w:t>
        </w:r>
        <w:r>
          <w:rPr>
            <w:rFonts w:cs="Times New Roman"/>
            <w:szCs w:val="24"/>
          </w:rPr>
          <w:t>公众参与</w:t>
        </w:r>
        <w:r>
          <w:rPr>
            <w:szCs w:val="24"/>
          </w:rPr>
          <w:tab/>
        </w:r>
        <w:r>
          <w:rPr>
            <w:szCs w:val="24"/>
          </w:rPr>
          <w:fldChar w:fldCharType="begin"/>
        </w:r>
        <w:r>
          <w:rPr>
            <w:szCs w:val="24"/>
          </w:rPr>
          <w:instrText xml:space="preserve"> PAGEREF _Toc329 \h </w:instrText>
        </w:r>
        <w:r>
          <w:rPr>
            <w:szCs w:val="24"/>
          </w:rPr>
        </w:r>
        <w:r>
          <w:rPr>
            <w:szCs w:val="24"/>
          </w:rPr>
          <w:fldChar w:fldCharType="separate"/>
        </w:r>
        <w:r>
          <w:rPr>
            <w:szCs w:val="24"/>
          </w:rPr>
          <w:t>327</w:t>
        </w:r>
        <w:r>
          <w:rPr>
            <w:szCs w:val="24"/>
          </w:rPr>
          <w:fldChar w:fldCharType="end"/>
        </w:r>
      </w:hyperlink>
    </w:p>
    <w:p w:rsidR="00A46452" w:rsidRDefault="009A3928" w:rsidP="00182EED">
      <w:pPr>
        <w:pStyle w:val="24"/>
        <w:tabs>
          <w:tab w:val="clear" w:pos="8296"/>
          <w:tab w:val="right" w:leader="dot" w:pos="8306"/>
        </w:tabs>
        <w:ind w:firstLine="480"/>
        <w:jc w:val="center"/>
        <w:rPr>
          <w:szCs w:val="24"/>
        </w:rPr>
      </w:pPr>
      <w:hyperlink w:anchor="_Toc7659" w:history="1">
        <w:r>
          <w:rPr>
            <w:rFonts w:cs="Times New Roman"/>
            <w:szCs w:val="24"/>
          </w:rPr>
          <w:t>11.6</w:t>
        </w:r>
        <w:r>
          <w:rPr>
            <w:rFonts w:cs="Times New Roman"/>
            <w:szCs w:val="24"/>
          </w:rPr>
          <w:t>环保投资</w:t>
        </w:r>
        <w:r>
          <w:rPr>
            <w:szCs w:val="24"/>
          </w:rPr>
          <w:tab/>
        </w:r>
        <w:r>
          <w:rPr>
            <w:szCs w:val="24"/>
          </w:rPr>
          <w:fldChar w:fldCharType="begin"/>
        </w:r>
        <w:r>
          <w:rPr>
            <w:szCs w:val="24"/>
          </w:rPr>
          <w:instrText xml:space="preserve"> PAGEREF _Toc7659 \h </w:instrText>
        </w:r>
        <w:r>
          <w:rPr>
            <w:szCs w:val="24"/>
          </w:rPr>
        </w:r>
        <w:r>
          <w:rPr>
            <w:szCs w:val="24"/>
          </w:rPr>
          <w:fldChar w:fldCharType="separate"/>
        </w:r>
        <w:r>
          <w:rPr>
            <w:szCs w:val="24"/>
          </w:rPr>
          <w:t>327</w:t>
        </w:r>
        <w:r>
          <w:rPr>
            <w:szCs w:val="24"/>
          </w:rPr>
          <w:fldChar w:fldCharType="end"/>
        </w:r>
      </w:hyperlink>
    </w:p>
    <w:p w:rsidR="00A46452" w:rsidRDefault="009A3928">
      <w:pPr>
        <w:pStyle w:val="afffffffffffffffffff9"/>
        <w:tabs>
          <w:tab w:val="right" w:leader="dot" w:pos="8296"/>
        </w:tabs>
        <w:wordWrap w:val="0"/>
        <w:topLinePunct/>
        <w:spacing w:line="520" w:lineRule="exact"/>
        <w:ind w:firstLineChars="0" w:firstLine="0"/>
        <w:outlineLvl w:val="0"/>
        <w:rPr>
          <w:rStyle w:val="afff"/>
          <w:rFonts w:ascii="Times New Roman" w:hAnsi="Times New Roman" w:cs="Times New Roman" w:hint="default"/>
          <w:color w:val="auto"/>
          <w:sz w:val="24"/>
        </w:rPr>
      </w:pPr>
      <w:r>
        <w:rPr>
          <w:rStyle w:val="afff"/>
          <w:rFonts w:ascii="Times New Roman" w:hAnsi="Times New Roman" w:cs="Times New Roman" w:hint="default"/>
          <w:color w:val="auto"/>
          <w:sz w:val="24"/>
        </w:rPr>
        <w:fldChar w:fldCharType="end"/>
      </w:r>
      <w:bookmarkStart w:id="28" w:name="_Toc19679"/>
    </w:p>
    <w:bookmarkEnd w:id="28"/>
    <w:p w:rsidR="00A46452" w:rsidRDefault="00A46452">
      <w:pPr>
        <w:wordWrap w:val="0"/>
        <w:topLinePunct/>
        <w:adjustRightInd w:val="0"/>
        <w:snapToGrid w:val="0"/>
        <w:spacing w:line="440" w:lineRule="exact"/>
        <w:ind w:firstLineChars="0" w:firstLine="0"/>
        <w:rPr>
          <w:rFonts w:cs="Times New Roman"/>
        </w:rPr>
        <w:sectPr w:rsidR="00A46452">
          <w:footerReference w:type="default" r:id="rId12"/>
          <w:pgSz w:w="11906" w:h="16838"/>
          <w:pgMar w:top="1440" w:right="1800" w:bottom="1440" w:left="1800" w:header="851" w:footer="992" w:gutter="0"/>
          <w:pgNumType w:fmt="upperRoman" w:start="1"/>
          <w:cols w:space="425"/>
          <w:docGrid w:type="lines" w:linePitch="312"/>
        </w:sectPr>
      </w:pPr>
    </w:p>
    <w:p w:rsidR="00A46452" w:rsidRDefault="009A3928">
      <w:pPr>
        <w:pStyle w:val="1"/>
        <w:wordWrap w:val="0"/>
        <w:topLinePunct/>
        <w:adjustRightInd w:val="0"/>
        <w:snapToGrid w:val="0"/>
        <w:jc w:val="left"/>
        <w:rPr>
          <w:rFonts w:eastAsia="黑体" w:cs="Times New Roman" w:hint="default"/>
          <w:sz w:val="32"/>
          <w:szCs w:val="32"/>
        </w:rPr>
      </w:pPr>
      <w:bookmarkStart w:id="29" w:name="_Toc8278"/>
      <w:bookmarkStart w:id="30" w:name="_Toc5179"/>
      <w:r>
        <w:rPr>
          <w:rFonts w:eastAsia="黑体" w:cs="Times New Roman" w:hint="default"/>
          <w:sz w:val="32"/>
          <w:szCs w:val="32"/>
        </w:rPr>
        <w:lastRenderedPageBreak/>
        <w:t>1</w:t>
      </w:r>
      <w:r>
        <w:rPr>
          <w:rFonts w:eastAsia="黑体" w:cs="Times New Roman" w:hint="default"/>
          <w:sz w:val="32"/>
          <w:szCs w:val="32"/>
        </w:rPr>
        <w:t>概述</w:t>
      </w:r>
      <w:bookmarkEnd w:id="29"/>
      <w:bookmarkEnd w:id="30"/>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rPr>
      </w:pPr>
      <w:bookmarkStart w:id="31" w:name="_Toc762"/>
      <w:bookmarkStart w:id="32" w:name="_Toc13872"/>
      <w:bookmarkStart w:id="33" w:name="_Toc4202"/>
      <w:bookmarkStart w:id="34" w:name="_Toc2903"/>
      <w:bookmarkStart w:id="35" w:name="_Toc12996"/>
      <w:r>
        <w:rPr>
          <w:rFonts w:cs="Times New Roman" w:hint="default"/>
          <w:sz w:val="30"/>
          <w:szCs w:val="30"/>
        </w:rPr>
        <w:t>1.1</w:t>
      </w:r>
      <w:r>
        <w:rPr>
          <w:rFonts w:cs="Times New Roman" w:hint="default"/>
          <w:sz w:val="30"/>
          <w:szCs w:val="30"/>
        </w:rPr>
        <w:t>项目</w:t>
      </w:r>
      <w:bookmarkEnd w:id="31"/>
      <w:r>
        <w:rPr>
          <w:rFonts w:cs="Times New Roman" w:hint="default"/>
          <w:sz w:val="30"/>
          <w:szCs w:val="30"/>
        </w:rPr>
        <w:t>背景</w:t>
      </w:r>
      <w:bookmarkEnd w:id="32"/>
      <w:bookmarkEnd w:id="33"/>
      <w:bookmarkEnd w:id="34"/>
      <w:bookmarkEnd w:id="35"/>
    </w:p>
    <w:p w:rsidR="00A46452" w:rsidRDefault="009A3928">
      <w:pPr>
        <w:wordWrap w:val="0"/>
        <w:topLinePunct/>
        <w:adjustRightInd w:val="0"/>
        <w:snapToGrid w:val="0"/>
        <w:ind w:firstLine="480"/>
        <w:rPr>
          <w:rFonts w:cs="Times New Roman"/>
        </w:rPr>
      </w:pPr>
      <w:r>
        <w:rPr>
          <w:rFonts w:cs="Times New Roman"/>
        </w:rPr>
        <w:t>第三师图木舒克市</w:t>
      </w:r>
      <w:r>
        <w:rPr>
          <w:rFonts w:cs="Times New Roman"/>
        </w:rPr>
        <w:t>-</w:t>
      </w:r>
      <w:r>
        <w:rPr>
          <w:rFonts w:cs="Times New Roman"/>
        </w:rPr>
        <w:t>柯坪县</w:t>
      </w:r>
      <w:r>
        <w:rPr>
          <w:rFonts w:cs="Times New Roman"/>
        </w:rPr>
        <w:t>-</w:t>
      </w:r>
      <w:r>
        <w:rPr>
          <w:rFonts w:cs="Times New Roman"/>
        </w:rPr>
        <w:t>乌什县（图木舒克</w:t>
      </w:r>
      <w:r>
        <w:rPr>
          <w:rFonts w:cs="Times New Roman"/>
        </w:rPr>
        <w:t>-</w:t>
      </w:r>
      <w:r>
        <w:rPr>
          <w:rFonts w:cs="Times New Roman"/>
        </w:rPr>
        <w:t>柯坪段）公路</w:t>
      </w:r>
      <w:r>
        <w:rPr>
          <w:rFonts w:cs="Times New Roman"/>
        </w:rPr>
        <w:t>是兵团省道网规划</w:t>
      </w:r>
      <w:r>
        <w:rPr>
          <w:rFonts w:cs="Times New Roman"/>
        </w:rPr>
        <w:t>S308</w:t>
      </w:r>
      <w:r>
        <w:rPr>
          <w:rFonts w:cs="Times New Roman"/>
        </w:rPr>
        <w:t>线的重要组成部分</w:t>
      </w:r>
      <w:r>
        <w:rPr>
          <w:rFonts w:cs="Times New Roman"/>
        </w:rPr>
        <w:t>，</w:t>
      </w:r>
      <w:r>
        <w:rPr>
          <w:rFonts w:cs="Times New Roman"/>
        </w:rPr>
        <w:t>也是南疆南北大通道：别迭里口岸</w:t>
      </w:r>
      <w:r>
        <w:rPr>
          <w:rFonts w:cs="Times New Roman"/>
        </w:rPr>
        <w:t>-</w:t>
      </w:r>
      <w:r>
        <w:rPr>
          <w:rFonts w:cs="Times New Roman"/>
        </w:rPr>
        <w:t>乌什县（</w:t>
      </w:r>
      <w:r>
        <w:rPr>
          <w:rFonts w:cs="Times New Roman"/>
        </w:rPr>
        <w:t>G219</w:t>
      </w:r>
      <w:r>
        <w:rPr>
          <w:rFonts w:cs="Times New Roman"/>
        </w:rPr>
        <w:t>）</w:t>
      </w:r>
      <w:r>
        <w:rPr>
          <w:rFonts w:cs="Times New Roman"/>
        </w:rPr>
        <w:t>-</w:t>
      </w:r>
      <w:r>
        <w:rPr>
          <w:rFonts w:cs="Times New Roman"/>
        </w:rPr>
        <w:t>阿克苏地区柯坪县（</w:t>
      </w:r>
      <w:r>
        <w:rPr>
          <w:rFonts w:cs="Times New Roman"/>
        </w:rPr>
        <w:t>G3012</w:t>
      </w:r>
      <w:r>
        <w:rPr>
          <w:rFonts w:cs="Times New Roman"/>
        </w:rPr>
        <w:t>、</w:t>
      </w:r>
      <w:r>
        <w:rPr>
          <w:rFonts w:cs="Times New Roman"/>
        </w:rPr>
        <w:t>G314</w:t>
      </w:r>
      <w:r>
        <w:rPr>
          <w:rFonts w:cs="Times New Roman"/>
        </w:rPr>
        <w:t>）</w:t>
      </w:r>
      <w:r>
        <w:rPr>
          <w:rFonts w:cs="Times New Roman"/>
        </w:rPr>
        <w:t>-</w:t>
      </w:r>
      <w:r>
        <w:rPr>
          <w:rFonts w:cs="Times New Roman"/>
        </w:rPr>
        <w:t>第三师图木舒克市（</w:t>
      </w:r>
      <w:r>
        <w:rPr>
          <w:rFonts w:cs="Times New Roman"/>
        </w:rPr>
        <w:t>G217</w:t>
      </w:r>
      <w:r>
        <w:rPr>
          <w:rFonts w:cs="Times New Roman"/>
        </w:rPr>
        <w:t>）</w:t>
      </w:r>
      <w:r>
        <w:rPr>
          <w:rFonts w:cs="Times New Roman"/>
        </w:rPr>
        <w:t>-</w:t>
      </w:r>
      <w:r>
        <w:rPr>
          <w:rFonts w:cs="Times New Roman"/>
        </w:rPr>
        <w:t>第十四师昆玉市、</w:t>
      </w:r>
      <w:r>
        <w:rPr>
          <w:rFonts w:cs="Times New Roman"/>
        </w:rPr>
        <w:t>224</w:t>
      </w:r>
      <w:r>
        <w:rPr>
          <w:rFonts w:cs="Times New Roman"/>
        </w:rPr>
        <w:t>团（</w:t>
      </w:r>
      <w:r>
        <w:rPr>
          <w:rFonts w:cs="Times New Roman"/>
        </w:rPr>
        <w:t>G315</w:t>
      </w:r>
      <w:r>
        <w:rPr>
          <w:rFonts w:cs="Times New Roman"/>
        </w:rPr>
        <w:t>、</w:t>
      </w:r>
      <w:r>
        <w:rPr>
          <w:rFonts w:cs="Times New Roman"/>
        </w:rPr>
        <w:t>G3012</w:t>
      </w:r>
      <w:r>
        <w:rPr>
          <w:rFonts w:cs="Times New Roman"/>
        </w:rPr>
        <w:t>）的重要组成部分。</w:t>
      </w:r>
      <w:r>
        <w:rPr>
          <w:rFonts w:cs="Times New Roman"/>
        </w:rPr>
        <w:t>本项目的实施，是深入贯彻《交通强国建设纲要》，推动兵团交通建设，优化完善自治区普通国道网，加快建设高效率国家综合立体交通网主骨架的需要。</w:t>
      </w:r>
      <w:r>
        <w:rPr>
          <w:rFonts w:cs="Times New Roman"/>
        </w:rPr>
        <w:t>不仅</w:t>
      </w:r>
      <w:r>
        <w:rPr>
          <w:rFonts w:cs="Times New Roman"/>
        </w:rPr>
        <w:t>是对新疆以及</w:t>
      </w:r>
      <w:r>
        <w:rPr>
          <w:rFonts w:cs="Times New Roman"/>
        </w:rPr>
        <w:t>新疆生产建设兵团路网布局的完善，</w:t>
      </w:r>
      <w:r>
        <w:rPr>
          <w:rFonts w:cs="Times New Roman"/>
        </w:rPr>
        <w:t>也</w:t>
      </w:r>
      <w:r>
        <w:rPr>
          <w:rFonts w:cs="Times New Roman"/>
        </w:rPr>
        <w:t>是对兵团省道网的补充和改善，</w:t>
      </w:r>
      <w:r>
        <w:rPr>
          <w:rFonts w:cs="Times New Roman"/>
        </w:rPr>
        <w:t>更</w:t>
      </w:r>
      <w:r>
        <w:rPr>
          <w:rFonts w:cs="Times New Roman"/>
        </w:rPr>
        <w:t>是落实兵团省道网中长期建设发展的具体体现。</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36" w:name="_Toc12309"/>
      <w:bookmarkStart w:id="37" w:name="_Toc28920"/>
      <w:bookmarkStart w:id="38" w:name="_Toc13642"/>
      <w:bookmarkStart w:id="39" w:name="_Toc5526"/>
      <w:r>
        <w:rPr>
          <w:rFonts w:cs="Times New Roman" w:hint="default"/>
          <w:sz w:val="30"/>
          <w:szCs w:val="30"/>
        </w:rPr>
        <w:t>1.2</w:t>
      </w:r>
      <w:r>
        <w:rPr>
          <w:rFonts w:cs="Times New Roman" w:hint="default"/>
          <w:sz w:val="30"/>
          <w:szCs w:val="30"/>
        </w:rPr>
        <w:t>建设</w:t>
      </w:r>
      <w:r>
        <w:rPr>
          <w:rFonts w:cs="Times New Roman" w:hint="default"/>
          <w:sz w:val="30"/>
          <w:szCs w:val="30"/>
        </w:rPr>
        <w:t>项目特点</w:t>
      </w:r>
      <w:bookmarkEnd w:id="36"/>
      <w:bookmarkEnd w:id="37"/>
      <w:bookmarkEnd w:id="38"/>
      <w:bookmarkEnd w:id="39"/>
    </w:p>
    <w:p w:rsidR="00A46452" w:rsidRDefault="009A3928">
      <w:pPr>
        <w:widowControl/>
        <w:ind w:firstLine="480"/>
        <w:rPr>
          <w:rFonts w:cs="Times New Roman"/>
          <w:kern w:val="0"/>
          <w:szCs w:val="24"/>
        </w:rPr>
      </w:pPr>
      <w:r>
        <w:rPr>
          <w:rFonts w:cs="Times New Roman"/>
          <w:kern w:val="0"/>
          <w:szCs w:val="24"/>
        </w:rPr>
        <w:t>第三师图木舒克市</w:t>
      </w:r>
      <w:r>
        <w:rPr>
          <w:rFonts w:cs="Times New Roman"/>
          <w:kern w:val="0"/>
          <w:szCs w:val="24"/>
        </w:rPr>
        <w:t>-</w:t>
      </w:r>
      <w:r>
        <w:rPr>
          <w:rFonts w:cs="Times New Roman"/>
          <w:kern w:val="0"/>
          <w:szCs w:val="24"/>
        </w:rPr>
        <w:t>柯坪县</w:t>
      </w:r>
      <w:r>
        <w:rPr>
          <w:rFonts w:cs="Times New Roman"/>
          <w:kern w:val="0"/>
          <w:szCs w:val="24"/>
        </w:rPr>
        <w:t>-</w:t>
      </w:r>
      <w:r>
        <w:rPr>
          <w:rFonts w:cs="Times New Roman"/>
          <w:kern w:val="0"/>
          <w:szCs w:val="24"/>
        </w:rPr>
        <w:t>乌什县（图木舒克</w:t>
      </w:r>
      <w:r>
        <w:rPr>
          <w:rFonts w:cs="Times New Roman"/>
          <w:kern w:val="0"/>
          <w:szCs w:val="24"/>
        </w:rPr>
        <w:t>-</w:t>
      </w:r>
      <w:r>
        <w:rPr>
          <w:rFonts w:cs="Times New Roman"/>
          <w:kern w:val="0"/>
          <w:szCs w:val="24"/>
        </w:rPr>
        <w:t>柯坪段）公路</w:t>
      </w:r>
      <w:r>
        <w:rPr>
          <w:rFonts w:cs="Times New Roman"/>
          <w:kern w:val="0"/>
          <w:szCs w:val="24"/>
        </w:rPr>
        <w:t>为</w:t>
      </w:r>
      <w:r>
        <w:rPr>
          <w:rFonts w:cs="Times New Roman"/>
          <w:kern w:val="0"/>
          <w:szCs w:val="24"/>
        </w:rPr>
        <w:t>二</w:t>
      </w:r>
      <w:r>
        <w:rPr>
          <w:rFonts w:cs="Times New Roman"/>
          <w:kern w:val="0"/>
          <w:szCs w:val="24"/>
        </w:rPr>
        <w:t>级公路，</w:t>
      </w:r>
      <w:r>
        <w:rPr>
          <w:rFonts w:cs="Times New Roman"/>
          <w:kern w:val="0"/>
          <w:szCs w:val="24"/>
          <w:lang w:bidi="ar"/>
        </w:rPr>
        <w:t>位于新疆生产建设兵团第三师图木舒克市、喀什地区巴楚县和阿克苏地区柯坪县境内</w:t>
      </w:r>
      <w:r>
        <w:rPr>
          <w:rFonts w:cs="Times New Roman"/>
          <w:kern w:val="0"/>
          <w:szCs w:val="24"/>
        </w:rPr>
        <w:t>，路线起点位于第三师图木舒克市唐王城机场南侧，接机场大道终点</w:t>
      </w:r>
      <w:r>
        <w:rPr>
          <w:rFonts w:cs="Times New Roman"/>
          <w:kern w:val="0"/>
          <w:szCs w:val="24"/>
        </w:rPr>
        <w:t>，</w:t>
      </w:r>
      <w:r>
        <w:rPr>
          <w:rFonts w:cs="Times New Roman"/>
          <w:kern w:val="0"/>
          <w:szCs w:val="24"/>
        </w:rPr>
        <w:t>途经第三师</w:t>
      </w:r>
      <w:r>
        <w:rPr>
          <w:rFonts w:cs="Times New Roman"/>
          <w:kern w:val="0"/>
          <w:szCs w:val="24"/>
        </w:rPr>
        <w:t>50</w:t>
      </w:r>
      <w:r>
        <w:rPr>
          <w:rFonts w:cs="Times New Roman"/>
          <w:kern w:val="0"/>
          <w:szCs w:val="24"/>
        </w:rPr>
        <w:t>团、</w:t>
      </w:r>
      <w:r>
        <w:rPr>
          <w:rFonts w:cs="Times New Roman"/>
          <w:kern w:val="0"/>
          <w:szCs w:val="24"/>
        </w:rPr>
        <w:t>53</w:t>
      </w:r>
      <w:r>
        <w:rPr>
          <w:rFonts w:cs="Times New Roman"/>
          <w:kern w:val="0"/>
          <w:szCs w:val="24"/>
        </w:rPr>
        <w:t>团、</w:t>
      </w:r>
      <w:r>
        <w:rPr>
          <w:rFonts w:cs="Times New Roman"/>
          <w:kern w:val="0"/>
          <w:szCs w:val="24"/>
        </w:rPr>
        <w:t>G217</w:t>
      </w:r>
      <w:r>
        <w:rPr>
          <w:rFonts w:cs="Times New Roman"/>
          <w:kern w:val="0"/>
          <w:szCs w:val="24"/>
        </w:rPr>
        <w:t>线、</w:t>
      </w:r>
      <w:r>
        <w:rPr>
          <w:rFonts w:cs="Times New Roman"/>
          <w:kern w:val="0"/>
          <w:szCs w:val="24"/>
        </w:rPr>
        <w:t>G3012</w:t>
      </w:r>
      <w:r>
        <w:rPr>
          <w:rFonts w:cs="Times New Roman"/>
          <w:kern w:val="0"/>
          <w:szCs w:val="24"/>
        </w:rPr>
        <w:t>线吐和高速、柯坪县阿恰勒镇、终点位于</w:t>
      </w:r>
      <w:r>
        <w:rPr>
          <w:rFonts w:cs="Times New Roman"/>
          <w:kern w:val="0"/>
          <w:szCs w:val="24"/>
          <w:lang w:bidi="ar"/>
        </w:rPr>
        <w:t>柯坪县</w:t>
      </w:r>
      <w:r>
        <w:rPr>
          <w:rFonts w:cs="Times New Roman"/>
          <w:kern w:val="0"/>
          <w:szCs w:val="24"/>
        </w:rPr>
        <w:t>，接柯坪县玉尔其乡主干道，全长</w:t>
      </w:r>
      <w:r>
        <w:rPr>
          <w:rFonts w:cs="Times New Roman"/>
          <w:kern w:val="0"/>
          <w:szCs w:val="24"/>
        </w:rPr>
        <w:t>107.379km</w:t>
      </w:r>
      <w:r>
        <w:rPr>
          <w:rFonts w:cs="Times New Roman"/>
          <w:kern w:val="0"/>
          <w:szCs w:val="24"/>
        </w:rPr>
        <w:t>。</w:t>
      </w:r>
    </w:p>
    <w:p w:rsidR="00A46452" w:rsidRDefault="009A3928">
      <w:pPr>
        <w:widowControl/>
        <w:ind w:firstLine="480"/>
        <w:rPr>
          <w:rFonts w:cs="Times New Roman"/>
          <w:kern w:val="0"/>
          <w:szCs w:val="24"/>
        </w:rPr>
      </w:pPr>
      <w:r>
        <w:rPr>
          <w:rFonts w:cs="Times New Roman"/>
          <w:kern w:val="0"/>
          <w:szCs w:val="24"/>
        </w:rPr>
        <w:t>全线新建桥梁</w:t>
      </w:r>
      <w:r>
        <w:rPr>
          <w:rFonts w:cs="Times New Roman"/>
          <w:kern w:val="0"/>
          <w:szCs w:val="24"/>
        </w:rPr>
        <w:t>14</w:t>
      </w:r>
      <w:r>
        <w:rPr>
          <w:rFonts w:cs="Times New Roman"/>
          <w:kern w:val="0"/>
          <w:szCs w:val="24"/>
        </w:rPr>
        <w:t>座，新建涵洞</w:t>
      </w:r>
      <w:r>
        <w:rPr>
          <w:rFonts w:cs="Times New Roman"/>
          <w:kern w:val="0"/>
          <w:szCs w:val="24"/>
        </w:rPr>
        <w:t>75</w:t>
      </w:r>
      <w:r>
        <w:rPr>
          <w:rFonts w:cs="Times New Roman"/>
          <w:kern w:val="0"/>
          <w:szCs w:val="24"/>
        </w:rPr>
        <w:t>道；全线共设平面交叉</w:t>
      </w:r>
      <w:r>
        <w:rPr>
          <w:rFonts w:cs="Times New Roman"/>
          <w:kern w:val="0"/>
          <w:szCs w:val="24"/>
        </w:rPr>
        <w:t>30</w:t>
      </w:r>
      <w:r>
        <w:rPr>
          <w:rFonts w:cs="Times New Roman"/>
          <w:kern w:val="0"/>
          <w:szCs w:val="24"/>
        </w:rPr>
        <w:t>处，互通式立体交叉</w:t>
      </w:r>
      <w:r>
        <w:rPr>
          <w:rFonts w:cs="Times New Roman"/>
          <w:kern w:val="0"/>
          <w:szCs w:val="24"/>
        </w:rPr>
        <w:t>1</w:t>
      </w:r>
      <w:r>
        <w:rPr>
          <w:rFonts w:cs="Times New Roman"/>
          <w:kern w:val="0"/>
          <w:szCs w:val="24"/>
        </w:rPr>
        <w:t>处、分离式立体交叉</w:t>
      </w:r>
      <w:r>
        <w:rPr>
          <w:rFonts w:cs="Times New Roman"/>
          <w:kern w:val="0"/>
          <w:szCs w:val="24"/>
        </w:rPr>
        <w:t>1</w:t>
      </w:r>
      <w:r>
        <w:rPr>
          <w:rFonts w:cs="Times New Roman"/>
          <w:kern w:val="0"/>
          <w:szCs w:val="24"/>
        </w:rPr>
        <w:t>处；设置</w:t>
      </w:r>
      <w:r>
        <w:rPr>
          <w:rFonts w:cs="Times New Roman"/>
          <w:kern w:val="0"/>
          <w:szCs w:val="24"/>
        </w:rPr>
        <w:t>2</w:t>
      </w:r>
      <w:r>
        <w:rPr>
          <w:rFonts w:cs="Times New Roman"/>
          <w:kern w:val="0"/>
          <w:szCs w:val="24"/>
        </w:rPr>
        <w:t>处服务区，预留</w:t>
      </w:r>
      <w:r>
        <w:rPr>
          <w:rFonts w:cs="Times New Roman"/>
          <w:kern w:val="0"/>
          <w:szCs w:val="24"/>
        </w:rPr>
        <w:t>2</w:t>
      </w:r>
      <w:r>
        <w:rPr>
          <w:rFonts w:cs="Times New Roman"/>
          <w:kern w:val="0"/>
          <w:szCs w:val="24"/>
        </w:rPr>
        <w:t>处加油站用地，加油站不在本工程评价范围内。</w:t>
      </w:r>
    </w:p>
    <w:p w:rsidR="00A46452" w:rsidRDefault="009A3928">
      <w:pPr>
        <w:wordWrap w:val="0"/>
        <w:topLinePunct/>
        <w:adjustRightInd w:val="0"/>
        <w:snapToGrid w:val="0"/>
        <w:ind w:firstLine="480"/>
        <w:jc w:val="left"/>
        <w:rPr>
          <w:rFonts w:cs="Times New Roman"/>
          <w:kern w:val="0"/>
          <w:szCs w:val="24"/>
          <w:lang w:bidi="ar"/>
        </w:rPr>
      </w:pPr>
      <w:r>
        <w:rPr>
          <w:rFonts w:cs="Times New Roman"/>
        </w:rPr>
        <w:t>项目</w:t>
      </w:r>
      <w:r>
        <w:rPr>
          <w:rFonts w:cs="Times New Roman"/>
          <w:kern w:val="0"/>
          <w:szCs w:val="24"/>
          <w:lang w:bidi="ar"/>
        </w:rPr>
        <w:t>永久占地共</w:t>
      </w:r>
      <w:r>
        <w:rPr>
          <w:rFonts w:cs="Times New Roman"/>
          <w:kern w:val="0"/>
          <w:szCs w:val="24"/>
          <w:lang w:bidi="ar"/>
        </w:rPr>
        <w:t>300.80hm²</w:t>
      </w:r>
      <w:r>
        <w:rPr>
          <w:rFonts w:cs="Times New Roman"/>
          <w:kern w:val="0"/>
          <w:szCs w:val="24"/>
          <w:lang w:bidi="ar"/>
        </w:rPr>
        <w:t>，新增永久占地面积为</w:t>
      </w:r>
      <w:r>
        <w:rPr>
          <w:rFonts w:cs="Times New Roman"/>
          <w:kern w:val="0"/>
          <w:szCs w:val="24"/>
          <w:lang w:bidi="ar"/>
        </w:rPr>
        <w:t>279.70hm²</w:t>
      </w:r>
      <w:r>
        <w:rPr>
          <w:rFonts w:cs="Times New Roman"/>
          <w:kern w:val="0"/>
          <w:szCs w:val="24"/>
          <w:lang w:bidi="ar"/>
        </w:rPr>
        <w:t>。</w:t>
      </w:r>
      <w:r>
        <w:rPr>
          <w:rFonts w:cs="Times New Roman"/>
          <w:kern w:val="0"/>
          <w:szCs w:val="24"/>
          <w:lang w:bidi="ar"/>
        </w:rPr>
        <w:t>其中</w:t>
      </w:r>
      <w:r>
        <w:rPr>
          <w:rFonts w:cs="Times New Roman"/>
        </w:rPr>
        <w:t>占用第三师图木舒克市境内用地面积</w:t>
      </w:r>
      <w:r>
        <w:rPr>
          <w:rFonts w:cs="Times New Roman"/>
        </w:rPr>
        <w:t>81.38hm²</w:t>
      </w:r>
      <w:r>
        <w:rPr>
          <w:rFonts w:cs="Times New Roman"/>
        </w:rPr>
        <w:t>、</w:t>
      </w:r>
      <w:r>
        <w:rPr>
          <w:rFonts w:cs="Times New Roman"/>
        </w:rPr>
        <w:t>占用</w:t>
      </w:r>
      <w:r>
        <w:rPr>
          <w:rFonts w:cs="Times New Roman"/>
        </w:rPr>
        <w:t>巴楚县</w:t>
      </w:r>
      <w:r>
        <w:rPr>
          <w:rFonts w:cs="Times New Roman"/>
        </w:rPr>
        <w:t>78.35hm²</w:t>
      </w:r>
      <w:r>
        <w:rPr>
          <w:rFonts w:cs="Times New Roman"/>
        </w:rPr>
        <w:t>、</w:t>
      </w:r>
      <w:r>
        <w:rPr>
          <w:rFonts w:cs="Times New Roman"/>
        </w:rPr>
        <w:t>占用柯</w:t>
      </w:r>
      <w:r>
        <w:rPr>
          <w:rFonts w:cs="Times New Roman"/>
        </w:rPr>
        <w:t>坪县</w:t>
      </w:r>
      <w:r>
        <w:rPr>
          <w:rFonts w:cs="Times New Roman"/>
        </w:rPr>
        <w:t>141.06hm²</w:t>
      </w:r>
      <w:r>
        <w:rPr>
          <w:rFonts w:cs="Times New Roman"/>
        </w:rPr>
        <w:t>，</w:t>
      </w:r>
      <w:r>
        <w:rPr>
          <w:rFonts w:cs="Times New Roman"/>
          <w:kern w:val="0"/>
          <w:szCs w:val="24"/>
          <w:lang w:bidi="ar"/>
        </w:rPr>
        <w:t>占地类型</w:t>
      </w:r>
      <w:r>
        <w:rPr>
          <w:rFonts w:cs="Times New Roman"/>
          <w:kern w:val="0"/>
          <w:szCs w:val="24"/>
          <w:lang w:bidi="ar"/>
        </w:rPr>
        <w:t>为</w:t>
      </w:r>
      <w:r>
        <w:rPr>
          <w:rFonts w:cs="Times New Roman"/>
          <w:kern w:val="0"/>
          <w:szCs w:val="24"/>
          <w:lang w:bidi="ar"/>
        </w:rPr>
        <w:t>耕地、林地、草地、交通运输用地（原有公路用地）。</w:t>
      </w:r>
    </w:p>
    <w:p w:rsidR="00A46452" w:rsidRDefault="009A3928">
      <w:pPr>
        <w:widowControl/>
        <w:ind w:firstLine="480"/>
        <w:rPr>
          <w:rFonts w:cs="Times New Roman"/>
          <w:kern w:val="0"/>
          <w:szCs w:val="24"/>
        </w:rPr>
      </w:pPr>
      <w:r>
        <w:rPr>
          <w:rFonts w:cs="Times New Roman"/>
          <w:kern w:val="0"/>
          <w:szCs w:val="24"/>
        </w:rPr>
        <w:t>临时占地总面积</w:t>
      </w:r>
      <w:r>
        <w:rPr>
          <w:rFonts w:cs="Times New Roman"/>
          <w:kern w:val="0"/>
          <w:szCs w:val="24"/>
        </w:rPr>
        <w:t>346.49</w:t>
      </w:r>
      <w:r>
        <w:rPr>
          <w:rFonts w:cs="Times New Roman"/>
          <w:kern w:val="0"/>
          <w:szCs w:val="24"/>
        </w:rPr>
        <w:t>hm</w:t>
      </w:r>
      <w:r>
        <w:rPr>
          <w:rFonts w:cs="Times New Roman"/>
          <w:kern w:val="0"/>
          <w:szCs w:val="24"/>
          <w:vertAlign w:val="superscript"/>
        </w:rPr>
        <w:t>2</w:t>
      </w:r>
      <w:r>
        <w:rPr>
          <w:rFonts w:cs="Times New Roman"/>
          <w:kern w:val="0"/>
          <w:szCs w:val="24"/>
        </w:rPr>
        <w:t>，临时用地</w:t>
      </w:r>
      <w:r>
        <w:rPr>
          <w:rFonts w:cs="Times New Roman"/>
          <w:kern w:val="0"/>
          <w:szCs w:val="24"/>
        </w:rPr>
        <w:t>包括</w:t>
      </w:r>
      <w:r>
        <w:rPr>
          <w:rFonts w:cs="Times New Roman"/>
          <w:kern w:val="0"/>
          <w:szCs w:val="24"/>
        </w:rPr>
        <w:t>3</w:t>
      </w:r>
      <w:r>
        <w:rPr>
          <w:rFonts w:cs="Times New Roman"/>
          <w:kern w:val="0"/>
          <w:szCs w:val="24"/>
        </w:rPr>
        <w:t>处施工综合站场（内含预制场、水稳混凝土拌和站、沥青混凝土拌和站</w:t>
      </w:r>
      <w:r>
        <w:rPr>
          <w:rFonts w:cs="Times New Roman"/>
          <w:kern w:val="0"/>
          <w:szCs w:val="24"/>
        </w:rPr>
        <w:t>、</w:t>
      </w:r>
      <w:r>
        <w:rPr>
          <w:rFonts w:cs="Times New Roman"/>
          <w:kern w:val="0"/>
          <w:szCs w:val="24"/>
        </w:rPr>
        <w:t>施工驻地</w:t>
      </w:r>
      <w:r>
        <w:rPr>
          <w:rFonts w:cs="Times New Roman"/>
          <w:kern w:val="0"/>
          <w:szCs w:val="24"/>
        </w:rPr>
        <w:t>）</w:t>
      </w:r>
      <w:r>
        <w:rPr>
          <w:rFonts w:cs="Times New Roman"/>
          <w:kern w:val="0"/>
          <w:szCs w:val="24"/>
        </w:rPr>
        <w:t>、</w:t>
      </w:r>
      <w:r>
        <w:rPr>
          <w:rFonts w:cs="Times New Roman"/>
          <w:kern w:val="0"/>
          <w:szCs w:val="24"/>
        </w:rPr>
        <w:t>3</w:t>
      </w:r>
      <w:r>
        <w:rPr>
          <w:rFonts w:cs="Times New Roman"/>
          <w:kern w:val="0"/>
          <w:szCs w:val="24"/>
        </w:rPr>
        <w:t>处弃土场及</w:t>
      </w:r>
      <w:r>
        <w:rPr>
          <w:rFonts w:cs="Times New Roman"/>
          <w:kern w:val="0"/>
          <w:szCs w:val="24"/>
        </w:rPr>
        <w:t>施工便道。</w:t>
      </w:r>
    </w:p>
    <w:p w:rsidR="00A46452" w:rsidRDefault="009A3928">
      <w:pPr>
        <w:ind w:firstLine="480"/>
        <w:rPr>
          <w:rFonts w:cs="Times New Roman"/>
          <w:szCs w:val="24"/>
        </w:rPr>
      </w:pPr>
      <w:r>
        <w:rPr>
          <w:rFonts w:cs="Times New Roman"/>
          <w:kern w:val="0"/>
          <w:szCs w:val="24"/>
        </w:rPr>
        <w:t>项目</w:t>
      </w:r>
      <w:r>
        <w:rPr>
          <w:rFonts w:cs="Times New Roman"/>
          <w:kern w:val="0"/>
          <w:szCs w:val="24"/>
        </w:rPr>
        <w:t>沿线跨越</w:t>
      </w:r>
      <w:r>
        <w:rPr>
          <w:rFonts w:cs="Times New Roman"/>
          <w:szCs w:val="22"/>
        </w:rPr>
        <w:t>喀什噶尔河</w:t>
      </w:r>
      <w:r>
        <w:rPr>
          <w:rFonts w:cs="Times New Roman"/>
          <w:kern w:val="0"/>
          <w:szCs w:val="24"/>
        </w:rPr>
        <w:t>、</w:t>
      </w:r>
      <w:r>
        <w:rPr>
          <w:rFonts w:cs="Times New Roman"/>
          <w:szCs w:val="22"/>
        </w:rPr>
        <w:t>突来买提河、柯坪河</w:t>
      </w:r>
      <w:r>
        <w:rPr>
          <w:rFonts w:cs="Times New Roman"/>
          <w:kern w:val="0"/>
          <w:szCs w:val="24"/>
        </w:rPr>
        <w:t>，</w:t>
      </w:r>
      <w:r>
        <w:rPr>
          <w:rFonts w:cs="Times New Roman"/>
          <w:kern w:val="0"/>
          <w:szCs w:val="24"/>
        </w:rPr>
        <w:t>苏贝希沟</w:t>
      </w:r>
      <w:r>
        <w:rPr>
          <w:rFonts w:cs="Times New Roman"/>
          <w:kern w:val="0"/>
          <w:szCs w:val="24"/>
        </w:rPr>
        <w:t>-</w:t>
      </w:r>
      <w:r>
        <w:rPr>
          <w:rFonts w:cs="Times New Roman"/>
          <w:kern w:val="0"/>
          <w:szCs w:val="24"/>
        </w:rPr>
        <w:t>加依洛萨依河等地表水，不</w:t>
      </w:r>
      <w:r>
        <w:rPr>
          <w:rFonts w:cs="Times New Roman"/>
          <w:kern w:val="0"/>
          <w:szCs w:val="24"/>
        </w:rPr>
        <w:t>占用</w:t>
      </w:r>
      <w:r>
        <w:rPr>
          <w:rFonts w:cs="Times New Roman"/>
          <w:spacing w:val="-2"/>
          <w:kern w:val="0"/>
          <w:szCs w:val="24"/>
        </w:rPr>
        <w:t>喀什噶尔河</w:t>
      </w:r>
      <w:r>
        <w:rPr>
          <w:rFonts w:cs="Times New Roman"/>
          <w:spacing w:val="-2"/>
          <w:kern w:val="0"/>
          <w:szCs w:val="24"/>
        </w:rPr>
        <w:t>-</w:t>
      </w:r>
      <w:r>
        <w:rPr>
          <w:rFonts w:cs="Times New Roman"/>
          <w:spacing w:val="-2"/>
          <w:kern w:val="0"/>
          <w:szCs w:val="24"/>
        </w:rPr>
        <w:t>叶尔羌河流域防风固沙生态保护红线区</w:t>
      </w:r>
      <w:r>
        <w:rPr>
          <w:rFonts w:cs="Times New Roman"/>
          <w:kern w:val="0"/>
          <w:szCs w:val="24"/>
        </w:rPr>
        <w:t>，不占用柯坪县齐格布隆国家沙化土地封禁保护区等生态敏感区，</w:t>
      </w:r>
      <w:r>
        <w:rPr>
          <w:rFonts w:cs="Times New Roman"/>
          <w:szCs w:val="24"/>
        </w:rPr>
        <w:t>占用第三师</w:t>
      </w:r>
      <w:r>
        <w:rPr>
          <w:rFonts w:cs="Times New Roman"/>
          <w:snapToGrid w:val="0"/>
        </w:rPr>
        <w:t>图木舒克市、</w:t>
      </w:r>
      <w:r>
        <w:rPr>
          <w:rFonts w:cs="Times New Roman"/>
          <w:snapToGrid w:val="0"/>
        </w:rPr>
        <w:lastRenderedPageBreak/>
        <w:t>喀什地区巴楚县国家二级公益林，</w:t>
      </w:r>
      <w:r>
        <w:rPr>
          <w:rFonts w:cs="Times New Roman"/>
          <w:szCs w:val="24"/>
          <w:lang w:val="zh-CN"/>
        </w:rPr>
        <w:t>项目在取得林业和草原主管部门的同意后方可施工。</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40" w:name="_Toc20876"/>
      <w:bookmarkStart w:id="41" w:name="_Toc31525"/>
      <w:bookmarkStart w:id="42" w:name="_Toc22821"/>
      <w:bookmarkStart w:id="43" w:name="_Toc21884"/>
      <w:bookmarkStart w:id="44" w:name="_Toc7844"/>
      <w:r>
        <w:rPr>
          <w:rFonts w:cs="Times New Roman" w:hint="default"/>
          <w:sz w:val="30"/>
          <w:szCs w:val="30"/>
        </w:rPr>
        <w:t>1.3</w:t>
      </w:r>
      <w:r>
        <w:rPr>
          <w:rFonts w:cs="Times New Roman" w:hint="default"/>
          <w:sz w:val="30"/>
          <w:szCs w:val="30"/>
        </w:rPr>
        <w:t>环境影响评价工作过程</w:t>
      </w:r>
      <w:bookmarkEnd w:id="40"/>
      <w:bookmarkEnd w:id="41"/>
      <w:bookmarkEnd w:id="42"/>
      <w:bookmarkEnd w:id="43"/>
      <w:bookmarkEnd w:id="44"/>
    </w:p>
    <w:p w:rsidR="00A46452" w:rsidRDefault="009A3928" w:rsidP="00182EED">
      <w:pPr>
        <w:pStyle w:val="af0"/>
        <w:widowControl w:val="0"/>
        <w:wordWrap w:val="0"/>
        <w:topLinePunct/>
        <w:adjustRightInd w:val="0"/>
        <w:snapToGrid w:val="0"/>
        <w:ind w:firstLine="480"/>
        <w:rPr>
          <w:rFonts w:cs="Times New Roman" w:hint="default"/>
          <w:sz w:val="24"/>
        </w:rPr>
      </w:pPr>
      <w:r>
        <w:rPr>
          <w:rFonts w:cs="Times New Roman" w:hint="default"/>
          <w:sz w:val="24"/>
        </w:rPr>
        <w:t>为做好拟建公路的环境保护工作，根据《中华人民共和国环境影响评价法》《建设项目环境保护管理条例》等有关法律法规的规定与要求，</w:t>
      </w:r>
      <w:r>
        <w:rPr>
          <w:rFonts w:cs="Times New Roman" w:hint="default"/>
          <w:sz w:val="24"/>
        </w:rPr>
        <w:t>2025</w:t>
      </w:r>
      <w:r>
        <w:rPr>
          <w:rFonts w:cs="Times New Roman" w:hint="default"/>
          <w:sz w:val="24"/>
        </w:rPr>
        <w:t>年</w:t>
      </w:r>
      <w:r>
        <w:rPr>
          <w:rFonts w:cs="Times New Roman" w:hint="default"/>
          <w:sz w:val="24"/>
        </w:rPr>
        <w:t>1</w:t>
      </w:r>
      <w:r>
        <w:rPr>
          <w:rFonts w:cs="Times New Roman" w:hint="default"/>
          <w:sz w:val="24"/>
        </w:rPr>
        <w:t>月，建设单位第三师图木舒克市公路建设项目管理处委托我单位新疆兵团勘测设计院集团股份有限公司开展第三师图木舒克市－柯坪县－乌什县公路（图木舒克</w:t>
      </w:r>
      <w:r>
        <w:rPr>
          <w:rFonts w:cs="Times New Roman" w:hint="default"/>
          <w:sz w:val="24"/>
        </w:rPr>
        <w:t>-</w:t>
      </w:r>
      <w:r>
        <w:rPr>
          <w:rFonts w:cs="Times New Roman" w:hint="default"/>
          <w:sz w:val="24"/>
        </w:rPr>
        <w:t>柯坪段）项目环境影响评价工作。</w:t>
      </w:r>
    </w:p>
    <w:p w:rsidR="00A46452" w:rsidRDefault="009A3928" w:rsidP="00182EED">
      <w:pPr>
        <w:pStyle w:val="af0"/>
        <w:widowControl w:val="0"/>
        <w:wordWrap w:val="0"/>
        <w:topLinePunct/>
        <w:adjustRightInd w:val="0"/>
        <w:snapToGrid w:val="0"/>
        <w:ind w:firstLine="480"/>
        <w:rPr>
          <w:rFonts w:cs="Times New Roman" w:hint="default"/>
          <w:sz w:val="24"/>
        </w:rPr>
      </w:pPr>
      <w:r>
        <w:rPr>
          <w:rFonts w:cs="Times New Roman" w:hint="default"/>
          <w:sz w:val="24"/>
        </w:rPr>
        <w:t>202</w:t>
      </w:r>
      <w:r>
        <w:rPr>
          <w:rFonts w:cs="Times New Roman" w:hint="default"/>
          <w:sz w:val="24"/>
        </w:rPr>
        <w:t>5</w:t>
      </w:r>
      <w:r>
        <w:rPr>
          <w:rFonts w:cs="Times New Roman" w:hint="default"/>
          <w:sz w:val="24"/>
        </w:rPr>
        <w:t>年</w:t>
      </w:r>
      <w:r>
        <w:rPr>
          <w:rFonts w:cs="Times New Roman" w:hint="default"/>
          <w:sz w:val="24"/>
        </w:rPr>
        <w:t>1</w:t>
      </w:r>
      <w:r>
        <w:rPr>
          <w:rFonts w:cs="Times New Roman" w:hint="default"/>
          <w:sz w:val="24"/>
        </w:rPr>
        <w:t>月</w:t>
      </w:r>
      <w:r>
        <w:rPr>
          <w:rFonts w:cs="Times New Roman" w:hint="default"/>
          <w:sz w:val="24"/>
        </w:rPr>
        <w:t>10</w:t>
      </w:r>
      <w:r>
        <w:rPr>
          <w:rFonts w:cs="Times New Roman" w:hint="default"/>
          <w:sz w:val="24"/>
        </w:rPr>
        <w:t>日，新疆生产建设兵团第</w:t>
      </w:r>
      <w:r>
        <w:rPr>
          <w:rFonts w:cs="Times New Roman" w:hint="default"/>
          <w:sz w:val="24"/>
        </w:rPr>
        <w:t>三</w:t>
      </w:r>
      <w:r>
        <w:rPr>
          <w:rFonts w:cs="Times New Roman" w:hint="default"/>
          <w:sz w:val="24"/>
        </w:rPr>
        <w:t>师</w:t>
      </w:r>
      <w:r>
        <w:rPr>
          <w:rFonts w:cs="Times New Roman" w:hint="default"/>
          <w:sz w:val="24"/>
        </w:rPr>
        <w:t>图木舒克市公路建设项目管理处</w:t>
      </w:r>
      <w:r>
        <w:rPr>
          <w:rFonts w:cs="Times New Roman" w:hint="default"/>
          <w:sz w:val="24"/>
        </w:rPr>
        <w:t>在</w:t>
      </w:r>
      <w:r>
        <w:rPr>
          <w:rFonts w:cs="Times New Roman" w:hint="default"/>
          <w:sz w:val="24"/>
        </w:rPr>
        <w:t>环评云助手</w:t>
      </w:r>
      <w:r>
        <w:rPr>
          <w:rFonts w:cs="Times New Roman" w:hint="default"/>
          <w:sz w:val="24"/>
        </w:rPr>
        <w:t>网站以公告的形式发布本项目环评信息第一次公示，告知本项目的基本情况、建设单位和环评编制单位的名称、联系方式等，公示时间不</w:t>
      </w:r>
      <w:r>
        <w:rPr>
          <w:rFonts w:cs="Times New Roman" w:hint="default"/>
          <w:sz w:val="24"/>
        </w:rPr>
        <w:t>少于</w:t>
      </w:r>
      <w:r>
        <w:rPr>
          <w:rFonts w:cs="Times New Roman" w:hint="default"/>
          <w:sz w:val="24"/>
        </w:rPr>
        <w:t>10</w:t>
      </w:r>
      <w:r>
        <w:rPr>
          <w:rFonts w:cs="Times New Roman" w:hint="default"/>
          <w:sz w:val="24"/>
        </w:rPr>
        <w:t>个工作日；</w:t>
      </w:r>
    </w:p>
    <w:p w:rsidR="00A46452" w:rsidRDefault="009A3928">
      <w:pPr>
        <w:wordWrap w:val="0"/>
        <w:topLinePunct/>
        <w:adjustRightInd w:val="0"/>
        <w:snapToGrid w:val="0"/>
        <w:ind w:firstLine="480"/>
        <w:rPr>
          <w:rFonts w:cs="Times New Roman"/>
        </w:rPr>
      </w:pPr>
      <w:r>
        <w:rPr>
          <w:rFonts w:cs="Times New Roman"/>
        </w:rPr>
        <w:t>2025</w:t>
      </w:r>
      <w:r>
        <w:rPr>
          <w:rFonts w:cs="Times New Roman"/>
        </w:rPr>
        <w:t>年</w:t>
      </w:r>
      <w:r>
        <w:rPr>
          <w:rFonts w:cs="Times New Roman"/>
        </w:rPr>
        <w:t>1</w:t>
      </w:r>
      <w:r>
        <w:rPr>
          <w:rFonts w:cs="Times New Roman"/>
        </w:rPr>
        <w:t>月</w:t>
      </w:r>
      <w:r>
        <w:rPr>
          <w:rFonts w:cs="Times New Roman"/>
        </w:rPr>
        <w:t>20</w:t>
      </w:r>
      <w:r>
        <w:rPr>
          <w:rFonts w:cs="Times New Roman"/>
        </w:rPr>
        <w:t>日</w:t>
      </w:r>
      <w:r>
        <w:rPr>
          <w:rFonts w:cs="Times New Roman"/>
        </w:rPr>
        <w:t>—1</w:t>
      </w:r>
      <w:r>
        <w:rPr>
          <w:rFonts w:cs="Times New Roman"/>
        </w:rPr>
        <w:t>月</w:t>
      </w:r>
      <w:r>
        <w:rPr>
          <w:rFonts w:cs="Times New Roman"/>
        </w:rPr>
        <w:t>22</w:t>
      </w:r>
      <w:r>
        <w:rPr>
          <w:rFonts w:cs="Times New Roman"/>
        </w:rPr>
        <w:t>日，根据项目的可行性研究报告等项目基本信息结合自治区生态环境分区管控方案、兵团生态环境分区管控方案、国土空间规划、自然保护地、</w:t>
      </w:r>
      <w:r>
        <w:rPr>
          <w:rFonts w:cs="Times New Roman"/>
        </w:rPr>
        <w:t>“</w:t>
      </w:r>
      <w:r>
        <w:rPr>
          <w:rFonts w:cs="Times New Roman"/>
        </w:rPr>
        <w:t>十四五</w:t>
      </w:r>
      <w:r>
        <w:rPr>
          <w:rFonts w:cs="Times New Roman"/>
        </w:rPr>
        <w:t>”</w:t>
      </w:r>
      <w:r>
        <w:rPr>
          <w:rFonts w:cs="Times New Roman"/>
        </w:rPr>
        <w:t>交通发展规划及规划环评等资料梳理项目区可能涉及的生态保护目标，熟悉线路的走向与布局，临时工程的布设情况，为现场勘查做初步的准备；</w:t>
      </w:r>
    </w:p>
    <w:p w:rsidR="00A46452" w:rsidRDefault="009A3928">
      <w:pPr>
        <w:wordWrap w:val="0"/>
        <w:topLinePunct/>
        <w:adjustRightInd w:val="0"/>
        <w:snapToGrid w:val="0"/>
        <w:ind w:firstLine="480"/>
        <w:rPr>
          <w:rFonts w:cs="Times New Roman"/>
        </w:rPr>
      </w:pPr>
      <w:r>
        <w:rPr>
          <w:rFonts w:cs="Times New Roman"/>
        </w:rPr>
        <w:t>2025</w:t>
      </w:r>
      <w:r>
        <w:rPr>
          <w:rFonts w:cs="Times New Roman"/>
        </w:rPr>
        <w:t>年</w:t>
      </w:r>
      <w:r>
        <w:rPr>
          <w:rFonts w:cs="Times New Roman"/>
        </w:rPr>
        <w:t>1</w:t>
      </w:r>
      <w:r>
        <w:rPr>
          <w:rFonts w:cs="Times New Roman"/>
        </w:rPr>
        <w:t>月及</w:t>
      </w:r>
      <w:r>
        <w:rPr>
          <w:rFonts w:cs="Times New Roman"/>
        </w:rPr>
        <w:t>4</w:t>
      </w:r>
      <w:r>
        <w:rPr>
          <w:rFonts w:cs="Times New Roman"/>
        </w:rPr>
        <w:t>月，项目组分别进行现场调查，采用</w:t>
      </w:r>
      <w:r>
        <w:rPr>
          <w:rFonts w:cs="Times New Roman"/>
        </w:rPr>
        <w:t>GPS</w:t>
      </w:r>
      <w:r>
        <w:rPr>
          <w:rFonts w:cs="Times New Roman"/>
        </w:rPr>
        <w:t>、相机等工具，对项目区沿线的自然环境、沿线生态单元、声、空气、水环境保护目标进行现状调查。</w:t>
      </w:r>
    </w:p>
    <w:p w:rsidR="00A46452" w:rsidRDefault="009A3928">
      <w:pPr>
        <w:wordWrap w:val="0"/>
        <w:topLinePunct/>
        <w:adjustRightInd w:val="0"/>
        <w:snapToGrid w:val="0"/>
        <w:ind w:firstLine="480"/>
        <w:rPr>
          <w:rFonts w:cs="Times New Roman"/>
        </w:rPr>
      </w:pPr>
      <w:r>
        <w:rPr>
          <w:rFonts w:cs="Times New Roman"/>
        </w:rPr>
        <w:t>2025</w:t>
      </w:r>
      <w:r>
        <w:rPr>
          <w:rFonts w:cs="Times New Roman"/>
        </w:rPr>
        <w:t>年</w:t>
      </w:r>
      <w:r>
        <w:rPr>
          <w:rFonts w:cs="Times New Roman"/>
        </w:rPr>
        <w:t>1</w:t>
      </w:r>
      <w:r>
        <w:rPr>
          <w:rFonts w:cs="Times New Roman"/>
        </w:rPr>
        <w:t>月底，根据现场调查的情况编制监测方案</w:t>
      </w:r>
      <w:r>
        <w:rPr>
          <w:rFonts w:cs="Times New Roman"/>
        </w:rPr>
        <w:t>，</w:t>
      </w:r>
      <w:r>
        <w:rPr>
          <w:rFonts w:cs="Times New Roman"/>
        </w:rPr>
        <w:t>202</w:t>
      </w:r>
      <w:r>
        <w:rPr>
          <w:rFonts w:cs="Times New Roman"/>
        </w:rPr>
        <w:t>5</w:t>
      </w:r>
      <w:r>
        <w:rPr>
          <w:rFonts w:cs="Times New Roman"/>
        </w:rPr>
        <w:t>年</w:t>
      </w:r>
      <w:r>
        <w:rPr>
          <w:rFonts w:cs="Times New Roman"/>
        </w:rPr>
        <w:t>2</w:t>
      </w:r>
      <w:r>
        <w:rPr>
          <w:rFonts w:cs="Times New Roman"/>
        </w:rPr>
        <w:t>月初</w:t>
      </w:r>
      <w:r>
        <w:rPr>
          <w:rFonts w:cs="Times New Roman"/>
        </w:rPr>
        <w:t>委托</w:t>
      </w:r>
      <w:r>
        <w:rPr>
          <w:rFonts w:cs="Times New Roman"/>
        </w:rPr>
        <w:t>新疆腾龙环境监测有限公司</w:t>
      </w:r>
      <w:r>
        <w:rPr>
          <w:rFonts w:cs="Times New Roman"/>
        </w:rPr>
        <w:t>开展环境现状监测；</w:t>
      </w:r>
    </w:p>
    <w:p w:rsidR="00A46452" w:rsidRDefault="009A3928">
      <w:pPr>
        <w:wordWrap w:val="0"/>
        <w:topLinePunct/>
        <w:adjustRightInd w:val="0"/>
        <w:snapToGrid w:val="0"/>
        <w:ind w:firstLine="480"/>
        <w:rPr>
          <w:rFonts w:cs="Times New Roman"/>
        </w:rPr>
      </w:pPr>
      <w:r>
        <w:rPr>
          <w:rFonts w:cs="Times New Roman"/>
        </w:rPr>
        <w:t>2025</w:t>
      </w:r>
      <w:r>
        <w:rPr>
          <w:rFonts w:cs="Times New Roman"/>
        </w:rPr>
        <w:t>年</w:t>
      </w:r>
      <w:r>
        <w:rPr>
          <w:rFonts w:cs="Times New Roman"/>
        </w:rPr>
        <w:t>2</w:t>
      </w:r>
      <w:r>
        <w:rPr>
          <w:rFonts w:cs="Times New Roman"/>
        </w:rPr>
        <w:t>月</w:t>
      </w:r>
      <w:r>
        <w:rPr>
          <w:rFonts w:cs="Times New Roman"/>
        </w:rPr>
        <w:t>—2025</w:t>
      </w:r>
      <w:r>
        <w:rPr>
          <w:rFonts w:cs="Times New Roman"/>
        </w:rPr>
        <w:t>年</w:t>
      </w:r>
      <w:r>
        <w:rPr>
          <w:rFonts w:cs="Times New Roman"/>
        </w:rPr>
        <w:t>3</w:t>
      </w:r>
      <w:r>
        <w:rPr>
          <w:rFonts w:cs="Times New Roman"/>
        </w:rPr>
        <w:t>月进行报告的编制工作初步完成</w:t>
      </w:r>
      <w:r>
        <w:rPr>
          <w:rFonts w:cs="Times New Roman"/>
        </w:rPr>
        <w:t>环评报告征求意见稿</w:t>
      </w:r>
      <w:r>
        <w:rPr>
          <w:rFonts w:cs="Times New Roman"/>
        </w:rPr>
        <w:t>；</w:t>
      </w:r>
    </w:p>
    <w:p w:rsidR="00A46452" w:rsidRDefault="009A3928">
      <w:pPr>
        <w:wordWrap w:val="0"/>
        <w:topLinePunct/>
        <w:adjustRightInd w:val="0"/>
        <w:snapToGrid w:val="0"/>
        <w:ind w:firstLine="480"/>
        <w:rPr>
          <w:rFonts w:cs="Times New Roman"/>
        </w:rPr>
      </w:pPr>
      <w:r>
        <w:rPr>
          <w:rFonts w:cs="Times New Roman"/>
        </w:rPr>
        <w:t>202</w:t>
      </w:r>
      <w:r>
        <w:rPr>
          <w:rFonts w:cs="Times New Roman"/>
        </w:rPr>
        <w:t>5</w:t>
      </w:r>
      <w:r>
        <w:rPr>
          <w:rFonts w:cs="Times New Roman"/>
        </w:rPr>
        <w:t>年</w:t>
      </w:r>
      <w:r>
        <w:rPr>
          <w:rFonts w:cs="Times New Roman"/>
        </w:rPr>
        <w:t>4</w:t>
      </w:r>
      <w:r>
        <w:rPr>
          <w:rFonts w:cs="Times New Roman"/>
        </w:rPr>
        <w:t>月</w:t>
      </w:r>
      <w:r>
        <w:rPr>
          <w:rFonts w:cs="Times New Roman"/>
        </w:rPr>
        <w:t>1</w:t>
      </w:r>
      <w:r>
        <w:rPr>
          <w:rFonts w:cs="Times New Roman"/>
        </w:rPr>
        <w:t>日至</w:t>
      </w:r>
      <w:r>
        <w:rPr>
          <w:rFonts w:cs="Times New Roman"/>
        </w:rPr>
        <w:t>202</w:t>
      </w:r>
      <w:r>
        <w:rPr>
          <w:rFonts w:cs="Times New Roman"/>
        </w:rPr>
        <w:t>5</w:t>
      </w:r>
      <w:r>
        <w:rPr>
          <w:rFonts w:cs="Times New Roman"/>
        </w:rPr>
        <w:t>年</w:t>
      </w:r>
      <w:r>
        <w:rPr>
          <w:rFonts w:cs="Times New Roman"/>
        </w:rPr>
        <w:t>4</w:t>
      </w:r>
      <w:r>
        <w:rPr>
          <w:rFonts w:cs="Times New Roman"/>
        </w:rPr>
        <w:t>月</w:t>
      </w:r>
      <w:r>
        <w:rPr>
          <w:rFonts w:cs="Times New Roman"/>
        </w:rPr>
        <w:t>15</w:t>
      </w:r>
      <w:r>
        <w:rPr>
          <w:rFonts w:cs="Times New Roman"/>
        </w:rPr>
        <w:t>日（共</w:t>
      </w:r>
      <w:r>
        <w:rPr>
          <w:rFonts w:cs="Times New Roman"/>
        </w:rPr>
        <w:t>10</w:t>
      </w:r>
      <w:r>
        <w:rPr>
          <w:rFonts w:cs="Times New Roman"/>
        </w:rPr>
        <w:t>个工作日）在</w:t>
      </w:r>
      <w:r>
        <w:rPr>
          <w:rFonts w:cs="Times New Roman"/>
        </w:rPr>
        <w:t>第三师图木舒克市政府</w:t>
      </w:r>
      <w:r>
        <w:rPr>
          <w:rFonts w:cs="Times New Roman"/>
        </w:rPr>
        <w:t>网站</w:t>
      </w:r>
      <w:r>
        <w:rPr>
          <w:rFonts w:cs="Times New Roman"/>
        </w:rPr>
        <w:t>，</w:t>
      </w:r>
      <w:r>
        <w:rPr>
          <w:rFonts w:cs="Times New Roman"/>
        </w:rPr>
        <w:t>进行了《第三师图木舒克市－柯坪县－乌什县公路（图木舒克</w:t>
      </w:r>
      <w:r>
        <w:rPr>
          <w:rFonts w:cs="Times New Roman"/>
        </w:rPr>
        <w:t>-</w:t>
      </w:r>
      <w:r>
        <w:rPr>
          <w:rFonts w:cs="Times New Roman"/>
        </w:rPr>
        <w:t>柯坪段）环境影响报告书</w:t>
      </w:r>
      <w:r w:rsidR="00182EED">
        <w:rPr>
          <w:rFonts w:cs="Times New Roman"/>
        </w:rPr>
        <w:t>（征求意见稿）》</w:t>
      </w:r>
      <w:r>
        <w:rPr>
          <w:rFonts w:cs="Times New Roman"/>
        </w:rPr>
        <w:t>公示，</w:t>
      </w:r>
      <w:r>
        <w:rPr>
          <w:rFonts w:cs="Times New Roman"/>
        </w:rPr>
        <w:t>并于</w:t>
      </w:r>
      <w:r>
        <w:rPr>
          <w:rFonts w:cs="Times New Roman"/>
        </w:rPr>
        <w:t>202</w:t>
      </w:r>
      <w:r>
        <w:rPr>
          <w:rFonts w:cs="Times New Roman"/>
        </w:rPr>
        <w:t>5</w:t>
      </w:r>
      <w:r>
        <w:rPr>
          <w:rFonts w:cs="Times New Roman"/>
        </w:rPr>
        <w:t>年</w:t>
      </w:r>
      <w:r>
        <w:rPr>
          <w:rFonts w:cs="Times New Roman"/>
        </w:rPr>
        <w:t>4</w:t>
      </w:r>
      <w:r>
        <w:rPr>
          <w:rFonts w:cs="Times New Roman"/>
        </w:rPr>
        <w:t>月</w:t>
      </w:r>
      <w:r>
        <w:rPr>
          <w:rFonts w:cs="Times New Roman"/>
        </w:rPr>
        <w:t>9</w:t>
      </w:r>
      <w:r>
        <w:rPr>
          <w:rFonts w:cs="Times New Roman"/>
        </w:rPr>
        <w:t>日、</w:t>
      </w:r>
      <w:r>
        <w:rPr>
          <w:rFonts w:cs="Times New Roman"/>
        </w:rPr>
        <w:t>202</w:t>
      </w:r>
      <w:r>
        <w:rPr>
          <w:rFonts w:cs="Times New Roman"/>
        </w:rPr>
        <w:t>5</w:t>
      </w:r>
      <w:r>
        <w:rPr>
          <w:rFonts w:cs="Times New Roman"/>
        </w:rPr>
        <w:t>年</w:t>
      </w:r>
      <w:r>
        <w:rPr>
          <w:rFonts w:cs="Times New Roman"/>
        </w:rPr>
        <w:t>4</w:t>
      </w:r>
      <w:r>
        <w:rPr>
          <w:rFonts w:cs="Times New Roman"/>
        </w:rPr>
        <w:t>月</w:t>
      </w:r>
      <w:r>
        <w:rPr>
          <w:rFonts w:cs="Times New Roman"/>
        </w:rPr>
        <w:t>1</w:t>
      </w:r>
      <w:r>
        <w:rPr>
          <w:rFonts w:cs="Times New Roman"/>
        </w:rPr>
        <w:t>1</w:t>
      </w:r>
      <w:r>
        <w:rPr>
          <w:rFonts w:cs="Times New Roman"/>
        </w:rPr>
        <w:t>日，先后两次在《</w:t>
      </w:r>
      <w:r>
        <w:rPr>
          <w:rFonts w:cs="Times New Roman"/>
          <w:snapToGrid w:val="0"/>
        </w:rPr>
        <w:t>叶尔羌报</w:t>
      </w:r>
      <w:r>
        <w:rPr>
          <w:rFonts w:cs="Times New Roman"/>
        </w:rPr>
        <w:t>》上登报公示</w:t>
      </w:r>
      <w:r>
        <w:rPr>
          <w:rFonts w:cs="Times New Roman"/>
        </w:rPr>
        <w:t>。</w:t>
      </w:r>
      <w:r>
        <w:rPr>
          <w:rFonts w:eastAsiaTheme="minorEastAsia" w:cs="Times New Roman"/>
          <w:szCs w:val="24"/>
        </w:rPr>
        <w:t>公众参与期间，未收到公众</w:t>
      </w:r>
      <w:r>
        <w:rPr>
          <w:rFonts w:eastAsiaTheme="minorEastAsia" w:cs="Times New Roman"/>
          <w:szCs w:val="24"/>
        </w:rPr>
        <w:lastRenderedPageBreak/>
        <w:t>意见。</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45" w:name="_Toc381605945"/>
      <w:bookmarkStart w:id="46" w:name="_Toc319858544"/>
      <w:bookmarkStart w:id="47" w:name="_Toc27897"/>
      <w:bookmarkStart w:id="48" w:name="_Toc10145"/>
      <w:bookmarkStart w:id="49" w:name="_Toc98413473"/>
      <w:bookmarkStart w:id="50" w:name="_Toc4507834"/>
      <w:bookmarkStart w:id="51" w:name="_Toc154076970"/>
      <w:r>
        <w:rPr>
          <w:rFonts w:cs="Times New Roman" w:hint="default"/>
          <w:sz w:val="30"/>
          <w:szCs w:val="30"/>
        </w:rPr>
        <w:t>1.</w:t>
      </w:r>
      <w:bookmarkEnd w:id="45"/>
      <w:bookmarkEnd w:id="46"/>
      <w:r>
        <w:rPr>
          <w:rFonts w:cs="Times New Roman" w:hint="default"/>
          <w:sz w:val="30"/>
          <w:szCs w:val="30"/>
        </w:rPr>
        <w:t>4</w:t>
      </w:r>
      <w:r>
        <w:rPr>
          <w:rFonts w:cs="Times New Roman" w:hint="default"/>
          <w:sz w:val="30"/>
          <w:szCs w:val="30"/>
        </w:rPr>
        <w:t>分析判定相关情况</w:t>
      </w:r>
      <w:bookmarkEnd w:id="47"/>
      <w:bookmarkEnd w:id="48"/>
      <w:bookmarkEnd w:id="49"/>
      <w:bookmarkEnd w:id="50"/>
      <w:bookmarkEnd w:id="51"/>
    </w:p>
    <w:p w:rsidR="00A46452" w:rsidRDefault="009A3928" w:rsidP="00182EED">
      <w:pPr>
        <w:pStyle w:val="afffffffff5"/>
        <w:spacing w:after="0"/>
        <w:ind w:left="0" w:firstLine="480"/>
        <w:jc w:val="both"/>
        <w:rPr>
          <w:rFonts w:ascii="Times New Roman" w:hAnsi="Times New Roman" w:cs="Times New Roman" w:hint="default"/>
        </w:rPr>
      </w:pPr>
      <w:r>
        <w:rPr>
          <w:rFonts w:ascii="Times New Roman" w:hAnsi="Times New Roman" w:cs="Times New Roman" w:hint="default"/>
        </w:rPr>
        <w:t>根据《国民经济行业分类》（</w:t>
      </w:r>
      <w:r>
        <w:rPr>
          <w:rFonts w:ascii="Times New Roman" w:eastAsia="Times New Roman" w:hAnsi="Times New Roman" w:cs="Times New Roman" w:hint="default"/>
        </w:rPr>
        <w:t>GB/T4754-2017</w:t>
      </w:r>
      <w:r>
        <w:rPr>
          <w:rFonts w:ascii="Times New Roman" w:hAnsi="Times New Roman" w:cs="Times New Roman" w:hint="default"/>
        </w:rPr>
        <w:t>），本工程属其中的</w:t>
      </w:r>
      <w:r>
        <w:rPr>
          <w:rFonts w:ascii="Times New Roman" w:hAnsi="Times New Roman" w:cs="Times New Roman" w:hint="default"/>
        </w:rPr>
        <w:t>“</w:t>
      </w:r>
      <w:r>
        <w:rPr>
          <w:rFonts w:ascii="Times New Roman" w:eastAsia="Times New Roman" w:hAnsi="Times New Roman" w:cs="Times New Roman" w:hint="default"/>
        </w:rPr>
        <w:t>E4812</w:t>
      </w:r>
      <w:r>
        <w:rPr>
          <w:rFonts w:ascii="Times New Roman" w:hAnsi="Times New Roman" w:cs="Times New Roman" w:hint="default"/>
        </w:rPr>
        <w:t xml:space="preserve"> </w:t>
      </w:r>
      <w:r>
        <w:rPr>
          <w:rFonts w:ascii="Times New Roman" w:hAnsi="Times New Roman" w:cs="Times New Roman" w:hint="default"/>
        </w:rPr>
        <w:t>公路工程建筑</w:t>
      </w:r>
      <w:r>
        <w:rPr>
          <w:rFonts w:ascii="Times New Roman" w:hAnsi="Times New Roman" w:cs="Times New Roman" w:hint="default"/>
        </w:rPr>
        <w:t>”</w:t>
      </w:r>
      <w:r>
        <w:rPr>
          <w:rFonts w:ascii="Times New Roman" w:hAnsi="Times New Roman" w:cs="Times New Roman" w:hint="default"/>
        </w:rPr>
        <w:t>；根据《产业结构调整指导目录》（</w:t>
      </w:r>
      <w:r>
        <w:rPr>
          <w:rFonts w:ascii="Times New Roman" w:eastAsia="Times New Roman" w:hAnsi="Times New Roman" w:cs="Times New Roman" w:hint="default"/>
        </w:rPr>
        <w:t>2024</w:t>
      </w:r>
      <w:r>
        <w:rPr>
          <w:rFonts w:ascii="Times New Roman" w:hAnsi="Times New Roman" w:cs="Times New Roman" w:hint="default"/>
        </w:rPr>
        <w:t>年本），本项目属于</w:t>
      </w:r>
      <w:r>
        <w:rPr>
          <w:rFonts w:ascii="Times New Roman" w:hAnsi="Times New Roman" w:cs="Times New Roman" w:hint="default"/>
        </w:rPr>
        <w:t>“</w:t>
      </w:r>
      <w:r>
        <w:rPr>
          <w:rFonts w:ascii="Times New Roman" w:hAnsi="Times New Roman" w:cs="Times New Roman" w:hint="default"/>
        </w:rPr>
        <w:t>第一类鼓励类</w:t>
      </w:r>
      <w:r>
        <w:rPr>
          <w:rFonts w:ascii="Times New Roman" w:hAnsi="Times New Roman" w:cs="Times New Roman" w:hint="default"/>
        </w:rPr>
        <w:t xml:space="preserve"> </w:t>
      </w:r>
      <w:r>
        <w:rPr>
          <w:rFonts w:ascii="Times New Roman" w:hAnsi="Times New Roman" w:cs="Times New Roman" w:hint="default"/>
        </w:rPr>
        <w:t>第二十四条</w:t>
      </w:r>
      <w:r>
        <w:rPr>
          <w:rFonts w:ascii="Times New Roman" w:hAnsi="Times New Roman" w:cs="Times New Roman" w:hint="default"/>
        </w:rPr>
        <w:t xml:space="preserve"> </w:t>
      </w:r>
      <w:r>
        <w:rPr>
          <w:rFonts w:ascii="Times New Roman" w:hAnsi="Times New Roman" w:cs="Times New Roman" w:hint="default"/>
        </w:rPr>
        <w:t>公路及道路运输</w:t>
      </w:r>
      <w:r>
        <w:rPr>
          <w:rFonts w:ascii="Times New Roman" w:hAnsi="Times New Roman" w:cs="Times New Roman" w:hint="default"/>
        </w:rPr>
        <w:t>”</w:t>
      </w:r>
      <w:r>
        <w:rPr>
          <w:rFonts w:ascii="Times New Roman" w:hAnsi="Times New Roman" w:cs="Times New Roman" w:hint="default"/>
        </w:rPr>
        <w:t>中的</w:t>
      </w:r>
      <w:r>
        <w:rPr>
          <w:rFonts w:ascii="Times New Roman" w:hAnsi="Times New Roman" w:cs="Times New Roman" w:hint="default"/>
        </w:rPr>
        <w:t xml:space="preserve">“1 </w:t>
      </w:r>
      <w:r>
        <w:rPr>
          <w:rFonts w:ascii="Times New Roman" w:hAnsi="Times New Roman" w:cs="Times New Roman" w:hint="default"/>
        </w:rPr>
        <w:t>公路交通网络建设</w:t>
      </w:r>
      <w:r>
        <w:rPr>
          <w:rFonts w:ascii="Times New Roman" w:hAnsi="Times New Roman" w:cs="Times New Roman" w:hint="default"/>
        </w:rPr>
        <w:t xml:space="preserve"> </w:t>
      </w:r>
      <w:r>
        <w:rPr>
          <w:rFonts w:ascii="Times New Roman" w:hAnsi="Times New Roman" w:cs="Times New Roman" w:hint="default"/>
        </w:rPr>
        <w:t>国省干线改造升级</w:t>
      </w:r>
      <w:r>
        <w:rPr>
          <w:rFonts w:ascii="Times New Roman" w:hAnsi="Times New Roman" w:cs="Times New Roman" w:hint="default"/>
        </w:rPr>
        <w:t>”</w:t>
      </w:r>
      <w:r>
        <w:rPr>
          <w:rFonts w:ascii="Times New Roman" w:hAnsi="Times New Roman" w:cs="Times New Roman" w:hint="default"/>
        </w:rPr>
        <w:t>。因此，本项目的建设符合国家当前的相关产业政策。</w:t>
      </w:r>
    </w:p>
    <w:p w:rsidR="00A46452" w:rsidRDefault="009A3928" w:rsidP="00182EED">
      <w:pPr>
        <w:pStyle w:val="afffffffff5"/>
        <w:spacing w:after="0"/>
        <w:ind w:left="0" w:firstLine="480"/>
        <w:jc w:val="both"/>
        <w:rPr>
          <w:rFonts w:ascii="Times New Roman" w:hAnsi="Times New Roman" w:cs="Times New Roman" w:hint="default"/>
        </w:rPr>
      </w:pPr>
      <w:r>
        <w:rPr>
          <w:rFonts w:ascii="Times New Roman" w:hAnsi="Times New Roman" w:cs="Times New Roman" w:hint="default"/>
        </w:rPr>
        <w:t>第三师图木舒克市</w:t>
      </w:r>
      <w:r>
        <w:rPr>
          <w:rFonts w:ascii="Times New Roman" w:hAnsi="Times New Roman" w:cs="Times New Roman" w:hint="default"/>
        </w:rPr>
        <w:t>-</w:t>
      </w:r>
      <w:r>
        <w:rPr>
          <w:rFonts w:ascii="Times New Roman" w:hAnsi="Times New Roman" w:cs="Times New Roman" w:hint="default"/>
        </w:rPr>
        <w:t>柯坪县</w:t>
      </w:r>
      <w:r>
        <w:rPr>
          <w:rFonts w:ascii="Times New Roman" w:hAnsi="Times New Roman" w:cs="Times New Roman" w:hint="default"/>
        </w:rPr>
        <w:t>-</w:t>
      </w:r>
      <w:r>
        <w:rPr>
          <w:rFonts w:ascii="Times New Roman" w:hAnsi="Times New Roman" w:cs="Times New Roman" w:hint="default"/>
        </w:rPr>
        <w:t>乌什县（图木舒克</w:t>
      </w:r>
      <w:r>
        <w:rPr>
          <w:rFonts w:ascii="Times New Roman" w:hAnsi="Times New Roman" w:cs="Times New Roman" w:hint="default"/>
        </w:rPr>
        <w:t>-</w:t>
      </w:r>
      <w:r>
        <w:rPr>
          <w:rFonts w:ascii="Times New Roman" w:hAnsi="Times New Roman" w:cs="Times New Roman" w:hint="default"/>
        </w:rPr>
        <w:t>柯坪段）公路是《国家公路网规划（</w:t>
      </w:r>
      <w:r>
        <w:rPr>
          <w:rFonts w:ascii="Times New Roman" w:hAnsi="Times New Roman" w:cs="Times New Roman" w:hint="default"/>
        </w:rPr>
        <w:t>2013</w:t>
      </w:r>
      <w:r>
        <w:rPr>
          <w:rFonts w:ascii="Times New Roman" w:hAnsi="Times New Roman" w:cs="Times New Roman" w:hint="default"/>
        </w:rPr>
        <w:t>年</w:t>
      </w:r>
      <w:r>
        <w:rPr>
          <w:rFonts w:ascii="Times New Roman" w:hAnsi="Times New Roman" w:cs="Times New Roman" w:hint="default"/>
        </w:rPr>
        <w:t>-2030</w:t>
      </w:r>
      <w:r>
        <w:rPr>
          <w:rFonts w:ascii="Times New Roman" w:hAnsi="Times New Roman" w:cs="Times New Roman" w:hint="default"/>
        </w:rPr>
        <w:t>年）》普通国道网</w:t>
      </w:r>
      <w:r>
        <w:rPr>
          <w:rFonts w:ascii="Times New Roman" w:hAnsi="Times New Roman" w:cs="Times New Roman" w:hint="default"/>
        </w:rPr>
        <w:t>G3012</w:t>
      </w:r>
      <w:r>
        <w:rPr>
          <w:rFonts w:ascii="Times New Roman" w:hAnsi="Times New Roman" w:cs="Times New Roman" w:hint="default"/>
        </w:rPr>
        <w:t>、</w:t>
      </w:r>
      <w:r>
        <w:rPr>
          <w:rFonts w:ascii="Times New Roman" w:hAnsi="Times New Roman" w:cs="Times New Roman" w:hint="default"/>
        </w:rPr>
        <w:t>G314</w:t>
      </w:r>
      <w:r>
        <w:rPr>
          <w:rFonts w:ascii="Times New Roman" w:hAnsi="Times New Roman" w:cs="Times New Roman" w:hint="default"/>
        </w:rPr>
        <w:t>的重要组成部分，是《新疆维吾尔自治区公路网规划（</w:t>
      </w:r>
      <w:r>
        <w:rPr>
          <w:rFonts w:ascii="Times New Roman" w:hAnsi="Times New Roman" w:cs="Times New Roman" w:hint="default"/>
        </w:rPr>
        <w:t>2021-2050</w:t>
      </w:r>
      <w:r>
        <w:rPr>
          <w:rFonts w:ascii="Times New Roman" w:hAnsi="Times New Roman" w:cs="Times New Roman" w:hint="default"/>
        </w:rPr>
        <w:t>年）》南疆环的重要组成部分，同时是兵团省道网</w:t>
      </w:r>
      <w:r>
        <w:rPr>
          <w:rFonts w:ascii="Times New Roman" w:hAnsi="Times New Roman" w:cs="Times New Roman" w:hint="default"/>
        </w:rPr>
        <w:t>规划</w:t>
      </w:r>
      <w:r>
        <w:rPr>
          <w:rFonts w:ascii="Times New Roman" w:hAnsi="Times New Roman" w:cs="Times New Roman" w:hint="default"/>
        </w:rPr>
        <w:t>S308</w:t>
      </w:r>
      <w:r>
        <w:rPr>
          <w:rFonts w:ascii="Times New Roman" w:hAnsi="Times New Roman" w:cs="Times New Roman" w:hint="default"/>
        </w:rPr>
        <w:t>线（图木舒克市</w:t>
      </w:r>
      <w:r>
        <w:rPr>
          <w:rFonts w:ascii="Times New Roman" w:hAnsi="Times New Roman" w:cs="Times New Roman" w:hint="default"/>
        </w:rPr>
        <w:t>-</w:t>
      </w:r>
      <w:r>
        <w:rPr>
          <w:rFonts w:ascii="Times New Roman" w:hAnsi="Times New Roman" w:cs="Times New Roman" w:hint="default"/>
        </w:rPr>
        <w:t>乌什县）的重要组成部分，</w:t>
      </w:r>
      <w:r>
        <w:rPr>
          <w:rFonts w:ascii="Times New Roman" w:hAnsi="Times New Roman" w:cs="Times New Roman" w:hint="default"/>
        </w:rPr>
        <w:t>符合沿线路网规划。</w:t>
      </w:r>
    </w:p>
    <w:p w:rsidR="00A46452" w:rsidRDefault="009A3928" w:rsidP="00182EED">
      <w:pPr>
        <w:pStyle w:val="afffffffff5"/>
        <w:spacing w:after="0"/>
        <w:ind w:left="0" w:firstLine="480"/>
        <w:jc w:val="both"/>
        <w:rPr>
          <w:rFonts w:ascii="Times New Roman" w:hAnsi="Times New Roman" w:cs="Times New Roman" w:hint="default"/>
        </w:rPr>
      </w:pPr>
      <w:r>
        <w:rPr>
          <w:rFonts w:ascii="Times New Roman" w:hAnsi="Times New Roman" w:cs="Times New Roman" w:hint="default"/>
        </w:rPr>
        <w:t>拟建公路</w:t>
      </w:r>
      <w:r>
        <w:rPr>
          <w:rFonts w:ascii="Times New Roman" w:hAnsi="Times New Roman" w:cs="Times New Roman" w:hint="default"/>
        </w:rPr>
        <w:t>符合《喀什地区生态环境分区管控方案（</w:t>
      </w:r>
      <w:r>
        <w:rPr>
          <w:rFonts w:ascii="Times New Roman" w:hAnsi="Times New Roman" w:cs="Times New Roman" w:hint="default"/>
        </w:rPr>
        <w:t>2023</w:t>
      </w:r>
      <w:r>
        <w:rPr>
          <w:rFonts w:ascii="Times New Roman" w:hAnsi="Times New Roman" w:cs="Times New Roman" w:hint="default"/>
        </w:rPr>
        <w:t>版）》《阿克苏地区生态环境分区管控方案（</w:t>
      </w:r>
      <w:r>
        <w:rPr>
          <w:rFonts w:ascii="Times New Roman" w:hAnsi="Times New Roman" w:cs="Times New Roman" w:hint="default"/>
        </w:rPr>
        <w:t>2023</w:t>
      </w:r>
      <w:r>
        <w:rPr>
          <w:rFonts w:ascii="Times New Roman" w:hAnsi="Times New Roman" w:cs="Times New Roman" w:hint="default"/>
        </w:rPr>
        <w:t>版）》《新疆生产建设兵团三师图木舒克市生态环境分区管控方案（</w:t>
      </w:r>
      <w:r>
        <w:rPr>
          <w:rFonts w:ascii="Times New Roman" w:hAnsi="Times New Roman" w:cs="Times New Roman" w:hint="default"/>
        </w:rPr>
        <w:t>2023</w:t>
      </w:r>
      <w:r>
        <w:rPr>
          <w:rFonts w:ascii="Times New Roman" w:hAnsi="Times New Roman" w:cs="Times New Roman" w:hint="default"/>
        </w:rPr>
        <w:t>版）》的相关管控要求。</w:t>
      </w:r>
    </w:p>
    <w:p w:rsidR="00A46452" w:rsidRDefault="009A3928" w:rsidP="00182EED">
      <w:pPr>
        <w:pStyle w:val="afffffffff5"/>
        <w:spacing w:after="0"/>
        <w:ind w:left="0" w:firstLine="480"/>
        <w:jc w:val="both"/>
        <w:rPr>
          <w:rFonts w:ascii="Times New Roman" w:hAnsi="Times New Roman" w:cs="Times New Roman" w:hint="default"/>
          <w:lang w:val="zh-CN"/>
        </w:rPr>
      </w:pPr>
      <w:r>
        <w:rPr>
          <w:rFonts w:ascii="Times New Roman" w:hAnsi="Times New Roman" w:cs="Times New Roman" w:hint="default"/>
        </w:rPr>
        <w:t>拟建公路</w:t>
      </w:r>
      <w:r>
        <w:rPr>
          <w:rFonts w:ascii="Times New Roman" w:hAnsi="Times New Roman" w:cs="Times New Roman" w:hint="default"/>
        </w:rPr>
        <w:t>在</w:t>
      </w:r>
      <w:r>
        <w:rPr>
          <w:rFonts w:ascii="Times New Roman" w:hAnsi="Times New Roman" w:cs="Times New Roman" w:hint="default"/>
        </w:rPr>
        <w:t>K3+280~K3+520</w:t>
      </w:r>
      <w:r>
        <w:rPr>
          <w:rFonts w:ascii="Times New Roman" w:hAnsi="Times New Roman" w:cs="Times New Roman" w:hint="default"/>
        </w:rPr>
        <w:t>、</w:t>
      </w:r>
      <w:r>
        <w:rPr>
          <w:rFonts w:ascii="Times New Roman" w:hAnsi="Times New Roman" w:cs="Times New Roman" w:hint="default"/>
        </w:rPr>
        <w:t>K4+440~K4+620</w:t>
      </w:r>
      <w:r>
        <w:rPr>
          <w:rFonts w:ascii="Times New Roman" w:hAnsi="Times New Roman" w:cs="Times New Roman" w:hint="default"/>
        </w:rPr>
        <w:t>、</w:t>
      </w:r>
      <w:r>
        <w:rPr>
          <w:rFonts w:ascii="Times New Roman" w:hAnsi="Times New Roman" w:cs="Times New Roman" w:hint="default"/>
        </w:rPr>
        <w:t>K22+460~K24+680</w:t>
      </w:r>
      <w:r>
        <w:rPr>
          <w:rFonts w:ascii="Times New Roman" w:hAnsi="Times New Roman" w:cs="Times New Roman" w:hint="default"/>
        </w:rPr>
        <w:t>、</w:t>
      </w:r>
      <w:r>
        <w:rPr>
          <w:rFonts w:ascii="Times New Roman" w:hAnsi="Times New Roman" w:cs="Times New Roman" w:hint="default"/>
        </w:rPr>
        <w:t>K26+780~K32+240</w:t>
      </w:r>
      <w:r>
        <w:rPr>
          <w:rFonts w:ascii="Times New Roman" w:hAnsi="Times New Roman" w:cs="Times New Roman" w:hint="default"/>
        </w:rPr>
        <w:t>，</w:t>
      </w:r>
      <w:r>
        <w:rPr>
          <w:rFonts w:ascii="Times New Roman" w:hAnsi="Times New Roman" w:cs="Times New Roman" w:hint="default"/>
        </w:rPr>
        <w:t>K42+980~K45+540</w:t>
      </w:r>
      <w:r>
        <w:rPr>
          <w:rFonts w:ascii="Times New Roman" w:hAnsi="Times New Roman" w:cs="Times New Roman" w:hint="default"/>
        </w:rPr>
        <w:t>路段占用第三师图木舒克市、喀什地区巴楚县国家二级公益林，面积</w:t>
      </w:r>
      <w:r>
        <w:rPr>
          <w:rFonts w:ascii="Times New Roman" w:hAnsi="Times New Roman" w:cs="Times New Roman" w:hint="default"/>
        </w:rPr>
        <w:t>23.19hm</w:t>
      </w:r>
      <w:r>
        <w:rPr>
          <w:rFonts w:ascii="Times New Roman" w:hAnsi="Times New Roman" w:cs="Times New Roman" w:hint="default"/>
          <w:vertAlign w:val="superscript"/>
        </w:rPr>
        <w:t>2</w:t>
      </w:r>
      <w:r>
        <w:rPr>
          <w:rFonts w:ascii="Times New Roman" w:hAnsi="Times New Roman" w:cs="Times New Roman" w:hint="default"/>
        </w:rPr>
        <w:t>，不可避免地对其造成影响。选线时，尽量选择公益林稀疏的区域进行穿越，严控施工范围、避免对生态环境进行大范围扰动。在依法</w:t>
      </w:r>
      <w:r>
        <w:rPr>
          <w:rFonts w:ascii="Times New Roman" w:hAnsi="Times New Roman" w:cs="Times New Roman" w:hint="default"/>
          <w:lang w:val="zh-CN"/>
        </w:rPr>
        <w:t>取得</w:t>
      </w:r>
      <w:r>
        <w:rPr>
          <w:rFonts w:ascii="Times New Roman" w:hAnsi="Times New Roman" w:cs="Times New Roman" w:hint="default"/>
        </w:rPr>
        <w:t>国家、自治区、兵团</w:t>
      </w:r>
      <w:r>
        <w:rPr>
          <w:rFonts w:ascii="Times New Roman" w:hAnsi="Times New Roman" w:cs="Times New Roman" w:hint="default"/>
          <w:lang w:val="zh-CN"/>
        </w:rPr>
        <w:t>林业和草原主管部门的同意后方可施工。</w:t>
      </w:r>
    </w:p>
    <w:p w:rsidR="00A46452" w:rsidRDefault="009A3928">
      <w:pPr>
        <w:pStyle w:val="af0"/>
        <w:widowControl w:val="0"/>
        <w:wordWrap w:val="0"/>
        <w:topLinePunct/>
        <w:adjustRightInd w:val="0"/>
        <w:snapToGrid w:val="0"/>
        <w:ind w:firstLine="480"/>
        <w:rPr>
          <w:rFonts w:cs="Times New Roman" w:hint="default"/>
          <w:sz w:val="24"/>
          <w:szCs w:val="22"/>
        </w:rPr>
      </w:pPr>
      <w:bookmarkStart w:id="52" w:name="_Toc98413526"/>
      <w:bookmarkStart w:id="53" w:name="_Toc97464631"/>
      <w:bookmarkStart w:id="54" w:name="_Toc98414208"/>
      <w:bookmarkStart w:id="55" w:name="_Toc4507835"/>
      <w:r>
        <w:rPr>
          <w:rFonts w:cs="Times New Roman" w:hint="default"/>
          <w:sz w:val="24"/>
          <w:szCs w:val="22"/>
        </w:rPr>
        <w:t>根据项目所在地环境质量现状调查和本项目污染排放影响预测可知，本项目运营后对区域内环境影响较小，环境质量可以保持现有水平，不会对区域环境质量底线造成冲击，因此本项目建设满足环境质量底线要求。本项目建设及营运过程中能耗、水资源消耗较小。本项目建设永久占地会对当地农业生产及林地资源造成一定的影响。项目</w:t>
      </w:r>
      <w:r>
        <w:rPr>
          <w:rFonts w:cs="Times New Roman" w:hint="default"/>
          <w:sz w:val="24"/>
          <w:szCs w:val="22"/>
        </w:rPr>
        <w:t>不占用基本农田，</w:t>
      </w:r>
      <w:r>
        <w:rPr>
          <w:rFonts w:cs="Times New Roman" w:hint="default"/>
          <w:sz w:val="24"/>
          <w:szCs w:val="22"/>
        </w:rPr>
        <w:t>占用的耕地林地，相对于整个第三师图木舒克市、喀什地区巴楚县及阿克苏地区柯坪县来说，土地资源占用的较少，同时实施土地占补平衡，项目建设符合资源利用上线要求。建设单位应按照国家、自治区相关的规定缴纳耕地开垦费和森林植被恢复费，由相关单位进行等数量的耕地开垦和森林植被恢复。</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lastRenderedPageBreak/>
        <w:t>本项目属于公路基础设施建设项目，属于《关于在国土空间规划中统筹划定落实三条控制线的指导意见》中明确的允许类活动。本次环评要求，工程在实施过程中，应严格执行相关生态保护措施，并在取得</w:t>
      </w:r>
      <w:r>
        <w:rPr>
          <w:rFonts w:cs="Times New Roman" w:hint="default"/>
          <w:sz w:val="24"/>
          <w:szCs w:val="22"/>
          <w:lang w:val="zh-CN"/>
        </w:rPr>
        <w:t>林业和草原主管部门</w:t>
      </w:r>
      <w:r>
        <w:rPr>
          <w:rFonts w:cs="Times New Roman" w:hint="default"/>
          <w:sz w:val="24"/>
          <w:szCs w:val="22"/>
        </w:rPr>
        <w:t>等行政许可手续后，项目方可建设实施。</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56" w:name="_Toc28819"/>
      <w:r>
        <w:rPr>
          <w:rFonts w:cs="Times New Roman" w:hint="default"/>
          <w:sz w:val="30"/>
          <w:szCs w:val="30"/>
        </w:rPr>
        <w:t>1.5</w:t>
      </w:r>
      <w:r>
        <w:rPr>
          <w:rFonts w:cs="Times New Roman" w:hint="default"/>
          <w:sz w:val="30"/>
          <w:szCs w:val="30"/>
        </w:rPr>
        <w:t>关注的主要环境问题</w:t>
      </w:r>
      <w:bookmarkEnd w:id="56"/>
    </w:p>
    <w:p w:rsidR="00A46452" w:rsidRDefault="009A3928">
      <w:pPr>
        <w:pStyle w:val="001"/>
        <w:wordWrap w:val="0"/>
        <w:topLinePunct/>
        <w:adjustRightInd w:val="0"/>
        <w:snapToGrid w:val="0"/>
        <w:ind w:firstLine="480"/>
        <w:rPr>
          <w:rFonts w:cs="Times New Roman"/>
        </w:rPr>
      </w:pPr>
      <w:r>
        <w:rPr>
          <w:rFonts w:cs="Times New Roman"/>
        </w:rPr>
        <w:t>拟建项目重点关注的生态环境问题主要为交通噪声及水环境风险等环境问题，工程建设不存在重大的制约因素。</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w:t>
      </w:r>
      <w:r>
        <w:rPr>
          <w:rFonts w:cs="Times New Roman" w:hint="default"/>
          <w:sz w:val="24"/>
          <w:szCs w:val="22"/>
        </w:rPr>
        <w:t>1</w:t>
      </w:r>
      <w:r>
        <w:rPr>
          <w:rFonts w:cs="Times New Roman" w:hint="default"/>
          <w:sz w:val="24"/>
          <w:szCs w:val="22"/>
        </w:rPr>
        <w:t>）生态环境</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施工期进行路基、桥梁建设，沿线将设置施工综合场站、施工便道等</w:t>
      </w:r>
      <w:r>
        <w:rPr>
          <w:rFonts w:cs="Times New Roman" w:hint="default"/>
          <w:sz w:val="24"/>
          <w:szCs w:val="22"/>
        </w:rPr>
        <w:t>，</w:t>
      </w:r>
      <w:r>
        <w:rPr>
          <w:rFonts w:cs="Times New Roman" w:hint="default"/>
          <w:sz w:val="24"/>
          <w:szCs w:val="22"/>
        </w:rPr>
        <w:t>因此将占用一定面积土地，</w:t>
      </w:r>
      <w:r>
        <w:rPr>
          <w:rFonts w:cs="Times New Roman" w:hint="default"/>
          <w:sz w:val="24"/>
          <w:szCs w:val="22"/>
        </w:rPr>
        <w:t>破坏植被，</w:t>
      </w:r>
      <w:r>
        <w:rPr>
          <w:rFonts w:cs="Times New Roman" w:hint="default"/>
          <w:sz w:val="24"/>
          <w:szCs w:val="22"/>
        </w:rPr>
        <w:t>加大水土流失，</w:t>
      </w:r>
      <w:r>
        <w:rPr>
          <w:rFonts w:cs="Times New Roman" w:hint="default"/>
          <w:sz w:val="24"/>
          <w:szCs w:val="22"/>
        </w:rPr>
        <w:t>临时占地的恢复为施工期重点；同时以工程建设对国家二级公益林、野生动植物等环境影响评价及生态保护措施为重点。</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w:t>
      </w:r>
      <w:r>
        <w:rPr>
          <w:rFonts w:cs="Times New Roman" w:hint="default"/>
          <w:sz w:val="24"/>
          <w:szCs w:val="22"/>
        </w:rPr>
        <w:t>2</w:t>
      </w:r>
      <w:r>
        <w:rPr>
          <w:rFonts w:cs="Times New Roman" w:hint="default"/>
          <w:sz w:val="24"/>
          <w:szCs w:val="22"/>
        </w:rPr>
        <w:t>）水环境</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施工站场、桥梁、涵洞施工产生的废水、废渣对拟建公路途经水体的影响以及道路施工对沿途水体产生的影响，尤其是跨越喀什噶尔河、突来买提河、柯坪河、苏贝希沟</w:t>
      </w:r>
      <w:r>
        <w:rPr>
          <w:rFonts w:cs="Times New Roman" w:hint="default"/>
          <w:sz w:val="24"/>
          <w:szCs w:val="22"/>
        </w:rPr>
        <w:t>-</w:t>
      </w:r>
      <w:r>
        <w:rPr>
          <w:rFonts w:cs="Times New Roman" w:hint="default"/>
          <w:sz w:val="24"/>
          <w:szCs w:val="22"/>
        </w:rPr>
        <w:t>沟</w:t>
      </w:r>
      <w:r>
        <w:rPr>
          <w:rFonts w:cs="Times New Roman" w:hint="default"/>
          <w:sz w:val="24"/>
          <w:szCs w:val="22"/>
        </w:rPr>
        <w:t>-</w:t>
      </w:r>
      <w:r>
        <w:rPr>
          <w:rFonts w:cs="Times New Roman" w:hint="default"/>
          <w:sz w:val="24"/>
          <w:szCs w:val="22"/>
        </w:rPr>
        <w:t>加依洛萨依河等沿途水环境保护目标的影响，为施工期本工程重点关注的环境问题。</w:t>
      </w:r>
      <w:r>
        <w:rPr>
          <w:rFonts w:cs="Times New Roman" w:hint="default"/>
          <w:sz w:val="24"/>
          <w:szCs w:val="22"/>
        </w:rPr>
        <w:t>以营运期危险化学品运输事故泄漏对跨越的敏感水体等环境保护目标可能造成的环境污染危害分析及防范措施对策为重点。</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w:t>
      </w:r>
      <w:r>
        <w:rPr>
          <w:rFonts w:cs="Times New Roman" w:hint="default"/>
          <w:sz w:val="24"/>
          <w:szCs w:val="22"/>
        </w:rPr>
        <w:t>3</w:t>
      </w:r>
      <w:r>
        <w:rPr>
          <w:rFonts w:cs="Times New Roman" w:hint="default"/>
          <w:sz w:val="24"/>
          <w:szCs w:val="22"/>
        </w:rPr>
        <w:t>）声环境</w:t>
      </w:r>
    </w:p>
    <w:p w:rsidR="00A46452" w:rsidRDefault="009A3928">
      <w:pPr>
        <w:pStyle w:val="af0"/>
        <w:widowControl w:val="0"/>
        <w:wordWrap w:val="0"/>
        <w:topLinePunct/>
        <w:adjustRightInd w:val="0"/>
        <w:snapToGrid w:val="0"/>
        <w:ind w:firstLine="480"/>
        <w:rPr>
          <w:rFonts w:cs="Times New Roman" w:hint="default"/>
          <w:sz w:val="24"/>
          <w:szCs w:val="22"/>
        </w:rPr>
      </w:pPr>
      <w:r>
        <w:rPr>
          <w:rFonts w:cs="Times New Roman" w:hint="default"/>
          <w:sz w:val="24"/>
          <w:szCs w:val="22"/>
        </w:rPr>
        <w:t>运营期交通噪声对沿线声环境保护目标的影响评价和噪声污染防治措施为重点</w:t>
      </w:r>
      <w:r>
        <w:rPr>
          <w:rFonts w:cs="Times New Roman" w:hint="default"/>
          <w:sz w:val="24"/>
          <w:szCs w:val="22"/>
        </w:rPr>
        <w:t>。</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57" w:name="_Toc4507836"/>
      <w:bookmarkStart w:id="58" w:name="_Toc23613"/>
      <w:bookmarkStart w:id="59" w:name="_Toc371417625"/>
      <w:bookmarkStart w:id="60" w:name="_Toc187080686"/>
      <w:bookmarkStart w:id="61" w:name="_Toc381605946"/>
      <w:bookmarkStart w:id="62" w:name="_Toc367887818"/>
      <w:r>
        <w:rPr>
          <w:rFonts w:cs="Times New Roman" w:hint="default"/>
          <w:sz w:val="30"/>
          <w:szCs w:val="30"/>
        </w:rPr>
        <w:t>1.6</w:t>
      </w:r>
      <w:r>
        <w:rPr>
          <w:rFonts w:cs="Times New Roman" w:hint="default"/>
          <w:sz w:val="30"/>
          <w:szCs w:val="30"/>
        </w:rPr>
        <w:t>环境影响评价的主要结论</w:t>
      </w:r>
      <w:bookmarkEnd w:id="57"/>
      <w:bookmarkEnd w:id="58"/>
      <w:bookmarkEnd w:id="59"/>
      <w:bookmarkEnd w:id="60"/>
      <w:bookmarkEnd w:id="61"/>
      <w:bookmarkEnd w:id="62"/>
    </w:p>
    <w:p w:rsidR="00A46452" w:rsidRDefault="009A3928">
      <w:pPr>
        <w:pStyle w:val="001"/>
        <w:wordWrap w:val="0"/>
        <w:topLinePunct/>
        <w:adjustRightInd w:val="0"/>
        <w:snapToGrid w:val="0"/>
        <w:ind w:firstLine="480"/>
        <w:rPr>
          <w:rFonts w:cs="Times New Roman"/>
        </w:rPr>
      </w:pPr>
      <w:r>
        <w:rPr>
          <w:rFonts w:cs="Times New Roman"/>
        </w:rPr>
        <w:t>本项目的建设符合《国家公路网规划（</w:t>
      </w:r>
      <w:r>
        <w:rPr>
          <w:rFonts w:cs="Times New Roman"/>
        </w:rPr>
        <w:t>2013</w:t>
      </w:r>
      <w:r>
        <w:rPr>
          <w:rFonts w:cs="Times New Roman"/>
        </w:rPr>
        <w:t>年</w:t>
      </w:r>
      <w:r>
        <w:rPr>
          <w:rFonts w:cs="Times New Roman"/>
        </w:rPr>
        <w:t>-</w:t>
      </w:r>
      <w:r>
        <w:rPr>
          <w:rFonts w:cs="Times New Roman"/>
        </w:rPr>
        <w:t>2030</w:t>
      </w:r>
      <w:r>
        <w:rPr>
          <w:rFonts w:cs="Times New Roman"/>
        </w:rPr>
        <w:t>年）</w:t>
      </w:r>
      <w:r>
        <w:rPr>
          <w:rFonts w:cs="Times New Roman"/>
        </w:rPr>
        <w:t>》《</w:t>
      </w:r>
      <w:r>
        <w:rPr>
          <w:rFonts w:cs="Times New Roman"/>
        </w:rPr>
        <w:t>新疆维吾尔自治区公路网规划（</w:t>
      </w:r>
      <w:r>
        <w:rPr>
          <w:rFonts w:cs="Times New Roman"/>
        </w:rPr>
        <w:t>2021</w:t>
      </w:r>
      <w:r>
        <w:rPr>
          <w:rFonts w:cs="Times New Roman"/>
        </w:rPr>
        <w:t>-</w:t>
      </w:r>
      <w:r>
        <w:rPr>
          <w:rFonts w:cs="Times New Roman"/>
        </w:rPr>
        <w:t>2050</w:t>
      </w:r>
      <w:r>
        <w:rPr>
          <w:rFonts w:cs="Times New Roman"/>
        </w:rPr>
        <w:t>年）</w:t>
      </w:r>
      <w:r>
        <w:rPr>
          <w:rFonts w:cs="Times New Roman"/>
        </w:rPr>
        <w:t>》</w:t>
      </w:r>
      <w:r>
        <w:rPr>
          <w:rFonts w:cs="Times New Roman"/>
        </w:rPr>
        <w:t>《新疆生产建设兵团</w:t>
      </w:r>
      <w:r>
        <w:rPr>
          <w:rFonts w:cs="Times New Roman"/>
        </w:rPr>
        <w:t>“</w:t>
      </w:r>
      <w:r>
        <w:rPr>
          <w:rFonts w:cs="Times New Roman"/>
        </w:rPr>
        <w:t>十四五</w:t>
      </w:r>
      <w:r>
        <w:rPr>
          <w:rFonts w:cs="Times New Roman"/>
        </w:rPr>
        <w:t>”</w:t>
      </w:r>
      <w:r>
        <w:rPr>
          <w:rFonts w:cs="Times New Roman"/>
        </w:rPr>
        <w:t>综合交通运输发展规划》《第三师图木舒克市综合交通运输</w:t>
      </w:r>
      <w:r>
        <w:rPr>
          <w:rFonts w:cs="Times New Roman"/>
        </w:rPr>
        <w:t>“</w:t>
      </w:r>
      <w:r>
        <w:rPr>
          <w:rFonts w:cs="Times New Roman"/>
        </w:rPr>
        <w:t>十四五</w:t>
      </w:r>
      <w:r>
        <w:rPr>
          <w:rFonts w:cs="Times New Roman"/>
        </w:rPr>
        <w:t>”</w:t>
      </w:r>
      <w:r>
        <w:rPr>
          <w:rFonts w:cs="Times New Roman"/>
        </w:rPr>
        <w:t>发展规划》</w:t>
      </w:r>
      <w:r>
        <w:rPr>
          <w:rFonts w:cs="Times New Roman"/>
        </w:rPr>
        <w:t>等有关规划。项目实施后，将完善新疆兵团南疆区域交通路网建设，改善区域交通状况、提高项目沿线居民出行条件、加快城镇一体化建设、带动附近团场经济发展</w:t>
      </w:r>
      <w:r>
        <w:rPr>
          <w:rFonts w:cs="Times New Roman"/>
        </w:rPr>
        <w:t>、</w:t>
      </w:r>
      <w:r>
        <w:rPr>
          <w:rFonts w:cs="Times New Roman"/>
        </w:rPr>
        <w:t>对维护</w:t>
      </w:r>
      <w:r>
        <w:rPr>
          <w:rFonts w:cs="Times New Roman"/>
        </w:rPr>
        <w:lastRenderedPageBreak/>
        <w:t>新疆和兵团社会稳定和长治久安，具有一定的经济效益和社会效益。</w:t>
      </w:r>
    </w:p>
    <w:p w:rsidR="00A46452" w:rsidRDefault="009A3928">
      <w:pPr>
        <w:pStyle w:val="001"/>
        <w:wordWrap w:val="0"/>
        <w:topLinePunct/>
        <w:adjustRightInd w:val="0"/>
        <w:snapToGrid w:val="0"/>
        <w:ind w:firstLine="480"/>
        <w:rPr>
          <w:rFonts w:cs="Times New Roman"/>
        </w:rPr>
      </w:pPr>
      <w:r>
        <w:rPr>
          <w:rFonts w:cs="Times New Roman"/>
        </w:rPr>
        <w:t>本项目建设和运营期间，会对沿线一定区域的环境空气、声环境产生不同程度的影响，同时项目占地还将对沿线的生态环境和社会环境产生一定影响。根据施工期</w:t>
      </w:r>
      <w:r>
        <w:rPr>
          <w:rFonts w:cs="Times New Roman"/>
        </w:rPr>
        <w:t>和运营期污染物排放情况及影响预测分析，本项目施工和运营期对环境影响</w:t>
      </w:r>
      <w:r>
        <w:rPr>
          <w:rFonts w:cs="Times New Roman"/>
        </w:rPr>
        <w:t>较小</w:t>
      </w:r>
      <w:r>
        <w:rPr>
          <w:rFonts w:cs="Times New Roman"/>
        </w:rPr>
        <w:t>，通过在设计、施工和运营期落实报告书提出的各项环保措施，按国家相关</w:t>
      </w:r>
      <w:r>
        <w:rPr>
          <w:rFonts w:cs="Times New Roman"/>
        </w:rPr>
        <w:t>法律法规</w:t>
      </w:r>
      <w:r>
        <w:rPr>
          <w:rFonts w:cs="Times New Roman"/>
        </w:rPr>
        <w:t>要求办理征地、补偿等手续后，在征得相关管理部门同意的情况下，工程对环境的不利影响可以得到有效控制和缓解，因此，从环保角度来说该项目建设是可行的。</w:t>
      </w:r>
    </w:p>
    <w:p w:rsidR="00A46452" w:rsidRDefault="009A3928">
      <w:pPr>
        <w:pStyle w:val="001"/>
        <w:wordWrap w:val="0"/>
        <w:topLinePunct/>
        <w:adjustRightInd w:val="0"/>
        <w:snapToGrid w:val="0"/>
        <w:ind w:firstLine="480"/>
        <w:rPr>
          <w:rFonts w:cs="Times New Roman"/>
        </w:rPr>
      </w:pPr>
      <w:r>
        <w:rPr>
          <w:rFonts w:cs="Times New Roman"/>
        </w:rPr>
        <w:t>在本项目环境影响报告书编制过程中，评价单位得到了新疆生产建设兵团第</w:t>
      </w:r>
      <w:r>
        <w:rPr>
          <w:rFonts w:cs="Times New Roman"/>
        </w:rPr>
        <w:t>三</w:t>
      </w:r>
      <w:r>
        <w:rPr>
          <w:rFonts w:cs="Times New Roman"/>
        </w:rPr>
        <w:t>师</w:t>
      </w:r>
      <w:r>
        <w:rPr>
          <w:rFonts w:cs="Times New Roman"/>
        </w:rPr>
        <w:t>图木舒克市公路建设项目管理处</w:t>
      </w:r>
      <w:r>
        <w:rPr>
          <w:rFonts w:cs="Times New Roman"/>
        </w:rPr>
        <w:t>等相关部门的大力支持与帮助，在此一并致以衷心感谢！</w:t>
      </w:r>
    </w:p>
    <w:p w:rsidR="00A46452" w:rsidRDefault="00A46452">
      <w:pPr>
        <w:wordWrap w:val="0"/>
        <w:topLinePunct/>
        <w:adjustRightInd w:val="0"/>
        <w:snapToGrid w:val="0"/>
        <w:ind w:firstLine="480"/>
        <w:rPr>
          <w:rFonts w:cs="Times New Roman"/>
        </w:rPr>
        <w:sectPr w:rsidR="00A46452">
          <w:footerReference w:type="default" r:id="rId13"/>
          <w:pgSz w:w="11906" w:h="16838"/>
          <w:pgMar w:top="1440" w:right="1797" w:bottom="1440" w:left="1797" w:header="851" w:footer="992" w:gutter="0"/>
          <w:pgNumType w:start="1"/>
          <w:cols w:space="425"/>
          <w:docGrid w:type="lines" w:linePitch="312"/>
        </w:sectPr>
      </w:pPr>
    </w:p>
    <w:p w:rsidR="00A46452" w:rsidRDefault="009A3928">
      <w:pPr>
        <w:pStyle w:val="1"/>
        <w:wordWrap w:val="0"/>
        <w:topLinePunct/>
        <w:adjustRightInd w:val="0"/>
        <w:snapToGrid w:val="0"/>
        <w:jc w:val="left"/>
        <w:rPr>
          <w:rFonts w:eastAsia="黑体" w:cs="Times New Roman" w:hint="default"/>
          <w:sz w:val="32"/>
          <w:szCs w:val="32"/>
        </w:rPr>
      </w:pPr>
      <w:bookmarkStart w:id="63" w:name="_Toc316510994"/>
      <w:bookmarkStart w:id="64" w:name="_Toc316561594"/>
      <w:bookmarkStart w:id="65" w:name="_Toc381605947"/>
      <w:bookmarkStart w:id="66" w:name="_Toc154076973"/>
      <w:bookmarkStart w:id="67" w:name="_Toc18433"/>
      <w:bookmarkStart w:id="68" w:name="_Toc98413476"/>
      <w:bookmarkStart w:id="69" w:name="_Toc23215"/>
      <w:bookmarkStart w:id="70" w:name="_Toc4507837"/>
      <w:bookmarkEnd w:id="52"/>
      <w:bookmarkEnd w:id="53"/>
      <w:bookmarkEnd w:id="54"/>
      <w:bookmarkEnd w:id="55"/>
      <w:r>
        <w:rPr>
          <w:rFonts w:eastAsia="黑体" w:cs="Times New Roman" w:hint="default"/>
          <w:sz w:val="32"/>
          <w:szCs w:val="32"/>
        </w:rPr>
        <w:lastRenderedPageBreak/>
        <w:t>2</w:t>
      </w:r>
      <w:r>
        <w:rPr>
          <w:rFonts w:eastAsia="黑体" w:cs="Times New Roman" w:hint="default"/>
          <w:sz w:val="32"/>
          <w:szCs w:val="32"/>
        </w:rPr>
        <w:t>总</w:t>
      </w:r>
      <w:bookmarkEnd w:id="63"/>
      <w:bookmarkEnd w:id="64"/>
      <w:bookmarkEnd w:id="65"/>
      <w:r>
        <w:rPr>
          <w:rFonts w:eastAsia="黑体" w:cs="Times New Roman" w:hint="default"/>
          <w:sz w:val="32"/>
          <w:szCs w:val="32"/>
        </w:rPr>
        <w:t>则</w:t>
      </w:r>
      <w:bookmarkEnd w:id="66"/>
      <w:bookmarkEnd w:id="67"/>
      <w:bookmarkEnd w:id="68"/>
      <w:bookmarkEnd w:id="69"/>
      <w:bookmarkEnd w:id="70"/>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71" w:name="_Toc165446123"/>
      <w:bookmarkStart w:id="72" w:name="_Toc316510995"/>
      <w:bookmarkStart w:id="73" w:name="_Toc7229"/>
      <w:bookmarkStart w:id="74" w:name="_Toc98413477"/>
      <w:bookmarkStart w:id="75" w:name="_Toc21471"/>
      <w:bookmarkStart w:id="76" w:name="_Toc381605948"/>
      <w:bookmarkStart w:id="77" w:name="_Toc236793626"/>
      <w:bookmarkStart w:id="78" w:name="_Toc154076974"/>
      <w:bookmarkStart w:id="79" w:name="_Toc316561595"/>
      <w:bookmarkStart w:id="80" w:name="_Toc4507838"/>
      <w:bookmarkStart w:id="81" w:name="_Toc183676460"/>
      <w:r>
        <w:rPr>
          <w:rFonts w:cs="Times New Roman" w:hint="default"/>
          <w:sz w:val="30"/>
          <w:szCs w:val="30"/>
        </w:rPr>
        <w:t>2.1</w:t>
      </w:r>
      <w:r>
        <w:rPr>
          <w:rFonts w:cs="Times New Roman" w:hint="default"/>
          <w:sz w:val="30"/>
          <w:szCs w:val="30"/>
        </w:rPr>
        <w:t>编制依据</w:t>
      </w:r>
      <w:bookmarkEnd w:id="71"/>
      <w:bookmarkEnd w:id="72"/>
      <w:bookmarkEnd w:id="73"/>
      <w:bookmarkEnd w:id="74"/>
      <w:bookmarkEnd w:id="75"/>
      <w:bookmarkEnd w:id="76"/>
      <w:bookmarkEnd w:id="77"/>
      <w:bookmarkEnd w:id="78"/>
      <w:bookmarkEnd w:id="79"/>
      <w:bookmarkEnd w:id="80"/>
      <w:bookmarkEnd w:id="81"/>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82" w:name="_Toc381605949"/>
      <w:bookmarkStart w:id="83" w:name="_Toc343441079"/>
      <w:bookmarkStart w:id="84" w:name="_Toc98414160"/>
      <w:bookmarkStart w:id="85" w:name="_Toc34989524"/>
      <w:bookmarkStart w:id="86" w:name="_Toc98413478"/>
      <w:bookmarkStart w:id="87" w:name="_Toc57826690"/>
      <w:bookmarkStart w:id="88" w:name="_Toc97464583"/>
      <w:r>
        <w:rPr>
          <w:rFonts w:cs="Times New Roman" w:hint="default"/>
          <w:sz w:val="28"/>
          <w:szCs w:val="28"/>
        </w:rPr>
        <w:t>2.1.1</w:t>
      </w:r>
      <w:bookmarkEnd w:id="82"/>
      <w:bookmarkEnd w:id="83"/>
      <w:r>
        <w:rPr>
          <w:rFonts w:cs="Times New Roman" w:hint="default"/>
          <w:sz w:val="28"/>
          <w:szCs w:val="28"/>
        </w:rPr>
        <w:t>国家法律</w:t>
      </w:r>
      <w:bookmarkEnd w:id="84"/>
      <w:bookmarkEnd w:id="85"/>
      <w:bookmarkEnd w:id="86"/>
      <w:bookmarkEnd w:id="87"/>
      <w:bookmarkEnd w:id="88"/>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《中华人民共和国环境保护法》（</w:t>
      </w:r>
      <w:r>
        <w:rPr>
          <w:rFonts w:cs="Times New Roman"/>
        </w:rPr>
        <w:t>2014</w:t>
      </w:r>
      <w:r>
        <w:rPr>
          <w:rFonts w:cs="Times New Roman"/>
        </w:rPr>
        <w:t>年修正，</w:t>
      </w:r>
      <w:r>
        <w:rPr>
          <w:rFonts w:cs="Times New Roman"/>
        </w:rPr>
        <w:t>2015.1.1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2.</w:t>
      </w:r>
      <w:r>
        <w:rPr>
          <w:rFonts w:cs="Times New Roman"/>
        </w:rPr>
        <w:t>《中华人民共和国环境影响评价法》（</w:t>
      </w:r>
      <w:r>
        <w:rPr>
          <w:rFonts w:cs="Times New Roman"/>
        </w:rPr>
        <w:t>2018</w:t>
      </w:r>
      <w:r>
        <w:rPr>
          <w:rFonts w:cs="Times New Roman"/>
        </w:rPr>
        <w:t>年修正，</w:t>
      </w:r>
      <w:r>
        <w:rPr>
          <w:rFonts w:cs="Times New Roman"/>
        </w:rPr>
        <w:t>2018.12.29</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3.</w:t>
      </w:r>
      <w:r>
        <w:rPr>
          <w:rFonts w:cs="Times New Roman"/>
        </w:rPr>
        <w:t>《中华人民共和国大气污染防治法》（</w:t>
      </w:r>
      <w:r>
        <w:rPr>
          <w:rFonts w:cs="Times New Roman"/>
        </w:rPr>
        <w:t>2018.10.26</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4.</w:t>
      </w:r>
      <w:r>
        <w:rPr>
          <w:rFonts w:cs="Times New Roman"/>
        </w:rPr>
        <w:t>《中华人民共和国水污染防治法》（</w:t>
      </w:r>
      <w:r>
        <w:rPr>
          <w:rFonts w:cs="Times New Roman"/>
        </w:rPr>
        <w:t>2017</w:t>
      </w:r>
      <w:r>
        <w:rPr>
          <w:rFonts w:cs="Times New Roman"/>
        </w:rPr>
        <w:t>年修正，</w:t>
      </w:r>
      <w:r>
        <w:rPr>
          <w:rFonts w:cs="Times New Roman"/>
        </w:rPr>
        <w:t>2018.1.1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5.</w:t>
      </w:r>
      <w:r>
        <w:rPr>
          <w:rFonts w:cs="Times New Roman"/>
        </w:rPr>
        <w:t>《中华人民共和国噪声污染防治法》（</w:t>
      </w:r>
      <w:r>
        <w:rPr>
          <w:rFonts w:cs="Times New Roman"/>
        </w:rPr>
        <w:t>2022</w:t>
      </w:r>
      <w:r>
        <w:rPr>
          <w:rFonts w:cs="Times New Roman"/>
        </w:rPr>
        <w:t>年，</w:t>
      </w:r>
      <w:r>
        <w:rPr>
          <w:rFonts w:cs="Times New Roman"/>
        </w:rPr>
        <w:t>2022.6.5</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6.</w:t>
      </w:r>
      <w:r>
        <w:rPr>
          <w:rFonts w:cs="Times New Roman"/>
        </w:rPr>
        <w:t>《中华人民共和国固体废物污染环境防治法》（</w:t>
      </w:r>
      <w:r>
        <w:rPr>
          <w:rFonts w:cs="Times New Roman"/>
        </w:rPr>
        <w:t>2020</w:t>
      </w:r>
      <w:r>
        <w:rPr>
          <w:rFonts w:cs="Times New Roman"/>
        </w:rPr>
        <w:t>年修订，</w:t>
      </w:r>
      <w:r>
        <w:rPr>
          <w:rFonts w:cs="Times New Roman"/>
        </w:rPr>
        <w:t>2020.9.1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7.</w:t>
      </w:r>
      <w:r>
        <w:rPr>
          <w:rFonts w:cs="Times New Roman"/>
        </w:rPr>
        <w:t>《</w:t>
      </w:r>
      <w:r>
        <w:rPr>
          <w:rFonts w:cs="Times New Roman"/>
          <w:szCs w:val="24"/>
        </w:rPr>
        <w:t>中华人民共和国土壤污染防治法</w:t>
      </w:r>
      <w:r>
        <w:rPr>
          <w:rFonts w:cs="Times New Roman"/>
        </w:rPr>
        <w:t>》（</w:t>
      </w:r>
      <w:r>
        <w:rPr>
          <w:rFonts w:cs="Times New Roman"/>
        </w:rPr>
        <w:t>2019</w:t>
      </w:r>
      <w:r>
        <w:rPr>
          <w:rFonts w:cs="Times New Roman"/>
        </w:rPr>
        <w:t>年</w:t>
      </w:r>
      <w:r>
        <w:rPr>
          <w:rFonts w:cs="Times New Roman"/>
        </w:rPr>
        <w:t>1</w:t>
      </w:r>
      <w:r>
        <w:rPr>
          <w:rFonts w:cs="Times New Roman"/>
        </w:rPr>
        <w:t>月</w:t>
      </w:r>
      <w:r>
        <w:rPr>
          <w:rFonts w:cs="Times New Roman"/>
        </w:rPr>
        <w:t>1</w:t>
      </w:r>
      <w:r>
        <w:rPr>
          <w:rFonts w:cs="Times New Roman"/>
        </w:rPr>
        <w:t>日施行）；</w:t>
      </w:r>
    </w:p>
    <w:p w:rsidR="00A46452" w:rsidRDefault="009A3928">
      <w:pPr>
        <w:pStyle w:val="001"/>
        <w:wordWrap w:val="0"/>
        <w:topLinePunct/>
        <w:adjustRightInd w:val="0"/>
        <w:snapToGrid w:val="0"/>
        <w:ind w:firstLine="480"/>
        <w:rPr>
          <w:rFonts w:cs="Times New Roman"/>
        </w:rPr>
      </w:pPr>
      <w:r>
        <w:rPr>
          <w:rFonts w:cs="Times New Roman"/>
        </w:rPr>
        <w:t>8.</w:t>
      </w:r>
      <w:r>
        <w:rPr>
          <w:rFonts w:cs="Times New Roman"/>
        </w:rPr>
        <w:t>《中华人民共和国草原法》（</w:t>
      </w:r>
      <w:r>
        <w:rPr>
          <w:rFonts w:cs="Times New Roman"/>
        </w:rPr>
        <w:t>2021</w:t>
      </w:r>
      <w:r>
        <w:rPr>
          <w:rFonts w:cs="Times New Roman"/>
        </w:rPr>
        <w:t>年修正，</w:t>
      </w:r>
      <w:r>
        <w:rPr>
          <w:rFonts w:cs="Times New Roman"/>
        </w:rPr>
        <w:t>2021.4.29</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9.</w:t>
      </w:r>
      <w:r>
        <w:rPr>
          <w:rFonts w:cs="Times New Roman"/>
        </w:rPr>
        <w:t>《中华人民共和国水土保持法》（</w:t>
      </w:r>
      <w:r>
        <w:rPr>
          <w:rFonts w:cs="Times New Roman"/>
        </w:rPr>
        <w:t>2010</w:t>
      </w:r>
      <w:r>
        <w:rPr>
          <w:rFonts w:cs="Times New Roman"/>
        </w:rPr>
        <w:t>年修订，</w:t>
      </w:r>
      <w:r>
        <w:rPr>
          <w:rFonts w:cs="Times New Roman"/>
        </w:rPr>
        <w:t>2011.3.1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10.</w:t>
      </w:r>
      <w:r>
        <w:rPr>
          <w:rFonts w:cs="Times New Roman"/>
        </w:rPr>
        <w:t>《中华人民共和国公路法》，</w:t>
      </w:r>
      <w:r>
        <w:rPr>
          <w:rFonts w:cs="Times New Roman"/>
        </w:rPr>
        <w:t>2017.11.4</w:t>
      </w:r>
      <w:r>
        <w:rPr>
          <w:rFonts w:cs="Times New Roman"/>
        </w:rPr>
        <w:t>修订；</w:t>
      </w:r>
    </w:p>
    <w:p w:rsidR="00A46452" w:rsidRDefault="009A3928">
      <w:pPr>
        <w:pStyle w:val="001"/>
        <w:wordWrap w:val="0"/>
        <w:topLinePunct/>
        <w:adjustRightInd w:val="0"/>
        <w:snapToGrid w:val="0"/>
        <w:ind w:firstLine="480"/>
        <w:rPr>
          <w:rFonts w:cs="Times New Roman"/>
        </w:rPr>
      </w:pPr>
      <w:r>
        <w:rPr>
          <w:rFonts w:cs="Times New Roman"/>
        </w:rPr>
        <w:t>11.</w:t>
      </w:r>
      <w:r>
        <w:rPr>
          <w:rFonts w:cs="Times New Roman"/>
        </w:rPr>
        <w:t>《中华人民共和国野生动物保护法》（</w:t>
      </w:r>
      <w:r>
        <w:rPr>
          <w:rFonts w:cs="Times New Roman"/>
        </w:rPr>
        <w:t>2022</w:t>
      </w:r>
      <w:r>
        <w:rPr>
          <w:rFonts w:cs="Times New Roman"/>
        </w:rPr>
        <w:t>年</w:t>
      </w:r>
      <w:r>
        <w:rPr>
          <w:rFonts w:cs="Times New Roman"/>
        </w:rPr>
        <w:t>12</w:t>
      </w:r>
      <w:r>
        <w:rPr>
          <w:rFonts w:cs="Times New Roman"/>
        </w:rPr>
        <w:t>月</w:t>
      </w:r>
      <w:r>
        <w:rPr>
          <w:rFonts w:cs="Times New Roman"/>
        </w:rPr>
        <w:t>30</w:t>
      </w:r>
      <w:r>
        <w:rPr>
          <w:rFonts w:cs="Times New Roman"/>
        </w:rPr>
        <w:t>日修订）；</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2.</w:t>
      </w:r>
      <w:r>
        <w:rPr>
          <w:rFonts w:cs="Times New Roman"/>
        </w:rPr>
        <w:t>《中华人民共和国森林法》（</w:t>
      </w:r>
      <w:r>
        <w:rPr>
          <w:rFonts w:cs="Times New Roman"/>
        </w:rPr>
        <w:t>2019</w:t>
      </w:r>
      <w:r>
        <w:rPr>
          <w:rFonts w:cs="Times New Roman"/>
        </w:rPr>
        <w:t>年修订，</w:t>
      </w:r>
      <w:r>
        <w:rPr>
          <w:rFonts w:cs="Times New Roman"/>
        </w:rPr>
        <w:t>2020.7.1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13.</w:t>
      </w:r>
      <w:r>
        <w:rPr>
          <w:rFonts w:cs="Times New Roman"/>
        </w:rPr>
        <w:t>《中华人民共和国防沙治沙法》（</w:t>
      </w:r>
      <w:r>
        <w:rPr>
          <w:rFonts w:cs="Times New Roman"/>
        </w:rPr>
        <w:t>2018</w:t>
      </w:r>
      <w:r>
        <w:rPr>
          <w:rFonts w:cs="Times New Roman"/>
        </w:rPr>
        <w:t>年修正，</w:t>
      </w:r>
      <w:r>
        <w:rPr>
          <w:rFonts w:cs="Times New Roman"/>
        </w:rPr>
        <w:t>2018.10.26</w:t>
      </w:r>
      <w:r>
        <w:rPr>
          <w:rFonts w:cs="Times New Roman"/>
        </w:rPr>
        <w:t>施行）</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14.</w:t>
      </w:r>
      <w:r>
        <w:rPr>
          <w:rFonts w:cs="Times New Roman"/>
        </w:rPr>
        <w:t>《中华人民共和国湿地保护法》（</w:t>
      </w:r>
      <w:r>
        <w:rPr>
          <w:rFonts w:cs="Times New Roman"/>
        </w:rPr>
        <w:t>2022</w:t>
      </w:r>
      <w:r>
        <w:rPr>
          <w:rFonts w:cs="Times New Roman"/>
        </w:rPr>
        <w:t>年</w:t>
      </w:r>
      <w:r>
        <w:rPr>
          <w:rFonts w:cs="Times New Roman"/>
        </w:rPr>
        <w:t>6</w:t>
      </w:r>
      <w:r>
        <w:rPr>
          <w:rFonts w:cs="Times New Roman"/>
        </w:rPr>
        <w:t>月</w:t>
      </w:r>
      <w:r>
        <w:rPr>
          <w:rFonts w:cs="Times New Roman"/>
        </w:rPr>
        <w:t>1</w:t>
      </w:r>
      <w:r>
        <w:rPr>
          <w:rFonts w:cs="Times New Roman"/>
        </w:rPr>
        <w:t>日起施行）</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15.</w:t>
      </w:r>
      <w:r>
        <w:rPr>
          <w:rFonts w:cs="Times New Roman"/>
        </w:rPr>
        <w:t>《中华人民共和国渔业法》（</w:t>
      </w:r>
      <w:r>
        <w:rPr>
          <w:rFonts w:cs="Times New Roman"/>
        </w:rPr>
        <w:t>20</w:t>
      </w:r>
      <w:r>
        <w:rPr>
          <w:rFonts w:cs="Times New Roman"/>
        </w:rPr>
        <w:t>13</w:t>
      </w:r>
      <w:r>
        <w:rPr>
          <w:rFonts w:cs="Times New Roman"/>
        </w:rPr>
        <w:t>年</w:t>
      </w:r>
      <w:r>
        <w:rPr>
          <w:rFonts w:cs="Times New Roman"/>
        </w:rPr>
        <w:t>12</w:t>
      </w:r>
      <w:r>
        <w:rPr>
          <w:rFonts w:cs="Times New Roman"/>
        </w:rPr>
        <w:t>月</w:t>
      </w:r>
      <w:r>
        <w:rPr>
          <w:rFonts w:cs="Times New Roman"/>
        </w:rPr>
        <w:t>28</w:t>
      </w:r>
      <w:r>
        <w:rPr>
          <w:rFonts w:cs="Times New Roman"/>
        </w:rPr>
        <w:t>日修订实施）</w:t>
      </w:r>
      <w:r>
        <w:rPr>
          <w:rFonts w:cs="Times New Roman"/>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89" w:name="_Toc57826691"/>
      <w:bookmarkStart w:id="90" w:name="_Toc98414161"/>
      <w:bookmarkStart w:id="91" w:name="_Toc98413479"/>
      <w:bookmarkStart w:id="92" w:name="_Toc34989525"/>
      <w:r>
        <w:rPr>
          <w:rFonts w:cs="Times New Roman" w:hint="default"/>
          <w:sz w:val="28"/>
          <w:szCs w:val="28"/>
        </w:rPr>
        <w:t>2.1.2</w:t>
      </w:r>
      <w:bookmarkEnd w:id="89"/>
      <w:bookmarkEnd w:id="90"/>
      <w:bookmarkEnd w:id="91"/>
      <w:bookmarkEnd w:id="92"/>
      <w:r>
        <w:rPr>
          <w:rFonts w:cs="Times New Roman" w:hint="default"/>
          <w:sz w:val="28"/>
          <w:szCs w:val="28"/>
        </w:rPr>
        <w:t>环境保护法规、部门规章</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《中华人民共和国森林法实施条例》（</w:t>
      </w:r>
      <w:r>
        <w:rPr>
          <w:rFonts w:cs="Times New Roman"/>
        </w:rPr>
        <w:t>2018</w:t>
      </w:r>
      <w:r>
        <w:rPr>
          <w:rFonts w:cs="Times New Roman"/>
        </w:rPr>
        <w:t>年，</w:t>
      </w:r>
      <w:r>
        <w:rPr>
          <w:rFonts w:cs="Times New Roman"/>
        </w:rPr>
        <w:t>2018.3.19</w:t>
      </w:r>
      <w:r>
        <w:rPr>
          <w:rFonts w:cs="Times New Roman"/>
        </w:rPr>
        <w:t>实施）；</w:t>
      </w:r>
    </w:p>
    <w:p w:rsidR="00A46452" w:rsidRDefault="009A3928">
      <w:pPr>
        <w:pStyle w:val="001"/>
        <w:wordWrap w:val="0"/>
        <w:topLinePunct/>
        <w:adjustRightInd w:val="0"/>
        <w:snapToGrid w:val="0"/>
        <w:ind w:firstLine="480"/>
        <w:rPr>
          <w:rFonts w:cs="Times New Roman"/>
        </w:rPr>
      </w:pPr>
      <w:r>
        <w:rPr>
          <w:rFonts w:cs="Times New Roman"/>
        </w:rPr>
        <w:t>2.</w:t>
      </w:r>
      <w:r>
        <w:rPr>
          <w:rFonts w:cs="Times New Roman"/>
        </w:rPr>
        <w:t>《中华人民共和国土地管理法实施条例》（</w:t>
      </w:r>
      <w:r>
        <w:rPr>
          <w:rFonts w:cs="Times New Roman"/>
        </w:rPr>
        <w:t>2021</w:t>
      </w:r>
      <w:r>
        <w:rPr>
          <w:rFonts w:cs="Times New Roman"/>
        </w:rPr>
        <w:t>年修订，</w:t>
      </w:r>
      <w:r>
        <w:rPr>
          <w:rFonts w:cs="Times New Roman"/>
        </w:rPr>
        <w:t>2021.9.1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3.</w:t>
      </w:r>
      <w:r>
        <w:rPr>
          <w:rFonts w:cs="Times New Roman"/>
        </w:rPr>
        <w:t>《中共中央、国务院关于深入打好污染防治攻坚战的意见》（</w:t>
      </w:r>
      <w:r>
        <w:rPr>
          <w:rFonts w:cs="Times New Roman"/>
        </w:rPr>
        <w:t>2021</w:t>
      </w:r>
      <w:r>
        <w:rPr>
          <w:rFonts w:cs="Times New Roman"/>
        </w:rPr>
        <w:t>.</w:t>
      </w:r>
      <w:r>
        <w:rPr>
          <w:rFonts w:cs="Times New Roman"/>
        </w:rPr>
        <w:t>11</w:t>
      </w:r>
      <w:r>
        <w:rPr>
          <w:rFonts w:cs="Times New Roman"/>
        </w:rPr>
        <w:t>.</w:t>
      </w:r>
      <w:r>
        <w:rPr>
          <w:rFonts w:cs="Times New Roman"/>
        </w:rPr>
        <w:t>02</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4.</w:t>
      </w:r>
      <w:r>
        <w:rPr>
          <w:rFonts w:cs="Times New Roman"/>
        </w:rPr>
        <w:t>《建设项目环境保护管理条例》（</w:t>
      </w:r>
      <w:r>
        <w:rPr>
          <w:rFonts w:cs="Times New Roman"/>
        </w:rPr>
        <w:t>2017</w:t>
      </w:r>
      <w:r>
        <w:rPr>
          <w:rFonts w:cs="Times New Roman"/>
        </w:rPr>
        <w:t>年修正，</w:t>
      </w:r>
      <w:r>
        <w:rPr>
          <w:rFonts w:cs="Times New Roman"/>
        </w:rPr>
        <w:t>2017.10.1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5</w:t>
      </w:r>
      <w:r>
        <w:rPr>
          <w:rFonts w:cs="Times New Roman"/>
        </w:rPr>
        <w:t>.</w:t>
      </w:r>
      <w:r>
        <w:rPr>
          <w:rFonts w:cs="Times New Roman"/>
        </w:rPr>
        <w:t>《中华人民共和国陆生野生动物保护实施条例》（</w:t>
      </w:r>
      <w:r>
        <w:rPr>
          <w:rFonts w:cs="Times New Roman"/>
        </w:rPr>
        <w:t>2016</w:t>
      </w:r>
      <w:r>
        <w:rPr>
          <w:rFonts w:cs="Times New Roman"/>
        </w:rPr>
        <w:t>年修正，</w:t>
      </w:r>
      <w:r>
        <w:rPr>
          <w:rFonts w:cs="Times New Roman"/>
        </w:rPr>
        <w:t>2016.2.6</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6</w:t>
      </w:r>
      <w:r>
        <w:rPr>
          <w:rFonts w:cs="Times New Roman"/>
        </w:rPr>
        <w:t>.</w:t>
      </w:r>
      <w:r>
        <w:rPr>
          <w:rFonts w:cs="Times New Roman"/>
        </w:rPr>
        <w:t>《中华人民共和国野生植物保护条例》</w:t>
      </w:r>
      <w:r>
        <w:rPr>
          <w:rFonts w:cs="Times New Roman"/>
        </w:rPr>
        <w:t>（</w:t>
      </w:r>
      <w:r>
        <w:rPr>
          <w:rFonts w:cs="Times New Roman"/>
        </w:rPr>
        <w:t>2017</w:t>
      </w:r>
      <w:r>
        <w:rPr>
          <w:rFonts w:cs="Times New Roman"/>
        </w:rPr>
        <w:t>修正，</w:t>
      </w:r>
      <w:r>
        <w:rPr>
          <w:rFonts w:cs="Times New Roman"/>
        </w:rPr>
        <w:t>2017.10.7</w:t>
      </w:r>
      <w:r>
        <w:rPr>
          <w:rFonts w:cs="Times New Roman"/>
        </w:rPr>
        <w:t>施行</w:t>
      </w:r>
      <w:r>
        <w:rPr>
          <w:rFonts w:cs="Times New Roman"/>
        </w:rPr>
        <w:t>）</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lastRenderedPageBreak/>
        <w:t>7</w:t>
      </w:r>
      <w:r>
        <w:rPr>
          <w:rFonts w:cs="Times New Roman"/>
        </w:rPr>
        <w:t>.</w:t>
      </w:r>
      <w:r>
        <w:rPr>
          <w:rFonts w:cs="Times New Roman"/>
        </w:rPr>
        <w:t>《湿地保护管理规定》（</w:t>
      </w:r>
      <w:r>
        <w:rPr>
          <w:rFonts w:eastAsia="Times New Roman" w:cs="Times New Roman"/>
        </w:rPr>
        <w:t>2018</w:t>
      </w:r>
      <w:r>
        <w:rPr>
          <w:rFonts w:cs="Times New Roman"/>
        </w:rPr>
        <w:t>年</w:t>
      </w:r>
      <w:r>
        <w:rPr>
          <w:rFonts w:eastAsia="Times New Roman" w:cs="Times New Roman"/>
        </w:rPr>
        <w:t>1</w:t>
      </w:r>
      <w:r>
        <w:rPr>
          <w:rFonts w:cs="Times New Roman"/>
        </w:rPr>
        <w:t>月</w:t>
      </w:r>
      <w:r>
        <w:rPr>
          <w:rFonts w:eastAsia="Times New Roman" w:cs="Times New Roman"/>
        </w:rPr>
        <w:t>1</w:t>
      </w:r>
      <w:r>
        <w:rPr>
          <w:rFonts w:cs="Times New Roman"/>
        </w:rPr>
        <w:t>日执行</w:t>
      </w:r>
      <w:r>
        <w:rPr>
          <w:rFonts w:cs="Times New Roman"/>
          <w:spacing w:val="20"/>
        </w:rPr>
        <w:t>）；</w:t>
      </w:r>
    </w:p>
    <w:p w:rsidR="00A46452" w:rsidRDefault="009A3928">
      <w:pPr>
        <w:pStyle w:val="001"/>
        <w:wordWrap w:val="0"/>
        <w:topLinePunct/>
        <w:adjustRightInd w:val="0"/>
        <w:snapToGrid w:val="0"/>
        <w:ind w:firstLine="480"/>
        <w:rPr>
          <w:rFonts w:cs="Times New Roman"/>
        </w:rPr>
      </w:pPr>
      <w:r>
        <w:rPr>
          <w:rFonts w:cs="Times New Roman"/>
        </w:rPr>
        <w:t>8</w:t>
      </w:r>
      <w:r>
        <w:rPr>
          <w:rFonts w:cs="Times New Roman"/>
        </w:rPr>
        <w:t>.</w:t>
      </w:r>
      <w:r>
        <w:rPr>
          <w:rFonts w:cs="Times New Roman"/>
        </w:rPr>
        <w:t>《</w:t>
      </w:r>
      <w:r>
        <w:rPr>
          <w:rFonts w:cs="Times New Roman"/>
        </w:rPr>
        <w:t>中共中央办公厅、国务院办公厅</w:t>
      </w:r>
      <w:r>
        <w:rPr>
          <w:rFonts w:cs="Times New Roman"/>
        </w:rPr>
        <w:t>关于加强生态环境分区管控的意见》（</w:t>
      </w:r>
      <w:r>
        <w:rPr>
          <w:rFonts w:cs="Times New Roman"/>
        </w:rPr>
        <w:t>2024</w:t>
      </w:r>
      <w:r>
        <w:rPr>
          <w:rFonts w:cs="Times New Roman"/>
        </w:rPr>
        <w:t>年</w:t>
      </w:r>
      <w:r>
        <w:rPr>
          <w:rFonts w:cs="Times New Roman"/>
        </w:rPr>
        <w:t>3</w:t>
      </w:r>
      <w:r>
        <w:rPr>
          <w:rFonts w:cs="Times New Roman"/>
        </w:rPr>
        <w:t>月</w:t>
      </w:r>
      <w:r>
        <w:rPr>
          <w:rFonts w:cs="Times New Roman"/>
        </w:rPr>
        <w:t>6</w:t>
      </w:r>
      <w:r>
        <w:rPr>
          <w:rFonts w:cs="Times New Roman"/>
        </w:rPr>
        <w:t>日）；</w:t>
      </w:r>
    </w:p>
    <w:p w:rsidR="00A46452" w:rsidRDefault="009A3928">
      <w:pPr>
        <w:pStyle w:val="001"/>
        <w:wordWrap w:val="0"/>
        <w:topLinePunct/>
        <w:adjustRightInd w:val="0"/>
        <w:snapToGrid w:val="0"/>
        <w:ind w:firstLine="480"/>
        <w:rPr>
          <w:rFonts w:cs="Times New Roman"/>
        </w:rPr>
      </w:pPr>
      <w:r>
        <w:rPr>
          <w:rFonts w:cs="Times New Roman"/>
        </w:rPr>
        <w:t>9</w:t>
      </w:r>
      <w:r>
        <w:rPr>
          <w:rFonts w:cs="Times New Roman"/>
        </w:rPr>
        <w:t>.</w:t>
      </w:r>
      <w:r>
        <w:rPr>
          <w:rFonts w:cs="Times New Roman"/>
        </w:rPr>
        <w:t>《中华人民共和国河道管理条例》（</w:t>
      </w:r>
      <w:r>
        <w:rPr>
          <w:rFonts w:cs="Times New Roman"/>
        </w:rPr>
        <w:t>2018.3.19</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10</w:t>
      </w:r>
      <w:r>
        <w:rPr>
          <w:rFonts w:cs="Times New Roman"/>
        </w:rPr>
        <w:t>.</w:t>
      </w:r>
      <w:r>
        <w:rPr>
          <w:rFonts w:cs="Times New Roman"/>
          <w:spacing w:val="6"/>
        </w:rPr>
        <w:t>《自然资源部生态环境部</w:t>
      </w:r>
      <w:r>
        <w:rPr>
          <w:rFonts w:cs="Times New Roman"/>
          <w:spacing w:val="6"/>
        </w:rPr>
        <w:t xml:space="preserve"> </w:t>
      </w:r>
      <w:r>
        <w:rPr>
          <w:rFonts w:cs="Times New Roman"/>
          <w:spacing w:val="6"/>
        </w:rPr>
        <w:t>国家林业和草原局</w:t>
      </w:r>
      <w:r>
        <w:rPr>
          <w:rFonts w:cs="Times New Roman"/>
          <w:spacing w:val="-23"/>
        </w:rPr>
        <w:t xml:space="preserve"> </w:t>
      </w:r>
      <w:r>
        <w:rPr>
          <w:rFonts w:cs="Times New Roman"/>
          <w:spacing w:val="6"/>
        </w:rPr>
        <w:t>关于加强生</w:t>
      </w:r>
      <w:r>
        <w:rPr>
          <w:rFonts w:cs="Times New Roman"/>
          <w:spacing w:val="5"/>
        </w:rPr>
        <w:t>态保护红</w:t>
      </w:r>
      <w:r>
        <w:rPr>
          <w:rFonts w:cs="Times New Roman"/>
          <w:spacing w:val="2"/>
        </w:rPr>
        <w:t>线管理的通知（试行）》（自然资发</w:t>
      </w:r>
      <w:r>
        <w:rPr>
          <w:rFonts w:cs="Times New Roman"/>
          <w:spacing w:val="2"/>
        </w:rPr>
        <w:t>〔</w:t>
      </w:r>
      <w:r>
        <w:rPr>
          <w:rFonts w:cs="Times New Roman"/>
          <w:spacing w:val="2"/>
        </w:rPr>
        <w:t>2022</w:t>
      </w:r>
      <w:r>
        <w:rPr>
          <w:rFonts w:cs="Times New Roman"/>
          <w:spacing w:val="2"/>
        </w:rPr>
        <w:t>〕</w:t>
      </w:r>
      <w:r>
        <w:rPr>
          <w:rFonts w:cs="Times New Roman"/>
          <w:spacing w:val="2"/>
        </w:rPr>
        <w:t>142</w:t>
      </w:r>
      <w:r>
        <w:rPr>
          <w:rFonts w:cs="Times New Roman"/>
          <w:spacing w:val="2"/>
        </w:rPr>
        <w:t>号</w:t>
      </w:r>
      <w:r>
        <w:rPr>
          <w:rFonts w:cs="Times New Roman"/>
          <w:spacing w:val="15"/>
        </w:rPr>
        <w:t>）；</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1</w:t>
      </w:r>
      <w:r>
        <w:rPr>
          <w:rFonts w:cs="Times New Roman"/>
        </w:rPr>
        <w:t>.</w:t>
      </w:r>
      <w:r>
        <w:rPr>
          <w:rFonts w:cs="Times New Roman"/>
        </w:rPr>
        <w:t>《环境影响评价公众参与办法》（</w:t>
      </w:r>
      <w:r>
        <w:rPr>
          <w:rFonts w:cs="Times New Roman"/>
        </w:rPr>
        <w:t>2019.1.1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2</w:t>
      </w:r>
      <w:r>
        <w:rPr>
          <w:rFonts w:cs="Times New Roman"/>
        </w:rPr>
        <w:t>.</w:t>
      </w:r>
      <w:r>
        <w:rPr>
          <w:rFonts w:cs="Times New Roman"/>
        </w:rPr>
        <w:t>《基本农田保护条例》（</w:t>
      </w:r>
      <w:r>
        <w:rPr>
          <w:rFonts w:cs="Times New Roman"/>
        </w:rPr>
        <w:t>20</w:t>
      </w:r>
      <w:r>
        <w:rPr>
          <w:rFonts w:cs="Times New Roman"/>
        </w:rPr>
        <w:t>11</w:t>
      </w:r>
      <w:r>
        <w:rPr>
          <w:rFonts w:cs="Times New Roman"/>
        </w:rPr>
        <w:t>.</w:t>
      </w:r>
      <w:r>
        <w:rPr>
          <w:rFonts w:cs="Times New Roman"/>
        </w:rPr>
        <w:t>1</w:t>
      </w:r>
      <w:r>
        <w:rPr>
          <w:rFonts w:cs="Times New Roman"/>
        </w:rPr>
        <w:t>.</w:t>
      </w:r>
      <w:r>
        <w:rPr>
          <w:rFonts w:cs="Times New Roman"/>
        </w:rPr>
        <w:t>8</w:t>
      </w:r>
      <w:r>
        <w:rPr>
          <w:rFonts w:cs="Times New Roman"/>
        </w:rPr>
        <w:t>修订）</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13.</w:t>
      </w:r>
      <w:r>
        <w:rPr>
          <w:rFonts w:cs="Times New Roman"/>
        </w:rPr>
        <w:t>《关于进一步加强生物多样性保护的意见》（</w:t>
      </w:r>
      <w:r>
        <w:rPr>
          <w:rFonts w:cs="Times New Roman"/>
        </w:rPr>
        <w:t>2021</w:t>
      </w:r>
      <w:r>
        <w:rPr>
          <w:rFonts w:cs="Times New Roman"/>
        </w:rPr>
        <w:t>年</w:t>
      </w:r>
      <w:r>
        <w:rPr>
          <w:rFonts w:cs="Times New Roman"/>
        </w:rPr>
        <w:t>10</w:t>
      </w:r>
      <w:r>
        <w:rPr>
          <w:rFonts w:cs="Times New Roman"/>
        </w:rPr>
        <w:t>月印发）；</w:t>
      </w:r>
    </w:p>
    <w:p w:rsidR="00A46452" w:rsidRDefault="009A3928">
      <w:pPr>
        <w:pStyle w:val="001"/>
        <w:wordWrap w:val="0"/>
        <w:topLinePunct/>
        <w:adjustRightInd w:val="0"/>
        <w:snapToGrid w:val="0"/>
        <w:ind w:firstLine="480"/>
        <w:rPr>
          <w:rFonts w:cs="Times New Roman"/>
        </w:rPr>
      </w:pPr>
      <w:r>
        <w:rPr>
          <w:rFonts w:cs="Times New Roman"/>
        </w:rPr>
        <w:t>14.</w:t>
      </w:r>
      <w:r>
        <w:rPr>
          <w:rFonts w:cs="Times New Roman"/>
        </w:rPr>
        <w:t>《国家重点保护野生植物名录》（</w:t>
      </w:r>
      <w:r>
        <w:rPr>
          <w:rFonts w:cs="Times New Roman"/>
        </w:rPr>
        <w:t>2021</w:t>
      </w:r>
      <w:r>
        <w:rPr>
          <w:rFonts w:cs="Times New Roman"/>
        </w:rPr>
        <w:t>年</w:t>
      </w:r>
      <w:r>
        <w:rPr>
          <w:rFonts w:cs="Times New Roman"/>
        </w:rPr>
        <w:t>9</w:t>
      </w:r>
      <w:r>
        <w:rPr>
          <w:rFonts w:cs="Times New Roman"/>
        </w:rPr>
        <w:t>月</w:t>
      </w:r>
      <w:r>
        <w:rPr>
          <w:rFonts w:cs="Times New Roman"/>
        </w:rPr>
        <w:t>7</w:t>
      </w:r>
      <w:r>
        <w:rPr>
          <w:rFonts w:cs="Times New Roman"/>
        </w:rPr>
        <w:t>日）；</w:t>
      </w:r>
    </w:p>
    <w:p w:rsidR="00A46452" w:rsidRDefault="009A3928">
      <w:pPr>
        <w:pStyle w:val="001"/>
        <w:wordWrap w:val="0"/>
        <w:topLinePunct/>
        <w:adjustRightInd w:val="0"/>
        <w:snapToGrid w:val="0"/>
        <w:ind w:firstLine="480"/>
        <w:rPr>
          <w:rFonts w:cs="Times New Roman"/>
        </w:rPr>
      </w:pPr>
      <w:r>
        <w:rPr>
          <w:rFonts w:cs="Times New Roman"/>
        </w:rPr>
        <w:t>15.</w:t>
      </w:r>
      <w:r>
        <w:rPr>
          <w:rFonts w:cs="Times New Roman"/>
        </w:rPr>
        <w:t>《国家重点保护野生动物名录》（</w:t>
      </w:r>
      <w:r>
        <w:rPr>
          <w:rFonts w:cs="Times New Roman"/>
        </w:rPr>
        <w:t>2021</w:t>
      </w:r>
      <w:r>
        <w:rPr>
          <w:rFonts w:cs="Times New Roman"/>
        </w:rPr>
        <w:t>年</w:t>
      </w:r>
      <w:r>
        <w:rPr>
          <w:rFonts w:cs="Times New Roman"/>
        </w:rPr>
        <w:t>2</w:t>
      </w:r>
      <w:r>
        <w:rPr>
          <w:rFonts w:cs="Times New Roman"/>
        </w:rPr>
        <w:t>月</w:t>
      </w:r>
      <w:r>
        <w:rPr>
          <w:rFonts w:cs="Times New Roman"/>
        </w:rPr>
        <w:t>5</w:t>
      </w:r>
      <w:r>
        <w:rPr>
          <w:rFonts w:cs="Times New Roman"/>
        </w:rPr>
        <w:t>日起施行）；</w:t>
      </w:r>
    </w:p>
    <w:p w:rsidR="00A46452" w:rsidRDefault="009A3928">
      <w:pPr>
        <w:pStyle w:val="001"/>
        <w:wordWrap w:val="0"/>
        <w:topLinePunct/>
        <w:adjustRightInd w:val="0"/>
        <w:snapToGrid w:val="0"/>
        <w:ind w:firstLine="480"/>
        <w:rPr>
          <w:rFonts w:cs="Times New Roman"/>
        </w:rPr>
      </w:pPr>
      <w:r>
        <w:rPr>
          <w:rFonts w:cs="Times New Roman"/>
        </w:rPr>
        <w:t>16.</w:t>
      </w:r>
      <w:r>
        <w:rPr>
          <w:rFonts w:cs="Times New Roman"/>
        </w:rPr>
        <w:t>《中国生物多样性红色名录</w:t>
      </w:r>
      <w:r>
        <w:rPr>
          <w:rFonts w:cs="Times New Roman"/>
        </w:rPr>
        <w:t>-</w:t>
      </w:r>
      <w:r>
        <w:rPr>
          <w:rFonts w:cs="Times New Roman"/>
        </w:rPr>
        <w:t>高等植物卷</w:t>
      </w:r>
      <w:r>
        <w:rPr>
          <w:rFonts w:cs="Times New Roman"/>
        </w:rPr>
        <w:t>（</w:t>
      </w:r>
      <w:r>
        <w:rPr>
          <w:rFonts w:cs="Times New Roman"/>
        </w:rPr>
        <w:t>2020</w:t>
      </w:r>
      <w:r>
        <w:rPr>
          <w:rFonts w:cs="Times New Roman"/>
        </w:rPr>
        <w:t>）</w:t>
      </w:r>
      <w:r>
        <w:rPr>
          <w:rFonts w:cs="Times New Roman"/>
        </w:rPr>
        <w:t>》（</w:t>
      </w:r>
      <w:r>
        <w:rPr>
          <w:rFonts w:cs="Times New Roman"/>
        </w:rPr>
        <w:t>20</w:t>
      </w:r>
      <w:r>
        <w:rPr>
          <w:rFonts w:cs="Times New Roman"/>
        </w:rPr>
        <w:t>23</w:t>
      </w:r>
      <w:r>
        <w:rPr>
          <w:rFonts w:cs="Times New Roman"/>
        </w:rPr>
        <w:t>年</w:t>
      </w:r>
      <w:r>
        <w:rPr>
          <w:rFonts w:cs="Times New Roman"/>
        </w:rPr>
        <w:t>5</w:t>
      </w:r>
      <w:r>
        <w:rPr>
          <w:rFonts w:cs="Times New Roman"/>
        </w:rPr>
        <w:t>月发布）；</w:t>
      </w:r>
    </w:p>
    <w:p w:rsidR="00A46452" w:rsidRDefault="009A3928">
      <w:pPr>
        <w:pStyle w:val="001"/>
        <w:wordWrap w:val="0"/>
        <w:topLinePunct/>
        <w:adjustRightInd w:val="0"/>
        <w:snapToGrid w:val="0"/>
        <w:ind w:firstLine="480"/>
        <w:rPr>
          <w:rFonts w:cs="Times New Roman"/>
        </w:rPr>
      </w:pPr>
      <w:r>
        <w:rPr>
          <w:rFonts w:cs="Times New Roman"/>
        </w:rPr>
        <w:t>17.</w:t>
      </w:r>
      <w:r>
        <w:rPr>
          <w:rFonts w:cs="Times New Roman"/>
        </w:rPr>
        <w:t>《中国生物多样性红色名录</w:t>
      </w:r>
      <w:r>
        <w:rPr>
          <w:rFonts w:cs="Times New Roman"/>
        </w:rPr>
        <w:t>-</w:t>
      </w:r>
      <w:r>
        <w:rPr>
          <w:rFonts w:cs="Times New Roman"/>
        </w:rPr>
        <w:t>脊椎动物卷</w:t>
      </w:r>
      <w:r>
        <w:rPr>
          <w:rFonts w:cs="Times New Roman"/>
        </w:rPr>
        <w:t>（</w:t>
      </w:r>
      <w:r>
        <w:rPr>
          <w:rFonts w:cs="Times New Roman"/>
        </w:rPr>
        <w:t>2020</w:t>
      </w:r>
      <w:r>
        <w:rPr>
          <w:rFonts w:cs="Times New Roman"/>
        </w:rPr>
        <w:t>）</w:t>
      </w:r>
      <w:r>
        <w:rPr>
          <w:rFonts w:cs="Times New Roman"/>
        </w:rPr>
        <w:t>》（</w:t>
      </w:r>
      <w:r>
        <w:rPr>
          <w:rFonts w:cs="Times New Roman"/>
        </w:rPr>
        <w:t>20</w:t>
      </w:r>
      <w:r>
        <w:rPr>
          <w:rFonts w:cs="Times New Roman"/>
        </w:rPr>
        <w:t>23</w:t>
      </w:r>
      <w:r>
        <w:rPr>
          <w:rFonts w:cs="Times New Roman"/>
        </w:rPr>
        <w:t>年</w:t>
      </w:r>
      <w:r>
        <w:rPr>
          <w:rFonts w:cs="Times New Roman"/>
        </w:rPr>
        <w:t>5</w:t>
      </w:r>
      <w:r>
        <w:rPr>
          <w:rFonts w:cs="Times New Roman"/>
        </w:rPr>
        <w:t>月发布）；</w:t>
      </w:r>
    </w:p>
    <w:p w:rsidR="00A46452" w:rsidRDefault="009A3928">
      <w:pPr>
        <w:pStyle w:val="001"/>
        <w:wordWrap w:val="0"/>
        <w:topLinePunct/>
        <w:adjustRightInd w:val="0"/>
        <w:snapToGrid w:val="0"/>
        <w:ind w:firstLine="480"/>
        <w:rPr>
          <w:rFonts w:cs="Times New Roman"/>
        </w:rPr>
      </w:pPr>
      <w:r>
        <w:rPr>
          <w:rFonts w:cs="Times New Roman"/>
        </w:rPr>
        <w:t>18.</w:t>
      </w:r>
      <w:r>
        <w:rPr>
          <w:rFonts w:cs="Times New Roman"/>
        </w:rPr>
        <w:t>《中国生物多样性红色名录</w:t>
      </w:r>
      <w:r>
        <w:rPr>
          <w:rFonts w:cs="Times New Roman"/>
        </w:rPr>
        <w:t>-</w:t>
      </w:r>
      <w:r>
        <w:rPr>
          <w:rFonts w:cs="Times New Roman"/>
        </w:rPr>
        <w:t>大型真菌卷》（</w:t>
      </w:r>
      <w:r>
        <w:rPr>
          <w:rFonts w:cs="Times New Roman"/>
        </w:rPr>
        <w:t>2018</w:t>
      </w:r>
      <w:r>
        <w:rPr>
          <w:rFonts w:cs="Times New Roman"/>
        </w:rPr>
        <w:t>年</w:t>
      </w:r>
      <w:r>
        <w:rPr>
          <w:rFonts w:cs="Times New Roman"/>
        </w:rPr>
        <w:t>5</w:t>
      </w:r>
      <w:r>
        <w:rPr>
          <w:rFonts w:cs="Times New Roman"/>
        </w:rPr>
        <w:t>月发布）</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19.</w:t>
      </w:r>
      <w:r>
        <w:rPr>
          <w:rFonts w:cs="Times New Roman"/>
        </w:rPr>
        <w:t>《建设项目环境影响评价分类管理名录（</w:t>
      </w:r>
      <w:r>
        <w:rPr>
          <w:rFonts w:cs="Times New Roman"/>
        </w:rPr>
        <w:t>2021</w:t>
      </w:r>
      <w:r>
        <w:rPr>
          <w:rFonts w:cs="Times New Roman"/>
        </w:rPr>
        <w:t>年版）》，</w:t>
      </w:r>
      <w:r>
        <w:rPr>
          <w:rFonts w:cs="Times New Roman"/>
        </w:rPr>
        <w:t>2021.1.1</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20.</w:t>
      </w:r>
      <w:r>
        <w:rPr>
          <w:rFonts w:cs="Times New Roman"/>
        </w:rPr>
        <w:t>《产业结构调整指导目录</w:t>
      </w:r>
      <w:r>
        <w:rPr>
          <w:rFonts w:cs="Times New Roman"/>
        </w:rPr>
        <w:t>（</w:t>
      </w:r>
      <w:r>
        <w:rPr>
          <w:rFonts w:cs="Times New Roman"/>
        </w:rPr>
        <w:t>20</w:t>
      </w:r>
      <w:r>
        <w:rPr>
          <w:rFonts w:cs="Times New Roman"/>
        </w:rPr>
        <w:t>24</w:t>
      </w:r>
      <w:r>
        <w:rPr>
          <w:rFonts w:cs="Times New Roman"/>
        </w:rPr>
        <w:t>年本</w:t>
      </w:r>
      <w:r>
        <w:rPr>
          <w:rFonts w:cs="Times New Roman"/>
        </w:rPr>
        <w:t>）</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21.</w:t>
      </w:r>
      <w:r>
        <w:rPr>
          <w:rFonts w:cs="Times New Roman"/>
        </w:rPr>
        <w:t>国家林业和草原局财政部关于印发《国家级公益林区划界定办法》和《国家级公益林管理办法》的通知（林资发〔</w:t>
      </w:r>
      <w:r>
        <w:rPr>
          <w:rFonts w:cs="Times New Roman"/>
        </w:rPr>
        <w:t>2017</w:t>
      </w:r>
      <w:r>
        <w:rPr>
          <w:rFonts w:cs="Times New Roman"/>
        </w:rPr>
        <w:t>〕</w:t>
      </w:r>
      <w:r>
        <w:rPr>
          <w:rFonts w:cs="Times New Roman"/>
        </w:rPr>
        <w:t>34</w:t>
      </w:r>
      <w:r>
        <w:rPr>
          <w:rFonts w:cs="Times New Roman"/>
        </w:rPr>
        <w:t>号）</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22.</w:t>
      </w:r>
      <w:r>
        <w:rPr>
          <w:rFonts w:cs="Times New Roman"/>
        </w:rPr>
        <w:t>自然资源部办公厅</w:t>
      </w:r>
      <w:r>
        <w:rPr>
          <w:rFonts w:cs="Times New Roman"/>
        </w:rPr>
        <w:t>国家</w:t>
      </w:r>
      <w:r>
        <w:rPr>
          <w:rFonts w:cs="Times New Roman"/>
        </w:rPr>
        <w:t>林业和草原局办公室</w:t>
      </w:r>
      <w:r>
        <w:rPr>
          <w:rFonts w:cs="Times New Roman"/>
        </w:rPr>
        <w:t>关于生态保护红线划定中有关空间矛盾冲突处理规则的补充通知</w:t>
      </w:r>
      <w:r>
        <w:rPr>
          <w:rFonts w:cs="Times New Roman"/>
        </w:rPr>
        <w:t>（自然资办函〔</w:t>
      </w:r>
      <w:r>
        <w:rPr>
          <w:rFonts w:cs="Times New Roman"/>
        </w:rPr>
        <w:t>20</w:t>
      </w:r>
      <w:r>
        <w:rPr>
          <w:rFonts w:cs="Times New Roman"/>
        </w:rPr>
        <w:t>18</w:t>
      </w:r>
      <w:r>
        <w:rPr>
          <w:rFonts w:cs="Times New Roman"/>
        </w:rPr>
        <w:t>〕</w:t>
      </w:r>
      <w:r>
        <w:rPr>
          <w:rFonts w:cs="Times New Roman"/>
        </w:rPr>
        <w:t>73</w:t>
      </w:r>
      <w:r>
        <w:rPr>
          <w:rFonts w:cs="Times New Roman"/>
        </w:rPr>
        <w:t>号）</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23</w:t>
      </w:r>
      <w:r>
        <w:rPr>
          <w:rFonts w:cs="Times New Roman"/>
        </w:rPr>
        <w:t>.</w:t>
      </w:r>
      <w:r>
        <w:rPr>
          <w:rFonts w:cs="Times New Roman"/>
        </w:rPr>
        <w:t>《关于生态环境领域进一步深化</w:t>
      </w:r>
      <w:r>
        <w:rPr>
          <w:rFonts w:cs="Times New Roman"/>
        </w:rPr>
        <w:t>“</w:t>
      </w:r>
      <w:r>
        <w:rPr>
          <w:rFonts w:cs="Times New Roman"/>
        </w:rPr>
        <w:t>放管服</w:t>
      </w:r>
      <w:r>
        <w:rPr>
          <w:rFonts w:cs="Times New Roman"/>
        </w:rPr>
        <w:t>”</w:t>
      </w:r>
      <w:r>
        <w:rPr>
          <w:rFonts w:cs="Times New Roman"/>
        </w:rPr>
        <w:t>改革，推动经济高质量发展的指导意见》，</w:t>
      </w:r>
      <w:r>
        <w:rPr>
          <w:rFonts w:cs="Times New Roman"/>
        </w:rPr>
        <w:t>（</w:t>
      </w:r>
      <w:r>
        <w:rPr>
          <w:rFonts w:cs="Times New Roman"/>
        </w:rPr>
        <w:t>生态环境部</w:t>
      </w:r>
      <w:r>
        <w:rPr>
          <w:rFonts w:cs="Times New Roman"/>
        </w:rPr>
        <w:t xml:space="preserve"> </w:t>
      </w:r>
      <w:r>
        <w:rPr>
          <w:rFonts w:cs="Times New Roman"/>
        </w:rPr>
        <w:t>环规财</w:t>
      </w:r>
      <w:r>
        <w:rPr>
          <w:rFonts w:cs="Times New Roman"/>
        </w:rPr>
        <w:t>〔</w:t>
      </w:r>
      <w:r>
        <w:rPr>
          <w:rFonts w:cs="Times New Roman"/>
        </w:rPr>
        <w:t>2018</w:t>
      </w:r>
      <w:r>
        <w:rPr>
          <w:rFonts w:cs="Times New Roman"/>
        </w:rPr>
        <w:t>〕</w:t>
      </w:r>
      <w:r>
        <w:rPr>
          <w:rFonts w:cs="Times New Roman"/>
        </w:rPr>
        <w:t>86</w:t>
      </w:r>
      <w:r>
        <w:rPr>
          <w:rFonts w:cs="Times New Roman"/>
        </w:rPr>
        <w:t>号</w:t>
      </w:r>
      <w:r>
        <w:rPr>
          <w:rFonts w:cs="Times New Roman"/>
        </w:rPr>
        <w:t>，</w:t>
      </w:r>
      <w:r>
        <w:rPr>
          <w:rFonts w:cs="Times New Roman"/>
        </w:rPr>
        <w:t>2018.8.3</w:t>
      </w:r>
      <w:r>
        <w:rPr>
          <w:rFonts w:cs="Times New Roman"/>
        </w:rPr>
        <w:t>1</w:t>
      </w:r>
      <w:r>
        <w:rPr>
          <w:rFonts w:cs="Times New Roman"/>
        </w:rPr>
        <w:t>）</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24</w:t>
      </w:r>
      <w:r>
        <w:rPr>
          <w:rFonts w:cs="Times New Roman"/>
        </w:rPr>
        <w:t>.</w:t>
      </w:r>
      <w:r>
        <w:rPr>
          <w:rFonts w:cs="Times New Roman"/>
        </w:rPr>
        <w:t>《生态保护红线生态环境监督办法（试行）》（国环规生态</w:t>
      </w:r>
      <w:r>
        <w:rPr>
          <w:rFonts w:cs="Times New Roman"/>
        </w:rPr>
        <w:t>〔</w:t>
      </w:r>
      <w:r>
        <w:rPr>
          <w:rFonts w:cs="Times New Roman"/>
        </w:rPr>
        <w:t>2022</w:t>
      </w:r>
      <w:r>
        <w:rPr>
          <w:rFonts w:cs="Times New Roman"/>
        </w:rPr>
        <w:t>〕</w:t>
      </w:r>
      <w:r>
        <w:rPr>
          <w:rFonts w:cs="Times New Roman"/>
        </w:rPr>
        <w:t>2</w:t>
      </w:r>
      <w:r>
        <w:rPr>
          <w:rFonts w:cs="Times New Roman"/>
        </w:rPr>
        <w:t>号），</w:t>
      </w:r>
      <w:r>
        <w:rPr>
          <w:rFonts w:cs="Times New Roman"/>
        </w:rPr>
        <w:t>2023</w:t>
      </w:r>
      <w:r>
        <w:rPr>
          <w:rFonts w:cs="Times New Roman"/>
        </w:rPr>
        <w:t>.</w:t>
      </w:r>
      <w:r>
        <w:rPr>
          <w:rFonts w:cs="Times New Roman"/>
        </w:rPr>
        <w:t>01</w:t>
      </w:r>
      <w:r>
        <w:rPr>
          <w:rFonts w:cs="Times New Roman"/>
        </w:rPr>
        <w:t>.</w:t>
      </w:r>
      <w:r>
        <w:rPr>
          <w:rFonts w:cs="Times New Roman"/>
        </w:rPr>
        <w:t>01</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25</w:t>
      </w:r>
      <w:r>
        <w:rPr>
          <w:rFonts w:cs="Times New Roman"/>
        </w:rPr>
        <w:t>.</w:t>
      </w:r>
      <w:r>
        <w:rPr>
          <w:rFonts w:cs="Times New Roman"/>
        </w:rPr>
        <w:t>《关于贯彻实施国家主体功能区环境政策的若干意见》（环发</w:t>
      </w:r>
      <w:r>
        <w:rPr>
          <w:rFonts w:cs="Times New Roman"/>
        </w:rPr>
        <w:t>〔</w:t>
      </w:r>
      <w:r>
        <w:rPr>
          <w:rFonts w:cs="Times New Roman"/>
        </w:rPr>
        <w:t>2015</w:t>
      </w:r>
      <w:r>
        <w:rPr>
          <w:rFonts w:cs="Times New Roman"/>
        </w:rPr>
        <w:t>〕</w:t>
      </w:r>
      <w:r>
        <w:rPr>
          <w:rFonts w:cs="Times New Roman"/>
        </w:rPr>
        <w:t>92</w:t>
      </w:r>
      <w:r>
        <w:rPr>
          <w:rFonts w:cs="Times New Roman"/>
        </w:rPr>
        <w:t>号），</w:t>
      </w:r>
      <w:r>
        <w:rPr>
          <w:rFonts w:cs="Times New Roman"/>
        </w:rPr>
        <w:t>2015.7.23</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26.</w:t>
      </w:r>
      <w:r>
        <w:rPr>
          <w:rFonts w:cs="Times New Roman"/>
        </w:rPr>
        <w:t>《关于加强用地审批前期工作积极推进基础设施项目建设的通知》（自然资发</w:t>
      </w:r>
      <w:r>
        <w:rPr>
          <w:rFonts w:cs="Times New Roman"/>
        </w:rPr>
        <w:t>〔</w:t>
      </w:r>
      <w:r>
        <w:rPr>
          <w:rFonts w:cs="Times New Roman"/>
        </w:rPr>
        <w:t>2022</w:t>
      </w:r>
      <w:r>
        <w:rPr>
          <w:rFonts w:cs="Times New Roman"/>
        </w:rPr>
        <w:t>〕</w:t>
      </w:r>
      <w:r>
        <w:rPr>
          <w:rFonts w:cs="Times New Roman"/>
        </w:rPr>
        <w:t>130</w:t>
      </w:r>
      <w:r>
        <w:rPr>
          <w:rFonts w:cs="Times New Roman"/>
        </w:rPr>
        <w:t>号），</w:t>
      </w:r>
      <w:r>
        <w:rPr>
          <w:rFonts w:cs="Times New Roman"/>
        </w:rPr>
        <w:t>2022.8.3</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27.</w:t>
      </w:r>
      <w:r>
        <w:rPr>
          <w:rFonts w:cs="Times New Roman"/>
        </w:rPr>
        <w:t>《自然资源部</w:t>
      </w:r>
      <w:r>
        <w:rPr>
          <w:rFonts w:cs="Times New Roman"/>
        </w:rPr>
        <w:t xml:space="preserve"> </w:t>
      </w:r>
      <w:r>
        <w:rPr>
          <w:rFonts w:cs="Times New Roman"/>
        </w:rPr>
        <w:t>农业农村部</w:t>
      </w:r>
      <w:r>
        <w:rPr>
          <w:rFonts w:cs="Times New Roman"/>
        </w:rPr>
        <w:t xml:space="preserve"> </w:t>
      </w:r>
      <w:r>
        <w:rPr>
          <w:rFonts w:cs="Times New Roman"/>
        </w:rPr>
        <w:t>国家林业和草原局〈关于严格耕地用途管制有关问题的通知〉》（自然资发〔</w:t>
      </w:r>
      <w:r>
        <w:rPr>
          <w:rFonts w:cs="Times New Roman"/>
        </w:rPr>
        <w:t>2021</w:t>
      </w:r>
      <w:r>
        <w:rPr>
          <w:rFonts w:cs="Times New Roman"/>
        </w:rPr>
        <w:t>〕</w:t>
      </w:r>
      <w:r>
        <w:rPr>
          <w:rFonts w:cs="Times New Roman"/>
        </w:rPr>
        <w:t>166</w:t>
      </w:r>
      <w:r>
        <w:rPr>
          <w:rFonts w:cs="Times New Roman"/>
        </w:rPr>
        <w:t>号），</w:t>
      </w:r>
      <w:r>
        <w:rPr>
          <w:rFonts w:cs="Times New Roman"/>
        </w:rPr>
        <w:t>2021.11.27</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lastRenderedPageBreak/>
        <w:t>28</w:t>
      </w:r>
      <w:r>
        <w:rPr>
          <w:rFonts w:cs="Times New Roman"/>
        </w:rPr>
        <w:t>.</w:t>
      </w:r>
      <w:r>
        <w:rPr>
          <w:rFonts w:cs="Times New Roman"/>
        </w:rPr>
        <w:t>《关于规范临时用地管理的通知》（自然资规</w:t>
      </w:r>
      <w:r>
        <w:rPr>
          <w:rFonts w:cs="Times New Roman"/>
        </w:rPr>
        <w:t>〔</w:t>
      </w:r>
      <w:r>
        <w:rPr>
          <w:rFonts w:cs="Times New Roman"/>
        </w:rPr>
        <w:t>2021</w:t>
      </w:r>
      <w:r>
        <w:rPr>
          <w:rFonts w:cs="Times New Roman"/>
        </w:rPr>
        <w:t>〕</w:t>
      </w:r>
      <w:r>
        <w:rPr>
          <w:rFonts w:cs="Times New Roman"/>
        </w:rPr>
        <w:t>2</w:t>
      </w:r>
      <w:r>
        <w:rPr>
          <w:rFonts w:cs="Times New Roman"/>
        </w:rPr>
        <w:t>号），</w:t>
      </w:r>
      <w:r>
        <w:rPr>
          <w:rFonts w:cs="Times New Roman"/>
        </w:rPr>
        <w:t>2021.11.</w:t>
      </w:r>
      <w:r>
        <w:rPr>
          <w:rFonts w:cs="Times New Roman"/>
        </w:rPr>
        <w:t>4</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29</w:t>
      </w:r>
      <w:r>
        <w:rPr>
          <w:rFonts w:cs="Times New Roman"/>
        </w:rPr>
        <w:t>.</w:t>
      </w:r>
      <w:r>
        <w:rPr>
          <w:rFonts w:cs="Times New Roman"/>
        </w:rPr>
        <w:t>《建设项目使用林地审核审批管理办法》，林资规</w:t>
      </w:r>
      <w:r>
        <w:rPr>
          <w:rFonts w:cs="Times New Roman"/>
        </w:rPr>
        <w:t>〔</w:t>
      </w:r>
      <w:r>
        <w:rPr>
          <w:rFonts w:cs="Times New Roman"/>
        </w:rPr>
        <w:t>2021</w:t>
      </w:r>
      <w:r>
        <w:rPr>
          <w:rFonts w:cs="Times New Roman"/>
        </w:rPr>
        <w:t>〕</w:t>
      </w:r>
      <w:r>
        <w:rPr>
          <w:rFonts w:cs="Times New Roman"/>
        </w:rPr>
        <w:t>5</w:t>
      </w:r>
      <w:r>
        <w:rPr>
          <w:rFonts w:cs="Times New Roman"/>
        </w:rPr>
        <w:t>号</w:t>
      </w:r>
      <w:r>
        <w:rPr>
          <w:rFonts w:cs="Times New Roman"/>
        </w:rPr>
        <w:t xml:space="preserve"> 2021.9.13</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30.</w:t>
      </w:r>
      <w:r>
        <w:rPr>
          <w:rFonts w:cs="Times New Roman"/>
        </w:rPr>
        <w:t>《</w:t>
      </w:r>
      <w:r>
        <w:rPr>
          <w:rFonts w:cs="Times New Roman"/>
        </w:rPr>
        <w:t>中共中央、国务院</w:t>
      </w:r>
      <w:r>
        <w:rPr>
          <w:rFonts w:cs="Times New Roman"/>
        </w:rPr>
        <w:t>关于加强耕地保护和改进占补平衡的意见》，</w:t>
      </w:r>
      <w:r>
        <w:rPr>
          <w:rFonts w:cs="Times New Roman"/>
        </w:rPr>
        <w:t>2017.1.9</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31.</w:t>
      </w:r>
      <w:r>
        <w:rPr>
          <w:rFonts w:cs="Times New Roman"/>
          <w:szCs w:val="24"/>
        </w:rPr>
        <w:t>《中华人民共和国自然保护区条例》</w:t>
      </w:r>
      <w:r>
        <w:rPr>
          <w:rFonts w:cs="Times New Roman"/>
          <w:szCs w:val="24"/>
        </w:rPr>
        <w:t>（</w:t>
      </w:r>
      <w:r>
        <w:rPr>
          <w:rFonts w:cs="Times New Roman"/>
        </w:rPr>
        <w:t>2017</w:t>
      </w:r>
      <w:r>
        <w:rPr>
          <w:rFonts w:cs="Times New Roman"/>
        </w:rPr>
        <w:t>年</w:t>
      </w:r>
      <w:r>
        <w:rPr>
          <w:rFonts w:cs="Times New Roman"/>
        </w:rPr>
        <w:t>10</w:t>
      </w:r>
      <w:r>
        <w:rPr>
          <w:rFonts w:cs="Times New Roman"/>
        </w:rPr>
        <w:t>月</w:t>
      </w:r>
      <w:r>
        <w:rPr>
          <w:rFonts w:cs="Times New Roman"/>
        </w:rPr>
        <w:t>7</w:t>
      </w:r>
      <w:r>
        <w:rPr>
          <w:rFonts w:cs="Times New Roman"/>
        </w:rPr>
        <w:t>日修订</w:t>
      </w:r>
      <w:r>
        <w:rPr>
          <w:rFonts w:cs="Times New Roman"/>
        </w:rPr>
        <w:t>）；</w:t>
      </w:r>
    </w:p>
    <w:p w:rsidR="00A46452" w:rsidRDefault="009A3928">
      <w:pPr>
        <w:pStyle w:val="001"/>
        <w:wordWrap w:val="0"/>
        <w:topLinePunct/>
        <w:adjustRightInd w:val="0"/>
        <w:snapToGrid w:val="0"/>
        <w:ind w:firstLine="480"/>
        <w:rPr>
          <w:rFonts w:cs="Times New Roman"/>
          <w:szCs w:val="24"/>
        </w:rPr>
      </w:pPr>
      <w:r>
        <w:rPr>
          <w:rFonts w:cs="Times New Roman"/>
        </w:rPr>
        <w:t>32.</w:t>
      </w:r>
      <w:r>
        <w:rPr>
          <w:rFonts w:cs="Times New Roman"/>
          <w:szCs w:val="24"/>
        </w:rPr>
        <w:t>《中华人民共和国土地管理法实施条例》（国务院令第</w:t>
      </w:r>
      <w:r>
        <w:rPr>
          <w:rFonts w:cs="Times New Roman"/>
          <w:szCs w:val="24"/>
        </w:rPr>
        <w:t>743</w:t>
      </w:r>
      <w:r>
        <w:rPr>
          <w:rFonts w:cs="Times New Roman"/>
          <w:szCs w:val="24"/>
        </w:rPr>
        <w:t>号）（</w:t>
      </w:r>
      <w:r>
        <w:rPr>
          <w:rFonts w:cs="Times New Roman"/>
        </w:rPr>
        <w:t>2021.9.1</w:t>
      </w:r>
      <w:r>
        <w:rPr>
          <w:rFonts w:cs="Times New Roman"/>
          <w:szCs w:val="24"/>
        </w:rPr>
        <w:t>修订）</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33.</w:t>
      </w:r>
      <w:r>
        <w:rPr>
          <w:rFonts w:cs="Times New Roman"/>
          <w:szCs w:val="24"/>
        </w:rPr>
        <w:t>《</w:t>
      </w:r>
      <w:r>
        <w:rPr>
          <w:rFonts w:cs="Times New Roman"/>
          <w:szCs w:val="24"/>
        </w:rPr>
        <w:t>“</w:t>
      </w:r>
      <w:r>
        <w:rPr>
          <w:rFonts w:cs="Times New Roman"/>
          <w:szCs w:val="24"/>
        </w:rPr>
        <w:t>十四五</w:t>
      </w:r>
      <w:r>
        <w:rPr>
          <w:rFonts w:cs="Times New Roman"/>
          <w:szCs w:val="24"/>
        </w:rPr>
        <w:t>”</w:t>
      </w:r>
      <w:r>
        <w:rPr>
          <w:rFonts w:cs="Times New Roman"/>
          <w:szCs w:val="24"/>
        </w:rPr>
        <w:t>噪声污染防治行动计划》（生态环境部办公厅，</w:t>
      </w:r>
      <w:r>
        <w:rPr>
          <w:rFonts w:cs="Times New Roman"/>
          <w:szCs w:val="24"/>
        </w:rPr>
        <w:t>2023.1.5</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34.</w:t>
      </w:r>
      <w:r>
        <w:rPr>
          <w:rFonts w:cs="Times New Roman"/>
          <w:szCs w:val="24"/>
        </w:rPr>
        <w:t>《关于公路、铁路（含轻轨）等建设项目环境影响评价中环境噪声有关问题的通知》（国家环境保护总局，环发</w:t>
      </w:r>
      <w:r>
        <w:rPr>
          <w:rFonts w:cs="Times New Roman"/>
          <w:szCs w:val="24"/>
        </w:rPr>
        <w:t>〔</w:t>
      </w:r>
      <w:r>
        <w:rPr>
          <w:rFonts w:cs="Times New Roman"/>
          <w:szCs w:val="24"/>
        </w:rPr>
        <w:t>2003</w:t>
      </w:r>
      <w:r>
        <w:rPr>
          <w:rFonts w:cs="Times New Roman"/>
          <w:szCs w:val="24"/>
        </w:rPr>
        <w:t>〕</w:t>
      </w:r>
      <w:r>
        <w:rPr>
          <w:rFonts w:cs="Times New Roman"/>
          <w:szCs w:val="24"/>
        </w:rPr>
        <w:t>94</w:t>
      </w:r>
      <w:r>
        <w:rPr>
          <w:rFonts w:cs="Times New Roman"/>
          <w:szCs w:val="24"/>
        </w:rPr>
        <w:t>号</w:t>
      </w:r>
      <w:r>
        <w:rPr>
          <w:rFonts w:cs="Times New Roman"/>
          <w:szCs w:val="24"/>
        </w:rPr>
        <w:t>，</w:t>
      </w:r>
      <w:r>
        <w:rPr>
          <w:rFonts w:cs="Times New Roman"/>
          <w:szCs w:val="24"/>
        </w:rPr>
        <w:t>2003.5.27</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35.</w:t>
      </w:r>
      <w:r>
        <w:rPr>
          <w:rFonts w:cs="Times New Roman"/>
          <w:szCs w:val="24"/>
        </w:rPr>
        <w:t>《地面交通噪声污染防治技术政策》（环境保护部，环发</w:t>
      </w:r>
      <w:r>
        <w:rPr>
          <w:rFonts w:cs="Times New Roman"/>
          <w:szCs w:val="24"/>
        </w:rPr>
        <w:t>〔</w:t>
      </w:r>
      <w:r>
        <w:rPr>
          <w:rFonts w:cs="Times New Roman"/>
          <w:szCs w:val="24"/>
        </w:rPr>
        <w:t>2010</w:t>
      </w:r>
      <w:r>
        <w:rPr>
          <w:rFonts w:cs="Times New Roman"/>
          <w:szCs w:val="24"/>
        </w:rPr>
        <w:t>〕</w:t>
      </w:r>
      <w:r>
        <w:rPr>
          <w:rFonts w:cs="Times New Roman"/>
          <w:szCs w:val="24"/>
        </w:rPr>
        <w:t>7</w:t>
      </w:r>
      <w:r>
        <w:rPr>
          <w:rFonts w:cs="Times New Roman"/>
          <w:szCs w:val="24"/>
        </w:rPr>
        <w:t>号</w:t>
      </w:r>
      <w:r>
        <w:rPr>
          <w:rFonts w:cs="Times New Roman"/>
          <w:szCs w:val="24"/>
        </w:rPr>
        <w:t>2010.1.11</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36.</w:t>
      </w:r>
      <w:r>
        <w:rPr>
          <w:rFonts w:cs="Times New Roman"/>
          <w:szCs w:val="24"/>
        </w:rPr>
        <w:t>《关于加强环境噪声污染防治工作改善城乡声环境质量的指导意见》（环境保护部，环发</w:t>
      </w:r>
      <w:r>
        <w:rPr>
          <w:rFonts w:cs="Times New Roman"/>
          <w:szCs w:val="24"/>
        </w:rPr>
        <w:t>〔</w:t>
      </w:r>
      <w:r>
        <w:rPr>
          <w:rFonts w:cs="Times New Roman"/>
          <w:szCs w:val="24"/>
        </w:rPr>
        <w:t>2010</w:t>
      </w:r>
      <w:r>
        <w:rPr>
          <w:rFonts w:cs="Times New Roman"/>
          <w:szCs w:val="24"/>
        </w:rPr>
        <w:t>〕</w:t>
      </w:r>
      <w:r>
        <w:rPr>
          <w:rFonts w:cs="Times New Roman"/>
          <w:szCs w:val="24"/>
        </w:rPr>
        <w:t>144</w:t>
      </w:r>
      <w:r>
        <w:rPr>
          <w:rFonts w:cs="Times New Roman"/>
          <w:szCs w:val="24"/>
        </w:rPr>
        <w:t>号</w:t>
      </w:r>
      <w:r>
        <w:rPr>
          <w:rFonts w:cs="Times New Roman"/>
          <w:szCs w:val="24"/>
        </w:rPr>
        <w:t>，</w:t>
      </w:r>
      <w:r>
        <w:rPr>
          <w:rFonts w:cs="Times New Roman"/>
          <w:szCs w:val="24"/>
        </w:rPr>
        <w:t>2010.12.15</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37.</w:t>
      </w:r>
      <w:r>
        <w:rPr>
          <w:rFonts w:cs="Times New Roman"/>
          <w:szCs w:val="24"/>
        </w:rPr>
        <w:t>《关于在公路建设中实行最严格的耕地保护制度的若干意见》（交公路发</w:t>
      </w:r>
      <w:r>
        <w:rPr>
          <w:rFonts w:cs="Times New Roman"/>
          <w:szCs w:val="24"/>
        </w:rPr>
        <w:t>〔</w:t>
      </w:r>
      <w:r>
        <w:rPr>
          <w:rFonts w:cs="Times New Roman"/>
          <w:szCs w:val="24"/>
        </w:rPr>
        <w:t>2004</w:t>
      </w:r>
      <w:r>
        <w:rPr>
          <w:rFonts w:cs="Times New Roman"/>
          <w:szCs w:val="24"/>
        </w:rPr>
        <w:t>〕</w:t>
      </w:r>
      <w:r>
        <w:rPr>
          <w:rFonts w:cs="Times New Roman"/>
          <w:szCs w:val="24"/>
        </w:rPr>
        <w:t>164</w:t>
      </w:r>
      <w:r>
        <w:rPr>
          <w:rFonts w:cs="Times New Roman"/>
          <w:szCs w:val="24"/>
        </w:rPr>
        <w:t>号</w:t>
      </w:r>
      <w:r>
        <w:rPr>
          <w:rFonts w:cs="Times New Roman"/>
          <w:szCs w:val="24"/>
        </w:rPr>
        <w:t>，</w:t>
      </w:r>
      <w:r>
        <w:rPr>
          <w:rFonts w:cs="Times New Roman"/>
          <w:szCs w:val="24"/>
        </w:rPr>
        <w:t>2004.4.6</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38.</w:t>
      </w:r>
      <w:r>
        <w:rPr>
          <w:rFonts w:cs="Times New Roman"/>
          <w:szCs w:val="24"/>
        </w:rPr>
        <w:t>《关于进一步加强公路规划建设和环评工作推动绿色低碳转型发展的通知》</w:t>
      </w:r>
      <w:r>
        <w:rPr>
          <w:rFonts w:cs="Times New Roman"/>
          <w:szCs w:val="24"/>
        </w:rPr>
        <w:t>(</w:t>
      </w:r>
      <w:r>
        <w:rPr>
          <w:rFonts w:cs="Times New Roman"/>
          <w:szCs w:val="24"/>
        </w:rPr>
        <w:t>交通运输部，生态环境部，交办规划函</w:t>
      </w:r>
      <w:r>
        <w:rPr>
          <w:rFonts w:cs="Times New Roman"/>
          <w:szCs w:val="24"/>
        </w:rPr>
        <w:t>〔</w:t>
      </w:r>
      <w:r>
        <w:rPr>
          <w:rFonts w:cs="Times New Roman"/>
          <w:szCs w:val="24"/>
        </w:rPr>
        <w:t>2025</w:t>
      </w:r>
      <w:r>
        <w:rPr>
          <w:rFonts w:cs="Times New Roman"/>
          <w:szCs w:val="24"/>
        </w:rPr>
        <w:t>〕</w:t>
      </w:r>
      <w:r>
        <w:rPr>
          <w:rFonts w:cs="Times New Roman"/>
          <w:szCs w:val="24"/>
        </w:rPr>
        <w:t>227</w:t>
      </w:r>
      <w:r>
        <w:rPr>
          <w:rFonts w:cs="Times New Roman"/>
          <w:szCs w:val="24"/>
        </w:rPr>
        <w:t>号</w:t>
      </w:r>
      <w:r>
        <w:rPr>
          <w:rFonts w:cs="Times New Roman"/>
          <w:szCs w:val="24"/>
        </w:rPr>
        <w:t>，</w:t>
      </w:r>
      <w:r>
        <w:rPr>
          <w:rFonts w:cs="Times New Roman"/>
          <w:szCs w:val="24"/>
        </w:rPr>
        <w:t>2025</w:t>
      </w:r>
      <w:r>
        <w:rPr>
          <w:rFonts w:cs="Times New Roman"/>
          <w:szCs w:val="24"/>
        </w:rPr>
        <w:t>年</w:t>
      </w:r>
      <w:r>
        <w:rPr>
          <w:rFonts w:cs="Times New Roman"/>
          <w:szCs w:val="24"/>
        </w:rPr>
        <w:t>1</w:t>
      </w:r>
      <w:r>
        <w:rPr>
          <w:rFonts w:cs="Times New Roman"/>
          <w:szCs w:val="24"/>
        </w:rPr>
        <w:t>月</w:t>
      </w:r>
      <w:r>
        <w:rPr>
          <w:rFonts w:cs="Times New Roman"/>
          <w:szCs w:val="24"/>
        </w:rPr>
        <w:t>26</w:t>
      </w:r>
      <w:r>
        <w:rPr>
          <w:rFonts w:cs="Times New Roman"/>
          <w:szCs w:val="24"/>
        </w:rPr>
        <w:t>日</w:t>
      </w:r>
      <w:r>
        <w:rPr>
          <w:rFonts w:cs="Times New Roman"/>
          <w:szCs w:val="24"/>
        </w:rPr>
        <w:t>)</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39.</w:t>
      </w:r>
      <w:r>
        <w:rPr>
          <w:rFonts w:cs="Times New Roman"/>
          <w:szCs w:val="24"/>
        </w:rPr>
        <w:t>《公路交通突发事件应急预案》（中华人民共和国交通运输部，交公路发</w:t>
      </w:r>
      <w:r>
        <w:rPr>
          <w:rFonts w:cs="Times New Roman"/>
          <w:szCs w:val="24"/>
        </w:rPr>
        <w:t>〔</w:t>
      </w:r>
      <w:r>
        <w:rPr>
          <w:rFonts w:cs="Times New Roman"/>
          <w:szCs w:val="24"/>
        </w:rPr>
        <w:t>2009</w:t>
      </w:r>
      <w:r>
        <w:rPr>
          <w:rFonts w:cs="Times New Roman"/>
          <w:szCs w:val="24"/>
        </w:rPr>
        <w:t>〕</w:t>
      </w:r>
      <w:r>
        <w:rPr>
          <w:rFonts w:cs="Times New Roman"/>
          <w:szCs w:val="24"/>
        </w:rPr>
        <w:t>226</w:t>
      </w:r>
      <w:r>
        <w:rPr>
          <w:rFonts w:cs="Times New Roman"/>
          <w:szCs w:val="24"/>
        </w:rPr>
        <w:t>号</w:t>
      </w:r>
      <w:r>
        <w:rPr>
          <w:rFonts w:cs="Times New Roman"/>
          <w:szCs w:val="24"/>
        </w:rPr>
        <w:t>，</w:t>
      </w:r>
      <w:r>
        <w:rPr>
          <w:rFonts w:cs="Times New Roman"/>
          <w:szCs w:val="24"/>
        </w:rPr>
        <w:t>2009.5.12</w:t>
      </w:r>
      <w:r>
        <w:rPr>
          <w:rFonts w:cs="Times New Roman"/>
          <w:szCs w:val="24"/>
        </w:rPr>
        <w:t>）；</w:t>
      </w:r>
    </w:p>
    <w:p w:rsidR="00A46452" w:rsidRDefault="009A3928">
      <w:pPr>
        <w:pStyle w:val="001"/>
        <w:wordWrap w:val="0"/>
        <w:topLinePunct/>
        <w:adjustRightInd w:val="0"/>
        <w:snapToGrid w:val="0"/>
        <w:ind w:firstLine="480"/>
        <w:rPr>
          <w:rFonts w:cs="Times New Roman"/>
          <w:szCs w:val="24"/>
        </w:rPr>
      </w:pPr>
      <w:r>
        <w:rPr>
          <w:rFonts w:cs="Times New Roman"/>
          <w:szCs w:val="24"/>
        </w:rPr>
        <w:t>40.</w:t>
      </w:r>
      <w:r>
        <w:rPr>
          <w:rFonts w:cs="Times New Roman"/>
          <w:szCs w:val="24"/>
        </w:rPr>
        <w:t>《关于进一步优化环境影响评价工作的意见》（环环评〔</w:t>
      </w:r>
      <w:r>
        <w:rPr>
          <w:rFonts w:cs="Times New Roman"/>
          <w:szCs w:val="24"/>
        </w:rPr>
        <w:t>2023</w:t>
      </w:r>
      <w:r>
        <w:rPr>
          <w:rFonts w:cs="Times New Roman"/>
          <w:szCs w:val="24"/>
        </w:rPr>
        <w:t>〕</w:t>
      </w:r>
      <w:r>
        <w:rPr>
          <w:rFonts w:cs="Times New Roman"/>
          <w:szCs w:val="24"/>
        </w:rPr>
        <w:t>52</w:t>
      </w:r>
      <w:r>
        <w:rPr>
          <w:rFonts w:cs="Times New Roman"/>
          <w:szCs w:val="24"/>
        </w:rPr>
        <w:t>号）</w:t>
      </w:r>
      <w:r>
        <w:rPr>
          <w:rFonts w:cs="Times New Roman"/>
          <w:szCs w:val="24"/>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93" w:name="_Toc34989527"/>
      <w:bookmarkStart w:id="94" w:name="_Toc98413481"/>
      <w:bookmarkStart w:id="95" w:name="_Toc57826693"/>
      <w:bookmarkStart w:id="96" w:name="_Toc98414163"/>
      <w:r>
        <w:rPr>
          <w:rFonts w:cs="Times New Roman" w:hint="default"/>
          <w:sz w:val="28"/>
          <w:szCs w:val="28"/>
        </w:rPr>
        <w:t>2.1.3</w:t>
      </w:r>
      <w:r>
        <w:rPr>
          <w:rFonts w:cs="Times New Roman" w:hint="default"/>
          <w:sz w:val="28"/>
          <w:szCs w:val="28"/>
        </w:rPr>
        <w:t>地方部门规章及规范性文件</w:t>
      </w:r>
      <w:bookmarkEnd w:id="93"/>
      <w:bookmarkEnd w:id="94"/>
      <w:bookmarkEnd w:id="95"/>
      <w:bookmarkEnd w:id="96"/>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《新疆维吾尔自治区环境保护条例》（</w:t>
      </w:r>
      <w:r>
        <w:rPr>
          <w:rFonts w:cs="Times New Roman"/>
        </w:rPr>
        <w:t>2018</w:t>
      </w:r>
      <w:r>
        <w:rPr>
          <w:rFonts w:cs="Times New Roman"/>
        </w:rPr>
        <w:t>年修正，</w:t>
      </w:r>
      <w:r>
        <w:rPr>
          <w:rFonts w:cs="Times New Roman"/>
        </w:rPr>
        <w:t>2018</w:t>
      </w:r>
      <w:r>
        <w:rPr>
          <w:rFonts w:cs="Times New Roman"/>
        </w:rPr>
        <w:t>年</w:t>
      </w:r>
      <w:r>
        <w:rPr>
          <w:rFonts w:cs="Times New Roman"/>
        </w:rPr>
        <w:t>9</w:t>
      </w:r>
      <w:r>
        <w:rPr>
          <w:rFonts w:cs="Times New Roman"/>
        </w:rPr>
        <w:t>月</w:t>
      </w:r>
      <w:r>
        <w:rPr>
          <w:rFonts w:cs="Times New Roman"/>
        </w:rPr>
        <w:t>21</w:t>
      </w:r>
      <w:r>
        <w:rPr>
          <w:rFonts w:cs="Times New Roman"/>
        </w:rPr>
        <w:t>日施行）；</w:t>
      </w:r>
    </w:p>
    <w:p w:rsidR="00A46452" w:rsidRDefault="009A3928">
      <w:pPr>
        <w:pStyle w:val="001"/>
        <w:wordWrap w:val="0"/>
        <w:topLinePunct/>
        <w:adjustRightInd w:val="0"/>
        <w:snapToGrid w:val="0"/>
        <w:ind w:firstLine="480"/>
        <w:rPr>
          <w:rFonts w:cs="Times New Roman"/>
        </w:rPr>
      </w:pPr>
      <w:r>
        <w:rPr>
          <w:rFonts w:cs="Times New Roman"/>
        </w:rPr>
        <w:t>2.</w:t>
      </w:r>
      <w:r>
        <w:rPr>
          <w:rFonts w:cs="Times New Roman"/>
        </w:rPr>
        <w:t>《新疆维吾尔自治区大气污染防治条例》（</w:t>
      </w:r>
      <w:r>
        <w:rPr>
          <w:rFonts w:cs="Times New Roman"/>
        </w:rPr>
        <w:t>2019.1.1</w:t>
      </w:r>
      <w:r>
        <w:rPr>
          <w:rFonts w:cs="Times New Roman"/>
        </w:rPr>
        <w:t>施行）；</w:t>
      </w:r>
    </w:p>
    <w:p w:rsidR="00A46452" w:rsidRDefault="009A3928">
      <w:pPr>
        <w:pStyle w:val="001"/>
        <w:wordWrap w:val="0"/>
        <w:topLinePunct/>
        <w:adjustRightInd w:val="0"/>
        <w:snapToGrid w:val="0"/>
        <w:ind w:firstLine="480"/>
        <w:rPr>
          <w:rFonts w:cs="Times New Roman"/>
        </w:rPr>
      </w:pPr>
      <w:r>
        <w:rPr>
          <w:rFonts w:cs="Times New Roman"/>
        </w:rPr>
        <w:t>3</w:t>
      </w:r>
      <w:r>
        <w:rPr>
          <w:rFonts w:cs="Times New Roman"/>
        </w:rPr>
        <w:t>.</w:t>
      </w:r>
      <w:r>
        <w:rPr>
          <w:rFonts w:cs="Times New Roman"/>
        </w:rPr>
        <w:t>《</w:t>
      </w:r>
      <w:r>
        <w:rPr>
          <w:rFonts w:cs="Times New Roman"/>
        </w:rPr>
        <w:t>新疆维吾尔自治区野生植物保护条例</w:t>
      </w:r>
      <w:r>
        <w:rPr>
          <w:rFonts w:cs="Times New Roman"/>
        </w:rPr>
        <w:t>》（</w:t>
      </w:r>
      <w:r>
        <w:rPr>
          <w:rFonts w:cs="Times New Roman"/>
        </w:rPr>
        <w:t>2012.3.28</w:t>
      </w:r>
      <w:r>
        <w:rPr>
          <w:rFonts w:cs="Times New Roman"/>
        </w:rPr>
        <w:t>修正）；</w:t>
      </w:r>
    </w:p>
    <w:p w:rsidR="00A46452" w:rsidRDefault="009A3928">
      <w:pPr>
        <w:pStyle w:val="001"/>
        <w:wordWrap w:val="0"/>
        <w:topLinePunct/>
        <w:adjustRightInd w:val="0"/>
        <w:snapToGrid w:val="0"/>
        <w:ind w:firstLine="480"/>
        <w:rPr>
          <w:rFonts w:cs="Times New Roman"/>
        </w:rPr>
      </w:pPr>
      <w:r>
        <w:rPr>
          <w:rFonts w:cs="Times New Roman"/>
        </w:rPr>
        <w:t>4</w:t>
      </w:r>
      <w:r>
        <w:rPr>
          <w:rFonts w:cs="Times New Roman"/>
        </w:rPr>
        <w:t>.</w:t>
      </w:r>
      <w:r>
        <w:rPr>
          <w:rFonts w:cs="Times New Roman"/>
        </w:rPr>
        <w:t>《新疆维吾尔自治区实施</w:t>
      </w:r>
      <w:r>
        <w:rPr>
          <w:rFonts w:eastAsia="等线" w:cs="Times New Roman"/>
        </w:rPr>
        <w:t>〈</w:t>
      </w:r>
      <w:r>
        <w:rPr>
          <w:rFonts w:cs="Times New Roman"/>
        </w:rPr>
        <w:t>中华人民共和国森林法〉办法》（</w:t>
      </w:r>
      <w:r>
        <w:rPr>
          <w:rFonts w:cs="Times New Roman"/>
        </w:rPr>
        <w:t>2010.7.28</w:t>
      </w:r>
      <w:r>
        <w:rPr>
          <w:rFonts w:cs="Times New Roman"/>
        </w:rPr>
        <w:t>修正）；</w:t>
      </w:r>
    </w:p>
    <w:p w:rsidR="00A46452" w:rsidRDefault="009A3928">
      <w:pPr>
        <w:pStyle w:val="001"/>
        <w:wordWrap w:val="0"/>
        <w:topLinePunct/>
        <w:adjustRightInd w:val="0"/>
        <w:snapToGrid w:val="0"/>
        <w:ind w:firstLine="480"/>
        <w:rPr>
          <w:rFonts w:cs="Times New Roman"/>
        </w:rPr>
      </w:pPr>
      <w:r>
        <w:rPr>
          <w:rFonts w:cs="Times New Roman"/>
        </w:rPr>
        <w:t>5.</w:t>
      </w:r>
      <w:r>
        <w:rPr>
          <w:rFonts w:cs="Times New Roman"/>
        </w:rPr>
        <w:t>《新疆生态功能区划》；</w:t>
      </w:r>
    </w:p>
    <w:p w:rsidR="00A46452" w:rsidRDefault="009A3928">
      <w:pPr>
        <w:pStyle w:val="001"/>
        <w:wordWrap w:val="0"/>
        <w:topLinePunct/>
        <w:adjustRightInd w:val="0"/>
        <w:snapToGrid w:val="0"/>
        <w:ind w:firstLine="480"/>
        <w:rPr>
          <w:rFonts w:cs="Times New Roman"/>
        </w:rPr>
      </w:pPr>
      <w:r>
        <w:rPr>
          <w:rFonts w:cs="Times New Roman" w:hint="eastAsia"/>
        </w:rPr>
        <w:t>6.</w:t>
      </w:r>
      <w:r>
        <w:rPr>
          <w:rFonts w:cs="Times New Roman" w:hint="eastAsia"/>
        </w:rPr>
        <w:t>《新疆生产建设兵团生态功能区划》</w:t>
      </w:r>
      <w:r>
        <w:rPr>
          <w:rFonts w:cs="Times New Roman" w:hint="eastAsia"/>
        </w:rPr>
        <w:t>；</w:t>
      </w:r>
    </w:p>
    <w:p w:rsidR="00A46452" w:rsidRDefault="009A3928">
      <w:pPr>
        <w:pStyle w:val="001"/>
        <w:wordWrap w:val="0"/>
        <w:topLinePunct/>
        <w:adjustRightInd w:val="0"/>
        <w:snapToGrid w:val="0"/>
        <w:ind w:firstLine="480"/>
        <w:rPr>
          <w:rFonts w:cs="Times New Roman"/>
        </w:rPr>
      </w:pPr>
      <w:r>
        <w:rPr>
          <w:rFonts w:cs="Times New Roman" w:hint="eastAsia"/>
        </w:rPr>
        <w:t>7</w:t>
      </w:r>
      <w:r>
        <w:rPr>
          <w:rFonts w:cs="Times New Roman"/>
        </w:rPr>
        <w:t>.</w:t>
      </w:r>
      <w:r>
        <w:rPr>
          <w:rFonts w:cs="Times New Roman"/>
        </w:rPr>
        <w:t>《新疆水环境功能区划》；</w:t>
      </w:r>
    </w:p>
    <w:p w:rsidR="00A46452" w:rsidRDefault="009A3928">
      <w:pPr>
        <w:pStyle w:val="001"/>
        <w:wordWrap w:val="0"/>
        <w:topLinePunct/>
        <w:adjustRightInd w:val="0"/>
        <w:snapToGrid w:val="0"/>
        <w:ind w:firstLine="480"/>
        <w:rPr>
          <w:rFonts w:cs="Times New Roman"/>
        </w:rPr>
      </w:pPr>
      <w:r>
        <w:rPr>
          <w:rFonts w:cs="Times New Roman" w:hint="eastAsia"/>
        </w:rPr>
        <w:t>8</w:t>
      </w:r>
      <w:r>
        <w:rPr>
          <w:rFonts w:cs="Times New Roman"/>
        </w:rPr>
        <w:t>.</w:t>
      </w:r>
      <w:r>
        <w:rPr>
          <w:rFonts w:cs="Times New Roman"/>
        </w:rPr>
        <w:t>《关于印发新疆自治区级水土流失重点预防区和重点治理区复核划分成果的通知》（新水水保〔</w:t>
      </w:r>
      <w:r>
        <w:rPr>
          <w:rFonts w:cs="Times New Roman"/>
        </w:rPr>
        <w:t>2019</w:t>
      </w:r>
      <w:r>
        <w:rPr>
          <w:rFonts w:cs="Times New Roman"/>
        </w:rPr>
        <w:t>〕</w:t>
      </w:r>
      <w:r>
        <w:rPr>
          <w:rFonts w:cs="Times New Roman"/>
        </w:rPr>
        <w:t>4</w:t>
      </w:r>
      <w:r>
        <w:rPr>
          <w:rFonts w:cs="Times New Roman"/>
        </w:rPr>
        <w:t>号）；</w:t>
      </w:r>
    </w:p>
    <w:p w:rsidR="00A46452" w:rsidRDefault="009A3928">
      <w:pPr>
        <w:pStyle w:val="001"/>
        <w:wordWrap w:val="0"/>
        <w:topLinePunct/>
        <w:adjustRightInd w:val="0"/>
        <w:snapToGrid w:val="0"/>
        <w:ind w:firstLine="480"/>
        <w:rPr>
          <w:rFonts w:cs="Times New Roman"/>
        </w:rPr>
      </w:pPr>
      <w:r>
        <w:rPr>
          <w:rFonts w:cs="Times New Roman" w:hint="eastAsia"/>
        </w:rPr>
        <w:t>9</w:t>
      </w:r>
      <w:r>
        <w:rPr>
          <w:rFonts w:cs="Times New Roman"/>
        </w:rPr>
        <w:t>.</w:t>
      </w:r>
      <w:r>
        <w:rPr>
          <w:rFonts w:cs="Times New Roman"/>
        </w:rPr>
        <w:t>《关于加强沙区建设项目环境影响评价工作的通知》（新环环评发</w:t>
      </w:r>
      <w:r>
        <w:rPr>
          <w:rFonts w:cs="Times New Roman"/>
        </w:rPr>
        <w:t>〔</w:t>
      </w:r>
      <w:r>
        <w:rPr>
          <w:rFonts w:cs="Times New Roman"/>
        </w:rPr>
        <w:t>2020</w:t>
      </w:r>
      <w:r>
        <w:rPr>
          <w:rFonts w:cs="Times New Roman"/>
        </w:rPr>
        <w:t>〕</w:t>
      </w:r>
      <w:r>
        <w:rPr>
          <w:rFonts w:cs="Times New Roman"/>
        </w:rPr>
        <w:t>138</w:t>
      </w:r>
      <w:r>
        <w:rPr>
          <w:rFonts w:cs="Times New Roman"/>
        </w:rPr>
        <w:t>号</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hint="eastAsia"/>
        </w:rPr>
        <w:t>10</w:t>
      </w:r>
      <w:r>
        <w:rPr>
          <w:rFonts w:cs="Times New Roman"/>
        </w:rPr>
        <w:t>.</w:t>
      </w:r>
      <w:r>
        <w:rPr>
          <w:rFonts w:cs="Times New Roman"/>
        </w:rPr>
        <w:t>兵团党委兵团印发《关于全面加强生态环境保护坚决打好污染防治攻坚战实施方案》的通知，</w:t>
      </w:r>
      <w:r>
        <w:rPr>
          <w:rFonts w:cs="Times New Roman"/>
        </w:rPr>
        <w:t>2018.10.25</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1</w:t>
      </w:r>
      <w:r>
        <w:rPr>
          <w:rFonts w:cs="Times New Roman"/>
        </w:rPr>
        <w:t>.</w:t>
      </w:r>
      <w:r>
        <w:rPr>
          <w:rFonts w:cs="Times New Roman"/>
        </w:rPr>
        <w:t>《新疆维吾尔自治区生态环境分区管控动态更新成果》的通知（新政发〔</w:t>
      </w:r>
      <w:r>
        <w:rPr>
          <w:rFonts w:cs="Times New Roman"/>
        </w:rPr>
        <w:t>202</w:t>
      </w:r>
      <w:r>
        <w:rPr>
          <w:rFonts w:cs="Times New Roman"/>
        </w:rPr>
        <w:t>4</w:t>
      </w:r>
      <w:r>
        <w:rPr>
          <w:rFonts w:cs="Times New Roman"/>
        </w:rPr>
        <w:t>〕</w:t>
      </w:r>
      <w:r>
        <w:rPr>
          <w:rFonts w:cs="Times New Roman"/>
        </w:rPr>
        <w:t>157</w:t>
      </w:r>
      <w:r>
        <w:rPr>
          <w:rFonts w:cs="Times New Roman"/>
        </w:rPr>
        <w:t>号）；</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2</w:t>
      </w:r>
      <w:r>
        <w:rPr>
          <w:rFonts w:cs="Times New Roman"/>
        </w:rPr>
        <w:t>.</w:t>
      </w:r>
      <w:r>
        <w:rPr>
          <w:rFonts w:cs="Times New Roman"/>
        </w:rPr>
        <w:t>《新疆生产建设兵团</w:t>
      </w:r>
      <w:r>
        <w:rPr>
          <w:rFonts w:cs="Times New Roman"/>
        </w:rPr>
        <w:t>“</w:t>
      </w:r>
      <w:r>
        <w:rPr>
          <w:rFonts w:cs="Times New Roman"/>
        </w:rPr>
        <w:t>三线一单</w:t>
      </w:r>
      <w:r>
        <w:rPr>
          <w:rFonts w:cs="Times New Roman"/>
        </w:rPr>
        <w:t>”</w:t>
      </w:r>
      <w:r>
        <w:rPr>
          <w:rFonts w:cs="Times New Roman"/>
        </w:rPr>
        <w:t>生态环境分</w:t>
      </w:r>
      <w:r>
        <w:rPr>
          <w:rFonts w:cs="Times New Roman"/>
        </w:rPr>
        <w:t>区管控方案》（新兵发</w:t>
      </w:r>
      <w:r>
        <w:rPr>
          <w:rFonts w:cs="Times New Roman"/>
        </w:rPr>
        <w:t>〔</w:t>
      </w:r>
      <w:r>
        <w:rPr>
          <w:rFonts w:cs="Times New Roman"/>
        </w:rPr>
        <w:t>2021</w:t>
      </w:r>
      <w:r>
        <w:rPr>
          <w:rFonts w:cs="Times New Roman"/>
        </w:rPr>
        <w:t>〕</w:t>
      </w:r>
      <w:r>
        <w:rPr>
          <w:rFonts w:cs="Times New Roman"/>
        </w:rPr>
        <w:t>16</w:t>
      </w:r>
      <w:r>
        <w:rPr>
          <w:rFonts w:cs="Times New Roman"/>
        </w:rPr>
        <w:t>号</w:t>
      </w:r>
      <w:r>
        <w:rPr>
          <w:rFonts w:cs="Times New Roman"/>
        </w:rPr>
        <w:t>）及</w:t>
      </w:r>
      <w:r>
        <w:rPr>
          <w:rFonts w:cs="Times New Roman"/>
        </w:rPr>
        <w:t>2023</w:t>
      </w:r>
      <w:r>
        <w:rPr>
          <w:rFonts w:cs="Times New Roman"/>
        </w:rPr>
        <w:t>年动态更新成果；</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3</w:t>
      </w:r>
      <w:r>
        <w:rPr>
          <w:rFonts w:cs="Times New Roman"/>
        </w:rPr>
        <w:t>.</w:t>
      </w:r>
      <w:r>
        <w:rPr>
          <w:rFonts w:cs="Times New Roman"/>
        </w:rPr>
        <w:t>《第</w:t>
      </w:r>
      <w:r>
        <w:rPr>
          <w:rFonts w:cs="Times New Roman"/>
        </w:rPr>
        <w:t>三</w:t>
      </w:r>
      <w:r>
        <w:rPr>
          <w:rFonts w:cs="Times New Roman"/>
        </w:rPr>
        <w:t>师</w:t>
      </w:r>
      <w:r>
        <w:rPr>
          <w:rFonts w:cs="Times New Roman"/>
        </w:rPr>
        <w:t>图木舒克</w:t>
      </w:r>
      <w:r>
        <w:rPr>
          <w:rFonts w:cs="Times New Roman"/>
        </w:rPr>
        <w:t>市</w:t>
      </w:r>
      <w:r>
        <w:rPr>
          <w:rFonts w:cs="Times New Roman"/>
        </w:rPr>
        <w:t>“</w:t>
      </w:r>
      <w:r>
        <w:rPr>
          <w:rFonts w:cs="Times New Roman"/>
        </w:rPr>
        <w:t>三线一单</w:t>
      </w:r>
      <w:r>
        <w:rPr>
          <w:rFonts w:cs="Times New Roman"/>
        </w:rPr>
        <w:t>”</w:t>
      </w:r>
      <w:r>
        <w:rPr>
          <w:rFonts w:cs="Times New Roman"/>
        </w:rPr>
        <w:t>生态环境分区管控方案》（师市发</w:t>
      </w:r>
      <w:r>
        <w:rPr>
          <w:rFonts w:cs="Times New Roman"/>
        </w:rPr>
        <w:t>〔</w:t>
      </w:r>
      <w:r>
        <w:rPr>
          <w:rFonts w:cs="Times New Roman"/>
        </w:rPr>
        <w:t>2021</w:t>
      </w:r>
      <w:r>
        <w:rPr>
          <w:rFonts w:cs="Times New Roman"/>
        </w:rPr>
        <w:t>〕</w:t>
      </w:r>
      <w:r>
        <w:rPr>
          <w:rFonts w:cs="Times New Roman"/>
        </w:rPr>
        <w:t>44</w:t>
      </w:r>
      <w:r>
        <w:rPr>
          <w:rFonts w:cs="Times New Roman"/>
        </w:rPr>
        <w:t>号</w:t>
      </w:r>
      <w:r>
        <w:rPr>
          <w:rFonts w:cs="Times New Roman"/>
        </w:rPr>
        <w:t>）及</w:t>
      </w:r>
      <w:r>
        <w:rPr>
          <w:rFonts w:cs="Times New Roman"/>
        </w:rPr>
        <w:t>2023</w:t>
      </w:r>
      <w:r>
        <w:rPr>
          <w:rFonts w:cs="Times New Roman"/>
        </w:rPr>
        <w:t>年动态更新成果；</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4</w:t>
      </w:r>
      <w:r>
        <w:rPr>
          <w:rFonts w:cs="Times New Roman"/>
        </w:rPr>
        <w:t>.</w:t>
      </w:r>
      <w:r>
        <w:rPr>
          <w:rFonts w:cs="Times New Roman"/>
        </w:rPr>
        <w:t>《</w:t>
      </w:r>
      <w:r>
        <w:rPr>
          <w:rFonts w:cs="Times New Roman"/>
        </w:rPr>
        <w:t>喀什地区生态环境分区管控方案（动态更新）</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5</w:t>
      </w:r>
      <w:r>
        <w:rPr>
          <w:rFonts w:cs="Times New Roman"/>
        </w:rPr>
        <w:t>.</w:t>
      </w:r>
      <w:r>
        <w:rPr>
          <w:rFonts w:cs="Times New Roman"/>
        </w:rPr>
        <w:t>《阿克苏地区生态环境分区管控方案（动态更新）》（</w:t>
      </w:r>
      <w:r>
        <w:rPr>
          <w:rFonts w:cs="Times New Roman"/>
        </w:rPr>
        <w:t>2024.10.28</w:t>
      </w:r>
      <w:r>
        <w:rPr>
          <w:rFonts w:cs="Times New Roman"/>
        </w:rPr>
        <w:t>）；</w:t>
      </w:r>
    </w:p>
    <w:p w:rsidR="00A46452" w:rsidRDefault="009A3928">
      <w:pPr>
        <w:tabs>
          <w:tab w:val="left" w:pos="1134"/>
        </w:tabs>
        <w:wordWrap w:val="0"/>
        <w:topLinePunct/>
        <w:adjustRightInd w:val="0"/>
        <w:snapToGrid w:val="0"/>
        <w:ind w:firstLine="464"/>
        <w:rPr>
          <w:rFonts w:cs="Times New Roman"/>
          <w:spacing w:val="-4"/>
          <w:kern w:val="0"/>
          <w:szCs w:val="28"/>
        </w:rPr>
      </w:pPr>
      <w:r>
        <w:rPr>
          <w:rFonts w:cs="Times New Roman"/>
          <w:spacing w:val="-4"/>
          <w:kern w:val="0"/>
          <w:szCs w:val="28"/>
        </w:rPr>
        <w:t>1</w:t>
      </w:r>
      <w:r>
        <w:rPr>
          <w:rFonts w:cs="Times New Roman" w:hint="eastAsia"/>
          <w:spacing w:val="-4"/>
          <w:kern w:val="0"/>
          <w:szCs w:val="28"/>
        </w:rPr>
        <w:t>6</w:t>
      </w:r>
      <w:r>
        <w:rPr>
          <w:rFonts w:cs="Times New Roman"/>
          <w:spacing w:val="-4"/>
          <w:kern w:val="0"/>
          <w:szCs w:val="28"/>
        </w:rPr>
        <w:t>.</w:t>
      </w:r>
      <w:r>
        <w:rPr>
          <w:rFonts w:cs="Times New Roman"/>
          <w:spacing w:val="-4"/>
          <w:kern w:val="0"/>
          <w:szCs w:val="28"/>
        </w:rPr>
        <w:t>《新疆维吾尔自治区重点保护野生植物名录》</w:t>
      </w:r>
      <w:r>
        <w:rPr>
          <w:rFonts w:cs="Times New Roman"/>
          <w:spacing w:val="-4"/>
          <w:kern w:val="0"/>
          <w:szCs w:val="28"/>
        </w:rPr>
        <w:t>（</w:t>
      </w:r>
      <w:r>
        <w:rPr>
          <w:rFonts w:cs="Times New Roman"/>
          <w:spacing w:val="-4"/>
          <w:kern w:val="0"/>
          <w:szCs w:val="28"/>
        </w:rPr>
        <w:t>新政办发</w:t>
      </w:r>
      <w:r>
        <w:rPr>
          <w:rFonts w:cs="Times New Roman"/>
          <w:spacing w:val="-4"/>
          <w:kern w:val="0"/>
          <w:szCs w:val="28"/>
        </w:rPr>
        <w:t>〔</w:t>
      </w:r>
      <w:r>
        <w:rPr>
          <w:rFonts w:cs="Times New Roman"/>
          <w:spacing w:val="-4"/>
          <w:kern w:val="0"/>
          <w:szCs w:val="28"/>
        </w:rPr>
        <w:t>2023</w:t>
      </w:r>
      <w:r>
        <w:rPr>
          <w:rFonts w:cs="Times New Roman"/>
          <w:spacing w:val="-4"/>
          <w:kern w:val="0"/>
          <w:szCs w:val="28"/>
        </w:rPr>
        <w:t>〕</w:t>
      </w:r>
      <w:r>
        <w:rPr>
          <w:rFonts w:cs="Times New Roman"/>
          <w:spacing w:val="-4"/>
          <w:kern w:val="0"/>
          <w:szCs w:val="28"/>
        </w:rPr>
        <w:t>63</w:t>
      </w:r>
      <w:r>
        <w:rPr>
          <w:rFonts w:cs="Times New Roman"/>
          <w:spacing w:val="-4"/>
          <w:kern w:val="0"/>
          <w:szCs w:val="28"/>
        </w:rPr>
        <w:t>号）</w:t>
      </w:r>
      <w:r>
        <w:rPr>
          <w:rFonts w:cs="Times New Roman"/>
          <w:spacing w:val="-4"/>
          <w:kern w:val="0"/>
          <w:szCs w:val="28"/>
        </w:rPr>
        <w:t>；</w:t>
      </w:r>
    </w:p>
    <w:p w:rsidR="00A46452" w:rsidRDefault="009A3928">
      <w:pPr>
        <w:pStyle w:val="afff9"/>
        <w:tabs>
          <w:tab w:val="left" w:pos="1134"/>
        </w:tabs>
        <w:wordWrap w:val="0"/>
        <w:topLinePunct/>
        <w:adjustRightInd w:val="0"/>
        <w:snapToGrid w:val="0"/>
        <w:ind w:left="0" w:firstLine="480"/>
        <w:rPr>
          <w:rFonts w:ascii="Times New Roman" w:hAnsi="Times New Roman" w:cs="Times New Roman"/>
          <w:kern w:val="0"/>
          <w:szCs w:val="28"/>
        </w:rPr>
      </w:pPr>
      <w:r>
        <w:rPr>
          <w:rFonts w:ascii="Times New Roman" w:hAnsi="Times New Roman" w:cs="Times New Roman"/>
          <w:kern w:val="0"/>
          <w:szCs w:val="28"/>
        </w:rPr>
        <w:t>1</w:t>
      </w:r>
      <w:r>
        <w:rPr>
          <w:rFonts w:ascii="Times New Roman" w:hAnsi="Times New Roman" w:cs="Times New Roman" w:hint="eastAsia"/>
          <w:kern w:val="0"/>
          <w:szCs w:val="28"/>
          <w:lang w:val="en-US"/>
        </w:rPr>
        <w:t>7</w:t>
      </w:r>
      <w:r>
        <w:rPr>
          <w:rFonts w:ascii="Times New Roman" w:hAnsi="Times New Roman" w:cs="Times New Roman"/>
          <w:kern w:val="0"/>
          <w:szCs w:val="28"/>
        </w:rPr>
        <w:t>.</w:t>
      </w:r>
      <w:r>
        <w:rPr>
          <w:rFonts w:ascii="Times New Roman" w:hAnsi="Times New Roman" w:cs="Times New Roman"/>
          <w:kern w:val="0"/>
          <w:szCs w:val="28"/>
        </w:rPr>
        <w:t>《新疆维吾尔自治区重点保护野生动物名录》（新林动植字</w:t>
      </w:r>
      <w:r>
        <w:rPr>
          <w:rFonts w:ascii="Times New Roman" w:hAnsi="Times New Roman" w:cs="Times New Roman"/>
          <w:kern w:val="0"/>
          <w:szCs w:val="28"/>
        </w:rPr>
        <w:t>〔</w:t>
      </w:r>
      <w:r>
        <w:rPr>
          <w:rFonts w:ascii="Times New Roman" w:hAnsi="Times New Roman" w:cs="Times New Roman"/>
          <w:kern w:val="0"/>
          <w:szCs w:val="28"/>
        </w:rPr>
        <w:t>2022</w:t>
      </w:r>
      <w:r>
        <w:rPr>
          <w:rFonts w:ascii="Times New Roman" w:hAnsi="Times New Roman" w:cs="Times New Roman"/>
          <w:kern w:val="0"/>
          <w:szCs w:val="28"/>
        </w:rPr>
        <w:t>〕</w:t>
      </w:r>
      <w:r>
        <w:rPr>
          <w:rFonts w:ascii="Times New Roman" w:hAnsi="Times New Roman" w:cs="Times New Roman"/>
          <w:kern w:val="0"/>
          <w:szCs w:val="28"/>
        </w:rPr>
        <w:t>75</w:t>
      </w:r>
      <w:r>
        <w:rPr>
          <w:rFonts w:ascii="Times New Roman" w:hAnsi="Times New Roman" w:cs="Times New Roman"/>
          <w:kern w:val="0"/>
          <w:szCs w:val="28"/>
        </w:rPr>
        <w:t>号</w:t>
      </w:r>
      <w:r>
        <w:rPr>
          <w:rFonts w:ascii="Times New Roman" w:hAnsi="Times New Roman" w:cs="Times New Roman"/>
          <w:kern w:val="0"/>
          <w:szCs w:val="28"/>
        </w:rPr>
        <w:t>）。</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9</w:t>
      </w:r>
      <w:r>
        <w:rPr>
          <w:rFonts w:cs="Times New Roman"/>
        </w:rPr>
        <w:t>.</w:t>
      </w:r>
      <w:r>
        <w:rPr>
          <w:rFonts w:cs="Times New Roman"/>
        </w:rPr>
        <w:t>《新疆维吾尔自治区人民政府关于进一步加快自治区公路建设的意见》（新政发〔</w:t>
      </w:r>
      <w:r>
        <w:rPr>
          <w:rFonts w:cs="Times New Roman"/>
        </w:rPr>
        <w:t>2011</w:t>
      </w:r>
      <w:r>
        <w:rPr>
          <w:rFonts w:cs="Times New Roman"/>
        </w:rPr>
        <w:t>〕</w:t>
      </w:r>
      <w:r>
        <w:rPr>
          <w:rFonts w:cs="Times New Roman"/>
        </w:rPr>
        <w:t>4</w:t>
      </w:r>
      <w:r>
        <w:rPr>
          <w:rFonts w:cs="Times New Roman"/>
        </w:rPr>
        <w:t>号，</w:t>
      </w:r>
      <w:r>
        <w:rPr>
          <w:rFonts w:cs="Times New Roman"/>
        </w:rPr>
        <w:t>2011.11.6</w:t>
      </w:r>
      <w:r>
        <w:rPr>
          <w:rFonts w:cs="Times New Roman"/>
        </w:rPr>
        <w:t>）；</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hint="eastAsia"/>
        </w:rPr>
        <w:t>9</w:t>
      </w:r>
      <w:r>
        <w:rPr>
          <w:rFonts w:cs="Times New Roman"/>
        </w:rPr>
        <w:t>.</w:t>
      </w:r>
      <w:r>
        <w:rPr>
          <w:rFonts w:cs="Times New Roman"/>
        </w:rPr>
        <w:t>《新疆维吾尔自治区实施</w:t>
      </w:r>
      <w:r>
        <w:rPr>
          <w:rFonts w:eastAsia="楷体" w:cs="Times New Roman"/>
          <w:sz w:val="18"/>
          <w:szCs w:val="18"/>
          <w:shd w:val="clear" w:color="auto" w:fill="FFFFFF"/>
        </w:rPr>
        <w:t>〈</w:t>
      </w:r>
      <w:r>
        <w:rPr>
          <w:rFonts w:cs="Times New Roman"/>
        </w:rPr>
        <w:t>中华人民共和国防沙治沙法</w:t>
      </w:r>
      <w:r>
        <w:rPr>
          <w:rFonts w:eastAsia="楷体" w:cs="Times New Roman"/>
          <w:sz w:val="18"/>
          <w:szCs w:val="18"/>
          <w:shd w:val="clear" w:color="auto" w:fill="FFFFFF"/>
        </w:rPr>
        <w:t>〉</w:t>
      </w:r>
      <w:r>
        <w:rPr>
          <w:rFonts w:cs="Times New Roman"/>
        </w:rPr>
        <w:t>办法》（新疆维吾尔自治区第十四届人民代表大会常务委员会公告第</w:t>
      </w:r>
      <w:r>
        <w:rPr>
          <w:rFonts w:cs="Times New Roman"/>
        </w:rPr>
        <w:t>43</w:t>
      </w:r>
      <w:r>
        <w:rPr>
          <w:rFonts w:cs="Times New Roman"/>
        </w:rPr>
        <w:t>号，</w:t>
      </w:r>
      <w:r>
        <w:rPr>
          <w:rFonts w:cs="Times New Roman"/>
        </w:rPr>
        <w:t>2025.1.1</w:t>
      </w:r>
      <w:r>
        <w:rPr>
          <w:rFonts w:cs="Times New Roman"/>
        </w:rPr>
        <w:t>实施）</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97" w:name="_Toc34989528"/>
      <w:bookmarkStart w:id="98" w:name="_Toc57826694"/>
      <w:bookmarkStart w:id="99" w:name="_Toc97464587"/>
      <w:bookmarkStart w:id="100" w:name="_Toc98414164"/>
      <w:bookmarkStart w:id="101" w:name="_Toc98413482"/>
      <w:r>
        <w:rPr>
          <w:rFonts w:cs="Times New Roman" w:hint="default"/>
          <w:sz w:val="28"/>
          <w:szCs w:val="28"/>
        </w:rPr>
        <w:t>2.1.4</w:t>
      </w:r>
      <w:r>
        <w:rPr>
          <w:rFonts w:cs="Times New Roman" w:hint="default"/>
          <w:sz w:val="28"/>
          <w:szCs w:val="28"/>
        </w:rPr>
        <w:t>技术导则及规范</w:t>
      </w:r>
      <w:bookmarkEnd w:id="97"/>
      <w:bookmarkEnd w:id="98"/>
      <w:bookmarkEnd w:id="99"/>
      <w:bookmarkEnd w:id="100"/>
      <w:bookmarkEnd w:id="101"/>
    </w:p>
    <w:p w:rsidR="00A46452" w:rsidRDefault="009A3928">
      <w:pPr>
        <w:pStyle w:val="001"/>
        <w:wordWrap w:val="0"/>
        <w:topLinePunct/>
        <w:adjustRightInd w:val="0"/>
        <w:snapToGrid w:val="0"/>
        <w:spacing w:line="440" w:lineRule="exact"/>
        <w:ind w:firstLine="480"/>
        <w:rPr>
          <w:rFonts w:cs="Times New Roman"/>
        </w:rPr>
      </w:pPr>
      <w:r>
        <w:rPr>
          <w:rFonts w:cs="Times New Roman"/>
        </w:rPr>
        <w:t>1.</w:t>
      </w:r>
      <w:r>
        <w:rPr>
          <w:rFonts w:cs="Times New Roman"/>
        </w:rPr>
        <w:t>《建设项目环境影响评价技术导则</w:t>
      </w:r>
      <w:r>
        <w:rPr>
          <w:rFonts w:cs="Times New Roman"/>
        </w:rPr>
        <w:t xml:space="preserve"> </w:t>
      </w:r>
      <w:r>
        <w:rPr>
          <w:rFonts w:cs="Times New Roman"/>
        </w:rPr>
        <w:t>总纲》，</w:t>
      </w:r>
      <w:r>
        <w:rPr>
          <w:rFonts w:cs="Times New Roman"/>
        </w:rPr>
        <w:t>HJ2.1-2016</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2.</w:t>
      </w:r>
      <w:r>
        <w:rPr>
          <w:rFonts w:cs="Times New Roman"/>
        </w:rPr>
        <w:t>《</w:t>
      </w:r>
      <w:r>
        <w:rPr>
          <w:rFonts w:cs="Times New Roman"/>
        </w:rPr>
        <w:t>环境影响评价技术导则</w:t>
      </w:r>
      <w:r>
        <w:rPr>
          <w:rFonts w:cs="Times New Roman"/>
        </w:rPr>
        <w:t xml:space="preserve"> </w:t>
      </w:r>
      <w:r>
        <w:rPr>
          <w:rFonts w:cs="Times New Roman"/>
        </w:rPr>
        <w:t>公路建设项目</w:t>
      </w:r>
      <w:r>
        <w:rPr>
          <w:rFonts w:cs="Times New Roman"/>
        </w:rPr>
        <w:t>》，</w:t>
      </w:r>
      <w:r>
        <w:rPr>
          <w:rFonts w:cs="Times New Roman"/>
        </w:rPr>
        <w:t>HJ1358</w:t>
      </w:r>
      <w:r>
        <w:rPr>
          <w:rFonts w:cs="Times New Roman"/>
        </w:rPr>
        <w:t>-20</w:t>
      </w:r>
      <w:r>
        <w:rPr>
          <w:rFonts w:cs="Times New Roman"/>
        </w:rPr>
        <w:t>24</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3</w:t>
      </w:r>
      <w:r>
        <w:rPr>
          <w:rFonts w:cs="Times New Roman"/>
        </w:rPr>
        <w:t>.</w:t>
      </w: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4</w:t>
      </w:r>
      <w:r>
        <w:rPr>
          <w:rFonts w:cs="Times New Roman"/>
        </w:rPr>
        <w:t>.</w:t>
      </w:r>
      <w:r>
        <w:rPr>
          <w:rFonts w:cs="Times New Roman"/>
        </w:rPr>
        <w:t>《环境影响评价技术导则</w:t>
      </w:r>
      <w:r>
        <w:rPr>
          <w:rFonts w:cs="Times New Roman"/>
        </w:rPr>
        <w:t xml:space="preserve"> </w:t>
      </w:r>
      <w:r>
        <w:rPr>
          <w:rFonts w:cs="Times New Roman"/>
        </w:rPr>
        <w:t>地表水环境》，</w:t>
      </w:r>
      <w:r>
        <w:rPr>
          <w:rFonts w:cs="Times New Roman"/>
        </w:rPr>
        <w:t>HJ2.3-2018</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5</w:t>
      </w:r>
      <w:r>
        <w:rPr>
          <w:rFonts w:cs="Times New Roman"/>
        </w:rPr>
        <w:t>.</w:t>
      </w:r>
      <w:r>
        <w:rPr>
          <w:rFonts w:cs="Times New Roman"/>
        </w:rPr>
        <w:t>《环境影响评价技术导则</w:t>
      </w:r>
      <w:r>
        <w:rPr>
          <w:rFonts w:cs="Times New Roman"/>
        </w:rPr>
        <w:t xml:space="preserve"> </w:t>
      </w:r>
      <w:r>
        <w:rPr>
          <w:rFonts w:cs="Times New Roman"/>
        </w:rPr>
        <w:t>地下水环境》，</w:t>
      </w:r>
      <w:r>
        <w:rPr>
          <w:rFonts w:cs="Times New Roman"/>
        </w:rPr>
        <w:t>HJ610-2016</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6</w:t>
      </w:r>
      <w:r>
        <w:rPr>
          <w:rFonts w:cs="Times New Roman"/>
        </w:rPr>
        <w:t>.</w:t>
      </w:r>
      <w:r>
        <w:rPr>
          <w:rFonts w:cs="Times New Roman"/>
        </w:rPr>
        <w:t>《环境影响评价技术导则</w:t>
      </w:r>
      <w:r>
        <w:rPr>
          <w:rFonts w:cs="Times New Roman"/>
        </w:rPr>
        <w:t xml:space="preserve"> </w:t>
      </w:r>
      <w:r>
        <w:rPr>
          <w:rFonts w:cs="Times New Roman"/>
        </w:rPr>
        <w:t>声环境》，</w:t>
      </w:r>
      <w:r>
        <w:rPr>
          <w:rFonts w:cs="Times New Roman"/>
        </w:rPr>
        <w:t>HJ2.4-2021</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7</w:t>
      </w:r>
      <w:r>
        <w:rPr>
          <w:rFonts w:cs="Times New Roman"/>
        </w:rPr>
        <w:t>.</w:t>
      </w:r>
      <w:r>
        <w:rPr>
          <w:rFonts w:cs="Times New Roman"/>
        </w:rPr>
        <w:t>《环境影响评价技术导则</w:t>
      </w:r>
      <w:r>
        <w:rPr>
          <w:rFonts w:cs="Times New Roman"/>
        </w:rPr>
        <w:t xml:space="preserve"> </w:t>
      </w:r>
      <w:r>
        <w:rPr>
          <w:rFonts w:cs="Times New Roman"/>
        </w:rPr>
        <w:t>生态影响》，</w:t>
      </w:r>
      <w:r>
        <w:rPr>
          <w:rFonts w:cs="Times New Roman"/>
        </w:rPr>
        <w:t>HJ19-2022</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8</w:t>
      </w:r>
      <w:r>
        <w:rPr>
          <w:rFonts w:cs="Times New Roman"/>
        </w:rPr>
        <w:t>.</w:t>
      </w:r>
      <w:r>
        <w:rPr>
          <w:rFonts w:cs="Times New Roman"/>
        </w:rPr>
        <w:t>《建设项目环境风险评价技术导则》，</w:t>
      </w:r>
      <w:r>
        <w:rPr>
          <w:rFonts w:cs="Times New Roman"/>
        </w:rPr>
        <w:t>HJ169-2018</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9</w:t>
      </w:r>
      <w:r>
        <w:rPr>
          <w:rFonts w:cs="Times New Roman"/>
        </w:rPr>
        <w:t>.</w:t>
      </w:r>
      <w:r>
        <w:rPr>
          <w:rFonts w:cs="Times New Roman"/>
        </w:rPr>
        <w:t>《环境影响评价技术导则</w:t>
      </w:r>
      <w:r>
        <w:rPr>
          <w:rFonts w:cs="Times New Roman"/>
        </w:rPr>
        <w:t xml:space="preserve"> </w:t>
      </w:r>
      <w:r>
        <w:rPr>
          <w:rFonts w:cs="Times New Roman"/>
        </w:rPr>
        <w:t>土壤环境（试行）》，</w:t>
      </w:r>
      <w:r>
        <w:rPr>
          <w:rFonts w:cs="Times New Roman"/>
        </w:rPr>
        <w:t>HJ964-2018</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10.</w:t>
      </w:r>
      <w:r>
        <w:rPr>
          <w:rFonts w:cs="Times New Roman"/>
        </w:rPr>
        <w:t>《公路环境保护设计规范》，</w:t>
      </w:r>
      <w:r>
        <w:rPr>
          <w:rFonts w:cs="Times New Roman"/>
        </w:rPr>
        <w:t>JTG B04-2010</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11.</w:t>
      </w:r>
      <w:r>
        <w:rPr>
          <w:rFonts w:cs="Times New Roman"/>
        </w:rPr>
        <w:t>《公路工程技术</w:t>
      </w:r>
      <w:r>
        <w:rPr>
          <w:rFonts w:cs="Times New Roman"/>
        </w:rPr>
        <w:t>标准》，</w:t>
      </w:r>
      <w:r>
        <w:rPr>
          <w:rFonts w:cs="Times New Roman"/>
        </w:rPr>
        <w:t>JTG B01-2014</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12</w:t>
      </w:r>
      <w:r>
        <w:rPr>
          <w:rFonts w:cs="Times New Roman"/>
        </w:rPr>
        <w:t>.</w:t>
      </w:r>
      <w:r>
        <w:rPr>
          <w:rFonts w:cs="Times New Roman"/>
        </w:rPr>
        <w:t>《</w:t>
      </w:r>
      <w:r>
        <w:rPr>
          <w:rFonts w:cs="Times New Roman"/>
        </w:rPr>
        <w:t>公路路基设计规范》，</w:t>
      </w:r>
      <w:r>
        <w:rPr>
          <w:rFonts w:cs="Times New Roman"/>
        </w:rPr>
        <w:t>JTGD30-2015</w:t>
      </w:r>
      <w:r>
        <w:rPr>
          <w:rFonts w:cs="Times New Roman"/>
        </w:rPr>
        <w:t>；</w:t>
      </w:r>
    </w:p>
    <w:p w:rsidR="00A46452" w:rsidRDefault="009A3928">
      <w:pPr>
        <w:pStyle w:val="001"/>
        <w:wordWrap w:val="0"/>
        <w:topLinePunct/>
        <w:adjustRightInd w:val="0"/>
        <w:snapToGrid w:val="0"/>
        <w:spacing w:line="440" w:lineRule="exact"/>
        <w:ind w:firstLine="480"/>
        <w:rPr>
          <w:rFonts w:cs="Times New Roman"/>
        </w:rPr>
      </w:pPr>
      <w:r>
        <w:rPr>
          <w:rFonts w:cs="Times New Roman"/>
        </w:rPr>
        <w:t>13.</w:t>
      </w:r>
      <w:r>
        <w:rPr>
          <w:rFonts w:cs="Times New Roman"/>
        </w:rPr>
        <w:t>《生产建设项目水土保持技术标准》，</w:t>
      </w:r>
      <w:r>
        <w:rPr>
          <w:rFonts w:cs="Times New Roman"/>
        </w:rPr>
        <w:t>GB50433-2018</w:t>
      </w:r>
      <w:r>
        <w:rPr>
          <w:rFonts w:cs="Times New Roman"/>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102" w:name="_Toc57826695"/>
      <w:bookmarkStart w:id="103" w:name="_Toc97464588"/>
      <w:bookmarkStart w:id="104" w:name="_Toc34989529"/>
      <w:bookmarkStart w:id="105" w:name="_Toc98414165"/>
      <w:bookmarkStart w:id="106" w:name="_Toc98413483"/>
      <w:r>
        <w:rPr>
          <w:rFonts w:cs="Times New Roman" w:hint="default"/>
          <w:sz w:val="28"/>
          <w:szCs w:val="28"/>
        </w:rPr>
        <w:t>2.1.5</w:t>
      </w:r>
      <w:r>
        <w:rPr>
          <w:rFonts w:cs="Times New Roman" w:hint="default"/>
          <w:sz w:val="28"/>
          <w:szCs w:val="28"/>
        </w:rPr>
        <w:t>项目相关技术资料及文件</w:t>
      </w:r>
      <w:bookmarkEnd w:id="102"/>
      <w:bookmarkEnd w:id="103"/>
      <w:bookmarkEnd w:id="104"/>
      <w:bookmarkEnd w:id="105"/>
      <w:bookmarkEnd w:id="106"/>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1</w:t>
      </w:r>
      <w:r>
        <w:rPr>
          <w:rFonts w:cs="Times New Roman"/>
        </w:rPr>
        <w:t>）《全国防沙治沙规划（</w:t>
      </w:r>
      <w:r>
        <w:rPr>
          <w:rFonts w:cs="Times New Roman"/>
        </w:rPr>
        <w:t>2021</w:t>
      </w:r>
      <w:r>
        <w:rPr>
          <w:rFonts w:cs="Times New Roman"/>
        </w:rPr>
        <w:t>－</w:t>
      </w:r>
      <w:r>
        <w:rPr>
          <w:rFonts w:cs="Times New Roman"/>
        </w:rPr>
        <w:t>2030</w:t>
      </w:r>
      <w:r>
        <w:rPr>
          <w:rFonts w:cs="Times New Roman"/>
        </w:rPr>
        <w:t>年）》；</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2</w:t>
      </w:r>
      <w:r>
        <w:rPr>
          <w:rFonts w:cs="Times New Roman"/>
        </w:rPr>
        <w:t>）《新疆维吾尔自治区防沙治沙规划（</w:t>
      </w:r>
      <w:r>
        <w:rPr>
          <w:rFonts w:cs="Times New Roman"/>
        </w:rPr>
        <w:t>2021-2030</w:t>
      </w:r>
      <w:r>
        <w:rPr>
          <w:rFonts w:cs="Times New Roman"/>
        </w:rPr>
        <w:t>年）》；</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3</w:t>
      </w:r>
      <w:r>
        <w:rPr>
          <w:rFonts w:cs="Times New Roman"/>
        </w:rPr>
        <w:t>）《第三师图木舒克市</w:t>
      </w:r>
      <w:r>
        <w:rPr>
          <w:rFonts w:cs="Times New Roman"/>
        </w:rPr>
        <w:t>-</w:t>
      </w:r>
      <w:r>
        <w:rPr>
          <w:rFonts w:cs="Times New Roman"/>
        </w:rPr>
        <w:t>柯坪县</w:t>
      </w:r>
      <w:r>
        <w:rPr>
          <w:rFonts w:cs="Times New Roman"/>
        </w:rPr>
        <w:t>-</w:t>
      </w:r>
      <w:r>
        <w:rPr>
          <w:rFonts w:cs="Times New Roman"/>
        </w:rPr>
        <w:t>乌什县公路（图木舒克</w:t>
      </w:r>
      <w:r>
        <w:rPr>
          <w:rFonts w:cs="Times New Roman"/>
        </w:rPr>
        <w:t>-</w:t>
      </w:r>
      <w:r>
        <w:rPr>
          <w:rFonts w:cs="Times New Roman"/>
        </w:rPr>
        <w:t>柯坪段）工程可行性研究报告》（新疆兵团勘测设计院集团股份有限公司，</w:t>
      </w:r>
      <w:r>
        <w:rPr>
          <w:rFonts w:cs="Times New Roman"/>
        </w:rPr>
        <w:t>2025</w:t>
      </w:r>
      <w:r>
        <w:rPr>
          <w:rFonts w:cs="Times New Roman"/>
        </w:rPr>
        <w:t>年</w:t>
      </w:r>
      <w:r>
        <w:rPr>
          <w:rFonts w:cs="Times New Roman"/>
        </w:rPr>
        <w:t>1</w:t>
      </w:r>
      <w:r>
        <w:rPr>
          <w:rFonts w:cs="Times New Roman"/>
        </w:rPr>
        <w:t>月）；</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4</w:t>
      </w:r>
      <w:r>
        <w:rPr>
          <w:rFonts w:cs="Times New Roman"/>
        </w:rPr>
        <w:t>）《关于第三师图木舒克市</w:t>
      </w:r>
      <w:r>
        <w:rPr>
          <w:rFonts w:cs="Times New Roman"/>
        </w:rPr>
        <w:t>-</w:t>
      </w:r>
      <w:r>
        <w:rPr>
          <w:rFonts w:cs="Times New Roman"/>
        </w:rPr>
        <w:t>柯坪县</w:t>
      </w:r>
      <w:r>
        <w:rPr>
          <w:rFonts w:cs="Times New Roman"/>
        </w:rPr>
        <w:t>-</w:t>
      </w:r>
      <w:r>
        <w:rPr>
          <w:rFonts w:cs="Times New Roman"/>
        </w:rPr>
        <w:t>乌什县公路（图木舒克</w:t>
      </w:r>
      <w:r>
        <w:rPr>
          <w:rFonts w:cs="Times New Roman"/>
        </w:rPr>
        <w:t>-</w:t>
      </w:r>
      <w:r>
        <w:rPr>
          <w:rFonts w:cs="Times New Roman"/>
        </w:rPr>
        <w:t>柯坪段）工程可行性研究报告的批复》（兵交发〔</w:t>
      </w:r>
      <w:r>
        <w:rPr>
          <w:rFonts w:cs="Times New Roman"/>
        </w:rPr>
        <w:t>2025</w:t>
      </w:r>
      <w:r>
        <w:rPr>
          <w:rFonts w:cs="Times New Roman"/>
        </w:rPr>
        <w:t>〕</w:t>
      </w:r>
      <w:r>
        <w:rPr>
          <w:rFonts w:cs="Times New Roman"/>
        </w:rPr>
        <w:t>56</w:t>
      </w:r>
      <w:r>
        <w:rPr>
          <w:rFonts w:cs="Times New Roman"/>
        </w:rPr>
        <w:t>号）；</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5</w:t>
      </w:r>
      <w:r>
        <w:rPr>
          <w:rFonts w:cs="Times New Roman"/>
        </w:rPr>
        <w:t>）《新疆生产建设兵团第三师图木舒克市</w:t>
      </w:r>
      <w:r>
        <w:rPr>
          <w:rFonts w:cs="Times New Roman"/>
        </w:rPr>
        <w:t>-</w:t>
      </w:r>
      <w:r>
        <w:rPr>
          <w:rFonts w:cs="Times New Roman"/>
        </w:rPr>
        <w:t>柯坪县</w:t>
      </w:r>
      <w:r>
        <w:rPr>
          <w:rFonts w:cs="Times New Roman"/>
        </w:rPr>
        <w:t>-</w:t>
      </w:r>
      <w:r>
        <w:rPr>
          <w:rFonts w:cs="Times New Roman"/>
        </w:rPr>
        <w:t>乌什县公路（图木舒克</w:t>
      </w:r>
      <w:r>
        <w:rPr>
          <w:rFonts w:cs="Times New Roman"/>
        </w:rPr>
        <w:t>-</w:t>
      </w:r>
      <w:r>
        <w:rPr>
          <w:rFonts w:cs="Times New Roman"/>
        </w:rPr>
        <w:t>柯坪段）初步设计》（新疆兵团勘测设计院集团股份有限公司，</w:t>
      </w:r>
      <w:r>
        <w:rPr>
          <w:rFonts w:cs="Times New Roman"/>
        </w:rPr>
        <w:t>2025</w:t>
      </w:r>
      <w:r>
        <w:rPr>
          <w:rFonts w:cs="Times New Roman"/>
        </w:rPr>
        <w:t>年</w:t>
      </w:r>
      <w:r>
        <w:rPr>
          <w:rFonts w:cs="Times New Roman"/>
        </w:rPr>
        <w:t>3</w:t>
      </w:r>
      <w:r>
        <w:rPr>
          <w:rFonts w:cs="Times New Roman"/>
        </w:rPr>
        <w:t>月）；</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6</w:t>
      </w:r>
      <w:r>
        <w:rPr>
          <w:rFonts w:cs="Times New Roman"/>
        </w:rPr>
        <w:t>）《关于第三师图木舒克市</w:t>
      </w:r>
      <w:r>
        <w:rPr>
          <w:rFonts w:cs="Times New Roman"/>
        </w:rPr>
        <w:t>-</w:t>
      </w:r>
      <w:r>
        <w:rPr>
          <w:rFonts w:cs="Times New Roman"/>
        </w:rPr>
        <w:t>柯坪县</w:t>
      </w:r>
      <w:r>
        <w:rPr>
          <w:rFonts w:cs="Times New Roman"/>
        </w:rPr>
        <w:t>-</w:t>
      </w:r>
      <w:r>
        <w:rPr>
          <w:rFonts w:cs="Times New Roman"/>
        </w:rPr>
        <w:t>乌什县公路（图木舒克</w:t>
      </w:r>
      <w:r>
        <w:rPr>
          <w:rFonts w:cs="Times New Roman"/>
        </w:rPr>
        <w:t>-</w:t>
      </w:r>
      <w:r>
        <w:rPr>
          <w:rFonts w:cs="Times New Roman"/>
        </w:rPr>
        <w:t>柯坪段）工程初步设计的批复》（兵交发〔</w:t>
      </w:r>
      <w:r>
        <w:rPr>
          <w:rFonts w:cs="Times New Roman"/>
        </w:rPr>
        <w:t>2025</w:t>
      </w:r>
      <w:r>
        <w:rPr>
          <w:rFonts w:cs="Times New Roman"/>
        </w:rPr>
        <w:t>〕</w:t>
      </w:r>
      <w:r>
        <w:rPr>
          <w:rFonts w:cs="Times New Roman"/>
        </w:rPr>
        <w:t>63</w:t>
      </w:r>
      <w:r>
        <w:rPr>
          <w:rFonts w:cs="Times New Roman"/>
        </w:rPr>
        <w:t>号）；</w:t>
      </w:r>
    </w:p>
    <w:p w:rsidR="00A46452" w:rsidRDefault="009A3928">
      <w:pPr>
        <w:pStyle w:val="001"/>
        <w:wordWrap w:val="0"/>
        <w:topLinePunct/>
        <w:adjustRightInd w:val="0"/>
        <w:snapToGrid w:val="0"/>
        <w:spacing w:line="440" w:lineRule="exact"/>
        <w:ind w:firstLine="480"/>
        <w:rPr>
          <w:rFonts w:cs="Times New Roman"/>
        </w:rPr>
      </w:pPr>
      <w:r>
        <w:rPr>
          <w:rFonts w:cs="Times New Roman"/>
        </w:rPr>
        <w:t>（</w:t>
      </w:r>
      <w:r>
        <w:rPr>
          <w:rFonts w:cs="Times New Roman"/>
        </w:rPr>
        <w:t>7</w:t>
      </w:r>
      <w:r>
        <w:rPr>
          <w:rFonts w:cs="Times New Roman"/>
        </w:rPr>
        <w:t>）其他有关资料。</w:t>
      </w:r>
    </w:p>
    <w:p w:rsidR="00A46452" w:rsidRDefault="009A3928">
      <w:pPr>
        <w:pStyle w:val="21"/>
        <w:adjustRightInd w:val="0"/>
        <w:spacing w:before="240" w:after="240" w:line="240" w:lineRule="auto"/>
        <w:textAlignment w:val="baseline"/>
        <w:rPr>
          <w:rFonts w:eastAsiaTheme="minorEastAsia" w:cs="Times New Roman" w:hint="default"/>
          <w:kern w:val="0"/>
          <w:sz w:val="28"/>
        </w:rPr>
      </w:pPr>
      <w:bookmarkStart w:id="107" w:name="_Toc23892"/>
      <w:bookmarkStart w:id="108" w:name="_Toc12205"/>
      <w:r>
        <w:rPr>
          <w:rFonts w:eastAsiaTheme="minorEastAsia" w:cs="Times New Roman" w:hint="default"/>
          <w:kern w:val="0"/>
          <w:sz w:val="28"/>
        </w:rPr>
        <w:t>2</w:t>
      </w:r>
      <w:r>
        <w:rPr>
          <w:rFonts w:eastAsiaTheme="minorEastAsia" w:cs="Times New Roman" w:hint="default"/>
          <w:kern w:val="0"/>
          <w:sz w:val="28"/>
        </w:rPr>
        <w:t>.2</w:t>
      </w:r>
      <w:r>
        <w:rPr>
          <w:rFonts w:eastAsiaTheme="minorEastAsia" w:cs="Times New Roman" w:hint="default"/>
          <w:kern w:val="0"/>
          <w:sz w:val="28"/>
        </w:rPr>
        <w:t>评价目的</w:t>
      </w:r>
      <w:bookmarkEnd w:id="107"/>
      <w:bookmarkEnd w:id="108"/>
    </w:p>
    <w:p w:rsidR="00A46452" w:rsidRDefault="009A3928">
      <w:pPr>
        <w:pStyle w:val="23"/>
        <w:tabs>
          <w:tab w:val="left" w:pos="602"/>
        </w:tabs>
        <w:ind w:firstLine="480"/>
        <w:rPr>
          <w:rFonts w:eastAsiaTheme="minorEastAsia" w:cs="Times New Roman" w:hint="default"/>
          <w:snapToGrid w:val="0"/>
          <w:kern w:val="0"/>
        </w:rPr>
      </w:pPr>
      <w:r>
        <w:rPr>
          <w:rFonts w:eastAsiaTheme="minorEastAsia" w:cs="Times New Roman" w:hint="default"/>
          <w:snapToGrid w:val="0"/>
          <w:kern w:val="0"/>
        </w:rPr>
        <w:t>1.</w:t>
      </w:r>
      <w:r>
        <w:rPr>
          <w:rFonts w:eastAsiaTheme="minorEastAsia" w:cs="Times New Roman" w:hint="default"/>
          <w:snapToGrid w:val="0"/>
          <w:kern w:val="0"/>
        </w:rPr>
        <w:t>通过对公路沿线生态环境现状的调查评价，了解区域主要环境问题，</w:t>
      </w:r>
      <w:r>
        <w:rPr>
          <w:rFonts w:eastAsiaTheme="minorEastAsia" w:cs="Times New Roman" w:hint="default"/>
          <w:snapToGrid w:val="0"/>
          <w:kern w:val="0"/>
        </w:rPr>
        <w:t>从环境保护角度论证公路沿线的环境可行性。</w:t>
      </w:r>
    </w:p>
    <w:p w:rsidR="00A46452" w:rsidRDefault="009A3928" w:rsidP="00182EED">
      <w:pPr>
        <w:ind w:firstLine="480"/>
        <w:rPr>
          <w:rFonts w:eastAsiaTheme="minorEastAsia" w:cs="Times New Roman"/>
        </w:rPr>
      </w:pPr>
      <w:r>
        <w:rPr>
          <w:rFonts w:eastAsiaTheme="minorEastAsia" w:cs="Times New Roman"/>
        </w:rPr>
        <w:t>2.</w:t>
      </w:r>
      <w:r>
        <w:rPr>
          <w:rFonts w:eastAsiaTheme="minorEastAsia" w:cs="Times New Roman"/>
        </w:rPr>
        <w:t>通过对拟建公路沿线环境现状调查研究，采用模型模拟、类比调查、遥感解译等技术手段，针对拟建公路的设计、施工和营运各阶段，预测评价公路建设可能产生的主要环境问题以及环境影响范围和程度，从而分析选线的环境可行性，为公路设计、施工、运营过程中实施环境保护措施提供依据。</w:t>
      </w:r>
    </w:p>
    <w:p w:rsidR="00A46452" w:rsidRDefault="009A3928" w:rsidP="00182EED">
      <w:pPr>
        <w:ind w:firstLine="480"/>
        <w:rPr>
          <w:rFonts w:eastAsiaTheme="minorEastAsia" w:cs="Times New Roman"/>
        </w:rPr>
      </w:pPr>
      <w:r>
        <w:rPr>
          <w:rFonts w:eastAsiaTheme="minorEastAsia" w:cs="Times New Roman"/>
        </w:rPr>
        <w:t>3.</w:t>
      </w:r>
      <w:r>
        <w:rPr>
          <w:rFonts w:eastAsiaTheme="minorEastAsia" w:cs="Times New Roman"/>
        </w:rPr>
        <w:t>提出切实可行的环境保护措施及对策。将环保措施、对策建议和评价结论反馈于工程设计和施工，为优化工程设计提供科学依据，以求避免或最大限度地减缓工程建设导致的负面环境影响，达到经济建设和环境保护协调发展的目</w:t>
      </w:r>
      <w:r>
        <w:rPr>
          <w:rFonts w:eastAsiaTheme="minorEastAsia" w:cs="Times New Roman"/>
        </w:rPr>
        <w:t>的。</w:t>
      </w:r>
    </w:p>
    <w:p w:rsidR="00A46452" w:rsidRDefault="009A3928">
      <w:pPr>
        <w:pStyle w:val="23"/>
        <w:tabs>
          <w:tab w:val="left" w:pos="602"/>
        </w:tabs>
        <w:ind w:firstLine="480"/>
        <w:rPr>
          <w:rFonts w:eastAsiaTheme="minorEastAsia" w:cs="Times New Roman" w:hint="default"/>
          <w:snapToGrid w:val="0"/>
          <w:kern w:val="0"/>
        </w:rPr>
      </w:pPr>
      <w:r>
        <w:rPr>
          <w:rFonts w:eastAsiaTheme="minorEastAsia" w:cs="Times New Roman" w:hint="default"/>
          <w:snapToGrid w:val="0"/>
          <w:kern w:val="0"/>
        </w:rPr>
        <w:t>4.</w:t>
      </w:r>
      <w:r>
        <w:rPr>
          <w:rFonts w:eastAsiaTheme="minorEastAsia" w:cs="Times New Roman" w:hint="default"/>
          <w:snapToGrid w:val="0"/>
          <w:kern w:val="0"/>
        </w:rPr>
        <w:t>对拟建公路施工期、营运期环境管理提出实施计划，并为沿线经济发展、城镇建设和环境规划提供辅助信息和科学依据。</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109" w:name="_Toc28224"/>
      <w:bookmarkStart w:id="110" w:name="_Toc4984"/>
      <w:r>
        <w:rPr>
          <w:rFonts w:cs="Times New Roman" w:hint="default"/>
          <w:sz w:val="30"/>
          <w:szCs w:val="30"/>
        </w:rPr>
        <w:t>2</w:t>
      </w:r>
      <w:r>
        <w:rPr>
          <w:rFonts w:cs="Times New Roman" w:hint="default"/>
          <w:sz w:val="30"/>
          <w:szCs w:val="30"/>
        </w:rPr>
        <w:t>.</w:t>
      </w:r>
      <w:r>
        <w:rPr>
          <w:rFonts w:cs="Times New Roman" w:hint="default"/>
          <w:sz w:val="30"/>
          <w:szCs w:val="30"/>
        </w:rPr>
        <w:t>3</w:t>
      </w:r>
      <w:r>
        <w:rPr>
          <w:rFonts w:cs="Times New Roman" w:hint="default"/>
          <w:sz w:val="30"/>
          <w:szCs w:val="30"/>
        </w:rPr>
        <w:t>评价原则</w:t>
      </w:r>
      <w:bookmarkEnd w:id="109"/>
      <w:bookmarkEnd w:id="110"/>
    </w:p>
    <w:p w:rsidR="00A46452" w:rsidRDefault="009A3928">
      <w:pPr>
        <w:pStyle w:val="001"/>
        <w:wordWrap w:val="0"/>
        <w:topLinePunct/>
        <w:adjustRightInd w:val="0"/>
        <w:snapToGrid w:val="0"/>
        <w:ind w:firstLine="480"/>
        <w:rPr>
          <w:rFonts w:cs="Times New Roman"/>
        </w:rPr>
      </w:pPr>
      <w:r>
        <w:rPr>
          <w:rFonts w:cs="Times New Roman"/>
        </w:rPr>
        <w:t>（</w:t>
      </w:r>
      <w:r>
        <w:rPr>
          <w:rFonts w:cs="Times New Roman"/>
        </w:rPr>
        <w:t>1</w:t>
      </w:r>
      <w:r>
        <w:rPr>
          <w:rFonts w:cs="Times New Roman"/>
        </w:rPr>
        <w:t>）依法评价</w:t>
      </w:r>
    </w:p>
    <w:p w:rsidR="00A46452" w:rsidRDefault="009A3928">
      <w:pPr>
        <w:pStyle w:val="001"/>
        <w:wordWrap w:val="0"/>
        <w:topLinePunct/>
        <w:adjustRightInd w:val="0"/>
        <w:snapToGrid w:val="0"/>
        <w:ind w:firstLine="480"/>
        <w:rPr>
          <w:rFonts w:cs="Times New Roman"/>
        </w:rPr>
      </w:pPr>
      <w:r>
        <w:rPr>
          <w:rFonts w:cs="Times New Roman"/>
        </w:rPr>
        <w:t>1.</w:t>
      </w:r>
      <w:r>
        <w:rPr>
          <w:rFonts w:cs="Times New Roman"/>
        </w:rPr>
        <w:t>严格执行国家和地方有关环保的法律法规、标准及规范，力求做到工作深入、内容完备、数据准确、论据充分、措施具体，使评价成果具有科学性、针对性和可操作性。</w:t>
      </w:r>
    </w:p>
    <w:p w:rsidR="00A46452" w:rsidRDefault="009A3928">
      <w:pPr>
        <w:pStyle w:val="001"/>
        <w:wordWrap w:val="0"/>
        <w:topLinePunct/>
        <w:adjustRightInd w:val="0"/>
        <w:snapToGrid w:val="0"/>
        <w:ind w:firstLine="480"/>
        <w:rPr>
          <w:rFonts w:cs="Times New Roman"/>
        </w:rPr>
      </w:pPr>
      <w:r>
        <w:rPr>
          <w:rFonts w:cs="Times New Roman"/>
        </w:rPr>
        <w:t>（</w:t>
      </w:r>
      <w:r>
        <w:rPr>
          <w:rFonts w:cs="Times New Roman"/>
        </w:rPr>
        <w:t>2</w:t>
      </w:r>
      <w:r>
        <w:rPr>
          <w:rFonts w:cs="Times New Roman"/>
        </w:rPr>
        <w:t>）科学评价</w:t>
      </w:r>
    </w:p>
    <w:p w:rsidR="00A46452" w:rsidRDefault="009A3928">
      <w:pPr>
        <w:pStyle w:val="001"/>
        <w:wordWrap w:val="0"/>
        <w:topLinePunct/>
        <w:adjustRightInd w:val="0"/>
        <w:snapToGrid w:val="0"/>
        <w:ind w:firstLine="480"/>
        <w:rPr>
          <w:rFonts w:cs="Times New Roman"/>
        </w:rPr>
      </w:pPr>
      <w:r>
        <w:rPr>
          <w:rFonts w:cs="Times New Roman"/>
        </w:rPr>
        <w:t>坚持针对性、科学性和实用性的原则，对项目可能产生的环境影响及危害给出实事求是、客观公正的评价。</w:t>
      </w:r>
    </w:p>
    <w:p w:rsidR="00A46452" w:rsidRDefault="009A3928">
      <w:pPr>
        <w:pStyle w:val="001"/>
        <w:wordWrap w:val="0"/>
        <w:topLinePunct/>
        <w:adjustRightInd w:val="0"/>
        <w:snapToGrid w:val="0"/>
        <w:ind w:firstLine="480"/>
        <w:rPr>
          <w:rFonts w:cs="Times New Roman"/>
        </w:rPr>
      </w:pPr>
      <w:r>
        <w:rPr>
          <w:rFonts w:cs="Times New Roman"/>
        </w:rPr>
        <w:t>（</w:t>
      </w:r>
      <w:r>
        <w:rPr>
          <w:rFonts w:cs="Times New Roman"/>
        </w:rPr>
        <w:t>3</w:t>
      </w:r>
      <w:r>
        <w:rPr>
          <w:rFonts w:cs="Times New Roman"/>
        </w:rPr>
        <w:t>）突出重点</w:t>
      </w:r>
    </w:p>
    <w:p w:rsidR="00A46452" w:rsidRDefault="009A3928">
      <w:pPr>
        <w:pStyle w:val="001"/>
        <w:wordWrap w:val="0"/>
        <w:topLinePunct/>
        <w:adjustRightInd w:val="0"/>
        <w:snapToGrid w:val="0"/>
        <w:ind w:firstLine="480"/>
        <w:rPr>
          <w:rFonts w:cs="Times New Roman"/>
        </w:rPr>
      </w:pPr>
      <w:bookmarkStart w:id="111" w:name="_Toc187080689"/>
      <w:bookmarkStart w:id="112" w:name="_Toc3061"/>
      <w:r>
        <w:rPr>
          <w:rFonts w:cs="Times New Roman"/>
        </w:rPr>
        <w:t>根据本项目的工程内容及其特点，明确与环境要素间的作用效应关系，根据新疆维吾尔自治区</w:t>
      </w:r>
      <w:r>
        <w:rPr>
          <w:rFonts w:cs="Times New Roman"/>
        </w:rPr>
        <w:t>“</w:t>
      </w:r>
      <w:r>
        <w:rPr>
          <w:rFonts w:cs="Times New Roman"/>
        </w:rPr>
        <w:t>十四五</w:t>
      </w:r>
      <w:r>
        <w:rPr>
          <w:rFonts w:cs="Times New Roman"/>
        </w:rPr>
        <w:t>”</w:t>
      </w:r>
      <w:r>
        <w:rPr>
          <w:rFonts w:cs="Times New Roman"/>
        </w:rPr>
        <w:t>交通网规划环境影响评价结论和审查意见，充分利用复核时效的数据资料及成果，对本项目主要环境影响予以重点分析和评价。</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113" w:name="_Toc9414"/>
      <w:r>
        <w:rPr>
          <w:rFonts w:cs="Times New Roman" w:hint="default"/>
          <w:sz w:val="30"/>
          <w:szCs w:val="30"/>
        </w:rPr>
        <w:t>2.</w:t>
      </w:r>
      <w:r>
        <w:rPr>
          <w:rFonts w:cs="Times New Roman" w:hint="default"/>
          <w:sz w:val="30"/>
          <w:szCs w:val="30"/>
        </w:rPr>
        <w:t>4</w:t>
      </w:r>
      <w:r>
        <w:rPr>
          <w:rFonts w:cs="Times New Roman" w:hint="default"/>
          <w:sz w:val="30"/>
          <w:szCs w:val="30"/>
        </w:rPr>
        <w:t>环境影响因素识别和评价因子筛选</w:t>
      </w:r>
      <w:bookmarkEnd w:id="111"/>
      <w:bookmarkEnd w:id="113"/>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2.4.1</w:t>
      </w:r>
      <w:r>
        <w:rPr>
          <w:rFonts w:cs="Times New Roman" w:hint="default"/>
          <w:sz w:val="28"/>
          <w:szCs w:val="28"/>
        </w:rPr>
        <w:t>环境影响因素识别</w:t>
      </w:r>
    </w:p>
    <w:p w:rsidR="00A46452" w:rsidRDefault="009A3928">
      <w:pPr>
        <w:pStyle w:val="001"/>
        <w:wordWrap w:val="0"/>
        <w:topLinePunct/>
        <w:adjustRightInd w:val="0"/>
        <w:snapToGrid w:val="0"/>
        <w:ind w:firstLine="480"/>
        <w:rPr>
          <w:rFonts w:cs="Times New Roman"/>
        </w:rPr>
      </w:pPr>
      <w:bookmarkStart w:id="114" w:name="_Toc316511003"/>
      <w:bookmarkStart w:id="115" w:name="_Toc34989532"/>
      <w:bookmarkStart w:id="116" w:name="_Toc381605957"/>
      <w:bookmarkStart w:id="117" w:name="_Toc316561603"/>
      <w:bookmarkStart w:id="118" w:name="_Toc57826698"/>
      <w:bookmarkStart w:id="119" w:name="_Toc187080690"/>
      <w:r>
        <w:rPr>
          <w:rFonts w:cs="Times New Roman"/>
        </w:rPr>
        <w:t>根据拟建公路的特点、沿线环境特征，对拟建公路的环境影响因素进行识别，各阶段环境影响因素识别情况见表</w:t>
      </w:r>
      <w:r>
        <w:rPr>
          <w:rFonts w:cs="Times New Roman"/>
        </w:rPr>
        <w:t>2.4-1</w:t>
      </w:r>
      <w:r>
        <w:rPr>
          <w:rFonts w:cs="Times New Roman"/>
        </w:rPr>
        <w:t>。</w:t>
      </w:r>
    </w:p>
    <w:p w:rsidR="00A46452" w:rsidRDefault="009A3928">
      <w:pPr>
        <w:spacing w:line="240" w:lineRule="auto"/>
        <w:ind w:firstLineChars="0" w:firstLine="0"/>
        <w:rPr>
          <w:rFonts w:cs="Times New Roman"/>
          <w:b/>
          <w:bCs/>
        </w:rPr>
      </w:pPr>
      <w:r>
        <w:rPr>
          <w:rFonts w:cs="Times New Roman"/>
          <w:b/>
          <w:bCs/>
        </w:rPr>
        <w:t>表</w:t>
      </w:r>
      <w:r>
        <w:rPr>
          <w:rFonts w:cs="Times New Roman"/>
          <w:b/>
          <w:bCs/>
        </w:rPr>
        <w:t>2.4</w:t>
      </w:r>
      <w:r>
        <w:rPr>
          <w:rFonts w:cs="Times New Roman"/>
          <w:b/>
          <w:bCs/>
        </w:rPr>
        <w:t xml:space="preserve">-1  </w:t>
      </w:r>
      <w:r>
        <w:rPr>
          <w:rFonts w:cs="Times New Roman"/>
          <w:b/>
          <w:bCs/>
        </w:rPr>
        <w:t xml:space="preserve">               </w:t>
      </w:r>
      <w:r>
        <w:rPr>
          <w:rFonts w:cs="Times New Roman"/>
          <w:b/>
          <w:bCs/>
        </w:rPr>
        <w:t>拟建公路环境影响要素识别矩阵</w:t>
      </w:r>
    </w:p>
    <w:tbl>
      <w:tblPr>
        <w:tblW w:w="51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1750"/>
        <w:gridCol w:w="508"/>
        <w:gridCol w:w="509"/>
        <w:gridCol w:w="757"/>
        <w:gridCol w:w="509"/>
        <w:gridCol w:w="509"/>
        <w:gridCol w:w="509"/>
        <w:gridCol w:w="509"/>
        <w:gridCol w:w="509"/>
        <w:gridCol w:w="509"/>
        <w:gridCol w:w="509"/>
        <w:gridCol w:w="509"/>
        <w:gridCol w:w="520"/>
      </w:tblGrid>
      <w:tr w:rsidR="00A46452">
        <w:trPr>
          <w:trHeight w:val="511"/>
          <w:tblHeader/>
          <w:jc w:val="center"/>
        </w:trPr>
        <w:tc>
          <w:tcPr>
            <w:tcW w:w="0" w:type="auto"/>
            <w:gridSpan w:val="2"/>
            <w:vMerge w:val="restart"/>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施工行为环境资源</w:t>
            </w:r>
          </w:p>
        </w:tc>
        <w:tc>
          <w:tcPr>
            <w:tcW w:w="0" w:type="auto"/>
            <w:gridSpan w:val="8"/>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施工期</w:t>
            </w:r>
          </w:p>
        </w:tc>
        <w:tc>
          <w:tcPr>
            <w:tcW w:w="0" w:type="auto"/>
            <w:gridSpan w:val="4"/>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运营期</w:t>
            </w:r>
          </w:p>
        </w:tc>
      </w:tr>
      <w:tr w:rsidR="00A46452">
        <w:trPr>
          <w:trHeight w:val="284"/>
          <w:tblHeader/>
          <w:jc w:val="center"/>
        </w:trPr>
        <w:tc>
          <w:tcPr>
            <w:tcW w:w="0" w:type="auto"/>
            <w:gridSpan w:val="2"/>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占地</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拆迁</w:t>
            </w:r>
          </w:p>
          <w:p w:rsidR="00A46452" w:rsidRDefault="009A3928">
            <w:pPr>
              <w:spacing w:line="240" w:lineRule="auto"/>
              <w:ind w:firstLineChars="0" w:firstLine="0"/>
              <w:jc w:val="center"/>
              <w:rPr>
                <w:rFonts w:cs="Times New Roman"/>
                <w:sz w:val="21"/>
              </w:rPr>
            </w:pPr>
            <w:r>
              <w:rPr>
                <w:rFonts w:cs="Times New Roman"/>
                <w:sz w:val="21"/>
              </w:rPr>
              <w:t>安置</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土石方</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路基</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路面</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桥隧</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材料</w:t>
            </w:r>
          </w:p>
          <w:p w:rsidR="00A46452" w:rsidRDefault="009A3928">
            <w:pPr>
              <w:spacing w:line="240" w:lineRule="auto"/>
              <w:ind w:firstLineChars="0" w:firstLine="0"/>
              <w:jc w:val="center"/>
              <w:rPr>
                <w:rFonts w:cs="Times New Roman"/>
                <w:sz w:val="21"/>
              </w:rPr>
            </w:pPr>
            <w:r>
              <w:rPr>
                <w:rFonts w:cs="Times New Roman"/>
                <w:sz w:val="21"/>
              </w:rPr>
              <w:t>运输</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机械</w:t>
            </w:r>
          </w:p>
          <w:p w:rsidR="00A46452" w:rsidRDefault="009A3928">
            <w:pPr>
              <w:spacing w:line="240" w:lineRule="auto"/>
              <w:ind w:firstLineChars="0" w:firstLine="0"/>
              <w:jc w:val="center"/>
              <w:rPr>
                <w:rFonts w:cs="Times New Roman"/>
                <w:sz w:val="21"/>
              </w:rPr>
            </w:pPr>
            <w:r>
              <w:rPr>
                <w:rFonts w:cs="Times New Roman"/>
                <w:sz w:val="21"/>
              </w:rPr>
              <w:t>作业</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运输</w:t>
            </w:r>
          </w:p>
          <w:p w:rsidR="00A46452" w:rsidRDefault="009A3928">
            <w:pPr>
              <w:spacing w:line="240" w:lineRule="auto"/>
              <w:ind w:firstLineChars="0" w:firstLine="0"/>
              <w:jc w:val="center"/>
              <w:rPr>
                <w:rFonts w:cs="Times New Roman"/>
                <w:sz w:val="21"/>
              </w:rPr>
            </w:pPr>
            <w:r>
              <w:rPr>
                <w:rFonts w:cs="Times New Roman"/>
                <w:sz w:val="21"/>
              </w:rPr>
              <w:t>行驶</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绿化</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复垦</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桥涵</w:t>
            </w:r>
          </w:p>
          <w:p w:rsidR="00A46452" w:rsidRDefault="009A3928">
            <w:pPr>
              <w:spacing w:line="240" w:lineRule="auto"/>
              <w:ind w:firstLineChars="0" w:firstLine="0"/>
              <w:jc w:val="center"/>
              <w:rPr>
                <w:rFonts w:cs="Times New Roman"/>
                <w:sz w:val="21"/>
              </w:rPr>
            </w:pPr>
            <w:r>
              <w:rPr>
                <w:rFonts w:cs="Times New Roman"/>
                <w:sz w:val="21"/>
              </w:rPr>
              <w:t>边沟</w:t>
            </w:r>
          </w:p>
        </w:tc>
      </w:tr>
      <w:tr w:rsidR="00A46452">
        <w:trPr>
          <w:trHeight w:val="284"/>
          <w:jc w:val="center"/>
        </w:trPr>
        <w:tc>
          <w:tcPr>
            <w:tcW w:w="0" w:type="auto"/>
            <w:vMerge w:val="restart"/>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生态</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陆地植被</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284"/>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野生动物</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104"/>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水生生物</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r>
      <w:tr w:rsidR="00A46452">
        <w:trPr>
          <w:trHeight w:val="284"/>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农业生态</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284"/>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水土保持</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r>
      <w:tr w:rsidR="00A46452">
        <w:trPr>
          <w:trHeight w:val="210"/>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土质</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70"/>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土地利用与开发</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284"/>
          <w:jc w:val="center"/>
        </w:trPr>
        <w:tc>
          <w:tcPr>
            <w:tcW w:w="0" w:type="auto"/>
            <w:vMerge w:val="restart"/>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其他</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声环境质量</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134"/>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空气质量</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135"/>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地表水质</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r w:rsidR="00A46452">
        <w:trPr>
          <w:trHeight w:val="100"/>
          <w:jc w:val="center"/>
        </w:trPr>
        <w:tc>
          <w:tcPr>
            <w:tcW w:w="0" w:type="auto"/>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地下水质</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21"/>
              </w:rPr>
            </w:pPr>
            <w:r>
              <w:rPr>
                <w:rFonts w:cs="Times New Roman"/>
                <w:sz w:val="21"/>
              </w:rPr>
              <w:t>■</w:t>
            </w: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0" w:type="auto"/>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r>
    </w:tbl>
    <w:p w:rsidR="00A46452" w:rsidRDefault="009A3928">
      <w:pPr>
        <w:ind w:firstLineChars="0" w:firstLine="0"/>
        <w:rPr>
          <w:rFonts w:cs="Times New Roman"/>
          <w:sz w:val="21"/>
        </w:rPr>
      </w:pPr>
      <w:r>
        <w:rPr>
          <w:rFonts w:cs="Times New Roman"/>
          <w:sz w:val="21"/>
        </w:rPr>
        <w:t>备</w:t>
      </w:r>
      <w:r>
        <w:rPr>
          <w:rFonts w:cs="Times New Roman"/>
          <w:sz w:val="21"/>
        </w:rPr>
        <w:t>注：</w:t>
      </w:r>
      <w:r>
        <w:rPr>
          <w:rFonts w:cs="Times New Roman"/>
          <w:sz w:val="21"/>
        </w:rPr>
        <w:t>□/○</w:t>
      </w:r>
      <w:r>
        <w:rPr>
          <w:rFonts w:cs="Times New Roman"/>
          <w:sz w:val="21"/>
        </w:rPr>
        <w:t>：长期</w:t>
      </w:r>
      <w:r>
        <w:rPr>
          <w:rFonts w:cs="Times New Roman"/>
          <w:sz w:val="21"/>
        </w:rPr>
        <w:t>/</w:t>
      </w:r>
      <w:r>
        <w:rPr>
          <w:rFonts w:cs="Times New Roman"/>
          <w:sz w:val="21"/>
        </w:rPr>
        <w:t>短期有利影响；</w:t>
      </w:r>
      <w:r>
        <w:rPr>
          <w:rFonts w:cs="Times New Roman"/>
          <w:sz w:val="21"/>
        </w:rPr>
        <w:t>■/●</w:t>
      </w:r>
      <w:r>
        <w:rPr>
          <w:rFonts w:cs="Times New Roman"/>
          <w:sz w:val="21"/>
        </w:rPr>
        <w:t>：长期</w:t>
      </w:r>
      <w:r>
        <w:rPr>
          <w:rFonts w:cs="Times New Roman"/>
          <w:sz w:val="21"/>
        </w:rPr>
        <w:t>/</w:t>
      </w:r>
      <w:r>
        <w:rPr>
          <w:rFonts w:cs="Times New Roman"/>
          <w:sz w:val="21"/>
        </w:rPr>
        <w:t>短期不利影响；空白：相互作用不明显</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2.5.2</w:t>
      </w:r>
      <w:r>
        <w:rPr>
          <w:rFonts w:cs="Times New Roman" w:hint="default"/>
          <w:sz w:val="28"/>
          <w:szCs w:val="28"/>
        </w:rPr>
        <w:t>评价因子筛选</w:t>
      </w:r>
    </w:p>
    <w:p w:rsidR="00A46452" w:rsidRDefault="009A3928">
      <w:pPr>
        <w:ind w:firstLine="480"/>
        <w:rPr>
          <w:rFonts w:eastAsiaTheme="minorEastAsia" w:cs="Times New Roman"/>
          <w:kern w:val="0"/>
        </w:rPr>
      </w:pPr>
      <w:r>
        <w:rPr>
          <w:rFonts w:eastAsiaTheme="minorEastAsia" w:cs="Times New Roman"/>
          <w:kern w:val="0"/>
        </w:rPr>
        <w:t>根据对拟建公路的特点、沿线环境特征、工程的环境影响要素分析和识别，筛选出主要的环境影响评价因子，见表</w:t>
      </w:r>
      <w:r>
        <w:rPr>
          <w:rFonts w:eastAsiaTheme="minorEastAsia" w:cs="Times New Roman"/>
          <w:kern w:val="0"/>
        </w:rPr>
        <w:t>2.4</w:t>
      </w:r>
      <w:r>
        <w:rPr>
          <w:rFonts w:eastAsiaTheme="minorEastAsia" w:cs="Times New Roman"/>
          <w:kern w:val="0"/>
        </w:rPr>
        <w:t>-2</w:t>
      </w:r>
      <w:r>
        <w:rPr>
          <w:rFonts w:eastAsiaTheme="minorEastAsia" w:cs="Times New Roman"/>
          <w:kern w:val="0"/>
        </w:rPr>
        <w:t>和</w:t>
      </w:r>
      <w:r>
        <w:rPr>
          <w:rFonts w:eastAsiaTheme="minorEastAsia" w:cs="Times New Roman"/>
          <w:kern w:val="0"/>
        </w:rPr>
        <w:t>2.4</w:t>
      </w:r>
      <w:r>
        <w:rPr>
          <w:rFonts w:eastAsiaTheme="minorEastAsia" w:cs="Times New Roman"/>
          <w:kern w:val="0"/>
        </w:rPr>
        <w:t>-3</w:t>
      </w:r>
      <w:r>
        <w:rPr>
          <w:rFonts w:eastAsiaTheme="minorEastAsia" w:cs="Times New Roman"/>
          <w:kern w:val="0"/>
        </w:rPr>
        <w:t>。</w:t>
      </w:r>
    </w:p>
    <w:p w:rsidR="00A46452" w:rsidRDefault="009A3928">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hint="default"/>
          <w:sz w:val="24"/>
          <w:szCs w:val="24"/>
        </w:rPr>
        <w:t>2.4</w:t>
      </w:r>
      <w:r>
        <w:rPr>
          <w:rFonts w:ascii="Times New Roman" w:hAnsi="Times New Roman" w:cs="Times New Roman" w:hint="default"/>
          <w:sz w:val="24"/>
          <w:szCs w:val="24"/>
        </w:rPr>
        <w:t xml:space="preserve">-2  </w:t>
      </w:r>
      <w:r>
        <w:rPr>
          <w:rFonts w:ascii="Times New Roman" w:hAnsi="Times New Roman" w:cs="Times New Roman" w:hint="default"/>
          <w:sz w:val="24"/>
          <w:szCs w:val="24"/>
        </w:rPr>
        <w:t xml:space="preserve">              </w:t>
      </w:r>
      <w:r>
        <w:rPr>
          <w:rFonts w:ascii="Times New Roman" w:hAnsi="Times New Roman" w:cs="Times New Roman" w:hint="default"/>
          <w:sz w:val="24"/>
          <w:szCs w:val="24"/>
        </w:rPr>
        <w:t>拟建公路生态影响评价因子筛选表</w:t>
      </w:r>
    </w:p>
    <w:tbl>
      <w:tblPr>
        <w:tblW w:w="489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9"/>
        <w:gridCol w:w="901"/>
        <w:gridCol w:w="1524"/>
        <w:gridCol w:w="3435"/>
        <w:gridCol w:w="1262"/>
        <w:gridCol w:w="500"/>
      </w:tblGrid>
      <w:tr w:rsidR="00A46452">
        <w:trPr>
          <w:tblHeader/>
          <w:jc w:val="center"/>
        </w:trPr>
        <w:tc>
          <w:tcPr>
            <w:tcW w:w="409" w:type="pc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b/>
                <w:bCs/>
                <w:sz w:val="21"/>
              </w:rPr>
            </w:pPr>
            <w:r>
              <w:rPr>
                <w:rFonts w:eastAsiaTheme="minorEastAsia" w:cs="Times New Roman"/>
                <w:b/>
                <w:bCs/>
                <w:sz w:val="21"/>
              </w:rPr>
              <w:t>影响时期</w:t>
            </w: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b/>
                <w:kern w:val="0"/>
                <w:sz w:val="21"/>
              </w:rPr>
            </w:pPr>
            <w:r>
              <w:rPr>
                <w:rFonts w:eastAsiaTheme="minorEastAsia" w:cs="Times New Roman"/>
                <w:b/>
                <w:kern w:val="0"/>
                <w:sz w:val="21"/>
              </w:rPr>
              <w:t>受影响对象</w:t>
            </w:r>
          </w:p>
        </w:tc>
        <w:tc>
          <w:tcPr>
            <w:tcW w:w="918" w:type="pc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b/>
                <w:bCs/>
                <w:sz w:val="21"/>
              </w:rPr>
            </w:pPr>
            <w:r>
              <w:rPr>
                <w:rFonts w:eastAsiaTheme="minorEastAsia" w:cs="Times New Roman"/>
                <w:b/>
                <w:bCs/>
                <w:sz w:val="21"/>
              </w:rPr>
              <w:t>评价因子</w:t>
            </w:r>
          </w:p>
        </w:tc>
        <w:tc>
          <w:tcPr>
            <w:tcW w:w="2069" w:type="pc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b/>
                <w:bCs/>
                <w:sz w:val="21"/>
              </w:rPr>
            </w:pPr>
            <w:r>
              <w:rPr>
                <w:rFonts w:eastAsiaTheme="minorEastAsia" w:cs="Times New Roman"/>
                <w:b/>
                <w:bCs/>
                <w:sz w:val="21"/>
              </w:rPr>
              <w:t>工程内容及影响方式</w:t>
            </w:r>
          </w:p>
        </w:tc>
        <w:tc>
          <w:tcPr>
            <w:tcW w:w="760" w:type="pc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b/>
                <w:kern w:val="0"/>
                <w:sz w:val="21"/>
              </w:rPr>
            </w:pPr>
            <w:r>
              <w:rPr>
                <w:rFonts w:eastAsiaTheme="minorEastAsia" w:cs="Times New Roman"/>
                <w:b/>
                <w:kern w:val="0"/>
                <w:sz w:val="21"/>
              </w:rPr>
              <w:t>影响性质</w:t>
            </w:r>
          </w:p>
        </w:tc>
        <w:tc>
          <w:tcPr>
            <w:tcW w:w="301" w:type="pc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b/>
                <w:kern w:val="0"/>
                <w:sz w:val="21"/>
              </w:rPr>
            </w:pPr>
            <w:r>
              <w:rPr>
                <w:rFonts w:eastAsiaTheme="minorEastAsia" w:cs="Times New Roman"/>
                <w:b/>
                <w:kern w:val="0"/>
                <w:sz w:val="21"/>
              </w:rPr>
              <w:t>影响程度</w:t>
            </w:r>
          </w:p>
        </w:tc>
      </w:tr>
      <w:tr w:rsidR="00A46452">
        <w:trPr>
          <w:jc w:val="center"/>
        </w:trPr>
        <w:tc>
          <w:tcPr>
            <w:tcW w:w="409" w:type="pct"/>
            <w:vMerge w:val="restar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kern w:val="0"/>
                <w:sz w:val="21"/>
              </w:rPr>
            </w:pPr>
            <w:r>
              <w:rPr>
                <w:rFonts w:eastAsiaTheme="minorEastAsia" w:cs="Times New Roman"/>
                <w:kern w:val="0"/>
                <w:sz w:val="21"/>
              </w:rPr>
              <w:t>施工期</w:t>
            </w: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物种</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分布范围、种群数量、种群结构、行为等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路基、路面施工对植物物种的分布范围的占用，工程施工、运行导致个体直接死亡，生境面积和质量下降导致个体死亡、造成种群数量的减少，影响种群结构，施工活动对野生动物行为产生干扰</w:t>
            </w:r>
          </w:p>
        </w:tc>
        <w:tc>
          <w:tcPr>
            <w:tcW w:w="760"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kern w:val="0"/>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生境</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生境面积、质量、连通性等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临时、永久占地导致生境直接破坏或丧失，种群数量下降或种群生存能力降低对质量的影响</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短期、不可逆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kern w:val="0"/>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生物群落</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物种组成、群落结构等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路基、路面施工对土地占用造成的直接生态影响：包括临时、永久占地导致生境直接破坏或丧失；工程施工、运行导致个体直接死亡；施工活动对野生动物行为产生干扰</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生态系统</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植被覆盖度、生产力、生物量、生态系统功能等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土地占用对农林业生产、土壤及地貌的影响，对植被覆盖度、生产力及生物量的影响</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生物多样性</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物种丰富度、均匀度、优势度等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生态公益林占用、工程占地区开挖、建设等会扰动地表，破坏地表植物及植被，弃渣场、料场、临时施工场地平整、临时施工便道修筑等工程行为，使土壤裸露、地表扰动对生物多样性的影响。跨河桥梁施工对水生生态环境的影响</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生态敏感区</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主要保护对象、生态功能等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路基、桥梁、隧道施工，对地表及水体的扰动，对主要保护对象、水质及水生生态环境的影响，项目建设对敏感区内生物多样性等生态功能的影响</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自然景观</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景观多样性、完整性等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路基开挖施工等对自然景观的破坏</w:t>
            </w:r>
          </w:p>
        </w:tc>
        <w:tc>
          <w:tcPr>
            <w:tcW w:w="760"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短期、可逆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强</w:t>
            </w:r>
          </w:p>
        </w:tc>
      </w:tr>
      <w:tr w:rsidR="00A46452">
        <w:trPr>
          <w:jc w:val="center"/>
        </w:trPr>
        <w:tc>
          <w:tcPr>
            <w:tcW w:w="409" w:type="pct"/>
            <w:vMerge w:val="restart"/>
            <w:tcBorders>
              <w:tl2br w:val="nil"/>
              <w:tr2bl w:val="nil"/>
            </w:tcBorders>
            <w:vAlign w:val="center"/>
          </w:tcPr>
          <w:p w:rsidR="00A46452" w:rsidRDefault="009A3928">
            <w:pPr>
              <w:adjustRightInd w:val="0"/>
              <w:snapToGrid w:val="0"/>
              <w:spacing w:line="240" w:lineRule="exact"/>
              <w:ind w:firstLineChars="0" w:firstLine="0"/>
              <w:jc w:val="center"/>
              <w:rPr>
                <w:rFonts w:eastAsiaTheme="minorEastAsia" w:cs="Times New Roman"/>
                <w:kern w:val="0"/>
                <w:sz w:val="21"/>
              </w:rPr>
            </w:pPr>
            <w:r>
              <w:rPr>
                <w:rFonts w:eastAsiaTheme="minorEastAsia" w:cs="Times New Roman"/>
                <w:kern w:val="0"/>
                <w:sz w:val="21"/>
              </w:rPr>
              <w:t>运营期</w:t>
            </w: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生态系统</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植被覆盖度、生产力、生物量、生态系统功能等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营运期对陆生动物的影响主要为交通噪声和夜间车辆行驶时灯光对动物的栖息和繁殖有一定的不利影响。公路建成后，永久占地内的林地植被将完全被破坏，取而代之的是路面及其辅助设施，对林地的群落结构的影响，对植被生产力、生物量的影响</w:t>
            </w:r>
          </w:p>
        </w:tc>
        <w:tc>
          <w:tcPr>
            <w:tcW w:w="760"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长期、不可逆</w:t>
            </w:r>
          </w:p>
        </w:tc>
        <w:tc>
          <w:tcPr>
            <w:tcW w:w="301"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弱</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生态敏感区</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主要保护对象、生态功能等</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营运期跨河桥梁路（桥）面径流对水质的影响，对敏感区内生物多样性等生态功能的影响</w:t>
            </w:r>
          </w:p>
        </w:tc>
        <w:tc>
          <w:tcPr>
            <w:tcW w:w="760"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长期、不可逆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弱</w:t>
            </w:r>
          </w:p>
        </w:tc>
      </w:tr>
      <w:tr w:rsidR="00A46452">
        <w:trPr>
          <w:jc w:val="center"/>
        </w:trPr>
        <w:tc>
          <w:tcPr>
            <w:tcW w:w="409" w:type="pct"/>
            <w:vMerge/>
            <w:tcBorders>
              <w:tl2br w:val="nil"/>
              <w:tr2bl w:val="nil"/>
            </w:tcBorders>
            <w:vAlign w:val="center"/>
          </w:tcPr>
          <w:p w:rsidR="00A46452" w:rsidRDefault="00A46452">
            <w:pPr>
              <w:adjustRightInd w:val="0"/>
              <w:snapToGrid w:val="0"/>
              <w:spacing w:line="240" w:lineRule="exact"/>
              <w:ind w:firstLineChars="0" w:firstLine="0"/>
              <w:jc w:val="center"/>
              <w:rPr>
                <w:rFonts w:eastAsiaTheme="minorEastAsia" w:cs="Times New Roman"/>
                <w:sz w:val="21"/>
              </w:rPr>
            </w:pPr>
          </w:p>
        </w:tc>
        <w:tc>
          <w:tcPr>
            <w:tcW w:w="543"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自然景观</w:t>
            </w:r>
          </w:p>
        </w:tc>
        <w:tc>
          <w:tcPr>
            <w:tcW w:w="918"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路面等永久占地会使占地区原</w:t>
            </w:r>
          </w:p>
        </w:tc>
        <w:tc>
          <w:tcPr>
            <w:tcW w:w="2069"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kern w:val="0"/>
                <w:sz w:val="21"/>
              </w:rPr>
            </w:pPr>
            <w:r>
              <w:rPr>
                <w:rFonts w:eastAsiaTheme="minorEastAsia" w:cs="Times New Roman"/>
                <w:kern w:val="0"/>
                <w:sz w:val="21"/>
              </w:rPr>
              <w:t>路面等永久占地会使占地区原有景观改变，代之以人为景观，对自然景观产生影响</w:t>
            </w:r>
          </w:p>
        </w:tc>
        <w:tc>
          <w:tcPr>
            <w:tcW w:w="760" w:type="pct"/>
            <w:tcBorders>
              <w:tl2br w:val="nil"/>
              <w:tr2bl w:val="nil"/>
            </w:tcBorders>
            <w:vAlign w:val="center"/>
          </w:tcPr>
          <w:p w:rsidR="00A46452" w:rsidRDefault="009A3928">
            <w:pPr>
              <w:autoSpaceDE w:val="0"/>
              <w:autoSpaceDN w:val="0"/>
              <w:adjustRightInd w:val="0"/>
              <w:spacing w:line="240" w:lineRule="exact"/>
              <w:ind w:firstLineChars="0" w:firstLine="0"/>
              <w:jc w:val="center"/>
              <w:rPr>
                <w:rFonts w:eastAsiaTheme="minorEastAsia" w:cs="Times New Roman"/>
                <w:kern w:val="0"/>
                <w:sz w:val="21"/>
              </w:rPr>
            </w:pPr>
            <w:r>
              <w:rPr>
                <w:rFonts w:eastAsiaTheme="minorEastAsia" w:cs="Times New Roman"/>
                <w:kern w:val="0"/>
                <w:sz w:val="21"/>
              </w:rPr>
              <w:t>长期、不可逆</w:t>
            </w:r>
          </w:p>
        </w:tc>
        <w:tc>
          <w:tcPr>
            <w:tcW w:w="301"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kern w:val="0"/>
                <w:sz w:val="21"/>
              </w:rPr>
              <w:t>弱</w:t>
            </w:r>
          </w:p>
        </w:tc>
      </w:tr>
    </w:tbl>
    <w:p w:rsidR="00A46452" w:rsidRDefault="00A46452">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p>
    <w:p w:rsidR="00A46452" w:rsidRDefault="009A3928">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hint="default"/>
          <w:sz w:val="24"/>
          <w:szCs w:val="24"/>
        </w:rPr>
        <w:t>2</w:t>
      </w:r>
      <w:r>
        <w:rPr>
          <w:rFonts w:ascii="Times New Roman" w:hAnsi="Times New Roman" w:cs="Times New Roman" w:hint="default"/>
          <w:sz w:val="24"/>
          <w:szCs w:val="24"/>
        </w:rPr>
        <w:t>.</w:t>
      </w:r>
      <w:r>
        <w:rPr>
          <w:rFonts w:ascii="Times New Roman" w:hAnsi="Times New Roman" w:cs="Times New Roman" w:hint="default"/>
          <w:sz w:val="24"/>
          <w:szCs w:val="24"/>
        </w:rPr>
        <w:t>4</w:t>
      </w:r>
      <w:r>
        <w:rPr>
          <w:rFonts w:ascii="Times New Roman" w:hAnsi="Times New Roman" w:cs="Times New Roman" w:hint="default"/>
          <w:sz w:val="24"/>
          <w:szCs w:val="24"/>
        </w:rPr>
        <w:t xml:space="preserve">-3  </w:t>
      </w:r>
      <w:r>
        <w:rPr>
          <w:rFonts w:ascii="Times New Roman" w:hAnsi="Times New Roman" w:cs="Times New Roman" w:hint="default"/>
          <w:sz w:val="24"/>
          <w:szCs w:val="24"/>
        </w:rPr>
        <w:t xml:space="preserve">                </w:t>
      </w:r>
      <w:r>
        <w:rPr>
          <w:rFonts w:ascii="Times New Roman" w:hAnsi="Times New Roman" w:cs="Times New Roman" w:hint="default"/>
          <w:sz w:val="24"/>
          <w:szCs w:val="24"/>
        </w:rPr>
        <w:t>拟建公路环境影响评价因子筛选表</w:t>
      </w:r>
    </w:p>
    <w:tbl>
      <w:tblPr>
        <w:tblW w:w="504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004"/>
        <w:gridCol w:w="2378"/>
        <w:gridCol w:w="2800"/>
        <w:gridCol w:w="2381"/>
      </w:tblGrid>
      <w:tr w:rsidR="00A46452">
        <w:trPr>
          <w:jc w:val="center"/>
        </w:trPr>
        <w:tc>
          <w:tcPr>
            <w:tcW w:w="587" w:type="pct"/>
            <w:tcBorders>
              <w:tl2br w:val="nil"/>
              <w:tr2bl w:val="nil"/>
            </w:tcBorders>
            <w:vAlign w:val="center"/>
          </w:tcPr>
          <w:p w:rsidR="00A46452" w:rsidRDefault="009A3928">
            <w:pPr>
              <w:spacing w:line="240" w:lineRule="exact"/>
              <w:ind w:firstLineChars="0" w:firstLine="0"/>
              <w:jc w:val="center"/>
              <w:rPr>
                <w:rFonts w:eastAsiaTheme="minorEastAsia" w:cs="Times New Roman"/>
                <w:b/>
                <w:sz w:val="21"/>
              </w:rPr>
            </w:pPr>
            <w:r>
              <w:rPr>
                <w:rFonts w:eastAsiaTheme="minorEastAsia" w:cs="Times New Roman"/>
                <w:b/>
                <w:sz w:val="21"/>
              </w:rPr>
              <w:t>环境要素</w:t>
            </w:r>
          </w:p>
        </w:tc>
        <w:tc>
          <w:tcPr>
            <w:tcW w:w="1388" w:type="pct"/>
            <w:tcBorders>
              <w:tl2br w:val="nil"/>
              <w:tr2bl w:val="nil"/>
            </w:tcBorders>
            <w:vAlign w:val="center"/>
          </w:tcPr>
          <w:p w:rsidR="00A46452" w:rsidRDefault="009A3928">
            <w:pPr>
              <w:spacing w:line="240" w:lineRule="exact"/>
              <w:ind w:firstLineChars="0" w:firstLine="0"/>
              <w:jc w:val="center"/>
              <w:rPr>
                <w:rFonts w:eastAsiaTheme="minorEastAsia" w:cs="Times New Roman"/>
                <w:b/>
                <w:sz w:val="21"/>
              </w:rPr>
            </w:pPr>
            <w:r>
              <w:rPr>
                <w:rFonts w:eastAsiaTheme="minorEastAsia" w:cs="Times New Roman"/>
                <w:b/>
                <w:sz w:val="21"/>
              </w:rPr>
              <w:t>现状评价</w:t>
            </w:r>
          </w:p>
        </w:tc>
        <w:tc>
          <w:tcPr>
            <w:tcW w:w="1634" w:type="pct"/>
            <w:tcBorders>
              <w:tl2br w:val="nil"/>
              <w:tr2bl w:val="nil"/>
            </w:tcBorders>
            <w:vAlign w:val="center"/>
          </w:tcPr>
          <w:p w:rsidR="00A46452" w:rsidRDefault="009A3928">
            <w:pPr>
              <w:spacing w:line="240" w:lineRule="exact"/>
              <w:ind w:firstLineChars="0" w:firstLine="0"/>
              <w:jc w:val="center"/>
              <w:rPr>
                <w:rFonts w:eastAsiaTheme="minorEastAsia" w:cs="Times New Roman"/>
                <w:b/>
                <w:sz w:val="21"/>
              </w:rPr>
            </w:pPr>
            <w:r>
              <w:rPr>
                <w:rFonts w:eastAsiaTheme="minorEastAsia" w:cs="Times New Roman"/>
                <w:b/>
                <w:sz w:val="21"/>
              </w:rPr>
              <w:t>施工期</w:t>
            </w:r>
          </w:p>
        </w:tc>
        <w:tc>
          <w:tcPr>
            <w:tcW w:w="1389" w:type="pct"/>
            <w:tcBorders>
              <w:tl2br w:val="nil"/>
              <w:tr2bl w:val="nil"/>
            </w:tcBorders>
            <w:vAlign w:val="center"/>
          </w:tcPr>
          <w:p w:rsidR="00A46452" w:rsidRDefault="009A3928">
            <w:pPr>
              <w:spacing w:line="240" w:lineRule="exact"/>
              <w:ind w:firstLineChars="0" w:firstLine="0"/>
              <w:jc w:val="center"/>
              <w:rPr>
                <w:rFonts w:eastAsiaTheme="minorEastAsia" w:cs="Times New Roman"/>
                <w:b/>
                <w:sz w:val="21"/>
              </w:rPr>
            </w:pPr>
            <w:r>
              <w:rPr>
                <w:rFonts w:eastAsiaTheme="minorEastAsia" w:cs="Times New Roman"/>
                <w:b/>
                <w:sz w:val="21"/>
              </w:rPr>
              <w:t>营运期</w:t>
            </w:r>
          </w:p>
        </w:tc>
      </w:tr>
      <w:tr w:rsidR="00A46452">
        <w:trPr>
          <w:trHeight w:val="739"/>
          <w:jc w:val="center"/>
        </w:trPr>
        <w:tc>
          <w:tcPr>
            <w:tcW w:w="587"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sz w:val="21"/>
              </w:rPr>
              <w:t>地表水环境</w:t>
            </w:r>
          </w:p>
        </w:tc>
        <w:tc>
          <w:tcPr>
            <w:tcW w:w="1388"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pH</w:t>
            </w:r>
            <w:r>
              <w:rPr>
                <w:rFonts w:eastAsiaTheme="minorEastAsia" w:cs="Times New Roman"/>
                <w:sz w:val="21"/>
              </w:rPr>
              <w:t>、溶解氧、高锰酸盐指数、化学需氧量、五日生化需氧量、氨氮、总磷、氟化物、砷、汞、镉、六价铬、挥发酚、石油类、阴离子表面活性剂</w:t>
            </w:r>
          </w:p>
        </w:tc>
        <w:tc>
          <w:tcPr>
            <w:tcW w:w="1634"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桥梁施工生产废水、施工场地的生产生活污水：</w:t>
            </w:r>
            <w:r>
              <w:rPr>
                <w:rFonts w:eastAsiaTheme="minorEastAsia" w:cs="Times New Roman"/>
                <w:sz w:val="21"/>
              </w:rPr>
              <w:t>pH</w:t>
            </w:r>
            <w:r>
              <w:rPr>
                <w:rFonts w:eastAsiaTheme="minorEastAsia" w:cs="Times New Roman"/>
                <w:sz w:val="21"/>
              </w:rPr>
              <w:t>值、</w:t>
            </w:r>
            <w:r>
              <w:rPr>
                <w:rFonts w:eastAsiaTheme="minorEastAsia" w:cs="Times New Roman"/>
                <w:sz w:val="21"/>
              </w:rPr>
              <w:t>SS</w:t>
            </w:r>
            <w:r>
              <w:rPr>
                <w:rFonts w:eastAsiaTheme="minorEastAsia" w:cs="Times New Roman"/>
                <w:sz w:val="21"/>
              </w:rPr>
              <w:t>、石油类、动植物油、</w:t>
            </w:r>
            <w:r>
              <w:rPr>
                <w:rFonts w:eastAsiaTheme="minorEastAsia" w:cs="Times New Roman"/>
                <w:sz w:val="21"/>
              </w:rPr>
              <w:t>COD</w:t>
            </w:r>
            <w:r>
              <w:rPr>
                <w:rFonts w:eastAsiaTheme="minorEastAsia" w:cs="Times New Roman"/>
                <w:sz w:val="21"/>
              </w:rPr>
              <w:t>、</w:t>
            </w:r>
            <w:r>
              <w:rPr>
                <w:rFonts w:eastAsiaTheme="minorEastAsia" w:cs="Times New Roman"/>
                <w:sz w:val="21"/>
              </w:rPr>
              <w:t>BOD</w:t>
            </w:r>
            <w:r>
              <w:rPr>
                <w:rFonts w:eastAsiaTheme="minorEastAsia" w:cs="Times New Roman"/>
                <w:sz w:val="21"/>
                <w:vertAlign w:val="subscript"/>
              </w:rPr>
              <w:t>5</w:t>
            </w:r>
            <w:r>
              <w:rPr>
                <w:rFonts w:eastAsiaTheme="minorEastAsia" w:cs="Times New Roman"/>
                <w:sz w:val="21"/>
              </w:rPr>
              <w:t>、</w:t>
            </w:r>
            <w:r>
              <w:rPr>
                <w:rFonts w:eastAsiaTheme="minorEastAsia" w:cs="Times New Roman"/>
                <w:sz w:val="21"/>
              </w:rPr>
              <w:t>NH</w:t>
            </w:r>
            <w:r>
              <w:rPr>
                <w:rFonts w:eastAsiaTheme="minorEastAsia" w:cs="Times New Roman"/>
                <w:sz w:val="21"/>
                <w:vertAlign w:val="subscript"/>
              </w:rPr>
              <w:t>3</w:t>
            </w:r>
            <w:r>
              <w:rPr>
                <w:rFonts w:eastAsiaTheme="minorEastAsia" w:cs="Times New Roman"/>
                <w:sz w:val="21"/>
              </w:rPr>
              <w:t>-N</w:t>
            </w:r>
            <w:r>
              <w:rPr>
                <w:rFonts w:eastAsiaTheme="minorEastAsia" w:cs="Times New Roman"/>
                <w:sz w:val="21"/>
              </w:rPr>
              <w:t>等</w:t>
            </w:r>
          </w:p>
        </w:tc>
        <w:tc>
          <w:tcPr>
            <w:tcW w:w="1389"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路（桥）面径流水</w:t>
            </w:r>
          </w:p>
        </w:tc>
      </w:tr>
      <w:tr w:rsidR="00A46452">
        <w:trPr>
          <w:jc w:val="center"/>
        </w:trPr>
        <w:tc>
          <w:tcPr>
            <w:tcW w:w="587"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sz w:val="21"/>
              </w:rPr>
              <w:t>声环境</w:t>
            </w:r>
          </w:p>
        </w:tc>
        <w:tc>
          <w:tcPr>
            <w:tcW w:w="1388" w:type="pct"/>
            <w:tcBorders>
              <w:tl2br w:val="nil"/>
              <w:tr2bl w:val="nil"/>
            </w:tcBorders>
            <w:vAlign w:val="center"/>
          </w:tcPr>
          <w:p w:rsidR="00A46452" w:rsidRDefault="009A3928">
            <w:pPr>
              <w:spacing w:line="240" w:lineRule="exact"/>
              <w:ind w:firstLineChars="0" w:firstLine="0"/>
              <w:rPr>
                <w:rFonts w:eastAsiaTheme="minorEastAsia" w:cs="Times New Roman"/>
                <w:sz w:val="21"/>
                <w:vertAlign w:val="subscript"/>
              </w:rPr>
            </w:pPr>
            <w:r>
              <w:rPr>
                <w:rFonts w:eastAsiaTheme="minorEastAsia" w:cs="Times New Roman"/>
                <w:sz w:val="21"/>
              </w:rPr>
              <w:t>声环境现状：等效连续</w:t>
            </w:r>
            <w:r>
              <w:rPr>
                <w:rFonts w:eastAsiaTheme="minorEastAsia" w:cs="Times New Roman"/>
                <w:sz w:val="21"/>
              </w:rPr>
              <w:t>A</w:t>
            </w:r>
            <w:r>
              <w:rPr>
                <w:rFonts w:eastAsiaTheme="minorEastAsia" w:cs="Times New Roman"/>
                <w:sz w:val="21"/>
              </w:rPr>
              <w:t>声级</w:t>
            </w:r>
            <w:r>
              <w:rPr>
                <w:rFonts w:eastAsiaTheme="minorEastAsia" w:cs="Times New Roman"/>
                <w:sz w:val="21"/>
              </w:rPr>
              <w:t>L</w:t>
            </w:r>
            <w:r>
              <w:rPr>
                <w:rFonts w:eastAsiaTheme="minorEastAsia" w:cs="Times New Roman"/>
                <w:sz w:val="21"/>
                <w:vertAlign w:val="subscript"/>
              </w:rPr>
              <w:t>Aeq</w:t>
            </w:r>
            <w:r>
              <w:rPr>
                <w:rFonts w:eastAsiaTheme="minorEastAsia" w:cs="Times New Roman"/>
                <w:sz w:val="21"/>
              </w:rPr>
              <w:t>以及</w:t>
            </w:r>
            <w:r>
              <w:rPr>
                <w:rFonts w:eastAsiaTheme="minorEastAsia" w:cs="Times New Roman"/>
                <w:sz w:val="21"/>
              </w:rPr>
              <w:t>L</w:t>
            </w:r>
            <w:r>
              <w:rPr>
                <w:rFonts w:eastAsiaTheme="minorEastAsia" w:cs="Times New Roman"/>
                <w:sz w:val="21"/>
                <w:vertAlign w:val="subscript"/>
              </w:rPr>
              <w:t>10</w:t>
            </w:r>
            <w:r>
              <w:rPr>
                <w:rFonts w:eastAsiaTheme="minorEastAsia" w:cs="Times New Roman"/>
                <w:sz w:val="21"/>
              </w:rPr>
              <w:t>、</w:t>
            </w:r>
            <w:r>
              <w:rPr>
                <w:rFonts w:eastAsiaTheme="minorEastAsia" w:cs="Times New Roman"/>
                <w:sz w:val="21"/>
              </w:rPr>
              <w:t>L</w:t>
            </w:r>
            <w:r>
              <w:rPr>
                <w:rFonts w:eastAsiaTheme="minorEastAsia" w:cs="Times New Roman"/>
                <w:sz w:val="21"/>
                <w:vertAlign w:val="subscript"/>
              </w:rPr>
              <w:t>50</w:t>
            </w:r>
            <w:r>
              <w:rPr>
                <w:rFonts w:eastAsiaTheme="minorEastAsia" w:cs="Times New Roman"/>
                <w:sz w:val="21"/>
              </w:rPr>
              <w:t>、</w:t>
            </w:r>
            <w:r>
              <w:rPr>
                <w:rFonts w:eastAsiaTheme="minorEastAsia" w:cs="Times New Roman"/>
                <w:sz w:val="21"/>
              </w:rPr>
              <w:t>L</w:t>
            </w:r>
            <w:r>
              <w:rPr>
                <w:rFonts w:eastAsiaTheme="minorEastAsia" w:cs="Times New Roman"/>
                <w:sz w:val="21"/>
                <w:vertAlign w:val="subscript"/>
              </w:rPr>
              <w:t>90</w:t>
            </w:r>
            <w:r>
              <w:rPr>
                <w:rFonts w:eastAsiaTheme="minorEastAsia" w:cs="Times New Roman"/>
                <w:sz w:val="21"/>
              </w:rPr>
              <w:t>、</w:t>
            </w:r>
            <w:r>
              <w:rPr>
                <w:rFonts w:eastAsiaTheme="minorEastAsia" w:cs="Times New Roman"/>
                <w:sz w:val="21"/>
              </w:rPr>
              <w:t>L</w:t>
            </w:r>
            <w:r>
              <w:rPr>
                <w:rFonts w:eastAsiaTheme="minorEastAsia" w:cs="Times New Roman"/>
                <w:sz w:val="21"/>
                <w:vertAlign w:val="subscript"/>
              </w:rPr>
              <w:t>max</w:t>
            </w:r>
          </w:p>
        </w:tc>
        <w:tc>
          <w:tcPr>
            <w:tcW w:w="1634" w:type="pct"/>
            <w:tcBorders>
              <w:tl2br w:val="nil"/>
              <w:tr2bl w:val="nil"/>
            </w:tcBorders>
            <w:vAlign w:val="center"/>
          </w:tcPr>
          <w:p w:rsidR="00A46452" w:rsidRDefault="009A3928">
            <w:pPr>
              <w:spacing w:line="240" w:lineRule="exact"/>
              <w:ind w:firstLineChars="0" w:firstLine="0"/>
              <w:rPr>
                <w:rFonts w:eastAsiaTheme="minorEastAsia" w:cs="Times New Roman"/>
                <w:sz w:val="21"/>
                <w:vertAlign w:val="subscript"/>
              </w:rPr>
            </w:pPr>
            <w:r>
              <w:rPr>
                <w:rFonts w:eastAsiaTheme="minorEastAsia" w:cs="Times New Roman"/>
                <w:sz w:val="21"/>
              </w:rPr>
              <w:t>施工噪声：等效连续</w:t>
            </w:r>
            <w:r>
              <w:rPr>
                <w:rFonts w:eastAsiaTheme="minorEastAsia" w:cs="Times New Roman"/>
                <w:sz w:val="21"/>
              </w:rPr>
              <w:t>A</w:t>
            </w:r>
            <w:r>
              <w:rPr>
                <w:rFonts w:eastAsiaTheme="minorEastAsia" w:cs="Times New Roman"/>
                <w:sz w:val="21"/>
              </w:rPr>
              <w:t>声级</w:t>
            </w:r>
            <w:r>
              <w:rPr>
                <w:rFonts w:eastAsiaTheme="minorEastAsia" w:cs="Times New Roman"/>
                <w:sz w:val="21"/>
              </w:rPr>
              <w:t>L</w:t>
            </w:r>
            <w:r>
              <w:rPr>
                <w:rFonts w:eastAsiaTheme="minorEastAsia" w:cs="Times New Roman"/>
                <w:sz w:val="21"/>
                <w:vertAlign w:val="subscript"/>
              </w:rPr>
              <w:t>Aeq</w:t>
            </w:r>
          </w:p>
        </w:tc>
        <w:tc>
          <w:tcPr>
            <w:tcW w:w="1389"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交通噪声：等效连续</w:t>
            </w:r>
            <w:r>
              <w:rPr>
                <w:rFonts w:eastAsiaTheme="minorEastAsia" w:cs="Times New Roman"/>
                <w:sz w:val="21"/>
              </w:rPr>
              <w:t>A</w:t>
            </w:r>
            <w:r>
              <w:rPr>
                <w:rFonts w:eastAsiaTheme="minorEastAsia" w:cs="Times New Roman"/>
                <w:sz w:val="21"/>
              </w:rPr>
              <w:t>声级</w:t>
            </w:r>
            <w:r>
              <w:rPr>
                <w:rFonts w:eastAsiaTheme="minorEastAsia" w:cs="Times New Roman"/>
                <w:sz w:val="21"/>
              </w:rPr>
              <w:t>L</w:t>
            </w:r>
            <w:r>
              <w:rPr>
                <w:rFonts w:eastAsiaTheme="minorEastAsia" w:cs="Times New Roman"/>
                <w:sz w:val="21"/>
                <w:vertAlign w:val="subscript"/>
              </w:rPr>
              <w:t>Aeq</w:t>
            </w:r>
          </w:p>
        </w:tc>
      </w:tr>
      <w:tr w:rsidR="00A46452">
        <w:trPr>
          <w:jc w:val="center"/>
        </w:trPr>
        <w:tc>
          <w:tcPr>
            <w:tcW w:w="587"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sz w:val="21"/>
              </w:rPr>
              <w:t>大气环境</w:t>
            </w:r>
          </w:p>
        </w:tc>
        <w:tc>
          <w:tcPr>
            <w:tcW w:w="1388"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CO</w:t>
            </w:r>
            <w:r>
              <w:rPr>
                <w:rFonts w:eastAsiaTheme="minorEastAsia" w:cs="Times New Roman"/>
                <w:sz w:val="21"/>
              </w:rPr>
              <w:t>、</w:t>
            </w:r>
            <w:r>
              <w:rPr>
                <w:rFonts w:eastAsiaTheme="minorEastAsia" w:cs="Times New Roman"/>
                <w:sz w:val="21"/>
              </w:rPr>
              <w:t>NO</w:t>
            </w:r>
            <w:r>
              <w:rPr>
                <w:rFonts w:eastAsiaTheme="minorEastAsia" w:cs="Times New Roman"/>
                <w:sz w:val="21"/>
                <w:vertAlign w:val="subscript"/>
              </w:rPr>
              <w:t>2</w:t>
            </w:r>
            <w:r>
              <w:rPr>
                <w:rFonts w:eastAsiaTheme="minorEastAsia" w:cs="Times New Roman"/>
                <w:sz w:val="21"/>
              </w:rPr>
              <w:t>、</w:t>
            </w:r>
            <w:r>
              <w:rPr>
                <w:rFonts w:eastAsiaTheme="minorEastAsia" w:cs="Times New Roman"/>
                <w:sz w:val="21"/>
              </w:rPr>
              <w:t>SO</w:t>
            </w:r>
            <w:r>
              <w:rPr>
                <w:rFonts w:eastAsiaTheme="minorEastAsia" w:cs="Times New Roman"/>
                <w:sz w:val="21"/>
                <w:vertAlign w:val="subscript"/>
              </w:rPr>
              <w:t>2</w:t>
            </w:r>
            <w:r>
              <w:rPr>
                <w:rFonts w:eastAsiaTheme="minorEastAsia" w:cs="Times New Roman"/>
                <w:sz w:val="21"/>
              </w:rPr>
              <w:t>、</w:t>
            </w:r>
            <w:r>
              <w:rPr>
                <w:rFonts w:eastAsiaTheme="minorEastAsia" w:cs="Times New Roman"/>
                <w:sz w:val="21"/>
              </w:rPr>
              <w:t>PM</w:t>
            </w:r>
            <w:r>
              <w:rPr>
                <w:rFonts w:eastAsiaTheme="minorEastAsia" w:cs="Times New Roman"/>
                <w:sz w:val="21"/>
                <w:vertAlign w:val="subscript"/>
              </w:rPr>
              <w:t>2.5</w:t>
            </w:r>
            <w:r>
              <w:rPr>
                <w:rFonts w:eastAsiaTheme="minorEastAsia" w:cs="Times New Roman"/>
                <w:sz w:val="21"/>
              </w:rPr>
              <w:t>、</w:t>
            </w:r>
            <w:r>
              <w:rPr>
                <w:rFonts w:eastAsiaTheme="minorEastAsia" w:cs="Times New Roman"/>
                <w:sz w:val="21"/>
              </w:rPr>
              <w:t>PM</w:t>
            </w:r>
            <w:r>
              <w:rPr>
                <w:rFonts w:eastAsiaTheme="minorEastAsia" w:cs="Times New Roman"/>
                <w:sz w:val="21"/>
                <w:vertAlign w:val="subscript"/>
              </w:rPr>
              <w:t>10</w:t>
            </w:r>
            <w:r>
              <w:rPr>
                <w:rFonts w:eastAsiaTheme="minorEastAsia" w:cs="Times New Roman"/>
                <w:sz w:val="21"/>
              </w:rPr>
              <w:t>、臭氧、</w:t>
            </w:r>
            <w:r>
              <w:rPr>
                <w:rFonts w:eastAsiaTheme="minorEastAsia" w:cs="Times New Roman"/>
                <w:sz w:val="21"/>
              </w:rPr>
              <w:t>TSP</w:t>
            </w:r>
          </w:p>
        </w:tc>
        <w:tc>
          <w:tcPr>
            <w:tcW w:w="1634"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TSP</w:t>
            </w:r>
            <w:r>
              <w:rPr>
                <w:rFonts w:eastAsiaTheme="minorEastAsia" w:cs="Times New Roman"/>
                <w:sz w:val="21"/>
              </w:rPr>
              <w:t>、沥青烟、苯并</w:t>
            </w:r>
            <w:r>
              <w:rPr>
                <w:rFonts w:eastAsiaTheme="minorEastAsia" w:cs="Times New Roman"/>
                <w:sz w:val="21"/>
              </w:rPr>
              <w:t>[</w:t>
            </w:r>
            <w:r>
              <w:rPr>
                <w:rFonts w:eastAsiaTheme="minorEastAsia" w:cs="Times New Roman"/>
                <w:sz w:val="21"/>
              </w:rPr>
              <w:sym w:font="Symbol" w:char="0061"/>
            </w:r>
            <w:r>
              <w:rPr>
                <w:rFonts w:eastAsiaTheme="minorEastAsia" w:cs="Times New Roman"/>
                <w:sz w:val="21"/>
              </w:rPr>
              <w:t>]</w:t>
            </w:r>
            <w:r>
              <w:rPr>
                <w:rFonts w:eastAsiaTheme="minorEastAsia" w:cs="Times New Roman"/>
                <w:sz w:val="21"/>
              </w:rPr>
              <w:t>芘</w:t>
            </w:r>
          </w:p>
        </w:tc>
        <w:tc>
          <w:tcPr>
            <w:tcW w:w="1389"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sz w:val="21"/>
              </w:rPr>
              <w:t>汽车尾气：</w:t>
            </w:r>
            <w:r>
              <w:rPr>
                <w:rFonts w:eastAsiaTheme="minorEastAsia" w:cs="Times New Roman"/>
                <w:sz w:val="21"/>
              </w:rPr>
              <w:t>NO</w:t>
            </w:r>
            <w:r>
              <w:rPr>
                <w:rFonts w:eastAsiaTheme="minorEastAsia" w:cs="Times New Roman"/>
                <w:sz w:val="21"/>
                <w:vertAlign w:val="subscript"/>
              </w:rPr>
              <w:t>X</w:t>
            </w:r>
            <w:r>
              <w:rPr>
                <w:rFonts w:eastAsiaTheme="minorEastAsia" w:cs="Times New Roman"/>
                <w:sz w:val="21"/>
              </w:rPr>
              <w:t>、</w:t>
            </w:r>
            <w:r>
              <w:rPr>
                <w:rFonts w:eastAsiaTheme="minorEastAsia" w:cs="Times New Roman"/>
                <w:sz w:val="21"/>
              </w:rPr>
              <w:t>CO</w:t>
            </w:r>
          </w:p>
        </w:tc>
      </w:tr>
      <w:tr w:rsidR="00A46452">
        <w:trPr>
          <w:jc w:val="center"/>
        </w:trPr>
        <w:tc>
          <w:tcPr>
            <w:tcW w:w="587" w:type="pct"/>
            <w:tcBorders>
              <w:tl2br w:val="nil"/>
              <w:tr2bl w:val="nil"/>
            </w:tcBorders>
            <w:vAlign w:val="center"/>
          </w:tcPr>
          <w:p w:rsidR="00A46452" w:rsidRDefault="009A3928">
            <w:pPr>
              <w:spacing w:line="240" w:lineRule="exact"/>
              <w:ind w:firstLineChars="0" w:firstLine="0"/>
              <w:jc w:val="center"/>
              <w:rPr>
                <w:rFonts w:eastAsiaTheme="minorEastAsia" w:cs="Times New Roman"/>
                <w:sz w:val="21"/>
              </w:rPr>
            </w:pPr>
            <w:r>
              <w:rPr>
                <w:rFonts w:eastAsiaTheme="minorEastAsia" w:cs="Times New Roman"/>
                <w:sz w:val="21"/>
              </w:rPr>
              <w:t>固体废物</w:t>
            </w:r>
          </w:p>
        </w:tc>
        <w:tc>
          <w:tcPr>
            <w:tcW w:w="1388" w:type="pct"/>
            <w:tcBorders>
              <w:tl2br w:val="nil"/>
              <w:tr2bl w:val="nil"/>
            </w:tcBorders>
            <w:vAlign w:val="center"/>
          </w:tcPr>
          <w:p w:rsidR="00A46452" w:rsidRDefault="009A3928">
            <w:pPr>
              <w:spacing w:line="240" w:lineRule="exact"/>
              <w:ind w:firstLineChars="0" w:firstLine="0"/>
              <w:jc w:val="left"/>
              <w:rPr>
                <w:rFonts w:eastAsiaTheme="minorEastAsia" w:cs="Times New Roman"/>
                <w:sz w:val="21"/>
              </w:rPr>
            </w:pPr>
            <w:r>
              <w:rPr>
                <w:rFonts w:eastAsiaTheme="minorEastAsia" w:cs="Times New Roman"/>
                <w:sz w:val="21"/>
              </w:rPr>
              <w:t>－</w:t>
            </w:r>
          </w:p>
        </w:tc>
        <w:tc>
          <w:tcPr>
            <w:tcW w:w="1634" w:type="pct"/>
            <w:tcBorders>
              <w:tl2br w:val="nil"/>
              <w:tr2bl w:val="nil"/>
            </w:tcBorders>
            <w:vAlign w:val="center"/>
          </w:tcPr>
          <w:p w:rsidR="00A46452" w:rsidRDefault="009A3928">
            <w:pPr>
              <w:autoSpaceDE w:val="0"/>
              <w:autoSpaceDN w:val="0"/>
              <w:adjustRightInd w:val="0"/>
              <w:spacing w:line="240" w:lineRule="exact"/>
              <w:ind w:firstLineChars="0" w:firstLine="0"/>
              <w:jc w:val="left"/>
              <w:rPr>
                <w:rFonts w:eastAsiaTheme="minorEastAsia" w:cs="Times New Roman"/>
                <w:sz w:val="21"/>
              </w:rPr>
            </w:pPr>
            <w:r>
              <w:rPr>
                <w:rFonts w:eastAsiaTheme="minorEastAsia" w:cs="Times New Roman"/>
                <w:kern w:val="0"/>
                <w:sz w:val="21"/>
              </w:rPr>
              <w:t>建筑垃圾、生活垃圾、土石方弃渣</w:t>
            </w:r>
          </w:p>
        </w:tc>
        <w:tc>
          <w:tcPr>
            <w:tcW w:w="1389" w:type="pct"/>
            <w:tcBorders>
              <w:tl2br w:val="nil"/>
              <w:tr2bl w:val="nil"/>
            </w:tcBorders>
            <w:vAlign w:val="center"/>
          </w:tcPr>
          <w:p w:rsidR="00A46452" w:rsidRDefault="009A3928">
            <w:pPr>
              <w:spacing w:line="240" w:lineRule="exact"/>
              <w:ind w:firstLineChars="0" w:firstLine="0"/>
              <w:rPr>
                <w:rFonts w:eastAsiaTheme="minorEastAsia" w:cs="Times New Roman"/>
                <w:sz w:val="21"/>
              </w:rPr>
            </w:pPr>
            <w:r>
              <w:rPr>
                <w:rFonts w:eastAsiaTheme="minorEastAsia" w:cs="Times New Roman"/>
                <w:kern w:val="0"/>
                <w:sz w:val="21"/>
              </w:rPr>
              <w:t>生活垃圾</w:t>
            </w:r>
          </w:p>
        </w:tc>
      </w:tr>
      <w:tr w:rsidR="00A46452">
        <w:trPr>
          <w:jc w:val="center"/>
        </w:trPr>
        <w:tc>
          <w:tcPr>
            <w:tcW w:w="58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bCs/>
                <w:sz w:val="21"/>
              </w:rPr>
            </w:pPr>
            <w:r>
              <w:rPr>
                <w:rFonts w:cs="Times New Roman"/>
                <w:bCs/>
                <w:sz w:val="21"/>
              </w:rPr>
              <w:t>污染事故</w:t>
            </w:r>
          </w:p>
          <w:p w:rsidR="00A46452" w:rsidRDefault="009A3928">
            <w:pPr>
              <w:wordWrap w:val="0"/>
              <w:topLinePunct/>
              <w:adjustRightInd w:val="0"/>
              <w:snapToGrid w:val="0"/>
              <w:spacing w:line="240" w:lineRule="exact"/>
              <w:ind w:firstLineChars="0" w:firstLine="0"/>
              <w:jc w:val="center"/>
              <w:rPr>
                <w:rFonts w:cs="Times New Roman"/>
                <w:bCs/>
                <w:sz w:val="21"/>
              </w:rPr>
            </w:pPr>
            <w:r>
              <w:rPr>
                <w:rFonts w:cs="Times New Roman"/>
                <w:bCs/>
                <w:sz w:val="21"/>
              </w:rPr>
              <w:t>风险</w:t>
            </w:r>
          </w:p>
        </w:tc>
        <w:tc>
          <w:tcPr>
            <w:tcW w:w="1388"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bCs/>
                <w:sz w:val="21"/>
              </w:rPr>
            </w:pPr>
            <w:r>
              <w:rPr>
                <w:rFonts w:eastAsiaTheme="minorEastAsia" w:cs="Times New Roman"/>
                <w:sz w:val="21"/>
              </w:rPr>
              <w:t>－</w:t>
            </w:r>
          </w:p>
        </w:tc>
        <w:tc>
          <w:tcPr>
            <w:tcW w:w="163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bCs/>
                <w:sz w:val="21"/>
              </w:rPr>
            </w:pPr>
            <w:r>
              <w:rPr>
                <w:rFonts w:eastAsiaTheme="minorEastAsia" w:cs="Times New Roman"/>
                <w:sz w:val="21"/>
              </w:rPr>
              <w:t>－</w:t>
            </w:r>
          </w:p>
        </w:tc>
        <w:tc>
          <w:tcPr>
            <w:tcW w:w="1389" w:type="pct"/>
            <w:tcBorders>
              <w:tl2br w:val="nil"/>
              <w:tr2bl w:val="nil"/>
            </w:tcBorders>
            <w:vAlign w:val="center"/>
          </w:tcPr>
          <w:p w:rsidR="00A46452" w:rsidRDefault="009A3928">
            <w:pPr>
              <w:spacing w:line="240" w:lineRule="exact"/>
              <w:ind w:firstLineChars="0" w:firstLine="0"/>
              <w:jc w:val="left"/>
              <w:rPr>
                <w:rFonts w:eastAsiaTheme="minorEastAsia" w:cs="Times New Roman"/>
                <w:kern w:val="0"/>
                <w:sz w:val="21"/>
              </w:rPr>
            </w:pPr>
            <w:r>
              <w:rPr>
                <w:rFonts w:cs="Times New Roman"/>
                <w:bCs/>
                <w:sz w:val="21"/>
              </w:rPr>
              <w:t>危险化学品运输</w:t>
            </w:r>
          </w:p>
        </w:tc>
      </w:tr>
    </w:tbl>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120" w:name="_Toc13790"/>
      <w:r>
        <w:rPr>
          <w:rFonts w:cs="Times New Roman" w:hint="default"/>
          <w:sz w:val="30"/>
          <w:szCs w:val="30"/>
        </w:rPr>
        <w:t>2.</w:t>
      </w:r>
      <w:bookmarkEnd w:id="114"/>
      <w:bookmarkEnd w:id="115"/>
      <w:bookmarkEnd w:id="116"/>
      <w:bookmarkEnd w:id="117"/>
      <w:bookmarkEnd w:id="118"/>
      <w:r>
        <w:rPr>
          <w:rFonts w:cs="Times New Roman" w:hint="default"/>
          <w:sz w:val="30"/>
          <w:szCs w:val="30"/>
        </w:rPr>
        <w:t>5</w:t>
      </w:r>
      <w:r>
        <w:rPr>
          <w:rFonts w:cs="Times New Roman" w:hint="default"/>
          <w:sz w:val="30"/>
          <w:szCs w:val="30"/>
        </w:rPr>
        <w:t>环境功能区划和评价标准</w:t>
      </w:r>
      <w:bookmarkEnd w:id="119"/>
      <w:bookmarkEnd w:id="120"/>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2.5.1</w:t>
      </w:r>
      <w:r>
        <w:rPr>
          <w:rFonts w:cs="Times New Roman" w:hint="default"/>
          <w:sz w:val="28"/>
          <w:szCs w:val="28"/>
        </w:rPr>
        <w:t>环境功能区划</w:t>
      </w:r>
    </w:p>
    <w:p w:rsidR="00A46452" w:rsidRDefault="009A3928">
      <w:pPr>
        <w:pStyle w:val="001"/>
        <w:wordWrap w:val="0"/>
        <w:topLinePunct/>
        <w:adjustRightInd w:val="0"/>
        <w:snapToGrid w:val="0"/>
        <w:ind w:firstLine="480"/>
        <w:rPr>
          <w:rFonts w:cs="Times New Roman"/>
        </w:rPr>
      </w:pPr>
      <w:r>
        <w:rPr>
          <w:rFonts w:cs="Times New Roman"/>
        </w:rPr>
        <w:t>（</w:t>
      </w:r>
      <w:r>
        <w:rPr>
          <w:rFonts w:cs="Times New Roman"/>
        </w:rPr>
        <w:t>1</w:t>
      </w:r>
      <w:r>
        <w:rPr>
          <w:rFonts w:cs="Times New Roman"/>
        </w:rPr>
        <w:t>）环境空气</w:t>
      </w:r>
    </w:p>
    <w:p w:rsidR="00A46452" w:rsidRDefault="009A3928">
      <w:pPr>
        <w:wordWrap w:val="0"/>
        <w:topLinePunct/>
        <w:adjustRightInd w:val="0"/>
        <w:snapToGrid w:val="0"/>
        <w:ind w:firstLine="464"/>
        <w:rPr>
          <w:rFonts w:cs="Times New Roman"/>
          <w:spacing w:val="-4"/>
        </w:rPr>
      </w:pPr>
      <w:r>
        <w:rPr>
          <w:rFonts w:cs="Times New Roman"/>
          <w:spacing w:val="-4"/>
        </w:rPr>
        <w:t>按照《环境空气质量标准》（</w:t>
      </w:r>
      <w:r>
        <w:rPr>
          <w:rFonts w:cs="Times New Roman"/>
          <w:spacing w:val="-4"/>
        </w:rPr>
        <w:t>GB3095-2012</w:t>
      </w:r>
      <w:r>
        <w:rPr>
          <w:rFonts w:cs="Times New Roman"/>
          <w:spacing w:val="-4"/>
        </w:rPr>
        <w:t>）中的规定，本项目沿线区域的环境空气质量功能区划属二类功能区；环境空气质量执行二级标准。</w:t>
      </w:r>
    </w:p>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w:t>
      </w:r>
      <w:r>
        <w:rPr>
          <w:rFonts w:cs="Times New Roman" w:hint="default"/>
          <w:sz w:val="24"/>
          <w:szCs w:val="24"/>
        </w:rPr>
        <w:t>2</w:t>
      </w:r>
      <w:r>
        <w:rPr>
          <w:rFonts w:cs="Times New Roman" w:hint="default"/>
          <w:sz w:val="24"/>
          <w:szCs w:val="24"/>
        </w:rPr>
        <w:t>）水环境</w:t>
      </w:r>
    </w:p>
    <w:p w:rsidR="00A46452" w:rsidRDefault="009A3928" w:rsidP="00182EED">
      <w:pPr>
        <w:widowControl/>
        <w:ind w:firstLine="480"/>
        <w:rPr>
          <w:rFonts w:cs="Times New Roman"/>
        </w:rPr>
      </w:pPr>
      <w:r>
        <w:rPr>
          <w:rFonts w:cs="Times New Roman"/>
        </w:rPr>
        <w:t>拟建项目跨越喀什噶尔河、突来买提河、柯坪河</w:t>
      </w:r>
      <w:r>
        <w:rPr>
          <w:rFonts w:cs="Times New Roman"/>
        </w:rPr>
        <w:t>、</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cs="Times New Roman"/>
        </w:rPr>
        <w:t>以及灌溉干渠等，依据《中国新疆水环境功能区划》，喀什噶尔河、突来买提河全河段执行</w:t>
      </w:r>
      <w:r>
        <w:rPr>
          <w:rFonts w:cs="Times New Roman"/>
        </w:rPr>
        <w:t>Ⅲ</w:t>
      </w:r>
      <w:r>
        <w:rPr>
          <w:rFonts w:cs="Times New Roman"/>
        </w:rPr>
        <w:t>类水质目标，其地表水水质按照《地表水环境质量标准》（</w:t>
      </w:r>
      <w:r>
        <w:rPr>
          <w:rFonts w:cs="Times New Roman"/>
        </w:rPr>
        <w:t>GB3838-2002</w:t>
      </w:r>
      <w:r>
        <w:rPr>
          <w:rFonts w:cs="Times New Roman"/>
        </w:rPr>
        <w:t>）</w:t>
      </w:r>
      <w:r>
        <w:rPr>
          <w:rFonts w:cs="Times New Roman"/>
        </w:rPr>
        <w:t>Ⅲ</w:t>
      </w:r>
      <w:r>
        <w:rPr>
          <w:rFonts w:cs="Times New Roman"/>
        </w:rPr>
        <w:t>类标准评价</w:t>
      </w:r>
      <w:r>
        <w:rPr>
          <w:rFonts w:cs="Times New Roman"/>
        </w:rPr>
        <w:t>，</w:t>
      </w:r>
      <w:r>
        <w:rPr>
          <w:rFonts w:cs="Times New Roman"/>
        </w:rPr>
        <w:t>柯坪河、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cs="Times New Roman"/>
        </w:rPr>
        <w:t>以及灌溉干渠</w:t>
      </w:r>
      <w:r>
        <w:rPr>
          <w:rFonts w:cs="Times New Roman"/>
        </w:rPr>
        <w:t>按照使用功能执行</w:t>
      </w:r>
      <w:r>
        <w:rPr>
          <w:rFonts w:cs="Times New Roman"/>
        </w:rPr>
        <w:t>《地表水环境质量标准》（</w:t>
      </w:r>
      <w:r>
        <w:rPr>
          <w:rFonts w:cs="Times New Roman"/>
        </w:rPr>
        <w:t>GB3838-2002</w:t>
      </w:r>
      <w:r>
        <w:rPr>
          <w:rFonts w:cs="Times New Roman"/>
        </w:rPr>
        <w:t>）</w:t>
      </w:r>
      <w:r>
        <w:rPr>
          <w:rFonts w:cs="Times New Roman"/>
        </w:rPr>
        <w:t>Ⅲ</w:t>
      </w:r>
      <w:r>
        <w:rPr>
          <w:rFonts w:cs="Times New Roman"/>
        </w:rPr>
        <w:t>类标准评价。</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）声环境</w:t>
      </w:r>
    </w:p>
    <w:p w:rsidR="00A46452" w:rsidRDefault="009A3928" w:rsidP="00182EED">
      <w:pPr>
        <w:widowControl/>
        <w:ind w:firstLine="480"/>
        <w:jc w:val="left"/>
        <w:rPr>
          <w:rFonts w:cs="Times New Roman"/>
        </w:rPr>
      </w:pPr>
      <w:r>
        <w:rPr>
          <w:rFonts w:cs="Times New Roman"/>
        </w:rPr>
        <w:t>拟建公路沿线尚未进行声环境功能区划。根据《声环境功能区划分技术规范》（</w:t>
      </w:r>
      <w:r>
        <w:rPr>
          <w:rFonts w:cs="Times New Roman"/>
        </w:rPr>
        <w:t>GB/T15190-2014</w:t>
      </w:r>
      <w:r>
        <w:rPr>
          <w:rFonts w:cs="Times New Roman"/>
        </w:rPr>
        <w:t>）以及《声环境质量标准》（</w:t>
      </w:r>
      <w:r>
        <w:rPr>
          <w:rFonts w:cs="Times New Roman"/>
        </w:rPr>
        <w:t>GB3096-2008</w:t>
      </w:r>
      <w:r>
        <w:rPr>
          <w:rFonts w:cs="Times New Roman"/>
        </w:rPr>
        <w:t>）：</w:t>
      </w:r>
      <w:r>
        <w:rPr>
          <w:rFonts w:cs="Times New Roman"/>
          <w:szCs w:val="22"/>
        </w:rPr>
        <w:t>所经区域参照《声环境质量标准》（</w:t>
      </w:r>
      <w:r>
        <w:rPr>
          <w:rFonts w:cs="Times New Roman"/>
          <w:szCs w:val="22"/>
        </w:rPr>
        <w:t>GB3096-2008</w:t>
      </w:r>
      <w:r>
        <w:rPr>
          <w:rFonts w:cs="Times New Roman"/>
          <w:szCs w:val="22"/>
        </w:rPr>
        <w:t>）</w:t>
      </w:r>
      <w:r>
        <w:rPr>
          <w:rFonts w:cs="Times New Roman"/>
          <w:szCs w:val="22"/>
        </w:rPr>
        <w:t>2</w:t>
      </w:r>
      <w:r>
        <w:rPr>
          <w:rFonts w:cs="Times New Roman"/>
          <w:szCs w:val="22"/>
        </w:rPr>
        <w:t>类环境功能区。拟建公路及现有交通干线两侧红线外</w:t>
      </w:r>
      <w:r>
        <w:rPr>
          <w:rFonts w:cs="Times New Roman"/>
          <w:szCs w:val="22"/>
        </w:rPr>
        <w:t>35m</w:t>
      </w:r>
      <w:r>
        <w:rPr>
          <w:rFonts w:cs="Times New Roman"/>
          <w:szCs w:val="22"/>
        </w:rPr>
        <w:t>以内的区域执行《声环境质量标准》（</w:t>
      </w:r>
      <w:r>
        <w:rPr>
          <w:rFonts w:cs="Times New Roman"/>
          <w:szCs w:val="22"/>
        </w:rPr>
        <w:t>GB3096-2008</w:t>
      </w:r>
      <w:r>
        <w:rPr>
          <w:rFonts w:cs="Times New Roman"/>
          <w:szCs w:val="22"/>
        </w:rPr>
        <w:t>）</w:t>
      </w:r>
      <w:r>
        <w:rPr>
          <w:rFonts w:cs="Times New Roman"/>
          <w:szCs w:val="22"/>
        </w:rPr>
        <w:t>4a</w:t>
      </w:r>
      <w:r>
        <w:rPr>
          <w:rFonts w:cs="Times New Roman"/>
          <w:szCs w:val="22"/>
        </w:rPr>
        <w:t>类标准，</w:t>
      </w:r>
      <w:r>
        <w:rPr>
          <w:rFonts w:cs="Times New Roman"/>
          <w:szCs w:val="22"/>
        </w:rPr>
        <w:t>35m</w:t>
      </w:r>
      <w:r>
        <w:rPr>
          <w:rFonts w:cs="Times New Roman"/>
          <w:szCs w:val="22"/>
        </w:rPr>
        <w:t>以外区域执行</w:t>
      </w:r>
      <w:r>
        <w:rPr>
          <w:rFonts w:cs="Times New Roman"/>
          <w:szCs w:val="22"/>
        </w:rPr>
        <w:t>2</w:t>
      </w:r>
      <w:r>
        <w:rPr>
          <w:rFonts w:cs="Times New Roman"/>
          <w:szCs w:val="22"/>
        </w:rPr>
        <w:t>类标准</w:t>
      </w:r>
      <w:r>
        <w:rPr>
          <w:rFonts w:cs="Times New Roman"/>
          <w:szCs w:val="22"/>
        </w:rPr>
        <w:t>；</w:t>
      </w:r>
      <w:r>
        <w:rPr>
          <w:rFonts w:cs="Times New Roman"/>
          <w:kern w:val="0"/>
          <w:szCs w:val="24"/>
          <w:lang w:bidi="ar"/>
        </w:rPr>
        <w:t>本项目路线桩号</w:t>
      </w:r>
      <w:r>
        <w:rPr>
          <w:rFonts w:cs="Times New Roman"/>
          <w:kern w:val="0"/>
          <w:szCs w:val="24"/>
          <w:lang w:bidi="ar"/>
        </w:rPr>
        <w:t xml:space="preserve">K29+820 </w:t>
      </w:r>
      <w:r>
        <w:rPr>
          <w:rFonts w:cs="Times New Roman"/>
          <w:kern w:val="0"/>
          <w:szCs w:val="24"/>
          <w:lang w:bidi="ar"/>
        </w:rPr>
        <w:t>处与图阿铁路（规划）交叉，</w:t>
      </w:r>
      <w:r>
        <w:rPr>
          <w:rFonts w:cs="Times New Roman"/>
          <w:kern w:val="0"/>
          <w:szCs w:val="24"/>
          <w:lang w:bidi="ar"/>
        </w:rPr>
        <w:t>K82+540</w:t>
      </w:r>
      <w:r>
        <w:rPr>
          <w:rFonts w:cs="Times New Roman"/>
          <w:kern w:val="0"/>
          <w:szCs w:val="24"/>
          <w:lang w:bidi="ar"/>
        </w:rPr>
        <w:t>处跨越南疆铁路，该区域执行</w:t>
      </w:r>
      <w:r>
        <w:rPr>
          <w:rFonts w:cs="Times New Roman"/>
        </w:rPr>
        <w:t>4</w:t>
      </w:r>
      <w:r>
        <w:rPr>
          <w:rFonts w:cs="Times New Roman"/>
        </w:rPr>
        <w:t>b</w:t>
      </w:r>
      <w:r>
        <w:rPr>
          <w:rFonts w:cs="Times New Roman"/>
        </w:rPr>
        <w:t>类标准</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）生态环境</w:t>
      </w:r>
    </w:p>
    <w:p w:rsidR="00A46452" w:rsidRDefault="009A3928">
      <w:pPr>
        <w:wordWrap w:val="0"/>
        <w:topLinePunct/>
        <w:adjustRightInd w:val="0"/>
        <w:snapToGrid w:val="0"/>
        <w:ind w:firstLine="480"/>
        <w:rPr>
          <w:rFonts w:cs="Times New Roman"/>
        </w:rPr>
      </w:pPr>
      <w:r>
        <w:rPr>
          <w:rFonts w:cs="Times New Roman"/>
        </w:rPr>
        <w:t>拟建公路主要占用</w:t>
      </w:r>
      <w:r>
        <w:rPr>
          <w:rFonts w:cs="Times New Roman"/>
        </w:rPr>
        <w:t>第三师图木舒克市</w:t>
      </w:r>
      <w:r>
        <w:rPr>
          <w:rFonts w:cs="Times New Roman"/>
        </w:rPr>
        <w:t>44</w:t>
      </w:r>
      <w:r>
        <w:rPr>
          <w:rFonts w:cs="Times New Roman"/>
        </w:rPr>
        <w:t>团、</w:t>
      </w:r>
      <w:r>
        <w:rPr>
          <w:rFonts w:cs="Times New Roman"/>
        </w:rPr>
        <w:t>50</w:t>
      </w:r>
      <w:r>
        <w:rPr>
          <w:rFonts w:cs="Times New Roman"/>
        </w:rPr>
        <w:t>团、</w:t>
      </w:r>
      <w:r>
        <w:rPr>
          <w:rFonts w:cs="Times New Roman"/>
        </w:rPr>
        <w:t>53</w:t>
      </w:r>
      <w:r>
        <w:rPr>
          <w:rFonts w:cs="Times New Roman"/>
        </w:rPr>
        <w:t>团、</w:t>
      </w:r>
      <w:r>
        <w:rPr>
          <w:rFonts w:cs="Times New Roman"/>
        </w:rPr>
        <w:t>51</w:t>
      </w:r>
      <w:r>
        <w:rPr>
          <w:rFonts w:cs="Times New Roman"/>
        </w:rPr>
        <w:t>团、喀什地区巴楚县</w:t>
      </w:r>
      <w:r>
        <w:rPr>
          <w:rFonts w:cs="Times New Roman"/>
        </w:rPr>
        <w:t>、</w:t>
      </w:r>
      <w:r>
        <w:rPr>
          <w:rFonts w:cs="Times New Roman"/>
        </w:rPr>
        <w:t>阿克苏地区柯坪县</w:t>
      </w:r>
      <w:r>
        <w:rPr>
          <w:rFonts w:cs="Times New Roman"/>
        </w:rPr>
        <w:t>范围内国有土地，根据</w:t>
      </w:r>
      <w:r>
        <w:rPr>
          <w:rFonts w:cs="Times New Roman"/>
          <w:bCs/>
        </w:rPr>
        <w:t>《新疆生态功能区划》</w:t>
      </w:r>
      <w:r>
        <w:rPr>
          <w:rFonts w:cs="Times New Roman"/>
        </w:rPr>
        <w:t>，</w:t>
      </w:r>
      <w:r>
        <w:rPr>
          <w:rFonts w:cs="Times New Roman"/>
          <w:bCs/>
        </w:rPr>
        <w:t>喀什地区</w:t>
      </w:r>
      <w:r>
        <w:rPr>
          <w:rFonts w:cs="Times New Roman"/>
        </w:rPr>
        <w:t>巴楚县</w:t>
      </w:r>
      <w:r>
        <w:rPr>
          <w:rFonts w:cs="Times New Roman"/>
        </w:rPr>
        <w:t>、</w:t>
      </w:r>
      <w:r>
        <w:rPr>
          <w:rFonts w:cs="Times New Roman"/>
        </w:rPr>
        <w:t>阿克苏地区柯坪县</w:t>
      </w:r>
      <w:r>
        <w:rPr>
          <w:rFonts w:cs="Times New Roman"/>
          <w:bCs/>
        </w:rPr>
        <w:t>属于塔里木盆地暖温带</w:t>
      </w:r>
      <w:r>
        <w:rPr>
          <w:rFonts w:cs="Times New Roman"/>
          <w:bCs/>
        </w:rPr>
        <w:t>极</w:t>
      </w:r>
      <w:r>
        <w:rPr>
          <w:rFonts w:cs="Times New Roman"/>
          <w:bCs/>
        </w:rPr>
        <w:t>干旱沙漠、戈壁及绿洲农业生态功能区，塔里木盆地西部</w:t>
      </w:r>
      <w:r>
        <w:rPr>
          <w:rFonts w:cs="Times New Roman"/>
          <w:bCs/>
        </w:rPr>
        <w:t>和</w:t>
      </w:r>
      <w:r>
        <w:rPr>
          <w:rFonts w:cs="Times New Roman"/>
          <w:bCs/>
        </w:rPr>
        <w:t>北部荒漠及绿洲农业生态亚区，阿叶尔羌河平原荒漠</w:t>
      </w:r>
      <w:r>
        <w:rPr>
          <w:rFonts w:cs="Times New Roman"/>
          <w:bCs/>
        </w:rPr>
        <w:t>—</w:t>
      </w:r>
      <w:r>
        <w:rPr>
          <w:rFonts w:cs="Times New Roman"/>
          <w:bCs/>
        </w:rPr>
        <w:t>绿洲农业及荒漠河岸林保护生态功能区</w:t>
      </w:r>
      <w:r>
        <w:rPr>
          <w:rFonts w:cs="Times New Roman"/>
          <w:bCs/>
        </w:rPr>
        <w:t>；</w:t>
      </w:r>
      <w:r>
        <w:rPr>
          <w:rFonts w:cs="Times New Roman" w:hint="eastAsia"/>
        </w:rPr>
        <w:t>根据《新疆生产建设兵团生态功能区划》，</w:t>
      </w:r>
      <w:r>
        <w:rPr>
          <w:rFonts w:cs="Times New Roman"/>
        </w:rPr>
        <w:t>第三师图木舒克市</w:t>
      </w:r>
      <w:r>
        <w:rPr>
          <w:rFonts w:cs="Times New Roman"/>
        </w:rPr>
        <w:t>44</w:t>
      </w:r>
      <w:r>
        <w:rPr>
          <w:rFonts w:cs="Times New Roman"/>
        </w:rPr>
        <w:t>团、</w:t>
      </w:r>
      <w:r>
        <w:rPr>
          <w:rFonts w:cs="Times New Roman"/>
        </w:rPr>
        <w:t>51</w:t>
      </w:r>
      <w:r>
        <w:rPr>
          <w:rFonts w:cs="Times New Roman"/>
        </w:rPr>
        <w:t>团、</w:t>
      </w:r>
      <w:r>
        <w:rPr>
          <w:rFonts w:cs="Times New Roman"/>
        </w:rPr>
        <w:t>50</w:t>
      </w:r>
      <w:r>
        <w:rPr>
          <w:rFonts w:cs="Times New Roman"/>
        </w:rPr>
        <w:t>团、</w:t>
      </w:r>
      <w:r>
        <w:rPr>
          <w:rFonts w:cs="Times New Roman"/>
        </w:rPr>
        <w:t>53</w:t>
      </w:r>
      <w:r>
        <w:rPr>
          <w:rFonts w:cs="Times New Roman"/>
        </w:rPr>
        <w:t>团属于塔里木盆地暖温荒漠及绿洲农业生态区，塔里木盆地西部、北部荒漠及绿洲农业生态亚区，三师叶尔羌河平原</w:t>
      </w:r>
      <w:r>
        <w:rPr>
          <w:rFonts w:cs="Times New Roman"/>
        </w:rPr>
        <w:t>绿洲农业、河岸荒漠林保护生态功能区。</w:t>
      </w:r>
      <w:r>
        <w:rPr>
          <w:rFonts w:cs="Times New Roman"/>
        </w:rPr>
        <w:t>项目区沿线生态服务功能、生态敏感因子、主要生态环境问题见表</w:t>
      </w:r>
      <w:r>
        <w:rPr>
          <w:rFonts w:cs="Times New Roman"/>
        </w:rPr>
        <w:t>2.</w:t>
      </w:r>
      <w:r>
        <w:rPr>
          <w:rFonts w:cs="Times New Roman"/>
        </w:rPr>
        <w:t>5</w:t>
      </w:r>
      <w:r>
        <w:rPr>
          <w:rFonts w:cs="Times New Roman"/>
        </w:rPr>
        <w:t>-1</w:t>
      </w:r>
      <w:r>
        <w:rPr>
          <w:rFonts w:cs="Times New Roman"/>
        </w:rPr>
        <w:t>~</w:t>
      </w:r>
      <w:r>
        <w:rPr>
          <w:rFonts w:cs="Times New Roman"/>
        </w:rPr>
        <w:t>表</w:t>
      </w:r>
      <w:r>
        <w:rPr>
          <w:rFonts w:cs="Times New Roman"/>
        </w:rPr>
        <w:t>2.5-2</w:t>
      </w:r>
      <w:r>
        <w:rPr>
          <w:rFonts w:cs="Times New Roman"/>
        </w:rPr>
        <w:t>。</w:t>
      </w:r>
    </w:p>
    <w:p w:rsidR="00A46452" w:rsidRDefault="009A3928">
      <w:pPr>
        <w:wordWrap w:val="0"/>
        <w:topLinePunct/>
        <w:adjustRightInd w:val="0"/>
        <w:snapToGrid w:val="0"/>
        <w:spacing w:line="240" w:lineRule="auto"/>
        <w:ind w:firstLineChars="0" w:firstLine="0"/>
        <w:jc w:val="left"/>
        <w:rPr>
          <w:rFonts w:eastAsia="黑体" w:cs="Times New Roman"/>
        </w:rPr>
      </w:pPr>
      <w:r>
        <w:rPr>
          <w:rFonts w:eastAsia="黑体" w:cs="Times New Roman"/>
        </w:rPr>
        <w:t>表</w:t>
      </w:r>
      <w:r>
        <w:rPr>
          <w:rFonts w:eastAsia="黑体" w:cs="Times New Roman"/>
        </w:rPr>
        <w:t>2.</w:t>
      </w:r>
      <w:r>
        <w:rPr>
          <w:rFonts w:eastAsia="黑体" w:cs="Times New Roman"/>
        </w:rPr>
        <w:t>5</w:t>
      </w:r>
      <w:r>
        <w:rPr>
          <w:rFonts w:eastAsia="黑体" w:cs="Times New Roman"/>
        </w:rPr>
        <w:t>-1</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兵团</w:t>
      </w:r>
      <w:r>
        <w:rPr>
          <w:rFonts w:eastAsia="黑体" w:cs="Times New Roman"/>
        </w:rPr>
        <w:t>生态功能区划</w:t>
      </w:r>
      <w:r>
        <w:rPr>
          <w:rFonts w:eastAsia="黑体" w:cs="Times New Roman" w:hint="eastAsia"/>
        </w:rPr>
        <w:t>（</w:t>
      </w:r>
      <w:r>
        <w:rPr>
          <w:rFonts w:eastAsia="黑体" w:cs="Times New Roman" w:hint="eastAsia"/>
        </w:rPr>
        <w:t>兵团第三师路段</w:t>
      </w:r>
      <w:r>
        <w:rPr>
          <w:rFonts w:eastAsia="黑体" w:cs="Times New Roman"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93"/>
        <w:gridCol w:w="1277"/>
        <w:gridCol w:w="5673"/>
      </w:tblGrid>
      <w:tr w:rsidR="00A46452">
        <w:trPr>
          <w:trHeight w:val="284"/>
          <w:jc w:val="center"/>
        </w:trPr>
        <w:tc>
          <w:tcPr>
            <w:tcW w:w="979" w:type="pct"/>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生态功能分区单元</w:t>
            </w:r>
          </w:p>
        </w:tc>
        <w:tc>
          <w:tcPr>
            <w:tcW w:w="738"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生态区</w:t>
            </w:r>
          </w:p>
        </w:tc>
        <w:tc>
          <w:tcPr>
            <w:tcW w:w="3281" w:type="pc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Ⅳ</w:t>
            </w:r>
            <w:r>
              <w:rPr>
                <w:rFonts w:cs="Times New Roman"/>
                <w:sz w:val="18"/>
                <w:szCs w:val="18"/>
              </w:rPr>
              <w:t>塔里木盆地暖温荒漠及绿洲农业生态区</w:t>
            </w:r>
          </w:p>
        </w:tc>
      </w:tr>
      <w:tr w:rsidR="00A46452">
        <w:trPr>
          <w:trHeight w:val="284"/>
          <w:jc w:val="center"/>
        </w:trPr>
        <w:tc>
          <w:tcPr>
            <w:tcW w:w="979"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73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生态亚区</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Ⅳ1</w:t>
            </w:r>
            <w:r>
              <w:rPr>
                <w:rFonts w:cs="Times New Roman"/>
                <w:sz w:val="18"/>
                <w:szCs w:val="18"/>
              </w:rPr>
              <w:t>塔里木盆地西部、北部荒漠及绿洲农业生态亚区</w:t>
            </w:r>
          </w:p>
        </w:tc>
      </w:tr>
      <w:tr w:rsidR="00A46452">
        <w:trPr>
          <w:trHeight w:val="284"/>
          <w:jc w:val="center"/>
        </w:trPr>
        <w:tc>
          <w:tcPr>
            <w:tcW w:w="979"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73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生态功能区</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30.</w:t>
            </w:r>
            <w:r>
              <w:rPr>
                <w:rFonts w:cs="Times New Roman"/>
                <w:sz w:val="18"/>
                <w:szCs w:val="24"/>
              </w:rPr>
              <w:t>三师叶尔羌河平原绿洲农业、河岸荒漠林保护生态功能区</w:t>
            </w:r>
          </w:p>
        </w:tc>
      </w:tr>
      <w:tr w:rsidR="00A46452">
        <w:trPr>
          <w:trHeight w:val="284"/>
          <w:jc w:val="center"/>
        </w:trPr>
        <w:tc>
          <w:tcPr>
            <w:tcW w:w="1718"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隶属行政区</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三师</w:t>
            </w:r>
            <w:r>
              <w:rPr>
                <w:rFonts w:cs="Times New Roman"/>
                <w:sz w:val="18"/>
                <w:szCs w:val="24"/>
              </w:rPr>
              <w:t>43</w:t>
            </w:r>
            <w:r>
              <w:rPr>
                <w:rFonts w:cs="Times New Roman"/>
                <w:sz w:val="18"/>
                <w:szCs w:val="24"/>
              </w:rPr>
              <w:t>～</w:t>
            </w:r>
            <w:r>
              <w:rPr>
                <w:rFonts w:cs="Times New Roman"/>
                <w:sz w:val="18"/>
                <w:szCs w:val="24"/>
              </w:rPr>
              <w:t>46</w:t>
            </w:r>
            <w:r>
              <w:rPr>
                <w:rFonts w:cs="Times New Roman"/>
                <w:sz w:val="18"/>
                <w:szCs w:val="24"/>
              </w:rPr>
              <w:t>团、</w:t>
            </w:r>
            <w:r>
              <w:rPr>
                <w:rFonts w:cs="Times New Roman"/>
                <w:sz w:val="18"/>
                <w:szCs w:val="24"/>
              </w:rPr>
              <w:t>48</w:t>
            </w:r>
            <w:r>
              <w:rPr>
                <w:rFonts w:cs="Times New Roman"/>
                <w:sz w:val="18"/>
                <w:szCs w:val="24"/>
              </w:rPr>
              <w:t>～</w:t>
            </w:r>
            <w:r>
              <w:rPr>
                <w:rFonts w:cs="Times New Roman"/>
                <w:sz w:val="18"/>
                <w:szCs w:val="24"/>
              </w:rPr>
              <w:t>53</w:t>
            </w:r>
            <w:r>
              <w:rPr>
                <w:rFonts w:cs="Times New Roman"/>
                <w:sz w:val="18"/>
                <w:szCs w:val="24"/>
              </w:rPr>
              <w:t>团、工程团、水管处、莎车农场等</w:t>
            </w:r>
          </w:p>
        </w:tc>
      </w:tr>
      <w:tr w:rsidR="00A46452">
        <w:trPr>
          <w:trHeight w:val="284"/>
          <w:jc w:val="center"/>
        </w:trPr>
        <w:tc>
          <w:tcPr>
            <w:tcW w:w="1718"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主要生态服务功能</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农畜产品生产、荒漠化控制、土壤保持、资源植物利用</w:t>
            </w:r>
          </w:p>
        </w:tc>
      </w:tr>
      <w:tr w:rsidR="00A46452">
        <w:trPr>
          <w:trHeight w:val="284"/>
          <w:jc w:val="center"/>
        </w:trPr>
        <w:tc>
          <w:tcPr>
            <w:tcW w:w="1718"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主要生态环境问题</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河水大量引用使河岸荒漠林衰败破坏资源植物甘草、土壤盐渍化</w:t>
            </w:r>
          </w:p>
        </w:tc>
      </w:tr>
      <w:tr w:rsidR="00A46452">
        <w:trPr>
          <w:trHeight w:val="284"/>
          <w:jc w:val="center"/>
        </w:trPr>
        <w:tc>
          <w:tcPr>
            <w:tcW w:w="1718"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主要保护目标</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保护绿洲农田、保护荒漠及资源植被、保护河岸荒漠林</w:t>
            </w:r>
          </w:p>
        </w:tc>
      </w:tr>
      <w:tr w:rsidR="00A46452">
        <w:trPr>
          <w:trHeight w:val="284"/>
          <w:jc w:val="center"/>
        </w:trPr>
        <w:tc>
          <w:tcPr>
            <w:tcW w:w="1718"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主要保护措施</w:t>
            </w:r>
          </w:p>
        </w:tc>
        <w:tc>
          <w:tcPr>
            <w:tcW w:w="3281"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24"/>
              </w:rPr>
              <w:t>适度开发地下水，节水灌溉，大力发展农田和生态防护林建设，禁止乱挖野生资源植物甘草</w:t>
            </w:r>
          </w:p>
        </w:tc>
      </w:tr>
      <w:tr w:rsidR="00A46452">
        <w:trPr>
          <w:trHeight w:val="284"/>
          <w:jc w:val="center"/>
        </w:trPr>
        <w:tc>
          <w:tcPr>
            <w:tcW w:w="1718" w:type="pct"/>
            <w:gridSpan w:val="2"/>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主要发展方向</w:t>
            </w:r>
          </w:p>
        </w:tc>
        <w:tc>
          <w:tcPr>
            <w:tcW w:w="3281"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24"/>
              </w:rPr>
              <w:t>保护封育河岸次生林；保护甘草资源，建立甘草生产基地，做大棉花和特色果品（贡梨、巴旦木、红枣、葡萄</w:t>
            </w:r>
            <w:r>
              <w:rPr>
                <w:rFonts w:cs="Times New Roman"/>
                <w:sz w:val="18"/>
                <w:szCs w:val="24"/>
              </w:rPr>
              <w:t>）产</w:t>
            </w:r>
            <w:r>
              <w:rPr>
                <w:rFonts w:cs="Times New Roman"/>
                <w:sz w:val="18"/>
                <w:szCs w:val="24"/>
              </w:rPr>
              <w:t>业</w:t>
            </w:r>
          </w:p>
        </w:tc>
      </w:tr>
    </w:tbl>
    <w:p w:rsidR="00A46452" w:rsidRDefault="009A3928">
      <w:pPr>
        <w:wordWrap w:val="0"/>
        <w:topLinePunct/>
        <w:adjustRightInd w:val="0"/>
        <w:snapToGrid w:val="0"/>
        <w:spacing w:line="240" w:lineRule="auto"/>
        <w:ind w:firstLineChars="0" w:firstLine="0"/>
        <w:jc w:val="left"/>
        <w:rPr>
          <w:rFonts w:eastAsia="黑体" w:cs="Times New Roman"/>
        </w:rPr>
      </w:pPr>
      <w:r>
        <w:rPr>
          <w:rFonts w:eastAsia="黑体" w:cs="Times New Roman"/>
        </w:rPr>
        <w:t>表</w:t>
      </w:r>
      <w:r>
        <w:rPr>
          <w:rFonts w:eastAsia="黑体" w:cs="Times New Roman"/>
        </w:rPr>
        <w:t>2.</w:t>
      </w:r>
      <w:r>
        <w:rPr>
          <w:rFonts w:eastAsia="黑体" w:cs="Times New Roman"/>
        </w:rPr>
        <w:t>5</w:t>
      </w:r>
      <w:r>
        <w:rPr>
          <w:rFonts w:eastAsia="黑体" w:cs="Times New Roman"/>
        </w:rPr>
        <w:t>-</w:t>
      </w:r>
      <w:r>
        <w:rPr>
          <w:rFonts w:eastAsia="黑体" w:cs="Times New Roman"/>
        </w:rPr>
        <w:t xml:space="preserve">2          </w:t>
      </w:r>
      <w:r>
        <w:rPr>
          <w:rFonts w:eastAsia="黑体" w:cs="Times New Roman"/>
        </w:rPr>
        <w:t>自治区</w:t>
      </w:r>
      <w:r>
        <w:rPr>
          <w:rFonts w:eastAsia="黑体" w:cs="Times New Roman"/>
        </w:rPr>
        <w:t>生态功能区划</w:t>
      </w:r>
      <w:r>
        <w:rPr>
          <w:rFonts w:eastAsia="黑体" w:cs="Times New Roman" w:hint="eastAsia"/>
        </w:rPr>
        <w:t>（</w:t>
      </w:r>
      <w:r>
        <w:rPr>
          <w:rFonts w:eastAsia="黑体" w:cs="Times New Roman" w:hint="eastAsia"/>
        </w:rPr>
        <w:t>自治区巴楚县、柯坪县路段</w:t>
      </w:r>
      <w:r>
        <w:rPr>
          <w:rFonts w:eastAsia="黑体" w:cs="Times New Roman" w:hint="eastAsia"/>
        </w:rPr>
        <w:t>）</w:t>
      </w:r>
    </w:p>
    <w:tbl>
      <w:tblPr>
        <w:tblW w:w="8544" w:type="dxa"/>
        <w:tblInd w:w="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6744"/>
      </w:tblGrid>
      <w:tr w:rsidR="00A46452">
        <w:trPr>
          <w:trHeight w:hRule="exact" w:val="450"/>
        </w:trPr>
        <w:tc>
          <w:tcPr>
            <w:tcW w:w="1800" w:type="dxa"/>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生态区</w:t>
            </w:r>
          </w:p>
        </w:tc>
        <w:tc>
          <w:tcPr>
            <w:tcW w:w="6744" w:type="dxa"/>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Ⅳ</w:t>
            </w:r>
            <w:r>
              <w:rPr>
                <w:rFonts w:cs="Times New Roman" w:hint="default"/>
                <w:sz w:val="18"/>
                <w:szCs w:val="18"/>
              </w:rPr>
              <w:t>塔里木盆地暖温带极干旱沙漠、戈壁及绿洲农业生态区</w:t>
            </w:r>
          </w:p>
        </w:tc>
      </w:tr>
      <w:tr w:rsidR="00A46452">
        <w:trPr>
          <w:trHeight w:hRule="exact" w:val="271"/>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生态亚区</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Ⅳ1</w:t>
            </w:r>
            <w:r>
              <w:rPr>
                <w:rFonts w:cs="Times New Roman" w:hint="default"/>
                <w:sz w:val="18"/>
                <w:szCs w:val="18"/>
              </w:rPr>
              <w:t>塔里木盆地西部和北部荒漠、绿洲农业生态亚区</w:t>
            </w:r>
          </w:p>
        </w:tc>
      </w:tr>
      <w:tr w:rsidR="00A46452">
        <w:trPr>
          <w:trHeight w:hRule="exact" w:val="271"/>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生态功能区</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5</w:t>
            </w:r>
            <w:r>
              <w:rPr>
                <w:rFonts w:cs="Times New Roman" w:hint="default"/>
                <w:sz w:val="18"/>
                <w:szCs w:val="18"/>
              </w:rPr>
              <w:t>8</w:t>
            </w:r>
            <w:r>
              <w:rPr>
                <w:rFonts w:cs="Times New Roman" w:hint="default"/>
                <w:sz w:val="18"/>
                <w:szCs w:val="18"/>
              </w:rPr>
              <w:t>．叶尔羌河平原荒漠</w:t>
            </w:r>
            <w:r>
              <w:rPr>
                <w:rFonts w:cs="Times New Roman" w:hint="default"/>
                <w:sz w:val="18"/>
                <w:szCs w:val="18"/>
              </w:rPr>
              <w:t>—</w:t>
            </w:r>
            <w:r>
              <w:rPr>
                <w:rFonts w:cs="Times New Roman" w:hint="default"/>
                <w:sz w:val="18"/>
                <w:szCs w:val="18"/>
              </w:rPr>
              <w:t>绿洲农业及荒漠河岸林保护生态功能区</w:t>
            </w:r>
          </w:p>
        </w:tc>
      </w:tr>
      <w:tr w:rsidR="00A46452">
        <w:trPr>
          <w:trHeight w:hRule="exact" w:val="271"/>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隶属行政区</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叶城县、泽普县、莎车县、麦盖提县、巴楚县、柯坪县、阿瓦提县</w:t>
            </w:r>
          </w:p>
        </w:tc>
      </w:tr>
      <w:tr w:rsidR="00A46452">
        <w:trPr>
          <w:trHeight w:val="172"/>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主要生态服务功能</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农牧产品生产、荒漠化控制、油气资源、塔里木河水源补给</w:t>
            </w:r>
          </w:p>
        </w:tc>
      </w:tr>
      <w:tr w:rsidR="00A46452">
        <w:trPr>
          <w:trHeight w:val="58"/>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主要生态问题</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土壤盐渍化、风沙危害、荒漠植被及胡杨林破坏、乱挖甘草、平原水库蒸发渗漏损失严重、油气开发污染环境、土壤环境质量下降</w:t>
            </w:r>
          </w:p>
        </w:tc>
      </w:tr>
      <w:tr w:rsidR="00A46452">
        <w:trPr>
          <w:trHeight w:val="58"/>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主要生态敏感因子、敏感程度</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生物多样性和生境中度敏感、不敏感，土壤侵蚀不敏感，土地沙漠化不敏感，土壤盐渍化轻度敏感</w:t>
            </w:r>
          </w:p>
        </w:tc>
      </w:tr>
      <w:tr w:rsidR="00A46452">
        <w:trPr>
          <w:trHeight w:val="58"/>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主要保护目标</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保护荒漠植被、保护荒漠河岸林、保护农田土壤环境质量</w:t>
            </w:r>
          </w:p>
        </w:tc>
      </w:tr>
      <w:tr w:rsidR="00A46452">
        <w:trPr>
          <w:trHeight w:val="58"/>
        </w:trPr>
        <w:tc>
          <w:tcPr>
            <w:tcW w:w="18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主要保护措施</w:t>
            </w:r>
          </w:p>
        </w:tc>
        <w:tc>
          <w:tcPr>
            <w:tcW w:w="6744"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适度开发地下水、增加向塔河输水量、退耕还林还草、废除部分平原水库、节水灌溉、加强农田投入品的使用管理</w:t>
            </w:r>
          </w:p>
        </w:tc>
      </w:tr>
      <w:tr w:rsidR="00A46452">
        <w:trPr>
          <w:trHeight w:val="58"/>
        </w:trPr>
        <w:tc>
          <w:tcPr>
            <w:tcW w:w="1800" w:type="dxa"/>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主要发展方向</w:t>
            </w:r>
          </w:p>
        </w:tc>
        <w:tc>
          <w:tcPr>
            <w:tcW w:w="6744" w:type="dxa"/>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建成粮食、经济作物、林果业基地，发展农区畜牧业</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2.5.2</w:t>
      </w:r>
      <w:r>
        <w:rPr>
          <w:rFonts w:cs="Times New Roman" w:hint="default"/>
          <w:sz w:val="28"/>
          <w:szCs w:val="28"/>
        </w:rPr>
        <w:t>评价标准</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5</w:t>
      </w:r>
      <w:r>
        <w:rPr>
          <w:rFonts w:cs="Times New Roman" w:hint="default"/>
          <w:iCs/>
        </w:rPr>
        <w:t>.2.1</w:t>
      </w:r>
      <w:r>
        <w:rPr>
          <w:rFonts w:cs="Times New Roman" w:hint="default"/>
          <w:iCs/>
        </w:rPr>
        <w:t>环境质量标准</w:t>
      </w:r>
    </w:p>
    <w:p w:rsidR="00A46452" w:rsidRDefault="009A3928">
      <w:pPr>
        <w:pStyle w:val="001"/>
        <w:wordWrap w:val="0"/>
        <w:topLinePunct/>
        <w:adjustRightInd w:val="0"/>
        <w:snapToGrid w:val="0"/>
        <w:ind w:firstLine="480"/>
        <w:rPr>
          <w:rFonts w:cs="Times New Roman"/>
        </w:rPr>
      </w:pPr>
      <w:r>
        <w:rPr>
          <w:rFonts w:cs="Times New Roman"/>
        </w:rPr>
        <w:t>（</w:t>
      </w:r>
      <w:r>
        <w:rPr>
          <w:rFonts w:cs="Times New Roman"/>
        </w:rPr>
        <w:t>1</w:t>
      </w:r>
      <w:r>
        <w:rPr>
          <w:rFonts w:cs="Times New Roman"/>
        </w:rPr>
        <w:t>）环境空气</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依据《环境空气质量标准》（</w:t>
      </w:r>
      <w:r>
        <w:rPr>
          <w:rFonts w:cs="Times New Roman" w:hint="default"/>
          <w:sz w:val="24"/>
        </w:rPr>
        <w:t>GB3095-2012</w:t>
      </w:r>
      <w:r>
        <w:rPr>
          <w:rFonts w:cs="Times New Roman" w:hint="default"/>
          <w:sz w:val="24"/>
        </w:rPr>
        <w:t>），项目所处区域为环境空气质量二类功能区。</w:t>
      </w:r>
      <w:r>
        <w:rPr>
          <w:rFonts w:cs="Times New Roman" w:hint="default"/>
          <w:sz w:val="24"/>
        </w:rPr>
        <w:t>SO</w:t>
      </w:r>
      <w:r>
        <w:rPr>
          <w:rFonts w:cs="Times New Roman" w:hint="default"/>
          <w:sz w:val="24"/>
          <w:vertAlign w:val="subscript"/>
        </w:rPr>
        <w:t>2</w:t>
      </w:r>
      <w:r>
        <w:rPr>
          <w:rFonts w:cs="Times New Roman" w:hint="default"/>
          <w:sz w:val="24"/>
        </w:rPr>
        <w:t>、</w:t>
      </w:r>
      <w:r>
        <w:rPr>
          <w:rFonts w:cs="Times New Roman" w:hint="default"/>
          <w:sz w:val="24"/>
        </w:rPr>
        <w:t>NO</w:t>
      </w:r>
      <w:r>
        <w:rPr>
          <w:rFonts w:cs="Times New Roman" w:hint="default"/>
          <w:sz w:val="24"/>
          <w:vertAlign w:val="subscript"/>
        </w:rPr>
        <w:t>2</w:t>
      </w:r>
      <w:r>
        <w:rPr>
          <w:rFonts w:cs="Times New Roman" w:hint="default"/>
          <w:sz w:val="24"/>
        </w:rPr>
        <w:t>、</w:t>
      </w:r>
      <w:r>
        <w:rPr>
          <w:rFonts w:cs="Times New Roman" w:hint="default"/>
          <w:sz w:val="24"/>
        </w:rPr>
        <w:t>PM</w:t>
      </w:r>
      <w:r>
        <w:rPr>
          <w:rFonts w:cs="Times New Roman" w:hint="default"/>
          <w:sz w:val="24"/>
          <w:vertAlign w:val="subscript"/>
        </w:rPr>
        <w:t>10</w:t>
      </w:r>
      <w:r>
        <w:rPr>
          <w:rFonts w:cs="Times New Roman" w:hint="default"/>
          <w:sz w:val="24"/>
        </w:rPr>
        <w:t>、</w:t>
      </w:r>
      <w:r>
        <w:rPr>
          <w:rFonts w:cs="Times New Roman" w:hint="default"/>
          <w:sz w:val="24"/>
        </w:rPr>
        <w:t>PM</w:t>
      </w:r>
      <w:r>
        <w:rPr>
          <w:rFonts w:cs="Times New Roman" w:hint="default"/>
          <w:sz w:val="24"/>
          <w:vertAlign w:val="subscript"/>
        </w:rPr>
        <w:t>2.5</w:t>
      </w:r>
      <w:r>
        <w:rPr>
          <w:rFonts w:cs="Times New Roman" w:hint="default"/>
          <w:sz w:val="24"/>
        </w:rPr>
        <w:t>、</w:t>
      </w:r>
      <w:r>
        <w:rPr>
          <w:rFonts w:cs="Times New Roman" w:hint="default"/>
          <w:sz w:val="24"/>
        </w:rPr>
        <w:t>CO</w:t>
      </w:r>
      <w:r>
        <w:rPr>
          <w:rFonts w:cs="Times New Roman" w:hint="default"/>
          <w:sz w:val="24"/>
        </w:rPr>
        <w:t>和</w:t>
      </w:r>
      <w:r>
        <w:rPr>
          <w:rFonts w:cs="Times New Roman" w:hint="default"/>
          <w:sz w:val="24"/>
        </w:rPr>
        <w:t>O</w:t>
      </w:r>
      <w:r>
        <w:rPr>
          <w:rFonts w:cs="Times New Roman" w:hint="default"/>
          <w:sz w:val="24"/>
          <w:vertAlign w:val="subscript"/>
        </w:rPr>
        <w:t>3</w:t>
      </w:r>
      <w:r>
        <w:rPr>
          <w:rFonts w:cs="Times New Roman" w:hint="default"/>
          <w:sz w:val="24"/>
        </w:rPr>
        <w:t>执行《环境空气质量标准》（</w:t>
      </w:r>
      <w:r>
        <w:rPr>
          <w:rFonts w:cs="Times New Roman" w:hint="default"/>
          <w:sz w:val="24"/>
        </w:rPr>
        <w:t>GB3095-2012</w:t>
      </w:r>
      <w:r>
        <w:rPr>
          <w:rFonts w:cs="Times New Roman" w:hint="default"/>
          <w:sz w:val="24"/>
        </w:rPr>
        <w:t>）及其修改单中的二级标准。具体标准值见表</w:t>
      </w:r>
      <w:r>
        <w:rPr>
          <w:rFonts w:cs="Times New Roman" w:hint="default"/>
          <w:sz w:val="24"/>
        </w:rPr>
        <w:t>2.</w:t>
      </w:r>
      <w:r>
        <w:rPr>
          <w:rFonts w:cs="Times New Roman" w:hint="default"/>
          <w:sz w:val="24"/>
        </w:rPr>
        <w:t>5</w:t>
      </w:r>
      <w:r>
        <w:rPr>
          <w:rFonts w:cs="Times New Roman" w:hint="default"/>
          <w:sz w:val="24"/>
        </w:rPr>
        <w:t>-</w:t>
      </w:r>
      <w:r>
        <w:rPr>
          <w:rFonts w:cs="Times New Roman" w:hint="default"/>
          <w:sz w:val="24"/>
        </w:rPr>
        <w:t>3</w:t>
      </w:r>
      <w:r>
        <w:rPr>
          <w:rFonts w:cs="Times New Roman" w:hint="default"/>
          <w:sz w:val="24"/>
        </w:rPr>
        <w:t>。</w:t>
      </w:r>
    </w:p>
    <w:p w:rsidR="00A46452" w:rsidRDefault="009A3928">
      <w:pPr>
        <w:wordWrap w:val="0"/>
        <w:topLinePunct/>
        <w:adjustRightInd w:val="0"/>
        <w:snapToGrid w:val="0"/>
        <w:spacing w:line="240" w:lineRule="auto"/>
        <w:ind w:firstLineChars="0" w:firstLine="0"/>
        <w:jc w:val="left"/>
        <w:rPr>
          <w:rFonts w:eastAsia="黑体" w:cs="Times New Roman"/>
        </w:rPr>
      </w:pPr>
      <w:r>
        <w:rPr>
          <w:rFonts w:eastAsia="黑体" w:cs="Times New Roman"/>
        </w:rPr>
        <w:t>表</w:t>
      </w:r>
      <w:r>
        <w:rPr>
          <w:rFonts w:eastAsia="黑体" w:cs="Times New Roman"/>
        </w:rPr>
        <w:t>2.</w:t>
      </w:r>
      <w:r>
        <w:rPr>
          <w:rFonts w:eastAsia="黑体" w:cs="Times New Roman"/>
        </w:rPr>
        <w:t>5</w:t>
      </w:r>
      <w:r>
        <w:rPr>
          <w:rFonts w:eastAsia="黑体" w:cs="Times New Roman"/>
        </w:rPr>
        <w:t>-</w:t>
      </w:r>
      <w:r>
        <w:rPr>
          <w:rFonts w:eastAsia="黑体" w:cs="Times New Roman"/>
        </w:rPr>
        <w:t xml:space="preserve">3                </w:t>
      </w:r>
      <w:r>
        <w:rPr>
          <w:rFonts w:eastAsia="黑体" w:cs="Times New Roman"/>
        </w:rPr>
        <w:t>环</w:t>
      </w:r>
      <w:r>
        <w:rPr>
          <w:rFonts w:eastAsia="黑体" w:cs="Times New Roman"/>
        </w:rPr>
        <w:t>境空气质量标准汇总</w:t>
      </w:r>
    </w:p>
    <w:tbl>
      <w:tblPr>
        <w:tblStyle w:val="affff7"/>
        <w:tblW w:w="5000" w:type="pct"/>
        <w:tblLayout w:type="fixed"/>
        <w:tblLook w:val="04A0" w:firstRow="1" w:lastRow="0" w:firstColumn="1" w:lastColumn="0" w:noHBand="0" w:noVBand="1"/>
      </w:tblPr>
      <w:tblGrid>
        <w:gridCol w:w="698"/>
        <w:gridCol w:w="1060"/>
        <w:gridCol w:w="888"/>
        <w:gridCol w:w="2219"/>
        <w:gridCol w:w="1480"/>
        <w:gridCol w:w="2298"/>
      </w:tblGrid>
      <w:tr w:rsidR="00A46452">
        <w:trPr>
          <w:trHeight w:val="50"/>
        </w:trPr>
        <w:tc>
          <w:tcPr>
            <w:tcW w:w="699" w:type="dxa"/>
            <w:vMerge w:val="restar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序号</w:t>
            </w:r>
          </w:p>
        </w:tc>
        <w:tc>
          <w:tcPr>
            <w:tcW w:w="1060" w:type="dxa"/>
            <w:vMerge w:val="restar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污染因子</w:t>
            </w:r>
          </w:p>
        </w:tc>
        <w:tc>
          <w:tcPr>
            <w:tcW w:w="4587" w:type="dxa"/>
            <w:gridSpan w:val="3"/>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标准限值（</w:t>
            </w:r>
            <w:r>
              <w:rPr>
                <w:rFonts w:cs="Times New Roman"/>
                <w:kern w:val="0"/>
                <w:sz w:val="18"/>
                <w:szCs w:val="18"/>
              </w:rPr>
              <w:t>μg/m</w:t>
            </w:r>
            <w:r>
              <w:rPr>
                <w:rFonts w:cs="Times New Roman"/>
                <w:kern w:val="0"/>
                <w:sz w:val="18"/>
                <w:szCs w:val="18"/>
                <w:vertAlign w:val="superscript"/>
              </w:rPr>
              <w:t>3</w:t>
            </w:r>
            <w:r>
              <w:rPr>
                <w:rFonts w:cs="Times New Roman"/>
                <w:kern w:val="0"/>
                <w:sz w:val="18"/>
                <w:szCs w:val="18"/>
              </w:rPr>
              <w:t>）</w:t>
            </w:r>
          </w:p>
        </w:tc>
        <w:tc>
          <w:tcPr>
            <w:tcW w:w="2298" w:type="dxa"/>
            <w:vMerge w:val="restar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标准来源</w:t>
            </w:r>
          </w:p>
        </w:tc>
      </w:tr>
      <w:tr w:rsidR="00A46452">
        <w:trPr>
          <w:trHeight w:val="65"/>
        </w:trPr>
        <w:tc>
          <w:tcPr>
            <w:tcW w:w="699"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1060"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年平均</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24</w:t>
            </w:r>
            <w:r>
              <w:rPr>
                <w:rFonts w:cs="Times New Roman"/>
                <w:kern w:val="0"/>
                <w:sz w:val="18"/>
                <w:szCs w:val="18"/>
              </w:rPr>
              <w:t>小时平均</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小时平均</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SO</w:t>
            </w:r>
            <w:r>
              <w:rPr>
                <w:rFonts w:cs="Times New Roman"/>
                <w:kern w:val="0"/>
                <w:sz w:val="18"/>
                <w:szCs w:val="18"/>
                <w:vertAlign w:val="subscript"/>
              </w:rPr>
              <w:t>2</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60</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150</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500</w:t>
            </w:r>
          </w:p>
        </w:tc>
        <w:tc>
          <w:tcPr>
            <w:tcW w:w="2298" w:type="dxa"/>
            <w:vMerge w:val="restar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《环境空气质量标准》</w:t>
            </w:r>
            <w:r>
              <w:rPr>
                <w:rFonts w:cs="Times New Roman"/>
                <w:kern w:val="0"/>
                <w:sz w:val="18"/>
                <w:szCs w:val="18"/>
              </w:rPr>
              <w:t>(GB3095-2012</w:t>
            </w:r>
            <w:r>
              <w:rPr>
                <w:rFonts w:cs="Times New Roman"/>
                <w:kern w:val="0"/>
                <w:sz w:val="18"/>
                <w:szCs w:val="18"/>
              </w:rPr>
              <w:t>）</w:t>
            </w:r>
            <w:r>
              <w:rPr>
                <w:rFonts w:cs="Times New Roman"/>
                <w:kern w:val="0"/>
                <w:sz w:val="18"/>
                <w:szCs w:val="18"/>
              </w:rPr>
              <w:t>及其修改单二级标准</w:t>
            </w: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NO</w:t>
            </w:r>
            <w:r>
              <w:rPr>
                <w:rFonts w:cs="Times New Roman"/>
                <w:kern w:val="0"/>
                <w:sz w:val="18"/>
                <w:szCs w:val="18"/>
                <w:vertAlign w:val="subscript"/>
              </w:rPr>
              <w:t>2</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40</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80</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200</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3</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PM</w:t>
            </w:r>
            <w:r>
              <w:rPr>
                <w:rFonts w:cs="Times New Roman"/>
                <w:kern w:val="0"/>
                <w:sz w:val="18"/>
                <w:szCs w:val="18"/>
                <w:vertAlign w:val="subscript"/>
              </w:rPr>
              <w:t>10</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70</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150</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4</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PM</w:t>
            </w:r>
            <w:r>
              <w:rPr>
                <w:rFonts w:cs="Times New Roman"/>
                <w:kern w:val="0"/>
                <w:sz w:val="18"/>
                <w:szCs w:val="18"/>
                <w:vertAlign w:val="subscript"/>
              </w:rPr>
              <w:t>2.5</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35</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75</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5</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CO</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4</w:t>
            </w:r>
            <w:r>
              <w:rPr>
                <w:rFonts w:cs="Times New Roman"/>
                <w:kern w:val="0"/>
                <w:sz w:val="18"/>
                <w:szCs w:val="18"/>
              </w:rPr>
              <w:t>(</w:t>
            </w:r>
            <w:r>
              <w:rPr>
                <w:rFonts w:cs="Times New Roman"/>
                <w:kern w:val="0"/>
                <w:sz w:val="18"/>
                <w:szCs w:val="18"/>
              </w:rPr>
              <w:t>mg/m</w:t>
            </w:r>
            <w:r>
              <w:rPr>
                <w:rFonts w:cs="Times New Roman"/>
                <w:kern w:val="0"/>
                <w:sz w:val="18"/>
                <w:szCs w:val="18"/>
                <w:vertAlign w:val="superscript"/>
              </w:rPr>
              <w:t>3</w:t>
            </w:r>
            <w:r>
              <w:rPr>
                <w:rFonts w:cs="Times New Roman"/>
                <w:kern w:val="0"/>
                <w:sz w:val="18"/>
                <w:szCs w:val="18"/>
                <w:vertAlign w:val="superscript"/>
              </w:rPr>
              <w:t>)</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10</w:t>
            </w:r>
            <w:r>
              <w:rPr>
                <w:rFonts w:cs="Times New Roman"/>
                <w:kern w:val="0"/>
                <w:sz w:val="18"/>
                <w:szCs w:val="18"/>
              </w:rPr>
              <w:t>(</w:t>
            </w:r>
            <w:r>
              <w:rPr>
                <w:rFonts w:cs="Times New Roman"/>
                <w:kern w:val="0"/>
                <w:sz w:val="18"/>
                <w:szCs w:val="18"/>
              </w:rPr>
              <w:t>mg/m</w:t>
            </w:r>
            <w:r>
              <w:rPr>
                <w:rFonts w:cs="Times New Roman"/>
                <w:kern w:val="0"/>
                <w:sz w:val="18"/>
                <w:szCs w:val="18"/>
                <w:vertAlign w:val="superscript"/>
              </w:rPr>
              <w:t>3</w:t>
            </w:r>
            <w:r>
              <w:rPr>
                <w:rFonts w:cs="Times New Roman"/>
                <w:kern w:val="0"/>
                <w:sz w:val="18"/>
                <w:szCs w:val="18"/>
                <w:vertAlign w:val="superscript"/>
              </w:rPr>
              <w:t>)</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r w:rsidR="00A46452">
        <w:trPr>
          <w:trHeight w:val="65"/>
        </w:trPr>
        <w:tc>
          <w:tcPr>
            <w:tcW w:w="69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6</w:t>
            </w:r>
          </w:p>
        </w:tc>
        <w:tc>
          <w:tcPr>
            <w:tcW w:w="106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O</w:t>
            </w:r>
            <w:r>
              <w:rPr>
                <w:rFonts w:cs="Times New Roman"/>
                <w:kern w:val="0"/>
                <w:sz w:val="18"/>
                <w:szCs w:val="18"/>
                <w:vertAlign w:val="subscript"/>
              </w:rPr>
              <w:t>3</w:t>
            </w:r>
          </w:p>
        </w:tc>
        <w:tc>
          <w:tcPr>
            <w:tcW w:w="888"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w:t>
            </w:r>
          </w:p>
        </w:tc>
        <w:tc>
          <w:tcPr>
            <w:tcW w:w="2219"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160</w:t>
            </w:r>
          </w:p>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（日最大</w:t>
            </w:r>
            <w:r>
              <w:rPr>
                <w:rFonts w:cs="Times New Roman"/>
                <w:kern w:val="0"/>
                <w:sz w:val="18"/>
                <w:szCs w:val="18"/>
              </w:rPr>
              <w:t>8</w:t>
            </w:r>
            <w:r>
              <w:rPr>
                <w:rFonts w:cs="Times New Roman"/>
                <w:kern w:val="0"/>
                <w:sz w:val="18"/>
                <w:szCs w:val="18"/>
              </w:rPr>
              <w:t>小时平均）</w:t>
            </w:r>
          </w:p>
        </w:tc>
        <w:tc>
          <w:tcPr>
            <w:tcW w:w="1480"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200</w:t>
            </w:r>
          </w:p>
        </w:tc>
        <w:tc>
          <w:tcPr>
            <w:tcW w:w="2298" w:type="dxa"/>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r>
    </w:tbl>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w:t>
      </w:r>
      <w:r>
        <w:rPr>
          <w:rFonts w:cs="Times New Roman" w:hint="default"/>
          <w:sz w:val="24"/>
          <w:szCs w:val="24"/>
        </w:rPr>
        <w:t>2</w:t>
      </w:r>
      <w:r>
        <w:rPr>
          <w:rFonts w:cs="Times New Roman" w:hint="default"/>
          <w:sz w:val="24"/>
          <w:szCs w:val="24"/>
        </w:rPr>
        <w:t>）水环境</w:t>
      </w:r>
    </w:p>
    <w:p w:rsidR="00A46452" w:rsidRDefault="009A3928">
      <w:pPr>
        <w:pStyle w:val="ac"/>
        <w:wordWrap w:val="0"/>
        <w:topLinePunct/>
        <w:adjustRightInd w:val="0"/>
        <w:snapToGrid w:val="0"/>
        <w:ind w:firstLine="480"/>
        <w:rPr>
          <w:rFonts w:ascii="Times New Roman" w:eastAsia="宋体" w:hAnsi="Times New Roman" w:cs="Times New Roman" w:hint="default"/>
          <w:sz w:val="24"/>
        </w:rPr>
      </w:pPr>
      <w:r>
        <w:rPr>
          <w:rFonts w:ascii="Times New Roman" w:eastAsia="宋体" w:hAnsi="Times New Roman" w:cs="Times New Roman" w:hint="default"/>
          <w:sz w:val="24"/>
        </w:rPr>
        <w:t>拟建项目跨越喀什噶尔河、突来买提河、柯坪河、苏贝希沟</w:t>
      </w:r>
      <w:r>
        <w:rPr>
          <w:rFonts w:ascii="Times New Roman" w:eastAsia="宋体" w:hAnsi="Times New Roman" w:cs="Times New Roman" w:hint="default"/>
          <w:sz w:val="24"/>
        </w:rPr>
        <w:t>-</w:t>
      </w:r>
      <w:r>
        <w:rPr>
          <w:rFonts w:ascii="Times New Roman" w:eastAsia="宋体" w:hAnsi="Times New Roman" w:cs="Times New Roman" w:hint="default"/>
          <w:sz w:val="24"/>
        </w:rPr>
        <w:t>加依洛萨依河以及灌溉干渠等地表水水质按照《地表水环境质量标准》（</w:t>
      </w:r>
      <w:r>
        <w:rPr>
          <w:rFonts w:ascii="Times New Roman" w:eastAsia="宋体" w:hAnsi="Times New Roman" w:cs="Times New Roman" w:hint="default"/>
          <w:sz w:val="24"/>
        </w:rPr>
        <w:t>GB3838-2002</w:t>
      </w:r>
      <w:r>
        <w:rPr>
          <w:rFonts w:ascii="Times New Roman" w:eastAsia="宋体" w:hAnsi="Times New Roman" w:cs="Times New Roman" w:hint="default"/>
          <w:sz w:val="24"/>
        </w:rPr>
        <w:t>）</w:t>
      </w:r>
      <w:r>
        <w:rPr>
          <w:rFonts w:ascii="Times New Roman" w:eastAsia="宋体" w:hAnsi="Times New Roman" w:cs="Times New Roman" w:hint="default"/>
          <w:sz w:val="24"/>
        </w:rPr>
        <w:t>Ⅲ</w:t>
      </w:r>
      <w:r>
        <w:rPr>
          <w:rFonts w:ascii="Times New Roman" w:eastAsia="宋体" w:hAnsi="Times New Roman" w:cs="Times New Roman" w:hint="default"/>
          <w:sz w:val="24"/>
        </w:rPr>
        <w:t>类标准评价。具体地表水环境质量标准值见表</w:t>
      </w:r>
      <w:r>
        <w:rPr>
          <w:rFonts w:ascii="Times New Roman" w:eastAsia="宋体" w:hAnsi="Times New Roman" w:cs="Times New Roman" w:hint="default"/>
          <w:sz w:val="24"/>
        </w:rPr>
        <w:t>2.5-4</w:t>
      </w:r>
      <w:r>
        <w:rPr>
          <w:rFonts w:ascii="Times New Roman" w:eastAsia="宋体" w:hAnsi="Times New Roman" w:cs="Times New Roman" w:hint="default"/>
          <w:sz w:val="24"/>
        </w:rPr>
        <w:t>。</w:t>
      </w:r>
    </w:p>
    <w:p w:rsidR="00A46452" w:rsidRDefault="009A3928">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hint="default"/>
          <w:sz w:val="24"/>
          <w:szCs w:val="24"/>
        </w:rPr>
        <w:t>2.</w:t>
      </w:r>
      <w:r>
        <w:rPr>
          <w:rFonts w:ascii="Times New Roman" w:hAnsi="Times New Roman" w:cs="Times New Roman" w:hint="default"/>
          <w:sz w:val="24"/>
          <w:szCs w:val="24"/>
        </w:rPr>
        <w:t>5</w:t>
      </w:r>
      <w:r>
        <w:rPr>
          <w:rFonts w:ascii="Times New Roman" w:hAnsi="Times New Roman" w:cs="Times New Roman" w:hint="default"/>
          <w:sz w:val="24"/>
          <w:szCs w:val="24"/>
        </w:rPr>
        <w:t>-</w:t>
      </w:r>
      <w:r>
        <w:rPr>
          <w:rFonts w:ascii="Times New Roman" w:hAnsi="Times New Roman" w:cs="Times New Roman" w:hint="default"/>
          <w:sz w:val="24"/>
          <w:szCs w:val="24"/>
        </w:rPr>
        <w:t xml:space="preserve">4                     </w:t>
      </w:r>
      <w:r>
        <w:rPr>
          <w:rFonts w:ascii="Times New Roman" w:hAnsi="Times New Roman" w:cs="Times New Roman" w:hint="default"/>
          <w:sz w:val="24"/>
          <w:szCs w:val="24"/>
        </w:rPr>
        <w:t>地表水环境标准限值</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6"/>
        <w:gridCol w:w="2686"/>
        <w:gridCol w:w="1842"/>
        <w:gridCol w:w="1418"/>
        <w:gridCol w:w="1777"/>
      </w:tblGrid>
      <w:tr w:rsidR="00A46452">
        <w:trPr>
          <w:trHeight w:val="358"/>
        </w:trPr>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序号</w:t>
            </w:r>
          </w:p>
        </w:tc>
        <w:tc>
          <w:tcPr>
            <w:tcW w:w="2686" w:type="dxa"/>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监测因子</w:t>
            </w:r>
          </w:p>
        </w:tc>
        <w:tc>
          <w:tcPr>
            <w:tcW w:w="1842" w:type="dxa"/>
            <w:vAlign w:val="center"/>
          </w:tcPr>
          <w:p w:rsidR="00A46452" w:rsidRDefault="009A3928" w:rsidP="00182EED">
            <w:pPr>
              <w:wordWrap w:val="0"/>
              <w:topLinePunct/>
              <w:adjustRightInd w:val="0"/>
              <w:snapToGrid w:val="0"/>
              <w:ind w:firstLine="360"/>
              <w:rPr>
                <w:rFonts w:cs="Times New Roman"/>
                <w:sz w:val="18"/>
                <w:szCs w:val="18"/>
              </w:rPr>
            </w:pPr>
            <w:r>
              <w:rPr>
                <w:rFonts w:cs="Times New Roman"/>
                <w:sz w:val="18"/>
                <w:szCs w:val="18"/>
              </w:rPr>
              <w:t>Ⅲ</w:t>
            </w:r>
            <w:r>
              <w:rPr>
                <w:rFonts w:cs="Times New Roman"/>
                <w:sz w:val="18"/>
                <w:szCs w:val="18"/>
              </w:rPr>
              <w:t>类标准值</w:t>
            </w:r>
          </w:p>
        </w:tc>
        <w:tc>
          <w:tcPr>
            <w:tcW w:w="1418" w:type="dxa"/>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单位</w:t>
            </w:r>
          </w:p>
        </w:tc>
        <w:tc>
          <w:tcPr>
            <w:tcW w:w="1777" w:type="dxa"/>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执行标准</w:t>
            </w: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pH</w:t>
            </w:r>
            <w:r>
              <w:rPr>
                <w:rFonts w:cs="Times New Roman"/>
                <w:sz w:val="18"/>
                <w:szCs w:val="18"/>
              </w:rPr>
              <w:t>值</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6~9</w:t>
            </w:r>
          </w:p>
        </w:tc>
        <w:tc>
          <w:tcPr>
            <w:tcW w:w="1418" w:type="dxa"/>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无量纲</w:t>
            </w:r>
          </w:p>
        </w:tc>
        <w:tc>
          <w:tcPr>
            <w:tcW w:w="1777" w:type="dxa"/>
            <w:vMerge w:val="restart"/>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《地表水环境质量标准》</w:t>
            </w:r>
            <w:r>
              <w:rPr>
                <w:rFonts w:cs="Times New Roman" w:hint="default"/>
                <w:sz w:val="18"/>
                <w:szCs w:val="18"/>
              </w:rPr>
              <w:t>(GB3838-2002</w:t>
            </w:r>
            <w:r>
              <w:rPr>
                <w:rFonts w:cs="Times New Roman" w:hint="default"/>
                <w:sz w:val="18"/>
                <w:szCs w:val="18"/>
              </w:rPr>
              <w:t>）</w:t>
            </w:r>
            <w:r>
              <w:rPr>
                <w:rFonts w:cs="Times New Roman" w:hint="default"/>
                <w:sz w:val="18"/>
                <w:szCs w:val="18"/>
              </w:rPr>
              <w:t>表</w:t>
            </w:r>
            <w:r>
              <w:rPr>
                <w:rFonts w:cs="Times New Roman" w:hint="default"/>
                <w:sz w:val="18"/>
                <w:szCs w:val="18"/>
              </w:rPr>
              <w:t>1(Ⅲ</w:t>
            </w:r>
            <w:r>
              <w:rPr>
                <w:rFonts w:cs="Times New Roman" w:hint="default"/>
                <w:sz w:val="18"/>
                <w:szCs w:val="18"/>
              </w:rPr>
              <w:t>类</w:t>
            </w:r>
            <w:r>
              <w:rPr>
                <w:rFonts w:cs="Times New Roman" w:hint="default"/>
                <w:sz w:val="18"/>
                <w:szCs w:val="18"/>
              </w:rPr>
              <w:t>）</w:t>
            </w: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2</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溶解氧</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≥5mg/L</w:t>
            </w:r>
          </w:p>
        </w:tc>
        <w:tc>
          <w:tcPr>
            <w:tcW w:w="1418" w:type="dxa"/>
            <w:vMerge w:val="restart"/>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mg/L</w:t>
            </w: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3</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高锰酸盐指数</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≤6mg/L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4</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化学需氧量</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≤20mg/L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5</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五日生化需氧量</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≤4mg/L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6</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氨氮</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≤1.0mg/L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7</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总磷</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≤0.2mg/L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8</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氟化物</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≤1.0mg/L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9</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砷</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≤0.05mg/L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10</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汞</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≤0.0001mg/L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11</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镉</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≤0.005mg/L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12</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六价铬</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≤0.05mg/L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13</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挥发酚</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≤0.005mg/L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rPr>
          <w:trHeight w:val="165"/>
        </w:trPr>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14</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石油类</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≤0.05mg/L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15</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阴离子表面活性剂</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≤0.2mg/L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r w:rsidR="00A46452">
        <w:tc>
          <w:tcPr>
            <w:tcW w:w="0" w:type="auto"/>
            <w:vAlign w:val="center"/>
          </w:tcPr>
          <w:p w:rsidR="00A46452" w:rsidRDefault="009A3928">
            <w:pPr>
              <w:pStyle w:val="a4"/>
              <w:wordWrap w:val="0"/>
              <w:topLinePunct/>
              <w:adjustRightInd w:val="0"/>
              <w:snapToGrid w:val="0"/>
              <w:spacing w:line="240" w:lineRule="atLeast"/>
              <w:ind w:firstLineChars="0" w:firstLine="0"/>
              <w:jc w:val="center"/>
              <w:rPr>
                <w:rFonts w:cs="Times New Roman" w:hint="default"/>
                <w:sz w:val="18"/>
                <w:szCs w:val="18"/>
              </w:rPr>
            </w:pPr>
            <w:r>
              <w:rPr>
                <w:rFonts w:cs="Times New Roman" w:hint="default"/>
                <w:sz w:val="18"/>
                <w:szCs w:val="18"/>
              </w:rPr>
              <w:t>16</w:t>
            </w:r>
          </w:p>
        </w:tc>
        <w:tc>
          <w:tcPr>
            <w:tcW w:w="2686" w:type="dxa"/>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粪大肠菌群</w:t>
            </w:r>
          </w:p>
        </w:tc>
        <w:tc>
          <w:tcPr>
            <w:tcW w:w="1842" w:type="dxa"/>
            <w:vAlign w:val="center"/>
          </w:tcPr>
          <w:p w:rsidR="00A46452" w:rsidRDefault="009A3928" w:rsidP="00182EED">
            <w:pPr>
              <w:wordWrap w:val="0"/>
              <w:topLinePunct/>
              <w:adjustRightInd w:val="0"/>
              <w:snapToGrid w:val="0"/>
              <w:ind w:firstLine="360"/>
              <w:jc w:val="center"/>
              <w:rPr>
                <w:rFonts w:cs="Times New Roman"/>
                <w:sz w:val="18"/>
                <w:szCs w:val="18"/>
              </w:rPr>
            </w:pPr>
            <w:r>
              <w:rPr>
                <w:rFonts w:cs="Times New Roman"/>
                <w:sz w:val="18"/>
                <w:szCs w:val="18"/>
              </w:rPr>
              <w:t>≤10000</w:t>
            </w:r>
            <w:r>
              <w:rPr>
                <w:rFonts w:cs="Times New Roman"/>
                <w:sz w:val="18"/>
                <w:szCs w:val="18"/>
              </w:rPr>
              <w:t>个</w:t>
            </w:r>
            <w:r>
              <w:rPr>
                <w:rFonts w:cs="Times New Roman"/>
                <w:sz w:val="18"/>
                <w:szCs w:val="18"/>
              </w:rPr>
              <w:t>/L</w:t>
            </w:r>
          </w:p>
        </w:tc>
        <w:tc>
          <w:tcPr>
            <w:tcW w:w="1418"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c>
          <w:tcPr>
            <w:tcW w:w="1777" w:type="dxa"/>
            <w:vMerge/>
            <w:vAlign w:val="center"/>
          </w:tcPr>
          <w:p w:rsidR="00A46452" w:rsidRDefault="00A46452">
            <w:pPr>
              <w:pStyle w:val="a4"/>
              <w:wordWrap w:val="0"/>
              <w:topLinePunct/>
              <w:adjustRightInd w:val="0"/>
              <w:snapToGrid w:val="0"/>
              <w:spacing w:line="240" w:lineRule="atLeast"/>
              <w:ind w:firstLineChars="0" w:firstLine="0"/>
              <w:jc w:val="center"/>
              <w:rPr>
                <w:rFonts w:cs="Times New Roman" w:hint="default"/>
                <w:sz w:val="18"/>
                <w:szCs w:val="18"/>
              </w:rPr>
            </w:pPr>
          </w:p>
        </w:tc>
      </w:tr>
    </w:tbl>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）声环境</w:t>
      </w:r>
    </w:p>
    <w:p w:rsidR="00A46452" w:rsidRDefault="009A3928">
      <w:pPr>
        <w:wordWrap w:val="0"/>
        <w:topLinePunct/>
        <w:adjustRightInd w:val="0"/>
        <w:snapToGrid w:val="0"/>
        <w:ind w:firstLine="480"/>
        <w:rPr>
          <w:rFonts w:cs="Times New Roman"/>
        </w:rPr>
      </w:pPr>
      <w:r>
        <w:rPr>
          <w:rFonts w:cs="Times New Roman"/>
          <w:szCs w:val="22"/>
        </w:rPr>
        <w:t>拟建公路沿线尚未进行声环境功能区划。根据《声环境功能区划分技术规范》（</w:t>
      </w:r>
      <w:r>
        <w:rPr>
          <w:rFonts w:cs="Times New Roman"/>
          <w:szCs w:val="22"/>
        </w:rPr>
        <w:t>GB15190-2014</w:t>
      </w:r>
      <w:r>
        <w:rPr>
          <w:rFonts w:cs="Times New Roman"/>
          <w:szCs w:val="22"/>
        </w:rPr>
        <w:t>）以及《声环境质量标准》（</w:t>
      </w:r>
      <w:r>
        <w:rPr>
          <w:rFonts w:cs="Times New Roman"/>
          <w:szCs w:val="22"/>
        </w:rPr>
        <w:t>GB3096-2008</w:t>
      </w:r>
      <w:r>
        <w:rPr>
          <w:rFonts w:cs="Times New Roman"/>
          <w:szCs w:val="22"/>
        </w:rPr>
        <w:t>），拟建公路及现有交通干线两侧红线外</w:t>
      </w:r>
      <w:r>
        <w:rPr>
          <w:rFonts w:cs="Times New Roman"/>
          <w:szCs w:val="22"/>
        </w:rPr>
        <w:t>35m</w:t>
      </w:r>
      <w:r>
        <w:rPr>
          <w:rFonts w:cs="Times New Roman"/>
          <w:szCs w:val="22"/>
        </w:rPr>
        <w:t>以内的区域执行《声环境质量标准》（</w:t>
      </w:r>
      <w:r>
        <w:rPr>
          <w:rFonts w:cs="Times New Roman"/>
          <w:szCs w:val="22"/>
        </w:rPr>
        <w:t>GB3096-2008</w:t>
      </w:r>
      <w:r>
        <w:rPr>
          <w:rFonts w:cs="Times New Roman"/>
          <w:szCs w:val="22"/>
        </w:rPr>
        <w:t>）</w:t>
      </w:r>
      <w:r>
        <w:rPr>
          <w:rFonts w:cs="Times New Roman"/>
          <w:szCs w:val="22"/>
        </w:rPr>
        <w:t>4a</w:t>
      </w:r>
      <w:r>
        <w:rPr>
          <w:rFonts w:cs="Times New Roman"/>
          <w:szCs w:val="22"/>
        </w:rPr>
        <w:t>类标准，</w:t>
      </w:r>
      <w:r>
        <w:rPr>
          <w:rFonts w:cs="Times New Roman"/>
          <w:szCs w:val="22"/>
        </w:rPr>
        <w:t>35m</w:t>
      </w:r>
      <w:r>
        <w:rPr>
          <w:rFonts w:cs="Times New Roman"/>
          <w:szCs w:val="22"/>
        </w:rPr>
        <w:t>以外区域执行</w:t>
      </w:r>
      <w:r>
        <w:rPr>
          <w:rFonts w:cs="Times New Roman"/>
          <w:szCs w:val="22"/>
        </w:rPr>
        <w:t>2</w:t>
      </w:r>
      <w:r>
        <w:rPr>
          <w:rFonts w:cs="Times New Roman"/>
          <w:szCs w:val="22"/>
        </w:rPr>
        <w:t>类标准，</w:t>
      </w:r>
      <w:r>
        <w:rPr>
          <w:rFonts w:cs="Times New Roman"/>
        </w:rPr>
        <w:t>涉及铁路交叉区域执行</w:t>
      </w:r>
      <w:r>
        <w:rPr>
          <w:rFonts w:cs="Times New Roman"/>
        </w:rPr>
        <w:t>4b</w:t>
      </w:r>
      <w:r>
        <w:rPr>
          <w:rFonts w:cs="Times New Roman"/>
        </w:rPr>
        <w:t>类标准</w:t>
      </w:r>
      <w:r>
        <w:rPr>
          <w:rFonts w:cs="Times New Roman"/>
        </w:rPr>
        <w:t>。</w:t>
      </w:r>
      <w:r>
        <w:rPr>
          <w:rFonts w:cs="Times New Roman"/>
        </w:rPr>
        <w:t>噪声标准限值见表</w:t>
      </w:r>
      <w:r>
        <w:rPr>
          <w:rFonts w:cs="Times New Roman"/>
        </w:rPr>
        <w:t>2.5-5</w:t>
      </w:r>
      <w:r>
        <w:rPr>
          <w:rFonts w:cs="Times New Roman"/>
        </w:rPr>
        <w:t>。</w:t>
      </w:r>
    </w:p>
    <w:p w:rsidR="00A46452" w:rsidRDefault="009A3928">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hint="default"/>
          <w:sz w:val="24"/>
          <w:szCs w:val="24"/>
        </w:rPr>
        <w:t>2.</w:t>
      </w:r>
      <w:r>
        <w:rPr>
          <w:rFonts w:ascii="Times New Roman" w:hAnsi="Times New Roman" w:cs="Times New Roman" w:hint="default"/>
          <w:sz w:val="24"/>
          <w:szCs w:val="24"/>
        </w:rPr>
        <w:t>5</w:t>
      </w:r>
      <w:r>
        <w:rPr>
          <w:rFonts w:ascii="Times New Roman" w:hAnsi="Times New Roman" w:cs="Times New Roman" w:hint="default"/>
          <w:sz w:val="24"/>
          <w:szCs w:val="24"/>
        </w:rPr>
        <w:t>-</w:t>
      </w:r>
      <w:r>
        <w:rPr>
          <w:rFonts w:ascii="Times New Roman" w:hAnsi="Times New Roman" w:cs="Times New Roman" w:hint="default"/>
          <w:sz w:val="24"/>
          <w:szCs w:val="24"/>
        </w:rPr>
        <w:t xml:space="preserve">5                     </w:t>
      </w:r>
      <w:r>
        <w:rPr>
          <w:rFonts w:ascii="Times New Roman" w:hAnsi="Times New Roman" w:cs="Times New Roman" w:hint="default"/>
          <w:sz w:val="24"/>
          <w:szCs w:val="24"/>
        </w:rPr>
        <w:t>环境噪声评价标准限值</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411"/>
        <w:gridCol w:w="1590"/>
        <w:gridCol w:w="1137"/>
        <w:gridCol w:w="1481"/>
        <w:gridCol w:w="1077"/>
        <w:gridCol w:w="947"/>
      </w:tblGrid>
      <w:tr w:rsidR="00A46452">
        <w:tc>
          <w:tcPr>
            <w:tcW w:w="1393"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标准名称</w:t>
            </w:r>
          </w:p>
        </w:tc>
        <w:tc>
          <w:tcPr>
            <w:tcW w:w="919"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标准号</w:t>
            </w:r>
          </w:p>
        </w:tc>
        <w:tc>
          <w:tcPr>
            <w:tcW w:w="658"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级别</w:t>
            </w:r>
          </w:p>
        </w:tc>
        <w:tc>
          <w:tcPr>
            <w:tcW w:w="857"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评价因子</w:t>
            </w:r>
          </w:p>
        </w:tc>
        <w:tc>
          <w:tcPr>
            <w:tcW w:w="1171" w:type="pct"/>
            <w:gridSpan w:val="2"/>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标准限值</w:t>
            </w:r>
            <w:r>
              <w:rPr>
                <w:rFonts w:cs="Times New Roman"/>
                <w:snapToGrid w:val="0"/>
                <w:kern w:val="0"/>
                <w:sz w:val="18"/>
                <w:szCs w:val="18"/>
              </w:rPr>
              <w:t>（</w:t>
            </w:r>
            <w:r>
              <w:rPr>
                <w:rFonts w:cs="Times New Roman"/>
                <w:snapToGrid w:val="0"/>
                <w:kern w:val="0"/>
                <w:sz w:val="18"/>
                <w:szCs w:val="18"/>
              </w:rPr>
              <w:t>dB</w:t>
            </w:r>
            <w:r>
              <w:rPr>
                <w:rFonts w:cs="Times New Roman"/>
                <w:snapToGrid w:val="0"/>
                <w:kern w:val="0"/>
                <w:sz w:val="18"/>
                <w:szCs w:val="18"/>
              </w:rPr>
              <w:t>）</w:t>
            </w:r>
          </w:p>
        </w:tc>
      </w:tr>
      <w:tr w:rsidR="00A46452">
        <w:tc>
          <w:tcPr>
            <w:tcW w:w="1393"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919"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58"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857"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23"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昼间</w:t>
            </w:r>
          </w:p>
        </w:tc>
        <w:tc>
          <w:tcPr>
            <w:tcW w:w="54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夜间</w:t>
            </w:r>
          </w:p>
        </w:tc>
      </w:tr>
      <w:tr w:rsidR="00A46452">
        <w:trPr>
          <w:trHeight w:val="301"/>
        </w:trPr>
        <w:tc>
          <w:tcPr>
            <w:tcW w:w="1393"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《声环境质量标准》</w:t>
            </w:r>
          </w:p>
        </w:tc>
        <w:tc>
          <w:tcPr>
            <w:tcW w:w="919"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GB3096-2008</w:t>
            </w:r>
          </w:p>
        </w:tc>
        <w:tc>
          <w:tcPr>
            <w:tcW w:w="65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2</w:t>
            </w:r>
            <w:r>
              <w:rPr>
                <w:rFonts w:cs="Times New Roman"/>
                <w:snapToGrid w:val="0"/>
                <w:kern w:val="0"/>
                <w:sz w:val="18"/>
                <w:szCs w:val="18"/>
              </w:rPr>
              <w:t>类</w:t>
            </w:r>
          </w:p>
        </w:tc>
        <w:tc>
          <w:tcPr>
            <w:tcW w:w="857" w:type="pct"/>
            <w:vMerge w:val="restar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等效声级</w:t>
            </w:r>
            <w:r>
              <w:rPr>
                <w:rFonts w:cs="Times New Roman"/>
                <w:snapToGrid w:val="0"/>
                <w:kern w:val="0"/>
                <w:sz w:val="18"/>
                <w:szCs w:val="18"/>
              </w:rPr>
              <w:t>LAeq</w:t>
            </w:r>
          </w:p>
        </w:tc>
        <w:tc>
          <w:tcPr>
            <w:tcW w:w="623"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60</w:t>
            </w:r>
          </w:p>
        </w:tc>
        <w:tc>
          <w:tcPr>
            <w:tcW w:w="54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50</w:t>
            </w:r>
          </w:p>
        </w:tc>
      </w:tr>
      <w:tr w:rsidR="00A46452">
        <w:trPr>
          <w:trHeight w:val="338"/>
        </w:trPr>
        <w:tc>
          <w:tcPr>
            <w:tcW w:w="1393"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919"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5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4a</w:t>
            </w:r>
            <w:r>
              <w:rPr>
                <w:rFonts w:cs="Times New Roman"/>
                <w:snapToGrid w:val="0"/>
                <w:kern w:val="0"/>
                <w:sz w:val="18"/>
                <w:szCs w:val="18"/>
              </w:rPr>
              <w:t>类</w:t>
            </w:r>
          </w:p>
        </w:tc>
        <w:tc>
          <w:tcPr>
            <w:tcW w:w="857"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23"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70</w:t>
            </w:r>
          </w:p>
        </w:tc>
        <w:tc>
          <w:tcPr>
            <w:tcW w:w="54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55</w:t>
            </w:r>
          </w:p>
        </w:tc>
      </w:tr>
      <w:tr w:rsidR="00A46452">
        <w:trPr>
          <w:trHeight w:val="338"/>
        </w:trPr>
        <w:tc>
          <w:tcPr>
            <w:tcW w:w="1393"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919"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5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4</w:t>
            </w:r>
            <w:r>
              <w:rPr>
                <w:rFonts w:cs="Times New Roman"/>
                <w:snapToGrid w:val="0"/>
                <w:kern w:val="0"/>
                <w:sz w:val="18"/>
                <w:szCs w:val="18"/>
              </w:rPr>
              <w:t>b</w:t>
            </w:r>
            <w:r>
              <w:rPr>
                <w:rFonts w:cs="Times New Roman"/>
                <w:snapToGrid w:val="0"/>
                <w:kern w:val="0"/>
                <w:sz w:val="18"/>
                <w:szCs w:val="18"/>
              </w:rPr>
              <w:t>类</w:t>
            </w:r>
          </w:p>
        </w:tc>
        <w:tc>
          <w:tcPr>
            <w:tcW w:w="857" w:type="pct"/>
            <w:vMerge/>
            <w:vAlign w:val="center"/>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23"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70</w:t>
            </w:r>
          </w:p>
        </w:tc>
        <w:tc>
          <w:tcPr>
            <w:tcW w:w="548" w:type="pct"/>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60</w:t>
            </w:r>
          </w:p>
        </w:tc>
      </w:tr>
    </w:tbl>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5</w:t>
      </w:r>
      <w:r>
        <w:rPr>
          <w:rFonts w:cs="Times New Roman" w:hint="default"/>
          <w:iCs/>
        </w:rPr>
        <w:t>.2.2</w:t>
      </w:r>
      <w:r>
        <w:rPr>
          <w:rFonts w:cs="Times New Roman" w:hint="default"/>
          <w:iCs/>
        </w:rPr>
        <w:t>污染物排放标准</w:t>
      </w:r>
    </w:p>
    <w:p w:rsidR="00A46452" w:rsidRDefault="009A3928">
      <w:pPr>
        <w:wordWrap w:val="0"/>
        <w:topLinePunct/>
        <w:adjustRightInd w:val="0"/>
        <w:snapToGrid w:val="0"/>
        <w:ind w:firstLine="482"/>
        <w:rPr>
          <w:rFonts w:cs="Times New Roman"/>
          <w:b/>
        </w:rPr>
      </w:pPr>
      <w:bookmarkStart w:id="121" w:name="_Toc247338696"/>
      <w:bookmarkStart w:id="122" w:name="_Toc247448071"/>
      <w:bookmarkStart w:id="123" w:name="_Toc246436463"/>
      <w:r>
        <w:rPr>
          <w:rFonts w:cs="Times New Roman"/>
          <w:b/>
        </w:rPr>
        <w:t>（</w:t>
      </w:r>
      <w:r>
        <w:rPr>
          <w:rFonts w:cs="Times New Roman"/>
          <w:b/>
        </w:rPr>
        <w:t>1</w:t>
      </w:r>
      <w:r>
        <w:rPr>
          <w:rFonts w:cs="Times New Roman"/>
          <w:b/>
        </w:rPr>
        <w:t>）废气</w:t>
      </w:r>
    </w:p>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1</w:t>
      </w:r>
      <w:r>
        <w:rPr>
          <w:rFonts w:cs="Times New Roman" w:hint="default"/>
          <w:sz w:val="24"/>
          <w:szCs w:val="24"/>
        </w:rPr>
        <w:t>）施工期</w:t>
      </w:r>
    </w:p>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①</w:t>
      </w:r>
      <w:r>
        <w:rPr>
          <w:rFonts w:cs="Times New Roman" w:hint="default"/>
          <w:sz w:val="24"/>
          <w:szCs w:val="24"/>
        </w:rPr>
        <w:t>项目施工产生的沥青烟气排放执行《大气污染物综合排放标准》（</w:t>
      </w:r>
      <w:r>
        <w:rPr>
          <w:rFonts w:cs="Times New Roman" w:hint="default"/>
          <w:sz w:val="24"/>
          <w:szCs w:val="24"/>
        </w:rPr>
        <w:t>GB16297-1996</w:t>
      </w:r>
      <w:r>
        <w:rPr>
          <w:rFonts w:cs="Times New Roman" w:hint="default"/>
          <w:sz w:val="24"/>
          <w:szCs w:val="24"/>
        </w:rPr>
        <w:t>）中的二级标准；水稳、混凝土拌合站排放的粉尘执行</w:t>
      </w:r>
      <w:r>
        <w:rPr>
          <w:rFonts w:cs="Times New Roman" w:hint="default"/>
          <w:bCs/>
          <w:sz w:val="24"/>
          <w:szCs w:val="24"/>
        </w:rPr>
        <w:t>《水泥工业大气污染物排放标准》（</w:t>
      </w:r>
      <w:r>
        <w:rPr>
          <w:rFonts w:cs="Times New Roman" w:hint="default"/>
          <w:bCs/>
          <w:sz w:val="24"/>
          <w:szCs w:val="24"/>
        </w:rPr>
        <w:t>GB4915-2013</w:t>
      </w:r>
      <w:r>
        <w:rPr>
          <w:rFonts w:cs="Times New Roman" w:hint="default"/>
          <w:bCs/>
          <w:sz w:val="24"/>
          <w:szCs w:val="24"/>
        </w:rPr>
        <w:t>）中表</w:t>
      </w:r>
      <w:r>
        <w:rPr>
          <w:rFonts w:cs="Times New Roman" w:hint="default"/>
          <w:bCs/>
          <w:sz w:val="24"/>
          <w:szCs w:val="24"/>
        </w:rPr>
        <w:t>1</w:t>
      </w:r>
      <w:r>
        <w:rPr>
          <w:rFonts w:cs="Times New Roman" w:hint="default"/>
          <w:bCs/>
          <w:sz w:val="24"/>
          <w:szCs w:val="24"/>
        </w:rPr>
        <w:t>散装水泥中转站及水泥制品生产排放限值（颗粒物</w:t>
      </w:r>
      <w:r>
        <w:rPr>
          <w:rFonts w:cs="Times New Roman" w:hint="default"/>
          <w:bCs/>
          <w:sz w:val="24"/>
          <w:szCs w:val="24"/>
        </w:rPr>
        <w:t>≤20mg/m</w:t>
      </w:r>
      <w:r>
        <w:rPr>
          <w:rFonts w:cs="Times New Roman" w:hint="default"/>
          <w:bCs/>
          <w:sz w:val="24"/>
          <w:szCs w:val="24"/>
          <w:vertAlign w:val="superscript"/>
        </w:rPr>
        <w:t>3</w:t>
      </w:r>
      <w:r>
        <w:rPr>
          <w:rFonts w:cs="Times New Roman" w:hint="default"/>
          <w:bCs/>
          <w:sz w:val="24"/>
          <w:szCs w:val="24"/>
        </w:rPr>
        <w:t>）要求。</w:t>
      </w:r>
    </w:p>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②</w:t>
      </w:r>
      <w:r>
        <w:rPr>
          <w:rFonts w:cs="Times New Roman" w:hint="default"/>
          <w:sz w:val="24"/>
          <w:szCs w:val="24"/>
        </w:rPr>
        <w:t>施工扬尘大气污染物排放执行《大气污染物综合排放标准》（</w:t>
      </w:r>
      <w:r>
        <w:rPr>
          <w:rFonts w:cs="Times New Roman" w:hint="default"/>
          <w:sz w:val="24"/>
          <w:szCs w:val="24"/>
        </w:rPr>
        <w:t>GB16297-1996</w:t>
      </w:r>
      <w:r>
        <w:rPr>
          <w:rFonts w:cs="Times New Roman" w:hint="default"/>
          <w:sz w:val="24"/>
          <w:szCs w:val="24"/>
        </w:rPr>
        <w:t>）新污染源大气污染物排放限值中的无组织颗粒物排放监控限值。具体标准值见表</w:t>
      </w:r>
      <w:r>
        <w:rPr>
          <w:rFonts w:cs="Times New Roman" w:hint="default"/>
          <w:sz w:val="24"/>
          <w:szCs w:val="24"/>
        </w:rPr>
        <w:t>2.</w:t>
      </w:r>
      <w:r>
        <w:rPr>
          <w:rFonts w:cs="Times New Roman" w:hint="default"/>
          <w:sz w:val="24"/>
          <w:szCs w:val="24"/>
        </w:rPr>
        <w:t>5</w:t>
      </w:r>
      <w:r>
        <w:rPr>
          <w:rFonts w:cs="Times New Roman" w:hint="default"/>
          <w:sz w:val="24"/>
          <w:szCs w:val="24"/>
        </w:rPr>
        <w:t>-</w:t>
      </w:r>
      <w:r>
        <w:rPr>
          <w:rFonts w:cs="Times New Roman" w:hint="default"/>
          <w:sz w:val="24"/>
          <w:szCs w:val="24"/>
        </w:rPr>
        <w:t>6</w:t>
      </w:r>
      <w:r>
        <w:rPr>
          <w:rFonts w:cs="Times New Roman" w:hint="default"/>
          <w:sz w:val="24"/>
          <w:szCs w:val="24"/>
        </w:rPr>
        <w:t>。</w:t>
      </w:r>
    </w:p>
    <w:p w:rsidR="00A46452" w:rsidRDefault="009A3928">
      <w:pPr>
        <w:pStyle w:val="ac"/>
        <w:wordWrap w:val="0"/>
        <w:topLinePunct/>
        <w:adjustRightInd w:val="0"/>
        <w:snapToGrid w:val="0"/>
        <w:spacing w:line="240" w:lineRule="auto"/>
        <w:ind w:firstLineChars="0" w:firstLine="0"/>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hint="default"/>
          <w:sz w:val="24"/>
          <w:szCs w:val="24"/>
        </w:rPr>
        <w:t>2.</w:t>
      </w:r>
      <w:r>
        <w:rPr>
          <w:rFonts w:ascii="Times New Roman" w:hAnsi="Times New Roman" w:cs="Times New Roman" w:hint="default"/>
          <w:sz w:val="24"/>
          <w:szCs w:val="24"/>
        </w:rPr>
        <w:t>5</w:t>
      </w:r>
      <w:r>
        <w:rPr>
          <w:rFonts w:ascii="Times New Roman" w:hAnsi="Times New Roman" w:cs="Times New Roman" w:hint="default"/>
          <w:sz w:val="24"/>
          <w:szCs w:val="24"/>
        </w:rPr>
        <w:t>-</w:t>
      </w:r>
      <w:r>
        <w:rPr>
          <w:rFonts w:ascii="Times New Roman" w:hAnsi="Times New Roman" w:cs="Times New Roman" w:hint="default"/>
          <w:sz w:val="24"/>
          <w:szCs w:val="24"/>
        </w:rPr>
        <w:t xml:space="preserve">6                 </w:t>
      </w:r>
      <w:r>
        <w:rPr>
          <w:rFonts w:ascii="Times New Roman" w:hAnsi="Times New Roman" w:cs="Times New Roman" w:hint="default"/>
          <w:sz w:val="24"/>
          <w:szCs w:val="24"/>
        </w:rPr>
        <w:t>大气污染物综合排放标准</w:t>
      </w:r>
    </w:p>
    <w:tbl>
      <w:tblPr>
        <w:tblStyle w:val="affff7"/>
        <w:tblW w:w="5000" w:type="pct"/>
        <w:tblBorders>
          <w:insideH w:val="single" w:sz="6" w:space="0" w:color="auto"/>
          <w:insideV w:val="single" w:sz="6" w:space="0" w:color="auto"/>
        </w:tblBorders>
        <w:tblLook w:val="04A0" w:firstRow="1" w:lastRow="0" w:firstColumn="1" w:lastColumn="0" w:noHBand="0" w:noVBand="1"/>
      </w:tblPr>
      <w:tblGrid>
        <w:gridCol w:w="1140"/>
        <w:gridCol w:w="1352"/>
        <w:gridCol w:w="1326"/>
        <w:gridCol w:w="1096"/>
        <w:gridCol w:w="996"/>
        <w:gridCol w:w="1091"/>
        <w:gridCol w:w="1642"/>
      </w:tblGrid>
      <w:tr w:rsidR="00A46452">
        <w:trPr>
          <w:trHeight w:hRule="exact" w:val="546"/>
        </w:trPr>
        <w:tc>
          <w:tcPr>
            <w:tcW w:w="660"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污染物</w:t>
            </w:r>
          </w:p>
        </w:tc>
        <w:tc>
          <w:tcPr>
            <w:tcW w:w="782"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最高允许排放浓度</w:t>
            </w:r>
            <w:r>
              <w:rPr>
                <w:rFonts w:cs="Times New Roman"/>
                <w:snapToGrid w:val="0"/>
                <w:kern w:val="0"/>
                <w:sz w:val="18"/>
                <w:szCs w:val="18"/>
              </w:rPr>
              <w:t>mg/m</w:t>
            </w:r>
            <w:r>
              <w:rPr>
                <w:rFonts w:cs="Times New Roman"/>
                <w:snapToGrid w:val="0"/>
                <w:kern w:val="0"/>
                <w:sz w:val="18"/>
                <w:szCs w:val="18"/>
                <w:vertAlign w:val="superscript"/>
              </w:rPr>
              <w:t>3</w:t>
            </w:r>
          </w:p>
        </w:tc>
        <w:tc>
          <w:tcPr>
            <w:tcW w:w="1401"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最高允许排放速率</w:t>
            </w:r>
            <w:r>
              <w:rPr>
                <w:rFonts w:cs="Times New Roman"/>
                <w:snapToGrid w:val="0"/>
                <w:kern w:val="0"/>
                <w:sz w:val="18"/>
                <w:szCs w:val="18"/>
              </w:rPr>
              <w:t>kg/h</w:t>
            </w:r>
          </w:p>
        </w:tc>
        <w:tc>
          <w:tcPr>
            <w:tcW w:w="1207"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无组织排放监控浓度值</w:t>
            </w:r>
          </w:p>
        </w:tc>
        <w:tc>
          <w:tcPr>
            <w:tcW w:w="948"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标准依据</w:t>
            </w:r>
          </w:p>
        </w:tc>
      </w:tr>
      <w:tr w:rsidR="00A46452">
        <w:trPr>
          <w:trHeight w:hRule="exact" w:val="510"/>
        </w:trPr>
        <w:tc>
          <w:tcPr>
            <w:tcW w:w="660"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82"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排气筒高度</w:t>
            </w:r>
            <w:r>
              <w:rPr>
                <w:rFonts w:cs="Times New Roman"/>
                <w:snapToGrid w:val="0"/>
                <w:kern w:val="0"/>
                <w:sz w:val="18"/>
                <w:szCs w:val="18"/>
              </w:rPr>
              <w:t>m</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二级</w:t>
            </w:r>
          </w:p>
        </w:tc>
        <w:tc>
          <w:tcPr>
            <w:tcW w:w="576"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监控点</w:t>
            </w:r>
          </w:p>
        </w:tc>
        <w:tc>
          <w:tcPr>
            <w:tcW w:w="631"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浓度</w:t>
            </w:r>
            <w:r>
              <w:rPr>
                <w:rFonts w:cs="Times New Roman"/>
                <w:snapToGrid w:val="0"/>
                <w:kern w:val="0"/>
                <w:sz w:val="18"/>
                <w:szCs w:val="18"/>
              </w:rPr>
              <w:t>mg/m</w:t>
            </w:r>
            <w:r>
              <w:rPr>
                <w:rFonts w:cs="Times New Roman"/>
                <w:snapToGrid w:val="0"/>
                <w:kern w:val="0"/>
                <w:sz w:val="18"/>
                <w:szCs w:val="18"/>
                <w:vertAlign w:val="superscript"/>
              </w:rPr>
              <w:t>3</w:t>
            </w: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val="410"/>
        </w:trPr>
        <w:tc>
          <w:tcPr>
            <w:tcW w:w="660"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沥青烟</w:t>
            </w:r>
          </w:p>
        </w:tc>
        <w:tc>
          <w:tcPr>
            <w:tcW w:w="782"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40</w:t>
            </w:r>
          </w:p>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（熔炼、浸涂）</w:t>
            </w: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15</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0.18</w:t>
            </w:r>
          </w:p>
        </w:tc>
        <w:tc>
          <w:tcPr>
            <w:tcW w:w="1207" w:type="pct"/>
            <w:gridSpan w:val="2"/>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生产设备不得有明显的无组织排放存在</w:t>
            </w:r>
          </w:p>
        </w:tc>
        <w:tc>
          <w:tcPr>
            <w:tcW w:w="948"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《大气污染物综合排放标准》（</w:t>
            </w:r>
            <w:r>
              <w:rPr>
                <w:rFonts w:cs="Times New Roman"/>
                <w:snapToGrid w:val="0"/>
                <w:kern w:val="0"/>
                <w:sz w:val="18"/>
                <w:szCs w:val="18"/>
              </w:rPr>
              <w:t>GB16297-1996</w:t>
            </w:r>
            <w:r>
              <w:rPr>
                <w:rFonts w:cs="Times New Roman"/>
                <w:snapToGrid w:val="0"/>
                <w:kern w:val="0"/>
                <w:sz w:val="18"/>
                <w:szCs w:val="18"/>
              </w:rPr>
              <w:t>）中的二级标准</w:t>
            </w:r>
          </w:p>
        </w:tc>
      </w:tr>
      <w:tr w:rsidR="00A46452">
        <w:trPr>
          <w:trHeight w:val="410"/>
        </w:trPr>
        <w:tc>
          <w:tcPr>
            <w:tcW w:w="660"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82"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20</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0.30</w:t>
            </w:r>
          </w:p>
        </w:tc>
        <w:tc>
          <w:tcPr>
            <w:tcW w:w="1207" w:type="pct"/>
            <w:gridSpan w:val="2"/>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val="410"/>
        </w:trPr>
        <w:tc>
          <w:tcPr>
            <w:tcW w:w="660"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82"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75</w:t>
            </w:r>
          </w:p>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（建筑搅拌）</w:t>
            </w: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50</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3.6</w:t>
            </w:r>
          </w:p>
        </w:tc>
        <w:tc>
          <w:tcPr>
            <w:tcW w:w="1207" w:type="pct"/>
            <w:gridSpan w:val="2"/>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val="410"/>
        </w:trPr>
        <w:tc>
          <w:tcPr>
            <w:tcW w:w="660"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82"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60</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5.6</w:t>
            </w:r>
          </w:p>
        </w:tc>
        <w:tc>
          <w:tcPr>
            <w:tcW w:w="1207" w:type="pct"/>
            <w:gridSpan w:val="2"/>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hRule="exact" w:val="359"/>
        </w:trPr>
        <w:tc>
          <w:tcPr>
            <w:tcW w:w="660"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粉尘</w:t>
            </w:r>
          </w:p>
        </w:tc>
        <w:tc>
          <w:tcPr>
            <w:tcW w:w="782"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120</w:t>
            </w: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576" w:type="pct"/>
            <w:vMerge w:val="restar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周界外浓度最高点</w:t>
            </w:r>
          </w:p>
        </w:tc>
        <w:tc>
          <w:tcPr>
            <w:tcW w:w="631"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1.0</w:t>
            </w: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hRule="exact" w:val="308"/>
        </w:trPr>
        <w:tc>
          <w:tcPr>
            <w:tcW w:w="660"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苯并</w:t>
            </w:r>
            <w:r>
              <w:rPr>
                <w:rFonts w:cs="Times New Roman"/>
                <w:snapToGrid w:val="0"/>
                <w:kern w:val="0"/>
                <w:sz w:val="18"/>
                <w:szCs w:val="18"/>
              </w:rPr>
              <w:t>（</w:t>
            </w:r>
            <w:r>
              <w:rPr>
                <w:rFonts w:cs="Times New Roman"/>
                <w:snapToGrid w:val="0"/>
                <w:kern w:val="0"/>
                <w:sz w:val="18"/>
                <w:szCs w:val="18"/>
              </w:rPr>
              <w:t>a</w:t>
            </w:r>
            <w:r>
              <w:rPr>
                <w:rFonts w:cs="Times New Roman"/>
                <w:snapToGrid w:val="0"/>
                <w:kern w:val="0"/>
                <w:sz w:val="18"/>
                <w:szCs w:val="18"/>
              </w:rPr>
              <w:t>）</w:t>
            </w:r>
            <w:r>
              <w:rPr>
                <w:rFonts w:cs="Times New Roman"/>
                <w:snapToGrid w:val="0"/>
                <w:kern w:val="0"/>
                <w:sz w:val="18"/>
                <w:szCs w:val="18"/>
              </w:rPr>
              <w:t>芘</w:t>
            </w:r>
          </w:p>
        </w:tc>
        <w:tc>
          <w:tcPr>
            <w:tcW w:w="782"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0.3×10</w:t>
            </w:r>
            <w:r>
              <w:rPr>
                <w:rFonts w:cs="Times New Roman"/>
                <w:snapToGrid w:val="0"/>
                <w:kern w:val="0"/>
                <w:sz w:val="18"/>
                <w:szCs w:val="18"/>
                <w:vertAlign w:val="superscript"/>
              </w:rPr>
              <w:t>-3</w:t>
            </w: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15</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576"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31"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0.05×10</w:t>
            </w:r>
            <w:r>
              <w:rPr>
                <w:rFonts w:cs="Times New Roman"/>
                <w:snapToGrid w:val="0"/>
                <w:kern w:val="0"/>
                <w:sz w:val="18"/>
                <w:szCs w:val="18"/>
                <w:vertAlign w:val="superscript"/>
              </w:rPr>
              <w:t>-3</w:t>
            </w: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hRule="exact" w:val="272"/>
        </w:trPr>
        <w:tc>
          <w:tcPr>
            <w:tcW w:w="660"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非甲烷总烃</w:t>
            </w:r>
          </w:p>
        </w:tc>
        <w:tc>
          <w:tcPr>
            <w:tcW w:w="782"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120</w:t>
            </w:r>
          </w:p>
        </w:tc>
        <w:tc>
          <w:tcPr>
            <w:tcW w:w="767"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634"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w:t>
            </w:r>
          </w:p>
        </w:tc>
        <w:tc>
          <w:tcPr>
            <w:tcW w:w="576"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c>
          <w:tcPr>
            <w:tcW w:w="631" w:type="pct"/>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4.0</w:t>
            </w:r>
          </w:p>
        </w:tc>
        <w:tc>
          <w:tcPr>
            <w:tcW w:w="948" w:type="pct"/>
            <w:vMerge/>
          </w:tcPr>
          <w:p w:rsidR="00A46452" w:rsidRDefault="00A46452">
            <w:pPr>
              <w:wordWrap w:val="0"/>
              <w:topLinePunct/>
              <w:adjustRightInd w:val="0"/>
              <w:snapToGrid w:val="0"/>
              <w:spacing w:line="240" w:lineRule="exact"/>
              <w:ind w:firstLineChars="0" w:firstLine="0"/>
              <w:jc w:val="center"/>
              <w:rPr>
                <w:rFonts w:cs="Times New Roman"/>
                <w:snapToGrid w:val="0"/>
                <w:kern w:val="0"/>
                <w:sz w:val="18"/>
                <w:szCs w:val="18"/>
              </w:rPr>
            </w:pPr>
          </w:p>
        </w:tc>
      </w:tr>
      <w:tr w:rsidR="00A46452">
        <w:trPr>
          <w:trHeight w:val="437"/>
        </w:trPr>
        <w:tc>
          <w:tcPr>
            <w:tcW w:w="5000" w:type="pct"/>
            <w:gridSpan w:val="7"/>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水泥工业大气污染物排放标准单位：</w:t>
            </w:r>
            <w:r>
              <w:rPr>
                <w:rFonts w:cs="Times New Roman"/>
                <w:snapToGrid w:val="0"/>
                <w:kern w:val="0"/>
                <w:sz w:val="18"/>
                <w:szCs w:val="18"/>
              </w:rPr>
              <w:t>mg/m</w:t>
            </w:r>
            <w:r>
              <w:rPr>
                <w:rFonts w:cs="Times New Roman"/>
                <w:snapToGrid w:val="0"/>
                <w:kern w:val="0"/>
                <w:sz w:val="18"/>
                <w:szCs w:val="18"/>
                <w:vertAlign w:val="superscript"/>
              </w:rPr>
              <w:t>3</w:t>
            </w:r>
          </w:p>
        </w:tc>
      </w:tr>
      <w:tr w:rsidR="00A46452">
        <w:trPr>
          <w:trHeight w:hRule="exact" w:val="390"/>
        </w:trPr>
        <w:tc>
          <w:tcPr>
            <w:tcW w:w="1442"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生产过程</w:t>
            </w:r>
          </w:p>
        </w:tc>
        <w:tc>
          <w:tcPr>
            <w:tcW w:w="1401"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生产设备</w:t>
            </w:r>
          </w:p>
        </w:tc>
        <w:tc>
          <w:tcPr>
            <w:tcW w:w="2156" w:type="pct"/>
            <w:gridSpan w:val="3"/>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颗粒物</w:t>
            </w:r>
          </w:p>
        </w:tc>
      </w:tr>
      <w:tr w:rsidR="00A46452">
        <w:trPr>
          <w:trHeight w:hRule="exact" w:val="410"/>
        </w:trPr>
        <w:tc>
          <w:tcPr>
            <w:tcW w:w="1442"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水泥制品生产</w:t>
            </w:r>
          </w:p>
        </w:tc>
        <w:tc>
          <w:tcPr>
            <w:tcW w:w="1401" w:type="pct"/>
            <w:gridSpan w:val="2"/>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水泥仓及其他通风生产设备</w:t>
            </w:r>
          </w:p>
        </w:tc>
        <w:tc>
          <w:tcPr>
            <w:tcW w:w="2156" w:type="pct"/>
            <w:gridSpan w:val="3"/>
          </w:tcPr>
          <w:p w:rsidR="00A46452" w:rsidRDefault="009A3928">
            <w:pPr>
              <w:wordWrap w:val="0"/>
              <w:topLinePunct/>
              <w:adjustRightInd w:val="0"/>
              <w:snapToGrid w:val="0"/>
              <w:spacing w:line="240" w:lineRule="exact"/>
              <w:ind w:firstLineChars="0" w:firstLine="0"/>
              <w:jc w:val="center"/>
              <w:rPr>
                <w:rFonts w:cs="Times New Roman"/>
                <w:snapToGrid w:val="0"/>
                <w:kern w:val="0"/>
                <w:sz w:val="18"/>
                <w:szCs w:val="18"/>
              </w:rPr>
            </w:pPr>
            <w:r>
              <w:rPr>
                <w:rFonts w:cs="Times New Roman"/>
                <w:snapToGrid w:val="0"/>
                <w:kern w:val="0"/>
                <w:sz w:val="18"/>
                <w:szCs w:val="18"/>
              </w:rPr>
              <w:t>20</w:t>
            </w:r>
          </w:p>
        </w:tc>
      </w:tr>
    </w:tbl>
    <w:p w:rsidR="00A46452" w:rsidRDefault="009A3928">
      <w:pPr>
        <w:pStyle w:val="a4"/>
        <w:wordWrap w:val="0"/>
        <w:topLinePunct/>
        <w:adjustRightInd w:val="0"/>
        <w:snapToGrid w:val="0"/>
        <w:ind w:firstLine="480"/>
        <w:rPr>
          <w:rFonts w:cs="Times New Roman" w:hint="default"/>
          <w:sz w:val="24"/>
          <w:szCs w:val="24"/>
        </w:rPr>
      </w:pPr>
      <w:r>
        <w:rPr>
          <w:rFonts w:cs="Times New Roman" w:hint="default"/>
          <w:sz w:val="24"/>
          <w:szCs w:val="24"/>
        </w:rPr>
        <w:t>2</w:t>
      </w:r>
      <w:r>
        <w:rPr>
          <w:rFonts w:cs="Times New Roman" w:hint="default"/>
          <w:sz w:val="24"/>
          <w:szCs w:val="24"/>
        </w:rPr>
        <w:t>）运营期</w:t>
      </w:r>
    </w:p>
    <w:p w:rsidR="00A46452" w:rsidRDefault="009A3928">
      <w:pPr>
        <w:wordWrap w:val="0"/>
        <w:topLinePunct/>
        <w:adjustRightInd w:val="0"/>
        <w:snapToGrid w:val="0"/>
        <w:ind w:firstLine="480"/>
        <w:rPr>
          <w:rFonts w:cs="Times New Roman"/>
        </w:rPr>
      </w:pPr>
      <w:r>
        <w:rPr>
          <w:rFonts w:cs="Times New Roman"/>
        </w:rPr>
        <w:t>拟建公路沿线设置</w:t>
      </w:r>
      <w:r>
        <w:rPr>
          <w:rFonts w:cs="Times New Roman"/>
        </w:rPr>
        <w:t>2</w:t>
      </w:r>
      <w:r>
        <w:rPr>
          <w:rFonts w:cs="Times New Roman"/>
        </w:rPr>
        <w:t>处服务区，预留</w:t>
      </w:r>
      <w:r>
        <w:rPr>
          <w:rFonts w:cs="Times New Roman"/>
        </w:rPr>
        <w:t>2</w:t>
      </w:r>
      <w:r>
        <w:rPr>
          <w:rFonts w:cs="Times New Roman"/>
        </w:rPr>
        <w:t>处加油站用地，加油站不在本工程评价范围内。服务区拟依托沿线第三师</w:t>
      </w:r>
      <w:r>
        <w:rPr>
          <w:rFonts w:cs="Times New Roman"/>
        </w:rPr>
        <w:t>53</w:t>
      </w:r>
      <w:r>
        <w:rPr>
          <w:rFonts w:cs="Times New Roman"/>
        </w:rPr>
        <w:t>团集中供暖设施进行供暖，无锅炉废气排放。</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2</w:t>
      </w:r>
      <w:r>
        <w:rPr>
          <w:rFonts w:cs="Times New Roman"/>
          <w:b/>
        </w:rPr>
        <w:t>）废水</w:t>
      </w:r>
      <w:bookmarkEnd w:id="121"/>
      <w:bookmarkEnd w:id="122"/>
      <w:bookmarkEnd w:id="123"/>
    </w:p>
    <w:p w:rsidR="00A46452" w:rsidRDefault="009A3928">
      <w:pPr>
        <w:wordWrap w:val="0"/>
        <w:topLinePunct/>
        <w:adjustRightInd w:val="0"/>
        <w:snapToGrid w:val="0"/>
        <w:ind w:firstLine="480"/>
        <w:rPr>
          <w:rFonts w:cs="Times New Roman"/>
        </w:rPr>
      </w:pPr>
      <w:bookmarkStart w:id="124" w:name="_Toc247448074"/>
      <w:bookmarkStart w:id="125" w:name="_Toc247338699"/>
      <w:bookmarkStart w:id="126" w:name="_Toc246436466"/>
      <w:r>
        <w:rPr>
          <w:rFonts w:cs="Times New Roman"/>
        </w:rPr>
        <w:t>对于施工期生产废水的处理，施工废水收集后经隔油沉淀处理达《城市污水再生利用城市杂用水水质》（</w:t>
      </w:r>
      <w:r>
        <w:rPr>
          <w:rFonts w:cs="Times New Roman"/>
        </w:rPr>
        <w:t>GB/T18920-2020</w:t>
      </w:r>
      <w:r>
        <w:rPr>
          <w:rFonts w:cs="Times New Roman"/>
        </w:rPr>
        <w:t>）中表</w:t>
      </w:r>
      <w:r>
        <w:rPr>
          <w:rFonts w:cs="Times New Roman"/>
        </w:rPr>
        <w:t>1</w:t>
      </w:r>
      <w:r>
        <w:rPr>
          <w:rFonts w:cs="Times New Roman"/>
        </w:rPr>
        <w:t>标准后回用于施工、运输车辆冲洗和场地抑尘洒水等用途，不外排</w:t>
      </w:r>
      <w:r>
        <w:rPr>
          <w:rFonts w:cs="Times New Roman"/>
        </w:rPr>
        <w:t>。</w:t>
      </w:r>
      <w:r>
        <w:rPr>
          <w:rFonts w:cs="Times New Roman"/>
        </w:rPr>
        <w:t>本项目施工营地采用自建</w:t>
      </w:r>
      <w:r>
        <w:rPr>
          <w:rFonts w:cs="Times New Roman"/>
        </w:rPr>
        <w:t>方式</w:t>
      </w:r>
      <w:r>
        <w:rPr>
          <w:rFonts w:cs="Times New Roman"/>
        </w:rPr>
        <w:t>，</w:t>
      </w:r>
      <w:r>
        <w:rPr>
          <w:rFonts w:cs="Times New Roman"/>
        </w:rPr>
        <w:t>3</w:t>
      </w:r>
      <w:r>
        <w:rPr>
          <w:rFonts w:cs="Times New Roman"/>
        </w:rPr>
        <w:t>处综合站场内各自建</w:t>
      </w:r>
      <w:r>
        <w:rPr>
          <w:rFonts w:cs="Times New Roman"/>
        </w:rPr>
        <w:t>1</w:t>
      </w:r>
      <w:r>
        <w:rPr>
          <w:rFonts w:cs="Times New Roman"/>
        </w:rPr>
        <w:t>个施工</w:t>
      </w:r>
      <w:r>
        <w:rPr>
          <w:rFonts w:cs="Times New Roman"/>
        </w:rPr>
        <w:t>营地</w:t>
      </w:r>
      <w:r>
        <w:rPr>
          <w:rFonts w:cs="Times New Roman"/>
        </w:rPr>
        <w:t>，产生的生活污水集中收集排入一体化污水处理设施处理</w:t>
      </w:r>
      <w:r>
        <w:rPr>
          <w:rFonts w:cs="Times New Roman"/>
        </w:rPr>
        <w:t>达标后荒漠绿化灌溉</w:t>
      </w:r>
      <w:r>
        <w:rPr>
          <w:rFonts w:cs="Times New Roman"/>
        </w:rPr>
        <w:t>；</w:t>
      </w:r>
      <w:r>
        <w:rPr>
          <w:rFonts w:cs="Times New Roman"/>
        </w:rPr>
        <w:t>施工期</w:t>
      </w:r>
      <w:r>
        <w:rPr>
          <w:rFonts w:cs="Times New Roman"/>
        </w:rPr>
        <w:t>生活污水执行新疆维吾尔自治区地方标准《农村生活污水处理排放标准》（</w:t>
      </w:r>
      <w:r>
        <w:rPr>
          <w:rFonts w:cs="Times New Roman"/>
        </w:rPr>
        <w:t>DB</w:t>
      </w:r>
      <w:r>
        <w:rPr>
          <w:rFonts w:cs="Times New Roman"/>
        </w:rPr>
        <w:t xml:space="preserve"> </w:t>
      </w:r>
      <w:r>
        <w:rPr>
          <w:rFonts w:cs="Times New Roman"/>
        </w:rPr>
        <w:t>654275-2019</w:t>
      </w:r>
      <w:r>
        <w:rPr>
          <w:rFonts w:cs="Times New Roman"/>
        </w:rPr>
        <w:t>）表</w:t>
      </w:r>
      <w:r>
        <w:rPr>
          <w:rFonts w:cs="Times New Roman"/>
        </w:rPr>
        <w:t>2</w:t>
      </w:r>
      <w:r>
        <w:rPr>
          <w:rFonts w:cs="Times New Roman"/>
        </w:rPr>
        <w:t>中</w:t>
      </w:r>
      <w:r>
        <w:rPr>
          <w:rFonts w:cs="Times New Roman"/>
        </w:rPr>
        <w:t>B</w:t>
      </w:r>
      <w:r>
        <w:rPr>
          <w:rFonts w:cs="Times New Roman"/>
        </w:rPr>
        <w:t>级限值，出水满足</w:t>
      </w:r>
      <w:r>
        <w:rPr>
          <w:rFonts w:cs="Times New Roman"/>
        </w:rPr>
        <w:t>B</w:t>
      </w:r>
      <w:r>
        <w:rPr>
          <w:rFonts w:cs="Times New Roman"/>
        </w:rPr>
        <w:t>级限值后可用于植被的绿化。</w:t>
      </w:r>
      <w:r>
        <w:rPr>
          <w:rFonts w:cs="Times New Roman"/>
        </w:rPr>
        <w:t>运营期服务区等生活设施污水处理达到《农村生活污水处理排放标准》（</w:t>
      </w:r>
      <w:r>
        <w:rPr>
          <w:rFonts w:cs="Times New Roman"/>
        </w:rPr>
        <w:t>DB 654275-2019</w:t>
      </w:r>
      <w:r>
        <w:rPr>
          <w:rFonts w:cs="Times New Roman"/>
        </w:rPr>
        <w:t>）表</w:t>
      </w:r>
      <w:r>
        <w:rPr>
          <w:rFonts w:cs="Times New Roman"/>
        </w:rPr>
        <w:t>2</w:t>
      </w:r>
      <w:r>
        <w:rPr>
          <w:rFonts w:cs="Times New Roman"/>
        </w:rPr>
        <w:t>中</w:t>
      </w:r>
      <w:r>
        <w:rPr>
          <w:rFonts w:cs="Times New Roman"/>
        </w:rPr>
        <w:t>A</w:t>
      </w:r>
      <w:r>
        <w:rPr>
          <w:rFonts w:cs="Times New Roman"/>
        </w:rPr>
        <w:t>级限值，用于服务区周边草地的灌溉</w:t>
      </w:r>
      <w:r>
        <w:rPr>
          <w:rFonts w:cs="Times New Roman"/>
        </w:rPr>
        <w:t>。详见下表</w:t>
      </w:r>
      <w:r>
        <w:rPr>
          <w:rFonts w:cs="Times New Roman"/>
        </w:rPr>
        <w:t>2</w:t>
      </w:r>
      <w:r>
        <w:rPr>
          <w:rFonts w:cs="Times New Roman"/>
        </w:rPr>
        <w:t>.5</w:t>
      </w:r>
      <w:r>
        <w:rPr>
          <w:rFonts w:cs="Times New Roman"/>
        </w:rPr>
        <w:t>-</w:t>
      </w:r>
      <w:r>
        <w:rPr>
          <w:rFonts w:cs="Times New Roman"/>
        </w:rPr>
        <w:t>7</w:t>
      </w:r>
      <w:r>
        <w:rPr>
          <w:rFonts w:cs="Times New Roman"/>
        </w:rPr>
        <w:t>、表</w:t>
      </w:r>
      <w:r>
        <w:rPr>
          <w:rFonts w:cs="Times New Roman"/>
        </w:rPr>
        <w:t>2.5-8</w:t>
      </w:r>
      <w:r>
        <w:rPr>
          <w:rFonts w:cs="Times New Roman"/>
        </w:rPr>
        <w:t>。</w:t>
      </w:r>
    </w:p>
    <w:p w:rsidR="00A46452" w:rsidRDefault="009A3928">
      <w:pPr>
        <w:wordWrap w:val="0"/>
        <w:topLinePunct/>
        <w:adjustRightInd w:val="0"/>
        <w:snapToGrid w:val="0"/>
        <w:spacing w:line="240" w:lineRule="auto"/>
        <w:ind w:firstLineChars="0" w:firstLine="0"/>
        <w:rPr>
          <w:rFonts w:cs="Times New Roman"/>
          <w:sz w:val="20"/>
          <w:szCs w:val="20"/>
        </w:rPr>
      </w:pPr>
      <w:r>
        <w:rPr>
          <w:rFonts w:eastAsia="黑体" w:cs="Times New Roman"/>
          <w:szCs w:val="24"/>
        </w:rPr>
        <w:t>表</w:t>
      </w:r>
      <w:r>
        <w:rPr>
          <w:rFonts w:eastAsia="黑体" w:cs="Times New Roman"/>
          <w:szCs w:val="24"/>
        </w:rPr>
        <w:t xml:space="preserve">2.5-7     </w:t>
      </w:r>
      <w:r>
        <w:rPr>
          <w:rFonts w:eastAsia="黑体" w:cs="Times New Roman"/>
          <w:szCs w:val="24"/>
        </w:rPr>
        <w:t>《城市污水再生利用城市杂用水水质》（</w:t>
      </w:r>
      <w:r>
        <w:rPr>
          <w:rFonts w:eastAsia="黑体" w:cs="Times New Roman"/>
          <w:szCs w:val="24"/>
        </w:rPr>
        <w:t>GB/T18920-2020</w:t>
      </w:r>
      <w:r>
        <w:rPr>
          <w:rFonts w:eastAsia="黑体" w:cs="Times New Roman"/>
          <w:szCs w:val="24"/>
        </w:rPr>
        <w:t>）</w:t>
      </w:r>
    </w:p>
    <w:p w:rsidR="00A46452" w:rsidRDefault="00A46452" w:rsidP="00182EED">
      <w:pPr>
        <w:wordWrap w:val="0"/>
        <w:topLinePunct/>
        <w:adjustRightInd w:val="0"/>
        <w:snapToGrid w:val="0"/>
        <w:spacing w:line="29" w:lineRule="auto"/>
        <w:ind w:firstLine="40"/>
        <w:rPr>
          <w:rFonts w:cs="Times New Roman"/>
          <w:sz w:val="2"/>
        </w:rPr>
      </w:pPr>
    </w:p>
    <w:tbl>
      <w:tblPr>
        <w:tblStyle w:val="TableNormal"/>
        <w:tblW w:w="5016"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108"/>
        <w:gridCol w:w="2801"/>
        <w:gridCol w:w="4575"/>
      </w:tblGrid>
      <w:tr w:rsidR="00A46452">
        <w:trPr>
          <w:trHeight w:val="406"/>
          <w:jc w:val="center"/>
        </w:trPr>
        <w:tc>
          <w:tcPr>
            <w:tcW w:w="653" w:type="pct"/>
            <w:tcBorders>
              <w:tl2br w:val="nil"/>
              <w:tr2bl w:val="nil"/>
            </w:tcBorders>
            <w:vAlign w:val="center"/>
          </w:tcPr>
          <w:p w:rsidR="00A46452" w:rsidRDefault="009A3928">
            <w:pPr>
              <w:pStyle w:val="TableText"/>
              <w:wordWrap w:val="0"/>
              <w:topLinePunct/>
              <w:adjustRightInd w:val="0"/>
              <w:snapToGrid w:val="0"/>
              <w:spacing w:line="229" w:lineRule="auto"/>
              <w:ind w:firstLineChars="0" w:firstLine="0"/>
              <w:jc w:val="center"/>
              <w:rPr>
                <w:rFonts w:eastAsiaTheme="minorEastAsia"/>
                <w:sz w:val="18"/>
                <w:szCs w:val="18"/>
              </w:rPr>
            </w:pPr>
            <w:r>
              <w:rPr>
                <w:rFonts w:eastAsiaTheme="minorEastAsia"/>
                <w:spacing w:val="5"/>
                <w:sz w:val="18"/>
                <w:szCs w:val="18"/>
              </w:rPr>
              <w:t>序号</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72"/>
              <w:jc w:val="center"/>
              <w:rPr>
                <w:rFonts w:eastAsiaTheme="minorEastAsia"/>
                <w:sz w:val="18"/>
                <w:szCs w:val="18"/>
              </w:rPr>
            </w:pPr>
            <w:r>
              <w:rPr>
                <w:rFonts w:eastAsiaTheme="minorEastAsia"/>
                <w:spacing w:val="3"/>
                <w:sz w:val="18"/>
                <w:szCs w:val="18"/>
              </w:rPr>
              <w:t>项目</w:t>
            </w:r>
          </w:p>
        </w:tc>
        <w:tc>
          <w:tcPr>
            <w:tcW w:w="2694"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96"/>
              <w:jc w:val="center"/>
              <w:rPr>
                <w:rFonts w:eastAsiaTheme="minorEastAsia"/>
                <w:sz w:val="18"/>
                <w:szCs w:val="18"/>
                <w:lang w:eastAsia="zh-CN"/>
              </w:rPr>
            </w:pPr>
            <w:r>
              <w:rPr>
                <w:rFonts w:eastAsiaTheme="minorEastAsia"/>
                <w:spacing w:val="9"/>
                <w:sz w:val="18"/>
                <w:szCs w:val="18"/>
                <w:lang w:eastAsia="zh-CN"/>
              </w:rPr>
              <w:t>城市绿化、道路清扫、消防、建筑施工</w:t>
            </w:r>
          </w:p>
        </w:tc>
      </w:tr>
      <w:tr w:rsidR="00A46452">
        <w:trPr>
          <w:trHeight w:val="401"/>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1651" w:type="pct"/>
            <w:tcBorders>
              <w:tl2br w:val="nil"/>
              <w:tr2bl w:val="nil"/>
            </w:tcBorders>
            <w:vAlign w:val="center"/>
          </w:tcPr>
          <w:p w:rsidR="00A46452" w:rsidRDefault="009A3928" w:rsidP="00182EED">
            <w:pPr>
              <w:wordWrap w:val="0"/>
              <w:topLinePunct/>
              <w:adjustRightInd w:val="0"/>
              <w:snapToGrid w:val="0"/>
              <w:spacing w:line="194" w:lineRule="auto"/>
              <w:ind w:firstLine="384"/>
              <w:jc w:val="center"/>
              <w:rPr>
                <w:rFonts w:eastAsiaTheme="minorEastAsia" w:cs="Times New Roman"/>
                <w:sz w:val="18"/>
                <w:szCs w:val="18"/>
              </w:rPr>
            </w:pPr>
            <w:r>
              <w:rPr>
                <w:rFonts w:eastAsiaTheme="minorEastAsia" w:cs="Times New Roman"/>
                <w:spacing w:val="6"/>
                <w:sz w:val="18"/>
                <w:szCs w:val="18"/>
              </w:rPr>
              <w:t>pH</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64"/>
              <w:jc w:val="center"/>
              <w:rPr>
                <w:rFonts w:eastAsiaTheme="minorEastAsia" w:cs="Times New Roman"/>
                <w:sz w:val="18"/>
                <w:szCs w:val="18"/>
              </w:rPr>
            </w:pPr>
            <w:r>
              <w:rPr>
                <w:rFonts w:eastAsiaTheme="minorEastAsia" w:cs="Times New Roman"/>
                <w:spacing w:val="1"/>
                <w:sz w:val="18"/>
                <w:szCs w:val="18"/>
              </w:rPr>
              <w:t>6~9</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2</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72"/>
              <w:jc w:val="center"/>
              <w:rPr>
                <w:rFonts w:eastAsiaTheme="minorEastAsia"/>
                <w:sz w:val="18"/>
                <w:szCs w:val="18"/>
              </w:rPr>
            </w:pPr>
            <w:r>
              <w:rPr>
                <w:rFonts w:eastAsiaTheme="minorEastAsia"/>
                <w:spacing w:val="3"/>
                <w:sz w:val="18"/>
                <w:szCs w:val="18"/>
              </w:rPr>
              <w:t>色度</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6"/>
              <w:jc w:val="center"/>
              <w:rPr>
                <w:rFonts w:eastAsiaTheme="minorEastAsia" w:cs="Times New Roman"/>
                <w:sz w:val="18"/>
                <w:szCs w:val="18"/>
              </w:rPr>
            </w:pPr>
            <w:r>
              <w:rPr>
                <w:rFonts w:eastAsiaTheme="minorEastAsia" w:cs="Times New Roman"/>
                <w:spacing w:val="4"/>
                <w:sz w:val="18"/>
                <w:szCs w:val="18"/>
              </w:rPr>
              <w:t>≤30</w:t>
            </w:r>
          </w:p>
        </w:tc>
      </w:tr>
      <w:tr w:rsidR="00A46452">
        <w:trPr>
          <w:trHeight w:val="401"/>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3</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60"/>
              <w:jc w:val="center"/>
              <w:rPr>
                <w:rFonts w:eastAsiaTheme="minorEastAsia"/>
                <w:sz w:val="18"/>
                <w:szCs w:val="18"/>
              </w:rPr>
            </w:pPr>
            <w:r>
              <w:rPr>
                <w:rFonts w:eastAsiaTheme="minorEastAsia"/>
                <w:sz w:val="18"/>
                <w:szCs w:val="18"/>
              </w:rPr>
              <w:t>嗅</w:t>
            </w:r>
          </w:p>
        </w:tc>
        <w:tc>
          <w:tcPr>
            <w:tcW w:w="2694"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84"/>
              <w:jc w:val="center"/>
              <w:rPr>
                <w:rFonts w:eastAsiaTheme="minorEastAsia"/>
                <w:sz w:val="18"/>
                <w:szCs w:val="18"/>
              </w:rPr>
            </w:pPr>
            <w:r>
              <w:rPr>
                <w:rFonts w:eastAsiaTheme="minorEastAsia"/>
                <w:spacing w:val="6"/>
                <w:sz w:val="18"/>
                <w:szCs w:val="18"/>
              </w:rPr>
              <w:t>无不快感</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pacing w:val="1"/>
                <w:sz w:val="18"/>
                <w:szCs w:val="18"/>
              </w:rPr>
              <w:t>4</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72"/>
              <w:jc w:val="center"/>
              <w:rPr>
                <w:rFonts w:eastAsiaTheme="minorEastAsia"/>
                <w:sz w:val="18"/>
                <w:szCs w:val="18"/>
              </w:rPr>
            </w:pPr>
            <w:r>
              <w:rPr>
                <w:rFonts w:eastAsiaTheme="minorEastAsia"/>
                <w:spacing w:val="3"/>
                <w:sz w:val="18"/>
                <w:szCs w:val="18"/>
              </w:rPr>
              <w:t>浊度</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6"/>
              <w:jc w:val="center"/>
              <w:rPr>
                <w:rFonts w:eastAsiaTheme="minorEastAsia" w:cs="Times New Roman"/>
                <w:sz w:val="18"/>
                <w:szCs w:val="18"/>
              </w:rPr>
            </w:pPr>
            <w:r>
              <w:rPr>
                <w:rFonts w:eastAsiaTheme="minorEastAsia" w:cs="Times New Roman"/>
                <w:spacing w:val="4"/>
                <w:sz w:val="18"/>
                <w:szCs w:val="18"/>
              </w:rPr>
              <w:t>≤10</w:t>
            </w:r>
          </w:p>
        </w:tc>
      </w:tr>
      <w:tr w:rsidR="00A46452">
        <w:trPr>
          <w:trHeight w:val="401"/>
          <w:jc w:val="center"/>
        </w:trPr>
        <w:tc>
          <w:tcPr>
            <w:tcW w:w="653" w:type="pct"/>
            <w:tcBorders>
              <w:tl2br w:val="nil"/>
              <w:tr2bl w:val="nil"/>
            </w:tcBorders>
            <w:vAlign w:val="center"/>
          </w:tcPr>
          <w:p w:rsidR="00A46452" w:rsidRDefault="009A3928">
            <w:pPr>
              <w:wordWrap w:val="0"/>
              <w:topLinePunct/>
              <w:adjustRightInd w:val="0"/>
              <w:snapToGrid w:val="0"/>
              <w:spacing w:line="192"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1651" w:type="pct"/>
            <w:tcBorders>
              <w:tl2br w:val="nil"/>
              <w:tr2bl w:val="nil"/>
            </w:tcBorders>
            <w:vAlign w:val="center"/>
          </w:tcPr>
          <w:p w:rsidR="00A46452" w:rsidRDefault="009A3928" w:rsidP="00182EED">
            <w:pPr>
              <w:wordWrap w:val="0"/>
              <w:topLinePunct/>
              <w:adjustRightInd w:val="0"/>
              <w:snapToGrid w:val="0"/>
              <w:spacing w:line="202" w:lineRule="auto"/>
              <w:ind w:firstLine="380"/>
              <w:jc w:val="center"/>
              <w:rPr>
                <w:rFonts w:eastAsiaTheme="minorEastAsia" w:cs="Times New Roman"/>
                <w:sz w:val="18"/>
                <w:szCs w:val="18"/>
              </w:rPr>
            </w:pPr>
            <w:r>
              <w:rPr>
                <w:rFonts w:eastAsiaTheme="minorEastAsia" w:cs="Times New Roman"/>
                <w:spacing w:val="5"/>
                <w:sz w:val="18"/>
                <w:szCs w:val="18"/>
              </w:rPr>
              <w:t>BOD</w:t>
            </w:r>
            <w:r>
              <w:rPr>
                <w:rFonts w:eastAsiaTheme="minorEastAsia" w:cs="Times New Roman"/>
                <w:spacing w:val="5"/>
                <w:position w:val="-1"/>
                <w:sz w:val="18"/>
                <w:szCs w:val="18"/>
                <w:vertAlign w:val="subscript"/>
              </w:rPr>
              <w:t>5</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6"/>
              <w:jc w:val="center"/>
              <w:rPr>
                <w:rFonts w:eastAsiaTheme="minorEastAsia" w:cs="Times New Roman"/>
                <w:sz w:val="18"/>
                <w:szCs w:val="18"/>
              </w:rPr>
            </w:pPr>
            <w:r>
              <w:rPr>
                <w:rFonts w:eastAsiaTheme="minorEastAsia" w:cs="Times New Roman"/>
                <w:spacing w:val="4"/>
                <w:sz w:val="18"/>
                <w:szCs w:val="18"/>
              </w:rPr>
              <w:t>≤10</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6</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7" w:lineRule="auto"/>
              <w:ind w:firstLine="376"/>
              <w:jc w:val="center"/>
              <w:rPr>
                <w:rFonts w:eastAsiaTheme="minorEastAsia"/>
                <w:sz w:val="18"/>
                <w:szCs w:val="18"/>
              </w:rPr>
            </w:pPr>
            <w:r>
              <w:rPr>
                <w:rFonts w:eastAsiaTheme="minorEastAsia"/>
                <w:spacing w:val="4"/>
                <w:sz w:val="18"/>
                <w:szCs w:val="18"/>
              </w:rPr>
              <w:t>氨氮</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2"/>
              <w:jc w:val="center"/>
              <w:rPr>
                <w:rFonts w:eastAsiaTheme="minorEastAsia" w:cs="Times New Roman"/>
                <w:sz w:val="18"/>
                <w:szCs w:val="18"/>
              </w:rPr>
            </w:pPr>
            <w:r>
              <w:rPr>
                <w:rFonts w:eastAsiaTheme="minorEastAsia" w:cs="Times New Roman"/>
                <w:spacing w:val="3"/>
                <w:sz w:val="18"/>
                <w:szCs w:val="18"/>
              </w:rPr>
              <w:t>≤8</w:t>
            </w:r>
          </w:p>
        </w:tc>
      </w:tr>
      <w:tr w:rsidR="00A46452">
        <w:trPr>
          <w:trHeight w:val="401"/>
          <w:jc w:val="center"/>
        </w:trPr>
        <w:tc>
          <w:tcPr>
            <w:tcW w:w="653" w:type="pct"/>
            <w:tcBorders>
              <w:tl2br w:val="nil"/>
              <w:tr2bl w:val="nil"/>
            </w:tcBorders>
            <w:vAlign w:val="center"/>
          </w:tcPr>
          <w:p w:rsidR="00A46452" w:rsidRDefault="009A3928">
            <w:pPr>
              <w:wordWrap w:val="0"/>
              <w:topLinePunct/>
              <w:adjustRightInd w:val="0"/>
              <w:snapToGrid w:val="0"/>
              <w:spacing w:line="192" w:lineRule="auto"/>
              <w:ind w:firstLineChars="0" w:firstLine="0"/>
              <w:jc w:val="center"/>
              <w:rPr>
                <w:rFonts w:eastAsiaTheme="minorEastAsia" w:cs="Times New Roman"/>
                <w:sz w:val="18"/>
                <w:szCs w:val="18"/>
              </w:rPr>
            </w:pPr>
            <w:r>
              <w:rPr>
                <w:rFonts w:eastAsiaTheme="minorEastAsia" w:cs="Times New Roman"/>
                <w:sz w:val="18"/>
                <w:szCs w:val="18"/>
              </w:rPr>
              <w:t>7</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7" w:lineRule="auto"/>
              <w:ind w:firstLine="384"/>
              <w:jc w:val="center"/>
              <w:rPr>
                <w:rFonts w:eastAsiaTheme="minorEastAsia"/>
                <w:sz w:val="18"/>
                <w:szCs w:val="18"/>
              </w:rPr>
            </w:pPr>
            <w:r>
              <w:rPr>
                <w:rFonts w:eastAsiaTheme="minorEastAsia"/>
                <w:spacing w:val="6"/>
                <w:sz w:val="18"/>
                <w:szCs w:val="18"/>
              </w:rPr>
              <w:t>阴离子表面活性剂</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2"/>
              <w:jc w:val="center"/>
              <w:rPr>
                <w:rFonts w:eastAsiaTheme="minorEastAsia" w:cs="Times New Roman"/>
                <w:sz w:val="18"/>
                <w:szCs w:val="18"/>
              </w:rPr>
            </w:pPr>
            <w:r>
              <w:rPr>
                <w:rFonts w:eastAsiaTheme="minorEastAsia" w:cs="Times New Roman"/>
                <w:spacing w:val="3"/>
                <w:sz w:val="18"/>
                <w:szCs w:val="18"/>
              </w:rPr>
              <w:t>≤0.5</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8</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9" w:lineRule="auto"/>
              <w:ind w:firstLine="364"/>
              <w:jc w:val="center"/>
              <w:rPr>
                <w:rFonts w:eastAsiaTheme="minorEastAsia"/>
                <w:sz w:val="18"/>
                <w:szCs w:val="18"/>
              </w:rPr>
            </w:pPr>
            <w:r>
              <w:rPr>
                <w:rFonts w:eastAsiaTheme="minorEastAsia"/>
                <w:spacing w:val="1"/>
                <w:sz w:val="18"/>
                <w:szCs w:val="18"/>
              </w:rPr>
              <w:t>铁</w:t>
            </w:r>
          </w:p>
        </w:tc>
        <w:tc>
          <w:tcPr>
            <w:tcW w:w="2694" w:type="pct"/>
            <w:tcBorders>
              <w:tl2br w:val="nil"/>
              <w:tr2bl w:val="nil"/>
            </w:tcBorders>
            <w:vAlign w:val="center"/>
          </w:tcPr>
          <w:p w:rsidR="00A46452" w:rsidRDefault="009A3928" w:rsidP="00182EED">
            <w:pPr>
              <w:wordWrap w:val="0"/>
              <w:topLinePunct/>
              <w:adjustRightInd w:val="0"/>
              <w:snapToGrid w:val="0"/>
              <w:spacing w:line="199" w:lineRule="auto"/>
              <w:ind w:firstLine="368"/>
              <w:jc w:val="center"/>
              <w:rPr>
                <w:rFonts w:eastAsiaTheme="minorEastAsia" w:cs="Times New Roman"/>
                <w:sz w:val="18"/>
                <w:szCs w:val="18"/>
              </w:rPr>
            </w:pPr>
            <w:r>
              <w:rPr>
                <w:rFonts w:eastAsiaTheme="minorEastAsia" w:cs="Times New Roman"/>
                <w:spacing w:val="2"/>
                <w:sz w:val="18"/>
                <w:szCs w:val="18"/>
              </w:rPr>
              <w:t>/</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z w:val="18"/>
                <w:szCs w:val="18"/>
              </w:rPr>
              <w:t>9</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34" w:lineRule="auto"/>
              <w:ind w:firstLine="360"/>
              <w:jc w:val="center"/>
              <w:rPr>
                <w:rFonts w:eastAsiaTheme="minorEastAsia"/>
                <w:sz w:val="18"/>
                <w:szCs w:val="18"/>
              </w:rPr>
            </w:pPr>
            <w:r>
              <w:rPr>
                <w:rFonts w:eastAsiaTheme="minorEastAsia"/>
                <w:sz w:val="18"/>
                <w:szCs w:val="18"/>
              </w:rPr>
              <w:t>锰</w:t>
            </w:r>
          </w:p>
        </w:tc>
        <w:tc>
          <w:tcPr>
            <w:tcW w:w="2694" w:type="pct"/>
            <w:tcBorders>
              <w:tl2br w:val="nil"/>
              <w:tr2bl w:val="nil"/>
            </w:tcBorders>
            <w:vAlign w:val="center"/>
          </w:tcPr>
          <w:p w:rsidR="00A46452" w:rsidRDefault="009A3928" w:rsidP="00182EED">
            <w:pPr>
              <w:wordWrap w:val="0"/>
              <w:topLinePunct/>
              <w:adjustRightInd w:val="0"/>
              <w:snapToGrid w:val="0"/>
              <w:spacing w:line="199" w:lineRule="auto"/>
              <w:ind w:firstLine="368"/>
              <w:jc w:val="center"/>
              <w:rPr>
                <w:rFonts w:eastAsiaTheme="minorEastAsia" w:cs="Times New Roman"/>
                <w:sz w:val="18"/>
                <w:szCs w:val="18"/>
              </w:rPr>
            </w:pPr>
            <w:r>
              <w:rPr>
                <w:rFonts w:eastAsiaTheme="minorEastAsia" w:cs="Times New Roman"/>
                <w:spacing w:val="2"/>
                <w:sz w:val="18"/>
                <w:szCs w:val="18"/>
              </w:rPr>
              <w:t>/</w:t>
            </w:r>
          </w:p>
        </w:tc>
      </w:tr>
      <w:tr w:rsidR="00A46452">
        <w:trPr>
          <w:trHeight w:val="402"/>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pacing w:val="-8"/>
                <w:sz w:val="18"/>
                <w:szCs w:val="18"/>
              </w:rPr>
              <w:t>10</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88"/>
              <w:jc w:val="center"/>
              <w:rPr>
                <w:rFonts w:eastAsiaTheme="minorEastAsia"/>
                <w:sz w:val="18"/>
                <w:szCs w:val="18"/>
              </w:rPr>
            </w:pPr>
            <w:r>
              <w:rPr>
                <w:rFonts w:eastAsiaTheme="minorEastAsia"/>
                <w:spacing w:val="7"/>
                <w:sz w:val="18"/>
                <w:szCs w:val="18"/>
              </w:rPr>
              <w:t>溶解性总固体</w:t>
            </w:r>
          </w:p>
        </w:tc>
        <w:tc>
          <w:tcPr>
            <w:tcW w:w="2694" w:type="pct"/>
            <w:tcBorders>
              <w:tl2br w:val="nil"/>
              <w:tr2bl w:val="nil"/>
            </w:tcBorders>
            <w:vAlign w:val="center"/>
          </w:tcPr>
          <w:p w:rsidR="00A46452" w:rsidRDefault="009A3928" w:rsidP="00182EED">
            <w:pPr>
              <w:pStyle w:val="TableText"/>
              <w:wordWrap w:val="0"/>
              <w:topLinePunct/>
              <w:adjustRightInd w:val="0"/>
              <w:snapToGrid w:val="0"/>
              <w:spacing w:line="232" w:lineRule="auto"/>
              <w:ind w:firstLine="380"/>
              <w:jc w:val="center"/>
              <w:rPr>
                <w:rFonts w:eastAsiaTheme="minorEastAsia"/>
                <w:sz w:val="18"/>
                <w:szCs w:val="18"/>
              </w:rPr>
            </w:pPr>
            <w:r>
              <w:rPr>
                <w:rFonts w:eastAsiaTheme="minorEastAsia"/>
                <w:spacing w:val="5"/>
                <w:sz w:val="18"/>
                <w:szCs w:val="18"/>
              </w:rPr>
              <w:t>≤1000</w:t>
            </w:r>
            <w:r>
              <w:rPr>
                <w:rFonts w:eastAsiaTheme="minorEastAsia"/>
                <w:spacing w:val="5"/>
                <w:sz w:val="18"/>
                <w:szCs w:val="18"/>
              </w:rPr>
              <w:t>（</w:t>
            </w:r>
            <w:r>
              <w:rPr>
                <w:rFonts w:eastAsiaTheme="minorEastAsia"/>
                <w:spacing w:val="5"/>
                <w:sz w:val="18"/>
                <w:szCs w:val="18"/>
              </w:rPr>
              <w:t>2000</w:t>
            </w:r>
            <w:r>
              <w:rPr>
                <w:rFonts w:eastAsiaTheme="minorEastAsia"/>
                <w:spacing w:val="5"/>
                <w:sz w:val="18"/>
                <w:szCs w:val="18"/>
              </w:rPr>
              <w:t>）</w:t>
            </w:r>
            <w:r>
              <w:rPr>
                <w:rFonts w:eastAsiaTheme="minorEastAsia"/>
                <w:spacing w:val="5"/>
                <w:sz w:val="18"/>
                <w:szCs w:val="18"/>
              </w:rPr>
              <w:t>a</w:t>
            </w:r>
          </w:p>
        </w:tc>
      </w:tr>
      <w:tr w:rsidR="00A46452">
        <w:trPr>
          <w:trHeight w:val="404"/>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pacing w:val="-8"/>
                <w:sz w:val="18"/>
                <w:szCs w:val="18"/>
              </w:rPr>
              <w:t>11</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7" w:lineRule="auto"/>
              <w:ind w:firstLine="384"/>
              <w:jc w:val="center"/>
              <w:rPr>
                <w:rFonts w:eastAsiaTheme="minorEastAsia"/>
                <w:sz w:val="18"/>
                <w:szCs w:val="18"/>
              </w:rPr>
            </w:pPr>
            <w:r>
              <w:rPr>
                <w:rFonts w:eastAsiaTheme="minorEastAsia"/>
                <w:spacing w:val="6"/>
                <w:sz w:val="18"/>
                <w:szCs w:val="18"/>
              </w:rPr>
              <w:t>溶解氧</w:t>
            </w:r>
          </w:p>
        </w:tc>
        <w:tc>
          <w:tcPr>
            <w:tcW w:w="2694" w:type="pct"/>
            <w:tcBorders>
              <w:tl2br w:val="nil"/>
              <w:tr2bl w:val="nil"/>
            </w:tcBorders>
            <w:vAlign w:val="center"/>
          </w:tcPr>
          <w:p w:rsidR="00A46452" w:rsidRDefault="009A3928" w:rsidP="00182EED">
            <w:pPr>
              <w:wordWrap w:val="0"/>
              <w:topLinePunct/>
              <w:adjustRightInd w:val="0"/>
              <w:snapToGrid w:val="0"/>
              <w:spacing w:line="199" w:lineRule="auto"/>
              <w:ind w:firstLine="376"/>
              <w:jc w:val="center"/>
              <w:rPr>
                <w:rFonts w:eastAsiaTheme="minorEastAsia" w:cs="Times New Roman"/>
                <w:sz w:val="18"/>
                <w:szCs w:val="18"/>
              </w:rPr>
            </w:pPr>
            <w:r>
              <w:rPr>
                <w:rFonts w:eastAsiaTheme="minorEastAsia" w:cs="Times New Roman"/>
                <w:spacing w:val="4"/>
                <w:sz w:val="18"/>
                <w:szCs w:val="18"/>
              </w:rPr>
              <w:t>≥2.0b</w:t>
            </w:r>
          </w:p>
        </w:tc>
      </w:tr>
      <w:tr w:rsidR="00A46452">
        <w:trPr>
          <w:trHeight w:val="404"/>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pacing w:val="-8"/>
                <w:sz w:val="18"/>
                <w:szCs w:val="18"/>
              </w:rPr>
              <w:t>12</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9" w:lineRule="auto"/>
              <w:ind w:firstLine="368"/>
              <w:jc w:val="center"/>
              <w:rPr>
                <w:rFonts w:eastAsiaTheme="minorEastAsia"/>
                <w:sz w:val="18"/>
                <w:szCs w:val="18"/>
              </w:rPr>
            </w:pPr>
            <w:r>
              <w:rPr>
                <w:rFonts w:eastAsiaTheme="minorEastAsia"/>
                <w:spacing w:val="2"/>
                <w:sz w:val="18"/>
                <w:szCs w:val="18"/>
              </w:rPr>
              <w:t>总氯</w:t>
            </w:r>
          </w:p>
        </w:tc>
        <w:tc>
          <w:tcPr>
            <w:tcW w:w="2694"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84"/>
              <w:jc w:val="center"/>
              <w:rPr>
                <w:rFonts w:eastAsiaTheme="minorEastAsia"/>
                <w:sz w:val="18"/>
                <w:szCs w:val="18"/>
              </w:rPr>
            </w:pPr>
            <w:r>
              <w:rPr>
                <w:rFonts w:eastAsiaTheme="minorEastAsia"/>
                <w:spacing w:val="6"/>
                <w:sz w:val="18"/>
                <w:szCs w:val="18"/>
              </w:rPr>
              <w:t>≥1.0</w:t>
            </w:r>
            <w:r>
              <w:rPr>
                <w:rFonts w:eastAsiaTheme="minorEastAsia"/>
                <w:spacing w:val="6"/>
                <w:sz w:val="18"/>
                <w:szCs w:val="18"/>
              </w:rPr>
              <w:t>（出厂</w:t>
            </w:r>
            <w:r>
              <w:rPr>
                <w:rFonts w:eastAsiaTheme="minorEastAsia"/>
                <w:spacing w:val="14"/>
                <w:sz w:val="18"/>
                <w:szCs w:val="18"/>
              </w:rPr>
              <w:t>），</w:t>
            </w:r>
            <w:r>
              <w:rPr>
                <w:rFonts w:eastAsiaTheme="minorEastAsia"/>
                <w:spacing w:val="6"/>
                <w:sz w:val="18"/>
                <w:szCs w:val="18"/>
              </w:rPr>
              <w:t>0.2k</w:t>
            </w:r>
            <w:r>
              <w:rPr>
                <w:rFonts w:eastAsiaTheme="minorEastAsia"/>
                <w:spacing w:val="6"/>
                <w:sz w:val="18"/>
                <w:szCs w:val="18"/>
              </w:rPr>
              <w:t>（管网末端）</w:t>
            </w:r>
          </w:p>
        </w:tc>
      </w:tr>
      <w:tr w:rsidR="00A46452">
        <w:trPr>
          <w:trHeight w:val="404"/>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z w:val="18"/>
                <w:szCs w:val="18"/>
              </w:rPr>
            </w:pPr>
            <w:r>
              <w:rPr>
                <w:rFonts w:eastAsiaTheme="minorEastAsia" w:cs="Times New Roman"/>
                <w:spacing w:val="-8"/>
                <w:sz w:val="18"/>
                <w:szCs w:val="18"/>
              </w:rPr>
              <w:t>13</w:t>
            </w:r>
          </w:p>
        </w:tc>
        <w:tc>
          <w:tcPr>
            <w:tcW w:w="1651" w:type="pct"/>
            <w:tcBorders>
              <w:tl2br w:val="nil"/>
              <w:tr2bl w:val="nil"/>
            </w:tcBorders>
            <w:vAlign w:val="center"/>
          </w:tcPr>
          <w:p w:rsidR="00A46452" w:rsidRDefault="009A3928" w:rsidP="00182EED">
            <w:pPr>
              <w:pStyle w:val="TableText"/>
              <w:wordWrap w:val="0"/>
              <w:topLinePunct/>
              <w:adjustRightInd w:val="0"/>
              <w:snapToGrid w:val="0"/>
              <w:spacing w:line="228" w:lineRule="auto"/>
              <w:ind w:firstLine="388"/>
              <w:jc w:val="center"/>
              <w:rPr>
                <w:rFonts w:eastAsiaTheme="minorEastAsia"/>
                <w:sz w:val="18"/>
                <w:szCs w:val="18"/>
              </w:rPr>
            </w:pPr>
            <w:r>
              <w:rPr>
                <w:rFonts w:eastAsiaTheme="minorEastAsia"/>
                <w:spacing w:val="7"/>
                <w:sz w:val="18"/>
                <w:szCs w:val="18"/>
                <w:lang w:eastAsia="zh-CN"/>
              </w:rPr>
              <w:t>大肠埃希菌</w:t>
            </w:r>
          </w:p>
        </w:tc>
        <w:tc>
          <w:tcPr>
            <w:tcW w:w="2694" w:type="pct"/>
            <w:tcBorders>
              <w:tl2br w:val="nil"/>
              <w:tr2bl w:val="nil"/>
            </w:tcBorders>
            <w:vAlign w:val="center"/>
          </w:tcPr>
          <w:p w:rsidR="00A46452" w:rsidRDefault="009A3928" w:rsidP="00182EED">
            <w:pPr>
              <w:wordWrap w:val="0"/>
              <w:topLinePunct/>
              <w:adjustRightInd w:val="0"/>
              <w:snapToGrid w:val="0"/>
              <w:spacing w:line="195" w:lineRule="auto"/>
              <w:ind w:firstLine="376"/>
              <w:jc w:val="center"/>
              <w:rPr>
                <w:rFonts w:eastAsiaTheme="minorEastAsia" w:cs="Times New Roman"/>
                <w:sz w:val="18"/>
                <w:szCs w:val="18"/>
              </w:rPr>
            </w:pPr>
            <w:r>
              <w:rPr>
                <w:rFonts w:eastAsiaTheme="minorEastAsia" w:cs="Times New Roman"/>
                <w:spacing w:val="4"/>
                <w:sz w:val="18"/>
                <w:szCs w:val="18"/>
              </w:rPr>
              <w:t>≤10c</w:t>
            </w:r>
          </w:p>
        </w:tc>
      </w:tr>
      <w:tr w:rsidR="00A46452">
        <w:trPr>
          <w:trHeight w:val="404"/>
          <w:jc w:val="center"/>
        </w:trPr>
        <w:tc>
          <w:tcPr>
            <w:tcW w:w="653" w:type="pct"/>
            <w:tcBorders>
              <w:tl2br w:val="nil"/>
              <w:tr2bl w:val="nil"/>
            </w:tcBorders>
            <w:vAlign w:val="center"/>
          </w:tcPr>
          <w:p w:rsidR="00A46452" w:rsidRDefault="009A3928">
            <w:pPr>
              <w:wordWrap w:val="0"/>
              <w:topLinePunct/>
              <w:adjustRightInd w:val="0"/>
              <w:snapToGrid w:val="0"/>
              <w:spacing w:line="195" w:lineRule="auto"/>
              <w:ind w:firstLineChars="0" w:firstLine="0"/>
              <w:jc w:val="center"/>
              <w:rPr>
                <w:rFonts w:eastAsiaTheme="minorEastAsia" w:cs="Times New Roman"/>
                <w:spacing w:val="-8"/>
                <w:sz w:val="18"/>
                <w:szCs w:val="18"/>
              </w:rPr>
            </w:pPr>
            <w:r>
              <w:rPr>
                <w:rFonts w:eastAsiaTheme="minorEastAsia" w:cs="Times New Roman"/>
                <w:spacing w:val="-8"/>
                <w:sz w:val="18"/>
                <w:szCs w:val="18"/>
              </w:rPr>
              <w:t>备注</w:t>
            </w:r>
          </w:p>
        </w:tc>
        <w:tc>
          <w:tcPr>
            <w:tcW w:w="4346"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left"/>
              <w:rPr>
                <w:rFonts w:eastAsiaTheme="minorEastAsia" w:cs="Times New Roman"/>
                <w:spacing w:val="4"/>
                <w:sz w:val="18"/>
                <w:szCs w:val="18"/>
              </w:rPr>
            </w:pPr>
            <w:r>
              <w:rPr>
                <w:rFonts w:eastAsiaTheme="minorEastAsia" w:cs="Times New Roman"/>
                <w:spacing w:val="-8"/>
                <w:sz w:val="18"/>
                <w:szCs w:val="18"/>
              </w:rPr>
              <w:t>单位：</w:t>
            </w:r>
            <w:r>
              <w:rPr>
                <w:rFonts w:eastAsiaTheme="minorEastAsia" w:cs="Times New Roman"/>
                <w:spacing w:val="-8"/>
                <w:sz w:val="18"/>
                <w:szCs w:val="18"/>
              </w:rPr>
              <w:t>mg/L</w:t>
            </w:r>
            <w:r>
              <w:rPr>
                <w:rFonts w:eastAsiaTheme="minorEastAsia" w:cs="Times New Roman"/>
                <w:spacing w:val="-8"/>
                <w:sz w:val="18"/>
                <w:szCs w:val="18"/>
              </w:rPr>
              <w:t>（</w:t>
            </w:r>
            <w:r>
              <w:rPr>
                <w:rFonts w:eastAsiaTheme="minorEastAsia" w:cs="Times New Roman"/>
                <w:spacing w:val="-8"/>
                <w:sz w:val="18"/>
                <w:szCs w:val="18"/>
              </w:rPr>
              <w:t>pH</w:t>
            </w:r>
            <w:r>
              <w:rPr>
                <w:rFonts w:eastAsiaTheme="minorEastAsia" w:cs="Times New Roman"/>
                <w:spacing w:val="-8"/>
                <w:sz w:val="18"/>
                <w:szCs w:val="18"/>
              </w:rPr>
              <w:t>无量纲）</w:t>
            </w:r>
          </w:p>
        </w:tc>
      </w:tr>
    </w:tbl>
    <w:p w:rsidR="00A46452" w:rsidRDefault="009A3928">
      <w:pPr>
        <w:wordWrap w:val="0"/>
        <w:topLinePunct/>
        <w:adjustRightInd w:val="0"/>
        <w:snapToGrid w:val="0"/>
        <w:spacing w:line="480" w:lineRule="exact"/>
        <w:ind w:firstLineChars="0" w:firstLine="0"/>
        <w:rPr>
          <w:rFonts w:eastAsia="黑体" w:cs="Times New Roman"/>
          <w:spacing w:val="-4"/>
        </w:rPr>
      </w:pPr>
      <w:r>
        <w:rPr>
          <w:rFonts w:eastAsia="黑体" w:cs="Times New Roman"/>
          <w:spacing w:val="-4"/>
        </w:rPr>
        <w:t>表</w:t>
      </w:r>
      <w:r>
        <w:rPr>
          <w:rFonts w:eastAsia="黑体" w:cs="Times New Roman"/>
          <w:spacing w:val="-4"/>
        </w:rPr>
        <w:t>2.</w:t>
      </w:r>
      <w:r>
        <w:rPr>
          <w:rFonts w:eastAsia="黑体" w:cs="Times New Roman"/>
          <w:spacing w:val="-4"/>
        </w:rPr>
        <w:t>5</w:t>
      </w:r>
      <w:r>
        <w:rPr>
          <w:rFonts w:eastAsia="黑体" w:cs="Times New Roman"/>
          <w:spacing w:val="-4"/>
        </w:rPr>
        <w:t>-</w:t>
      </w:r>
      <w:r>
        <w:rPr>
          <w:rFonts w:eastAsia="黑体" w:cs="Times New Roman"/>
          <w:spacing w:val="-4"/>
        </w:rPr>
        <w:t>8</w:t>
      </w:r>
      <w:r>
        <w:rPr>
          <w:rFonts w:eastAsia="黑体" w:cs="Times New Roman"/>
          <w:spacing w:val="-4"/>
        </w:rPr>
        <w:t xml:space="preserve"> </w:t>
      </w:r>
      <w:r>
        <w:rPr>
          <w:rFonts w:eastAsia="黑体" w:cs="Times New Roman"/>
          <w:spacing w:val="-4"/>
        </w:rPr>
        <w:t xml:space="preserve">  </w:t>
      </w:r>
      <w:r>
        <w:rPr>
          <w:rFonts w:eastAsia="黑体" w:cs="Times New Roman"/>
          <w:spacing w:val="-4"/>
        </w:rPr>
        <w:t>农村生活污水处理设施出水用于生态恢复的污染物排放限值</w:t>
      </w:r>
      <w:r>
        <w:rPr>
          <w:rFonts w:eastAsia="黑体" w:cs="Times New Roman"/>
          <w:spacing w:val="-4"/>
        </w:rPr>
        <w:t>（</w:t>
      </w:r>
      <w:r>
        <w:rPr>
          <w:rFonts w:eastAsia="黑体" w:cs="Times New Roman"/>
          <w:spacing w:val="-4"/>
        </w:rPr>
        <w:t>日均值</w:t>
      </w:r>
      <w:r>
        <w:rPr>
          <w:rFonts w:eastAsia="黑体" w:cs="Times New Roman"/>
          <w:spacing w:val="-4"/>
        </w:rPr>
        <w:t>）</w:t>
      </w:r>
    </w:p>
    <w:tbl>
      <w:tblPr>
        <w:tblW w:w="494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1"/>
        <w:gridCol w:w="3466"/>
        <w:gridCol w:w="1420"/>
        <w:gridCol w:w="1420"/>
        <w:gridCol w:w="1417"/>
      </w:tblGrid>
      <w:tr w:rsidR="00A46452">
        <w:trPr>
          <w:trHeight w:val="644"/>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序号</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污染物或项目名称</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A</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B</w:t>
            </w:r>
          </w:p>
        </w:tc>
        <w:tc>
          <w:tcPr>
            <w:tcW w:w="829"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C</w:t>
            </w:r>
          </w:p>
        </w:tc>
      </w:tr>
      <w:tr w:rsidR="00A46452">
        <w:trPr>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1</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pH</w:t>
            </w:r>
            <w:r>
              <w:rPr>
                <w:rFonts w:eastAsiaTheme="minorEastAsia" w:cs="Times New Roman"/>
                <w:kern w:val="0"/>
                <w:sz w:val="18"/>
                <w:szCs w:val="18"/>
              </w:rPr>
              <w:t>值（无量纲）</w:t>
            </w:r>
          </w:p>
        </w:tc>
        <w:tc>
          <w:tcPr>
            <w:tcW w:w="2491" w:type="pct"/>
            <w:gridSpan w:val="3"/>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6~9</w:t>
            </w:r>
          </w:p>
        </w:tc>
      </w:tr>
      <w:tr w:rsidR="00A46452">
        <w:trPr>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2</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化学需氧量（</w:t>
            </w:r>
            <w:r>
              <w:rPr>
                <w:rFonts w:eastAsiaTheme="minorEastAsia" w:cs="Times New Roman"/>
                <w:kern w:val="0"/>
                <w:sz w:val="18"/>
                <w:szCs w:val="18"/>
              </w:rPr>
              <w:t>COD</w:t>
            </w:r>
            <w:r>
              <w:rPr>
                <w:rFonts w:eastAsiaTheme="minorEastAsia" w:cs="Times New Roman"/>
                <w:kern w:val="0"/>
                <w:sz w:val="18"/>
                <w:szCs w:val="18"/>
              </w:rPr>
              <w:t>）</w:t>
            </w:r>
            <w:r>
              <w:rPr>
                <w:rFonts w:eastAsiaTheme="minorEastAsia" w:cs="Times New Roman"/>
                <w:kern w:val="0"/>
                <w:sz w:val="18"/>
                <w:szCs w:val="18"/>
              </w:rPr>
              <w:t xml:space="preserve">    mg/L</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60</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180</w:t>
            </w:r>
          </w:p>
        </w:tc>
        <w:tc>
          <w:tcPr>
            <w:tcW w:w="829"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200</w:t>
            </w:r>
          </w:p>
        </w:tc>
      </w:tr>
      <w:tr w:rsidR="00A46452">
        <w:trPr>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3</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sz w:val="18"/>
                <w:szCs w:val="18"/>
              </w:rPr>
            </w:pPr>
            <w:r>
              <w:rPr>
                <w:rFonts w:eastAsiaTheme="minorEastAsia" w:cs="Times New Roman"/>
                <w:sz w:val="18"/>
                <w:szCs w:val="18"/>
              </w:rPr>
              <w:t>悬浮物（</w:t>
            </w:r>
            <w:r>
              <w:rPr>
                <w:rFonts w:eastAsiaTheme="minorEastAsia" w:cs="Times New Roman"/>
                <w:sz w:val="18"/>
                <w:szCs w:val="18"/>
              </w:rPr>
              <w:t>SS</w:t>
            </w:r>
            <w:r>
              <w:rPr>
                <w:rFonts w:eastAsiaTheme="minorEastAsia" w:cs="Times New Roman"/>
                <w:sz w:val="18"/>
                <w:szCs w:val="18"/>
              </w:rPr>
              <w:t>）</w:t>
            </w:r>
            <w:r>
              <w:rPr>
                <w:rFonts w:eastAsiaTheme="minorEastAsia" w:cs="Times New Roman"/>
                <w:sz w:val="18"/>
                <w:szCs w:val="18"/>
              </w:rPr>
              <w:t xml:space="preserve">           </w:t>
            </w:r>
            <w:r>
              <w:rPr>
                <w:rFonts w:eastAsiaTheme="minorEastAsia" w:cs="Times New Roman"/>
                <w:kern w:val="0"/>
                <w:sz w:val="18"/>
                <w:szCs w:val="18"/>
              </w:rPr>
              <w:t>mg/L</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30</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90</w:t>
            </w:r>
          </w:p>
        </w:tc>
        <w:tc>
          <w:tcPr>
            <w:tcW w:w="829"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100</w:t>
            </w:r>
          </w:p>
        </w:tc>
      </w:tr>
      <w:tr w:rsidR="00A46452">
        <w:trPr>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4</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sz w:val="18"/>
                <w:szCs w:val="18"/>
              </w:rPr>
            </w:pPr>
            <w:r>
              <w:rPr>
                <w:rFonts w:eastAsiaTheme="minorEastAsia" w:cs="Times New Roman"/>
                <w:sz w:val="18"/>
                <w:szCs w:val="18"/>
              </w:rPr>
              <w:t>粪大肠菌群（</w:t>
            </w:r>
            <w:r>
              <w:rPr>
                <w:rFonts w:eastAsiaTheme="minorEastAsia" w:cs="Times New Roman"/>
                <w:sz w:val="18"/>
                <w:szCs w:val="18"/>
              </w:rPr>
              <w:t>MPN/L</w:t>
            </w:r>
            <w:r>
              <w:rPr>
                <w:rFonts w:eastAsiaTheme="minorEastAsia" w:cs="Times New Roman"/>
                <w:sz w:val="18"/>
                <w:szCs w:val="18"/>
              </w:rPr>
              <w:t>）</w:t>
            </w:r>
          </w:p>
        </w:tc>
        <w:tc>
          <w:tcPr>
            <w:tcW w:w="831" w:type="pct"/>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10000</w:t>
            </w:r>
          </w:p>
        </w:tc>
        <w:tc>
          <w:tcPr>
            <w:tcW w:w="1660" w:type="pct"/>
            <w:gridSpan w:val="2"/>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40000</w:t>
            </w:r>
          </w:p>
        </w:tc>
      </w:tr>
      <w:tr w:rsidR="00A46452">
        <w:trPr>
          <w:jc w:val="center"/>
        </w:trPr>
        <w:tc>
          <w:tcPr>
            <w:tcW w:w="480"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5</w:t>
            </w:r>
          </w:p>
        </w:tc>
        <w:tc>
          <w:tcPr>
            <w:tcW w:w="2027" w:type="pct"/>
            <w:shd w:val="clear" w:color="auto" w:fill="auto"/>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sz w:val="18"/>
                <w:szCs w:val="18"/>
              </w:rPr>
            </w:pPr>
            <w:r>
              <w:rPr>
                <w:rFonts w:eastAsiaTheme="minorEastAsia" w:cs="Times New Roman"/>
                <w:sz w:val="18"/>
                <w:szCs w:val="18"/>
              </w:rPr>
              <w:t>蛔虫卵个数（个</w:t>
            </w:r>
            <w:r>
              <w:rPr>
                <w:rFonts w:eastAsiaTheme="minorEastAsia" w:cs="Times New Roman"/>
                <w:sz w:val="18"/>
                <w:szCs w:val="18"/>
              </w:rPr>
              <w:t>/L</w:t>
            </w:r>
            <w:r>
              <w:rPr>
                <w:rFonts w:eastAsiaTheme="minorEastAsia" w:cs="Times New Roman"/>
                <w:sz w:val="18"/>
                <w:szCs w:val="18"/>
              </w:rPr>
              <w:t>）</w:t>
            </w:r>
          </w:p>
        </w:tc>
        <w:tc>
          <w:tcPr>
            <w:tcW w:w="2491" w:type="pct"/>
            <w:gridSpan w:val="3"/>
            <w:vAlign w:val="center"/>
          </w:tcPr>
          <w:p w:rsidR="00A46452" w:rsidRDefault="009A3928">
            <w:pPr>
              <w:wordWrap w:val="0"/>
              <w:topLinePunct/>
              <w:adjustRightInd w:val="0"/>
              <w:snapToGrid w:val="0"/>
              <w:spacing w:line="320" w:lineRule="exact"/>
              <w:ind w:firstLineChars="0" w:firstLine="0"/>
              <w:jc w:val="center"/>
              <w:rPr>
                <w:rFonts w:eastAsiaTheme="minorEastAsia" w:cs="Times New Roman"/>
                <w:kern w:val="0"/>
                <w:sz w:val="18"/>
                <w:szCs w:val="18"/>
              </w:rPr>
            </w:pPr>
            <w:r>
              <w:rPr>
                <w:rFonts w:eastAsiaTheme="minorEastAsia" w:cs="Times New Roman"/>
                <w:kern w:val="0"/>
                <w:sz w:val="18"/>
                <w:szCs w:val="18"/>
              </w:rPr>
              <w:t>2</w:t>
            </w:r>
          </w:p>
        </w:tc>
      </w:tr>
    </w:tbl>
    <w:p w:rsidR="00A46452" w:rsidRDefault="009A3928">
      <w:pPr>
        <w:pStyle w:val="affff8"/>
        <w:wordWrap w:val="0"/>
        <w:topLinePunct/>
        <w:adjustRightInd w:val="0"/>
        <w:snapToGrid w:val="0"/>
        <w:spacing w:line="360" w:lineRule="auto"/>
        <w:ind w:firstLine="482"/>
        <w:rPr>
          <w:rFonts w:cs="Times New Roman"/>
          <w:b/>
        </w:rPr>
      </w:pPr>
      <w:r>
        <w:rPr>
          <w:rFonts w:cs="Times New Roman"/>
          <w:b/>
        </w:rPr>
        <w:t>（</w:t>
      </w:r>
      <w:r>
        <w:rPr>
          <w:rFonts w:cs="Times New Roman"/>
          <w:b/>
        </w:rPr>
        <w:t>3</w:t>
      </w:r>
      <w:r>
        <w:rPr>
          <w:rFonts w:cs="Times New Roman"/>
          <w:b/>
        </w:rPr>
        <w:t>）噪声</w:t>
      </w:r>
      <w:bookmarkEnd w:id="124"/>
      <w:bookmarkEnd w:id="125"/>
      <w:bookmarkEnd w:id="126"/>
    </w:p>
    <w:p w:rsidR="00A46452" w:rsidRDefault="009A3928">
      <w:pPr>
        <w:pStyle w:val="affff8"/>
        <w:wordWrap w:val="0"/>
        <w:topLinePunct/>
        <w:adjustRightInd w:val="0"/>
        <w:snapToGrid w:val="0"/>
        <w:spacing w:line="360" w:lineRule="auto"/>
        <w:rPr>
          <w:rFonts w:cs="Times New Roman"/>
        </w:rPr>
      </w:pPr>
      <w:bookmarkStart w:id="127" w:name="_Toc232174677"/>
      <w:bookmarkStart w:id="128" w:name="_Toc246436467"/>
      <w:bookmarkStart w:id="129" w:name="_Toc233281741"/>
      <w:bookmarkStart w:id="130" w:name="_Toc232833526"/>
      <w:bookmarkStart w:id="131" w:name="_Toc247338700"/>
      <w:bookmarkStart w:id="132" w:name="_Toc236649050"/>
      <w:bookmarkStart w:id="133" w:name="_Toc247448075"/>
      <w:bookmarkStart w:id="134" w:name="_Toc236793742"/>
      <w:r>
        <w:rPr>
          <w:rFonts w:cs="Times New Roman"/>
        </w:rPr>
        <w:t>施工期噪声执行《建筑施工场界环境噪声排放标准》（</w:t>
      </w:r>
      <w:r>
        <w:rPr>
          <w:rFonts w:cs="Times New Roman"/>
        </w:rPr>
        <w:t>GB12523-2011</w:t>
      </w:r>
      <w:r>
        <w:rPr>
          <w:rFonts w:cs="Times New Roman"/>
        </w:rPr>
        <w:t>），即昼间</w:t>
      </w:r>
      <w:r>
        <w:rPr>
          <w:rFonts w:cs="Times New Roman"/>
        </w:rPr>
        <w:t>≤70dB(A)</w:t>
      </w:r>
      <w:r>
        <w:rPr>
          <w:rFonts w:cs="Times New Roman"/>
        </w:rPr>
        <w:t>，夜间</w:t>
      </w:r>
      <w:r>
        <w:rPr>
          <w:rFonts w:cs="Times New Roman"/>
        </w:rPr>
        <w:t>≤55dB(A)</w:t>
      </w:r>
      <w:r>
        <w:rPr>
          <w:rFonts w:cs="Times New Roman"/>
        </w:rPr>
        <w:t>。根据</w:t>
      </w:r>
      <w:hyperlink r:id="rId14" w:history="1">
        <w:r>
          <w:rPr>
            <w:rFonts w:cs="Times New Roman"/>
          </w:rPr>
          <w:t>GB12523-2011</w:t>
        </w:r>
      </w:hyperlink>
      <w:r>
        <w:rPr>
          <w:rFonts w:cs="Times New Roman"/>
        </w:rPr>
        <w:t>中</w:t>
      </w:r>
      <w:r>
        <w:rPr>
          <w:rFonts w:cs="Times New Roman"/>
        </w:rPr>
        <w:t>4.2</w:t>
      </w:r>
      <w:r>
        <w:rPr>
          <w:rFonts w:cs="Times New Roman"/>
        </w:rPr>
        <w:t>要求，夜间噪声最大声级超过限值的幅度不得高于</w:t>
      </w:r>
      <w:r>
        <w:rPr>
          <w:rFonts w:cs="Times New Roman"/>
        </w:rPr>
        <w:t>15dB(A)</w:t>
      </w:r>
      <w:r>
        <w:rPr>
          <w:rFonts w:cs="Times New Roman"/>
        </w:rPr>
        <w:t>。</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4</w:t>
      </w:r>
      <w:r>
        <w:rPr>
          <w:rFonts w:cs="Times New Roman"/>
          <w:b/>
        </w:rPr>
        <w:t>）固体废物</w:t>
      </w:r>
      <w:bookmarkEnd w:id="127"/>
      <w:bookmarkEnd w:id="128"/>
      <w:bookmarkEnd w:id="129"/>
      <w:bookmarkEnd w:id="130"/>
      <w:bookmarkEnd w:id="131"/>
      <w:bookmarkEnd w:id="132"/>
      <w:bookmarkEnd w:id="133"/>
      <w:bookmarkEnd w:id="134"/>
    </w:p>
    <w:p w:rsidR="00A46452" w:rsidRDefault="009A3928">
      <w:pPr>
        <w:wordWrap w:val="0"/>
        <w:topLinePunct/>
        <w:adjustRightInd w:val="0"/>
        <w:snapToGrid w:val="0"/>
        <w:ind w:firstLine="480"/>
        <w:rPr>
          <w:rFonts w:cs="Times New Roman"/>
        </w:rPr>
      </w:pPr>
      <w:bookmarkStart w:id="135" w:name="_Toc187080691"/>
      <w:bookmarkStart w:id="136" w:name="_Toc4507840"/>
      <w:r>
        <w:rPr>
          <w:rFonts w:cs="Times New Roman"/>
        </w:rPr>
        <w:t>本项目</w:t>
      </w:r>
      <w:r>
        <w:rPr>
          <w:rFonts w:cs="Times New Roman"/>
          <w:spacing w:val="-2"/>
          <w:szCs w:val="24"/>
        </w:rPr>
        <w:t>一般工业固体废物按照《固体废物分类与代码目录》（公告</w:t>
      </w:r>
      <w:r>
        <w:rPr>
          <w:rFonts w:cs="Times New Roman"/>
          <w:szCs w:val="24"/>
        </w:rPr>
        <w:t>2024</w:t>
      </w:r>
      <w:r>
        <w:rPr>
          <w:rFonts w:cs="Times New Roman"/>
          <w:spacing w:val="-2"/>
          <w:szCs w:val="24"/>
        </w:rPr>
        <w:t>年第</w:t>
      </w:r>
      <w:r>
        <w:rPr>
          <w:rFonts w:cs="Times New Roman"/>
          <w:spacing w:val="-2"/>
          <w:szCs w:val="24"/>
        </w:rPr>
        <w:t>4</w:t>
      </w:r>
      <w:r>
        <w:rPr>
          <w:rFonts w:cs="Times New Roman"/>
          <w:spacing w:val="-2"/>
          <w:szCs w:val="24"/>
        </w:rPr>
        <w:t>号）进行分类储存或处置，其贮存过程应满足相应防渗漏、防雨</w:t>
      </w:r>
      <w:r>
        <w:rPr>
          <w:rFonts w:cs="Times New Roman"/>
          <w:spacing w:val="9"/>
          <w:szCs w:val="24"/>
        </w:rPr>
        <w:t>淋、防扬尘等环境保护要求；</w:t>
      </w:r>
      <w:r>
        <w:rPr>
          <w:rFonts w:cs="Times New Roman"/>
        </w:rPr>
        <w:t>一般固体废物的处置执行《一般工业固体废物贮存和填埋污染控制标准》（</w:t>
      </w:r>
      <w:r>
        <w:rPr>
          <w:rFonts w:cs="Times New Roman"/>
        </w:rPr>
        <w:t>GB18599-2020</w:t>
      </w:r>
      <w:r>
        <w:rPr>
          <w:rFonts w:cs="Times New Roman"/>
        </w:rPr>
        <w:t>）中的有关规定。</w:t>
      </w:r>
    </w:p>
    <w:p w:rsidR="00A46452" w:rsidRDefault="009A3928">
      <w:pPr>
        <w:wordWrap w:val="0"/>
        <w:topLinePunct/>
        <w:adjustRightInd w:val="0"/>
        <w:snapToGrid w:val="0"/>
        <w:ind w:firstLine="480"/>
        <w:rPr>
          <w:rFonts w:cs="Times New Roman"/>
        </w:rPr>
      </w:pPr>
      <w:r>
        <w:rPr>
          <w:rFonts w:cs="Times New Roman"/>
        </w:rPr>
        <w:t>沥青混凝土</w:t>
      </w:r>
      <w:r>
        <w:rPr>
          <w:rFonts w:cs="Times New Roman"/>
        </w:rPr>
        <w:t>拌和站</w:t>
      </w:r>
      <w:r>
        <w:rPr>
          <w:rFonts w:cs="Times New Roman"/>
        </w:rPr>
        <w:t>产生的废活性炭执行《危险废物贮存污染控制标准》（</w:t>
      </w:r>
      <w:r>
        <w:rPr>
          <w:rFonts w:cs="Times New Roman"/>
        </w:rPr>
        <w:t>GB18597-2023</w:t>
      </w:r>
      <w:r>
        <w:rPr>
          <w:rFonts w:cs="Times New Roman"/>
        </w:rPr>
        <w:t>）。</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137" w:name="_Toc21250"/>
      <w:r>
        <w:rPr>
          <w:rFonts w:cs="Times New Roman" w:hint="default"/>
          <w:sz w:val="30"/>
          <w:szCs w:val="30"/>
        </w:rPr>
        <w:t>2.</w:t>
      </w:r>
      <w:r>
        <w:rPr>
          <w:rFonts w:cs="Times New Roman" w:hint="default"/>
          <w:sz w:val="30"/>
          <w:szCs w:val="30"/>
        </w:rPr>
        <w:t>6</w:t>
      </w:r>
      <w:r>
        <w:rPr>
          <w:rFonts w:cs="Times New Roman" w:hint="default"/>
          <w:sz w:val="30"/>
          <w:szCs w:val="30"/>
        </w:rPr>
        <w:t>评价工作等级和评价范围</w:t>
      </w:r>
      <w:bookmarkEnd w:id="135"/>
      <w:bookmarkEnd w:id="136"/>
      <w:bookmarkEnd w:id="13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138" w:name="_Toc34989534"/>
      <w:bookmarkStart w:id="139" w:name="_Toc57826700"/>
      <w:r>
        <w:rPr>
          <w:rFonts w:cs="Times New Roman" w:hint="default"/>
          <w:sz w:val="28"/>
          <w:szCs w:val="28"/>
        </w:rPr>
        <w:t>2.6.1</w:t>
      </w:r>
      <w:r>
        <w:rPr>
          <w:rFonts w:cs="Times New Roman" w:hint="default"/>
          <w:sz w:val="28"/>
          <w:szCs w:val="28"/>
        </w:rPr>
        <w:t>评价工作等级</w:t>
      </w:r>
      <w:bookmarkEnd w:id="138"/>
      <w:bookmarkEnd w:id="139"/>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bookmarkStart w:id="140" w:name="_Hlk172286531"/>
      <w:bookmarkStart w:id="141" w:name="_Toc233281791"/>
      <w:bookmarkStart w:id="142" w:name="_Toc236793792"/>
      <w:bookmarkStart w:id="143" w:name="_Toc236649100"/>
      <w:bookmarkStart w:id="144" w:name="_Toc246436515"/>
      <w:bookmarkStart w:id="145" w:name="_Toc247338782"/>
      <w:bookmarkStart w:id="146" w:name="_Toc233281746"/>
      <w:bookmarkStart w:id="147" w:name="_Toc246436549"/>
      <w:bookmarkStart w:id="148" w:name="_Toc236793747"/>
      <w:bookmarkStart w:id="149" w:name="_Toc232833576"/>
      <w:bookmarkStart w:id="150" w:name="_Toc247448123"/>
      <w:bookmarkStart w:id="151" w:name="_Toc236649055"/>
      <w:bookmarkStart w:id="152" w:name="_Toc247338748"/>
      <w:bookmarkStart w:id="153" w:name="_Toc232174727"/>
      <w:bookmarkStart w:id="154" w:name="_Toc247448157"/>
      <w:r>
        <w:rPr>
          <w:rFonts w:cs="Times New Roman" w:hint="default"/>
          <w:iCs/>
        </w:rPr>
        <w:t>2.</w:t>
      </w:r>
      <w:r>
        <w:rPr>
          <w:rFonts w:cs="Times New Roman" w:hint="default"/>
          <w:iCs/>
        </w:rPr>
        <w:t>6</w:t>
      </w:r>
      <w:r>
        <w:rPr>
          <w:rFonts w:cs="Times New Roman" w:hint="default"/>
          <w:iCs/>
        </w:rPr>
        <w:t>.1.1</w:t>
      </w:r>
      <w:r>
        <w:rPr>
          <w:rFonts w:cs="Times New Roman" w:hint="default"/>
          <w:iCs/>
        </w:rPr>
        <w:t>大气环境评价工作等级</w:t>
      </w:r>
    </w:p>
    <w:p w:rsidR="00A46452" w:rsidRDefault="009A3928">
      <w:pPr>
        <w:wordWrap w:val="0"/>
        <w:topLinePunct/>
        <w:adjustRightInd w:val="0"/>
        <w:snapToGrid w:val="0"/>
        <w:ind w:firstLine="480"/>
        <w:rPr>
          <w:rFonts w:cs="Times New Roman"/>
        </w:rPr>
      </w:pPr>
      <w:r>
        <w:rPr>
          <w:rFonts w:cs="Times New Roman"/>
        </w:rPr>
        <w:t>本项目拟建公路沿线</w:t>
      </w:r>
      <w:r>
        <w:rPr>
          <w:rFonts w:cs="Times New Roman"/>
          <w:kern w:val="0"/>
          <w:szCs w:val="24"/>
        </w:rPr>
        <w:t>设置</w:t>
      </w:r>
      <w:r>
        <w:rPr>
          <w:rFonts w:cs="Times New Roman"/>
          <w:kern w:val="0"/>
          <w:szCs w:val="24"/>
        </w:rPr>
        <w:t>2</w:t>
      </w:r>
      <w:r>
        <w:rPr>
          <w:rFonts w:cs="Times New Roman"/>
          <w:kern w:val="0"/>
          <w:szCs w:val="24"/>
        </w:rPr>
        <w:t>处服务区，预留</w:t>
      </w:r>
      <w:r>
        <w:rPr>
          <w:rFonts w:cs="Times New Roman"/>
          <w:kern w:val="0"/>
          <w:szCs w:val="24"/>
        </w:rPr>
        <w:t>2</w:t>
      </w:r>
      <w:r>
        <w:rPr>
          <w:rFonts w:cs="Times New Roman"/>
          <w:kern w:val="0"/>
          <w:szCs w:val="24"/>
        </w:rPr>
        <w:t>处加油站用地，加油站不在本工程评价范围内。服务区拟</w:t>
      </w:r>
      <w:r>
        <w:rPr>
          <w:rFonts w:cs="Times New Roman"/>
        </w:rPr>
        <w:t>依托沿线第三师</w:t>
      </w:r>
      <w:r>
        <w:rPr>
          <w:rFonts w:cs="Times New Roman"/>
        </w:rPr>
        <w:t>53</w:t>
      </w:r>
      <w:r>
        <w:rPr>
          <w:rFonts w:cs="Times New Roman"/>
        </w:rPr>
        <w:t>团集中供暖设施进行供暖，无锅炉废气排放。</w:t>
      </w:r>
    </w:p>
    <w:p w:rsidR="00A46452" w:rsidRDefault="009A3928">
      <w:pPr>
        <w:wordWrap w:val="0"/>
        <w:topLinePunct/>
        <w:adjustRightInd w:val="0"/>
        <w:snapToGrid w:val="0"/>
        <w:ind w:firstLine="468"/>
        <w:rPr>
          <w:rFonts w:cs="Times New Roman"/>
        </w:rPr>
      </w:pPr>
      <w:r>
        <w:rPr>
          <w:rFonts w:cs="Times New Roman"/>
          <w:spacing w:val="-3"/>
          <w:szCs w:val="24"/>
        </w:rPr>
        <w:t>根据《环境影响评价技术导则</w:t>
      </w:r>
      <w:r>
        <w:rPr>
          <w:rFonts w:cs="Times New Roman"/>
          <w:spacing w:val="-3"/>
          <w:szCs w:val="24"/>
        </w:rPr>
        <w:t xml:space="preserve"> </w:t>
      </w:r>
      <w:r>
        <w:rPr>
          <w:rFonts w:cs="Times New Roman"/>
          <w:spacing w:val="-3"/>
          <w:szCs w:val="24"/>
        </w:rPr>
        <w:t>公路建设项</w:t>
      </w:r>
      <w:r>
        <w:rPr>
          <w:rFonts w:cs="Times New Roman"/>
          <w:spacing w:val="-4"/>
          <w:szCs w:val="24"/>
        </w:rPr>
        <w:t>目》（</w:t>
      </w:r>
      <w:r>
        <w:rPr>
          <w:rFonts w:eastAsia="Times New Roman" w:cs="Times New Roman"/>
          <w:spacing w:val="-4"/>
          <w:szCs w:val="24"/>
        </w:rPr>
        <w:t>HJ1358-2024</w:t>
      </w:r>
      <w:r>
        <w:rPr>
          <w:rFonts w:cs="Times New Roman"/>
          <w:spacing w:val="-4"/>
          <w:szCs w:val="24"/>
        </w:rPr>
        <w:t>），</w:t>
      </w:r>
      <w:r>
        <w:rPr>
          <w:rFonts w:cs="Times New Roman"/>
          <w:spacing w:val="-4"/>
          <w:szCs w:val="24"/>
        </w:rPr>
        <w:t>“</w:t>
      </w:r>
      <w:r>
        <w:rPr>
          <w:rFonts w:cs="Times New Roman"/>
          <w:spacing w:val="-4"/>
          <w:szCs w:val="24"/>
        </w:rPr>
        <w:t>大气环境影响评价不必进行评价等级判定</w:t>
      </w:r>
      <w:r>
        <w:rPr>
          <w:rFonts w:cs="Times New Roman"/>
          <w:spacing w:val="-4"/>
          <w:szCs w:val="24"/>
        </w:rPr>
        <w:t>”</w:t>
      </w:r>
      <w:r>
        <w:rPr>
          <w:rFonts w:cs="Times New Roman"/>
          <w:spacing w:val="-5"/>
          <w:szCs w:val="24"/>
        </w:rPr>
        <w:t>。</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6</w:t>
      </w:r>
      <w:r>
        <w:rPr>
          <w:rFonts w:cs="Times New Roman" w:hint="default"/>
          <w:iCs/>
        </w:rPr>
        <w:t>.1.</w:t>
      </w:r>
      <w:r>
        <w:rPr>
          <w:rFonts w:cs="Times New Roman" w:hint="default"/>
          <w:iCs/>
        </w:rPr>
        <w:t>2</w:t>
      </w:r>
      <w:r>
        <w:rPr>
          <w:rFonts w:cs="Times New Roman" w:hint="default"/>
          <w:iCs/>
        </w:rPr>
        <w:t>生态环境评价工作等级</w:t>
      </w:r>
    </w:p>
    <w:p w:rsidR="00A46452" w:rsidRDefault="009A3928">
      <w:pPr>
        <w:pStyle w:val="af0"/>
        <w:widowControl w:val="0"/>
        <w:wordWrap w:val="0"/>
        <w:topLinePunct/>
        <w:adjustRightInd w:val="0"/>
        <w:snapToGrid w:val="0"/>
        <w:ind w:firstLine="480"/>
        <w:rPr>
          <w:rFonts w:cs="Times New Roman" w:hint="default"/>
          <w:sz w:val="24"/>
          <w:szCs w:val="22"/>
        </w:rPr>
      </w:pPr>
      <w:bookmarkStart w:id="155" w:name="_Toc236793937"/>
      <w:bookmarkStart w:id="156" w:name="_Toc247448242"/>
      <w:bookmarkStart w:id="157" w:name="_Toc236649245"/>
      <w:bookmarkStart w:id="158" w:name="_Toc247338867"/>
      <w:bookmarkStart w:id="159" w:name="_Toc233281956"/>
      <w:bookmarkStart w:id="160" w:name="_Toc232833741"/>
      <w:bookmarkStart w:id="161" w:name="_Toc232174892"/>
      <w:bookmarkStart w:id="162" w:name="_Toc246436634"/>
      <w:bookmarkEnd w:id="140"/>
      <w:r>
        <w:rPr>
          <w:rFonts w:cs="Times New Roman" w:hint="default"/>
          <w:sz w:val="24"/>
          <w:szCs w:val="21"/>
        </w:rPr>
        <w:t>结合拟建公路特点和沿线环境特征</w:t>
      </w:r>
      <w:r>
        <w:rPr>
          <w:rFonts w:cs="Times New Roman" w:hint="default"/>
          <w:sz w:val="24"/>
          <w:szCs w:val="22"/>
        </w:rPr>
        <w:t>，根据《环境影响评价技术导则</w:t>
      </w:r>
      <w:r>
        <w:rPr>
          <w:rFonts w:cs="Times New Roman" w:hint="default"/>
          <w:sz w:val="24"/>
          <w:szCs w:val="22"/>
        </w:rPr>
        <w:t xml:space="preserve"> </w:t>
      </w:r>
      <w:r>
        <w:rPr>
          <w:rFonts w:cs="Times New Roman" w:hint="default"/>
          <w:sz w:val="24"/>
          <w:szCs w:val="22"/>
        </w:rPr>
        <w:t>生态影响》（</w:t>
      </w:r>
      <w:r>
        <w:rPr>
          <w:rFonts w:cs="Times New Roman" w:hint="default"/>
          <w:sz w:val="24"/>
          <w:szCs w:val="22"/>
        </w:rPr>
        <w:t>HJ19-2022</w:t>
      </w:r>
      <w:r>
        <w:rPr>
          <w:rFonts w:cs="Times New Roman" w:hint="default"/>
          <w:sz w:val="24"/>
          <w:szCs w:val="22"/>
        </w:rPr>
        <w:t>）、《环境影响评价技术导则</w:t>
      </w:r>
      <w:r>
        <w:rPr>
          <w:rFonts w:cs="Times New Roman" w:hint="default"/>
          <w:sz w:val="24"/>
          <w:szCs w:val="22"/>
        </w:rPr>
        <w:t xml:space="preserve"> </w:t>
      </w:r>
      <w:r>
        <w:rPr>
          <w:rFonts w:cs="Times New Roman" w:hint="default"/>
          <w:sz w:val="24"/>
          <w:szCs w:val="22"/>
        </w:rPr>
        <w:t>公路建设项目》（</w:t>
      </w:r>
      <w:r>
        <w:rPr>
          <w:rFonts w:cs="Times New Roman" w:hint="default"/>
          <w:sz w:val="24"/>
          <w:szCs w:val="22"/>
        </w:rPr>
        <w:t>HJ1358-2024</w:t>
      </w:r>
      <w:r>
        <w:rPr>
          <w:rFonts w:cs="Times New Roman" w:hint="default"/>
          <w:sz w:val="24"/>
          <w:szCs w:val="22"/>
        </w:rPr>
        <w:t>）</w:t>
      </w:r>
      <w:r>
        <w:rPr>
          <w:rFonts w:cs="Times New Roman" w:hint="default"/>
          <w:sz w:val="24"/>
          <w:szCs w:val="22"/>
        </w:rPr>
        <w:t>7.1.1</w:t>
      </w:r>
      <w:r>
        <w:rPr>
          <w:rFonts w:cs="Times New Roman" w:hint="default"/>
          <w:sz w:val="24"/>
          <w:szCs w:val="22"/>
        </w:rPr>
        <w:t>节，生态影响评价等级判定见表</w:t>
      </w:r>
      <w:r>
        <w:rPr>
          <w:rFonts w:cs="Times New Roman" w:hint="default"/>
          <w:sz w:val="24"/>
          <w:szCs w:val="22"/>
        </w:rPr>
        <w:t>2.</w:t>
      </w:r>
      <w:r>
        <w:rPr>
          <w:rFonts w:cs="Times New Roman" w:hint="default"/>
          <w:sz w:val="24"/>
          <w:szCs w:val="22"/>
        </w:rPr>
        <w:t>6</w:t>
      </w:r>
      <w:r>
        <w:rPr>
          <w:rFonts w:cs="Times New Roman" w:hint="default"/>
          <w:sz w:val="24"/>
          <w:szCs w:val="22"/>
        </w:rPr>
        <w:t>-1</w:t>
      </w:r>
      <w:r>
        <w:rPr>
          <w:rFonts w:cs="Times New Roman" w:hint="default"/>
          <w:sz w:val="24"/>
          <w:szCs w:val="22"/>
        </w:rPr>
        <w:t>。</w:t>
      </w:r>
    </w:p>
    <w:p w:rsidR="00A46452" w:rsidRDefault="009A3928">
      <w:pPr>
        <w:adjustRightInd w:val="0"/>
        <w:spacing w:beforeLines="50" w:before="120" w:line="240" w:lineRule="auto"/>
        <w:ind w:firstLineChars="0" w:firstLine="0"/>
        <w:jc w:val="left"/>
        <w:textAlignment w:val="baseline"/>
        <w:rPr>
          <w:rFonts w:cs="Times New Roman"/>
          <w:b/>
          <w:spacing w:val="5"/>
          <w:kern w:val="0"/>
          <w:sz w:val="21"/>
          <w:szCs w:val="20"/>
        </w:rPr>
      </w:pPr>
      <w:r>
        <w:rPr>
          <w:rFonts w:eastAsia="黑体" w:cs="Times New Roman"/>
          <w:spacing w:val="-4"/>
          <w:szCs w:val="24"/>
        </w:rPr>
        <w:t>表</w:t>
      </w:r>
      <w:r>
        <w:rPr>
          <w:rFonts w:eastAsia="黑体" w:cs="Times New Roman"/>
          <w:spacing w:val="-4"/>
          <w:szCs w:val="24"/>
        </w:rPr>
        <w:t>2.</w:t>
      </w:r>
      <w:r>
        <w:rPr>
          <w:rFonts w:eastAsia="黑体" w:cs="Times New Roman"/>
          <w:spacing w:val="-4"/>
          <w:szCs w:val="24"/>
        </w:rPr>
        <w:t>6</w:t>
      </w:r>
      <w:r>
        <w:rPr>
          <w:rFonts w:eastAsia="黑体" w:cs="Times New Roman"/>
          <w:spacing w:val="-4"/>
          <w:szCs w:val="24"/>
        </w:rPr>
        <w:t xml:space="preserve">-1  </w:t>
      </w:r>
      <w:r>
        <w:rPr>
          <w:rFonts w:eastAsia="黑体" w:cs="Times New Roman"/>
          <w:spacing w:val="-4"/>
          <w:szCs w:val="24"/>
        </w:rPr>
        <w:t xml:space="preserve">             </w:t>
      </w:r>
      <w:r>
        <w:rPr>
          <w:rFonts w:eastAsia="黑体" w:cs="Times New Roman"/>
          <w:spacing w:val="-4"/>
          <w:szCs w:val="24"/>
        </w:rPr>
        <w:t>拟建公路生态环境影响评价等级划分及依据</w:t>
      </w:r>
    </w:p>
    <w:tbl>
      <w:tblPr>
        <w:tblW w:w="500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007"/>
        <w:gridCol w:w="1410"/>
        <w:gridCol w:w="6068"/>
      </w:tblGrid>
      <w:tr w:rsidR="00A46452">
        <w:trPr>
          <w:jc w:val="center"/>
        </w:trPr>
        <w:tc>
          <w:tcPr>
            <w:tcW w:w="593" w:type="pct"/>
            <w:tcBorders>
              <w:tl2br w:val="nil"/>
              <w:tr2bl w:val="nil"/>
            </w:tcBorders>
            <w:vAlign w:val="center"/>
          </w:tcPr>
          <w:p w:rsidR="00A46452" w:rsidRDefault="009A3928">
            <w:pPr>
              <w:spacing w:line="240" w:lineRule="auto"/>
              <w:ind w:firstLineChars="0" w:firstLine="0"/>
              <w:jc w:val="center"/>
              <w:rPr>
                <w:rFonts w:cs="Times New Roman"/>
                <w:b/>
                <w:sz w:val="21"/>
              </w:rPr>
            </w:pPr>
            <w:r>
              <w:rPr>
                <w:rFonts w:cs="Times New Roman"/>
                <w:b/>
                <w:sz w:val="21"/>
              </w:rPr>
              <w:t>环境要素</w:t>
            </w:r>
          </w:p>
        </w:tc>
        <w:tc>
          <w:tcPr>
            <w:tcW w:w="830" w:type="pct"/>
            <w:tcBorders>
              <w:tl2br w:val="nil"/>
              <w:tr2bl w:val="nil"/>
            </w:tcBorders>
            <w:vAlign w:val="center"/>
          </w:tcPr>
          <w:p w:rsidR="00A46452" w:rsidRDefault="009A3928">
            <w:pPr>
              <w:spacing w:line="240" w:lineRule="auto"/>
              <w:ind w:firstLineChars="0" w:firstLine="0"/>
              <w:jc w:val="center"/>
              <w:rPr>
                <w:rFonts w:cs="Times New Roman"/>
                <w:b/>
                <w:sz w:val="21"/>
              </w:rPr>
            </w:pPr>
            <w:r>
              <w:rPr>
                <w:rFonts w:cs="Times New Roman"/>
                <w:b/>
                <w:sz w:val="21"/>
              </w:rPr>
              <w:t>评价等级</w:t>
            </w:r>
          </w:p>
        </w:tc>
        <w:tc>
          <w:tcPr>
            <w:tcW w:w="3575" w:type="pct"/>
            <w:tcBorders>
              <w:tl2br w:val="nil"/>
              <w:tr2bl w:val="nil"/>
            </w:tcBorders>
            <w:vAlign w:val="center"/>
          </w:tcPr>
          <w:p w:rsidR="00A46452" w:rsidRDefault="009A3928">
            <w:pPr>
              <w:spacing w:line="240" w:lineRule="auto"/>
              <w:ind w:firstLineChars="0" w:firstLine="0"/>
              <w:jc w:val="center"/>
              <w:rPr>
                <w:rFonts w:cs="Times New Roman"/>
                <w:b/>
                <w:sz w:val="21"/>
              </w:rPr>
            </w:pPr>
            <w:r>
              <w:rPr>
                <w:rFonts w:cs="Times New Roman"/>
                <w:b/>
                <w:sz w:val="21"/>
              </w:rPr>
              <w:t>划分依据</w:t>
            </w:r>
          </w:p>
        </w:tc>
      </w:tr>
      <w:tr w:rsidR="00A46452">
        <w:trPr>
          <w:trHeight w:val="814"/>
          <w:jc w:val="center"/>
        </w:trPr>
        <w:tc>
          <w:tcPr>
            <w:tcW w:w="593" w:type="pct"/>
            <w:vMerge w:val="restart"/>
            <w:tcBorders>
              <w:tl2br w:val="nil"/>
              <w:tr2bl w:val="nil"/>
            </w:tcBorders>
            <w:vAlign w:val="center"/>
          </w:tcPr>
          <w:p w:rsidR="00A46452" w:rsidRDefault="009A3928">
            <w:pPr>
              <w:spacing w:line="240" w:lineRule="auto"/>
              <w:ind w:firstLineChars="0" w:firstLine="0"/>
              <w:jc w:val="center"/>
              <w:rPr>
                <w:rFonts w:cs="Times New Roman"/>
                <w:sz w:val="21"/>
              </w:rPr>
            </w:pPr>
            <w:r>
              <w:rPr>
                <w:rFonts w:cs="Times New Roman"/>
                <w:sz w:val="21"/>
              </w:rPr>
              <w:t>生态</w:t>
            </w:r>
          </w:p>
        </w:tc>
        <w:tc>
          <w:tcPr>
            <w:tcW w:w="830" w:type="pct"/>
            <w:vMerge w:val="restart"/>
            <w:tcBorders>
              <w:tl2br w:val="nil"/>
              <w:tr2bl w:val="nil"/>
            </w:tcBorders>
            <w:vAlign w:val="center"/>
          </w:tcPr>
          <w:p w:rsidR="00A46452" w:rsidRDefault="009A3928">
            <w:pPr>
              <w:spacing w:line="240" w:lineRule="auto"/>
              <w:ind w:firstLineChars="0" w:firstLine="0"/>
              <w:jc w:val="center"/>
              <w:rPr>
                <w:rFonts w:cs="Times New Roman"/>
                <w:sz w:val="21"/>
              </w:rPr>
            </w:pPr>
            <w:r>
              <w:rPr>
                <w:rFonts w:cs="Times New Roman"/>
                <w:sz w:val="21"/>
              </w:rPr>
              <w:t>生态</w:t>
            </w:r>
            <w:r>
              <w:rPr>
                <w:rFonts w:cs="Times New Roman"/>
                <w:sz w:val="21"/>
              </w:rPr>
              <w:t>三级</w:t>
            </w:r>
            <w:r>
              <w:rPr>
                <w:rFonts w:cs="Times New Roman"/>
                <w:sz w:val="21"/>
              </w:rPr>
              <w:t>评价</w:t>
            </w:r>
          </w:p>
        </w:tc>
        <w:tc>
          <w:tcPr>
            <w:tcW w:w="3575" w:type="pct"/>
            <w:tcBorders>
              <w:tl2br w:val="nil"/>
              <w:tr2bl w:val="nil"/>
            </w:tcBorders>
            <w:vAlign w:val="center"/>
          </w:tcPr>
          <w:p w:rsidR="00A46452" w:rsidRDefault="009A3928">
            <w:pPr>
              <w:autoSpaceDE w:val="0"/>
              <w:autoSpaceDN w:val="0"/>
              <w:adjustRightInd w:val="0"/>
              <w:spacing w:line="240" w:lineRule="auto"/>
              <w:ind w:firstLineChars="0" w:firstLine="0"/>
              <w:rPr>
                <w:rFonts w:cs="Times New Roman"/>
                <w:sz w:val="21"/>
              </w:rPr>
            </w:pPr>
            <w:r>
              <w:rPr>
                <w:rFonts w:cs="Times New Roman"/>
                <w:sz w:val="21"/>
              </w:rPr>
              <w:t>拟建公路</w:t>
            </w:r>
            <w:r>
              <w:rPr>
                <w:rFonts w:cs="Times New Roman"/>
                <w:sz w:val="21"/>
              </w:rPr>
              <w:t>K3+280~K3+520</w:t>
            </w:r>
            <w:r>
              <w:rPr>
                <w:rFonts w:cs="Times New Roman"/>
                <w:sz w:val="21"/>
              </w:rPr>
              <w:t>、</w:t>
            </w:r>
            <w:r>
              <w:rPr>
                <w:rFonts w:cs="Times New Roman"/>
                <w:sz w:val="21"/>
              </w:rPr>
              <w:t>K4+440~K4+620</w:t>
            </w:r>
            <w:r>
              <w:rPr>
                <w:rFonts w:cs="Times New Roman"/>
                <w:sz w:val="21"/>
              </w:rPr>
              <w:t>、</w:t>
            </w:r>
            <w:r>
              <w:rPr>
                <w:rFonts w:cs="Times New Roman"/>
                <w:sz w:val="21"/>
              </w:rPr>
              <w:t>K22+460~K24+680</w:t>
            </w:r>
            <w:r>
              <w:rPr>
                <w:rFonts w:cs="Times New Roman"/>
                <w:sz w:val="21"/>
              </w:rPr>
              <w:t>、</w:t>
            </w:r>
            <w:r>
              <w:rPr>
                <w:rFonts w:cs="Times New Roman"/>
                <w:sz w:val="21"/>
              </w:rPr>
              <w:t>K26+780~K32+240</w:t>
            </w:r>
            <w:r>
              <w:rPr>
                <w:rFonts w:cs="Times New Roman"/>
                <w:sz w:val="21"/>
              </w:rPr>
              <w:t>，</w:t>
            </w:r>
            <w:r>
              <w:rPr>
                <w:rFonts w:cs="Times New Roman"/>
                <w:sz w:val="21"/>
              </w:rPr>
              <w:t>K42+980~K45+540</w:t>
            </w:r>
            <w:r>
              <w:rPr>
                <w:rFonts w:cs="Times New Roman"/>
                <w:sz w:val="21"/>
              </w:rPr>
              <w:t>占用国家二级公益林。项目建设内容不涉及加油站、隧洞等施工环节，因此项目建设不会对地下水位和土壤产生影响，因此生态评价等级为三级。</w:t>
            </w:r>
          </w:p>
        </w:tc>
      </w:tr>
      <w:tr w:rsidR="00A46452">
        <w:trPr>
          <w:trHeight w:val="682"/>
          <w:jc w:val="center"/>
        </w:trPr>
        <w:tc>
          <w:tcPr>
            <w:tcW w:w="593" w:type="pct"/>
            <w:vMerge/>
            <w:tcBorders>
              <w:tl2br w:val="nil"/>
              <w:tr2bl w:val="nil"/>
            </w:tcBorders>
            <w:vAlign w:val="center"/>
          </w:tcPr>
          <w:p w:rsidR="00A46452" w:rsidRDefault="00A46452">
            <w:pPr>
              <w:spacing w:line="240" w:lineRule="auto"/>
              <w:ind w:firstLineChars="0" w:firstLine="0"/>
              <w:jc w:val="center"/>
              <w:rPr>
                <w:rFonts w:cs="Times New Roman"/>
                <w:sz w:val="21"/>
              </w:rPr>
            </w:pPr>
          </w:p>
        </w:tc>
        <w:tc>
          <w:tcPr>
            <w:tcW w:w="830" w:type="pct"/>
            <w:vMerge/>
            <w:tcBorders>
              <w:tl2br w:val="nil"/>
              <w:tr2bl w:val="nil"/>
            </w:tcBorders>
            <w:vAlign w:val="center"/>
          </w:tcPr>
          <w:p w:rsidR="00A46452" w:rsidRDefault="00A46452">
            <w:pPr>
              <w:spacing w:line="240" w:lineRule="auto"/>
              <w:ind w:firstLineChars="0" w:firstLine="0"/>
              <w:jc w:val="center"/>
              <w:rPr>
                <w:rFonts w:cs="Times New Roman"/>
                <w:sz w:val="21"/>
              </w:rPr>
            </w:pPr>
          </w:p>
        </w:tc>
        <w:tc>
          <w:tcPr>
            <w:tcW w:w="3575" w:type="pct"/>
            <w:tcBorders>
              <w:tl2br w:val="nil"/>
              <w:tr2bl w:val="nil"/>
            </w:tcBorders>
            <w:vAlign w:val="center"/>
          </w:tcPr>
          <w:p w:rsidR="00A46452" w:rsidRDefault="009A3928">
            <w:pPr>
              <w:autoSpaceDE w:val="0"/>
              <w:autoSpaceDN w:val="0"/>
              <w:adjustRightInd w:val="0"/>
              <w:spacing w:line="240" w:lineRule="auto"/>
              <w:ind w:firstLineChars="0" w:firstLine="0"/>
              <w:rPr>
                <w:rFonts w:cs="Times New Roman"/>
                <w:kern w:val="0"/>
                <w:sz w:val="21"/>
              </w:rPr>
            </w:pPr>
            <w:r>
              <w:rPr>
                <w:rFonts w:cs="Times New Roman"/>
                <w:kern w:val="0"/>
                <w:sz w:val="21"/>
              </w:rPr>
              <w:t>拟建公路</w:t>
            </w:r>
            <w:r>
              <w:rPr>
                <w:rFonts w:cs="Times New Roman"/>
                <w:sz w:val="21"/>
              </w:rPr>
              <w:t>永久及临时占用地面积为</w:t>
            </w:r>
            <w:r>
              <w:rPr>
                <w:rFonts w:cs="Times New Roman"/>
                <w:sz w:val="21"/>
              </w:rPr>
              <w:t>3.</w:t>
            </w:r>
            <w:r>
              <w:rPr>
                <w:rFonts w:cs="Times New Roman"/>
                <w:sz w:val="21"/>
              </w:rPr>
              <w:t>75</w:t>
            </w:r>
            <w:r>
              <w:rPr>
                <w:rFonts w:cs="Times New Roman"/>
                <w:sz w:val="21"/>
              </w:rPr>
              <w:t>km</w:t>
            </w:r>
            <w:r>
              <w:rPr>
                <w:rFonts w:cs="Times New Roman"/>
                <w:sz w:val="21"/>
                <w:vertAlign w:val="superscript"/>
              </w:rPr>
              <w:t>2</w:t>
            </w:r>
            <w:r>
              <w:rPr>
                <w:rFonts w:cs="Times New Roman"/>
                <w:sz w:val="21"/>
              </w:rPr>
              <w:t>＜</w:t>
            </w:r>
            <w:r>
              <w:rPr>
                <w:rFonts w:cs="Times New Roman"/>
                <w:sz w:val="21"/>
              </w:rPr>
              <w:t>20km</w:t>
            </w:r>
            <w:r>
              <w:rPr>
                <w:rFonts w:cs="Times New Roman"/>
                <w:sz w:val="21"/>
                <w:vertAlign w:val="superscript"/>
              </w:rPr>
              <w:t>2</w:t>
            </w:r>
            <w:r>
              <w:rPr>
                <w:rFonts w:cs="Times New Roman"/>
                <w:sz w:val="21"/>
              </w:rPr>
              <w:t>，生态评价等级为三级。</w:t>
            </w:r>
          </w:p>
        </w:tc>
      </w:tr>
    </w:tbl>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2.4.1.</w:t>
      </w:r>
      <w:r>
        <w:rPr>
          <w:rFonts w:cs="Times New Roman" w:hint="default"/>
          <w:iCs/>
        </w:rPr>
        <w:t>3</w:t>
      </w:r>
      <w:r>
        <w:rPr>
          <w:rFonts w:cs="Times New Roman" w:hint="default"/>
          <w:iCs/>
        </w:rPr>
        <w:t>声环境评价工作等级</w:t>
      </w:r>
      <w:bookmarkEnd w:id="155"/>
      <w:bookmarkEnd w:id="156"/>
      <w:bookmarkEnd w:id="157"/>
      <w:bookmarkEnd w:id="158"/>
      <w:bookmarkEnd w:id="159"/>
      <w:bookmarkEnd w:id="160"/>
      <w:bookmarkEnd w:id="161"/>
      <w:bookmarkEnd w:id="162"/>
    </w:p>
    <w:p w:rsidR="00A46452" w:rsidRDefault="009A3928">
      <w:pPr>
        <w:wordWrap w:val="0"/>
        <w:topLinePunct/>
        <w:adjustRightInd w:val="0"/>
        <w:snapToGrid w:val="0"/>
        <w:ind w:firstLine="480"/>
        <w:rPr>
          <w:rFonts w:cs="Times New Roman"/>
        </w:rPr>
      </w:pPr>
      <w:r>
        <w:rPr>
          <w:rFonts w:cs="Times New Roman"/>
        </w:rPr>
        <w:t>根据《环境影响评价技术导则公路建设项目（</w:t>
      </w:r>
      <w:r>
        <w:rPr>
          <w:rFonts w:cs="Times New Roman"/>
        </w:rPr>
        <w:t>HJ1358-2024</w:t>
      </w:r>
      <w:r>
        <w:rPr>
          <w:rFonts w:cs="Times New Roman"/>
        </w:rPr>
        <w:t>）》</w:t>
      </w:r>
      <w:r>
        <w:rPr>
          <w:rFonts w:cs="Times New Roman"/>
        </w:rPr>
        <w:t>7.1.2</w:t>
      </w:r>
      <w:r>
        <w:rPr>
          <w:rFonts w:cs="Times New Roman"/>
        </w:rPr>
        <w:t>节</w:t>
      </w:r>
      <w:r>
        <w:rPr>
          <w:rFonts w:cs="Times New Roman"/>
        </w:rPr>
        <w:t>评价工作分级的规定</w:t>
      </w:r>
      <w:r>
        <w:rPr>
          <w:rFonts w:cs="Times New Roman"/>
        </w:rPr>
        <w:t>，</w:t>
      </w:r>
      <w:r>
        <w:rPr>
          <w:rFonts w:cs="Times New Roman"/>
        </w:rPr>
        <w:t>确定本次声环境影响评价工作等级为</w:t>
      </w:r>
      <w:r>
        <w:rPr>
          <w:rFonts w:cs="Times New Roman"/>
        </w:rPr>
        <w:t>一</w:t>
      </w:r>
      <w:r>
        <w:rPr>
          <w:rFonts w:cs="Times New Roman"/>
        </w:rPr>
        <w:t>级，详见表</w:t>
      </w:r>
      <w:r>
        <w:rPr>
          <w:rFonts w:cs="Times New Roman"/>
        </w:rPr>
        <w:t>2.</w:t>
      </w:r>
      <w:r>
        <w:rPr>
          <w:rFonts w:cs="Times New Roman"/>
        </w:rPr>
        <w:t>6</w:t>
      </w:r>
      <w:r>
        <w:rPr>
          <w:rFonts w:cs="Times New Roman"/>
        </w:rPr>
        <w:t>-</w:t>
      </w:r>
      <w:r>
        <w:rPr>
          <w:rFonts w:cs="Times New Roman"/>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2.</w:t>
      </w:r>
      <w:r>
        <w:rPr>
          <w:rFonts w:eastAsia="黑体" w:cs="Times New Roman"/>
        </w:rPr>
        <w:t>6</w:t>
      </w:r>
      <w:r>
        <w:rPr>
          <w:rFonts w:eastAsia="黑体" w:cs="Times New Roman"/>
        </w:rPr>
        <w:t>-</w:t>
      </w:r>
      <w:r>
        <w:rPr>
          <w:rFonts w:eastAsia="黑体" w:cs="Times New Roman"/>
        </w:rPr>
        <w:t>2</w:t>
      </w:r>
      <w:r>
        <w:rPr>
          <w:rFonts w:eastAsia="黑体" w:cs="Times New Roman"/>
        </w:rPr>
        <w:t xml:space="preserve">            </w:t>
      </w:r>
      <w:r>
        <w:rPr>
          <w:rFonts w:eastAsia="黑体" w:cs="Times New Roman"/>
        </w:rPr>
        <w:t xml:space="preserve">      </w:t>
      </w:r>
      <w:r>
        <w:rPr>
          <w:rFonts w:eastAsia="黑体" w:cs="Times New Roman"/>
        </w:rPr>
        <w:t>声环境评价工作等级判定表</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135"/>
        <w:gridCol w:w="6217"/>
        <w:gridCol w:w="1102"/>
      </w:tblGrid>
      <w:tr w:rsidR="00A46452">
        <w:trPr>
          <w:trHeight w:val="526"/>
        </w:trPr>
        <w:tc>
          <w:tcPr>
            <w:tcW w:w="67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21"/>
              </w:rPr>
            </w:pPr>
            <w:r>
              <w:rPr>
                <w:rFonts w:cs="Times New Roman"/>
                <w:snapToGrid w:val="0"/>
                <w:kern w:val="0"/>
                <w:sz w:val="21"/>
              </w:rPr>
              <w:t>环境要素</w:t>
            </w:r>
          </w:p>
        </w:tc>
        <w:tc>
          <w:tcPr>
            <w:tcW w:w="3676"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21"/>
              </w:rPr>
            </w:pPr>
            <w:r>
              <w:rPr>
                <w:rFonts w:cs="Times New Roman"/>
                <w:snapToGrid w:val="0"/>
                <w:kern w:val="0"/>
                <w:sz w:val="21"/>
              </w:rPr>
              <w:t>评价等级判定依据</w:t>
            </w:r>
          </w:p>
        </w:tc>
        <w:tc>
          <w:tcPr>
            <w:tcW w:w="652"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21"/>
              </w:rPr>
            </w:pPr>
            <w:r>
              <w:rPr>
                <w:rFonts w:cs="Times New Roman"/>
                <w:snapToGrid w:val="0"/>
                <w:kern w:val="0"/>
                <w:sz w:val="21"/>
              </w:rPr>
              <w:t>评价等级</w:t>
            </w:r>
          </w:p>
        </w:tc>
      </w:tr>
      <w:tr w:rsidR="00A46452">
        <w:trPr>
          <w:trHeight w:val="1107"/>
        </w:trPr>
        <w:tc>
          <w:tcPr>
            <w:tcW w:w="67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21"/>
              </w:rPr>
            </w:pPr>
            <w:r>
              <w:rPr>
                <w:rFonts w:cs="Times New Roman"/>
                <w:snapToGrid w:val="0"/>
                <w:kern w:val="0"/>
                <w:sz w:val="21"/>
              </w:rPr>
              <w:t>声环境</w:t>
            </w:r>
          </w:p>
        </w:tc>
        <w:tc>
          <w:tcPr>
            <w:tcW w:w="3676" w:type="pct"/>
            <w:tcBorders>
              <w:tl2br w:val="nil"/>
              <w:tr2bl w:val="nil"/>
            </w:tcBorders>
            <w:vAlign w:val="center"/>
          </w:tcPr>
          <w:p w:rsidR="00A46452" w:rsidRDefault="009A3928">
            <w:pPr>
              <w:pStyle w:val="af0"/>
              <w:ind w:firstLineChars="0" w:firstLine="0"/>
              <w:rPr>
                <w:rFonts w:cs="Times New Roman" w:hint="default"/>
                <w:snapToGrid w:val="0"/>
                <w:kern w:val="0"/>
                <w:szCs w:val="21"/>
              </w:rPr>
            </w:pPr>
            <w:r>
              <w:rPr>
                <w:rFonts w:eastAsiaTheme="minorEastAsia" w:cs="Times New Roman" w:hint="default"/>
              </w:rPr>
              <w:t>拟建公路建设前后评价范围内声环境保护目标噪声级增量达</w:t>
            </w:r>
            <w:r>
              <w:rPr>
                <w:rFonts w:eastAsiaTheme="minorEastAsia" w:cs="Times New Roman" w:hint="default"/>
              </w:rPr>
              <w:t>5dB(A)</w:t>
            </w:r>
            <w:r>
              <w:rPr>
                <w:rFonts w:eastAsiaTheme="minorEastAsia" w:cs="Times New Roman" w:hint="default"/>
              </w:rPr>
              <w:t>以上</w:t>
            </w:r>
            <w:r>
              <w:rPr>
                <w:rFonts w:cs="Times New Roman" w:hint="default"/>
                <w:snapToGrid w:val="0"/>
                <w:kern w:val="0"/>
                <w:szCs w:val="21"/>
              </w:rPr>
              <w:t>，确定声环境按一级评价</w:t>
            </w:r>
          </w:p>
        </w:tc>
        <w:tc>
          <w:tcPr>
            <w:tcW w:w="652"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napToGrid w:val="0"/>
                <w:kern w:val="0"/>
                <w:sz w:val="21"/>
              </w:rPr>
            </w:pPr>
            <w:r>
              <w:rPr>
                <w:rFonts w:cs="Times New Roman"/>
                <w:snapToGrid w:val="0"/>
                <w:kern w:val="0"/>
                <w:sz w:val="21"/>
              </w:rPr>
              <w:t>一</w:t>
            </w:r>
            <w:r>
              <w:rPr>
                <w:rFonts w:cs="Times New Roman"/>
                <w:snapToGrid w:val="0"/>
                <w:kern w:val="0"/>
                <w:sz w:val="21"/>
              </w:rPr>
              <w:t>级</w:t>
            </w:r>
          </w:p>
        </w:tc>
      </w:tr>
    </w:tbl>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bookmarkStart w:id="163" w:name="_Toc246436632"/>
      <w:bookmarkStart w:id="164" w:name="_Toc236649243"/>
      <w:bookmarkStart w:id="165" w:name="_Toc233281954"/>
      <w:bookmarkStart w:id="166" w:name="_Toc247338865"/>
      <w:bookmarkStart w:id="167" w:name="_Toc236793935"/>
      <w:bookmarkStart w:id="168" w:name="_Toc247448240"/>
      <w:r>
        <w:rPr>
          <w:rFonts w:cs="Times New Roman" w:hint="default"/>
          <w:iCs/>
        </w:rPr>
        <w:t>2.</w:t>
      </w:r>
      <w:r>
        <w:rPr>
          <w:rFonts w:cs="Times New Roman" w:hint="default"/>
          <w:iCs/>
        </w:rPr>
        <w:t>6</w:t>
      </w:r>
      <w:r>
        <w:rPr>
          <w:rFonts w:cs="Times New Roman" w:hint="default"/>
          <w:iCs/>
        </w:rPr>
        <w:t>.1.</w:t>
      </w:r>
      <w:r>
        <w:rPr>
          <w:rFonts w:cs="Times New Roman" w:hint="default"/>
          <w:iCs/>
        </w:rPr>
        <w:t>4</w:t>
      </w:r>
      <w:r>
        <w:rPr>
          <w:rFonts w:cs="Times New Roman" w:hint="default"/>
          <w:iCs/>
        </w:rPr>
        <w:t>地表水环境评价工作等级</w:t>
      </w:r>
      <w:bookmarkEnd w:id="163"/>
      <w:bookmarkEnd w:id="164"/>
      <w:bookmarkEnd w:id="165"/>
      <w:bookmarkEnd w:id="166"/>
      <w:bookmarkEnd w:id="167"/>
      <w:bookmarkEnd w:id="168"/>
    </w:p>
    <w:p w:rsidR="00A46452" w:rsidRDefault="009A3928">
      <w:pPr>
        <w:wordWrap w:val="0"/>
        <w:topLinePunct/>
        <w:adjustRightInd w:val="0"/>
        <w:snapToGrid w:val="0"/>
        <w:ind w:firstLine="480"/>
        <w:rPr>
          <w:rFonts w:cs="Times New Roman"/>
        </w:rPr>
      </w:pPr>
      <w:bookmarkStart w:id="169" w:name="_Toc247338866"/>
      <w:bookmarkStart w:id="170" w:name="_Toc247448241"/>
      <w:bookmarkStart w:id="171" w:name="_Toc246436633"/>
      <w:r>
        <w:rPr>
          <w:rFonts w:cs="Times New Roman"/>
        </w:rPr>
        <w:t>拟建公路施工期生产废水和生活污水，均收集后统一处置，不外排；运营期服务区生活污水</w:t>
      </w:r>
      <w:r>
        <w:rPr>
          <w:rFonts w:cs="Times New Roman"/>
        </w:rPr>
        <w:t>经</w:t>
      </w:r>
      <w:r>
        <w:rPr>
          <w:rFonts w:cs="Times New Roman"/>
        </w:rPr>
        <w:t>处理后站内回用，不外排。</w:t>
      </w:r>
    </w:p>
    <w:bookmarkEnd w:id="169"/>
    <w:bookmarkEnd w:id="170"/>
    <w:bookmarkEnd w:id="171"/>
    <w:p w:rsidR="00A46452" w:rsidRDefault="009A3928">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），本项目线位或沿线设施不直接排放废水，且线位最高跨越</w:t>
      </w:r>
      <w:r>
        <w:rPr>
          <w:rFonts w:cs="Times New Roman"/>
        </w:rPr>
        <w:t>Ⅲ</w:t>
      </w:r>
      <w:r>
        <w:rPr>
          <w:rFonts w:cs="Times New Roman"/>
        </w:rPr>
        <w:t>类地表水体路段，不涉及地表水环境敏感路段，无需进行评价等级判定。</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6</w:t>
      </w:r>
      <w:r>
        <w:rPr>
          <w:rFonts w:cs="Times New Roman" w:hint="default"/>
          <w:iCs/>
        </w:rPr>
        <w:t>.1.</w:t>
      </w:r>
      <w:r>
        <w:rPr>
          <w:rFonts w:cs="Times New Roman" w:hint="default"/>
          <w:iCs/>
        </w:rPr>
        <w:t>5</w:t>
      </w:r>
      <w:r>
        <w:rPr>
          <w:rFonts w:cs="Times New Roman" w:hint="default"/>
          <w:iCs/>
        </w:rPr>
        <w:t>地下水环境影响评价等级</w:t>
      </w:r>
    </w:p>
    <w:p w:rsidR="00A46452" w:rsidRDefault="009A3928">
      <w:pPr>
        <w:wordWrap w:val="0"/>
        <w:topLinePunct/>
        <w:adjustRightInd w:val="0"/>
        <w:snapToGrid w:val="0"/>
        <w:ind w:firstLine="480"/>
        <w:rPr>
          <w:rFonts w:cs="Times New Roman"/>
        </w:rPr>
      </w:pPr>
      <w:r>
        <w:rPr>
          <w:rFonts w:cs="Times New Roman"/>
        </w:rPr>
        <w:t>本项目拟建公路</w:t>
      </w:r>
      <w:r>
        <w:rPr>
          <w:rFonts w:cs="Times New Roman"/>
          <w:kern w:val="0"/>
          <w:szCs w:val="24"/>
        </w:rPr>
        <w:t>预留</w:t>
      </w:r>
      <w:r>
        <w:rPr>
          <w:rFonts w:cs="Times New Roman"/>
          <w:kern w:val="0"/>
          <w:szCs w:val="24"/>
        </w:rPr>
        <w:t>2</w:t>
      </w:r>
      <w:r>
        <w:rPr>
          <w:rFonts w:cs="Times New Roman"/>
          <w:kern w:val="0"/>
          <w:szCs w:val="24"/>
        </w:rPr>
        <w:t>处加油站用地，加油站不在本</w:t>
      </w:r>
      <w:r>
        <w:rPr>
          <w:rFonts w:cs="Times New Roman"/>
          <w:kern w:val="0"/>
          <w:szCs w:val="24"/>
        </w:rPr>
        <w:t>次</w:t>
      </w:r>
      <w:r>
        <w:rPr>
          <w:rFonts w:cs="Times New Roman"/>
          <w:kern w:val="0"/>
          <w:szCs w:val="24"/>
        </w:rPr>
        <w:t>评价范围内，</w:t>
      </w: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），无需进行评价等级判定。</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6</w:t>
      </w:r>
      <w:r>
        <w:rPr>
          <w:rFonts w:cs="Times New Roman" w:hint="default"/>
          <w:iCs/>
        </w:rPr>
        <w:t>.1.</w:t>
      </w:r>
      <w:r>
        <w:rPr>
          <w:rFonts w:cs="Times New Roman" w:hint="default"/>
          <w:iCs/>
        </w:rPr>
        <w:t>6</w:t>
      </w:r>
      <w:r>
        <w:rPr>
          <w:rFonts w:cs="Times New Roman" w:hint="default"/>
          <w:iCs/>
        </w:rPr>
        <w:t>土壤评价工作等级</w:t>
      </w:r>
    </w:p>
    <w:p w:rsidR="00A46452" w:rsidRDefault="009A3928">
      <w:pPr>
        <w:wordWrap w:val="0"/>
        <w:topLinePunct/>
        <w:adjustRightInd w:val="0"/>
        <w:snapToGrid w:val="0"/>
        <w:ind w:firstLine="480"/>
        <w:rPr>
          <w:rFonts w:cs="Times New Roman"/>
        </w:rPr>
      </w:pPr>
      <w:r>
        <w:rPr>
          <w:rFonts w:cs="Times New Roman"/>
        </w:rPr>
        <w:t>本项目拟建公路</w:t>
      </w:r>
      <w:r>
        <w:rPr>
          <w:rFonts w:cs="Times New Roman"/>
          <w:kern w:val="0"/>
          <w:szCs w:val="24"/>
        </w:rPr>
        <w:t>预留</w:t>
      </w:r>
      <w:r>
        <w:rPr>
          <w:rFonts w:cs="Times New Roman"/>
          <w:kern w:val="0"/>
          <w:szCs w:val="24"/>
        </w:rPr>
        <w:t>2</w:t>
      </w:r>
      <w:r>
        <w:rPr>
          <w:rFonts w:cs="Times New Roman"/>
          <w:kern w:val="0"/>
          <w:szCs w:val="24"/>
        </w:rPr>
        <w:t>处加油站用地，加油站不在本</w:t>
      </w:r>
      <w:r>
        <w:rPr>
          <w:rFonts w:cs="Times New Roman"/>
          <w:kern w:val="0"/>
          <w:szCs w:val="24"/>
        </w:rPr>
        <w:t>次</w:t>
      </w:r>
      <w:r>
        <w:rPr>
          <w:rFonts w:cs="Times New Roman"/>
          <w:kern w:val="0"/>
          <w:szCs w:val="24"/>
        </w:rPr>
        <w:t>评价范围内，</w:t>
      </w: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），无需进行评价等级判定。</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2.</w:t>
      </w:r>
      <w:r>
        <w:rPr>
          <w:rFonts w:cs="Times New Roman" w:hint="default"/>
          <w:iCs/>
        </w:rPr>
        <w:t>6</w:t>
      </w:r>
      <w:r>
        <w:rPr>
          <w:rFonts w:cs="Times New Roman" w:hint="default"/>
          <w:iCs/>
        </w:rPr>
        <w:t>.1.</w:t>
      </w:r>
      <w:r>
        <w:rPr>
          <w:rFonts w:cs="Times New Roman" w:hint="default"/>
          <w:iCs/>
        </w:rPr>
        <w:t>7</w:t>
      </w:r>
      <w:r>
        <w:rPr>
          <w:rFonts w:cs="Times New Roman" w:hint="default"/>
          <w:iCs/>
        </w:rPr>
        <w:t>环境风险评价工作等级</w:t>
      </w:r>
    </w:p>
    <w:p w:rsidR="00A46452" w:rsidRDefault="009A3928">
      <w:pPr>
        <w:wordWrap w:val="0"/>
        <w:topLinePunct/>
        <w:adjustRightInd w:val="0"/>
        <w:snapToGrid w:val="0"/>
        <w:ind w:firstLine="480"/>
        <w:rPr>
          <w:rFonts w:cs="Times New Roman"/>
          <w:spacing w:val="-3"/>
          <w:szCs w:val="24"/>
        </w:rPr>
      </w:pPr>
      <w:bookmarkStart w:id="172" w:name="_Toc34989535"/>
      <w:bookmarkStart w:id="173" w:name="_Toc57826701"/>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cs="Times New Roman"/>
        </w:rPr>
        <w:t>本项目拟建公路不涉及饮用水水源保护区、集中式饮用水水源取水口，不跨</w:t>
      </w:r>
      <w:r>
        <w:rPr>
          <w:rFonts w:cs="Times New Roman"/>
        </w:rPr>
        <w:t>Ⅱ</w:t>
      </w:r>
      <w:r>
        <w:rPr>
          <w:rFonts w:cs="Times New Roman"/>
        </w:rPr>
        <w:t>类及以上水体等水环境风险敏感路段，根据《环境影响评价技术导则</w:t>
      </w:r>
      <w:r>
        <w:rPr>
          <w:rFonts w:cs="Times New Roman"/>
        </w:rPr>
        <w:t xml:space="preserve"> </w:t>
      </w:r>
      <w:r>
        <w:rPr>
          <w:rFonts w:cs="Times New Roman"/>
        </w:rPr>
        <w:t>公路建设项目》（</w:t>
      </w:r>
      <w:r>
        <w:rPr>
          <w:rFonts w:cs="Times New Roman"/>
        </w:rPr>
        <w:t>HJ1358-2024</w:t>
      </w:r>
      <w:r>
        <w:rPr>
          <w:rFonts w:cs="Times New Roman"/>
        </w:rPr>
        <w:t>），无需进行评价等级判定。</w:t>
      </w:r>
    </w:p>
    <w:p w:rsidR="00A46452" w:rsidRDefault="009A3928">
      <w:pPr>
        <w:pStyle w:val="31"/>
        <w:keepNext w:val="0"/>
        <w:keepLines w:val="0"/>
        <w:wordWrap w:val="0"/>
        <w:topLinePunct/>
        <w:adjustRightInd w:val="0"/>
        <w:snapToGrid w:val="0"/>
        <w:spacing w:before="120" w:after="120"/>
        <w:rPr>
          <w:rFonts w:cs="Times New Roman" w:hint="default"/>
          <w:sz w:val="28"/>
        </w:rPr>
      </w:pPr>
      <w:r>
        <w:rPr>
          <w:rFonts w:cs="Times New Roman" w:hint="default"/>
          <w:sz w:val="28"/>
        </w:rPr>
        <w:t>2.</w:t>
      </w:r>
      <w:r>
        <w:rPr>
          <w:rFonts w:cs="Times New Roman" w:hint="default"/>
          <w:sz w:val="28"/>
        </w:rPr>
        <w:t>6</w:t>
      </w:r>
      <w:r>
        <w:rPr>
          <w:rFonts w:cs="Times New Roman" w:hint="default"/>
          <w:sz w:val="28"/>
        </w:rPr>
        <w:t>.2</w:t>
      </w:r>
      <w:r>
        <w:rPr>
          <w:rFonts w:cs="Times New Roman" w:hint="default"/>
          <w:sz w:val="28"/>
        </w:rPr>
        <w:t>评价范围</w:t>
      </w:r>
      <w:bookmarkEnd w:id="172"/>
      <w:bookmarkEnd w:id="173"/>
    </w:p>
    <w:p w:rsidR="00A46452" w:rsidRDefault="009A3928">
      <w:pPr>
        <w:wordWrap w:val="0"/>
        <w:topLinePunct/>
        <w:adjustRightInd w:val="0"/>
        <w:snapToGrid w:val="0"/>
        <w:ind w:left="113" w:right="102" w:firstLine="482"/>
        <w:rPr>
          <w:rFonts w:cs="Times New Roman"/>
        </w:rPr>
      </w:pPr>
      <w:bookmarkStart w:id="174" w:name="_Toc316511016"/>
      <w:bookmarkStart w:id="175" w:name="_Toc236793635"/>
      <w:bookmarkStart w:id="176" w:name="_Toc165446130"/>
      <w:bookmarkStart w:id="177" w:name="_Toc381605961"/>
      <w:bookmarkStart w:id="178" w:name="_Toc183676469"/>
      <w:bookmarkStart w:id="179" w:name="_Toc316561607"/>
      <w:bookmarkStart w:id="180" w:name="_Toc4507842"/>
      <w:bookmarkStart w:id="181" w:name="_Toc187080692"/>
      <w:r>
        <w:rPr>
          <w:rFonts w:cs="Times New Roman"/>
          <w:b/>
          <w:bCs/>
        </w:rPr>
        <w:t>（</w:t>
      </w:r>
      <w:r>
        <w:rPr>
          <w:rFonts w:cs="Times New Roman"/>
          <w:b/>
          <w:bCs/>
        </w:rPr>
        <w:t>1</w:t>
      </w:r>
      <w:r>
        <w:rPr>
          <w:rFonts w:cs="Times New Roman"/>
          <w:b/>
          <w:bCs/>
        </w:rPr>
        <w:t>）地表水</w:t>
      </w:r>
    </w:p>
    <w:p w:rsidR="00A46452" w:rsidRDefault="009A3928" w:rsidP="00182EED">
      <w:pPr>
        <w:wordWrap w:val="0"/>
        <w:topLinePunct/>
        <w:adjustRightInd w:val="0"/>
        <w:snapToGrid w:val="0"/>
        <w:ind w:firstLine="480"/>
        <w:rPr>
          <w:rFonts w:cs="Times New Roman"/>
          <w:szCs w:val="24"/>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），本项目线位跨越河流，不涉及地表水环境敏感路段，评价范围应</w:t>
      </w:r>
      <w:r>
        <w:rPr>
          <w:rFonts w:cs="Times New Roman"/>
        </w:rPr>
        <w:t>为公</w:t>
      </w:r>
      <w:r>
        <w:rPr>
          <w:rFonts w:cs="Times New Roman"/>
        </w:rPr>
        <w:t>路中心线两侧各</w:t>
      </w:r>
      <w:r>
        <w:rPr>
          <w:rFonts w:cs="Times New Roman"/>
        </w:rPr>
        <w:t>200m</w:t>
      </w:r>
      <w:r>
        <w:rPr>
          <w:rFonts w:cs="Times New Roman"/>
        </w:rPr>
        <w:t>以内的范围及跨河位置上游</w:t>
      </w:r>
      <w:r>
        <w:rPr>
          <w:rFonts w:cs="Times New Roman"/>
        </w:rPr>
        <w:t>200m</w:t>
      </w:r>
      <w:r>
        <w:rPr>
          <w:rFonts w:cs="Times New Roman"/>
        </w:rPr>
        <w:t>、下游</w:t>
      </w:r>
      <w:r>
        <w:rPr>
          <w:rFonts w:cs="Times New Roman"/>
        </w:rPr>
        <w:t>1</w:t>
      </w:r>
      <w:r>
        <w:rPr>
          <w:rFonts w:cs="Times New Roman"/>
        </w:rPr>
        <w:t>km</w:t>
      </w:r>
      <w:r>
        <w:rPr>
          <w:rFonts w:cs="Times New Roman"/>
        </w:rPr>
        <w:t>的</w:t>
      </w:r>
      <w:r>
        <w:rPr>
          <w:rFonts w:cs="Times New Roman"/>
        </w:rPr>
        <w:t>水域</w:t>
      </w:r>
      <w:r>
        <w:rPr>
          <w:rFonts w:cs="Times New Roman"/>
        </w:rPr>
        <w:t>。</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2</w:t>
      </w:r>
      <w:r>
        <w:rPr>
          <w:rFonts w:cs="Times New Roman"/>
          <w:b/>
          <w:bCs/>
        </w:rPr>
        <w:t>）地下水</w:t>
      </w:r>
    </w:p>
    <w:p w:rsidR="00A46452" w:rsidRDefault="009A3928">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），本工程为二级公路，</w:t>
      </w:r>
      <w:r>
        <w:rPr>
          <w:rFonts w:cs="Times New Roman"/>
          <w:kern w:val="0"/>
          <w:szCs w:val="24"/>
        </w:rPr>
        <w:t>预留</w:t>
      </w:r>
      <w:r>
        <w:rPr>
          <w:rFonts w:cs="Times New Roman"/>
          <w:kern w:val="0"/>
          <w:szCs w:val="24"/>
        </w:rPr>
        <w:t>2</w:t>
      </w:r>
      <w:r>
        <w:rPr>
          <w:rFonts w:cs="Times New Roman"/>
          <w:kern w:val="0"/>
          <w:szCs w:val="24"/>
        </w:rPr>
        <w:t>处加油站用地，加油站不在本</w:t>
      </w:r>
      <w:r>
        <w:rPr>
          <w:rFonts w:cs="Times New Roman"/>
          <w:kern w:val="0"/>
          <w:szCs w:val="24"/>
        </w:rPr>
        <w:t>次</w:t>
      </w:r>
      <w:r>
        <w:rPr>
          <w:rFonts w:cs="Times New Roman"/>
          <w:kern w:val="0"/>
          <w:szCs w:val="24"/>
        </w:rPr>
        <w:t>评价范围内</w:t>
      </w:r>
      <w:r>
        <w:rPr>
          <w:rFonts w:cs="Times New Roman"/>
        </w:rPr>
        <w:t>，不涉及地下水敏感区，</w:t>
      </w:r>
      <w:r>
        <w:rPr>
          <w:rFonts w:cs="Times New Roman"/>
        </w:rPr>
        <w:t>不</w:t>
      </w:r>
      <w:r>
        <w:rPr>
          <w:rFonts w:cs="Times New Roman"/>
        </w:rPr>
        <w:t>设置评价范围。</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3</w:t>
      </w:r>
      <w:r>
        <w:rPr>
          <w:rFonts w:cs="Times New Roman"/>
          <w:b/>
          <w:bCs/>
        </w:rPr>
        <w:t>）</w:t>
      </w:r>
      <w:r>
        <w:rPr>
          <w:rFonts w:cs="Times New Roman"/>
          <w:b/>
          <w:bCs/>
        </w:rPr>
        <w:t>大气环境</w:t>
      </w:r>
    </w:p>
    <w:p w:rsidR="00A46452" w:rsidRDefault="009A3928" w:rsidP="00182EED">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），本工程为二级公路，不设置评价范围。</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4</w:t>
      </w:r>
      <w:r>
        <w:rPr>
          <w:rFonts w:cs="Times New Roman"/>
          <w:b/>
          <w:bCs/>
        </w:rPr>
        <w:t>）</w:t>
      </w:r>
      <w:r>
        <w:rPr>
          <w:rFonts w:cs="Times New Roman"/>
          <w:b/>
          <w:bCs/>
        </w:rPr>
        <w:t>声环境</w:t>
      </w:r>
    </w:p>
    <w:p w:rsidR="00A46452" w:rsidRDefault="009A3928" w:rsidP="00182EED">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），本工程施工期评价范围为</w:t>
      </w:r>
      <w:r>
        <w:rPr>
          <w:rFonts w:cs="Times New Roman"/>
        </w:rPr>
        <w:t>施工场</w:t>
      </w:r>
      <w:r>
        <w:rPr>
          <w:rFonts w:cs="Times New Roman"/>
        </w:rPr>
        <w:t>界外扩</w:t>
      </w:r>
      <w:r>
        <w:rPr>
          <w:rFonts w:cs="Times New Roman"/>
        </w:rPr>
        <w:t>200m</w:t>
      </w:r>
      <w:r>
        <w:rPr>
          <w:rFonts w:cs="Times New Roman"/>
        </w:rPr>
        <w:t>，运营期评价范围为</w:t>
      </w:r>
      <w:r>
        <w:rPr>
          <w:rFonts w:cs="Times New Roman"/>
        </w:rPr>
        <w:t>公路</w:t>
      </w:r>
      <w:r>
        <w:rPr>
          <w:rFonts w:cs="Times New Roman"/>
        </w:rPr>
        <w:t>中心线两侧各</w:t>
      </w:r>
      <w:r>
        <w:rPr>
          <w:rFonts w:cs="Times New Roman"/>
        </w:rPr>
        <w:t>200m</w:t>
      </w:r>
      <w:r>
        <w:rPr>
          <w:rFonts w:cs="Times New Roman"/>
        </w:rPr>
        <w:t>以内，</w:t>
      </w:r>
      <w:r>
        <w:rPr>
          <w:rFonts w:cs="Times New Roman"/>
        </w:rPr>
        <w:t>200m</w:t>
      </w:r>
      <w:r>
        <w:rPr>
          <w:rFonts w:cs="Times New Roman"/>
        </w:rPr>
        <w:t>不能达标时扩大到运营中期噪声贡献值满足标准值的距离</w:t>
      </w:r>
      <w:r>
        <w:rPr>
          <w:rFonts w:cs="Times New Roman"/>
        </w:rPr>
        <w:t>，</w:t>
      </w:r>
      <w:r>
        <w:rPr>
          <w:rFonts w:cs="Times New Roman"/>
        </w:rPr>
        <w:t>根据预测结果分析，运营期声环境的评价范围为</w:t>
      </w:r>
      <w:r>
        <w:rPr>
          <w:rFonts w:cs="Times New Roman"/>
        </w:rPr>
        <w:t>200m</w:t>
      </w:r>
      <w:r>
        <w:rPr>
          <w:rFonts w:cs="Times New Roman"/>
        </w:rPr>
        <w:t>。</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5</w:t>
      </w:r>
      <w:r>
        <w:rPr>
          <w:rFonts w:cs="Times New Roman"/>
          <w:b/>
          <w:bCs/>
        </w:rPr>
        <w:t>）</w:t>
      </w:r>
      <w:r>
        <w:rPr>
          <w:rFonts w:cs="Times New Roman"/>
          <w:b/>
          <w:bCs/>
        </w:rPr>
        <w:t>环境风险</w:t>
      </w:r>
    </w:p>
    <w:p w:rsidR="00A46452" w:rsidRDefault="009A3928" w:rsidP="00182EED">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），本工程为</w:t>
      </w:r>
      <w:r>
        <w:rPr>
          <w:rFonts w:cs="Times New Roman"/>
        </w:rPr>
        <w:t>二</w:t>
      </w:r>
      <w:r>
        <w:rPr>
          <w:rFonts w:cs="Times New Roman"/>
        </w:rPr>
        <w:t>级公路，</w:t>
      </w:r>
      <w:r>
        <w:rPr>
          <w:rFonts w:cs="Times New Roman"/>
        </w:rPr>
        <w:t>不设置</w:t>
      </w:r>
      <w:r>
        <w:rPr>
          <w:rFonts w:cs="Times New Roman"/>
        </w:rPr>
        <w:t>评价范围。</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6</w:t>
      </w:r>
      <w:r>
        <w:rPr>
          <w:rFonts w:cs="Times New Roman"/>
          <w:b/>
          <w:bCs/>
        </w:rPr>
        <w:t>）</w:t>
      </w:r>
      <w:r>
        <w:rPr>
          <w:rFonts w:cs="Times New Roman"/>
          <w:b/>
          <w:bCs/>
        </w:rPr>
        <w:t>土壤环境</w:t>
      </w:r>
    </w:p>
    <w:p w:rsidR="00A46452" w:rsidRDefault="009A3928">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w:t>
      </w:r>
      <w:r>
        <w:rPr>
          <w:rFonts w:cs="Times New Roman"/>
        </w:rPr>
        <w:t>，本工程为二级公路，</w:t>
      </w:r>
      <w:r>
        <w:rPr>
          <w:rFonts w:cs="Times New Roman"/>
          <w:kern w:val="0"/>
          <w:szCs w:val="24"/>
        </w:rPr>
        <w:t>预留</w:t>
      </w:r>
      <w:r>
        <w:rPr>
          <w:rFonts w:cs="Times New Roman"/>
          <w:kern w:val="0"/>
          <w:szCs w:val="24"/>
        </w:rPr>
        <w:t>2</w:t>
      </w:r>
      <w:r>
        <w:rPr>
          <w:rFonts w:cs="Times New Roman"/>
          <w:kern w:val="0"/>
          <w:szCs w:val="24"/>
        </w:rPr>
        <w:t>处加油站用地，加油站不在本</w:t>
      </w:r>
      <w:r>
        <w:rPr>
          <w:rFonts w:cs="Times New Roman"/>
          <w:kern w:val="0"/>
          <w:szCs w:val="24"/>
        </w:rPr>
        <w:t>次</w:t>
      </w:r>
      <w:r>
        <w:rPr>
          <w:rFonts w:cs="Times New Roman"/>
          <w:kern w:val="0"/>
          <w:szCs w:val="24"/>
        </w:rPr>
        <w:t>评价范围内</w:t>
      </w:r>
      <w:r>
        <w:rPr>
          <w:rFonts w:cs="Times New Roman"/>
        </w:rPr>
        <w:t>，</w:t>
      </w:r>
      <w:r>
        <w:rPr>
          <w:rFonts w:cs="Times New Roman"/>
        </w:rPr>
        <w:t>不设置</w:t>
      </w:r>
      <w:r>
        <w:rPr>
          <w:rFonts w:cs="Times New Roman"/>
        </w:rPr>
        <w:t>评价范围。</w:t>
      </w:r>
    </w:p>
    <w:p w:rsidR="00A46452" w:rsidRDefault="009A3928">
      <w:pPr>
        <w:wordWrap w:val="0"/>
        <w:topLinePunct/>
        <w:adjustRightInd w:val="0"/>
        <w:snapToGrid w:val="0"/>
        <w:ind w:left="113" w:right="102" w:firstLine="482"/>
        <w:rPr>
          <w:rFonts w:cs="Times New Roman"/>
          <w:b/>
          <w:bCs/>
        </w:rPr>
      </w:pPr>
      <w:r>
        <w:rPr>
          <w:rFonts w:cs="Times New Roman"/>
          <w:b/>
          <w:bCs/>
        </w:rPr>
        <w:t>（</w:t>
      </w:r>
      <w:r>
        <w:rPr>
          <w:rFonts w:cs="Times New Roman"/>
          <w:b/>
          <w:bCs/>
        </w:rPr>
        <w:t>7</w:t>
      </w:r>
      <w:r>
        <w:rPr>
          <w:rFonts w:cs="Times New Roman"/>
          <w:b/>
          <w:bCs/>
        </w:rPr>
        <w:t>）</w:t>
      </w:r>
      <w:r>
        <w:rPr>
          <w:rFonts w:cs="Times New Roman"/>
          <w:b/>
          <w:bCs/>
        </w:rPr>
        <w:t>生态环境</w:t>
      </w:r>
    </w:p>
    <w:p w:rsidR="00A46452" w:rsidRDefault="009A3928">
      <w:pPr>
        <w:wordWrap w:val="0"/>
        <w:topLinePunct/>
        <w:adjustRightInd w:val="0"/>
        <w:snapToGrid w:val="0"/>
        <w:ind w:firstLine="480"/>
        <w:rPr>
          <w:rFonts w:cs="Times New Roman"/>
        </w:rPr>
      </w:pPr>
      <w:bookmarkStart w:id="182" w:name="_Toc98413490"/>
      <w:bookmarkStart w:id="183" w:name="_Toc154076977"/>
      <w:bookmarkStart w:id="184" w:name="_Toc4507841"/>
      <w:r>
        <w:rPr>
          <w:rFonts w:cs="Times New Roman"/>
        </w:rPr>
        <w:t>根据《环境影响评价技术导则－生态影响》（</w:t>
      </w:r>
      <w:r>
        <w:rPr>
          <w:rFonts w:cs="Times New Roman"/>
        </w:rPr>
        <w:t>HJ19-2022</w:t>
      </w:r>
      <w:r>
        <w:rPr>
          <w:rFonts w:cs="Times New Roman"/>
        </w:rPr>
        <w:t>）要求，生态评价范围划分：拟建公路沿线评价范围为公路中心线两侧各</w:t>
      </w:r>
      <w:r>
        <w:rPr>
          <w:rFonts w:cs="Times New Roman"/>
        </w:rPr>
        <w:t>300m</w:t>
      </w:r>
      <w:r>
        <w:rPr>
          <w:rFonts w:cs="Times New Roman"/>
        </w:rPr>
        <w:t>以内的区域；弃渣场、施工生产生活区、施工便道等临时用地以及周边</w:t>
      </w:r>
      <w:r>
        <w:rPr>
          <w:rFonts w:cs="Times New Roman"/>
        </w:rPr>
        <w:t>200m</w:t>
      </w:r>
      <w:r>
        <w:rPr>
          <w:rFonts w:cs="Times New Roman"/>
        </w:rPr>
        <w:t>范围，拌合站扩大到下风向</w:t>
      </w:r>
      <w:r>
        <w:rPr>
          <w:rFonts w:cs="Times New Roman"/>
        </w:rPr>
        <w:t>200m</w:t>
      </w:r>
      <w:r>
        <w:rPr>
          <w:rFonts w:cs="Times New Roman"/>
        </w:rPr>
        <w:t>范围。</w:t>
      </w:r>
    </w:p>
    <w:p w:rsidR="00A46452" w:rsidRDefault="009A3928" w:rsidP="00182EED">
      <w:pPr>
        <w:wordWrap w:val="0"/>
        <w:topLinePunct/>
        <w:adjustRightInd w:val="0"/>
        <w:snapToGrid w:val="0"/>
        <w:ind w:firstLine="480"/>
        <w:rPr>
          <w:rFonts w:cs="Times New Roman"/>
        </w:rPr>
      </w:pPr>
      <w:r>
        <w:rPr>
          <w:rFonts w:eastAsiaTheme="minorEastAsia" w:cs="Times New Roman"/>
        </w:rPr>
        <w:t>根据</w:t>
      </w:r>
      <w:r>
        <w:rPr>
          <w:rFonts w:eastAsiaTheme="minorEastAsia" w:cs="Times New Roman"/>
        </w:rPr>
        <w:t>上述各环境要素评价等级的确定情况</w:t>
      </w:r>
      <w:r>
        <w:rPr>
          <w:rFonts w:eastAsiaTheme="minorEastAsia" w:cs="Times New Roman"/>
        </w:rPr>
        <w:t>，</w:t>
      </w:r>
      <w:r>
        <w:rPr>
          <w:rFonts w:eastAsiaTheme="minorEastAsia" w:cs="Times New Roman"/>
        </w:rPr>
        <w:t>按照导则要求，结合项目实际情况，</w:t>
      </w:r>
      <w:r>
        <w:rPr>
          <w:rFonts w:eastAsiaTheme="minorEastAsia" w:cs="Times New Roman"/>
        </w:rPr>
        <w:t>确定拟建公路环境影响评价范围</w:t>
      </w:r>
      <w:r>
        <w:rPr>
          <w:rFonts w:cs="Times New Roman"/>
        </w:rPr>
        <w:t>，具体见表</w:t>
      </w:r>
      <w:r>
        <w:rPr>
          <w:rFonts w:cs="Times New Roman"/>
        </w:rPr>
        <w:t>2.</w:t>
      </w:r>
      <w:r>
        <w:rPr>
          <w:rFonts w:cs="Times New Roman" w:hint="eastAsia"/>
        </w:rPr>
        <w:t>6</w:t>
      </w:r>
      <w:r>
        <w:rPr>
          <w:rFonts w:cs="Times New Roman"/>
        </w:rPr>
        <w:t>-</w:t>
      </w:r>
      <w:r>
        <w:rPr>
          <w:rFonts w:cs="Times New Roman"/>
        </w:rPr>
        <w:t>3</w:t>
      </w:r>
      <w:r>
        <w:rPr>
          <w:rFonts w:cs="Times New Roman"/>
        </w:rPr>
        <w:t>，评价范围图见图</w:t>
      </w:r>
      <w:r>
        <w:rPr>
          <w:rFonts w:cs="Times New Roman"/>
        </w:rPr>
        <w:t>2.</w:t>
      </w:r>
      <w:r>
        <w:rPr>
          <w:rFonts w:cs="Times New Roman" w:hint="eastAsia"/>
        </w:rPr>
        <w:t>6</w:t>
      </w:r>
      <w:r>
        <w:rPr>
          <w:rFonts w:cs="Times New Roman"/>
        </w:rPr>
        <w:t>-1</w:t>
      </w:r>
      <w:r>
        <w:rPr>
          <w:rFonts w:cs="Times New Roman"/>
        </w:rPr>
        <w:t>。</w:t>
      </w:r>
    </w:p>
    <w:p w:rsidR="00A46452" w:rsidRDefault="009A3928">
      <w:pPr>
        <w:wordWrap w:val="0"/>
        <w:topLinePunct/>
        <w:adjustRightInd w:val="0"/>
        <w:snapToGrid w:val="0"/>
        <w:spacing w:line="240" w:lineRule="auto"/>
        <w:ind w:firstLineChars="0" w:firstLine="0"/>
        <w:jc w:val="left"/>
        <w:rPr>
          <w:rFonts w:eastAsia="黑体" w:cs="Times New Roman"/>
        </w:rPr>
      </w:pPr>
      <w:r>
        <w:rPr>
          <w:rFonts w:eastAsia="黑体" w:cs="Times New Roman"/>
        </w:rPr>
        <w:t>表</w:t>
      </w:r>
      <w:r>
        <w:rPr>
          <w:rFonts w:eastAsia="黑体" w:cs="Times New Roman"/>
        </w:rPr>
        <w:t>2.</w:t>
      </w:r>
      <w:r>
        <w:rPr>
          <w:rFonts w:eastAsia="黑体" w:cs="Times New Roman" w:hint="eastAsia"/>
        </w:rPr>
        <w:t>6</w:t>
      </w:r>
      <w:r>
        <w:rPr>
          <w:rFonts w:eastAsia="黑体" w:cs="Times New Roman"/>
        </w:rPr>
        <w:t>-</w:t>
      </w:r>
      <w:r>
        <w:rPr>
          <w:rFonts w:eastAsia="黑体" w:cs="Times New Roman"/>
        </w:rPr>
        <w:t>3</w:t>
      </w:r>
      <w:r>
        <w:rPr>
          <w:rFonts w:eastAsia="黑体" w:cs="Times New Roman"/>
        </w:rPr>
        <w:t xml:space="preserve">    </w:t>
      </w:r>
      <w:r>
        <w:rPr>
          <w:rFonts w:eastAsia="黑体" w:cs="Times New Roman"/>
        </w:rPr>
        <w:t xml:space="preserve">          </w:t>
      </w:r>
      <w:r>
        <w:rPr>
          <w:rFonts w:eastAsia="黑体" w:cs="Times New Roman"/>
        </w:rPr>
        <w:t>工程环境影响评价范围一览表</w:t>
      </w:r>
    </w:p>
    <w:tbl>
      <w:tblPr>
        <w:tblStyle w:val="TableNormal"/>
        <w:tblW w:w="5016"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23"/>
        <w:gridCol w:w="1208"/>
        <w:gridCol w:w="6753"/>
      </w:tblGrid>
      <w:tr w:rsidR="00A46452">
        <w:trPr>
          <w:trHeight w:val="405"/>
          <w:jc w:val="center"/>
        </w:trPr>
        <w:tc>
          <w:tcPr>
            <w:tcW w:w="1020" w:type="pct"/>
            <w:gridSpan w:val="2"/>
            <w:tcBorders>
              <w:tl2br w:val="nil"/>
              <w:tr2bl w:val="nil"/>
            </w:tcBorders>
            <w:vAlign w:val="center"/>
          </w:tcPr>
          <w:bookmarkEnd w:id="182"/>
          <w:bookmarkEnd w:id="183"/>
          <w:bookmarkEnd w:id="184"/>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环境要素</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评价范围</w:t>
            </w:r>
          </w:p>
        </w:tc>
      </w:tr>
      <w:tr w:rsidR="00A46452">
        <w:trPr>
          <w:trHeight w:val="400"/>
          <w:jc w:val="center"/>
        </w:trPr>
        <w:tc>
          <w:tcPr>
            <w:tcW w:w="308" w:type="pct"/>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水</w:t>
            </w:r>
          </w:p>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环</w:t>
            </w:r>
          </w:p>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境</w:t>
            </w:r>
          </w:p>
        </w:tc>
        <w:tc>
          <w:tcPr>
            <w:tcW w:w="712"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地表水</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路中心线两侧各</w:t>
            </w:r>
            <w:r>
              <w:rPr>
                <w:rFonts w:cs="Times New Roman"/>
                <w:snapToGrid w:val="0"/>
                <w:kern w:val="0"/>
                <w:sz w:val="18"/>
                <w:szCs w:val="18"/>
              </w:rPr>
              <w:t>200m</w:t>
            </w:r>
            <w:r>
              <w:rPr>
                <w:rFonts w:cs="Times New Roman"/>
                <w:snapToGrid w:val="0"/>
                <w:kern w:val="0"/>
                <w:sz w:val="18"/>
                <w:szCs w:val="18"/>
              </w:rPr>
              <w:t>以内的范围及跨河位置上游</w:t>
            </w:r>
            <w:r>
              <w:rPr>
                <w:rFonts w:cs="Times New Roman"/>
                <w:snapToGrid w:val="0"/>
                <w:kern w:val="0"/>
                <w:sz w:val="18"/>
                <w:szCs w:val="18"/>
              </w:rPr>
              <w:t>200m</w:t>
            </w:r>
            <w:r>
              <w:rPr>
                <w:rFonts w:cs="Times New Roman"/>
                <w:snapToGrid w:val="0"/>
                <w:kern w:val="0"/>
                <w:sz w:val="18"/>
                <w:szCs w:val="18"/>
              </w:rPr>
              <w:t>、下游</w:t>
            </w:r>
            <w:r>
              <w:rPr>
                <w:rFonts w:cs="Times New Roman"/>
                <w:snapToGrid w:val="0"/>
                <w:kern w:val="0"/>
                <w:sz w:val="18"/>
                <w:szCs w:val="18"/>
              </w:rPr>
              <w:t>1</w:t>
            </w:r>
            <w:r>
              <w:rPr>
                <w:rFonts w:cs="Times New Roman"/>
                <w:snapToGrid w:val="0"/>
                <w:kern w:val="0"/>
                <w:sz w:val="18"/>
                <w:szCs w:val="18"/>
              </w:rPr>
              <w:t>km</w:t>
            </w:r>
            <w:r>
              <w:rPr>
                <w:rFonts w:cs="Times New Roman"/>
                <w:snapToGrid w:val="0"/>
                <w:kern w:val="0"/>
                <w:sz w:val="18"/>
                <w:szCs w:val="18"/>
              </w:rPr>
              <w:t>的区域</w:t>
            </w:r>
          </w:p>
        </w:tc>
      </w:tr>
      <w:tr w:rsidR="00A46452">
        <w:trPr>
          <w:trHeight w:val="413"/>
          <w:jc w:val="center"/>
        </w:trPr>
        <w:tc>
          <w:tcPr>
            <w:tcW w:w="308" w:type="pct"/>
            <w:vMerge/>
            <w:tcBorders>
              <w:tl2br w:val="nil"/>
              <w:tr2bl w:val="nil"/>
            </w:tcBorders>
            <w:textDirection w:val="tbRlV"/>
            <w:vAlign w:val="center"/>
          </w:tcPr>
          <w:p w:rsidR="00A46452" w:rsidRDefault="00A46452">
            <w:pPr>
              <w:wordWrap w:val="0"/>
              <w:topLinePunct/>
              <w:adjustRightInd w:val="0"/>
              <w:snapToGrid w:val="0"/>
              <w:spacing w:line="240" w:lineRule="auto"/>
              <w:ind w:firstLineChars="0" w:firstLine="0"/>
              <w:jc w:val="center"/>
              <w:rPr>
                <w:rFonts w:cs="Times New Roman"/>
                <w:snapToGrid w:val="0"/>
                <w:kern w:val="0"/>
                <w:sz w:val="18"/>
                <w:szCs w:val="18"/>
              </w:rPr>
            </w:pPr>
          </w:p>
        </w:tc>
        <w:tc>
          <w:tcPr>
            <w:tcW w:w="712"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地下水</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不</w:t>
            </w:r>
            <w:r>
              <w:rPr>
                <w:rFonts w:cs="Times New Roman"/>
                <w:snapToGrid w:val="0"/>
                <w:kern w:val="0"/>
                <w:sz w:val="18"/>
                <w:szCs w:val="18"/>
              </w:rPr>
              <w:t>设置</w:t>
            </w:r>
            <w:r>
              <w:rPr>
                <w:rFonts w:cs="Times New Roman"/>
                <w:snapToGrid w:val="0"/>
                <w:kern w:val="0"/>
                <w:sz w:val="18"/>
                <w:szCs w:val="18"/>
              </w:rPr>
              <w:t>评价范围</w:t>
            </w:r>
          </w:p>
        </w:tc>
      </w:tr>
      <w:tr w:rsidR="00A46452">
        <w:trPr>
          <w:trHeight w:val="400"/>
          <w:jc w:val="center"/>
        </w:trPr>
        <w:tc>
          <w:tcPr>
            <w:tcW w:w="1020"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大气环境</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不</w:t>
            </w:r>
            <w:r>
              <w:rPr>
                <w:rFonts w:cs="Times New Roman"/>
                <w:snapToGrid w:val="0"/>
                <w:kern w:val="0"/>
                <w:sz w:val="18"/>
                <w:szCs w:val="18"/>
              </w:rPr>
              <w:t>设置</w:t>
            </w:r>
            <w:r>
              <w:rPr>
                <w:rFonts w:cs="Times New Roman"/>
                <w:snapToGrid w:val="0"/>
                <w:kern w:val="0"/>
                <w:sz w:val="18"/>
                <w:szCs w:val="18"/>
              </w:rPr>
              <w:t>评价范围</w:t>
            </w:r>
          </w:p>
        </w:tc>
      </w:tr>
      <w:tr w:rsidR="00A46452">
        <w:trPr>
          <w:trHeight w:val="520"/>
          <w:jc w:val="center"/>
        </w:trPr>
        <w:tc>
          <w:tcPr>
            <w:tcW w:w="1020"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声环境</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施工期评价范围为施工厂界外扩</w:t>
            </w:r>
            <w:r>
              <w:rPr>
                <w:rFonts w:cs="Times New Roman"/>
                <w:snapToGrid w:val="0"/>
                <w:kern w:val="0"/>
                <w:sz w:val="18"/>
                <w:szCs w:val="18"/>
              </w:rPr>
              <w:t>200m</w:t>
            </w:r>
            <w:r>
              <w:rPr>
                <w:rFonts w:cs="Times New Roman"/>
                <w:snapToGrid w:val="0"/>
                <w:kern w:val="0"/>
                <w:sz w:val="18"/>
                <w:szCs w:val="18"/>
              </w:rPr>
              <w:t>，运营期评价范围</w:t>
            </w:r>
            <w:r>
              <w:rPr>
                <w:rFonts w:cs="Times New Roman"/>
                <w:snapToGrid w:val="0"/>
                <w:kern w:val="0"/>
                <w:sz w:val="18"/>
                <w:szCs w:val="18"/>
              </w:rPr>
              <w:t>道路</w:t>
            </w:r>
            <w:r>
              <w:rPr>
                <w:rFonts w:cs="Times New Roman"/>
                <w:snapToGrid w:val="0"/>
                <w:kern w:val="0"/>
                <w:sz w:val="18"/>
                <w:szCs w:val="18"/>
              </w:rPr>
              <w:t>中心线两侧各</w:t>
            </w:r>
            <w:r>
              <w:rPr>
                <w:rFonts w:cs="Times New Roman"/>
                <w:snapToGrid w:val="0"/>
                <w:kern w:val="0"/>
                <w:sz w:val="18"/>
                <w:szCs w:val="18"/>
              </w:rPr>
              <w:t>200m</w:t>
            </w:r>
            <w:r>
              <w:rPr>
                <w:rFonts w:cs="Times New Roman"/>
                <w:snapToGrid w:val="0"/>
                <w:kern w:val="0"/>
                <w:sz w:val="18"/>
                <w:szCs w:val="18"/>
              </w:rPr>
              <w:t>以内</w:t>
            </w:r>
          </w:p>
        </w:tc>
      </w:tr>
      <w:tr w:rsidR="00A46452">
        <w:trPr>
          <w:trHeight w:val="400"/>
          <w:jc w:val="center"/>
        </w:trPr>
        <w:tc>
          <w:tcPr>
            <w:tcW w:w="1020"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环境风险</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不</w:t>
            </w:r>
            <w:r>
              <w:rPr>
                <w:rFonts w:cs="Times New Roman"/>
                <w:snapToGrid w:val="0"/>
                <w:kern w:val="0"/>
                <w:sz w:val="18"/>
                <w:szCs w:val="18"/>
              </w:rPr>
              <w:t>设置</w:t>
            </w:r>
            <w:r>
              <w:rPr>
                <w:rFonts w:cs="Times New Roman"/>
                <w:snapToGrid w:val="0"/>
                <w:kern w:val="0"/>
                <w:sz w:val="18"/>
                <w:szCs w:val="18"/>
              </w:rPr>
              <w:t>评价范围</w:t>
            </w:r>
          </w:p>
        </w:tc>
      </w:tr>
      <w:tr w:rsidR="00A46452">
        <w:trPr>
          <w:trHeight w:val="400"/>
          <w:jc w:val="center"/>
        </w:trPr>
        <w:tc>
          <w:tcPr>
            <w:tcW w:w="1020"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土壤环境</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不</w:t>
            </w:r>
            <w:r>
              <w:rPr>
                <w:rFonts w:cs="Times New Roman"/>
                <w:snapToGrid w:val="0"/>
                <w:kern w:val="0"/>
                <w:sz w:val="18"/>
                <w:szCs w:val="18"/>
              </w:rPr>
              <w:t>设置</w:t>
            </w:r>
            <w:r>
              <w:rPr>
                <w:rFonts w:cs="Times New Roman"/>
                <w:snapToGrid w:val="0"/>
                <w:kern w:val="0"/>
                <w:sz w:val="18"/>
                <w:szCs w:val="18"/>
              </w:rPr>
              <w:t>评价范围</w:t>
            </w:r>
          </w:p>
        </w:tc>
      </w:tr>
      <w:tr w:rsidR="00A46452">
        <w:trPr>
          <w:trHeight w:val="384"/>
          <w:jc w:val="center"/>
        </w:trPr>
        <w:tc>
          <w:tcPr>
            <w:tcW w:w="1020" w:type="pct"/>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生态环境</w:t>
            </w:r>
          </w:p>
        </w:tc>
        <w:tc>
          <w:tcPr>
            <w:tcW w:w="3979" w:type="pct"/>
            <w:tcBorders>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napToGrid w:val="0"/>
                <w:kern w:val="0"/>
                <w:sz w:val="18"/>
                <w:szCs w:val="18"/>
              </w:rPr>
            </w:pPr>
            <w:r>
              <w:rPr>
                <w:rFonts w:cs="Times New Roman"/>
                <w:snapToGrid w:val="0"/>
                <w:kern w:val="0"/>
                <w:sz w:val="18"/>
                <w:szCs w:val="18"/>
              </w:rPr>
              <w:t>拟建项目</w:t>
            </w:r>
            <w:r>
              <w:rPr>
                <w:rFonts w:cs="Times New Roman"/>
                <w:snapToGrid w:val="0"/>
                <w:kern w:val="0"/>
                <w:sz w:val="18"/>
                <w:szCs w:val="18"/>
              </w:rPr>
              <w:t>公路中心线两侧各</w:t>
            </w:r>
            <w:r>
              <w:rPr>
                <w:rFonts w:cs="Times New Roman"/>
                <w:snapToGrid w:val="0"/>
                <w:kern w:val="0"/>
                <w:sz w:val="18"/>
                <w:szCs w:val="18"/>
              </w:rPr>
              <w:t>300m</w:t>
            </w:r>
            <w:r>
              <w:rPr>
                <w:rFonts w:cs="Times New Roman"/>
                <w:snapToGrid w:val="0"/>
                <w:kern w:val="0"/>
                <w:sz w:val="18"/>
                <w:szCs w:val="18"/>
              </w:rPr>
              <w:t>以内的区域</w:t>
            </w:r>
            <w:r>
              <w:rPr>
                <w:rFonts w:cs="Times New Roman"/>
                <w:snapToGrid w:val="0"/>
                <w:kern w:val="0"/>
                <w:sz w:val="18"/>
                <w:szCs w:val="18"/>
              </w:rPr>
              <w:t>。</w:t>
            </w:r>
          </w:p>
          <w:p w:rsidR="00A46452" w:rsidRDefault="009A3928">
            <w:pPr>
              <w:wordWrap w:val="0"/>
              <w:topLinePunct/>
              <w:adjustRightInd w:val="0"/>
              <w:snapToGrid w:val="0"/>
              <w:spacing w:line="240" w:lineRule="auto"/>
              <w:ind w:firstLineChars="0" w:firstLine="0"/>
              <w:rPr>
                <w:rFonts w:cs="Times New Roman"/>
                <w:snapToGrid w:val="0"/>
                <w:kern w:val="0"/>
                <w:sz w:val="18"/>
                <w:szCs w:val="18"/>
              </w:rPr>
            </w:pPr>
            <w:r>
              <w:rPr>
                <w:rFonts w:cs="Times New Roman"/>
                <w:snapToGrid w:val="0"/>
                <w:kern w:val="0"/>
                <w:sz w:val="18"/>
                <w:szCs w:val="18"/>
              </w:rPr>
              <w:t>弃</w:t>
            </w:r>
            <w:r>
              <w:rPr>
                <w:rFonts w:cs="Times New Roman"/>
                <w:snapToGrid w:val="0"/>
                <w:kern w:val="0"/>
                <w:sz w:val="18"/>
                <w:szCs w:val="18"/>
              </w:rPr>
              <w:t>土</w:t>
            </w:r>
            <w:r>
              <w:rPr>
                <w:rFonts w:cs="Times New Roman"/>
                <w:snapToGrid w:val="0"/>
                <w:kern w:val="0"/>
                <w:sz w:val="18"/>
                <w:szCs w:val="18"/>
              </w:rPr>
              <w:t>场、施工</w:t>
            </w:r>
            <w:r>
              <w:rPr>
                <w:rFonts w:cs="Times New Roman"/>
                <w:snapToGrid w:val="0"/>
                <w:kern w:val="0"/>
                <w:sz w:val="18"/>
                <w:szCs w:val="18"/>
              </w:rPr>
              <w:t>营地</w:t>
            </w:r>
            <w:r>
              <w:rPr>
                <w:rFonts w:cs="Times New Roman"/>
                <w:snapToGrid w:val="0"/>
                <w:kern w:val="0"/>
                <w:sz w:val="18"/>
                <w:szCs w:val="18"/>
              </w:rPr>
              <w:t>、施工便道等临时用地以及周边</w:t>
            </w:r>
            <w:r>
              <w:rPr>
                <w:rFonts w:cs="Times New Roman"/>
                <w:snapToGrid w:val="0"/>
                <w:kern w:val="0"/>
                <w:sz w:val="18"/>
                <w:szCs w:val="18"/>
              </w:rPr>
              <w:t>200m</w:t>
            </w:r>
            <w:r>
              <w:rPr>
                <w:rFonts w:cs="Times New Roman"/>
                <w:snapToGrid w:val="0"/>
                <w:kern w:val="0"/>
                <w:sz w:val="18"/>
                <w:szCs w:val="18"/>
              </w:rPr>
              <w:t>范围，拌合站扩大到下风向</w:t>
            </w:r>
            <w:r>
              <w:rPr>
                <w:rFonts w:cs="Times New Roman"/>
                <w:snapToGrid w:val="0"/>
                <w:kern w:val="0"/>
                <w:sz w:val="18"/>
                <w:szCs w:val="18"/>
              </w:rPr>
              <w:t>200m</w:t>
            </w:r>
            <w:r>
              <w:rPr>
                <w:rFonts w:cs="Times New Roman"/>
                <w:snapToGrid w:val="0"/>
                <w:kern w:val="0"/>
                <w:sz w:val="18"/>
                <w:szCs w:val="18"/>
              </w:rPr>
              <w:t>范围。</w:t>
            </w:r>
          </w:p>
        </w:tc>
      </w:tr>
    </w:tbl>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185" w:name="_Toc27646"/>
      <w:r>
        <w:rPr>
          <w:rFonts w:cs="Times New Roman" w:hint="default"/>
          <w:sz w:val="30"/>
          <w:szCs w:val="30"/>
        </w:rPr>
        <w:t>2.</w:t>
      </w:r>
      <w:r>
        <w:rPr>
          <w:rFonts w:cs="Times New Roman" w:hint="default"/>
          <w:sz w:val="30"/>
          <w:szCs w:val="30"/>
        </w:rPr>
        <w:t>7</w:t>
      </w:r>
      <w:r>
        <w:rPr>
          <w:rFonts w:cs="Times New Roman" w:hint="default"/>
          <w:sz w:val="30"/>
          <w:szCs w:val="30"/>
        </w:rPr>
        <w:t>主要环境</w:t>
      </w:r>
      <w:bookmarkEnd w:id="174"/>
      <w:bookmarkEnd w:id="175"/>
      <w:bookmarkEnd w:id="176"/>
      <w:bookmarkEnd w:id="177"/>
      <w:bookmarkEnd w:id="178"/>
      <w:bookmarkEnd w:id="179"/>
      <w:r>
        <w:rPr>
          <w:rFonts w:cs="Times New Roman" w:hint="default"/>
          <w:sz w:val="30"/>
          <w:szCs w:val="30"/>
        </w:rPr>
        <w:t>保护目标</w:t>
      </w:r>
      <w:bookmarkEnd w:id="180"/>
      <w:bookmarkEnd w:id="181"/>
      <w:bookmarkEnd w:id="185"/>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2.7.1</w:t>
      </w:r>
      <w:r>
        <w:rPr>
          <w:rFonts w:cs="Times New Roman" w:hint="default"/>
          <w:sz w:val="28"/>
          <w:szCs w:val="28"/>
        </w:rPr>
        <w:t>生态环境保护目标</w:t>
      </w:r>
    </w:p>
    <w:p w:rsidR="00A46452" w:rsidRDefault="009A3928">
      <w:pPr>
        <w:wordWrap w:val="0"/>
        <w:topLinePunct/>
        <w:adjustRightInd w:val="0"/>
        <w:snapToGrid w:val="0"/>
        <w:ind w:firstLine="480"/>
        <w:jc w:val="left"/>
        <w:rPr>
          <w:rFonts w:cs="Times New Roman"/>
        </w:rPr>
      </w:pPr>
      <w:bookmarkStart w:id="186" w:name="_Toc98413496"/>
      <w:bookmarkStart w:id="187" w:name="_Toc98414178"/>
      <w:bookmarkStart w:id="188" w:name="_Toc34989543"/>
      <w:r>
        <w:rPr>
          <w:rFonts w:cs="Times New Roman"/>
        </w:rPr>
        <w:t>本项目全线</w:t>
      </w:r>
      <w:r>
        <w:rPr>
          <w:rFonts w:cs="Times New Roman"/>
          <w:kern w:val="0"/>
          <w:szCs w:val="24"/>
        </w:rPr>
        <w:t>不占用</w:t>
      </w:r>
      <w:r>
        <w:rPr>
          <w:rFonts w:cs="Times New Roman"/>
          <w:spacing w:val="-2"/>
          <w:kern w:val="0"/>
          <w:szCs w:val="24"/>
        </w:rPr>
        <w:t>喀什噶尔河</w:t>
      </w:r>
      <w:r>
        <w:rPr>
          <w:rFonts w:cs="Times New Roman"/>
          <w:spacing w:val="-2"/>
          <w:kern w:val="0"/>
          <w:szCs w:val="24"/>
        </w:rPr>
        <w:t>-</w:t>
      </w:r>
      <w:r>
        <w:rPr>
          <w:rFonts w:cs="Times New Roman"/>
          <w:spacing w:val="-2"/>
          <w:kern w:val="0"/>
          <w:szCs w:val="24"/>
        </w:rPr>
        <w:t>叶尔羌河流域防风固沙生态保护红线区</w:t>
      </w:r>
      <w:r>
        <w:rPr>
          <w:rFonts w:cs="Times New Roman"/>
          <w:kern w:val="0"/>
          <w:szCs w:val="24"/>
        </w:rPr>
        <w:t>，不占用柯坪县齐格布隆国家沙化土地封禁保护区等生态敏感区，</w:t>
      </w:r>
      <w:r>
        <w:rPr>
          <w:rFonts w:cs="Times New Roman"/>
          <w:szCs w:val="24"/>
        </w:rPr>
        <w:t>占用第三师</w:t>
      </w:r>
      <w:r>
        <w:rPr>
          <w:rFonts w:cs="Times New Roman"/>
          <w:snapToGrid w:val="0"/>
        </w:rPr>
        <w:t>图木舒克市、喀什地区巴楚县</w:t>
      </w:r>
      <w:r>
        <w:rPr>
          <w:rFonts w:cs="Times New Roman"/>
          <w:snapToGrid w:val="0"/>
        </w:rPr>
        <w:t>、</w:t>
      </w:r>
      <w:r>
        <w:rPr>
          <w:rFonts w:cs="Times New Roman"/>
          <w:snapToGrid w:val="0"/>
        </w:rPr>
        <w:t>阿克苏地区国家二级公益林</w:t>
      </w:r>
      <w:r>
        <w:rPr>
          <w:rFonts w:cs="Times New Roman"/>
          <w:snapToGrid w:val="0"/>
        </w:rPr>
        <w:t>及地方公益林</w:t>
      </w:r>
      <w:r>
        <w:rPr>
          <w:rFonts w:cs="Times New Roman"/>
          <w:snapToGrid w:val="0"/>
        </w:rPr>
        <w:t>、</w:t>
      </w:r>
      <w:r>
        <w:rPr>
          <w:rFonts w:cs="Times New Roman"/>
          <w:snapToGrid w:val="0"/>
        </w:rPr>
        <w:t>项目所在区域属于塔里木河国家级水土流失重点预防区、</w:t>
      </w:r>
      <w:r>
        <w:rPr>
          <w:rFonts w:cs="Times New Roman"/>
          <w:szCs w:val="24"/>
        </w:rPr>
        <w:t>新疆自治区级水土流失重点治理区</w:t>
      </w:r>
      <w:r>
        <w:rPr>
          <w:rFonts w:cs="Times New Roman"/>
          <w:szCs w:val="24"/>
        </w:rPr>
        <w:t>II3</w:t>
      </w:r>
      <w:r>
        <w:rPr>
          <w:rFonts w:cs="Times New Roman"/>
          <w:szCs w:val="24"/>
        </w:rPr>
        <w:t>塔里木河流域重点治理区</w:t>
      </w:r>
      <w:r>
        <w:rPr>
          <w:rFonts w:cs="Times New Roman"/>
          <w:snapToGrid w:val="0"/>
        </w:rPr>
        <w:t>和</w:t>
      </w:r>
      <w:r>
        <w:rPr>
          <w:rFonts w:cs="Times New Roman"/>
          <w:szCs w:val="24"/>
        </w:rPr>
        <w:t>塔里木河流域兵团级水土流失重点治</w:t>
      </w:r>
      <w:r>
        <w:rPr>
          <w:rFonts w:cs="Times New Roman"/>
          <w:szCs w:val="24"/>
        </w:rPr>
        <w:t>理区</w:t>
      </w:r>
      <w:r>
        <w:rPr>
          <w:rFonts w:cs="Times New Roman"/>
        </w:rPr>
        <w:t>。本项目生态环境保护目标见表</w:t>
      </w:r>
      <w:r>
        <w:rPr>
          <w:rFonts w:cs="Times New Roman"/>
        </w:rPr>
        <w:t>2.</w:t>
      </w:r>
      <w:r>
        <w:rPr>
          <w:rFonts w:cs="Times New Roman"/>
        </w:rPr>
        <w:t>7</w:t>
      </w:r>
      <w:r>
        <w:rPr>
          <w:rFonts w:cs="Times New Roman"/>
        </w:rPr>
        <w:t>-1</w:t>
      </w:r>
      <w:r>
        <w:rPr>
          <w:rFonts w:cs="Times New Roman"/>
        </w:rPr>
        <w:t>，分布见图</w:t>
      </w:r>
      <w:r>
        <w:rPr>
          <w:rFonts w:cs="Times New Roman"/>
        </w:rPr>
        <w:t>2.</w:t>
      </w:r>
      <w:r>
        <w:rPr>
          <w:rFonts w:cs="Times New Roman"/>
        </w:rPr>
        <w:t>7</w:t>
      </w:r>
      <w:r>
        <w:rPr>
          <w:rFonts w:cs="Times New Roman"/>
        </w:rPr>
        <w:t>-1</w:t>
      </w:r>
      <w:r>
        <w:rPr>
          <w:rFonts w:cs="Times New Roman"/>
        </w:rPr>
        <w:t>。</w:t>
      </w:r>
    </w:p>
    <w:p w:rsidR="00A46452" w:rsidRDefault="00A46452">
      <w:pPr>
        <w:wordWrap w:val="0"/>
        <w:topLinePunct/>
        <w:adjustRightInd w:val="0"/>
        <w:snapToGrid w:val="0"/>
        <w:ind w:firstLine="480"/>
        <w:jc w:val="left"/>
        <w:rPr>
          <w:rFonts w:cs="Times New Roman"/>
        </w:rPr>
        <w:sectPr w:rsidR="00A46452">
          <w:headerReference w:type="default" r:id="rId15"/>
          <w:footerReference w:type="default" r:id="rId16"/>
          <w:pgSz w:w="11907" w:h="16840"/>
          <w:pgMar w:top="1440" w:right="1740" w:bottom="1440" w:left="1740" w:header="737" w:footer="737" w:gutter="0"/>
          <w:cols w:space="720"/>
          <w:docGrid w:linePitch="326"/>
        </w:sectPr>
      </w:pPr>
    </w:p>
    <w:p w:rsidR="00A46452" w:rsidRDefault="00A46452">
      <w:pPr>
        <w:wordWrap w:val="0"/>
        <w:topLinePunct/>
        <w:adjustRightInd w:val="0"/>
        <w:snapToGrid w:val="0"/>
        <w:ind w:firstLine="480"/>
        <w:jc w:val="left"/>
        <w:rPr>
          <w:rFonts w:cs="Times New Roman"/>
        </w:rPr>
      </w:pPr>
    </w:p>
    <w:p w:rsidR="00A46452" w:rsidRDefault="009A3928">
      <w:pPr>
        <w:wordWrap w:val="0"/>
        <w:topLinePunct/>
        <w:adjustRightInd w:val="0"/>
        <w:snapToGrid w:val="0"/>
        <w:spacing w:line="240" w:lineRule="auto"/>
        <w:ind w:firstLineChars="0" w:firstLine="0"/>
        <w:rPr>
          <w:rFonts w:eastAsia="黑体" w:cs="Times New Roman"/>
          <w:bCs/>
          <w:szCs w:val="20"/>
        </w:rPr>
      </w:pPr>
      <w:r>
        <w:rPr>
          <w:rFonts w:eastAsia="黑体" w:cs="Times New Roman"/>
          <w:bCs/>
          <w:szCs w:val="20"/>
        </w:rPr>
        <w:t xml:space="preserve">   </w:t>
      </w:r>
      <w:r>
        <w:rPr>
          <w:rFonts w:eastAsia="黑体" w:cs="Times New Roman"/>
          <w:bCs/>
          <w:szCs w:val="20"/>
        </w:rPr>
        <w:t>表</w:t>
      </w:r>
      <w:r>
        <w:rPr>
          <w:rFonts w:eastAsia="黑体" w:cs="Times New Roman"/>
          <w:bCs/>
          <w:szCs w:val="20"/>
        </w:rPr>
        <w:t>2.</w:t>
      </w:r>
      <w:r>
        <w:rPr>
          <w:rFonts w:eastAsia="黑体" w:cs="Times New Roman"/>
          <w:bCs/>
          <w:szCs w:val="20"/>
        </w:rPr>
        <w:t>7</w:t>
      </w:r>
      <w:r>
        <w:rPr>
          <w:rFonts w:eastAsia="黑体" w:cs="Times New Roman"/>
          <w:bCs/>
          <w:szCs w:val="20"/>
        </w:rPr>
        <w:t>-1</w:t>
      </w:r>
      <w:r>
        <w:rPr>
          <w:rFonts w:eastAsia="黑体" w:cs="Times New Roman"/>
          <w:bCs/>
          <w:szCs w:val="20"/>
        </w:rPr>
        <w:t xml:space="preserve">                       </w:t>
      </w:r>
      <w:r>
        <w:rPr>
          <w:rFonts w:eastAsia="黑体" w:cs="Times New Roman" w:hint="eastAsia"/>
          <w:bCs/>
          <w:szCs w:val="20"/>
        </w:rPr>
        <w:t xml:space="preserve">                 </w:t>
      </w:r>
      <w:r>
        <w:rPr>
          <w:rFonts w:eastAsia="黑体" w:cs="Times New Roman"/>
          <w:bCs/>
          <w:szCs w:val="20"/>
        </w:rPr>
        <w:t xml:space="preserve"> </w:t>
      </w:r>
      <w:r>
        <w:rPr>
          <w:rFonts w:eastAsia="黑体" w:cs="Times New Roman"/>
          <w:bCs/>
          <w:szCs w:val="20"/>
        </w:rPr>
        <w:t>生态环境保护目标</w:t>
      </w:r>
    </w:p>
    <w:tbl>
      <w:tblPr>
        <w:tblpPr w:leftFromText="180" w:rightFromText="180" w:vertAnchor="text" w:horzAnchor="page" w:tblpX="1821" w:tblpY="28"/>
        <w:tblOverlap w:val="never"/>
        <w:tblW w:w="5073"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7"/>
        <w:gridCol w:w="562"/>
        <w:gridCol w:w="1297"/>
        <w:gridCol w:w="2280"/>
        <w:gridCol w:w="2632"/>
        <w:gridCol w:w="440"/>
        <w:gridCol w:w="3338"/>
        <w:gridCol w:w="3338"/>
      </w:tblGrid>
      <w:tr w:rsidR="00A46452">
        <w:trPr>
          <w:trHeight w:val="466"/>
        </w:trPr>
        <w:tc>
          <w:tcPr>
            <w:tcW w:w="108" w:type="pct"/>
            <w:tcBorders>
              <w:top w:val="single" w:sz="12" w:space="0" w:color="000000"/>
              <w:left w:val="single" w:sz="12"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序号</w:t>
            </w:r>
          </w:p>
        </w:tc>
        <w:tc>
          <w:tcPr>
            <w:tcW w:w="198" w:type="pct"/>
            <w:tcBorders>
              <w:top w:val="single" w:sz="12"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类别</w:t>
            </w:r>
          </w:p>
        </w:tc>
        <w:tc>
          <w:tcPr>
            <w:tcW w:w="456" w:type="pct"/>
            <w:tcBorders>
              <w:top w:val="single" w:sz="12"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名称</w:t>
            </w:r>
          </w:p>
        </w:tc>
        <w:tc>
          <w:tcPr>
            <w:tcW w:w="802" w:type="pct"/>
            <w:tcBorders>
              <w:top w:val="single" w:sz="12"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敏感目标特征</w:t>
            </w:r>
          </w:p>
        </w:tc>
        <w:tc>
          <w:tcPr>
            <w:tcW w:w="926" w:type="pct"/>
            <w:tcBorders>
              <w:top w:val="single" w:sz="12"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分布情况</w:t>
            </w:r>
          </w:p>
        </w:tc>
        <w:tc>
          <w:tcPr>
            <w:tcW w:w="155" w:type="pct"/>
            <w:tcBorders>
              <w:top w:val="single" w:sz="12"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保护因素</w:t>
            </w:r>
          </w:p>
        </w:tc>
        <w:tc>
          <w:tcPr>
            <w:tcW w:w="1175" w:type="pct"/>
            <w:tcBorders>
              <w:top w:val="single" w:sz="12"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保护要求</w:t>
            </w:r>
          </w:p>
        </w:tc>
        <w:tc>
          <w:tcPr>
            <w:tcW w:w="1175" w:type="pct"/>
            <w:tcBorders>
              <w:top w:val="single" w:sz="12"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主要影响及时段</w:t>
            </w:r>
          </w:p>
        </w:tc>
      </w:tr>
      <w:tr w:rsidR="00A46452">
        <w:trPr>
          <w:trHeight w:val="700"/>
        </w:trPr>
        <w:tc>
          <w:tcPr>
            <w:tcW w:w="108" w:type="pct"/>
            <w:tcBorders>
              <w:top w:val="single" w:sz="4" w:space="0" w:color="000000"/>
              <w:left w:val="single" w:sz="12"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1</w:t>
            </w:r>
          </w:p>
        </w:tc>
        <w:tc>
          <w:tcPr>
            <w:tcW w:w="198"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adjustRightInd w:val="0"/>
              <w:snapToGrid w:val="0"/>
              <w:spacing w:line="240" w:lineRule="auto"/>
              <w:ind w:firstLineChars="0" w:firstLine="0"/>
              <w:jc w:val="left"/>
              <w:rPr>
                <w:rFonts w:cs="Times New Roman"/>
                <w:spacing w:val="-10"/>
                <w:sz w:val="18"/>
                <w:szCs w:val="18"/>
              </w:rPr>
            </w:pPr>
            <w:r>
              <w:rPr>
                <w:rFonts w:cs="Times New Roman"/>
                <w:sz w:val="18"/>
                <w:szCs w:val="18"/>
              </w:rPr>
              <w:t>公益林</w:t>
            </w:r>
          </w:p>
        </w:tc>
        <w:tc>
          <w:tcPr>
            <w:tcW w:w="45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国家二级公益林：胡杨林、柽柳灌丛</w:t>
            </w:r>
          </w:p>
        </w:tc>
        <w:tc>
          <w:tcPr>
            <w:tcW w:w="802"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沿线公益林主要为水土保持林及水源涵养林，主要树种有胡杨、杨树、柳树沙枣等</w:t>
            </w:r>
          </w:p>
        </w:tc>
        <w:tc>
          <w:tcPr>
            <w:tcW w:w="92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拟建公路占用国家生态公益林总面积为</w:t>
            </w:r>
            <w:r>
              <w:rPr>
                <w:rFonts w:cs="Times New Roman"/>
                <w:sz w:val="18"/>
                <w:szCs w:val="18"/>
              </w:rPr>
              <w:t>23.19hm</w:t>
            </w:r>
            <w:r>
              <w:rPr>
                <w:rFonts w:cs="Times New Roman"/>
                <w:sz w:val="18"/>
                <w:szCs w:val="18"/>
                <w:vertAlign w:val="superscript"/>
              </w:rPr>
              <w:t>2</w:t>
            </w:r>
            <w:r>
              <w:rPr>
                <w:rFonts w:cs="Times New Roman"/>
                <w:sz w:val="18"/>
                <w:szCs w:val="18"/>
              </w:rPr>
              <w:t>，均为国家二级公益林</w:t>
            </w:r>
            <w:r>
              <w:rPr>
                <w:rFonts w:cs="Times New Roman"/>
                <w:sz w:val="18"/>
                <w:szCs w:val="18"/>
              </w:rPr>
              <w:t>。（</w:t>
            </w:r>
            <w:r>
              <w:rPr>
                <w:rFonts w:cs="Times New Roman"/>
                <w:snapToGrid w:val="0"/>
                <w:kern w:val="0"/>
                <w:sz w:val="18"/>
                <w:szCs w:val="18"/>
              </w:rPr>
              <w:t>K3+280~K3+520</w:t>
            </w:r>
            <w:r>
              <w:rPr>
                <w:rFonts w:cs="Times New Roman"/>
                <w:snapToGrid w:val="0"/>
                <w:kern w:val="0"/>
                <w:sz w:val="18"/>
                <w:szCs w:val="18"/>
              </w:rPr>
              <w:t>、</w:t>
            </w:r>
            <w:r>
              <w:rPr>
                <w:rFonts w:cs="Times New Roman"/>
                <w:snapToGrid w:val="0"/>
                <w:kern w:val="0"/>
                <w:sz w:val="18"/>
                <w:szCs w:val="18"/>
              </w:rPr>
              <w:t>K4+440~K4+620</w:t>
            </w:r>
            <w:r>
              <w:rPr>
                <w:rFonts w:cs="Times New Roman"/>
                <w:snapToGrid w:val="0"/>
                <w:kern w:val="0"/>
                <w:sz w:val="18"/>
                <w:szCs w:val="18"/>
              </w:rPr>
              <w:t>、</w:t>
            </w:r>
            <w:r>
              <w:rPr>
                <w:rFonts w:cs="Times New Roman"/>
                <w:snapToGrid w:val="0"/>
                <w:kern w:val="0"/>
                <w:sz w:val="18"/>
                <w:szCs w:val="18"/>
              </w:rPr>
              <w:t>K22+460~K24+680</w:t>
            </w:r>
            <w:r>
              <w:rPr>
                <w:rFonts w:cs="Times New Roman"/>
                <w:snapToGrid w:val="0"/>
                <w:kern w:val="0"/>
                <w:sz w:val="18"/>
                <w:szCs w:val="18"/>
              </w:rPr>
              <w:t>、</w:t>
            </w:r>
            <w:r>
              <w:rPr>
                <w:rFonts w:cs="Times New Roman"/>
                <w:snapToGrid w:val="0"/>
                <w:kern w:val="0"/>
                <w:sz w:val="18"/>
                <w:szCs w:val="18"/>
              </w:rPr>
              <w:t>K26+780~K32+240</w:t>
            </w:r>
            <w:r>
              <w:rPr>
                <w:rFonts w:cs="Times New Roman"/>
                <w:snapToGrid w:val="0"/>
                <w:kern w:val="0"/>
                <w:sz w:val="18"/>
                <w:szCs w:val="18"/>
              </w:rPr>
              <w:t>段在第三师图木舒克市境内，</w:t>
            </w:r>
            <w:r>
              <w:rPr>
                <w:rFonts w:cs="Times New Roman"/>
                <w:snapToGrid w:val="0"/>
                <w:kern w:val="0"/>
                <w:sz w:val="18"/>
                <w:szCs w:val="18"/>
              </w:rPr>
              <w:t>K42+980~K45+540</w:t>
            </w:r>
            <w:r>
              <w:rPr>
                <w:rFonts w:cs="Times New Roman"/>
                <w:snapToGrid w:val="0"/>
                <w:kern w:val="0"/>
                <w:sz w:val="18"/>
                <w:szCs w:val="18"/>
              </w:rPr>
              <w:t>在喀什地区巴楚县境内</w:t>
            </w:r>
            <w:r>
              <w:rPr>
                <w:rFonts w:cs="Times New Roman"/>
                <w:sz w:val="18"/>
                <w:szCs w:val="18"/>
              </w:rPr>
              <w:t>）</w:t>
            </w:r>
          </w:p>
        </w:tc>
        <w:tc>
          <w:tcPr>
            <w:tcW w:w="155"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改善荒漠生态环境</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禁止在国家级公益林地开垦、采石、采沙、取土，严格控制勘查、开采矿藏和工程建设征收、征用、占用国家级公益林地。除国务院有关部门和省级人民政府批准的基础设施建设项目外，不得征收、征用、占用一级国家级公益林地。经批准征收、征用、占用的国家级公益林地，由国家林业和草原局进行审核汇总并相应核减国家级公益林</w:t>
            </w:r>
            <w:r>
              <w:rPr>
                <w:rFonts w:cs="Times New Roman"/>
                <w:sz w:val="18"/>
                <w:szCs w:val="18"/>
              </w:rPr>
              <w:t>总量，财政部根据国家林业和草原局审核结果相应核减下一年度中央财政森林生态效益补偿基金。</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土地占用将造成公益林的损失，影响时段为施工期。</w:t>
            </w:r>
          </w:p>
        </w:tc>
      </w:tr>
      <w:tr w:rsidR="00A46452">
        <w:trPr>
          <w:trHeight w:val="700"/>
        </w:trPr>
        <w:tc>
          <w:tcPr>
            <w:tcW w:w="108" w:type="pct"/>
            <w:tcBorders>
              <w:top w:val="single" w:sz="4" w:space="0" w:color="000000"/>
              <w:left w:val="single" w:sz="12"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2</w:t>
            </w:r>
          </w:p>
        </w:tc>
        <w:tc>
          <w:tcPr>
            <w:tcW w:w="198"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adjustRightInd w:val="0"/>
              <w:snapToGrid w:val="0"/>
              <w:spacing w:line="240" w:lineRule="auto"/>
              <w:ind w:firstLineChars="0" w:firstLine="0"/>
              <w:jc w:val="left"/>
              <w:rPr>
                <w:rFonts w:cs="Times New Roman"/>
                <w:sz w:val="18"/>
                <w:szCs w:val="18"/>
              </w:rPr>
            </w:pPr>
            <w:r>
              <w:rPr>
                <w:rFonts w:cs="Times New Roman"/>
                <w:kern w:val="0"/>
                <w:sz w:val="18"/>
                <w:szCs w:val="18"/>
              </w:rPr>
              <w:t>水土流失重点治理区</w:t>
            </w:r>
          </w:p>
        </w:tc>
        <w:tc>
          <w:tcPr>
            <w:tcW w:w="45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塔里木河国家级水土流失重点预防区、新疆维吾尔自治区级水土流失</w:t>
            </w:r>
            <w:r>
              <w:rPr>
                <w:rFonts w:cs="Times New Roman"/>
                <w:sz w:val="18"/>
                <w:szCs w:val="18"/>
              </w:rPr>
              <w:t>重点治理区、塔里木河流域</w:t>
            </w:r>
            <w:r>
              <w:rPr>
                <w:rFonts w:cs="Times New Roman"/>
                <w:sz w:val="18"/>
                <w:szCs w:val="18"/>
              </w:rPr>
              <w:t>兵团级水土流失重点治理区</w:t>
            </w:r>
          </w:p>
        </w:tc>
        <w:tc>
          <w:tcPr>
            <w:tcW w:w="802"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在工程施工中涉及表层土剥离、填筑、取土等工作，使其工作面的原生地貌和植被遭受破坏，地表裸露、土壤结构疏松，表土抗蚀能力减弱，在风力侵蚀等外力的作用下易产生水土流失。</w:t>
            </w:r>
          </w:p>
        </w:tc>
        <w:tc>
          <w:tcPr>
            <w:tcW w:w="92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tabs>
                <w:tab w:val="left" w:pos="1230"/>
              </w:tabs>
              <w:wordWrap w:val="0"/>
              <w:topLinePunct/>
              <w:spacing w:line="240" w:lineRule="auto"/>
              <w:ind w:firstLineChars="0" w:firstLine="0"/>
              <w:rPr>
                <w:rFonts w:cs="Times New Roman"/>
                <w:sz w:val="18"/>
                <w:szCs w:val="18"/>
              </w:rPr>
            </w:pPr>
            <w:r>
              <w:rPr>
                <w:rFonts w:cs="Times New Roman"/>
                <w:sz w:val="18"/>
                <w:szCs w:val="18"/>
              </w:rPr>
              <w:t>喀什地区巴楚县为塔里木河国家级水土流失重点预防区、新疆维吾尔自治区级水土流失</w:t>
            </w:r>
            <w:r>
              <w:rPr>
                <w:rFonts w:eastAsia="微软雅黑" w:cs="Times New Roman"/>
                <w:sz w:val="18"/>
                <w:szCs w:val="18"/>
              </w:rPr>
              <w:t>Ⅱ</w:t>
            </w:r>
            <w:r>
              <w:rPr>
                <w:rFonts w:cs="Times New Roman"/>
                <w:sz w:val="18"/>
                <w:szCs w:val="18"/>
                <w:vertAlign w:val="subscript"/>
              </w:rPr>
              <w:t>3</w:t>
            </w:r>
            <w:r>
              <w:rPr>
                <w:rFonts w:cs="Times New Roman"/>
                <w:sz w:val="18"/>
                <w:szCs w:val="18"/>
              </w:rPr>
              <w:t>塔里木河流域重点治理区；第三师</w:t>
            </w:r>
            <w:r>
              <w:rPr>
                <w:rFonts w:cs="Times New Roman"/>
                <w:sz w:val="18"/>
                <w:szCs w:val="18"/>
              </w:rPr>
              <w:t>44</w:t>
            </w:r>
            <w:r>
              <w:rPr>
                <w:rFonts w:cs="Times New Roman"/>
                <w:sz w:val="18"/>
                <w:szCs w:val="18"/>
              </w:rPr>
              <w:t>团、</w:t>
            </w:r>
            <w:r>
              <w:rPr>
                <w:rFonts w:cs="Times New Roman"/>
                <w:sz w:val="18"/>
                <w:szCs w:val="18"/>
              </w:rPr>
              <w:t>50</w:t>
            </w:r>
            <w:r>
              <w:rPr>
                <w:rFonts w:cs="Times New Roman"/>
                <w:sz w:val="18"/>
                <w:szCs w:val="18"/>
              </w:rPr>
              <w:t>团、</w:t>
            </w:r>
            <w:r>
              <w:rPr>
                <w:rFonts w:cs="Times New Roman"/>
                <w:sz w:val="18"/>
                <w:szCs w:val="18"/>
              </w:rPr>
              <w:t>51</w:t>
            </w:r>
            <w:r>
              <w:rPr>
                <w:rFonts w:cs="Times New Roman"/>
                <w:sz w:val="18"/>
                <w:szCs w:val="18"/>
              </w:rPr>
              <w:t>团、</w:t>
            </w:r>
            <w:r>
              <w:rPr>
                <w:rFonts w:cs="Times New Roman"/>
                <w:sz w:val="18"/>
                <w:szCs w:val="18"/>
              </w:rPr>
              <w:t>53</w:t>
            </w:r>
            <w:r>
              <w:rPr>
                <w:rFonts w:cs="Times New Roman"/>
                <w:sz w:val="18"/>
                <w:szCs w:val="18"/>
              </w:rPr>
              <w:t>团为塔里木河流域兵团级水土流失</w:t>
            </w:r>
            <w:r>
              <w:rPr>
                <w:rFonts w:cs="Times New Roman"/>
                <w:sz w:val="18"/>
                <w:szCs w:val="18"/>
              </w:rPr>
              <w:t>重点</w:t>
            </w:r>
            <w:r>
              <w:rPr>
                <w:rFonts w:cs="Times New Roman"/>
                <w:sz w:val="18"/>
                <w:szCs w:val="18"/>
              </w:rPr>
              <w:t>治理区</w:t>
            </w:r>
          </w:p>
        </w:tc>
        <w:tc>
          <w:tcPr>
            <w:tcW w:w="155"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防治水土流失</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保障人类赖以生存和发展的基础性资源，促进生态文明建设，保障经济社会可持续健康发展</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施工过程易造成水土流失，影响时段为施工期。</w:t>
            </w:r>
          </w:p>
        </w:tc>
      </w:tr>
      <w:tr w:rsidR="00A46452">
        <w:trPr>
          <w:trHeight w:val="700"/>
        </w:trPr>
        <w:tc>
          <w:tcPr>
            <w:tcW w:w="108" w:type="pct"/>
            <w:tcBorders>
              <w:top w:val="single" w:sz="4" w:space="0" w:color="000000"/>
              <w:left w:val="single" w:sz="12"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3</w:t>
            </w:r>
          </w:p>
        </w:tc>
        <w:tc>
          <w:tcPr>
            <w:tcW w:w="655"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自然植被</w:t>
            </w:r>
          </w:p>
        </w:tc>
        <w:tc>
          <w:tcPr>
            <w:tcW w:w="802"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lang w:val="zh-CN"/>
              </w:rPr>
            </w:pPr>
            <w:r>
              <w:rPr>
                <w:rFonts w:cs="Times New Roman"/>
                <w:sz w:val="18"/>
                <w:szCs w:val="18"/>
                <w:lang w:val="zh-CN"/>
              </w:rPr>
              <w:t>项目沿线植被除栽培植被外，自然植被主要分布有合头草、猪毛菜、盐爪爪、琵琶柴、梭梭柴、花花柴、疏叶骆驼刺、红柳、假木贼、芦苇等。人工植被有人工草地、人工林地，以侧柏、新疆圆柏、新疆杨、旱杨为主。</w:t>
            </w:r>
          </w:p>
        </w:tc>
        <w:tc>
          <w:tcPr>
            <w:tcW w:w="92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tabs>
                <w:tab w:val="left" w:pos="1230"/>
              </w:tabs>
              <w:wordWrap w:val="0"/>
              <w:topLinePunct/>
              <w:spacing w:line="240" w:lineRule="auto"/>
              <w:ind w:firstLineChars="0" w:firstLine="0"/>
              <w:rPr>
                <w:rFonts w:cs="Times New Roman"/>
                <w:sz w:val="18"/>
                <w:szCs w:val="18"/>
              </w:rPr>
            </w:pPr>
            <w:r>
              <w:rPr>
                <w:rFonts w:cs="Times New Roman"/>
                <w:sz w:val="18"/>
                <w:szCs w:val="18"/>
              </w:rPr>
              <w:t>评价范围内喀什噶尔河及两岸分布，主要见于评价范围内荒漠灌草等区域</w:t>
            </w:r>
          </w:p>
        </w:tc>
        <w:tc>
          <w:tcPr>
            <w:tcW w:w="155"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生物多样性</w:t>
            </w:r>
          </w:p>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保护</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禁止任何单位和个人非法采集野生植物或者破坏其生长环境。</w:t>
            </w:r>
          </w:p>
          <w:p w:rsidR="00A46452" w:rsidRDefault="009A3928">
            <w:pPr>
              <w:wordWrap w:val="0"/>
              <w:topLinePunct/>
              <w:spacing w:line="240" w:lineRule="auto"/>
              <w:ind w:firstLineChars="0" w:firstLine="0"/>
              <w:rPr>
                <w:rFonts w:cs="Times New Roman"/>
                <w:sz w:val="18"/>
                <w:szCs w:val="18"/>
              </w:rPr>
            </w:pPr>
            <w:r>
              <w:rPr>
                <w:rFonts w:cs="Times New Roman"/>
                <w:sz w:val="18"/>
                <w:szCs w:val="18"/>
              </w:rPr>
              <w:t>建设项目对国家重点保护野生植物和地方重点保护野生植物的生长环境产生不利影响的，建设单位提交的环境影响报告书中必须对此作出评价；生态环境部门在审批环境影响报告书时，应当征求野生植物行政主管部门的意见。</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土地占用将造成植被的损失，影响时段为施工期。</w:t>
            </w:r>
          </w:p>
        </w:tc>
      </w:tr>
      <w:tr w:rsidR="00A46452">
        <w:trPr>
          <w:trHeight w:val="700"/>
        </w:trPr>
        <w:tc>
          <w:tcPr>
            <w:tcW w:w="108" w:type="pct"/>
            <w:tcBorders>
              <w:top w:val="single" w:sz="4" w:space="0" w:color="000000"/>
              <w:left w:val="single" w:sz="12"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4</w:t>
            </w:r>
          </w:p>
        </w:tc>
        <w:tc>
          <w:tcPr>
            <w:tcW w:w="655"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野生动物</w:t>
            </w:r>
          </w:p>
        </w:tc>
        <w:tc>
          <w:tcPr>
            <w:tcW w:w="802"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lang w:val="zh-CN"/>
              </w:rPr>
            </w:pPr>
            <w:r>
              <w:rPr>
                <w:rFonts w:cs="Times New Roman"/>
                <w:sz w:val="18"/>
                <w:szCs w:val="18"/>
                <w:lang w:val="zh-CN"/>
              </w:rPr>
              <w:t>评价区及其附近分布有陆生脊椎动物以鸟类的种类与数量为最多，本项目区栖息分布着各种野生脊椎动物</w:t>
            </w:r>
            <w:r>
              <w:rPr>
                <w:rFonts w:cs="Times New Roman"/>
                <w:sz w:val="18"/>
                <w:szCs w:val="18"/>
                <w:lang w:val="zh-CN"/>
              </w:rPr>
              <w:t>66</w:t>
            </w:r>
            <w:r>
              <w:rPr>
                <w:rFonts w:cs="Times New Roman"/>
                <w:sz w:val="18"/>
                <w:szCs w:val="18"/>
                <w:lang w:val="zh-CN"/>
              </w:rPr>
              <w:t>种。现场调查到评价范围内分布有重点保护动物</w:t>
            </w:r>
            <w:r>
              <w:rPr>
                <w:rFonts w:cs="Times New Roman"/>
                <w:sz w:val="18"/>
                <w:szCs w:val="18"/>
              </w:rPr>
              <w:t>9</w:t>
            </w:r>
            <w:r>
              <w:rPr>
                <w:rFonts w:cs="Times New Roman"/>
                <w:sz w:val="18"/>
                <w:szCs w:val="18"/>
                <w:lang w:val="zh-CN"/>
              </w:rPr>
              <w:t>种（</w:t>
            </w:r>
            <w:r>
              <w:rPr>
                <w:rFonts w:cs="Times New Roman"/>
                <w:sz w:val="18"/>
                <w:szCs w:val="18"/>
              </w:rPr>
              <w:t>塔里木兔、</w:t>
            </w:r>
            <w:r>
              <w:rPr>
                <w:rFonts w:cs="Times New Roman"/>
                <w:sz w:val="18"/>
                <w:szCs w:val="18"/>
                <w:lang w:val="zh-CN"/>
              </w:rPr>
              <w:t>鹅喉羚、鸢、苍鹰、红隼、沙狐、赤狐、黑鹳、蓝胸佛法僧）</w:t>
            </w:r>
          </w:p>
        </w:tc>
        <w:tc>
          <w:tcPr>
            <w:tcW w:w="926"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评价范围</w:t>
            </w:r>
            <w:r>
              <w:rPr>
                <w:rFonts w:cs="Times New Roman"/>
                <w:sz w:val="18"/>
                <w:szCs w:val="18"/>
              </w:rPr>
              <w:t>位于</w:t>
            </w:r>
            <w:r>
              <w:rPr>
                <w:rFonts w:cs="Times New Roman"/>
                <w:sz w:val="18"/>
                <w:szCs w:val="18"/>
              </w:rPr>
              <w:t>塔里木盆地北侧，野生动物地理区划上属古北界、中亚亚界、蒙新区、西部荒漠亚区、塔里木盆地小区</w:t>
            </w:r>
          </w:p>
        </w:tc>
        <w:tc>
          <w:tcPr>
            <w:tcW w:w="155" w:type="pct"/>
            <w:tcBorders>
              <w:top w:val="single" w:sz="4" w:space="0" w:color="000000"/>
              <w:left w:val="single" w:sz="4" w:space="0" w:color="000000"/>
              <w:bottom w:val="single" w:sz="4"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生物多样性</w:t>
            </w:r>
          </w:p>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保护</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禁止任何单位和个人破坏国家和地方重点保护野生动物的生息繁衍场所和生存条件。</w:t>
            </w:r>
          </w:p>
          <w:p w:rsidR="00A46452" w:rsidRDefault="009A3928">
            <w:pPr>
              <w:wordWrap w:val="0"/>
              <w:topLinePunct/>
              <w:spacing w:line="240" w:lineRule="auto"/>
              <w:ind w:firstLineChars="0" w:firstLine="0"/>
              <w:rPr>
                <w:rFonts w:cs="Times New Roman"/>
                <w:sz w:val="18"/>
                <w:szCs w:val="18"/>
              </w:rPr>
            </w:pPr>
            <w:r>
              <w:rPr>
                <w:rFonts w:cs="Times New Roman"/>
                <w:sz w:val="18"/>
                <w:szCs w:val="18"/>
              </w:rPr>
              <w:t>禁止猎捕、杀害国家重点保护野生动物。</w:t>
            </w:r>
          </w:p>
          <w:p w:rsidR="00A46452" w:rsidRDefault="009A3928">
            <w:pPr>
              <w:wordWrap w:val="0"/>
              <w:topLinePunct/>
              <w:spacing w:line="240" w:lineRule="auto"/>
              <w:ind w:firstLineChars="0" w:firstLine="0"/>
              <w:rPr>
                <w:rFonts w:cs="Times New Roman"/>
                <w:sz w:val="18"/>
                <w:szCs w:val="18"/>
              </w:rPr>
            </w:pPr>
            <w:r>
              <w:rPr>
                <w:rFonts w:cs="Times New Roman"/>
                <w:sz w:val="18"/>
                <w:szCs w:val="18"/>
              </w:rPr>
              <w:t>在自然保护区、禁猎区破坏非国家或者地方重点保护野生动物主要生息繁衍场所的，由野生动物行政主管部门责令停止破坏行为，限期恢复原状，并处以恢复原状所需费用二倍以下的罚款。</w:t>
            </w:r>
          </w:p>
        </w:tc>
        <w:tc>
          <w:tcPr>
            <w:tcW w:w="1175" w:type="pct"/>
            <w:tcBorders>
              <w:top w:val="single" w:sz="4" w:space="0" w:color="000000"/>
              <w:left w:val="single" w:sz="4" w:space="0" w:color="000000"/>
              <w:bottom w:val="single" w:sz="4"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公路建设对保护动物栖息和觅食场所的破坏，影响时段为施工期</w:t>
            </w:r>
          </w:p>
        </w:tc>
      </w:tr>
      <w:tr w:rsidR="00A46452">
        <w:trPr>
          <w:trHeight w:val="700"/>
        </w:trPr>
        <w:tc>
          <w:tcPr>
            <w:tcW w:w="108" w:type="pct"/>
            <w:tcBorders>
              <w:top w:val="single" w:sz="4" w:space="0" w:color="000000"/>
              <w:left w:val="single" w:sz="12" w:space="0" w:color="000000"/>
              <w:bottom w:val="single" w:sz="12"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5</w:t>
            </w:r>
          </w:p>
        </w:tc>
        <w:tc>
          <w:tcPr>
            <w:tcW w:w="655" w:type="pct"/>
            <w:gridSpan w:val="2"/>
            <w:tcBorders>
              <w:top w:val="single" w:sz="4" w:space="0" w:color="000000"/>
              <w:left w:val="single" w:sz="4" w:space="0" w:color="000000"/>
              <w:bottom w:val="single" w:sz="12"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lang w:val="zh-CN"/>
              </w:rPr>
            </w:pPr>
            <w:r>
              <w:rPr>
                <w:rFonts w:cs="Times New Roman"/>
                <w:sz w:val="18"/>
                <w:szCs w:val="18"/>
                <w:lang w:val="zh-CN"/>
              </w:rPr>
              <w:t>耕地、基本农田</w:t>
            </w:r>
          </w:p>
        </w:tc>
        <w:tc>
          <w:tcPr>
            <w:tcW w:w="802" w:type="pct"/>
            <w:tcBorders>
              <w:top w:val="single" w:sz="4" w:space="0" w:color="000000"/>
              <w:left w:val="single" w:sz="4" w:space="0" w:color="000000"/>
              <w:bottom w:val="single" w:sz="12" w:space="0" w:color="000000"/>
              <w:right w:val="single" w:sz="4"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lang w:val="zh-CN"/>
              </w:rPr>
            </w:pPr>
            <w:r>
              <w:rPr>
                <w:rFonts w:cs="Times New Roman"/>
                <w:sz w:val="18"/>
                <w:szCs w:val="18"/>
                <w:lang w:val="zh-CN"/>
              </w:rPr>
              <w:t>沿线地区农耕历史悠久，主要种植的农作物以小麦、玉米、棉花为主，还有水稻等。果树有桃树、杏树、苹果树、枣树等。</w:t>
            </w:r>
          </w:p>
        </w:tc>
        <w:tc>
          <w:tcPr>
            <w:tcW w:w="926" w:type="pct"/>
            <w:tcBorders>
              <w:top w:val="single" w:sz="4" w:space="0" w:color="000000"/>
              <w:left w:val="single" w:sz="4" w:space="0" w:color="000000"/>
              <w:bottom w:val="single" w:sz="12" w:space="0" w:color="000000"/>
              <w:right w:val="single" w:sz="4" w:space="0" w:color="000000"/>
              <w:tl2br w:val="nil"/>
              <w:tr2bl w:val="nil"/>
            </w:tcBorders>
            <w:vAlign w:val="center"/>
          </w:tcPr>
          <w:p w:rsidR="00A46452" w:rsidRDefault="009A3928">
            <w:pPr>
              <w:tabs>
                <w:tab w:val="left" w:pos="1230"/>
              </w:tabs>
              <w:wordWrap w:val="0"/>
              <w:topLinePunct/>
              <w:spacing w:line="240" w:lineRule="auto"/>
              <w:ind w:firstLineChars="0" w:firstLine="0"/>
              <w:rPr>
                <w:rFonts w:cs="Times New Roman"/>
                <w:sz w:val="18"/>
                <w:szCs w:val="18"/>
              </w:rPr>
            </w:pPr>
            <w:r>
              <w:rPr>
                <w:rFonts w:cs="Times New Roman"/>
                <w:sz w:val="18"/>
                <w:szCs w:val="18"/>
              </w:rPr>
              <w:t>拟建公路</w:t>
            </w:r>
            <w:r>
              <w:rPr>
                <w:rFonts w:cs="Times New Roman"/>
                <w:sz w:val="18"/>
                <w:szCs w:val="18"/>
              </w:rPr>
              <w:t>永久</w:t>
            </w:r>
            <w:r>
              <w:rPr>
                <w:rFonts w:cs="Times New Roman"/>
                <w:sz w:val="18"/>
                <w:szCs w:val="18"/>
              </w:rPr>
              <w:t>占用耕地</w:t>
            </w:r>
            <w:r>
              <w:rPr>
                <w:rFonts w:cs="Times New Roman"/>
                <w:sz w:val="18"/>
                <w:szCs w:val="18"/>
              </w:rPr>
              <w:t>34.2</w:t>
            </w:r>
            <w:r>
              <w:rPr>
                <w:rFonts w:cs="Times New Roman"/>
                <w:sz w:val="18"/>
                <w:szCs w:val="18"/>
              </w:rPr>
              <w:t>7</w:t>
            </w:r>
            <w:r>
              <w:rPr>
                <w:rFonts w:cs="Times New Roman"/>
                <w:sz w:val="18"/>
                <w:szCs w:val="18"/>
              </w:rPr>
              <w:t>hm</w:t>
            </w:r>
            <w:r>
              <w:rPr>
                <w:rFonts w:cs="Times New Roman"/>
                <w:sz w:val="18"/>
                <w:szCs w:val="18"/>
                <w:vertAlign w:val="superscript"/>
              </w:rPr>
              <w:t>2</w:t>
            </w:r>
            <w:r>
              <w:rPr>
                <w:rFonts w:cs="Times New Roman"/>
                <w:sz w:val="18"/>
                <w:szCs w:val="18"/>
              </w:rPr>
              <w:t>，</w:t>
            </w:r>
            <w:r>
              <w:rPr>
                <w:rFonts w:cs="Times New Roman"/>
                <w:sz w:val="18"/>
                <w:szCs w:val="18"/>
              </w:rPr>
              <w:t>不占用基本农田。</w:t>
            </w:r>
          </w:p>
        </w:tc>
        <w:tc>
          <w:tcPr>
            <w:tcW w:w="155" w:type="pct"/>
            <w:tcBorders>
              <w:top w:val="single" w:sz="4" w:space="0" w:color="000000"/>
              <w:left w:val="single" w:sz="4" w:space="0" w:color="000000"/>
              <w:bottom w:val="single" w:sz="12" w:space="0" w:color="000000"/>
              <w:right w:val="single" w:sz="4" w:space="0" w:color="000000"/>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eastAsia="等线" w:cs="Times New Roman"/>
                <w:sz w:val="18"/>
                <w:szCs w:val="18"/>
              </w:rPr>
              <w:t>/</w:t>
            </w:r>
          </w:p>
        </w:tc>
        <w:tc>
          <w:tcPr>
            <w:tcW w:w="1175" w:type="pct"/>
            <w:tcBorders>
              <w:top w:val="single" w:sz="4" w:space="0" w:color="000000"/>
              <w:left w:val="single" w:sz="4" w:space="0" w:color="000000"/>
              <w:bottom w:val="single" w:sz="12"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kern w:val="0"/>
                <w:sz w:val="18"/>
                <w:szCs w:val="18"/>
              </w:rPr>
              <w:t>保护表层土，保持土壤肥力，不因本项目建设而降低永久基本农田的使用功能</w:t>
            </w:r>
          </w:p>
        </w:tc>
        <w:tc>
          <w:tcPr>
            <w:tcW w:w="1175" w:type="pct"/>
            <w:tcBorders>
              <w:top w:val="single" w:sz="4" w:space="0" w:color="000000"/>
              <w:left w:val="single" w:sz="4" w:space="0" w:color="000000"/>
              <w:bottom w:val="single" w:sz="12" w:space="0" w:color="000000"/>
              <w:right w:val="single" w:sz="12" w:space="0" w:color="000000"/>
              <w:tl2br w:val="nil"/>
              <w:tr2bl w:val="nil"/>
            </w:tcBorders>
            <w:vAlign w:val="center"/>
          </w:tcPr>
          <w:p w:rsidR="00A46452" w:rsidRDefault="009A3928">
            <w:pPr>
              <w:wordWrap w:val="0"/>
              <w:topLinePunct/>
              <w:spacing w:line="240" w:lineRule="auto"/>
              <w:ind w:firstLineChars="0" w:firstLine="0"/>
              <w:rPr>
                <w:rFonts w:cs="Times New Roman"/>
              </w:rPr>
            </w:pPr>
            <w:r>
              <w:rPr>
                <w:rFonts w:cs="Times New Roman"/>
                <w:sz w:val="18"/>
                <w:szCs w:val="18"/>
              </w:rPr>
              <w:t>土地占用造成耕地的减少，影响时段为施工期</w:t>
            </w:r>
          </w:p>
        </w:tc>
      </w:tr>
    </w:tbl>
    <w:p w:rsidR="00A46452" w:rsidRDefault="00A46452">
      <w:pPr>
        <w:wordWrap w:val="0"/>
        <w:topLinePunct/>
        <w:adjustRightInd w:val="0"/>
        <w:snapToGrid w:val="0"/>
        <w:ind w:firstLine="480"/>
        <w:jc w:val="left"/>
        <w:rPr>
          <w:rFonts w:cs="Times New Roman"/>
        </w:rPr>
        <w:sectPr w:rsidR="00A46452">
          <w:pgSz w:w="16840" w:h="11907" w:orient="landscape"/>
          <w:pgMar w:top="1740" w:right="1440" w:bottom="1740" w:left="1440" w:header="737" w:footer="737" w:gutter="0"/>
          <w:cols w:space="720"/>
          <w:docGrid w:linePitch="326"/>
        </w:sectPr>
      </w:pP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189" w:name="_Toc471981485"/>
      <w:bookmarkStart w:id="190" w:name="_Toc98413497"/>
      <w:bookmarkStart w:id="191" w:name="_Toc471983178"/>
      <w:bookmarkStart w:id="192" w:name="_Toc34989541"/>
      <w:bookmarkStart w:id="193" w:name="_Toc482003721"/>
      <w:bookmarkStart w:id="194" w:name="_Toc486841836"/>
      <w:bookmarkStart w:id="195" w:name="_Toc493587494"/>
      <w:bookmarkStart w:id="196" w:name="_Toc98414179"/>
      <w:bookmarkStart w:id="197" w:name="_Toc469140808"/>
      <w:bookmarkEnd w:id="186"/>
      <w:bookmarkEnd w:id="187"/>
      <w:bookmarkEnd w:id="188"/>
      <w:r>
        <w:rPr>
          <w:rFonts w:cs="Times New Roman" w:hint="default"/>
          <w:sz w:val="28"/>
          <w:szCs w:val="28"/>
        </w:rPr>
        <w:t>2.7.2</w:t>
      </w:r>
      <w:r>
        <w:rPr>
          <w:rFonts w:cs="Times New Roman" w:hint="default"/>
          <w:sz w:val="28"/>
          <w:szCs w:val="28"/>
        </w:rPr>
        <w:t>环境大气和声环境保护目标</w:t>
      </w:r>
      <w:bookmarkEnd w:id="189"/>
      <w:bookmarkEnd w:id="190"/>
      <w:bookmarkEnd w:id="191"/>
      <w:bookmarkEnd w:id="192"/>
      <w:bookmarkEnd w:id="193"/>
      <w:bookmarkEnd w:id="194"/>
      <w:bookmarkEnd w:id="195"/>
      <w:bookmarkEnd w:id="196"/>
      <w:bookmarkEnd w:id="197"/>
    </w:p>
    <w:p w:rsidR="00A46452" w:rsidRDefault="009A3928" w:rsidP="00182EED">
      <w:pPr>
        <w:wordWrap w:val="0"/>
        <w:topLinePunct/>
        <w:adjustRightInd w:val="0"/>
        <w:snapToGrid w:val="0"/>
        <w:spacing w:beforeLines="50" w:before="120" w:line="344" w:lineRule="auto"/>
        <w:ind w:firstLine="480"/>
        <w:rPr>
          <w:rFonts w:cs="Times New Roman"/>
          <w:bCs/>
        </w:rPr>
      </w:pPr>
      <w:r>
        <w:rPr>
          <w:rFonts w:cs="Times New Roman"/>
          <w:bCs/>
        </w:rPr>
        <w:t>（</w:t>
      </w:r>
      <w:r>
        <w:rPr>
          <w:rFonts w:cs="Times New Roman"/>
          <w:bCs/>
        </w:rPr>
        <w:t>1</w:t>
      </w:r>
      <w:r>
        <w:rPr>
          <w:rFonts w:cs="Times New Roman"/>
          <w:bCs/>
        </w:rPr>
        <w:t>）声环境保护目标</w:t>
      </w:r>
    </w:p>
    <w:p w:rsidR="00A46452" w:rsidRDefault="009A3928" w:rsidP="00182EED">
      <w:pPr>
        <w:wordWrap w:val="0"/>
        <w:topLinePunct/>
        <w:adjustRightInd w:val="0"/>
        <w:snapToGrid w:val="0"/>
        <w:ind w:firstLine="480"/>
        <w:rPr>
          <w:rFonts w:cs="Times New Roman"/>
          <w:bCs/>
        </w:rPr>
      </w:pPr>
      <w:r>
        <w:rPr>
          <w:rFonts w:cs="Times New Roman"/>
          <w:bCs/>
        </w:rPr>
        <w:t>本项目的主要保护对象是工程沿线的学校、居民区，根据平面设计图及现场踏勘，通过现场勘查工程沿线现状存在等</w:t>
      </w:r>
      <w:r>
        <w:rPr>
          <w:rFonts w:cs="Times New Roman"/>
          <w:bCs/>
        </w:rPr>
        <w:t>4</w:t>
      </w:r>
      <w:r>
        <w:rPr>
          <w:rFonts w:cs="Times New Roman"/>
          <w:bCs/>
        </w:rPr>
        <w:t>处环境保护目标，详见表</w:t>
      </w:r>
      <w:r>
        <w:rPr>
          <w:rFonts w:cs="Times New Roman"/>
          <w:bCs/>
        </w:rPr>
        <w:t>2.7-</w:t>
      </w:r>
      <w:r>
        <w:rPr>
          <w:rFonts w:cs="Times New Roman" w:hint="eastAsia"/>
          <w:bCs/>
        </w:rPr>
        <w:t>2</w:t>
      </w:r>
      <w:r>
        <w:rPr>
          <w:rFonts w:cs="Times New Roman"/>
          <w:bCs/>
        </w:rPr>
        <w:t>。</w:t>
      </w:r>
    </w:p>
    <w:p w:rsidR="00A46452" w:rsidRDefault="00A46452" w:rsidP="00182EED">
      <w:pPr>
        <w:wordWrap w:val="0"/>
        <w:topLinePunct/>
        <w:adjustRightInd w:val="0"/>
        <w:snapToGrid w:val="0"/>
        <w:ind w:firstLine="480"/>
        <w:rPr>
          <w:rFonts w:cs="Times New Roman"/>
          <w:bCs/>
        </w:rPr>
      </w:pPr>
    </w:p>
    <w:p w:rsidR="00A46452" w:rsidRDefault="00A46452" w:rsidP="00182EED">
      <w:pPr>
        <w:wordWrap w:val="0"/>
        <w:topLinePunct/>
        <w:adjustRightInd w:val="0"/>
        <w:snapToGrid w:val="0"/>
        <w:ind w:firstLine="480"/>
        <w:rPr>
          <w:rFonts w:cs="Times New Roman"/>
          <w:bCs/>
        </w:rPr>
        <w:sectPr w:rsidR="00A46452">
          <w:pgSz w:w="11907" w:h="16840"/>
          <w:pgMar w:top="1440" w:right="1740" w:bottom="1440" w:left="1740" w:header="737" w:footer="737" w:gutter="0"/>
          <w:cols w:space="720"/>
          <w:docGrid w:linePitch="326"/>
        </w:sectPr>
      </w:pP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2.</w:t>
      </w:r>
      <w:r>
        <w:rPr>
          <w:rFonts w:eastAsia="黑体" w:cs="Times New Roman"/>
        </w:rPr>
        <w:t>7</w:t>
      </w:r>
      <w:r>
        <w:rPr>
          <w:rFonts w:eastAsia="黑体" w:cs="Times New Roman"/>
        </w:rPr>
        <w:t>-</w:t>
      </w:r>
      <w:r>
        <w:rPr>
          <w:rFonts w:eastAsia="黑体" w:cs="Times New Roman" w:hint="eastAsia"/>
        </w:rPr>
        <w:t>2</w:t>
      </w:r>
      <w:r>
        <w:rPr>
          <w:rFonts w:eastAsia="黑体" w:cs="Times New Roman"/>
        </w:rPr>
        <w:t xml:space="preserve">                                     </w:t>
      </w:r>
      <w:r>
        <w:rPr>
          <w:rFonts w:eastAsia="黑体" w:cs="Times New Roman"/>
        </w:rPr>
        <w:t>本项目沿线声环境、环境空气保护目标一览表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905"/>
        <w:gridCol w:w="1147"/>
        <w:gridCol w:w="2154"/>
        <w:gridCol w:w="1080"/>
        <w:gridCol w:w="1080"/>
        <w:gridCol w:w="1656"/>
        <w:gridCol w:w="1577"/>
        <w:gridCol w:w="2117"/>
        <w:gridCol w:w="1670"/>
      </w:tblGrid>
      <w:tr w:rsidR="00A46452">
        <w:trPr>
          <w:jc w:val="center"/>
        </w:trPr>
        <w:tc>
          <w:tcPr>
            <w:tcW w:w="214"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编号</w:t>
            </w:r>
          </w:p>
        </w:tc>
        <w:tc>
          <w:tcPr>
            <w:tcW w:w="734" w:type="pct"/>
            <w:gridSpan w:val="2"/>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名称</w:t>
            </w:r>
          </w:p>
        </w:tc>
        <w:tc>
          <w:tcPr>
            <w:tcW w:w="769"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桩号</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范围</w:t>
            </w:r>
          </w:p>
        </w:tc>
        <w:tc>
          <w:tcPr>
            <w:tcW w:w="386"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相对位置</w:t>
            </w:r>
          </w:p>
        </w:tc>
        <w:tc>
          <w:tcPr>
            <w:tcW w:w="386"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首排距公路中心线距离</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r>
              <w:rPr>
                <w:rFonts w:cs="Times New Roman"/>
                <w:bCs/>
                <w:sz w:val="18"/>
                <w:szCs w:val="18"/>
              </w:rPr>
              <w:t>m</w:t>
            </w:r>
            <w:r>
              <w:rPr>
                <w:rFonts w:cs="Times New Roman"/>
                <w:bCs/>
                <w:sz w:val="18"/>
                <w:szCs w:val="18"/>
              </w:rPr>
              <w:t>)</w:t>
            </w:r>
          </w:p>
        </w:tc>
        <w:tc>
          <w:tcPr>
            <w:tcW w:w="591"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sz w:val="18"/>
                <w:szCs w:val="18"/>
              </w:rPr>
              <w:t>最近敏感点距红线的距离（</w:t>
            </w:r>
            <w:r>
              <w:rPr>
                <w:rFonts w:cs="Times New Roman"/>
                <w:sz w:val="18"/>
                <w:szCs w:val="18"/>
              </w:rPr>
              <w:t>m</w:t>
            </w:r>
            <w:r>
              <w:rPr>
                <w:rFonts w:cs="Times New Roman"/>
                <w:sz w:val="18"/>
                <w:szCs w:val="18"/>
              </w:rPr>
              <w:t>）</w:t>
            </w:r>
          </w:p>
        </w:tc>
        <w:tc>
          <w:tcPr>
            <w:tcW w:w="563" w:type="pct"/>
            <w:vMerge w:val="restart"/>
            <w:tcBorders>
              <w:right w:val="single" w:sz="4"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4a</w:t>
            </w:r>
            <w:r>
              <w:rPr>
                <w:rFonts w:cs="Times New Roman"/>
                <w:bCs/>
                <w:sz w:val="18"/>
                <w:szCs w:val="18"/>
              </w:rPr>
              <w:t>类</w:t>
            </w:r>
            <w:r>
              <w:rPr>
                <w:rFonts w:cs="Times New Roman"/>
                <w:bCs/>
                <w:sz w:val="18"/>
                <w:szCs w:val="18"/>
              </w:rPr>
              <w:t>区户数</w:t>
            </w:r>
          </w:p>
        </w:tc>
        <w:tc>
          <w:tcPr>
            <w:tcW w:w="756" w:type="pct"/>
            <w:vMerge w:val="restart"/>
            <w:tcBorders>
              <w:left w:val="single" w:sz="4"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r>
              <w:rPr>
                <w:rFonts w:cs="Times New Roman"/>
                <w:bCs/>
                <w:sz w:val="18"/>
                <w:szCs w:val="18"/>
              </w:rPr>
              <w:t>类</w:t>
            </w:r>
            <w:r>
              <w:rPr>
                <w:rFonts w:cs="Times New Roman"/>
                <w:bCs/>
                <w:sz w:val="18"/>
                <w:szCs w:val="18"/>
              </w:rPr>
              <w:t>区户数</w:t>
            </w:r>
          </w:p>
        </w:tc>
        <w:tc>
          <w:tcPr>
            <w:tcW w:w="596"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sz w:val="18"/>
                <w:szCs w:val="18"/>
              </w:rPr>
              <w:t>敏感点周围环境特征</w:t>
            </w:r>
          </w:p>
        </w:tc>
      </w:tr>
      <w:tr w:rsidR="00A46452">
        <w:trPr>
          <w:trHeight w:val="396"/>
          <w:jc w:val="center"/>
        </w:trPr>
        <w:tc>
          <w:tcPr>
            <w:tcW w:w="214"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32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团、县</w:t>
            </w:r>
          </w:p>
        </w:tc>
        <w:tc>
          <w:tcPr>
            <w:tcW w:w="410"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保护</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目标</w:t>
            </w:r>
          </w:p>
        </w:tc>
        <w:tc>
          <w:tcPr>
            <w:tcW w:w="769"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386"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386"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591"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563" w:type="pct"/>
            <w:vMerge/>
            <w:tcBorders>
              <w:right w:val="single" w:sz="4" w:space="0" w:color="000000"/>
            </w:tcBorders>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756" w:type="pct"/>
            <w:vMerge/>
            <w:tcBorders>
              <w:left w:val="single" w:sz="4" w:space="0" w:color="000000"/>
            </w:tcBorders>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596" w:type="pct"/>
            <w:vMerge/>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r>
      <w:tr w:rsidR="00A46452">
        <w:trPr>
          <w:trHeight w:val="2620"/>
          <w:jc w:val="center"/>
        </w:trPr>
        <w:tc>
          <w:tcPr>
            <w:tcW w:w="21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1</w:t>
            </w:r>
          </w:p>
        </w:tc>
        <w:tc>
          <w:tcPr>
            <w:tcW w:w="32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柯坪县</w:t>
            </w:r>
          </w:p>
        </w:tc>
        <w:tc>
          <w:tcPr>
            <w:tcW w:w="410"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柯坪湖州小学</w:t>
            </w:r>
          </w:p>
        </w:tc>
        <w:tc>
          <w:tcPr>
            <w:tcW w:w="769"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K1</w:t>
            </w:r>
            <w:r>
              <w:rPr>
                <w:rFonts w:cs="Times New Roman"/>
                <w:bCs/>
                <w:sz w:val="18"/>
                <w:szCs w:val="18"/>
              </w:rPr>
              <w:t>05</w:t>
            </w:r>
            <w:r>
              <w:rPr>
                <w:rFonts w:cs="Times New Roman"/>
                <w:bCs/>
                <w:sz w:val="18"/>
                <w:szCs w:val="18"/>
              </w:rPr>
              <w:t>+</w:t>
            </w:r>
            <w:r>
              <w:rPr>
                <w:rFonts w:cs="Times New Roman"/>
                <w:bCs/>
                <w:sz w:val="18"/>
                <w:szCs w:val="18"/>
              </w:rPr>
              <w:t>180</w:t>
            </w:r>
            <w:r>
              <w:rPr>
                <w:rFonts w:cs="Times New Roman"/>
                <w:bCs/>
                <w:sz w:val="18"/>
                <w:szCs w:val="18"/>
              </w:rPr>
              <w:t>-K1</w:t>
            </w:r>
            <w:r>
              <w:rPr>
                <w:rFonts w:cs="Times New Roman"/>
                <w:bCs/>
                <w:sz w:val="18"/>
                <w:szCs w:val="18"/>
              </w:rPr>
              <w:t>05</w:t>
            </w:r>
            <w:r>
              <w:rPr>
                <w:rFonts w:cs="Times New Roman"/>
                <w:bCs/>
                <w:sz w:val="18"/>
                <w:szCs w:val="18"/>
              </w:rPr>
              <w:t>+</w:t>
            </w:r>
            <w:r>
              <w:rPr>
                <w:rFonts w:cs="Times New Roman"/>
                <w:bCs/>
                <w:sz w:val="18"/>
                <w:szCs w:val="18"/>
              </w:rPr>
              <w:t>420</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左侧</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63</w:t>
            </w:r>
          </w:p>
        </w:tc>
        <w:tc>
          <w:tcPr>
            <w:tcW w:w="591"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57</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r>
              <w:rPr>
                <w:rFonts w:cs="Times New Roman"/>
                <w:bCs/>
                <w:sz w:val="18"/>
                <w:szCs w:val="18"/>
              </w:rPr>
              <w:t>类</w:t>
            </w:r>
          </w:p>
        </w:tc>
        <w:tc>
          <w:tcPr>
            <w:tcW w:w="563"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p>
        </w:tc>
        <w:tc>
          <w:tcPr>
            <w:tcW w:w="75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6</w:t>
            </w:r>
            <w:r>
              <w:rPr>
                <w:rFonts w:cs="Times New Roman"/>
                <w:bCs/>
                <w:sz w:val="18"/>
                <w:szCs w:val="18"/>
              </w:rPr>
              <w:t>栋</w:t>
            </w:r>
            <w:r>
              <w:rPr>
                <w:rFonts w:cs="Times New Roman"/>
                <w:bCs/>
                <w:sz w:val="18"/>
                <w:szCs w:val="18"/>
              </w:rPr>
              <w:t>1485</w:t>
            </w:r>
            <w:r>
              <w:rPr>
                <w:rFonts w:cs="Times New Roman"/>
                <w:bCs/>
                <w:sz w:val="18"/>
                <w:szCs w:val="18"/>
              </w:rPr>
              <w:t>人</w:t>
            </w:r>
          </w:p>
        </w:tc>
        <w:tc>
          <w:tcPr>
            <w:tcW w:w="596" w:type="pct"/>
            <w:vAlign w:val="center"/>
          </w:tcPr>
          <w:p w:rsidR="00A46452" w:rsidRDefault="009A3928">
            <w:pPr>
              <w:wordWrap w:val="0"/>
              <w:topLinePunct/>
              <w:adjustRightInd w:val="0"/>
              <w:snapToGrid w:val="0"/>
              <w:spacing w:line="240" w:lineRule="auto"/>
              <w:ind w:firstLineChars="0" w:firstLine="0"/>
              <w:rPr>
                <w:rFonts w:cs="Times New Roman"/>
                <w:bCs/>
                <w:sz w:val="18"/>
                <w:szCs w:val="18"/>
              </w:rPr>
            </w:pPr>
            <w:r>
              <w:rPr>
                <w:rFonts w:cs="Times New Roman"/>
                <w:sz w:val="18"/>
                <w:szCs w:val="18"/>
              </w:rPr>
              <w:t>路线为</w:t>
            </w:r>
            <w:r>
              <w:rPr>
                <w:rFonts w:cs="Times New Roman"/>
                <w:sz w:val="18"/>
                <w:szCs w:val="18"/>
              </w:rPr>
              <w:t>改扩建路段</w:t>
            </w:r>
            <w:r>
              <w:rPr>
                <w:rFonts w:cs="Times New Roman"/>
                <w:sz w:val="18"/>
                <w:szCs w:val="18"/>
              </w:rPr>
              <w:t>，地形平坦，房屋为</w:t>
            </w:r>
            <w:r>
              <w:rPr>
                <w:rFonts w:cs="Times New Roman"/>
                <w:sz w:val="18"/>
                <w:szCs w:val="18"/>
              </w:rPr>
              <w:t>楼房</w:t>
            </w:r>
            <w:r>
              <w:rPr>
                <w:rFonts w:cs="Times New Roman"/>
                <w:sz w:val="18"/>
                <w:szCs w:val="18"/>
              </w:rPr>
              <w:t>，面朝公路，周围</w:t>
            </w:r>
            <w:r>
              <w:rPr>
                <w:rFonts w:cs="Times New Roman"/>
                <w:sz w:val="18"/>
                <w:szCs w:val="18"/>
              </w:rPr>
              <w:t>设有绿化带，</w:t>
            </w:r>
            <w:r>
              <w:rPr>
                <w:rFonts w:cs="Times New Roman"/>
                <w:sz w:val="18"/>
                <w:szCs w:val="18"/>
              </w:rPr>
              <w:t>树种主要为杨树等</w:t>
            </w:r>
          </w:p>
        </w:tc>
      </w:tr>
      <w:tr w:rsidR="00A46452">
        <w:trPr>
          <w:trHeight w:val="2790"/>
          <w:jc w:val="center"/>
        </w:trPr>
        <w:tc>
          <w:tcPr>
            <w:tcW w:w="21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p>
        </w:tc>
        <w:tc>
          <w:tcPr>
            <w:tcW w:w="32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柯坪县</w:t>
            </w:r>
          </w:p>
        </w:tc>
        <w:tc>
          <w:tcPr>
            <w:tcW w:w="410"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hint="eastAsia"/>
                <w:bCs/>
                <w:sz w:val="18"/>
                <w:szCs w:val="18"/>
              </w:rPr>
              <w:t>幸福佳园一期</w:t>
            </w:r>
          </w:p>
        </w:tc>
        <w:tc>
          <w:tcPr>
            <w:tcW w:w="769"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K</w:t>
            </w:r>
            <w:r>
              <w:rPr>
                <w:rFonts w:cs="Times New Roman"/>
                <w:bCs/>
                <w:sz w:val="18"/>
                <w:szCs w:val="18"/>
              </w:rPr>
              <w:t>105</w:t>
            </w:r>
            <w:r>
              <w:rPr>
                <w:rFonts w:cs="Times New Roman"/>
                <w:bCs/>
                <w:sz w:val="18"/>
                <w:szCs w:val="18"/>
              </w:rPr>
              <w:t>+</w:t>
            </w:r>
            <w:r>
              <w:rPr>
                <w:rFonts w:cs="Times New Roman"/>
                <w:bCs/>
                <w:sz w:val="18"/>
                <w:szCs w:val="18"/>
              </w:rPr>
              <w:t>02</w:t>
            </w:r>
            <w:r>
              <w:rPr>
                <w:rFonts w:cs="Times New Roman"/>
                <w:bCs/>
                <w:sz w:val="18"/>
                <w:szCs w:val="18"/>
              </w:rPr>
              <w:t>0-K1</w:t>
            </w:r>
            <w:r>
              <w:rPr>
                <w:rFonts w:cs="Times New Roman"/>
                <w:bCs/>
                <w:sz w:val="18"/>
                <w:szCs w:val="18"/>
              </w:rPr>
              <w:t>105</w:t>
            </w:r>
            <w:r>
              <w:rPr>
                <w:rFonts w:cs="Times New Roman"/>
                <w:bCs/>
                <w:sz w:val="18"/>
                <w:szCs w:val="18"/>
              </w:rPr>
              <w:t>+</w:t>
            </w:r>
            <w:r>
              <w:rPr>
                <w:rFonts w:cs="Times New Roman"/>
                <w:bCs/>
                <w:sz w:val="18"/>
                <w:szCs w:val="18"/>
              </w:rPr>
              <w:t>160</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左</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30</w:t>
            </w:r>
          </w:p>
        </w:tc>
        <w:tc>
          <w:tcPr>
            <w:tcW w:w="591"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24</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r>
              <w:rPr>
                <w:rFonts w:cs="Times New Roman"/>
                <w:bCs/>
                <w:sz w:val="18"/>
                <w:szCs w:val="18"/>
              </w:rPr>
              <w:t>类</w:t>
            </w:r>
          </w:p>
        </w:tc>
        <w:tc>
          <w:tcPr>
            <w:tcW w:w="563"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p>
        </w:tc>
        <w:tc>
          <w:tcPr>
            <w:tcW w:w="75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638</w:t>
            </w:r>
            <w:r>
              <w:rPr>
                <w:rFonts w:cs="Times New Roman"/>
                <w:bCs/>
                <w:sz w:val="18"/>
                <w:szCs w:val="18"/>
              </w:rPr>
              <w:t>户</w:t>
            </w:r>
            <w:r>
              <w:rPr>
                <w:rFonts w:cs="Times New Roman"/>
                <w:bCs/>
                <w:sz w:val="18"/>
                <w:szCs w:val="18"/>
              </w:rPr>
              <w:t>/</w:t>
            </w:r>
            <w:r>
              <w:rPr>
                <w:rFonts w:cs="Times New Roman"/>
                <w:bCs/>
                <w:sz w:val="18"/>
                <w:szCs w:val="18"/>
              </w:rPr>
              <w:t>2339</w:t>
            </w:r>
            <w:r>
              <w:rPr>
                <w:rFonts w:cs="Times New Roman"/>
                <w:bCs/>
                <w:sz w:val="18"/>
                <w:szCs w:val="18"/>
              </w:rPr>
              <w:t>人</w:t>
            </w:r>
          </w:p>
        </w:tc>
        <w:tc>
          <w:tcPr>
            <w:tcW w:w="596" w:type="pct"/>
            <w:vAlign w:val="center"/>
          </w:tcPr>
          <w:p w:rsidR="00A46452" w:rsidRDefault="009A3928">
            <w:pPr>
              <w:wordWrap w:val="0"/>
              <w:topLinePunct/>
              <w:adjustRightInd w:val="0"/>
              <w:snapToGrid w:val="0"/>
              <w:spacing w:line="240" w:lineRule="auto"/>
              <w:ind w:firstLineChars="0" w:firstLine="0"/>
              <w:rPr>
                <w:rFonts w:cs="Times New Roman"/>
                <w:bCs/>
                <w:sz w:val="18"/>
                <w:szCs w:val="18"/>
              </w:rPr>
            </w:pPr>
            <w:r>
              <w:rPr>
                <w:rFonts w:cs="Times New Roman"/>
                <w:sz w:val="18"/>
                <w:szCs w:val="18"/>
              </w:rPr>
              <w:t>路线为</w:t>
            </w:r>
            <w:r>
              <w:rPr>
                <w:rFonts w:cs="Times New Roman"/>
                <w:sz w:val="18"/>
                <w:szCs w:val="18"/>
              </w:rPr>
              <w:t>改扩建路段</w:t>
            </w:r>
            <w:r>
              <w:rPr>
                <w:rFonts w:cs="Times New Roman"/>
                <w:sz w:val="18"/>
                <w:szCs w:val="18"/>
              </w:rPr>
              <w:t>，地形平坦，房屋为</w:t>
            </w:r>
            <w:r>
              <w:rPr>
                <w:rFonts w:cs="Times New Roman"/>
                <w:sz w:val="18"/>
                <w:szCs w:val="18"/>
              </w:rPr>
              <w:t>楼房</w:t>
            </w:r>
            <w:r>
              <w:rPr>
                <w:rFonts w:cs="Times New Roman"/>
                <w:sz w:val="18"/>
                <w:szCs w:val="18"/>
              </w:rPr>
              <w:t>，面朝公路，周围</w:t>
            </w:r>
            <w:r>
              <w:rPr>
                <w:rFonts w:cs="Times New Roman"/>
                <w:sz w:val="18"/>
                <w:szCs w:val="18"/>
              </w:rPr>
              <w:t>设有绿化带，</w:t>
            </w:r>
            <w:r>
              <w:rPr>
                <w:rFonts w:cs="Times New Roman"/>
                <w:sz w:val="18"/>
                <w:szCs w:val="18"/>
              </w:rPr>
              <w:t>树种主要为杨树等</w:t>
            </w:r>
            <w:r>
              <w:rPr>
                <w:rFonts w:cs="Times New Roman"/>
                <w:sz w:val="18"/>
                <w:szCs w:val="18"/>
              </w:rPr>
              <w:t>。</w:t>
            </w:r>
          </w:p>
        </w:tc>
      </w:tr>
      <w:tr w:rsidR="00A46452">
        <w:trPr>
          <w:trHeight w:val="636"/>
          <w:jc w:val="center"/>
        </w:trPr>
        <w:tc>
          <w:tcPr>
            <w:tcW w:w="21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3</w:t>
            </w:r>
          </w:p>
        </w:tc>
        <w:tc>
          <w:tcPr>
            <w:tcW w:w="32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柯坪县</w:t>
            </w:r>
          </w:p>
        </w:tc>
        <w:tc>
          <w:tcPr>
            <w:tcW w:w="410"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玉尔其乡</w:t>
            </w:r>
          </w:p>
        </w:tc>
        <w:tc>
          <w:tcPr>
            <w:tcW w:w="769"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K</w:t>
            </w:r>
            <w:r>
              <w:rPr>
                <w:rFonts w:cs="Times New Roman"/>
                <w:bCs/>
                <w:sz w:val="18"/>
                <w:szCs w:val="18"/>
              </w:rPr>
              <w:t>106</w:t>
            </w:r>
            <w:r>
              <w:rPr>
                <w:rFonts w:cs="Times New Roman"/>
                <w:bCs/>
                <w:sz w:val="18"/>
                <w:szCs w:val="18"/>
              </w:rPr>
              <w:t>+</w:t>
            </w:r>
            <w:r>
              <w:rPr>
                <w:rFonts w:cs="Times New Roman"/>
                <w:bCs/>
                <w:sz w:val="18"/>
                <w:szCs w:val="18"/>
              </w:rPr>
              <w:t>64</w:t>
            </w:r>
            <w:r>
              <w:rPr>
                <w:rFonts w:cs="Times New Roman"/>
                <w:bCs/>
                <w:sz w:val="18"/>
                <w:szCs w:val="18"/>
              </w:rPr>
              <w:t>0-K</w:t>
            </w:r>
            <w:r>
              <w:rPr>
                <w:rFonts w:cs="Times New Roman"/>
                <w:bCs/>
                <w:sz w:val="18"/>
                <w:szCs w:val="18"/>
              </w:rPr>
              <w:t>106</w:t>
            </w:r>
            <w:r>
              <w:rPr>
                <w:rFonts w:cs="Times New Roman"/>
                <w:bCs/>
                <w:sz w:val="18"/>
                <w:szCs w:val="18"/>
              </w:rPr>
              <w:t>+</w:t>
            </w:r>
            <w:r>
              <w:rPr>
                <w:rFonts w:cs="Times New Roman"/>
                <w:bCs/>
                <w:sz w:val="18"/>
                <w:szCs w:val="18"/>
              </w:rPr>
              <w:t>980</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右侧</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55</w:t>
            </w:r>
          </w:p>
        </w:tc>
        <w:tc>
          <w:tcPr>
            <w:tcW w:w="591"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51</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r>
              <w:rPr>
                <w:rFonts w:cs="Times New Roman"/>
                <w:bCs/>
                <w:sz w:val="18"/>
                <w:szCs w:val="18"/>
              </w:rPr>
              <w:t>类</w:t>
            </w:r>
          </w:p>
        </w:tc>
        <w:tc>
          <w:tcPr>
            <w:tcW w:w="563" w:type="pct"/>
            <w:tcBorders>
              <w:right w:val="single" w:sz="6"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p>
        </w:tc>
        <w:tc>
          <w:tcPr>
            <w:tcW w:w="756" w:type="pct"/>
            <w:tcBorders>
              <w:left w:val="single" w:sz="6"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p>
        </w:tc>
        <w:tc>
          <w:tcPr>
            <w:tcW w:w="596" w:type="pct"/>
            <w:vAlign w:val="center"/>
          </w:tcPr>
          <w:p w:rsidR="00A46452" w:rsidRDefault="009A3928">
            <w:pPr>
              <w:wordWrap w:val="0"/>
              <w:topLinePunct/>
              <w:adjustRightInd w:val="0"/>
              <w:snapToGrid w:val="0"/>
              <w:spacing w:line="240" w:lineRule="auto"/>
              <w:ind w:firstLineChars="0" w:firstLine="0"/>
              <w:rPr>
                <w:rFonts w:cs="Times New Roman"/>
                <w:bCs/>
                <w:sz w:val="18"/>
                <w:szCs w:val="18"/>
              </w:rPr>
            </w:pPr>
            <w:r>
              <w:rPr>
                <w:rFonts w:cs="Times New Roman"/>
                <w:sz w:val="18"/>
                <w:szCs w:val="18"/>
              </w:rPr>
              <w:t>路线为</w:t>
            </w:r>
            <w:r>
              <w:rPr>
                <w:rFonts w:cs="Times New Roman"/>
                <w:sz w:val="18"/>
                <w:szCs w:val="18"/>
              </w:rPr>
              <w:t>改扩建路段</w:t>
            </w:r>
            <w:r>
              <w:rPr>
                <w:rFonts w:cs="Times New Roman"/>
                <w:sz w:val="18"/>
                <w:szCs w:val="18"/>
              </w:rPr>
              <w:t>，地形平坦，房屋为</w:t>
            </w:r>
            <w:r>
              <w:rPr>
                <w:rFonts w:cs="Times New Roman"/>
                <w:sz w:val="18"/>
                <w:szCs w:val="18"/>
              </w:rPr>
              <w:t>平房</w:t>
            </w:r>
            <w:r>
              <w:rPr>
                <w:rFonts w:cs="Times New Roman"/>
                <w:sz w:val="18"/>
                <w:szCs w:val="18"/>
              </w:rPr>
              <w:t>，面朝公路，周围</w:t>
            </w:r>
            <w:r>
              <w:rPr>
                <w:rFonts w:cs="Times New Roman"/>
                <w:sz w:val="18"/>
                <w:szCs w:val="18"/>
              </w:rPr>
              <w:t>设有绿化带，</w:t>
            </w:r>
            <w:r>
              <w:rPr>
                <w:rFonts w:cs="Times New Roman"/>
                <w:sz w:val="18"/>
                <w:szCs w:val="18"/>
              </w:rPr>
              <w:t>树种主要为杨树等</w:t>
            </w:r>
            <w:r>
              <w:rPr>
                <w:rFonts w:cs="Times New Roman"/>
                <w:sz w:val="18"/>
                <w:szCs w:val="18"/>
              </w:rPr>
              <w:t>。</w:t>
            </w:r>
          </w:p>
        </w:tc>
      </w:tr>
      <w:tr w:rsidR="00A46452">
        <w:trPr>
          <w:trHeight w:val="636"/>
          <w:jc w:val="center"/>
        </w:trPr>
        <w:tc>
          <w:tcPr>
            <w:tcW w:w="21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4</w:t>
            </w:r>
          </w:p>
        </w:tc>
        <w:tc>
          <w:tcPr>
            <w:tcW w:w="324"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柯坪县</w:t>
            </w:r>
          </w:p>
        </w:tc>
        <w:tc>
          <w:tcPr>
            <w:tcW w:w="410"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玉尔其乡</w:t>
            </w:r>
          </w:p>
        </w:tc>
        <w:tc>
          <w:tcPr>
            <w:tcW w:w="769"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K</w:t>
            </w:r>
            <w:r>
              <w:rPr>
                <w:rFonts w:cs="Times New Roman"/>
                <w:bCs/>
                <w:sz w:val="18"/>
                <w:szCs w:val="18"/>
              </w:rPr>
              <w:t>107</w:t>
            </w:r>
            <w:r>
              <w:rPr>
                <w:rFonts w:cs="Times New Roman"/>
                <w:bCs/>
                <w:sz w:val="18"/>
                <w:szCs w:val="18"/>
              </w:rPr>
              <w:t>+</w:t>
            </w:r>
            <w:r>
              <w:rPr>
                <w:rFonts w:cs="Times New Roman"/>
                <w:bCs/>
                <w:sz w:val="18"/>
                <w:szCs w:val="18"/>
              </w:rPr>
              <w:t>12</w:t>
            </w:r>
            <w:r>
              <w:rPr>
                <w:rFonts w:cs="Times New Roman"/>
                <w:bCs/>
                <w:sz w:val="18"/>
                <w:szCs w:val="18"/>
              </w:rPr>
              <w:t>0-K</w:t>
            </w:r>
            <w:r>
              <w:rPr>
                <w:rFonts w:cs="Times New Roman"/>
                <w:bCs/>
                <w:sz w:val="18"/>
                <w:szCs w:val="18"/>
              </w:rPr>
              <w:t>107</w:t>
            </w:r>
            <w:r>
              <w:rPr>
                <w:rFonts w:cs="Times New Roman"/>
                <w:bCs/>
                <w:sz w:val="18"/>
                <w:szCs w:val="18"/>
              </w:rPr>
              <w:t>+</w:t>
            </w:r>
            <w:r>
              <w:rPr>
                <w:rFonts w:cs="Times New Roman"/>
                <w:bCs/>
                <w:sz w:val="18"/>
                <w:szCs w:val="18"/>
              </w:rPr>
              <w:t>160</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右侧</w:t>
            </w:r>
          </w:p>
        </w:tc>
        <w:tc>
          <w:tcPr>
            <w:tcW w:w="386"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73</w:t>
            </w:r>
          </w:p>
        </w:tc>
        <w:tc>
          <w:tcPr>
            <w:tcW w:w="591" w:type="pct"/>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69</w:t>
            </w:r>
          </w:p>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2</w:t>
            </w:r>
            <w:r>
              <w:rPr>
                <w:rFonts w:cs="Times New Roman"/>
                <w:bCs/>
                <w:sz w:val="18"/>
                <w:szCs w:val="18"/>
              </w:rPr>
              <w:t>类</w:t>
            </w:r>
          </w:p>
        </w:tc>
        <w:tc>
          <w:tcPr>
            <w:tcW w:w="563" w:type="pct"/>
            <w:tcBorders>
              <w:bottom w:val="single" w:sz="12" w:space="0" w:color="auto"/>
              <w:right w:val="single" w:sz="6" w:space="0" w:color="000000"/>
            </w:tcBorders>
            <w:vAlign w:val="center"/>
          </w:tcPr>
          <w:p w:rsidR="00A46452" w:rsidRDefault="00A46452">
            <w:pPr>
              <w:wordWrap w:val="0"/>
              <w:topLinePunct/>
              <w:adjustRightInd w:val="0"/>
              <w:snapToGrid w:val="0"/>
              <w:spacing w:line="240" w:lineRule="auto"/>
              <w:ind w:firstLineChars="0" w:firstLine="0"/>
              <w:jc w:val="center"/>
              <w:rPr>
                <w:rFonts w:cs="Times New Roman"/>
                <w:bCs/>
                <w:sz w:val="18"/>
                <w:szCs w:val="18"/>
              </w:rPr>
            </w:pPr>
          </w:p>
        </w:tc>
        <w:tc>
          <w:tcPr>
            <w:tcW w:w="756" w:type="pct"/>
            <w:tcBorders>
              <w:left w:val="single" w:sz="6" w:space="0" w:color="000000"/>
              <w:bottom w:val="single" w:sz="12" w:space="0" w:color="auto"/>
            </w:tcBorders>
            <w:vAlign w:val="center"/>
          </w:tcPr>
          <w:p w:rsidR="00A46452" w:rsidRDefault="009A3928">
            <w:pPr>
              <w:wordWrap w:val="0"/>
              <w:topLinePunct/>
              <w:adjustRightInd w:val="0"/>
              <w:snapToGrid w:val="0"/>
              <w:spacing w:line="240" w:lineRule="auto"/>
              <w:ind w:firstLineChars="0" w:firstLine="0"/>
              <w:jc w:val="center"/>
              <w:rPr>
                <w:rFonts w:cs="Times New Roman"/>
                <w:bCs/>
                <w:sz w:val="18"/>
                <w:szCs w:val="18"/>
              </w:rPr>
            </w:pPr>
            <w:r>
              <w:rPr>
                <w:rFonts w:cs="Times New Roman"/>
                <w:bCs/>
                <w:sz w:val="18"/>
                <w:szCs w:val="18"/>
              </w:rPr>
              <w:t>/</w:t>
            </w:r>
          </w:p>
        </w:tc>
        <w:tc>
          <w:tcPr>
            <w:tcW w:w="596" w:type="pct"/>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路线为</w:t>
            </w:r>
            <w:r>
              <w:rPr>
                <w:rFonts w:cs="Times New Roman"/>
                <w:sz w:val="18"/>
                <w:szCs w:val="18"/>
              </w:rPr>
              <w:t>改扩建路段</w:t>
            </w:r>
            <w:r>
              <w:rPr>
                <w:rFonts w:cs="Times New Roman"/>
                <w:sz w:val="18"/>
                <w:szCs w:val="18"/>
              </w:rPr>
              <w:t>，地形平坦，房屋为</w:t>
            </w:r>
            <w:r>
              <w:rPr>
                <w:rFonts w:cs="Times New Roman"/>
                <w:sz w:val="18"/>
                <w:szCs w:val="18"/>
              </w:rPr>
              <w:t>平房</w:t>
            </w:r>
            <w:r>
              <w:rPr>
                <w:rFonts w:cs="Times New Roman"/>
                <w:sz w:val="18"/>
                <w:szCs w:val="18"/>
              </w:rPr>
              <w:t>，面朝公路，周围</w:t>
            </w:r>
            <w:r>
              <w:rPr>
                <w:rFonts w:cs="Times New Roman"/>
                <w:sz w:val="18"/>
                <w:szCs w:val="18"/>
              </w:rPr>
              <w:t>设有绿化带，</w:t>
            </w:r>
            <w:r>
              <w:rPr>
                <w:rFonts w:cs="Times New Roman"/>
                <w:sz w:val="18"/>
                <w:szCs w:val="18"/>
              </w:rPr>
              <w:t>树种主要为杨树等</w:t>
            </w:r>
            <w:r>
              <w:rPr>
                <w:rFonts w:cs="Times New Roman"/>
                <w:sz w:val="18"/>
                <w:szCs w:val="18"/>
              </w:rPr>
              <w:t>。</w:t>
            </w:r>
          </w:p>
        </w:tc>
      </w:tr>
    </w:tbl>
    <w:p w:rsidR="00A46452" w:rsidRDefault="00A46452">
      <w:pPr>
        <w:wordWrap w:val="0"/>
        <w:topLinePunct/>
        <w:adjustRightInd w:val="0"/>
        <w:snapToGrid w:val="0"/>
        <w:ind w:firstLine="480"/>
        <w:rPr>
          <w:rFonts w:cs="Times New Roman"/>
        </w:rPr>
      </w:pPr>
    </w:p>
    <w:p w:rsidR="00A46452" w:rsidRDefault="00A46452">
      <w:pPr>
        <w:wordWrap w:val="0"/>
        <w:topLinePunct/>
        <w:adjustRightInd w:val="0"/>
        <w:snapToGrid w:val="0"/>
        <w:ind w:firstLine="480"/>
        <w:rPr>
          <w:rFonts w:cs="Times New Roman"/>
        </w:rPr>
        <w:sectPr w:rsidR="00A46452">
          <w:pgSz w:w="16840" w:h="11907" w:orient="landscape"/>
          <w:pgMar w:top="1797" w:right="1440" w:bottom="1797" w:left="1440" w:header="851" w:footer="992" w:gutter="0"/>
          <w:cols w:space="720"/>
          <w:docGrid w:linePitch="326"/>
        </w:sectPr>
      </w:pP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2.7.3</w:t>
      </w:r>
      <w:r>
        <w:rPr>
          <w:rFonts w:cs="Times New Roman" w:hint="default"/>
          <w:sz w:val="28"/>
          <w:szCs w:val="28"/>
        </w:rPr>
        <w:t>水环境保护目</w:t>
      </w:r>
      <w:bookmarkStart w:id="198" w:name="_Toc458525535"/>
      <w:bookmarkStart w:id="199" w:name="_Toc471983180"/>
      <w:bookmarkStart w:id="200" w:name="_Toc423429071"/>
      <w:bookmarkStart w:id="201" w:name="_Toc471981487"/>
      <w:bookmarkStart w:id="202" w:name="_Toc469140810"/>
      <w:bookmarkStart w:id="203" w:name="_Toc486841838"/>
      <w:bookmarkStart w:id="204" w:name="_Toc482003723"/>
      <w:bookmarkStart w:id="205" w:name="_Toc493587496"/>
      <w:r>
        <w:rPr>
          <w:rFonts w:cs="Times New Roman" w:hint="default"/>
          <w:sz w:val="28"/>
          <w:szCs w:val="28"/>
        </w:rPr>
        <w:t>标</w:t>
      </w:r>
      <w:bookmarkEnd w:id="198"/>
      <w:bookmarkEnd w:id="199"/>
      <w:bookmarkEnd w:id="200"/>
      <w:bookmarkEnd w:id="201"/>
      <w:bookmarkEnd w:id="202"/>
      <w:bookmarkEnd w:id="203"/>
      <w:bookmarkEnd w:id="204"/>
      <w:bookmarkEnd w:id="205"/>
    </w:p>
    <w:p w:rsidR="00A46452" w:rsidRDefault="009A3928">
      <w:pPr>
        <w:wordWrap w:val="0"/>
        <w:topLinePunct/>
        <w:adjustRightInd w:val="0"/>
        <w:snapToGrid w:val="0"/>
        <w:ind w:firstLine="480"/>
        <w:rPr>
          <w:rFonts w:cs="Times New Roman"/>
        </w:rPr>
      </w:pPr>
      <w:r>
        <w:rPr>
          <w:rFonts w:cs="Times New Roman"/>
        </w:rPr>
        <w:t>本项目路线跨越了</w:t>
      </w:r>
      <w:r>
        <w:rPr>
          <w:rFonts w:cs="Times New Roman"/>
        </w:rPr>
        <w:t>突来买提</w:t>
      </w:r>
      <w:r>
        <w:rPr>
          <w:rFonts w:cs="Times New Roman"/>
        </w:rPr>
        <w:t>河</w:t>
      </w:r>
      <w:r>
        <w:rPr>
          <w:rFonts w:cs="Times New Roman"/>
        </w:rPr>
        <w:t>、喀什噶尔河</w:t>
      </w:r>
      <w:r>
        <w:rPr>
          <w:rFonts w:cs="Times New Roman"/>
        </w:rPr>
        <w:t>、柯坪河及苏贝希沟</w:t>
      </w:r>
      <w:r>
        <w:rPr>
          <w:rFonts w:cs="Times New Roman"/>
        </w:rPr>
        <w:t>-</w:t>
      </w:r>
      <w:r>
        <w:rPr>
          <w:rFonts w:cs="Times New Roman"/>
        </w:rPr>
        <w:t>加依洛萨依河，</w:t>
      </w:r>
      <w:r>
        <w:rPr>
          <w:rFonts w:cs="Times New Roman"/>
          <w:bCs/>
        </w:rPr>
        <w:t>沿线跨越的灌渠有</w:t>
      </w:r>
      <w:r>
        <w:rPr>
          <w:rFonts w:cs="Times New Roman"/>
          <w:bCs/>
        </w:rPr>
        <w:t>50</w:t>
      </w:r>
      <w:r>
        <w:rPr>
          <w:rFonts w:cs="Times New Roman"/>
          <w:bCs/>
        </w:rPr>
        <w:t>团四干渠</w:t>
      </w:r>
      <w:r>
        <w:rPr>
          <w:rFonts w:cs="Times New Roman"/>
          <w:bCs/>
        </w:rPr>
        <w:t>、</w:t>
      </w:r>
      <w:r>
        <w:rPr>
          <w:rFonts w:cs="Times New Roman"/>
          <w:bCs/>
        </w:rPr>
        <w:t>六支干渠</w:t>
      </w:r>
      <w:r>
        <w:rPr>
          <w:rFonts w:cs="Times New Roman"/>
        </w:rPr>
        <w:t>。</w:t>
      </w:r>
    </w:p>
    <w:p w:rsidR="00A46452" w:rsidRDefault="009A3928">
      <w:pPr>
        <w:wordWrap w:val="0"/>
        <w:topLinePunct/>
        <w:adjustRightInd w:val="0"/>
        <w:snapToGrid w:val="0"/>
        <w:ind w:firstLine="480"/>
        <w:rPr>
          <w:rFonts w:cs="Times New Roman"/>
        </w:rPr>
      </w:pPr>
      <w:r>
        <w:rPr>
          <w:rFonts w:cs="Times New Roman"/>
        </w:rPr>
        <w:t>项目</w:t>
      </w:r>
      <w:r>
        <w:rPr>
          <w:rFonts w:cs="Times New Roman"/>
        </w:rPr>
        <w:t>施工期</w:t>
      </w:r>
      <w:r>
        <w:rPr>
          <w:rFonts w:cs="Times New Roman"/>
        </w:rPr>
        <w:t>主要是</w:t>
      </w:r>
      <w:r>
        <w:rPr>
          <w:rFonts w:cs="Times New Roman"/>
        </w:rPr>
        <w:t>施工扰动对水质的影响，营运期</w:t>
      </w:r>
      <w:r>
        <w:rPr>
          <w:rFonts w:cs="Times New Roman"/>
        </w:rPr>
        <w:t>是</w:t>
      </w:r>
      <w:r>
        <w:rPr>
          <w:rFonts w:cs="Times New Roman"/>
        </w:rPr>
        <w:t>风险事故下危化品泄漏对水质的影响</w:t>
      </w:r>
      <w:r>
        <w:rPr>
          <w:rFonts w:cs="Times New Roman"/>
        </w:rPr>
        <w:t>。</w:t>
      </w:r>
    </w:p>
    <w:p w:rsidR="00A46452" w:rsidRDefault="009A3928">
      <w:pPr>
        <w:wordWrap w:val="0"/>
        <w:topLinePunct/>
        <w:adjustRightInd w:val="0"/>
        <w:snapToGrid w:val="0"/>
        <w:ind w:firstLine="480"/>
        <w:rPr>
          <w:rFonts w:cs="Times New Roman"/>
        </w:rPr>
      </w:pPr>
      <w:r>
        <w:rPr>
          <w:rFonts w:cs="Times New Roman"/>
        </w:rPr>
        <w:t>沿线地表水环境保护目标具体见表</w:t>
      </w:r>
      <w:r>
        <w:rPr>
          <w:rFonts w:cs="Times New Roman"/>
        </w:rPr>
        <w:t>2.</w:t>
      </w:r>
      <w:r>
        <w:rPr>
          <w:rFonts w:cs="Times New Roman"/>
        </w:rPr>
        <w:t>7</w:t>
      </w:r>
      <w:r>
        <w:rPr>
          <w:rFonts w:cs="Times New Roman"/>
        </w:rPr>
        <w:t>-</w:t>
      </w:r>
      <w:r>
        <w:rPr>
          <w:rFonts w:cs="Times New Roman"/>
        </w:rPr>
        <w:t>4</w:t>
      </w:r>
      <w:r>
        <w:rPr>
          <w:rFonts w:cs="Times New Roman"/>
        </w:rPr>
        <w:t>，</w:t>
      </w:r>
      <w:r>
        <w:rPr>
          <w:rFonts w:cs="Times New Roman"/>
          <w:bCs/>
        </w:rPr>
        <w:t>分布见图</w:t>
      </w:r>
      <w:r>
        <w:rPr>
          <w:rFonts w:cs="Times New Roman"/>
          <w:bCs/>
        </w:rPr>
        <w:t>2.</w:t>
      </w:r>
      <w:r>
        <w:rPr>
          <w:rFonts w:cs="Times New Roman"/>
          <w:bCs/>
        </w:rPr>
        <w:t>7</w:t>
      </w:r>
      <w:r>
        <w:rPr>
          <w:rFonts w:cs="Times New Roman"/>
          <w:bCs/>
        </w:rPr>
        <w:t>-</w:t>
      </w:r>
      <w:r>
        <w:rPr>
          <w:rFonts w:cs="Times New Roman"/>
          <w:bCs/>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2.</w:t>
      </w:r>
      <w:r>
        <w:rPr>
          <w:rFonts w:eastAsia="黑体" w:cs="Times New Roman"/>
        </w:rPr>
        <w:t>7</w:t>
      </w:r>
      <w:r>
        <w:rPr>
          <w:rFonts w:eastAsia="黑体" w:cs="Times New Roman"/>
        </w:rPr>
        <w:t>-</w:t>
      </w:r>
      <w:r>
        <w:rPr>
          <w:rFonts w:eastAsia="黑体" w:cs="Times New Roman"/>
        </w:rPr>
        <w:t xml:space="preserve">4                        </w:t>
      </w:r>
      <w:r>
        <w:rPr>
          <w:rFonts w:eastAsia="黑体" w:cs="Times New Roman"/>
        </w:rPr>
        <w:t>项目水环境保护目标</w:t>
      </w:r>
    </w:p>
    <w:tbl>
      <w:tblPr>
        <w:tblW w:w="50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02"/>
        <w:gridCol w:w="446"/>
        <w:gridCol w:w="873"/>
        <w:gridCol w:w="465"/>
        <w:gridCol w:w="572"/>
        <w:gridCol w:w="696"/>
        <w:gridCol w:w="946"/>
        <w:gridCol w:w="814"/>
        <w:gridCol w:w="1587"/>
        <w:gridCol w:w="1587"/>
      </w:tblGrid>
      <w:tr w:rsidR="00A46452">
        <w:trPr>
          <w:cantSplit/>
          <w:tblHeader/>
        </w:trPr>
        <w:tc>
          <w:tcPr>
            <w:tcW w:w="239"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序号</w:t>
            </w:r>
          </w:p>
        </w:tc>
        <w:tc>
          <w:tcPr>
            <w:tcW w:w="26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类别</w:t>
            </w:r>
          </w:p>
        </w:tc>
        <w:tc>
          <w:tcPr>
            <w:tcW w:w="520"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水体</w:t>
            </w:r>
          </w:p>
        </w:tc>
        <w:tc>
          <w:tcPr>
            <w:tcW w:w="277"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功能</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区划</w:t>
            </w:r>
          </w:p>
        </w:tc>
        <w:tc>
          <w:tcPr>
            <w:tcW w:w="341"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水体实际功能</w:t>
            </w:r>
          </w:p>
        </w:tc>
        <w:tc>
          <w:tcPr>
            <w:tcW w:w="41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水质</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类别</w:t>
            </w:r>
          </w:p>
        </w:tc>
        <w:tc>
          <w:tcPr>
            <w:tcW w:w="564"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中心桩号</w:t>
            </w:r>
          </w:p>
        </w:tc>
        <w:tc>
          <w:tcPr>
            <w:tcW w:w="48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桥名</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环境特征</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hint="eastAsia"/>
                <w:kern w:val="0"/>
                <w:sz w:val="18"/>
                <w:szCs w:val="18"/>
              </w:rPr>
              <w:t>备注</w:t>
            </w:r>
          </w:p>
        </w:tc>
      </w:tr>
      <w:tr w:rsidR="00A46452">
        <w:trPr>
          <w:cantSplit/>
          <w:trHeight w:val="650"/>
        </w:trPr>
        <w:tc>
          <w:tcPr>
            <w:tcW w:w="239"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w:t>
            </w:r>
          </w:p>
        </w:tc>
        <w:tc>
          <w:tcPr>
            <w:tcW w:w="265"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河流</w:t>
            </w:r>
          </w:p>
        </w:tc>
        <w:tc>
          <w:tcPr>
            <w:tcW w:w="520"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突来买提河</w:t>
            </w:r>
          </w:p>
        </w:tc>
        <w:tc>
          <w:tcPr>
            <w:tcW w:w="277"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灌溉</w:t>
            </w:r>
          </w:p>
        </w:tc>
        <w:tc>
          <w:tcPr>
            <w:tcW w:w="341"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农业用水</w:t>
            </w:r>
          </w:p>
        </w:tc>
        <w:tc>
          <w:tcPr>
            <w:tcW w:w="41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Ⅲ</w:t>
            </w:r>
            <w:r>
              <w:rPr>
                <w:rFonts w:cs="Times New Roman"/>
                <w:kern w:val="0"/>
                <w:sz w:val="18"/>
                <w:szCs w:val="18"/>
              </w:rPr>
              <w:t>类</w:t>
            </w:r>
          </w:p>
        </w:tc>
        <w:tc>
          <w:tcPr>
            <w:tcW w:w="564" w:type="pct"/>
            <w:vAlign w:val="center"/>
          </w:tcPr>
          <w:p w:rsidR="00A46452" w:rsidRDefault="009A3928">
            <w:pPr>
              <w:widowControl/>
              <w:spacing w:line="240" w:lineRule="auto"/>
              <w:ind w:firstLineChars="0" w:firstLine="0"/>
              <w:jc w:val="left"/>
              <w:rPr>
                <w:rFonts w:cs="Times New Roman"/>
                <w:sz w:val="18"/>
                <w:szCs w:val="18"/>
              </w:rPr>
            </w:pPr>
            <w:r>
              <w:rPr>
                <w:rFonts w:cs="Times New Roman"/>
                <w:kern w:val="0"/>
                <w:sz w:val="18"/>
                <w:szCs w:val="18"/>
                <w:lang w:bidi="ar"/>
              </w:rPr>
              <w:t>K22+480.00</w:t>
            </w:r>
          </w:p>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485" w:type="pct"/>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rPr>
              <w:t>跨越</w:t>
            </w:r>
            <w:r>
              <w:rPr>
                <w:rFonts w:cs="Times New Roman"/>
                <w:kern w:val="0"/>
                <w:sz w:val="18"/>
                <w:szCs w:val="18"/>
              </w:rPr>
              <w:t>1</w:t>
            </w:r>
            <w:r>
              <w:rPr>
                <w:rFonts w:cs="Times New Roman"/>
                <w:kern w:val="0"/>
                <w:sz w:val="18"/>
                <w:szCs w:val="18"/>
              </w:rPr>
              <w:t>次</w:t>
            </w:r>
            <w:r>
              <w:rPr>
                <w:rFonts w:cs="Times New Roman"/>
                <w:kern w:val="0"/>
                <w:sz w:val="18"/>
                <w:szCs w:val="18"/>
              </w:rPr>
              <w:t>，</w:t>
            </w:r>
            <w:r>
              <w:rPr>
                <w:rFonts w:cs="Times New Roman"/>
                <w:kern w:val="0"/>
                <w:sz w:val="18"/>
                <w:szCs w:val="18"/>
                <w:lang w:bidi="ar"/>
              </w:rPr>
              <w:t>突来买提河中桥</w:t>
            </w:r>
          </w:p>
        </w:tc>
        <w:tc>
          <w:tcPr>
            <w:tcW w:w="945" w:type="pc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丰水期为</w:t>
            </w:r>
            <w:r>
              <w:rPr>
                <w:rFonts w:cs="Times New Roman"/>
                <w:kern w:val="0"/>
                <w:sz w:val="18"/>
                <w:szCs w:val="18"/>
              </w:rPr>
              <w:t>7</w:t>
            </w:r>
            <w:r>
              <w:rPr>
                <w:rFonts w:cs="Times New Roman"/>
                <w:kern w:val="0"/>
                <w:sz w:val="18"/>
                <w:szCs w:val="18"/>
              </w:rPr>
              <w:t>月</w:t>
            </w:r>
            <w:r>
              <w:rPr>
                <w:rFonts w:cs="Times New Roman"/>
                <w:kern w:val="0"/>
                <w:sz w:val="18"/>
                <w:szCs w:val="18"/>
              </w:rPr>
              <w:t>-9</w:t>
            </w:r>
            <w:r>
              <w:rPr>
                <w:rFonts w:cs="Times New Roman"/>
                <w:kern w:val="0"/>
                <w:sz w:val="18"/>
                <w:szCs w:val="18"/>
              </w:rPr>
              <w:t>月，枯水期</w:t>
            </w:r>
            <w:r>
              <w:rPr>
                <w:rFonts w:cs="Times New Roman"/>
                <w:kern w:val="0"/>
                <w:sz w:val="18"/>
                <w:szCs w:val="18"/>
              </w:rPr>
              <w:t>10</w:t>
            </w:r>
            <w:r>
              <w:rPr>
                <w:rFonts w:cs="Times New Roman"/>
                <w:kern w:val="0"/>
                <w:sz w:val="18"/>
                <w:szCs w:val="18"/>
              </w:rPr>
              <w:t>月至次年</w:t>
            </w:r>
            <w:r>
              <w:rPr>
                <w:rFonts w:cs="Times New Roman"/>
                <w:kern w:val="0"/>
                <w:sz w:val="18"/>
                <w:szCs w:val="18"/>
              </w:rPr>
              <w:t>6</w:t>
            </w:r>
            <w:r>
              <w:rPr>
                <w:rFonts w:cs="Times New Roman"/>
                <w:kern w:val="0"/>
                <w:sz w:val="18"/>
                <w:szCs w:val="18"/>
              </w:rPr>
              <w:t>月。</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cantSplit/>
          <w:trHeight w:val="976"/>
        </w:trPr>
        <w:tc>
          <w:tcPr>
            <w:tcW w:w="239"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喀什噶尔河</w:t>
            </w:r>
          </w:p>
        </w:tc>
        <w:tc>
          <w:tcPr>
            <w:tcW w:w="277"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灌溉</w:t>
            </w:r>
          </w:p>
        </w:tc>
        <w:tc>
          <w:tcPr>
            <w:tcW w:w="341"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农业用水</w:t>
            </w:r>
          </w:p>
        </w:tc>
        <w:tc>
          <w:tcPr>
            <w:tcW w:w="415"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Ⅲ</w:t>
            </w:r>
            <w:r>
              <w:rPr>
                <w:rFonts w:cs="Times New Roman"/>
                <w:kern w:val="0"/>
                <w:sz w:val="18"/>
                <w:szCs w:val="18"/>
              </w:rPr>
              <w:t>类</w:t>
            </w:r>
          </w:p>
        </w:tc>
        <w:tc>
          <w:tcPr>
            <w:tcW w:w="564" w:type="pct"/>
            <w:tcBorders>
              <w:bottom w:val="single" w:sz="2" w:space="0" w:color="000000"/>
            </w:tcBorders>
            <w:vAlign w:val="center"/>
          </w:tcPr>
          <w:p w:rsidR="00A46452" w:rsidRDefault="009A3928">
            <w:pPr>
              <w:wordWrap w:val="0"/>
              <w:topLinePunct/>
              <w:spacing w:line="240" w:lineRule="auto"/>
              <w:ind w:firstLineChars="0" w:firstLine="0"/>
              <w:jc w:val="center"/>
              <w:rPr>
                <w:rFonts w:cs="Times New Roman"/>
                <w:kern w:val="0"/>
                <w:sz w:val="18"/>
                <w:szCs w:val="18"/>
              </w:rPr>
            </w:pPr>
            <w:r>
              <w:rPr>
                <w:rFonts w:cs="Times New Roman"/>
                <w:kern w:val="0"/>
                <w:sz w:val="18"/>
                <w:szCs w:val="18"/>
                <w:lang w:bidi="ar"/>
              </w:rPr>
              <w:t>K28+020.800</w:t>
            </w:r>
          </w:p>
        </w:tc>
        <w:tc>
          <w:tcPr>
            <w:tcW w:w="485" w:type="pct"/>
            <w:tcBorders>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rPr>
              <w:t>跨越</w:t>
            </w:r>
            <w:r>
              <w:rPr>
                <w:rFonts w:cs="Times New Roman"/>
                <w:kern w:val="0"/>
                <w:sz w:val="18"/>
                <w:szCs w:val="18"/>
              </w:rPr>
              <w:t>2</w:t>
            </w:r>
            <w:r>
              <w:rPr>
                <w:rFonts w:cs="Times New Roman"/>
                <w:kern w:val="0"/>
                <w:sz w:val="18"/>
                <w:szCs w:val="18"/>
              </w:rPr>
              <w:t>次</w:t>
            </w:r>
            <w:r>
              <w:rPr>
                <w:rFonts w:cs="Times New Roman"/>
                <w:kern w:val="0"/>
                <w:sz w:val="18"/>
                <w:szCs w:val="18"/>
              </w:rPr>
              <w:t>，喀什噶尔河</w:t>
            </w:r>
            <w:r>
              <w:rPr>
                <w:rFonts w:cs="Times New Roman"/>
                <w:kern w:val="0"/>
                <w:sz w:val="18"/>
                <w:szCs w:val="18"/>
                <w:lang w:bidi="ar"/>
              </w:rPr>
              <w:t>一号中桥</w:t>
            </w:r>
          </w:p>
        </w:tc>
        <w:tc>
          <w:tcPr>
            <w:tcW w:w="945"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每年</w:t>
            </w:r>
            <w:r>
              <w:rPr>
                <w:rFonts w:cs="Times New Roman"/>
                <w:kern w:val="0"/>
                <w:sz w:val="18"/>
                <w:szCs w:val="18"/>
              </w:rPr>
              <w:t>5</w:t>
            </w:r>
            <w:r>
              <w:rPr>
                <w:rFonts w:cs="Times New Roman"/>
                <w:kern w:val="0"/>
                <w:sz w:val="18"/>
                <w:szCs w:val="18"/>
              </w:rPr>
              <w:t>—</w:t>
            </w:r>
            <w:r>
              <w:rPr>
                <w:rFonts w:cs="Times New Roman"/>
                <w:kern w:val="0"/>
                <w:sz w:val="18"/>
                <w:szCs w:val="18"/>
              </w:rPr>
              <w:t>9</w:t>
            </w:r>
            <w:r>
              <w:rPr>
                <w:rFonts w:cs="Times New Roman"/>
                <w:kern w:val="0"/>
                <w:sz w:val="18"/>
                <w:szCs w:val="18"/>
              </w:rPr>
              <w:t>月为洪水期，</w:t>
            </w:r>
            <w:r>
              <w:rPr>
                <w:rFonts w:cs="Times New Roman"/>
                <w:kern w:val="0"/>
                <w:sz w:val="18"/>
                <w:szCs w:val="18"/>
              </w:rPr>
              <w:t>12</w:t>
            </w:r>
            <w:r>
              <w:rPr>
                <w:rFonts w:cs="Times New Roman"/>
                <w:kern w:val="0"/>
                <w:sz w:val="18"/>
                <w:szCs w:val="18"/>
              </w:rPr>
              <w:t>月至次年</w:t>
            </w:r>
            <w:r>
              <w:rPr>
                <w:rFonts w:cs="Times New Roman"/>
                <w:kern w:val="0"/>
                <w:sz w:val="18"/>
                <w:szCs w:val="18"/>
              </w:rPr>
              <w:t>2</w:t>
            </w:r>
            <w:r>
              <w:rPr>
                <w:rFonts w:cs="Times New Roman"/>
                <w:kern w:val="0"/>
                <w:sz w:val="18"/>
                <w:szCs w:val="18"/>
              </w:rPr>
              <w:t>月为枯水期。老河道作为叶尔羌河溢洪道应用，桥位河道上游来水仅当上游水库流量非常大的情况下才会采用溢洪道，此溢洪道</w:t>
            </w:r>
            <w:r>
              <w:rPr>
                <w:rFonts w:cs="Times New Roman"/>
                <w:kern w:val="0"/>
                <w:sz w:val="18"/>
                <w:szCs w:val="18"/>
              </w:rPr>
              <w:t>已</w:t>
            </w:r>
            <w:r>
              <w:rPr>
                <w:rFonts w:cs="Times New Roman"/>
                <w:kern w:val="0"/>
                <w:sz w:val="18"/>
                <w:szCs w:val="18"/>
              </w:rPr>
              <w:t>多年未采用。</w:t>
            </w:r>
          </w:p>
        </w:tc>
        <w:tc>
          <w:tcPr>
            <w:tcW w:w="945" w:type="pct"/>
            <w:vAlign w:val="center"/>
          </w:tcPr>
          <w:p w:rsidR="00A46452" w:rsidRDefault="009A3928">
            <w:pPr>
              <w:wordWrap w:val="0"/>
              <w:topLinePunct/>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2</w:t>
            </w:r>
            <w:r>
              <w:rPr>
                <w:rFonts w:cs="Times New Roman"/>
                <w:snapToGrid w:val="0"/>
                <w:kern w:val="0"/>
                <w:sz w:val="18"/>
                <w:szCs w:val="18"/>
              </w:rPr>
              <w:t>个桥墩</w:t>
            </w:r>
          </w:p>
        </w:tc>
      </w:tr>
      <w:tr w:rsidR="00A46452">
        <w:trPr>
          <w:cantSplit/>
          <w:trHeight w:val="701"/>
        </w:trPr>
        <w:tc>
          <w:tcPr>
            <w:tcW w:w="239"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K30+</w:t>
            </w:r>
            <w:r>
              <w:rPr>
                <w:rFonts w:cs="Times New Roman"/>
                <w:kern w:val="0"/>
                <w:sz w:val="18"/>
                <w:szCs w:val="18"/>
                <w:lang w:bidi="ar"/>
              </w:rPr>
              <w:t>522</w:t>
            </w:r>
            <w:r>
              <w:rPr>
                <w:rFonts w:cs="Times New Roman"/>
                <w:kern w:val="0"/>
                <w:sz w:val="18"/>
                <w:szCs w:val="18"/>
                <w:lang w:bidi="ar"/>
              </w:rPr>
              <w:t>.00</w:t>
            </w:r>
          </w:p>
        </w:tc>
        <w:tc>
          <w:tcPr>
            <w:tcW w:w="485" w:type="pct"/>
            <w:tcBorders>
              <w:top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喀什噶尔河</w:t>
            </w:r>
            <w:r>
              <w:rPr>
                <w:rFonts w:cs="Times New Roman"/>
                <w:kern w:val="0"/>
                <w:sz w:val="18"/>
                <w:szCs w:val="18"/>
                <w:lang w:bidi="ar"/>
              </w:rPr>
              <w:t>二号中桥</w:t>
            </w:r>
          </w:p>
        </w:tc>
        <w:tc>
          <w:tcPr>
            <w:tcW w:w="945"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945" w:type="pct"/>
            <w:vAlign w:val="center"/>
          </w:tcPr>
          <w:p w:rsidR="00A46452" w:rsidRDefault="009A3928">
            <w:pPr>
              <w:wordWrap w:val="0"/>
              <w:topLinePunct/>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2</w:t>
            </w:r>
            <w:r>
              <w:rPr>
                <w:rFonts w:cs="Times New Roman"/>
                <w:snapToGrid w:val="0"/>
                <w:kern w:val="0"/>
                <w:sz w:val="18"/>
                <w:szCs w:val="18"/>
              </w:rPr>
              <w:t>个桥墩</w:t>
            </w:r>
          </w:p>
        </w:tc>
      </w:tr>
      <w:tr w:rsidR="00A46452">
        <w:trPr>
          <w:cantSplit/>
          <w:trHeight w:val="472"/>
        </w:trPr>
        <w:tc>
          <w:tcPr>
            <w:tcW w:w="239"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3</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苏贝希沟</w:t>
            </w:r>
            <w:r>
              <w:rPr>
                <w:rFonts w:cs="Times New Roman"/>
                <w:kern w:val="0"/>
                <w:sz w:val="18"/>
                <w:szCs w:val="18"/>
                <w:lang w:bidi="ar"/>
              </w:rPr>
              <w:t>-</w:t>
            </w:r>
          </w:p>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加依洛萨依</w:t>
            </w:r>
          </w:p>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河</w:t>
            </w:r>
          </w:p>
        </w:tc>
        <w:tc>
          <w:tcPr>
            <w:tcW w:w="277"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灌溉</w:t>
            </w:r>
          </w:p>
        </w:tc>
        <w:tc>
          <w:tcPr>
            <w:tcW w:w="341"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农业用水</w:t>
            </w:r>
          </w:p>
        </w:tc>
        <w:tc>
          <w:tcPr>
            <w:tcW w:w="415"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tcBorders>
              <w:bottom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K81+114.000</w:t>
            </w:r>
          </w:p>
        </w:tc>
        <w:tc>
          <w:tcPr>
            <w:tcW w:w="485" w:type="pct"/>
            <w:tcBorders>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跨越</w:t>
            </w:r>
            <w:r>
              <w:rPr>
                <w:rFonts w:cs="Times New Roman"/>
                <w:kern w:val="0"/>
                <w:sz w:val="18"/>
                <w:szCs w:val="18"/>
                <w:lang w:bidi="ar"/>
              </w:rPr>
              <w:t>2</w:t>
            </w:r>
            <w:r>
              <w:rPr>
                <w:rFonts w:cs="Times New Roman"/>
                <w:kern w:val="0"/>
                <w:sz w:val="18"/>
                <w:szCs w:val="18"/>
                <w:lang w:bidi="ar"/>
              </w:rPr>
              <w:t>次，苏贝希沟</w:t>
            </w:r>
            <w:r>
              <w:rPr>
                <w:rFonts w:cs="Times New Roman"/>
                <w:kern w:val="0"/>
                <w:sz w:val="18"/>
                <w:szCs w:val="18"/>
                <w:lang w:bidi="ar"/>
              </w:rPr>
              <w:t>-</w:t>
            </w:r>
            <w:r>
              <w:rPr>
                <w:rFonts w:cs="Times New Roman"/>
                <w:kern w:val="0"/>
                <w:sz w:val="18"/>
                <w:szCs w:val="18"/>
                <w:lang w:bidi="ar"/>
              </w:rPr>
              <w:t>加依洛萨依河一号大桥</w:t>
            </w:r>
          </w:p>
        </w:tc>
        <w:tc>
          <w:tcPr>
            <w:tcW w:w="945"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河流径流量季节分配悬殊，洪水期集中为</w:t>
            </w:r>
            <w:r>
              <w:rPr>
                <w:rFonts w:cs="Times New Roman"/>
                <w:kern w:val="0"/>
                <w:sz w:val="18"/>
                <w:szCs w:val="18"/>
              </w:rPr>
              <w:t>6</w:t>
            </w:r>
            <w:r>
              <w:rPr>
                <w:rFonts w:cs="Times New Roman"/>
                <w:kern w:val="0"/>
                <w:sz w:val="18"/>
                <w:szCs w:val="18"/>
              </w:rPr>
              <w:t>～</w:t>
            </w:r>
            <w:r>
              <w:rPr>
                <w:rFonts w:cs="Times New Roman"/>
                <w:kern w:val="0"/>
                <w:sz w:val="18"/>
                <w:szCs w:val="18"/>
              </w:rPr>
              <w:t>8</w:t>
            </w:r>
            <w:r>
              <w:rPr>
                <w:rFonts w:cs="Times New Roman"/>
                <w:kern w:val="0"/>
                <w:sz w:val="18"/>
                <w:szCs w:val="18"/>
              </w:rPr>
              <w:t>月。</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设置</w:t>
            </w:r>
            <w:r>
              <w:rPr>
                <w:rFonts w:cs="Times New Roman"/>
                <w:kern w:val="0"/>
                <w:sz w:val="18"/>
                <w:szCs w:val="18"/>
                <w:lang w:bidi="ar"/>
              </w:rPr>
              <w:t>5</w:t>
            </w:r>
            <w:r>
              <w:rPr>
                <w:rFonts w:cs="Times New Roman"/>
                <w:kern w:val="0"/>
                <w:sz w:val="18"/>
                <w:szCs w:val="18"/>
                <w:lang w:bidi="ar"/>
              </w:rPr>
              <w:t>个桥墩</w:t>
            </w:r>
          </w:p>
        </w:tc>
      </w:tr>
      <w:tr w:rsidR="00A46452">
        <w:trPr>
          <w:cantSplit/>
          <w:trHeight w:val="304"/>
        </w:trPr>
        <w:tc>
          <w:tcPr>
            <w:tcW w:w="239"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K8</w:t>
            </w:r>
            <w:r>
              <w:rPr>
                <w:rFonts w:cs="Times New Roman"/>
                <w:kern w:val="0"/>
                <w:sz w:val="18"/>
                <w:szCs w:val="18"/>
                <w:lang w:bidi="ar"/>
              </w:rPr>
              <w:t>5</w:t>
            </w:r>
            <w:r>
              <w:rPr>
                <w:rFonts w:cs="Times New Roman"/>
                <w:kern w:val="0"/>
                <w:sz w:val="18"/>
                <w:szCs w:val="18"/>
                <w:lang w:bidi="ar"/>
              </w:rPr>
              <w:t>+</w:t>
            </w:r>
            <w:r>
              <w:rPr>
                <w:rFonts w:cs="Times New Roman"/>
                <w:kern w:val="0"/>
                <w:sz w:val="18"/>
                <w:szCs w:val="18"/>
                <w:lang w:bidi="ar"/>
              </w:rPr>
              <w:t>032</w:t>
            </w:r>
            <w:r>
              <w:rPr>
                <w:rFonts w:cs="Times New Roman"/>
                <w:kern w:val="0"/>
                <w:sz w:val="18"/>
                <w:szCs w:val="18"/>
                <w:lang w:bidi="ar"/>
              </w:rPr>
              <w:t>.00</w:t>
            </w:r>
          </w:p>
        </w:tc>
        <w:tc>
          <w:tcPr>
            <w:tcW w:w="485" w:type="pct"/>
            <w:tcBorders>
              <w:top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加依洛萨依河二号大桥</w:t>
            </w:r>
          </w:p>
        </w:tc>
        <w:tc>
          <w:tcPr>
            <w:tcW w:w="945"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设置</w:t>
            </w:r>
            <w:r>
              <w:rPr>
                <w:rFonts w:cs="Times New Roman"/>
                <w:kern w:val="0"/>
                <w:sz w:val="18"/>
                <w:szCs w:val="18"/>
                <w:lang w:bidi="ar"/>
              </w:rPr>
              <w:t>7</w:t>
            </w:r>
            <w:r>
              <w:rPr>
                <w:rFonts w:cs="Times New Roman"/>
                <w:kern w:val="0"/>
                <w:sz w:val="18"/>
                <w:szCs w:val="18"/>
                <w:lang w:bidi="ar"/>
              </w:rPr>
              <w:t>个桥墩</w:t>
            </w:r>
          </w:p>
        </w:tc>
      </w:tr>
      <w:tr w:rsidR="00A46452">
        <w:trPr>
          <w:cantSplit/>
          <w:trHeight w:val="263"/>
        </w:trPr>
        <w:tc>
          <w:tcPr>
            <w:tcW w:w="239"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4</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柯坪</w:t>
            </w:r>
            <w:r>
              <w:rPr>
                <w:rFonts w:cs="Times New Roman"/>
                <w:kern w:val="0"/>
                <w:sz w:val="18"/>
                <w:szCs w:val="18"/>
                <w:lang w:bidi="ar"/>
              </w:rPr>
              <w:t>河</w:t>
            </w:r>
          </w:p>
        </w:tc>
        <w:tc>
          <w:tcPr>
            <w:tcW w:w="277"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灌溉</w:t>
            </w:r>
          </w:p>
        </w:tc>
        <w:tc>
          <w:tcPr>
            <w:tcW w:w="341"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农业用水</w:t>
            </w:r>
          </w:p>
        </w:tc>
        <w:tc>
          <w:tcPr>
            <w:tcW w:w="415"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tcBorders>
              <w:bottom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K8</w:t>
            </w:r>
            <w:r>
              <w:rPr>
                <w:rFonts w:cs="Times New Roman"/>
                <w:kern w:val="0"/>
                <w:sz w:val="18"/>
                <w:szCs w:val="18"/>
                <w:lang w:bidi="ar"/>
              </w:rPr>
              <w:t>4</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00.00</w:t>
            </w:r>
          </w:p>
        </w:tc>
        <w:tc>
          <w:tcPr>
            <w:tcW w:w="485" w:type="pct"/>
            <w:tcBorders>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跨越</w:t>
            </w:r>
            <w:r>
              <w:rPr>
                <w:rFonts w:cs="Times New Roman"/>
                <w:kern w:val="0"/>
                <w:sz w:val="18"/>
                <w:szCs w:val="18"/>
                <w:lang w:bidi="ar"/>
              </w:rPr>
              <w:t>4</w:t>
            </w:r>
            <w:r>
              <w:rPr>
                <w:rFonts w:cs="Times New Roman"/>
                <w:kern w:val="0"/>
                <w:sz w:val="18"/>
                <w:szCs w:val="18"/>
                <w:lang w:bidi="ar"/>
              </w:rPr>
              <w:t>次，柯坪一号小桥</w:t>
            </w:r>
          </w:p>
        </w:tc>
        <w:tc>
          <w:tcPr>
            <w:tcW w:w="945"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三处跨越处河宽分别约</w:t>
            </w:r>
            <w:r>
              <w:rPr>
                <w:rFonts w:cs="Times New Roman"/>
                <w:kern w:val="0"/>
                <w:sz w:val="18"/>
                <w:szCs w:val="18"/>
              </w:rPr>
              <w:t>135</w:t>
            </w:r>
            <w:r>
              <w:rPr>
                <w:rFonts w:cs="Times New Roman"/>
                <w:kern w:val="0"/>
                <w:sz w:val="18"/>
                <w:szCs w:val="18"/>
              </w:rPr>
              <w:t>m</w:t>
            </w:r>
            <w:r>
              <w:rPr>
                <w:rFonts w:cs="Times New Roman"/>
                <w:kern w:val="0"/>
                <w:sz w:val="18"/>
                <w:szCs w:val="18"/>
              </w:rPr>
              <w:t>、</w:t>
            </w:r>
            <w:r>
              <w:rPr>
                <w:rFonts w:cs="Times New Roman"/>
                <w:kern w:val="0"/>
                <w:sz w:val="18"/>
                <w:szCs w:val="18"/>
              </w:rPr>
              <w:t>178</w:t>
            </w:r>
            <w:r>
              <w:rPr>
                <w:rFonts w:cs="Times New Roman"/>
                <w:kern w:val="0"/>
                <w:sz w:val="18"/>
                <w:szCs w:val="18"/>
              </w:rPr>
              <w:t>m</w:t>
            </w:r>
            <w:r>
              <w:rPr>
                <w:rFonts w:cs="Times New Roman"/>
                <w:kern w:val="0"/>
                <w:sz w:val="18"/>
                <w:szCs w:val="18"/>
              </w:rPr>
              <w:t>、</w:t>
            </w:r>
            <w:r>
              <w:rPr>
                <w:rFonts w:cs="Times New Roman"/>
                <w:kern w:val="0"/>
                <w:sz w:val="18"/>
                <w:szCs w:val="18"/>
              </w:rPr>
              <w:t>152</w:t>
            </w:r>
            <w:r>
              <w:rPr>
                <w:rFonts w:cs="Times New Roman"/>
                <w:kern w:val="0"/>
                <w:sz w:val="18"/>
                <w:szCs w:val="18"/>
              </w:rPr>
              <w:t>m</w:t>
            </w:r>
            <w:r>
              <w:rPr>
                <w:rFonts w:cs="Times New Roman"/>
                <w:kern w:val="0"/>
                <w:sz w:val="18"/>
                <w:szCs w:val="18"/>
              </w:rPr>
              <w:t>。</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w:t>
            </w:r>
          </w:p>
        </w:tc>
      </w:tr>
      <w:tr w:rsidR="00A46452">
        <w:trPr>
          <w:cantSplit/>
          <w:trHeight w:val="285"/>
        </w:trPr>
        <w:tc>
          <w:tcPr>
            <w:tcW w:w="239"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bottom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K8</w:t>
            </w:r>
            <w:r>
              <w:rPr>
                <w:rFonts w:cs="Times New Roman"/>
                <w:kern w:val="0"/>
                <w:sz w:val="18"/>
                <w:szCs w:val="18"/>
                <w:lang w:bidi="ar"/>
              </w:rPr>
              <w:t>9</w:t>
            </w:r>
            <w:r>
              <w:rPr>
                <w:rFonts w:cs="Times New Roman"/>
                <w:kern w:val="0"/>
                <w:sz w:val="18"/>
                <w:szCs w:val="18"/>
                <w:lang w:bidi="ar"/>
              </w:rPr>
              <w:t>+</w:t>
            </w:r>
            <w:r>
              <w:rPr>
                <w:rFonts w:cs="Times New Roman"/>
                <w:kern w:val="0"/>
                <w:sz w:val="18"/>
                <w:szCs w:val="18"/>
                <w:lang w:bidi="ar"/>
              </w:rPr>
              <w:t>329</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00</w:t>
            </w:r>
          </w:p>
        </w:tc>
        <w:tc>
          <w:tcPr>
            <w:tcW w:w="485" w:type="pct"/>
            <w:tcBorders>
              <w:top w:val="single" w:sz="2" w:space="0" w:color="000000"/>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柯坪二号小桥</w:t>
            </w:r>
          </w:p>
        </w:tc>
        <w:tc>
          <w:tcPr>
            <w:tcW w:w="945"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w:t>
            </w:r>
          </w:p>
        </w:tc>
      </w:tr>
      <w:tr w:rsidR="00A46452">
        <w:trPr>
          <w:cantSplit/>
          <w:trHeight w:val="144"/>
        </w:trPr>
        <w:tc>
          <w:tcPr>
            <w:tcW w:w="239"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bottom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K</w:t>
            </w:r>
            <w:r>
              <w:rPr>
                <w:rFonts w:cs="Times New Roman"/>
                <w:kern w:val="0"/>
                <w:sz w:val="18"/>
                <w:szCs w:val="18"/>
                <w:lang w:bidi="ar"/>
              </w:rPr>
              <w:t>9</w:t>
            </w:r>
            <w:r>
              <w:rPr>
                <w:rFonts w:cs="Times New Roman"/>
                <w:kern w:val="0"/>
                <w:sz w:val="18"/>
                <w:szCs w:val="18"/>
                <w:lang w:bidi="ar"/>
              </w:rPr>
              <w:t>0+</w:t>
            </w:r>
            <w:r>
              <w:rPr>
                <w:rFonts w:cs="Times New Roman"/>
                <w:kern w:val="0"/>
                <w:sz w:val="18"/>
                <w:szCs w:val="18"/>
                <w:lang w:bidi="ar"/>
              </w:rPr>
              <w:t>066</w:t>
            </w:r>
            <w:r>
              <w:rPr>
                <w:rFonts w:cs="Times New Roman"/>
                <w:kern w:val="0"/>
                <w:sz w:val="18"/>
                <w:szCs w:val="18"/>
                <w:lang w:bidi="ar"/>
              </w:rPr>
              <w:t>.00</w:t>
            </w:r>
          </w:p>
        </w:tc>
        <w:tc>
          <w:tcPr>
            <w:tcW w:w="485" w:type="pct"/>
            <w:tcBorders>
              <w:top w:val="single" w:sz="2" w:space="0" w:color="000000"/>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柯坪三号小桥</w:t>
            </w:r>
          </w:p>
        </w:tc>
        <w:tc>
          <w:tcPr>
            <w:tcW w:w="945"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cantSplit/>
          <w:trHeight w:val="77"/>
        </w:trPr>
        <w:tc>
          <w:tcPr>
            <w:tcW w:w="239"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tcBorders>
              <w:bottom w:val="single" w:sz="4" w:space="0" w:color="auto"/>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K100+343.80</w:t>
            </w:r>
          </w:p>
        </w:tc>
        <w:tc>
          <w:tcPr>
            <w:tcW w:w="485" w:type="pct"/>
            <w:tcBorders>
              <w:top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rPr>
            </w:pPr>
            <w:r>
              <w:rPr>
                <w:rFonts w:cs="Times New Roman"/>
                <w:kern w:val="0"/>
                <w:sz w:val="18"/>
                <w:szCs w:val="18"/>
                <w:lang w:bidi="ar"/>
              </w:rPr>
              <w:t>柯坪河大桥</w:t>
            </w:r>
          </w:p>
        </w:tc>
        <w:tc>
          <w:tcPr>
            <w:tcW w:w="945" w:type="pct"/>
            <w:vMerge/>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w:t>
            </w:r>
          </w:p>
        </w:tc>
      </w:tr>
      <w:tr w:rsidR="00A46452">
        <w:trPr>
          <w:cantSplit/>
          <w:trHeight w:val="566"/>
        </w:trPr>
        <w:tc>
          <w:tcPr>
            <w:tcW w:w="239" w:type="pct"/>
            <w:tcBorders>
              <w:top w:val="single" w:sz="4" w:space="0" w:color="auto"/>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5</w:t>
            </w:r>
          </w:p>
        </w:tc>
        <w:tc>
          <w:tcPr>
            <w:tcW w:w="265" w:type="pct"/>
            <w:vMerge w:val="restart"/>
            <w:tcBorders>
              <w:top w:val="single" w:sz="4" w:space="0" w:color="auto"/>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干渠</w:t>
            </w:r>
          </w:p>
        </w:tc>
        <w:tc>
          <w:tcPr>
            <w:tcW w:w="520" w:type="pct"/>
            <w:tcBorders>
              <w:top w:val="single" w:sz="4" w:space="0" w:color="auto"/>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五十</w:t>
            </w:r>
            <w:r>
              <w:rPr>
                <w:rFonts w:cs="Times New Roman"/>
                <w:kern w:val="0"/>
                <w:sz w:val="18"/>
                <w:szCs w:val="18"/>
                <w:lang w:bidi="ar"/>
              </w:rPr>
              <w:t>团四干渠</w:t>
            </w:r>
          </w:p>
        </w:tc>
        <w:tc>
          <w:tcPr>
            <w:tcW w:w="277" w:type="pct"/>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灌溉</w:t>
            </w:r>
          </w:p>
        </w:tc>
        <w:tc>
          <w:tcPr>
            <w:tcW w:w="341"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用水</w:t>
            </w:r>
          </w:p>
        </w:tc>
        <w:tc>
          <w:tcPr>
            <w:tcW w:w="41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K14+76</w:t>
            </w:r>
            <w:r>
              <w:rPr>
                <w:rFonts w:cs="Times New Roman"/>
                <w:kern w:val="0"/>
                <w:sz w:val="18"/>
                <w:szCs w:val="18"/>
                <w:lang w:bidi="ar"/>
              </w:rPr>
              <w:t>9</w:t>
            </w:r>
            <w:r>
              <w:rPr>
                <w:rFonts w:cs="Times New Roman"/>
                <w:kern w:val="0"/>
                <w:sz w:val="18"/>
                <w:szCs w:val="18"/>
                <w:lang w:bidi="ar"/>
              </w:rPr>
              <w:t>.</w:t>
            </w:r>
            <w:r>
              <w:rPr>
                <w:rFonts w:cs="Times New Roman"/>
                <w:kern w:val="0"/>
                <w:sz w:val="18"/>
                <w:szCs w:val="18"/>
                <w:lang w:bidi="ar"/>
              </w:rPr>
              <w:t>7</w:t>
            </w:r>
            <w:r>
              <w:rPr>
                <w:rFonts w:cs="Times New Roman"/>
                <w:kern w:val="0"/>
                <w:sz w:val="18"/>
                <w:szCs w:val="18"/>
                <w:lang w:bidi="ar"/>
              </w:rPr>
              <w:t>00</w:t>
            </w:r>
          </w:p>
        </w:tc>
        <w:tc>
          <w:tcPr>
            <w:tcW w:w="485" w:type="pct"/>
            <w:vAlign w:val="center"/>
          </w:tcPr>
          <w:p w:rsidR="00A46452" w:rsidRDefault="009A3928">
            <w:pPr>
              <w:widowControl/>
              <w:spacing w:line="240" w:lineRule="auto"/>
              <w:ind w:firstLineChars="0" w:firstLine="0"/>
              <w:jc w:val="left"/>
              <w:rPr>
                <w:rFonts w:cs="Times New Roman"/>
                <w:kern w:val="0"/>
                <w:sz w:val="18"/>
                <w:szCs w:val="18"/>
                <w:lang w:bidi="ar"/>
              </w:rPr>
            </w:pPr>
            <w:r>
              <w:rPr>
                <w:rFonts w:cs="Times New Roman"/>
                <w:kern w:val="0"/>
                <w:sz w:val="18"/>
                <w:szCs w:val="18"/>
                <w:lang w:bidi="ar"/>
              </w:rPr>
              <w:t>跨</w:t>
            </w:r>
            <w:r>
              <w:rPr>
                <w:rFonts w:cs="Times New Roman"/>
                <w:kern w:val="0"/>
                <w:sz w:val="18"/>
                <w:szCs w:val="18"/>
                <w:lang w:bidi="ar"/>
              </w:rPr>
              <w:t>越</w:t>
            </w:r>
            <w:r>
              <w:rPr>
                <w:rFonts w:cs="Times New Roman"/>
                <w:kern w:val="0"/>
                <w:sz w:val="18"/>
                <w:szCs w:val="18"/>
                <w:lang w:bidi="ar"/>
              </w:rPr>
              <w:t>1</w:t>
            </w:r>
            <w:r>
              <w:rPr>
                <w:rFonts w:cs="Times New Roman"/>
                <w:kern w:val="0"/>
                <w:sz w:val="18"/>
                <w:szCs w:val="18"/>
                <w:lang w:bidi="ar"/>
              </w:rPr>
              <w:t>次，五十团四干渠大桥</w:t>
            </w:r>
          </w:p>
        </w:tc>
        <w:tc>
          <w:tcPr>
            <w:tcW w:w="945" w:type="pc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灌溉工程，运行时间为每年</w:t>
            </w:r>
            <w:r>
              <w:rPr>
                <w:rFonts w:cs="Times New Roman"/>
                <w:kern w:val="0"/>
                <w:sz w:val="18"/>
                <w:szCs w:val="18"/>
              </w:rPr>
              <w:t>4-9</w:t>
            </w:r>
            <w:r>
              <w:rPr>
                <w:rFonts w:cs="Times New Roman"/>
                <w:kern w:val="0"/>
                <w:sz w:val="18"/>
                <w:szCs w:val="18"/>
              </w:rPr>
              <w:t>月，农业灌溉</w:t>
            </w:r>
            <w:r>
              <w:rPr>
                <w:rFonts w:cs="Times New Roman"/>
                <w:kern w:val="0"/>
                <w:sz w:val="18"/>
                <w:szCs w:val="18"/>
              </w:rPr>
              <w:t>。</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3</w:t>
            </w:r>
            <w:r>
              <w:rPr>
                <w:rFonts w:cs="Times New Roman"/>
                <w:snapToGrid w:val="0"/>
                <w:kern w:val="0"/>
                <w:sz w:val="18"/>
                <w:szCs w:val="18"/>
              </w:rPr>
              <w:t>个桥墩</w:t>
            </w:r>
          </w:p>
        </w:tc>
      </w:tr>
      <w:tr w:rsidR="00A46452">
        <w:trPr>
          <w:cantSplit/>
          <w:trHeight w:val="566"/>
        </w:trPr>
        <w:tc>
          <w:tcPr>
            <w:tcW w:w="239" w:type="pct"/>
            <w:tcBorders>
              <w:top w:val="single" w:sz="4" w:space="0" w:color="auto"/>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6</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中干渠</w:t>
            </w:r>
          </w:p>
        </w:tc>
        <w:tc>
          <w:tcPr>
            <w:tcW w:w="277" w:type="pct"/>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灌溉</w:t>
            </w:r>
          </w:p>
        </w:tc>
        <w:tc>
          <w:tcPr>
            <w:tcW w:w="341"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用水</w:t>
            </w:r>
          </w:p>
        </w:tc>
        <w:tc>
          <w:tcPr>
            <w:tcW w:w="41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K18+7</w:t>
            </w:r>
            <w:r>
              <w:rPr>
                <w:rFonts w:cs="Times New Roman"/>
                <w:kern w:val="0"/>
                <w:sz w:val="18"/>
                <w:szCs w:val="18"/>
                <w:lang w:bidi="ar"/>
              </w:rPr>
              <w:t>27</w:t>
            </w:r>
            <w:r>
              <w:rPr>
                <w:rFonts w:cs="Times New Roman"/>
                <w:kern w:val="0"/>
                <w:sz w:val="18"/>
                <w:szCs w:val="18"/>
                <w:lang w:bidi="ar"/>
              </w:rPr>
              <w:t>.</w:t>
            </w:r>
            <w:r>
              <w:rPr>
                <w:rFonts w:cs="Times New Roman"/>
                <w:kern w:val="0"/>
                <w:sz w:val="18"/>
                <w:szCs w:val="18"/>
                <w:lang w:bidi="ar"/>
              </w:rPr>
              <w:t>5</w:t>
            </w:r>
            <w:r>
              <w:rPr>
                <w:rFonts w:cs="Times New Roman"/>
                <w:kern w:val="0"/>
                <w:sz w:val="18"/>
                <w:szCs w:val="18"/>
                <w:lang w:bidi="ar"/>
              </w:rPr>
              <w:t>00</w:t>
            </w:r>
          </w:p>
        </w:tc>
        <w:tc>
          <w:tcPr>
            <w:tcW w:w="485" w:type="pct"/>
            <w:vAlign w:val="center"/>
          </w:tcPr>
          <w:p w:rsidR="00A46452" w:rsidRDefault="009A3928">
            <w:pPr>
              <w:widowControl/>
              <w:spacing w:line="240" w:lineRule="auto"/>
              <w:ind w:firstLineChars="0" w:firstLine="0"/>
              <w:jc w:val="left"/>
              <w:rPr>
                <w:rFonts w:cs="Times New Roman"/>
                <w:kern w:val="0"/>
                <w:sz w:val="18"/>
                <w:szCs w:val="18"/>
                <w:lang w:bidi="ar"/>
              </w:rPr>
            </w:pPr>
            <w:r>
              <w:rPr>
                <w:rFonts w:cs="Times New Roman"/>
                <w:kern w:val="0"/>
                <w:sz w:val="18"/>
                <w:szCs w:val="18"/>
                <w:lang w:bidi="ar"/>
              </w:rPr>
              <w:t>跨</w:t>
            </w:r>
            <w:r>
              <w:rPr>
                <w:rFonts w:cs="Times New Roman"/>
                <w:kern w:val="0"/>
                <w:sz w:val="18"/>
                <w:szCs w:val="18"/>
                <w:lang w:bidi="ar"/>
              </w:rPr>
              <w:t>越</w:t>
            </w:r>
            <w:r>
              <w:rPr>
                <w:rFonts w:cs="Times New Roman"/>
                <w:kern w:val="0"/>
                <w:sz w:val="18"/>
                <w:szCs w:val="18"/>
                <w:lang w:bidi="ar"/>
              </w:rPr>
              <w:t>1</w:t>
            </w:r>
            <w:r>
              <w:rPr>
                <w:rFonts w:cs="Times New Roman"/>
                <w:kern w:val="0"/>
                <w:sz w:val="18"/>
                <w:szCs w:val="18"/>
                <w:lang w:bidi="ar"/>
              </w:rPr>
              <w:t>次，中干渠小桥</w:t>
            </w:r>
          </w:p>
        </w:tc>
        <w:tc>
          <w:tcPr>
            <w:tcW w:w="945" w:type="pc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灌溉工程，运行时间为每年</w:t>
            </w:r>
            <w:r>
              <w:rPr>
                <w:rFonts w:cs="Times New Roman"/>
                <w:kern w:val="0"/>
                <w:sz w:val="18"/>
                <w:szCs w:val="18"/>
              </w:rPr>
              <w:t>4-9</w:t>
            </w:r>
            <w:r>
              <w:rPr>
                <w:rFonts w:cs="Times New Roman"/>
                <w:kern w:val="0"/>
                <w:sz w:val="18"/>
                <w:szCs w:val="18"/>
              </w:rPr>
              <w:t>月，农业灌溉</w:t>
            </w:r>
            <w:r>
              <w:rPr>
                <w:rFonts w:cs="Times New Roman"/>
                <w:kern w:val="0"/>
                <w:sz w:val="18"/>
                <w:szCs w:val="18"/>
              </w:rPr>
              <w:t>。</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cantSplit/>
          <w:trHeight w:val="554"/>
        </w:trPr>
        <w:tc>
          <w:tcPr>
            <w:tcW w:w="239"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7</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lang w:bidi="ar"/>
              </w:rPr>
              <w:t>六支干渠</w:t>
            </w:r>
          </w:p>
        </w:tc>
        <w:tc>
          <w:tcPr>
            <w:tcW w:w="277" w:type="pct"/>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灌溉</w:t>
            </w:r>
          </w:p>
        </w:tc>
        <w:tc>
          <w:tcPr>
            <w:tcW w:w="341"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用水</w:t>
            </w:r>
          </w:p>
        </w:tc>
        <w:tc>
          <w:tcPr>
            <w:tcW w:w="41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vAlign w:val="center"/>
          </w:tcPr>
          <w:p w:rsidR="00A46452" w:rsidRDefault="009A3928">
            <w:pPr>
              <w:wordWrap w:val="0"/>
              <w:topLinePunct/>
              <w:adjustRightInd w:val="0"/>
              <w:snapToGrid w:val="0"/>
              <w:spacing w:line="240" w:lineRule="auto"/>
              <w:ind w:firstLineChars="0" w:firstLine="0"/>
              <w:contextualSpacing/>
              <w:jc w:val="center"/>
              <w:rPr>
                <w:rFonts w:cs="Times New Roman"/>
                <w:sz w:val="18"/>
                <w:szCs w:val="18"/>
              </w:rPr>
            </w:pPr>
            <w:r>
              <w:rPr>
                <w:rFonts w:cs="Times New Roman"/>
                <w:kern w:val="0"/>
                <w:sz w:val="18"/>
                <w:szCs w:val="18"/>
                <w:lang w:bidi="ar"/>
              </w:rPr>
              <w:t>K23+</w:t>
            </w:r>
            <w:r>
              <w:rPr>
                <w:rFonts w:cs="Times New Roman"/>
                <w:kern w:val="0"/>
                <w:sz w:val="18"/>
                <w:szCs w:val="18"/>
                <w:lang w:bidi="ar"/>
              </w:rPr>
              <w:t>695</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00</w:t>
            </w:r>
          </w:p>
        </w:tc>
        <w:tc>
          <w:tcPr>
            <w:tcW w:w="485" w:type="pct"/>
            <w:vAlign w:val="center"/>
          </w:tcPr>
          <w:p w:rsidR="00A46452" w:rsidRDefault="009A3928">
            <w:pPr>
              <w:widowControl/>
              <w:spacing w:line="240" w:lineRule="auto"/>
              <w:ind w:firstLineChars="0" w:firstLine="0"/>
              <w:jc w:val="left"/>
              <w:rPr>
                <w:rFonts w:cs="Times New Roman"/>
                <w:kern w:val="0"/>
                <w:sz w:val="18"/>
                <w:szCs w:val="18"/>
                <w:lang w:bidi="ar"/>
              </w:rPr>
            </w:pPr>
            <w:r>
              <w:rPr>
                <w:rFonts w:cs="Times New Roman"/>
                <w:kern w:val="0"/>
                <w:sz w:val="18"/>
                <w:szCs w:val="18"/>
                <w:lang w:bidi="ar"/>
              </w:rPr>
              <w:t>跨</w:t>
            </w:r>
            <w:r>
              <w:rPr>
                <w:rFonts w:cs="Times New Roman"/>
                <w:kern w:val="0"/>
                <w:sz w:val="18"/>
                <w:szCs w:val="18"/>
                <w:lang w:bidi="ar"/>
              </w:rPr>
              <w:t>越</w:t>
            </w:r>
            <w:r>
              <w:rPr>
                <w:rFonts w:cs="Times New Roman"/>
                <w:kern w:val="0"/>
                <w:sz w:val="18"/>
                <w:szCs w:val="18"/>
                <w:lang w:bidi="ar"/>
              </w:rPr>
              <w:t>1</w:t>
            </w:r>
            <w:r>
              <w:rPr>
                <w:rFonts w:cs="Times New Roman"/>
                <w:kern w:val="0"/>
                <w:sz w:val="18"/>
                <w:szCs w:val="18"/>
                <w:lang w:bidi="ar"/>
              </w:rPr>
              <w:t>次，六支干渠中桥</w:t>
            </w:r>
          </w:p>
        </w:tc>
        <w:tc>
          <w:tcPr>
            <w:tcW w:w="945" w:type="pc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灌溉工程，运行时间为每年</w:t>
            </w:r>
            <w:r>
              <w:rPr>
                <w:rFonts w:cs="Times New Roman"/>
                <w:kern w:val="0"/>
                <w:sz w:val="18"/>
                <w:szCs w:val="18"/>
              </w:rPr>
              <w:t>4-9</w:t>
            </w:r>
            <w:r>
              <w:rPr>
                <w:rFonts w:cs="Times New Roman"/>
                <w:kern w:val="0"/>
                <w:sz w:val="18"/>
                <w:szCs w:val="18"/>
              </w:rPr>
              <w:t>月，农业灌溉</w:t>
            </w:r>
            <w:r>
              <w:rPr>
                <w:rFonts w:cs="Times New Roman"/>
                <w:kern w:val="0"/>
                <w:sz w:val="18"/>
                <w:szCs w:val="18"/>
              </w:rPr>
              <w:t>。</w:t>
            </w:r>
          </w:p>
        </w:tc>
        <w:tc>
          <w:tcPr>
            <w:tcW w:w="945" w:type="pc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w:t>
            </w:r>
          </w:p>
        </w:tc>
      </w:tr>
      <w:tr w:rsidR="00A46452">
        <w:trPr>
          <w:cantSplit/>
          <w:trHeight w:val="90"/>
        </w:trPr>
        <w:tc>
          <w:tcPr>
            <w:tcW w:w="239"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8</w:t>
            </w: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阿恰干渠</w:t>
            </w:r>
          </w:p>
        </w:tc>
        <w:tc>
          <w:tcPr>
            <w:tcW w:w="277"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灌溉</w:t>
            </w:r>
          </w:p>
        </w:tc>
        <w:tc>
          <w:tcPr>
            <w:tcW w:w="341"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农业</w:t>
            </w:r>
          </w:p>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用水</w:t>
            </w:r>
          </w:p>
        </w:tc>
        <w:tc>
          <w:tcPr>
            <w:tcW w:w="415" w:type="pct"/>
            <w:vMerge w:val="restart"/>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参照</w:t>
            </w:r>
            <w:r>
              <w:rPr>
                <w:rFonts w:cs="Times New Roman"/>
                <w:kern w:val="0"/>
                <w:sz w:val="18"/>
                <w:szCs w:val="18"/>
              </w:rPr>
              <w:t>Ⅲ</w:t>
            </w:r>
            <w:r>
              <w:rPr>
                <w:rFonts w:cs="Times New Roman"/>
                <w:kern w:val="0"/>
                <w:sz w:val="18"/>
                <w:szCs w:val="18"/>
              </w:rPr>
              <w:t>类</w:t>
            </w:r>
          </w:p>
        </w:tc>
        <w:tc>
          <w:tcPr>
            <w:tcW w:w="564" w:type="pct"/>
            <w:tcBorders>
              <w:bottom w:val="single" w:sz="2" w:space="0" w:color="000000"/>
            </w:tcBorders>
            <w:vAlign w:val="center"/>
          </w:tcPr>
          <w:p w:rsidR="00A46452" w:rsidRDefault="009A3928">
            <w:pPr>
              <w:wordWrap w:val="0"/>
              <w:topLinePunct/>
              <w:adjustRightInd w:val="0"/>
              <w:snapToGrid w:val="0"/>
              <w:spacing w:line="240" w:lineRule="auto"/>
              <w:ind w:firstLineChars="0" w:firstLine="0"/>
              <w:contextualSpacing/>
              <w:jc w:val="center"/>
              <w:rPr>
                <w:rFonts w:cs="Times New Roman"/>
                <w:kern w:val="0"/>
                <w:sz w:val="18"/>
                <w:szCs w:val="18"/>
                <w:lang w:bidi="ar"/>
              </w:rPr>
            </w:pPr>
            <w:r>
              <w:rPr>
                <w:rFonts w:cs="Times New Roman"/>
                <w:kern w:val="0"/>
                <w:sz w:val="18"/>
                <w:szCs w:val="18"/>
                <w:lang w:bidi="ar"/>
              </w:rPr>
              <w:t>K81+786.000</w:t>
            </w:r>
          </w:p>
        </w:tc>
        <w:tc>
          <w:tcPr>
            <w:tcW w:w="485" w:type="pct"/>
            <w:tcBorders>
              <w:bottom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lang w:bidi="ar"/>
              </w:rPr>
            </w:pPr>
            <w:r>
              <w:rPr>
                <w:rFonts w:cs="Times New Roman"/>
                <w:kern w:val="0"/>
                <w:sz w:val="18"/>
                <w:szCs w:val="18"/>
                <w:lang w:bidi="ar"/>
              </w:rPr>
              <w:t>穿越</w:t>
            </w:r>
            <w:r>
              <w:rPr>
                <w:rFonts w:cs="Times New Roman"/>
                <w:kern w:val="0"/>
                <w:sz w:val="18"/>
                <w:szCs w:val="18"/>
                <w:lang w:bidi="ar"/>
              </w:rPr>
              <w:t>2</w:t>
            </w:r>
            <w:r>
              <w:rPr>
                <w:rFonts w:cs="Times New Roman"/>
                <w:kern w:val="0"/>
                <w:sz w:val="18"/>
                <w:szCs w:val="18"/>
                <w:lang w:bidi="ar"/>
              </w:rPr>
              <w:t>次，阿恰干渠一号中桥</w:t>
            </w:r>
          </w:p>
        </w:tc>
        <w:tc>
          <w:tcPr>
            <w:tcW w:w="945" w:type="pct"/>
            <w:vMerge w:val="restart"/>
            <w:vAlign w:val="center"/>
          </w:tcPr>
          <w:p w:rsidR="00A46452" w:rsidRDefault="009A3928">
            <w:pPr>
              <w:wordWrap w:val="0"/>
              <w:topLinePunct/>
              <w:adjustRightInd w:val="0"/>
              <w:snapToGrid w:val="0"/>
              <w:spacing w:line="240" w:lineRule="auto"/>
              <w:ind w:firstLineChars="0" w:firstLine="0"/>
              <w:rPr>
                <w:rFonts w:cs="Times New Roman"/>
                <w:kern w:val="0"/>
                <w:sz w:val="18"/>
                <w:szCs w:val="18"/>
              </w:rPr>
            </w:pPr>
            <w:r>
              <w:rPr>
                <w:rFonts w:cs="Times New Roman"/>
                <w:kern w:val="0"/>
                <w:sz w:val="18"/>
                <w:szCs w:val="18"/>
              </w:rPr>
              <w:t>灌溉工程，运行时间为每年</w:t>
            </w:r>
            <w:r>
              <w:rPr>
                <w:rFonts w:cs="Times New Roman"/>
                <w:kern w:val="0"/>
                <w:sz w:val="18"/>
                <w:szCs w:val="18"/>
              </w:rPr>
              <w:t>4-9</w:t>
            </w:r>
            <w:r>
              <w:rPr>
                <w:rFonts w:cs="Times New Roman"/>
                <w:kern w:val="0"/>
                <w:sz w:val="18"/>
                <w:szCs w:val="18"/>
              </w:rPr>
              <w:t>月，农业灌溉</w:t>
            </w:r>
            <w:r>
              <w:rPr>
                <w:rFonts w:cs="Times New Roman"/>
                <w:kern w:val="0"/>
                <w:sz w:val="18"/>
                <w:szCs w:val="18"/>
              </w:rPr>
              <w:t>。</w:t>
            </w:r>
          </w:p>
        </w:tc>
        <w:tc>
          <w:tcPr>
            <w:tcW w:w="945" w:type="pct"/>
            <w:vAlign w:val="center"/>
          </w:tcPr>
          <w:p w:rsidR="00A46452" w:rsidRDefault="00A46452">
            <w:pPr>
              <w:wordWrap w:val="0"/>
              <w:topLinePunct/>
              <w:adjustRightInd w:val="0"/>
              <w:snapToGrid w:val="0"/>
              <w:spacing w:line="240" w:lineRule="auto"/>
              <w:ind w:firstLineChars="0" w:firstLine="0"/>
              <w:rPr>
                <w:rFonts w:cs="Times New Roman"/>
                <w:kern w:val="0"/>
                <w:sz w:val="18"/>
                <w:szCs w:val="18"/>
              </w:rPr>
            </w:pPr>
          </w:p>
        </w:tc>
      </w:tr>
      <w:tr w:rsidR="00A46452">
        <w:trPr>
          <w:cantSplit/>
          <w:trHeight w:val="192"/>
        </w:trPr>
        <w:tc>
          <w:tcPr>
            <w:tcW w:w="239"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6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20"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277"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341"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41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64" w:type="pct"/>
            <w:tcBorders>
              <w:top w:val="single" w:sz="2" w:space="0" w:color="000000"/>
            </w:tcBorders>
            <w:vAlign w:val="center"/>
          </w:tcPr>
          <w:p w:rsidR="00A46452" w:rsidRDefault="009A3928">
            <w:pPr>
              <w:tabs>
                <w:tab w:val="left" w:pos="486"/>
              </w:tabs>
              <w:wordWrap w:val="0"/>
              <w:topLinePunct/>
              <w:adjustRightInd w:val="0"/>
              <w:snapToGrid w:val="0"/>
              <w:spacing w:line="240" w:lineRule="auto"/>
              <w:ind w:firstLineChars="0" w:firstLine="0"/>
              <w:contextualSpacing/>
              <w:jc w:val="center"/>
              <w:rPr>
                <w:rFonts w:cs="Times New Roman"/>
                <w:kern w:val="0"/>
                <w:sz w:val="18"/>
                <w:szCs w:val="18"/>
                <w:lang w:bidi="ar"/>
              </w:rPr>
            </w:pPr>
            <w:r>
              <w:rPr>
                <w:rFonts w:cs="Times New Roman"/>
                <w:kern w:val="0"/>
                <w:sz w:val="18"/>
                <w:szCs w:val="18"/>
                <w:lang w:bidi="ar"/>
              </w:rPr>
              <w:t>K84+702.700</w:t>
            </w:r>
          </w:p>
        </w:tc>
        <w:tc>
          <w:tcPr>
            <w:tcW w:w="485" w:type="pct"/>
            <w:tcBorders>
              <w:top w:val="single" w:sz="2" w:space="0" w:color="000000"/>
            </w:tcBorders>
            <w:vAlign w:val="center"/>
          </w:tcPr>
          <w:p w:rsidR="00A46452" w:rsidRDefault="009A3928">
            <w:pPr>
              <w:widowControl/>
              <w:spacing w:line="240" w:lineRule="auto"/>
              <w:ind w:firstLineChars="0" w:firstLine="0"/>
              <w:jc w:val="left"/>
              <w:rPr>
                <w:rFonts w:cs="Times New Roman"/>
                <w:kern w:val="0"/>
                <w:sz w:val="18"/>
                <w:szCs w:val="18"/>
                <w:lang w:bidi="ar"/>
              </w:rPr>
            </w:pPr>
            <w:r>
              <w:rPr>
                <w:rFonts w:cs="Times New Roman"/>
                <w:kern w:val="0"/>
                <w:sz w:val="18"/>
                <w:szCs w:val="18"/>
                <w:lang w:bidi="ar"/>
              </w:rPr>
              <w:t>阿恰干渠二号中桥</w:t>
            </w:r>
          </w:p>
        </w:tc>
        <w:tc>
          <w:tcPr>
            <w:tcW w:w="945" w:type="pct"/>
            <w:vMerge/>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945" w:type="pct"/>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r>
    </w:tbl>
    <w:p w:rsidR="00A46452" w:rsidRDefault="009A3928">
      <w:pPr>
        <w:pStyle w:val="31"/>
        <w:keepNext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2.</w:t>
      </w:r>
      <w:r>
        <w:rPr>
          <w:rFonts w:cs="Times New Roman" w:hint="default"/>
          <w:sz w:val="28"/>
          <w:szCs w:val="28"/>
        </w:rPr>
        <w:t>7</w:t>
      </w:r>
      <w:r>
        <w:rPr>
          <w:rFonts w:cs="Times New Roman" w:hint="default"/>
          <w:sz w:val="28"/>
          <w:szCs w:val="28"/>
        </w:rPr>
        <w:t>.4</w:t>
      </w:r>
      <w:r>
        <w:rPr>
          <w:rFonts w:cs="Times New Roman" w:hint="default"/>
          <w:sz w:val="28"/>
          <w:szCs w:val="28"/>
        </w:rPr>
        <w:t>临时工程环境保护目标</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本工程临时占地包括施工综合站场、施工生活营地、施工临时便道、风积沙料场、弃土场，施工临时设施占地现状主要为</w:t>
      </w:r>
      <w:r>
        <w:rPr>
          <w:rFonts w:cs="Times New Roman"/>
          <w:kern w:val="0"/>
          <w:szCs w:val="24"/>
          <w:lang w:bidi="ar"/>
        </w:rPr>
        <w:t>林地</w:t>
      </w:r>
      <w:r>
        <w:rPr>
          <w:rFonts w:cs="Times New Roman"/>
          <w:kern w:val="0"/>
          <w:szCs w:val="24"/>
          <w:lang w:bidi="ar"/>
        </w:rPr>
        <w:t>，随着施工结束，及时做好土地平整和生态恢复，自然植被可得以恢复，对生态环境影响不大</w:t>
      </w:r>
      <w:r>
        <w:rPr>
          <w:rFonts w:cs="Times New Roman"/>
          <w:szCs w:val="24"/>
        </w:rPr>
        <w:t>。根据现场踏勘，所有大临工程周边均不涉及环境保护目标。</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206" w:name="_Toc27325"/>
      <w:bookmarkStart w:id="207" w:name="_Toc172668152"/>
      <w:bookmarkStart w:id="208" w:name="_Toc187080693"/>
      <w:r>
        <w:rPr>
          <w:rFonts w:cs="Times New Roman" w:hint="default"/>
          <w:sz w:val="30"/>
          <w:szCs w:val="30"/>
        </w:rPr>
        <w:t>2.</w:t>
      </w:r>
      <w:r>
        <w:rPr>
          <w:rFonts w:cs="Times New Roman" w:hint="default"/>
          <w:sz w:val="30"/>
          <w:szCs w:val="30"/>
        </w:rPr>
        <w:t>8</w:t>
      </w:r>
      <w:r>
        <w:rPr>
          <w:rFonts w:cs="Times New Roman" w:hint="default"/>
          <w:sz w:val="30"/>
          <w:szCs w:val="30"/>
        </w:rPr>
        <w:t>评价重点</w:t>
      </w:r>
      <w:bookmarkEnd w:id="206"/>
      <w:bookmarkEnd w:id="207"/>
      <w:bookmarkEnd w:id="208"/>
    </w:p>
    <w:p w:rsidR="00A46452" w:rsidRDefault="009A3928">
      <w:pPr>
        <w:wordWrap w:val="0"/>
        <w:topLinePunct/>
        <w:adjustRightInd w:val="0"/>
        <w:snapToGrid w:val="0"/>
        <w:ind w:firstLine="464"/>
        <w:rPr>
          <w:rFonts w:cs="Times New Roman"/>
          <w:spacing w:val="-4"/>
        </w:rPr>
      </w:pPr>
      <w:bookmarkStart w:id="209" w:name="_Hlk171619791"/>
      <w:r>
        <w:rPr>
          <w:rFonts w:cs="Times New Roman"/>
          <w:spacing w:val="-4"/>
        </w:rPr>
        <w:t>针对本工程特点与环境现状特征，分析确定拟建项目评价重点如下：</w:t>
      </w:r>
    </w:p>
    <w:p w:rsidR="00A46452" w:rsidRDefault="009A3928">
      <w:pPr>
        <w:wordWrap w:val="0"/>
        <w:topLinePunct/>
        <w:adjustRightInd w:val="0"/>
        <w:snapToGrid w:val="0"/>
        <w:ind w:firstLine="464"/>
        <w:rPr>
          <w:rFonts w:cs="Times New Roman"/>
          <w:spacing w:val="-4"/>
        </w:rPr>
      </w:pPr>
      <w:r>
        <w:rPr>
          <w:rFonts w:cs="Times New Roman"/>
          <w:spacing w:val="-4"/>
        </w:rPr>
        <w:t>（</w:t>
      </w:r>
      <w:r>
        <w:rPr>
          <w:rFonts w:cs="Times New Roman"/>
          <w:spacing w:val="-4"/>
        </w:rPr>
        <w:t>1</w:t>
      </w:r>
      <w:r>
        <w:rPr>
          <w:rFonts w:cs="Times New Roman"/>
          <w:spacing w:val="-4"/>
        </w:rPr>
        <w:t>）工程分析及污染源分析：详细介绍本项目工程内容，根据施工方案分析本项目施工期的水、气、声、渣等污染物情况，以及营运期交通噪声等污染源的源强。</w:t>
      </w:r>
    </w:p>
    <w:p w:rsidR="00A46452" w:rsidRDefault="009A3928">
      <w:pPr>
        <w:wordWrap w:val="0"/>
        <w:topLinePunct/>
        <w:adjustRightInd w:val="0"/>
        <w:snapToGrid w:val="0"/>
        <w:ind w:firstLine="464"/>
        <w:rPr>
          <w:rFonts w:cs="Times New Roman"/>
          <w:spacing w:val="-4"/>
        </w:rPr>
      </w:pPr>
      <w:r>
        <w:rPr>
          <w:rFonts w:cs="Times New Roman"/>
          <w:spacing w:val="-4"/>
        </w:rPr>
        <w:t>（</w:t>
      </w:r>
      <w:r>
        <w:rPr>
          <w:rFonts w:cs="Times New Roman"/>
          <w:spacing w:val="-4"/>
        </w:rPr>
        <w:t>2</w:t>
      </w:r>
      <w:r>
        <w:rPr>
          <w:rFonts w:cs="Times New Roman"/>
          <w:spacing w:val="-4"/>
        </w:rPr>
        <w:t>）项目征地范围内的生态环境现状特征，施工期和营运期对沿线植被破坏、水土流失以及占用</w:t>
      </w:r>
      <w:r>
        <w:rPr>
          <w:rFonts w:cs="Times New Roman"/>
        </w:rPr>
        <w:t>第三师</w:t>
      </w:r>
      <w:r>
        <w:rPr>
          <w:rFonts w:cs="Times New Roman"/>
        </w:rPr>
        <w:t>、</w:t>
      </w:r>
      <w:r>
        <w:rPr>
          <w:rFonts w:cs="Times New Roman"/>
        </w:rPr>
        <w:t>柯坪县</w:t>
      </w:r>
      <w:r>
        <w:rPr>
          <w:rFonts w:cs="Times New Roman"/>
        </w:rPr>
        <w:t>及</w:t>
      </w:r>
      <w:r>
        <w:rPr>
          <w:rFonts w:cs="Times New Roman"/>
        </w:rPr>
        <w:t>巴楚县</w:t>
      </w:r>
      <w:r>
        <w:rPr>
          <w:rFonts w:cs="Times New Roman"/>
          <w:spacing w:val="-4"/>
        </w:rPr>
        <w:t>的耕地、林地</w:t>
      </w:r>
      <w:r>
        <w:rPr>
          <w:rFonts w:cs="Times New Roman"/>
          <w:spacing w:val="-4"/>
        </w:rPr>
        <w:t>。</w:t>
      </w:r>
    </w:p>
    <w:p w:rsidR="00A46452" w:rsidRDefault="009A3928">
      <w:pPr>
        <w:wordWrap w:val="0"/>
        <w:topLinePunct/>
        <w:adjustRightInd w:val="0"/>
        <w:snapToGrid w:val="0"/>
        <w:ind w:firstLine="464"/>
        <w:rPr>
          <w:rFonts w:cs="Times New Roman"/>
          <w:spacing w:val="-4"/>
        </w:rPr>
      </w:pPr>
      <w:r>
        <w:rPr>
          <w:rFonts w:cs="Times New Roman"/>
          <w:spacing w:val="-4"/>
        </w:rPr>
        <w:t>（</w:t>
      </w:r>
      <w:r>
        <w:rPr>
          <w:rFonts w:cs="Times New Roman"/>
          <w:spacing w:val="-4"/>
        </w:rPr>
        <w:t>3</w:t>
      </w:r>
      <w:r>
        <w:rPr>
          <w:rFonts w:cs="Times New Roman"/>
          <w:spacing w:val="-4"/>
        </w:rPr>
        <w:t>）营运期噪声预测，包括对沿线声环境敏感点的影响及营运期的环境风险影响。</w:t>
      </w:r>
    </w:p>
    <w:p w:rsidR="00A46452" w:rsidRDefault="009A3928">
      <w:pPr>
        <w:wordWrap w:val="0"/>
        <w:topLinePunct/>
        <w:adjustRightInd w:val="0"/>
        <w:snapToGrid w:val="0"/>
        <w:ind w:firstLine="464"/>
        <w:rPr>
          <w:rFonts w:cs="Times New Roman"/>
          <w:spacing w:val="-4"/>
        </w:rPr>
      </w:pPr>
      <w:r>
        <w:rPr>
          <w:rFonts w:cs="Times New Roman"/>
          <w:spacing w:val="-4"/>
        </w:rPr>
        <w:t>（</w:t>
      </w:r>
      <w:r>
        <w:rPr>
          <w:rFonts w:cs="Times New Roman"/>
          <w:spacing w:val="-4"/>
        </w:rPr>
        <w:t>4</w:t>
      </w:r>
      <w:r>
        <w:rPr>
          <w:rFonts w:cs="Times New Roman"/>
          <w:spacing w:val="-4"/>
        </w:rPr>
        <w:t>）项目设计期、施工期、营运期的环境污染防治措施与对策。</w:t>
      </w:r>
      <w:bookmarkEnd w:id="209"/>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210" w:name="_Toc172668153"/>
      <w:bookmarkStart w:id="211" w:name="_Toc155"/>
      <w:bookmarkStart w:id="212" w:name="_Toc98413499"/>
      <w:bookmarkStart w:id="213" w:name="_Toc187080694"/>
      <w:r>
        <w:rPr>
          <w:rFonts w:cs="Times New Roman" w:hint="default"/>
          <w:sz w:val="30"/>
          <w:szCs w:val="30"/>
        </w:rPr>
        <w:t>2.</w:t>
      </w:r>
      <w:r>
        <w:rPr>
          <w:rFonts w:cs="Times New Roman" w:hint="default"/>
          <w:sz w:val="30"/>
          <w:szCs w:val="30"/>
        </w:rPr>
        <w:t>9</w:t>
      </w:r>
      <w:r>
        <w:rPr>
          <w:rFonts w:cs="Times New Roman" w:hint="default"/>
          <w:sz w:val="30"/>
          <w:szCs w:val="30"/>
        </w:rPr>
        <w:t>评价时段</w:t>
      </w:r>
      <w:bookmarkEnd w:id="210"/>
      <w:bookmarkEnd w:id="211"/>
      <w:bookmarkEnd w:id="212"/>
      <w:bookmarkEnd w:id="213"/>
    </w:p>
    <w:p w:rsidR="00A46452" w:rsidRDefault="009A3928">
      <w:pPr>
        <w:wordWrap w:val="0"/>
        <w:topLinePunct/>
        <w:adjustRightInd w:val="0"/>
        <w:snapToGrid w:val="0"/>
        <w:ind w:firstLine="464"/>
        <w:rPr>
          <w:rFonts w:cs="Times New Roman"/>
          <w:spacing w:val="-4"/>
        </w:rPr>
      </w:pPr>
      <w:r>
        <w:rPr>
          <w:rFonts w:cs="Times New Roman"/>
          <w:spacing w:val="-4"/>
        </w:rPr>
        <w:t>评价期综合考虑设计期、施工期和运营期，并参照设计文件中交通量预测年限，分别选择</w:t>
      </w:r>
      <w:r>
        <w:rPr>
          <w:rFonts w:cs="Times New Roman"/>
          <w:spacing w:val="-4"/>
        </w:rPr>
        <w:t>20</w:t>
      </w:r>
      <w:r>
        <w:rPr>
          <w:rFonts w:cs="Times New Roman"/>
          <w:spacing w:val="-4"/>
        </w:rPr>
        <w:t>28</w:t>
      </w:r>
      <w:r>
        <w:rPr>
          <w:rFonts w:cs="Times New Roman"/>
          <w:spacing w:val="-4"/>
        </w:rPr>
        <w:t>年、</w:t>
      </w:r>
      <w:r>
        <w:rPr>
          <w:rFonts w:cs="Times New Roman"/>
          <w:spacing w:val="-4"/>
        </w:rPr>
        <w:t>203</w:t>
      </w:r>
      <w:r>
        <w:rPr>
          <w:rFonts w:cs="Times New Roman"/>
          <w:spacing w:val="-4"/>
        </w:rPr>
        <w:t>5</w:t>
      </w:r>
      <w:r>
        <w:rPr>
          <w:rFonts w:cs="Times New Roman"/>
          <w:spacing w:val="-4"/>
        </w:rPr>
        <w:t>年、</w:t>
      </w:r>
      <w:r>
        <w:rPr>
          <w:rFonts w:cs="Times New Roman"/>
          <w:spacing w:val="-4"/>
        </w:rPr>
        <w:t>204</w:t>
      </w:r>
      <w:r>
        <w:rPr>
          <w:rFonts w:cs="Times New Roman"/>
          <w:spacing w:val="-4"/>
        </w:rPr>
        <w:t>2</w:t>
      </w:r>
      <w:r>
        <w:rPr>
          <w:rFonts w:cs="Times New Roman"/>
          <w:spacing w:val="-4"/>
        </w:rPr>
        <w:t>年代表营运近、中、远期进行预测评价。</w:t>
      </w:r>
    </w:p>
    <w:p w:rsidR="00A46452" w:rsidRDefault="009A3928">
      <w:pPr>
        <w:wordWrap w:val="0"/>
        <w:topLinePunct/>
        <w:adjustRightInd w:val="0"/>
        <w:snapToGrid w:val="0"/>
        <w:ind w:firstLine="464"/>
        <w:rPr>
          <w:rFonts w:cs="Times New Roman"/>
          <w:spacing w:val="-4"/>
        </w:rPr>
      </w:pPr>
      <w:r>
        <w:rPr>
          <w:rFonts w:cs="Times New Roman"/>
          <w:spacing w:val="-4"/>
        </w:rPr>
        <w:t>施工期评价年限为施工期间</w:t>
      </w:r>
      <w:r>
        <w:rPr>
          <w:rFonts w:cs="Times New Roman"/>
          <w:spacing w:val="-4"/>
        </w:rPr>
        <w:t>2025</w:t>
      </w:r>
      <w:r>
        <w:rPr>
          <w:rFonts w:cs="Times New Roman"/>
          <w:spacing w:val="-4"/>
        </w:rPr>
        <w:t>年</w:t>
      </w:r>
      <w:r>
        <w:rPr>
          <w:rFonts w:cs="Times New Roman"/>
          <w:spacing w:val="-4"/>
        </w:rPr>
        <w:t>7</w:t>
      </w:r>
      <w:r>
        <w:rPr>
          <w:rFonts w:cs="Times New Roman"/>
          <w:spacing w:val="-4"/>
        </w:rPr>
        <w:t>月</w:t>
      </w:r>
      <w:r>
        <w:rPr>
          <w:rFonts w:cs="Times New Roman"/>
          <w:spacing w:val="-4"/>
        </w:rPr>
        <w:t>-</w:t>
      </w:r>
      <w:r>
        <w:rPr>
          <w:rFonts w:cs="Times New Roman"/>
          <w:spacing w:val="-4"/>
        </w:rPr>
        <w:t>20</w:t>
      </w:r>
      <w:r>
        <w:rPr>
          <w:rFonts w:cs="Times New Roman"/>
          <w:spacing w:val="-4"/>
        </w:rPr>
        <w:t>27</w:t>
      </w:r>
      <w:r>
        <w:rPr>
          <w:rFonts w:cs="Times New Roman"/>
          <w:spacing w:val="-4"/>
        </w:rPr>
        <w:t>年</w:t>
      </w:r>
      <w:r>
        <w:rPr>
          <w:rFonts w:cs="Times New Roman"/>
          <w:spacing w:val="-4"/>
        </w:rPr>
        <w:t>6</w:t>
      </w:r>
      <w:r>
        <w:rPr>
          <w:rFonts w:cs="Times New Roman"/>
          <w:spacing w:val="-4"/>
        </w:rPr>
        <w:t>月，工期</w:t>
      </w:r>
      <w:r>
        <w:rPr>
          <w:rFonts w:cs="Times New Roman"/>
          <w:spacing w:val="-4"/>
        </w:rPr>
        <w:t>2</w:t>
      </w:r>
      <w:r>
        <w:rPr>
          <w:rFonts w:cs="Times New Roman"/>
          <w:spacing w:val="-4"/>
        </w:rPr>
        <w:t>年。</w:t>
      </w:r>
    </w:p>
    <w:p w:rsidR="00A46452" w:rsidRDefault="00A46452">
      <w:pPr>
        <w:wordWrap w:val="0"/>
        <w:topLinePunct/>
        <w:adjustRightInd w:val="0"/>
        <w:snapToGrid w:val="0"/>
        <w:ind w:firstLine="464"/>
        <w:rPr>
          <w:rFonts w:cs="Times New Roman"/>
          <w:spacing w:val="-4"/>
        </w:rPr>
      </w:pPr>
    </w:p>
    <w:p w:rsidR="00A46452" w:rsidRDefault="00A46452">
      <w:pPr>
        <w:wordWrap w:val="0"/>
        <w:topLinePunct/>
        <w:adjustRightInd w:val="0"/>
        <w:snapToGrid w:val="0"/>
        <w:ind w:firstLine="464"/>
        <w:rPr>
          <w:rFonts w:cs="Times New Roman"/>
          <w:spacing w:val="-4"/>
        </w:rPr>
        <w:sectPr w:rsidR="00A46452">
          <w:headerReference w:type="default" r:id="rId17"/>
          <w:footerReference w:type="default" r:id="rId18"/>
          <w:pgSz w:w="11906" w:h="16838"/>
          <w:pgMar w:top="1440" w:right="1800" w:bottom="1440" w:left="1800" w:header="851" w:footer="680" w:gutter="0"/>
          <w:cols w:space="425"/>
          <w:docGrid w:type="lines" w:linePitch="312"/>
        </w:sectPr>
      </w:pPr>
    </w:p>
    <w:p w:rsidR="00A46452" w:rsidRDefault="009A3928">
      <w:pPr>
        <w:pStyle w:val="1"/>
        <w:wordWrap w:val="0"/>
        <w:topLinePunct/>
        <w:adjustRightInd w:val="0"/>
        <w:snapToGrid w:val="0"/>
        <w:jc w:val="left"/>
        <w:rPr>
          <w:rFonts w:eastAsia="黑体" w:cs="Times New Roman" w:hint="default"/>
          <w:sz w:val="32"/>
          <w:szCs w:val="32"/>
        </w:rPr>
      </w:pPr>
      <w:bookmarkStart w:id="214" w:name="_Toc31523"/>
      <w:r>
        <w:rPr>
          <w:rFonts w:eastAsia="黑体" w:cs="Times New Roman" w:hint="default"/>
          <w:sz w:val="32"/>
          <w:szCs w:val="32"/>
        </w:rPr>
        <w:t>3</w:t>
      </w:r>
      <w:bookmarkEnd w:id="112"/>
      <w:r>
        <w:rPr>
          <w:rFonts w:eastAsia="黑体" w:cs="Times New Roman" w:hint="default"/>
          <w:sz w:val="32"/>
          <w:szCs w:val="32"/>
        </w:rPr>
        <w:t>路由</w:t>
      </w:r>
      <w:r>
        <w:rPr>
          <w:rFonts w:eastAsia="黑体" w:cs="Times New Roman" w:hint="default"/>
          <w:sz w:val="32"/>
          <w:szCs w:val="32"/>
        </w:rPr>
        <w:t>分析</w:t>
      </w:r>
      <w:bookmarkEnd w:id="214"/>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15" w:name="_Toc16338"/>
      <w:bookmarkStart w:id="216" w:name="_Toc21077"/>
      <w:r>
        <w:rPr>
          <w:rFonts w:cs="Times New Roman" w:hint="default"/>
          <w:sz w:val="30"/>
          <w:szCs w:val="30"/>
        </w:rPr>
        <w:t>3.</w:t>
      </w:r>
      <w:r>
        <w:rPr>
          <w:rFonts w:cs="Times New Roman" w:hint="default"/>
          <w:sz w:val="30"/>
          <w:szCs w:val="30"/>
        </w:rPr>
        <w:t>1</w:t>
      </w:r>
      <w:r>
        <w:rPr>
          <w:rFonts w:cs="Times New Roman" w:hint="default"/>
          <w:sz w:val="30"/>
          <w:szCs w:val="30"/>
        </w:rPr>
        <w:t>建设项目起终点论证</w:t>
      </w:r>
      <w:bookmarkEnd w:id="215"/>
    </w:p>
    <w:p w:rsidR="00A46452" w:rsidRDefault="009A3928">
      <w:pPr>
        <w:wordWrap w:val="0"/>
        <w:topLinePunct/>
        <w:adjustRightInd w:val="0"/>
        <w:snapToGrid w:val="0"/>
        <w:ind w:firstLine="480"/>
        <w:rPr>
          <w:rFonts w:cs="Times New Roman"/>
        </w:rPr>
      </w:pPr>
      <w:r>
        <w:rPr>
          <w:rFonts w:cs="Times New Roman"/>
        </w:rPr>
        <w:t>根据</w:t>
      </w:r>
      <w:r>
        <w:rPr>
          <w:rFonts w:cs="Times New Roman"/>
          <w:spacing w:val="-3"/>
          <w:szCs w:val="24"/>
        </w:rPr>
        <w:t>新疆生产建设兵团</w:t>
      </w:r>
      <w:r>
        <w:rPr>
          <w:rFonts w:cs="Times New Roman"/>
          <w:spacing w:val="-3"/>
          <w:szCs w:val="24"/>
        </w:rPr>
        <w:t>“</w:t>
      </w:r>
      <w:r>
        <w:rPr>
          <w:rFonts w:cs="Times New Roman"/>
          <w:spacing w:val="-3"/>
          <w:szCs w:val="24"/>
        </w:rPr>
        <w:t>十四五</w:t>
      </w:r>
      <w:r>
        <w:rPr>
          <w:rFonts w:cs="Times New Roman"/>
          <w:spacing w:val="-3"/>
          <w:szCs w:val="24"/>
        </w:rPr>
        <w:t>”</w:t>
      </w:r>
      <w:r>
        <w:rPr>
          <w:rFonts w:cs="Times New Roman"/>
          <w:spacing w:val="-3"/>
          <w:szCs w:val="24"/>
        </w:rPr>
        <w:t>综合交通运输发展规划中，将本项目在省道网</w:t>
      </w:r>
      <w:r>
        <w:rPr>
          <w:rFonts w:cs="Times New Roman"/>
          <w:szCs w:val="24"/>
        </w:rPr>
        <w:t>调整规划中调整为兵团省道，</w:t>
      </w:r>
      <w:r>
        <w:rPr>
          <w:rFonts w:cs="Times New Roman"/>
        </w:rPr>
        <w:t>经过现场调查，并听取地方政府意见、城镇规划发展战略规划的要求，本项目起、终点经充分研究论证后确定。</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3.1.1</w:t>
      </w:r>
      <w:r>
        <w:rPr>
          <w:rFonts w:cs="Times New Roman" w:hint="default"/>
          <w:sz w:val="28"/>
          <w:szCs w:val="28"/>
        </w:rPr>
        <w:t>起点方案论证</w:t>
      </w:r>
    </w:p>
    <w:p w:rsidR="00A46452" w:rsidRDefault="009A3928" w:rsidP="00182EED">
      <w:pPr>
        <w:wordWrap w:val="0"/>
        <w:topLinePunct/>
        <w:adjustRightInd w:val="0"/>
        <w:snapToGrid w:val="0"/>
        <w:ind w:firstLine="480"/>
        <w:jc w:val="left"/>
        <w:rPr>
          <w:rFonts w:cs="Times New Roman"/>
        </w:rPr>
      </w:pPr>
      <w:r>
        <w:rPr>
          <w:rFonts w:cs="Times New Roman"/>
        </w:rPr>
        <w:t>兵团</w:t>
      </w:r>
      <w:r>
        <w:rPr>
          <w:rFonts w:cs="Times New Roman"/>
        </w:rPr>
        <w:t>“</w:t>
      </w:r>
      <w:r>
        <w:rPr>
          <w:rFonts w:cs="Times New Roman"/>
        </w:rPr>
        <w:t>十四五</w:t>
      </w:r>
      <w:r>
        <w:rPr>
          <w:rFonts w:cs="Times New Roman"/>
        </w:rPr>
        <w:t>”</w:t>
      </w:r>
      <w:r>
        <w:rPr>
          <w:rFonts w:cs="Times New Roman"/>
        </w:rPr>
        <w:t>综合交通运输发展规划在完善综合交通运输南疆通道方面提到第三师以图木舒克市为中心形成</w:t>
      </w:r>
      <w:r>
        <w:rPr>
          <w:rFonts w:cs="Times New Roman"/>
        </w:rPr>
        <w:t>“</w:t>
      </w:r>
      <w:r>
        <w:rPr>
          <w:rFonts w:cs="Times New Roman"/>
        </w:rPr>
        <w:t>七射</w:t>
      </w:r>
      <w:r>
        <w:rPr>
          <w:rFonts w:cs="Times New Roman"/>
        </w:rPr>
        <w:t>”</w:t>
      </w:r>
      <w:r>
        <w:rPr>
          <w:rFonts w:cs="Times New Roman"/>
        </w:rPr>
        <w:t>综合运输通道，同时考虑本项目是构建形成南疆南北大通道：别迭里口岸</w:t>
      </w:r>
      <w:r>
        <w:rPr>
          <w:rFonts w:cs="Times New Roman"/>
        </w:rPr>
        <w:t>－</w:t>
      </w:r>
      <w:r>
        <w:rPr>
          <w:rFonts w:cs="Times New Roman"/>
        </w:rPr>
        <w:t>乌什县（</w:t>
      </w:r>
      <w:r>
        <w:rPr>
          <w:rFonts w:cs="Times New Roman"/>
        </w:rPr>
        <w:t>G219</w:t>
      </w:r>
      <w:r>
        <w:rPr>
          <w:rFonts w:cs="Times New Roman"/>
        </w:rPr>
        <w:t>）</w:t>
      </w:r>
      <w:r>
        <w:rPr>
          <w:rFonts w:cs="Times New Roman"/>
        </w:rPr>
        <w:t>－</w:t>
      </w:r>
      <w:r>
        <w:rPr>
          <w:rFonts w:cs="Times New Roman"/>
        </w:rPr>
        <w:t>阿克苏地区柯坪县（</w:t>
      </w:r>
      <w:r>
        <w:rPr>
          <w:rFonts w:cs="Times New Roman"/>
        </w:rPr>
        <w:t>G3012</w:t>
      </w:r>
      <w:r>
        <w:rPr>
          <w:rFonts w:cs="Times New Roman"/>
        </w:rPr>
        <w:t>、</w:t>
      </w:r>
      <w:r>
        <w:rPr>
          <w:rFonts w:cs="Times New Roman"/>
        </w:rPr>
        <w:t>G314</w:t>
      </w:r>
      <w:r>
        <w:rPr>
          <w:rFonts w:cs="Times New Roman"/>
        </w:rPr>
        <w:t>）</w:t>
      </w:r>
      <w:r>
        <w:rPr>
          <w:rFonts w:cs="Times New Roman"/>
        </w:rPr>
        <w:t>－</w:t>
      </w:r>
      <w:r>
        <w:rPr>
          <w:rFonts w:cs="Times New Roman"/>
        </w:rPr>
        <w:t>第三师图木舒克市（</w:t>
      </w:r>
      <w:r>
        <w:rPr>
          <w:rFonts w:cs="Times New Roman"/>
        </w:rPr>
        <w:t>G217</w:t>
      </w:r>
      <w:r>
        <w:rPr>
          <w:rFonts w:cs="Times New Roman"/>
        </w:rPr>
        <w:t>）</w:t>
      </w:r>
      <w:r>
        <w:rPr>
          <w:rFonts w:cs="Times New Roman"/>
        </w:rPr>
        <w:t>－</w:t>
      </w:r>
      <w:r>
        <w:rPr>
          <w:rFonts w:cs="Times New Roman"/>
        </w:rPr>
        <w:t>第十四师昆玉市、</w:t>
      </w:r>
      <w:r>
        <w:rPr>
          <w:rFonts w:cs="Times New Roman"/>
        </w:rPr>
        <w:t>224</w:t>
      </w:r>
      <w:r>
        <w:rPr>
          <w:rFonts w:cs="Times New Roman"/>
        </w:rPr>
        <w:t>团（</w:t>
      </w:r>
      <w:r>
        <w:rPr>
          <w:rFonts w:cs="Times New Roman"/>
        </w:rPr>
        <w:t>G315</w:t>
      </w:r>
      <w:r>
        <w:rPr>
          <w:rFonts w:cs="Times New Roman"/>
        </w:rPr>
        <w:t>、</w:t>
      </w:r>
      <w:r>
        <w:rPr>
          <w:rFonts w:cs="Times New Roman"/>
        </w:rPr>
        <w:t>G3012</w:t>
      </w:r>
      <w:r>
        <w:rPr>
          <w:rFonts w:cs="Times New Roman"/>
        </w:rPr>
        <w:t>）的重要组成部分，即图木舒克市</w:t>
      </w:r>
      <w:r>
        <w:rPr>
          <w:rFonts w:cs="Times New Roman"/>
        </w:rPr>
        <w:t>－</w:t>
      </w:r>
      <w:r>
        <w:rPr>
          <w:rFonts w:cs="Times New Roman"/>
        </w:rPr>
        <w:t>阿克苏地区柯坪县段，因此起点位置需考虑与通道的前段：第十四师昆玉市（</w:t>
      </w:r>
      <w:r>
        <w:rPr>
          <w:rFonts w:cs="Times New Roman"/>
        </w:rPr>
        <w:t>G3012</w:t>
      </w:r>
      <w:r>
        <w:rPr>
          <w:rFonts w:cs="Times New Roman"/>
        </w:rPr>
        <w:t>）</w:t>
      </w:r>
      <w:r>
        <w:rPr>
          <w:rFonts w:cs="Times New Roman"/>
        </w:rPr>
        <w:t>－</w:t>
      </w:r>
      <w:r>
        <w:rPr>
          <w:rFonts w:cs="Times New Roman"/>
        </w:rPr>
        <w:t>第三师图木舒克市顺畅衔接，目前这两个区域间唯一的直连通道</w:t>
      </w:r>
      <w:r>
        <w:rPr>
          <w:rFonts w:cs="Times New Roman"/>
        </w:rPr>
        <w:t>即</w:t>
      </w:r>
      <w:r>
        <w:rPr>
          <w:rFonts w:cs="Times New Roman"/>
        </w:rPr>
        <w:t>图昆公路，同时还需考虑与图木舒克市境内的路网、</w:t>
      </w:r>
      <w:r>
        <w:rPr>
          <w:rFonts w:cs="Times New Roman"/>
        </w:rPr>
        <w:t>汽车客运站、火车站以及机场衔接，由此选择了两个起点方案。</w:t>
      </w:r>
      <w:r>
        <w:rPr>
          <w:rFonts w:cs="Times New Roman"/>
          <w:kern w:val="0"/>
          <w:szCs w:val="24"/>
          <w:lang w:bidi="ar"/>
        </w:rPr>
        <w:t>起点</w:t>
      </w:r>
      <w:r>
        <w:rPr>
          <w:rFonts w:cs="Times New Roman"/>
          <w:kern w:val="0"/>
          <w:szCs w:val="24"/>
          <w:lang w:bidi="ar"/>
        </w:rPr>
        <w:t>K</w:t>
      </w:r>
      <w:r>
        <w:rPr>
          <w:rFonts w:cs="Times New Roman"/>
          <w:kern w:val="0"/>
          <w:szCs w:val="24"/>
          <w:lang w:bidi="ar"/>
        </w:rPr>
        <w:t>方案为与图木舒克市机场大道终点首尾相接，起点</w:t>
      </w:r>
      <w:r>
        <w:rPr>
          <w:rFonts w:cs="Times New Roman"/>
          <w:kern w:val="0"/>
          <w:szCs w:val="24"/>
          <w:lang w:bidi="ar"/>
        </w:rPr>
        <w:t>A</w:t>
      </w:r>
      <w:r>
        <w:rPr>
          <w:rFonts w:cs="Times New Roman"/>
          <w:kern w:val="0"/>
          <w:szCs w:val="24"/>
          <w:lang w:bidi="ar"/>
        </w:rPr>
        <w:t>方案为接图昆公路起点处，两处起点方案具体比选如下：</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rPr>
        <w:t>（</w:t>
      </w:r>
      <w:r>
        <w:rPr>
          <w:rFonts w:cs="Times New Roman"/>
        </w:rPr>
        <w:t>1</w:t>
      </w:r>
      <w:r>
        <w:rPr>
          <w:rFonts w:cs="Times New Roman"/>
        </w:rPr>
        <w:t>）方案概述</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rPr>
        <w:t>1</w:t>
      </w:r>
      <w:r>
        <w:rPr>
          <w:rFonts w:cs="Times New Roman"/>
        </w:rPr>
        <w:t>）</w:t>
      </w:r>
      <w:r>
        <w:rPr>
          <w:rFonts w:cs="Times New Roman"/>
        </w:rPr>
        <w:t>方案</w:t>
      </w:r>
      <w:r>
        <w:rPr>
          <w:rFonts w:cs="Times New Roman"/>
        </w:rPr>
        <w:t>A</w:t>
      </w:r>
      <w:r>
        <w:rPr>
          <w:rFonts w:cs="Times New Roman"/>
        </w:rPr>
        <w:t>：</w:t>
      </w:r>
    </w:p>
    <w:p w:rsidR="00A46452" w:rsidRDefault="009A3928" w:rsidP="00182EED">
      <w:pPr>
        <w:wordWrap w:val="0"/>
        <w:topLinePunct/>
        <w:adjustRightInd w:val="0"/>
        <w:snapToGrid w:val="0"/>
        <w:ind w:firstLine="480"/>
        <w:jc w:val="left"/>
        <w:rPr>
          <w:rFonts w:cs="Times New Roman"/>
        </w:rPr>
      </w:pPr>
      <w:r>
        <w:rPr>
          <w:rFonts w:cs="Times New Roman"/>
        </w:rPr>
        <w:t>A</w:t>
      </w:r>
      <w:r>
        <w:rPr>
          <w:rFonts w:cs="Times New Roman"/>
        </w:rPr>
        <w:t>方案</w:t>
      </w:r>
      <w:r>
        <w:rPr>
          <w:rFonts w:cs="Times New Roman"/>
          <w:kern w:val="0"/>
          <w:szCs w:val="24"/>
          <w:lang w:bidi="ar"/>
        </w:rPr>
        <w:t>优点</w:t>
      </w:r>
    </w:p>
    <w:p w:rsidR="00A46452" w:rsidRDefault="009A3928" w:rsidP="00182EED">
      <w:pPr>
        <w:wordWrap w:val="0"/>
        <w:topLinePunct/>
        <w:adjustRightInd w:val="0"/>
        <w:snapToGrid w:val="0"/>
        <w:ind w:firstLine="480"/>
        <w:jc w:val="left"/>
        <w:rPr>
          <w:rFonts w:cs="Times New Roman"/>
        </w:rPr>
      </w:pPr>
      <w:r>
        <w:rPr>
          <w:rFonts w:cs="Times New Roman"/>
        </w:rPr>
        <w:t>①</w:t>
      </w:r>
      <w:r>
        <w:rPr>
          <w:rFonts w:cs="Times New Roman"/>
        </w:rPr>
        <w:t>功能定位方面符合南疆南北大通道：别迭里口岸</w:t>
      </w:r>
      <w:r>
        <w:rPr>
          <w:rFonts w:cs="Times New Roman"/>
        </w:rPr>
        <w:t>-</w:t>
      </w:r>
      <w:r>
        <w:rPr>
          <w:rFonts w:cs="Times New Roman"/>
        </w:rPr>
        <w:t>乌什县（</w:t>
      </w:r>
      <w:r>
        <w:rPr>
          <w:rFonts w:cs="Times New Roman"/>
        </w:rPr>
        <w:t>G219</w:t>
      </w:r>
      <w:r>
        <w:rPr>
          <w:rFonts w:cs="Times New Roman"/>
        </w:rPr>
        <w:t>）</w:t>
      </w:r>
      <w:r>
        <w:rPr>
          <w:rFonts w:cs="Times New Roman"/>
        </w:rPr>
        <w:t>-</w:t>
      </w:r>
      <w:r>
        <w:rPr>
          <w:rFonts w:cs="Times New Roman"/>
        </w:rPr>
        <w:t>阿克苏地区柯坪县（</w:t>
      </w:r>
      <w:r>
        <w:rPr>
          <w:rFonts w:cs="Times New Roman"/>
        </w:rPr>
        <w:t>G3012</w:t>
      </w:r>
      <w:r>
        <w:rPr>
          <w:rFonts w:cs="Times New Roman"/>
        </w:rPr>
        <w:t>、</w:t>
      </w:r>
      <w:r>
        <w:rPr>
          <w:rFonts w:cs="Times New Roman"/>
        </w:rPr>
        <w:t>G314</w:t>
      </w:r>
      <w:r>
        <w:rPr>
          <w:rFonts w:cs="Times New Roman"/>
        </w:rPr>
        <w:t>）</w:t>
      </w:r>
      <w:r>
        <w:rPr>
          <w:rFonts w:cs="Times New Roman"/>
        </w:rPr>
        <w:t>-</w:t>
      </w:r>
      <w:r>
        <w:rPr>
          <w:rFonts w:cs="Times New Roman"/>
        </w:rPr>
        <w:t>第三师图木舒克市（</w:t>
      </w:r>
      <w:r>
        <w:rPr>
          <w:rFonts w:cs="Times New Roman"/>
        </w:rPr>
        <w:t>G217</w:t>
      </w:r>
      <w:r>
        <w:rPr>
          <w:rFonts w:cs="Times New Roman"/>
        </w:rPr>
        <w:t>）</w:t>
      </w:r>
      <w:r>
        <w:rPr>
          <w:rFonts w:cs="Times New Roman"/>
        </w:rPr>
        <w:t>-</w:t>
      </w:r>
      <w:r>
        <w:rPr>
          <w:rFonts w:cs="Times New Roman"/>
        </w:rPr>
        <w:t>第十四师昆玉市、</w:t>
      </w:r>
      <w:r>
        <w:rPr>
          <w:rFonts w:cs="Times New Roman"/>
        </w:rPr>
        <w:t>224</w:t>
      </w:r>
      <w:r>
        <w:rPr>
          <w:rFonts w:cs="Times New Roman"/>
        </w:rPr>
        <w:t>团（</w:t>
      </w:r>
      <w:r>
        <w:rPr>
          <w:rFonts w:cs="Times New Roman"/>
        </w:rPr>
        <w:t>G315</w:t>
      </w:r>
      <w:r>
        <w:rPr>
          <w:rFonts w:cs="Times New Roman"/>
        </w:rPr>
        <w:t>、</w:t>
      </w:r>
      <w:r>
        <w:rPr>
          <w:rFonts w:cs="Times New Roman"/>
        </w:rPr>
        <w:t>G3012</w:t>
      </w:r>
      <w:r>
        <w:rPr>
          <w:rFonts w:cs="Times New Roman"/>
        </w:rPr>
        <w:t>）的通道性质。</w:t>
      </w:r>
    </w:p>
    <w:p w:rsidR="00A46452" w:rsidRDefault="009A3928" w:rsidP="00182EED">
      <w:pPr>
        <w:wordWrap w:val="0"/>
        <w:topLinePunct/>
        <w:adjustRightInd w:val="0"/>
        <w:snapToGrid w:val="0"/>
        <w:ind w:firstLine="480"/>
        <w:jc w:val="left"/>
        <w:rPr>
          <w:rFonts w:cs="Times New Roman"/>
        </w:rPr>
      </w:pPr>
      <w:r>
        <w:rPr>
          <w:rFonts w:cs="Times New Roman"/>
        </w:rPr>
        <w:t>②</w:t>
      </w:r>
      <w:r>
        <w:rPr>
          <w:rFonts w:cs="Times New Roman"/>
        </w:rPr>
        <w:t>起点与图昆公路的衔接更为顺畅。</w:t>
      </w:r>
    </w:p>
    <w:p w:rsidR="00A46452" w:rsidRDefault="009A3928" w:rsidP="00182EED">
      <w:pPr>
        <w:wordWrap w:val="0"/>
        <w:topLinePunct/>
        <w:adjustRightInd w:val="0"/>
        <w:snapToGrid w:val="0"/>
        <w:ind w:firstLine="480"/>
        <w:jc w:val="left"/>
        <w:rPr>
          <w:rFonts w:cs="Times New Roman"/>
        </w:rPr>
      </w:pPr>
      <w:r>
        <w:rPr>
          <w:rFonts w:cs="Times New Roman"/>
        </w:rPr>
        <w:t>③</w:t>
      </w:r>
      <w:r>
        <w:rPr>
          <w:rFonts w:cs="Times New Roman"/>
        </w:rPr>
        <w:t>以该方案作为起点，后续路线里程较</w:t>
      </w:r>
      <w:r>
        <w:rPr>
          <w:rFonts w:cs="Times New Roman"/>
        </w:rPr>
        <w:t>K</w:t>
      </w:r>
      <w:r>
        <w:rPr>
          <w:rFonts w:cs="Times New Roman"/>
        </w:rPr>
        <w:t>方案短</w:t>
      </w:r>
      <w:r>
        <w:rPr>
          <w:rFonts w:cs="Times New Roman"/>
        </w:rPr>
        <w:t>2.920km</w:t>
      </w:r>
      <w:r>
        <w:rPr>
          <w:rFonts w:cs="Times New Roman"/>
        </w:rPr>
        <w:t>，工程规模、造价及建设难度均较小，拆迁难度较小。</w:t>
      </w:r>
    </w:p>
    <w:p w:rsidR="00A46452" w:rsidRDefault="009A3928" w:rsidP="00182EED">
      <w:pPr>
        <w:wordWrap w:val="0"/>
        <w:topLinePunct/>
        <w:adjustRightInd w:val="0"/>
        <w:snapToGrid w:val="0"/>
        <w:ind w:firstLine="480"/>
        <w:jc w:val="left"/>
        <w:rPr>
          <w:rFonts w:cs="Times New Roman"/>
        </w:rPr>
      </w:pPr>
      <w:r>
        <w:rPr>
          <w:rFonts w:cs="Times New Roman"/>
        </w:rPr>
        <w:t>A</w:t>
      </w:r>
      <w:r>
        <w:rPr>
          <w:rFonts w:cs="Times New Roman"/>
        </w:rPr>
        <w:t>方案缺点：</w:t>
      </w:r>
    </w:p>
    <w:p w:rsidR="00A46452" w:rsidRDefault="009A3928" w:rsidP="00182EED">
      <w:pPr>
        <w:wordWrap w:val="0"/>
        <w:topLinePunct/>
        <w:adjustRightInd w:val="0"/>
        <w:snapToGrid w:val="0"/>
        <w:ind w:firstLine="480"/>
        <w:jc w:val="left"/>
        <w:rPr>
          <w:rFonts w:cs="Times New Roman"/>
        </w:rPr>
      </w:pPr>
      <w:r>
        <w:rPr>
          <w:rFonts w:cs="Times New Roman"/>
        </w:rPr>
        <w:t>①</w:t>
      </w:r>
      <w:r>
        <w:rPr>
          <w:rFonts w:cs="Times New Roman"/>
        </w:rPr>
        <w:t>与图木舒克市城市重要节点的衔接较为不畅，从该起点到达机场、火车站、汽车站都需要经过原有二级公路，无法满足日益增长的交通需求。</w:t>
      </w:r>
    </w:p>
    <w:p w:rsidR="00A46452" w:rsidRDefault="009A3928" w:rsidP="00182EED">
      <w:pPr>
        <w:wordWrap w:val="0"/>
        <w:topLinePunct/>
        <w:adjustRightInd w:val="0"/>
        <w:snapToGrid w:val="0"/>
        <w:ind w:firstLine="480"/>
        <w:jc w:val="left"/>
        <w:rPr>
          <w:rFonts w:cs="Times New Roman"/>
        </w:rPr>
      </w:pPr>
      <w:r>
        <w:rPr>
          <w:rFonts w:cs="Times New Roman"/>
        </w:rPr>
        <w:t>2</w:t>
      </w:r>
      <w:r>
        <w:rPr>
          <w:rFonts w:cs="Times New Roman"/>
        </w:rPr>
        <w:t>）</w:t>
      </w:r>
      <w:r>
        <w:rPr>
          <w:rFonts w:cs="Times New Roman"/>
        </w:rPr>
        <w:t>方案</w:t>
      </w:r>
      <w:r>
        <w:rPr>
          <w:rFonts w:cs="Times New Roman"/>
        </w:rPr>
        <w:t>K</w:t>
      </w:r>
      <w:r>
        <w:rPr>
          <w:rFonts w:cs="Times New Roman"/>
        </w:rPr>
        <w:t>：</w:t>
      </w:r>
    </w:p>
    <w:p w:rsidR="00A46452" w:rsidRDefault="009A3928" w:rsidP="00182EED">
      <w:pPr>
        <w:wordWrap w:val="0"/>
        <w:topLinePunct/>
        <w:adjustRightInd w:val="0"/>
        <w:snapToGrid w:val="0"/>
        <w:ind w:firstLine="480"/>
        <w:jc w:val="left"/>
        <w:rPr>
          <w:rFonts w:cs="Times New Roman"/>
        </w:rPr>
      </w:pPr>
      <w:r>
        <w:rPr>
          <w:rFonts w:cs="Times New Roman"/>
        </w:rPr>
        <w:t>K</w:t>
      </w:r>
      <w:r>
        <w:rPr>
          <w:rFonts w:cs="Times New Roman"/>
        </w:rPr>
        <w:t>方案优点：</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①</w:t>
      </w:r>
      <w:r>
        <w:rPr>
          <w:rFonts w:cs="Times New Roman"/>
          <w:kern w:val="0"/>
          <w:szCs w:val="24"/>
          <w:lang w:bidi="ar"/>
        </w:rPr>
        <w:t>功能定位方面符合第三师图木舒克市总体规划，符合南疆南北大通道：别迭里口岸</w:t>
      </w:r>
      <w:r>
        <w:rPr>
          <w:rFonts w:cs="Times New Roman"/>
          <w:kern w:val="0"/>
          <w:szCs w:val="24"/>
          <w:lang w:bidi="ar"/>
        </w:rPr>
        <w:t>-</w:t>
      </w:r>
      <w:r>
        <w:rPr>
          <w:rFonts w:cs="Times New Roman"/>
          <w:kern w:val="0"/>
          <w:szCs w:val="24"/>
          <w:lang w:bidi="ar"/>
        </w:rPr>
        <w:t>乌什县（</w:t>
      </w:r>
      <w:r>
        <w:rPr>
          <w:rFonts w:cs="Times New Roman"/>
          <w:kern w:val="0"/>
          <w:szCs w:val="24"/>
          <w:lang w:bidi="ar"/>
        </w:rPr>
        <w:t>G219</w:t>
      </w:r>
      <w:r>
        <w:rPr>
          <w:rFonts w:cs="Times New Roman"/>
          <w:kern w:val="0"/>
          <w:szCs w:val="24"/>
          <w:lang w:bidi="ar"/>
        </w:rPr>
        <w:t>）</w:t>
      </w:r>
      <w:r>
        <w:rPr>
          <w:rFonts w:cs="Times New Roman"/>
          <w:kern w:val="0"/>
          <w:szCs w:val="24"/>
          <w:lang w:bidi="ar"/>
        </w:rPr>
        <w:t>-</w:t>
      </w:r>
      <w:r>
        <w:rPr>
          <w:rFonts w:cs="Times New Roman"/>
          <w:kern w:val="0"/>
          <w:szCs w:val="24"/>
          <w:lang w:bidi="ar"/>
        </w:rPr>
        <w:t>阿克苏地区柯坪县（</w:t>
      </w:r>
      <w:r>
        <w:rPr>
          <w:rFonts w:cs="Times New Roman"/>
          <w:kern w:val="0"/>
          <w:szCs w:val="24"/>
          <w:lang w:bidi="ar"/>
        </w:rPr>
        <w:t>G3012</w:t>
      </w:r>
      <w:r>
        <w:rPr>
          <w:rFonts w:cs="Times New Roman"/>
          <w:kern w:val="0"/>
          <w:szCs w:val="24"/>
          <w:lang w:bidi="ar"/>
        </w:rPr>
        <w:t>、</w:t>
      </w:r>
      <w:r>
        <w:rPr>
          <w:rFonts w:cs="Times New Roman"/>
          <w:kern w:val="0"/>
          <w:szCs w:val="24"/>
          <w:lang w:bidi="ar"/>
        </w:rPr>
        <w:t>G314</w:t>
      </w:r>
      <w:r>
        <w:rPr>
          <w:rFonts w:cs="Times New Roman"/>
          <w:kern w:val="0"/>
          <w:szCs w:val="24"/>
          <w:lang w:bidi="ar"/>
        </w:rPr>
        <w:t>）</w:t>
      </w:r>
      <w:r>
        <w:rPr>
          <w:rFonts w:cs="Times New Roman"/>
          <w:kern w:val="0"/>
          <w:szCs w:val="24"/>
          <w:lang w:bidi="ar"/>
        </w:rPr>
        <w:t>-</w:t>
      </w:r>
      <w:r>
        <w:rPr>
          <w:rFonts w:cs="Times New Roman"/>
          <w:kern w:val="0"/>
          <w:szCs w:val="24"/>
          <w:lang w:bidi="ar"/>
        </w:rPr>
        <w:t>第三师图木舒克市（</w:t>
      </w:r>
      <w:r>
        <w:rPr>
          <w:rFonts w:cs="Times New Roman"/>
          <w:kern w:val="0"/>
          <w:szCs w:val="24"/>
          <w:lang w:bidi="ar"/>
        </w:rPr>
        <w:t>G217</w:t>
      </w:r>
      <w:r>
        <w:rPr>
          <w:rFonts w:cs="Times New Roman"/>
          <w:kern w:val="0"/>
          <w:szCs w:val="24"/>
          <w:lang w:bidi="ar"/>
        </w:rPr>
        <w:t>）</w:t>
      </w:r>
      <w:r>
        <w:rPr>
          <w:rFonts w:cs="Times New Roman"/>
          <w:kern w:val="0"/>
          <w:szCs w:val="24"/>
          <w:lang w:bidi="ar"/>
        </w:rPr>
        <w:t>-</w:t>
      </w:r>
      <w:r>
        <w:rPr>
          <w:rFonts w:cs="Times New Roman"/>
          <w:kern w:val="0"/>
          <w:szCs w:val="24"/>
          <w:lang w:bidi="ar"/>
        </w:rPr>
        <w:t>第十四师昆玉市、</w:t>
      </w:r>
      <w:r>
        <w:rPr>
          <w:rFonts w:cs="Times New Roman"/>
          <w:kern w:val="0"/>
          <w:szCs w:val="24"/>
          <w:lang w:bidi="ar"/>
        </w:rPr>
        <w:t>224</w:t>
      </w:r>
      <w:r>
        <w:rPr>
          <w:rFonts w:cs="Times New Roman"/>
          <w:kern w:val="0"/>
          <w:szCs w:val="24"/>
          <w:lang w:bidi="ar"/>
        </w:rPr>
        <w:t>团（</w:t>
      </w:r>
      <w:r>
        <w:rPr>
          <w:rFonts w:cs="Times New Roman"/>
          <w:kern w:val="0"/>
          <w:szCs w:val="24"/>
          <w:lang w:bidi="ar"/>
        </w:rPr>
        <w:t>G315</w:t>
      </w:r>
      <w:r>
        <w:rPr>
          <w:rFonts w:cs="Times New Roman"/>
          <w:kern w:val="0"/>
          <w:szCs w:val="24"/>
          <w:lang w:bidi="ar"/>
        </w:rPr>
        <w:t>、</w:t>
      </w:r>
      <w:r>
        <w:rPr>
          <w:rFonts w:cs="Times New Roman"/>
          <w:kern w:val="0"/>
          <w:szCs w:val="24"/>
          <w:lang w:bidi="ar"/>
        </w:rPr>
        <w:t>G3012</w:t>
      </w:r>
      <w:r>
        <w:rPr>
          <w:rFonts w:cs="Times New Roman"/>
          <w:kern w:val="0"/>
          <w:szCs w:val="24"/>
          <w:lang w:bidi="ar"/>
        </w:rPr>
        <w:t>）的通道性质。</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②</w:t>
      </w:r>
      <w:r>
        <w:rPr>
          <w:rFonts w:cs="Times New Roman"/>
          <w:kern w:val="0"/>
          <w:szCs w:val="24"/>
          <w:lang w:bidi="ar"/>
        </w:rPr>
        <w:t>该起</w:t>
      </w:r>
      <w:r>
        <w:rPr>
          <w:rFonts w:cs="Times New Roman"/>
          <w:kern w:val="0"/>
          <w:szCs w:val="24"/>
          <w:lang w:bidi="ar"/>
        </w:rPr>
        <w:t>点与机场大道终点相接，可通过机场大道与图木舒克市城市重要节点衔接</w:t>
      </w:r>
      <w:r>
        <w:rPr>
          <w:rFonts w:cs="Times New Roman"/>
          <w:kern w:val="0"/>
          <w:szCs w:val="24"/>
          <w:lang w:bidi="ar"/>
        </w:rPr>
        <w:t>得</w:t>
      </w:r>
      <w:r>
        <w:rPr>
          <w:rFonts w:cs="Times New Roman"/>
          <w:kern w:val="0"/>
          <w:szCs w:val="24"/>
          <w:lang w:bidi="ar"/>
        </w:rPr>
        <w:t>更为顺畅，同时作为机场大道的东延段，可提升市区以及市区内重要经济节点的出行条件。</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K</w:t>
      </w:r>
      <w:r>
        <w:rPr>
          <w:rFonts w:cs="Times New Roman"/>
          <w:kern w:val="0"/>
          <w:szCs w:val="24"/>
          <w:lang w:bidi="ar"/>
        </w:rPr>
        <w:t>方案缺点：</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①</w:t>
      </w:r>
      <w:r>
        <w:rPr>
          <w:rFonts w:cs="Times New Roman"/>
          <w:kern w:val="0"/>
          <w:szCs w:val="24"/>
          <w:lang w:bidi="ar"/>
        </w:rPr>
        <w:t>与图昆公路通过平面交叉连接，从通道走向方面来说衔接不畅。</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②</w:t>
      </w:r>
      <w:r>
        <w:rPr>
          <w:rFonts w:cs="Times New Roman"/>
          <w:kern w:val="0"/>
          <w:szCs w:val="24"/>
          <w:lang w:bidi="ar"/>
        </w:rPr>
        <w:t>该方案较</w:t>
      </w:r>
      <w:r>
        <w:rPr>
          <w:rFonts w:cs="Times New Roman"/>
          <w:kern w:val="0"/>
          <w:szCs w:val="24"/>
          <w:lang w:bidi="ar"/>
        </w:rPr>
        <w:t>A</w:t>
      </w:r>
      <w:r>
        <w:rPr>
          <w:rFonts w:cs="Times New Roman"/>
          <w:kern w:val="0"/>
          <w:szCs w:val="24"/>
          <w:lang w:bidi="ar"/>
        </w:rPr>
        <w:t>方案长</w:t>
      </w:r>
      <w:r>
        <w:rPr>
          <w:rFonts w:cs="Times New Roman"/>
          <w:kern w:val="0"/>
          <w:szCs w:val="24"/>
          <w:lang w:bidi="ar"/>
        </w:rPr>
        <w:t>2.920km</w:t>
      </w:r>
      <w:r>
        <w:rPr>
          <w:rFonts w:cs="Times New Roman"/>
          <w:kern w:val="0"/>
          <w:szCs w:val="24"/>
          <w:lang w:bidi="ar"/>
        </w:rPr>
        <w:t>，工程规模、造价及建设难度均稍大，拆迁难度大。</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综上所述，</w:t>
      </w:r>
      <w:r>
        <w:rPr>
          <w:rFonts w:cs="Times New Roman"/>
          <w:kern w:val="0"/>
          <w:szCs w:val="24"/>
          <w:lang w:bidi="ar"/>
        </w:rPr>
        <w:t>K</w:t>
      </w:r>
      <w:r>
        <w:rPr>
          <w:rFonts w:cs="Times New Roman"/>
          <w:kern w:val="0"/>
          <w:szCs w:val="24"/>
          <w:lang w:bidi="ar"/>
        </w:rPr>
        <w:t>方案与图昆公路以平面交叉形式连接，但改造了机场大道的东延段，使得与城市重要节点衔接更为顺畅，除投资稍大外方案更优，推荐选用</w:t>
      </w:r>
      <w:r>
        <w:rPr>
          <w:rFonts w:cs="Times New Roman"/>
          <w:kern w:val="0"/>
          <w:szCs w:val="24"/>
          <w:lang w:bidi="ar"/>
        </w:rPr>
        <w:t>K</w:t>
      </w:r>
      <w:r>
        <w:rPr>
          <w:rFonts w:cs="Times New Roman"/>
          <w:kern w:val="0"/>
          <w:szCs w:val="24"/>
          <w:lang w:bidi="ar"/>
        </w:rPr>
        <w:t>方案接机场大道终点为本项目的起点。</w:t>
      </w:r>
    </w:p>
    <w:p w:rsidR="00A46452" w:rsidRDefault="009A3928">
      <w:pPr>
        <w:numPr>
          <w:ilvl w:val="0"/>
          <w:numId w:val="14"/>
        </w:numPr>
        <w:ind w:firstLine="480"/>
        <w:rPr>
          <w:rFonts w:cs="Times New Roman"/>
        </w:rPr>
      </w:pPr>
      <w:r>
        <w:rPr>
          <w:rFonts w:cs="Times New Roman"/>
        </w:rPr>
        <w:t>环境比选分析</w:t>
      </w:r>
    </w:p>
    <w:p w:rsidR="00A46452" w:rsidRDefault="009A3928">
      <w:pPr>
        <w:ind w:firstLine="480"/>
        <w:rPr>
          <w:rFonts w:cs="Times New Roman"/>
        </w:rPr>
      </w:pPr>
      <w:r>
        <w:rPr>
          <w:rFonts w:cs="Times New Roman"/>
        </w:rPr>
        <w:t>两个方案均为改扩建路段，</w:t>
      </w:r>
      <w:r>
        <w:rPr>
          <w:rFonts w:cs="Times New Roman"/>
        </w:rPr>
        <w:t>不占用基本农田，对植被的破坏程度较轻，不占用生态保护红线，不占用自然保护区，在生态影响方面影响较小。但</w:t>
      </w:r>
      <w:r>
        <w:rPr>
          <w:rFonts w:cs="Times New Roman"/>
        </w:rPr>
        <w:t>K</w:t>
      </w:r>
      <w:r>
        <w:rPr>
          <w:rFonts w:cs="Times New Roman"/>
        </w:rPr>
        <w:t>线方案与</w:t>
      </w:r>
      <w:r>
        <w:rPr>
          <w:rFonts w:cs="Times New Roman"/>
          <w:kern w:val="0"/>
          <w:szCs w:val="24"/>
          <w:lang w:bidi="ar"/>
        </w:rPr>
        <w:t>城市重要节点衔接更为顺畅</w:t>
      </w:r>
      <w:r>
        <w:rPr>
          <w:rFonts w:cs="Times New Roman"/>
          <w:kern w:val="0"/>
          <w:szCs w:val="24"/>
          <w:lang w:bidi="ar"/>
        </w:rPr>
        <w:t>，</w:t>
      </w:r>
      <w:r>
        <w:rPr>
          <w:rFonts w:cs="Times New Roman"/>
        </w:rPr>
        <w:t>较优在采取严格防护和生态恢复措施后，可很大程度减轻施工期对环境的影响。因此，起点</w:t>
      </w:r>
      <w:r>
        <w:rPr>
          <w:rFonts w:cs="Times New Roman"/>
        </w:rPr>
        <w:t>方案</w:t>
      </w:r>
      <w:r>
        <w:rPr>
          <w:rFonts w:cs="Times New Roman"/>
        </w:rPr>
        <w:t>推荐</w:t>
      </w:r>
      <w:r>
        <w:rPr>
          <w:rFonts w:cs="Times New Roman"/>
        </w:rPr>
        <w:t>K</w:t>
      </w:r>
      <w:r>
        <w:rPr>
          <w:rFonts w:cs="Times New Roman"/>
        </w:rPr>
        <w:t>方案。</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3.1.2</w:t>
      </w:r>
      <w:r>
        <w:rPr>
          <w:rFonts w:cs="Times New Roman" w:hint="default"/>
          <w:sz w:val="28"/>
          <w:szCs w:val="28"/>
        </w:rPr>
        <w:t>终点方案论证</w:t>
      </w:r>
    </w:p>
    <w:p w:rsidR="00A46452" w:rsidRDefault="009A3928">
      <w:pPr>
        <w:wordWrap w:val="0"/>
        <w:topLinePunct/>
        <w:adjustRightInd w:val="0"/>
        <w:snapToGrid w:val="0"/>
        <w:ind w:firstLine="480"/>
        <w:rPr>
          <w:rFonts w:cs="Times New Roman"/>
        </w:rPr>
      </w:pPr>
      <w:r>
        <w:rPr>
          <w:rFonts w:cs="Times New Roman"/>
        </w:rPr>
        <w:t>本项目是构建形成南疆南北大通道：别迭里口岸</w:t>
      </w:r>
      <w:r>
        <w:rPr>
          <w:rFonts w:cs="Times New Roman"/>
        </w:rPr>
        <w:t>－</w:t>
      </w:r>
      <w:r>
        <w:rPr>
          <w:rFonts w:cs="Times New Roman"/>
        </w:rPr>
        <w:t>乌什县（</w:t>
      </w:r>
      <w:r>
        <w:rPr>
          <w:rFonts w:cs="Times New Roman"/>
        </w:rPr>
        <w:t>G219</w:t>
      </w:r>
      <w:r>
        <w:rPr>
          <w:rFonts w:cs="Times New Roman"/>
        </w:rPr>
        <w:t>）</w:t>
      </w:r>
      <w:r>
        <w:rPr>
          <w:rFonts w:cs="Times New Roman"/>
        </w:rPr>
        <w:t>－</w:t>
      </w:r>
      <w:r>
        <w:rPr>
          <w:rFonts w:cs="Times New Roman"/>
        </w:rPr>
        <w:t>阿克苏地区柯坪县（</w:t>
      </w:r>
      <w:r>
        <w:rPr>
          <w:rFonts w:cs="Times New Roman"/>
        </w:rPr>
        <w:t>G3012</w:t>
      </w:r>
      <w:r>
        <w:rPr>
          <w:rFonts w:cs="Times New Roman"/>
        </w:rPr>
        <w:t>、</w:t>
      </w:r>
      <w:r>
        <w:rPr>
          <w:rFonts w:cs="Times New Roman"/>
        </w:rPr>
        <w:t>G314</w:t>
      </w:r>
      <w:r>
        <w:rPr>
          <w:rFonts w:cs="Times New Roman"/>
        </w:rPr>
        <w:t>）</w:t>
      </w:r>
      <w:r>
        <w:rPr>
          <w:rFonts w:cs="Times New Roman"/>
        </w:rPr>
        <w:t>－</w:t>
      </w:r>
      <w:r>
        <w:rPr>
          <w:rFonts w:cs="Times New Roman"/>
        </w:rPr>
        <w:t>第三师图木舒克市（</w:t>
      </w:r>
      <w:r>
        <w:rPr>
          <w:rFonts w:cs="Times New Roman"/>
        </w:rPr>
        <w:t>G217</w:t>
      </w:r>
      <w:r>
        <w:rPr>
          <w:rFonts w:cs="Times New Roman"/>
        </w:rPr>
        <w:t>）</w:t>
      </w:r>
      <w:r>
        <w:rPr>
          <w:rFonts w:cs="Times New Roman"/>
        </w:rPr>
        <w:t>－</w:t>
      </w:r>
      <w:r>
        <w:rPr>
          <w:rFonts w:cs="Times New Roman"/>
        </w:rPr>
        <w:t>第十四师昆玉市、</w:t>
      </w:r>
      <w:r>
        <w:rPr>
          <w:rFonts w:cs="Times New Roman"/>
        </w:rPr>
        <w:t>224</w:t>
      </w:r>
      <w:r>
        <w:rPr>
          <w:rFonts w:cs="Times New Roman"/>
        </w:rPr>
        <w:t>团（</w:t>
      </w:r>
      <w:r>
        <w:rPr>
          <w:rFonts w:cs="Times New Roman"/>
        </w:rPr>
        <w:t>G315</w:t>
      </w:r>
      <w:r>
        <w:rPr>
          <w:rFonts w:cs="Times New Roman"/>
        </w:rPr>
        <w:t>、</w:t>
      </w:r>
      <w:r>
        <w:rPr>
          <w:rFonts w:cs="Times New Roman"/>
        </w:rPr>
        <w:t>G3012</w:t>
      </w:r>
      <w:r>
        <w:rPr>
          <w:rFonts w:cs="Times New Roman"/>
        </w:rPr>
        <w:t>）的重要组成部分，即图木舒克市</w:t>
      </w:r>
      <w:r>
        <w:rPr>
          <w:rFonts w:cs="Times New Roman"/>
        </w:rPr>
        <w:t>－</w:t>
      </w:r>
      <w:r>
        <w:rPr>
          <w:rFonts w:cs="Times New Roman"/>
        </w:rPr>
        <w:t>柯坪县段，终点位置需符合通道走向。</w:t>
      </w:r>
      <w:r>
        <w:rPr>
          <w:rFonts w:cs="Times New Roman"/>
        </w:rPr>
        <w:t>同时，</w:t>
      </w:r>
      <w:r>
        <w:rPr>
          <w:rFonts w:cs="Times New Roman"/>
        </w:rPr>
        <w:t>终点位于柯坪县，需考虑沿线征地拆迁问题。根据以上考虑，</w:t>
      </w:r>
      <w:r>
        <w:rPr>
          <w:rFonts w:cs="Times New Roman"/>
        </w:rPr>
        <w:t>重点</w:t>
      </w:r>
      <w:r>
        <w:rPr>
          <w:rFonts w:cs="Times New Roman"/>
        </w:rPr>
        <w:t>选择三种方案</w:t>
      </w:r>
      <w:r>
        <w:rPr>
          <w:rFonts w:cs="Times New Roman"/>
        </w:rPr>
        <w:t>：</w:t>
      </w:r>
      <w:r>
        <w:rPr>
          <w:rFonts w:cs="Times New Roman"/>
        </w:rPr>
        <w:t>推荐方案</w:t>
      </w:r>
      <w:r>
        <w:rPr>
          <w:rFonts w:cs="Times New Roman"/>
        </w:rPr>
        <w:t>K</w:t>
      </w:r>
      <w:r>
        <w:rPr>
          <w:rFonts w:cs="Times New Roman"/>
        </w:rPr>
        <w:t>及比选方案</w:t>
      </w:r>
      <w:r>
        <w:rPr>
          <w:rFonts w:cs="Times New Roman"/>
        </w:rPr>
        <w:t>F</w:t>
      </w:r>
      <w:r>
        <w:rPr>
          <w:rFonts w:cs="Times New Roman"/>
        </w:rPr>
        <w:t>、</w:t>
      </w:r>
      <w:r>
        <w:rPr>
          <w:rFonts w:cs="Times New Roman"/>
        </w:rPr>
        <w:t>G</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）方案概述</w:t>
      </w:r>
    </w:p>
    <w:p w:rsidR="00A46452" w:rsidRDefault="009A3928">
      <w:pPr>
        <w:wordWrap w:val="0"/>
        <w:topLinePunct/>
        <w:adjustRightInd w:val="0"/>
        <w:snapToGrid w:val="0"/>
        <w:ind w:firstLine="480"/>
        <w:rPr>
          <w:rFonts w:cs="Times New Roman"/>
        </w:rPr>
      </w:pPr>
      <w:r>
        <w:rPr>
          <w:rFonts w:cs="Times New Roman"/>
        </w:rPr>
        <w:t>F</w:t>
      </w:r>
      <w:r>
        <w:rPr>
          <w:rFonts w:cs="Times New Roman"/>
        </w:rPr>
        <w:t>方案优点：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该终点方案相较推荐方案使路线里程缩短</w:t>
      </w:r>
      <w:r>
        <w:rPr>
          <w:rFonts w:cs="Times New Roman"/>
        </w:rPr>
        <w:t>0.5km</w:t>
      </w:r>
      <w:r>
        <w:rPr>
          <w:rFonts w:cs="Times New Roman"/>
        </w:rPr>
        <w:t>，避免新增设跨柯坪河桥，更节约投资。</w:t>
      </w:r>
    </w:p>
    <w:p w:rsidR="00A46452" w:rsidRDefault="009A3928">
      <w:pPr>
        <w:wordWrap w:val="0"/>
        <w:topLinePunct/>
        <w:adjustRightInd w:val="0"/>
        <w:snapToGrid w:val="0"/>
        <w:ind w:firstLine="480"/>
        <w:rPr>
          <w:rFonts w:cs="Times New Roman"/>
        </w:rPr>
      </w:pPr>
      <w:r>
        <w:rPr>
          <w:rFonts w:cs="Times New Roman"/>
        </w:rPr>
        <w:t>②</w:t>
      </w:r>
      <w:r>
        <w:rPr>
          <w:rFonts w:cs="Times New Roman"/>
        </w:rPr>
        <w:t>在柯坪县城镇规划区范围以外，</w:t>
      </w:r>
      <w:r>
        <w:rPr>
          <w:rFonts w:cs="Times New Roman"/>
        </w:rPr>
        <w:t>“</w:t>
      </w:r>
      <w:r>
        <w:rPr>
          <w:rFonts w:cs="Times New Roman"/>
        </w:rPr>
        <w:t>近而不进</w:t>
      </w:r>
      <w:r>
        <w:rPr>
          <w:rFonts w:cs="Times New Roman"/>
        </w:rPr>
        <w:t>”</w:t>
      </w:r>
      <w:r>
        <w:rPr>
          <w:rFonts w:cs="Times New Roman"/>
        </w:rPr>
        <w:t>，改善了出行条件，提高了行车安全性。</w:t>
      </w:r>
    </w:p>
    <w:p w:rsidR="00A46452" w:rsidRDefault="009A3928">
      <w:pPr>
        <w:wordWrap w:val="0"/>
        <w:topLinePunct/>
        <w:adjustRightInd w:val="0"/>
        <w:snapToGrid w:val="0"/>
        <w:ind w:firstLine="480"/>
        <w:rPr>
          <w:rFonts w:cs="Times New Roman"/>
        </w:rPr>
      </w:pPr>
      <w:r>
        <w:rPr>
          <w:rFonts w:cs="Times New Roman"/>
        </w:rPr>
        <w:t>③</w:t>
      </w:r>
      <w:r>
        <w:rPr>
          <w:rFonts w:cs="Times New Roman"/>
        </w:rPr>
        <w:t>征地拆迁数量极少。</w:t>
      </w:r>
    </w:p>
    <w:p w:rsidR="00A46452" w:rsidRDefault="009A3928">
      <w:pPr>
        <w:wordWrap w:val="0"/>
        <w:topLinePunct/>
        <w:adjustRightInd w:val="0"/>
        <w:snapToGrid w:val="0"/>
        <w:ind w:firstLine="480"/>
        <w:rPr>
          <w:rFonts w:cs="Times New Roman"/>
        </w:rPr>
      </w:pPr>
      <w:r>
        <w:rPr>
          <w:rFonts w:cs="Times New Roman"/>
        </w:rPr>
        <w:t>F</w:t>
      </w:r>
      <w:r>
        <w:rPr>
          <w:rFonts w:cs="Times New Roman"/>
        </w:rPr>
        <w:t>方案缺点：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柯坪县需再修建约</w:t>
      </w:r>
      <w:r>
        <w:rPr>
          <w:rFonts w:cs="Times New Roman"/>
        </w:rPr>
        <w:t>3km</w:t>
      </w:r>
      <w:r>
        <w:rPr>
          <w:rFonts w:cs="Times New Roman"/>
        </w:rPr>
        <w:t>连接线与之相接，与推荐方案相比较为不便。</w:t>
      </w:r>
    </w:p>
    <w:p w:rsidR="00A46452" w:rsidRDefault="009A3928">
      <w:pPr>
        <w:wordWrap w:val="0"/>
        <w:topLinePunct/>
        <w:adjustRightInd w:val="0"/>
        <w:snapToGrid w:val="0"/>
        <w:ind w:firstLine="480"/>
        <w:rPr>
          <w:rFonts w:cs="Times New Roman"/>
        </w:rPr>
      </w:pPr>
      <w:r>
        <w:rPr>
          <w:rFonts w:cs="Times New Roman"/>
        </w:rPr>
        <w:t>G</w:t>
      </w:r>
      <w:r>
        <w:rPr>
          <w:rFonts w:cs="Times New Roman"/>
        </w:rPr>
        <w:t>方案优点：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该终点方案相较推荐方案使路线里程缩短</w:t>
      </w:r>
      <w:r>
        <w:rPr>
          <w:rFonts w:cs="Times New Roman"/>
        </w:rPr>
        <w:t>6.990km</w:t>
      </w:r>
      <w:r>
        <w:rPr>
          <w:rFonts w:cs="Times New Roman"/>
        </w:rPr>
        <w:t>，更节约投资。</w:t>
      </w:r>
    </w:p>
    <w:p w:rsidR="00A46452" w:rsidRDefault="009A3928">
      <w:pPr>
        <w:wordWrap w:val="0"/>
        <w:topLinePunct/>
        <w:adjustRightInd w:val="0"/>
        <w:snapToGrid w:val="0"/>
        <w:ind w:firstLine="480"/>
        <w:rPr>
          <w:rFonts w:cs="Times New Roman"/>
        </w:rPr>
      </w:pPr>
      <w:r>
        <w:rPr>
          <w:rFonts w:cs="Times New Roman"/>
        </w:rPr>
        <w:t>②</w:t>
      </w:r>
      <w:r>
        <w:rPr>
          <w:rFonts w:cs="Times New Roman"/>
        </w:rPr>
        <w:t>未进入城区，拆迁及征地数量较小。</w:t>
      </w:r>
    </w:p>
    <w:p w:rsidR="00A46452" w:rsidRDefault="009A3928">
      <w:pPr>
        <w:wordWrap w:val="0"/>
        <w:topLinePunct/>
        <w:adjustRightInd w:val="0"/>
        <w:snapToGrid w:val="0"/>
        <w:ind w:firstLine="480"/>
        <w:rPr>
          <w:rFonts w:cs="Times New Roman"/>
        </w:rPr>
      </w:pPr>
      <w:r>
        <w:rPr>
          <w:rFonts w:cs="Times New Roman"/>
        </w:rPr>
        <w:t>G</w:t>
      </w:r>
      <w:r>
        <w:rPr>
          <w:rFonts w:cs="Times New Roman"/>
        </w:rPr>
        <w:t>方案缺点：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终点位置未与通道后段的柯坪</w:t>
      </w:r>
      <w:r>
        <w:rPr>
          <w:rFonts w:cs="Times New Roman"/>
        </w:rPr>
        <w:t>-</w:t>
      </w:r>
      <w:r>
        <w:rPr>
          <w:rFonts w:cs="Times New Roman"/>
        </w:rPr>
        <w:t>乌什公路连接，不符合通道属性。</w:t>
      </w:r>
    </w:p>
    <w:p w:rsidR="00A46452" w:rsidRDefault="009A3928">
      <w:pPr>
        <w:wordWrap w:val="0"/>
        <w:topLinePunct/>
        <w:adjustRightInd w:val="0"/>
        <w:snapToGrid w:val="0"/>
        <w:ind w:firstLine="480"/>
        <w:rPr>
          <w:rFonts w:cs="Times New Roman"/>
        </w:rPr>
      </w:pPr>
      <w:r>
        <w:rPr>
          <w:rFonts w:cs="Times New Roman"/>
        </w:rPr>
        <w:t>K</w:t>
      </w:r>
      <w:r>
        <w:rPr>
          <w:rFonts w:cs="Times New Roman"/>
        </w:rPr>
        <w:t>方案优点：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终点位置符合通道走向，与后段的柯坪</w:t>
      </w:r>
      <w:r>
        <w:rPr>
          <w:rFonts w:cs="Times New Roman"/>
        </w:rPr>
        <w:t>-</w:t>
      </w:r>
      <w:r>
        <w:rPr>
          <w:rFonts w:cs="Times New Roman"/>
        </w:rPr>
        <w:t>乌什公路连接顺畅。</w:t>
      </w:r>
    </w:p>
    <w:p w:rsidR="00A46452" w:rsidRDefault="009A3928">
      <w:pPr>
        <w:wordWrap w:val="0"/>
        <w:topLinePunct/>
        <w:adjustRightInd w:val="0"/>
        <w:snapToGrid w:val="0"/>
        <w:ind w:firstLine="480"/>
        <w:rPr>
          <w:rFonts w:cs="Times New Roman"/>
        </w:rPr>
      </w:pPr>
      <w:r>
        <w:rPr>
          <w:rFonts w:cs="Times New Roman"/>
        </w:rPr>
        <w:t>②</w:t>
      </w:r>
      <w:r>
        <w:rPr>
          <w:rFonts w:cs="Times New Roman"/>
        </w:rPr>
        <w:t>将柯坪县境内通行条件较差的道路进行了改扩建，改善了通行条件，提高了通行安全性。</w:t>
      </w:r>
    </w:p>
    <w:p w:rsidR="00A46452" w:rsidRDefault="009A3928">
      <w:pPr>
        <w:wordWrap w:val="0"/>
        <w:topLinePunct/>
        <w:adjustRightInd w:val="0"/>
        <w:snapToGrid w:val="0"/>
        <w:ind w:firstLine="480"/>
        <w:rPr>
          <w:rFonts w:cs="Times New Roman"/>
        </w:rPr>
      </w:pPr>
      <w:r>
        <w:rPr>
          <w:rFonts w:cs="Times New Roman"/>
        </w:rPr>
        <w:t>③</w:t>
      </w:r>
      <w:r>
        <w:rPr>
          <w:rFonts w:cs="Times New Roman"/>
        </w:rPr>
        <w:t>该路线方案取得了柯坪县相关部门的认可，并承诺办理推荐方案的相关征地拆迁手续，并承担相应费用，后期项目实施将得到当地政府强有力的支持，</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K</w:t>
      </w:r>
      <w:r>
        <w:rPr>
          <w:rFonts w:cs="Times New Roman"/>
        </w:rPr>
        <w:t>方案缺点：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该终点方案较比选终点方案</w:t>
      </w:r>
      <w:r>
        <w:rPr>
          <w:rFonts w:cs="Times New Roman"/>
        </w:rPr>
        <w:t>F</w:t>
      </w:r>
      <w:r>
        <w:rPr>
          <w:rFonts w:cs="Times New Roman"/>
        </w:rPr>
        <w:t>里程长</w:t>
      </w:r>
      <w:r>
        <w:rPr>
          <w:rFonts w:cs="Times New Roman"/>
        </w:rPr>
        <w:t>3km</w:t>
      </w:r>
      <w:r>
        <w:rPr>
          <w:rFonts w:cs="Times New Roman"/>
        </w:rPr>
        <w:t>，多桥梁一座；较比选终点方案</w:t>
      </w:r>
      <w:r>
        <w:rPr>
          <w:rFonts w:cs="Times New Roman"/>
        </w:rPr>
        <w:t>G</w:t>
      </w:r>
      <w:r>
        <w:rPr>
          <w:rFonts w:cs="Times New Roman"/>
        </w:rPr>
        <w:t>里程长</w:t>
      </w:r>
      <w:r>
        <w:rPr>
          <w:rFonts w:cs="Times New Roman"/>
        </w:rPr>
        <w:t>6.990km</w:t>
      </w:r>
      <w:r>
        <w:rPr>
          <w:rFonts w:cs="Times New Roman"/>
        </w:rPr>
        <w:t>，投</w:t>
      </w:r>
      <w:r>
        <w:rPr>
          <w:rFonts w:cs="Times New Roman"/>
        </w:rPr>
        <w:t>资更大。</w:t>
      </w:r>
    </w:p>
    <w:p w:rsidR="00A46452" w:rsidRDefault="009A3928">
      <w:pPr>
        <w:wordWrap w:val="0"/>
        <w:topLinePunct/>
        <w:adjustRightInd w:val="0"/>
        <w:snapToGrid w:val="0"/>
        <w:ind w:firstLine="480"/>
        <w:rPr>
          <w:rFonts w:cs="Times New Roman"/>
        </w:rPr>
      </w:pPr>
      <w:r>
        <w:rPr>
          <w:rFonts w:cs="Times New Roman"/>
        </w:rPr>
        <w:t>②</w:t>
      </w:r>
      <w:r>
        <w:rPr>
          <w:rFonts w:cs="Times New Roman"/>
        </w:rPr>
        <w:t>路线涉及的征地、拆迁数量较大。</w:t>
      </w:r>
    </w:p>
    <w:p w:rsidR="00A46452" w:rsidRDefault="009A3928">
      <w:pPr>
        <w:wordWrap w:val="0"/>
        <w:topLinePunct/>
        <w:adjustRightInd w:val="0"/>
        <w:snapToGrid w:val="0"/>
        <w:ind w:firstLine="480"/>
        <w:rPr>
          <w:rFonts w:cs="Times New Roman"/>
        </w:rPr>
      </w:pPr>
      <w:r>
        <w:rPr>
          <w:rFonts w:cs="Times New Roman"/>
        </w:rPr>
        <w:t>经综合比较</w:t>
      </w:r>
      <w:r>
        <w:rPr>
          <w:rFonts w:cs="Times New Roman"/>
        </w:rPr>
        <w:t>，</w:t>
      </w:r>
      <w:r>
        <w:rPr>
          <w:rFonts w:cs="Times New Roman"/>
        </w:rPr>
        <w:t>从功能性、工程属性、工程规模、工程造价、规划等因素综合考虑，虽然比较线</w:t>
      </w:r>
      <w:r>
        <w:rPr>
          <w:rFonts w:cs="Times New Roman"/>
        </w:rPr>
        <w:t>K</w:t>
      </w:r>
      <w:r>
        <w:rPr>
          <w:rFonts w:cs="Times New Roman"/>
        </w:rPr>
        <w:t>方案虽存在需进行大量拆迁、征地，但柯坪县承诺</w:t>
      </w:r>
      <w:r>
        <w:rPr>
          <w:rFonts w:cs="Times New Roman"/>
        </w:rPr>
        <w:t>办理</w:t>
      </w:r>
      <w:r>
        <w:rPr>
          <w:rFonts w:cs="Times New Roman"/>
        </w:rPr>
        <w:t>相关征地拆迁手续，并承担相应费用；推荐方案虽投资较大，但符合项目的功能定位，符合通道的属性，也能改善柯坪县现状通行条件，提高通行安全性，推荐选用</w:t>
      </w:r>
      <w:r>
        <w:rPr>
          <w:rFonts w:cs="Times New Roman"/>
        </w:rPr>
        <w:t>K</w:t>
      </w:r>
      <w:r>
        <w:rPr>
          <w:rFonts w:cs="Times New Roman"/>
        </w:rPr>
        <w:t>方案为本项目的终点。</w:t>
      </w:r>
      <w:r>
        <w:rPr>
          <w:rFonts w:cs="Times New Roman"/>
        </w:rPr>
        <w:t>如下图</w:t>
      </w:r>
      <w:r>
        <w:rPr>
          <w:rFonts w:cs="Times New Roman"/>
        </w:rPr>
        <w:t>3.1-2</w:t>
      </w:r>
      <w:r>
        <w:rPr>
          <w:rFonts w:cs="Times New Roman"/>
        </w:rPr>
        <w:t>所示</w:t>
      </w:r>
      <w:r>
        <w:rPr>
          <w:rFonts w:cs="Times New Roman"/>
        </w:rPr>
        <w:t>。</w:t>
      </w:r>
    </w:p>
    <w:p w:rsidR="00A46452" w:rsidRDefault="009A3928">
      <w:pPr>
        <w:numPr>
          <w:ilvl w:val="0"/>
          <w:numId w:val="14"/>
        </w:numPr>
        <w:ind w:firstLine="480"/>
        <w:rPr>
          <w:rFonts w:cs="Times New Roman"/>
        </w:rPr>
      </w:pPr>
      <w:r>
        <w:rPr>
          <w:rFonts w:cs="Times New Roman"/>
        </w:rPr>
        <w:t>环境比选分析</w:t>
      </w:r>
    </w:p>
    <w:p w:rsidR="00A46452" w:rsidRDefault="009A3928">
      <w:pPr>
        <w:ind w:firstLine="480"/>
        <w:rPr>
          <w:rFonts w:cs="Times New Roman"/>
        </w:rPr>
      </w:pPr>
      <w:r>
        <w:rPr>
          <w:rFonts w:cs="Times New Roman"/>
        </w:rPr>
        <w:t>三</w:t>
      </w:r>
      <w:r>
        <w:rPr>
          <w:rFonts w:cs="Times New Roman"/>
        </w:rPr>
        <w:t>个方案均不占用基本农田，对植被的破坏程度较轻，不占用生态保护红线，不占用自然保护区，在生态影响方面影响较小。</w:t>
      </w:r>
      <w:r>
        <w:rPr>
          <w:rFonts w:cs="Times New Roman"/>
        </w:rPr>
        <w:t>K</w:t>
      </w:r>
      <w:r>
        <w:rPr>
          <w:rFonts w:cs="Times New Roman"/>
        </w:rPr>
        <w:t>方案在</w:t>
      </w:r>
      <w:r>
        <w:rPr>
          <w:rFonts w:cs="Times New Roman"/>
        </w:rPr>
        <w:t>柯坪县境内通行条件较差的道路进行了改扩建，改善了通行条件</w:t>
      </w:r>
      <w:r>
        <w:rPr>
          <w:rFonts w:cs="Times New Roman"/>
        </w:rPr>
        <w:t>，</w:t>
      </w:r>
      <w:r>
        <w:rPr>
          <w:rFonts w:cs="Times New Roman"/>
        </w:rPr>
        <w:t>较优在采取严格防护和生态恢复措施后，可很大程度减轻施工期对环境的影响，因此，终点</w:t>
      </w:r>
      <w:r>
        <w:rPr>
          <w:rFonts w:cs="Times New Roman"/>
        </w:rPr>
        <w:t>方案</w:t>
      </w:r>
      <w:r>
        <w:rPr>
          <w:rFonts w:cs="Times New Roman"/>
        </w:rPr>
        <w:t>推荐</w:t>
      </w:r>
      <w:r>
        <w:rPr>
          <w:rFonts w:cs="Times New Roman"/>
        </w:rPr>
        <w:t>K</w:t>
      </w:r>
      <w:r>
        <w:rPr>
          <w:rFonts w:cs="Times New Roman"/>
        </w:rPr>
        <w:t>方案。</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17" w:name="_Toc23260"/>
      <w:r>
        <w:rPr>
          <w:rFonts w:cs="Times New Roman" w:hint="default"/>
          <w:sz w:val="30"/>
          <w:szCs w:val="30"/>
        </w:rPr>
        <w:t>3.2</w:t>
      </w:r>
      <w:r>
        <w:rPr>
          <w:rFonts w:cs="Times New Roman" w:hint="default"/>
          <w:sz w:val="30"/>
          <w:szCs w:val="30"/>
        </w:rPr>
        <w:t>廊道线路比选</w:t>
      </w:r>
      <w:bookmarkEnd w:id="217"/>
    </w:p>
    <w:p w:rsidR="00A46452" w:rsidRDefault="009A3928">
      <w:pPr>
        <w:wordWrap w:val="0"/>
        <w:topLinePunct/>
        <w:adjustRightInd w:val="0"/>
        <w:snapToGrid w:val="0"/>
        <w:ind w:firstLine="480"/>
        <w:rPr>
          <w:rFonts w:cs="Times New Roman"/>
        </w:rPr>
      </w:pPr>
      <w:r>
        <w:rPr>
          <w:rFonts w:cs="Times New Roman"/>
        </w:rPr>
        <w:t>本项目主要连接第三师图木舒克市及柯坪县两个节点，路线沿途经过图木舒克市及下辖</w:t>
      </w:r>
      <w:r>
        <w:rPr>
          <w:rFonts w:cs="Times New Roman"/>
        </w:rPr>
        <w:t>44</w:t>
      </w:r>
      <w:r>
        <w:rPr>
          <w:rFonts w:cs="Times New Roman"/>
        </w:rPr>
        <w:t>团、</w:t>
      </w:r>
      <w:r>
        <w:rPr>
          <w:rFonts w:cs="Times New Roman"/>
        </w:rPr>
        <w:t>50</w:t>
      </w:r>
      <w:r>
        <w:rPr>
          <w:rFonts w:cs="Times New Roman"/>
        </w:rPr>
        <w:t>团、</w:t>
      </w:r>
      <w:r>
        <w:rPr>
          <w:rFonts w:cs="Times New Roman"/>
        </w:rPr>
        <w:t>51</w:t>
      </w:r>
      <w:r>
        <w:rPr>
          <w:rFonts w:cs="Times New Roman"/>
        </w:rPr>
        <w:t>团、</w:t>
      </w:r>
      <w:r>
        <w:rPr>
          <w:rFonts w:cs="Times New Roman"/>
        </w:rPr>
        <w:t>53</w:t>
      </w:r>
      <w:r>
        <w:rPr>
          <w:rFonts w:cs="Times New Roman"/>
        </w:rPr>
        <w:t>团，柯坪县及下辖阿恰勒镇，同时穿越农田灌区、戈壁荒滩等。路线</w:t>
      </w:r>
      <w:r>
        <w:rPr>
          <w:rFonts w:cs="Times New Roman"/>
        </w:rPr>
        <w:t>53</w:t>
      </w:r>
      <w:r>
        <w:rPr>
          <w:rFonts w:cs="Times New Roman"/>
        </w:rPr>
        <w:t>团</w:t>
      </w:r>
      <w:r>
        <w:rPr>
          <w:rFonts w:cs="Times New Roman"/>
        </w:rPr>
        <w:t>－</w:t>
      </w:r>
      <w:r>
        <w:rPr>
          <w:rFonts w:cs="Times New Roman"/>
        </w:rPr>
        <w:t>阿恰勒镇段沿线均为戈壁荒滩，该段路线走廊带无可比性，因此仅对图木舒克市至</w:t>
      </w:r>
      <w:r>
        <w:rPr>
          <w:rFonts w:cs="Times New Roman"/>
        </w:rPr>
        <w:t>53</w:t>
      </w:r>
      <w:r>
        <w:rPr>
          <w:rFonts w:cs="Times New Roman"/>
        </w:rPr>
        <w:t>团段进行走廊带的比选。走廊带的比选本着顾及</w:t>
      </w:r>
      <w:r>
        <w:rPr>
          <w:rFonts w:cs="Times New Roman"/>
        </w:rPr>
        <w:t>生态环境、</w:t>
      </w:r>
      <w:r>
        <w:rPr>
          <w:rFonts w:cs="Times New Roman"/>
        </w:rPr>
        <w:t>地方经济发展规划、带动沿线各重要城镇</w:t>
      </w:r>
      <w:r>
        <w:rPr>
          <w:rFonts w:cs="Times New Roman"/>
        </w:rPr>
        <w:t>发展，同时尽量顺捷里程、减少征地拆迁、避免占用</w:t>
      </w:r>
      <w:r>
        <w:rPr>
          <w:rFonts w:cs="Times New Roman"/>
        </w:rPr>
        <w:t>“</w:t>
      </w:r>
      <w:r>
        <w:rPr>
          <w:rFonts w:cs="Times New Roman"/>
        </w:rPr>
        <w:t>三区三线</w:t>
      </w:r>
      <w:r>
        <w:rPr>
          <w:rFonts w:cs="Times New Roman"/>
        </w:rPr>
        <w:t>”</w:t>
      </w:r>
      <w:r>
        <w:rPr>
          <w:rFonts w:cs="Times New Roman"/>
        </w:rPr>
        <w:t>，降低工程造价、提高经济和社会效益等原则，本次提出东走廊带方案（</w:t>
      </w:r>
      <w:r>
        <w:rPr>
          <w:rFonts w:cs="Times New Roman"/>
        </w:rPr>
        <w:t>K</w:t>
      </w:r>
      <w:r>
        <w:rPr>
          <w:rFonts w:cs="Times New Roman"/>
        </w:rPr>
        <w:t>线）和西走廊带方案（</w:t>
      </w:r>
      <w:r>
        <w:rPr>
          <w:rFonts w:cs="Times New Roman"/>
        </w:rPr>
        <w:t>A</w:t>
      </w:r>
      <w:r>
        <w:rPr>
          <w:rFonts w:cs="Times New Roman"/>
        </w:rPr>
        <w:t>线）</w:t>
      </w:r>
      <w:r>
        <w:rPr>
          <w:rFonts w:cs="Times New Roman"/>
        </w:rPr>
        <w:t>，</w:t>
      </w:r>
      <w:r>
        <w:rPr>
          <w:rFonts w:cs="Times New Roman"/>
        </w:rPr>
        <w:t>方案比选线路如图</w:t>
      </w:r>
      <w:r>
        <w:rPr>
          <w:rFonts w:cs="Times New Roman"/>
        </w:rPr>
        <w:t>3.3-3</w:t>
      </w:r>
      <w:r>
        <w:rPr>
          <w:rFonts w:cs="Times New Roman"/>
        </w:rPr>
        <w:t>所示</w:t>
      </w:r>
      <w:r>
        <w:rPr>
          <w:rFonts w:cs="Times New Roman"/>
        </w:rPr>
        <w:t>。</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线比选方案（蓝色）针对</w:t>
      </w:r>
      <w:r>
        <w:rPr>
          <w:rFonts w:cs="Times New Roman"/>
        </w:rPr>
        <w:t>K</w:t>
      </w:r>
      <w:r>
        <w:rPr>
          <w:rFonts w:cs="Times New Roman"/>
        </w:rPr>
        <w:t>线推荐方案（红色）路线线形指标、占用基本农田数量、拆除电力电线、征占用土地、拆迁以及整体技术难度等方面进行廊道比选。</w:t>
      </w:r>
    </w:p>
    <w:p w:rsidR="00A46452" w:rsidRDefault="009A3928">
      <w:pPr>
        <w:wordWrap w:val="0"/>
        <w:topLinePunct/>
        <w:adjustRightInd w:val="0"/>
        <w:snapToGrid w:val="0"/>
        <w:ind w:firstLine="480"/>
        <w:rPr>
          <w:rFonts w:cs="Times New Roman"/>
        </w:rPr>
      </w:pPr>
      <w:r>
        <w:rPr>
          <w:rFonts w:cs="Times New Roman"/>
        </w:rPr>
        <w:t>K</w:t>
      </w:r>
      <w:r>
        <w:rPr>
          <w:rFonts w:cs="Times New Roman"/>
        </w:rPr>
        <w:t>方案东走廊带优点：</w:t>
      </w:r>
    </w:p>
    <w:p w:rsidR="00A46452" w:rsidRDefault="009A3928">
      <w:pPr>
        <w:wordWrap w:val="0"/>
        <w:topLinePunct/>
        <w:adjustRightInd w:val="0"/>
        <w:snapToGrid w:val="0"/>
        <w:ind w:firstLine="480"/>
        <w:rPr>
          <w:rFonts w:cs="Times New Roman"/>
        </w:rPr>
      </w:pPr>
      <w:r>
        <w:rPr>
          <w:rFonts w:cs="Times New Roman"/>
        </w:rPr>
        <w:t>①</w:t>
      </w:r>
      <w:r>
        <w:rPr>
          <w:rFonts w:cs="Times New Roman"/>
        </w:rPr>
        <w:t>符合</w:t>
      </w:r>
      <w:r>
        <w:rPr>
          <w:rFonts w:cs="Times New Roman"/>
        </w:rPr>
        <w:t>“</w:t>
      </w:r>
      <w:r>
        <w:rPr>
          <w:rFonts w:cs="Times New Roman"/>
        </w:rPr>
        <w:t>第三师图木舒克市综合交通运输</w:t>
      </w:r>
      <w:r>
        <w:rPr>
          <w:rFonts w:cs="Times New Roman"/>
        </w:rPr>
        <w:t>“</w:t>
      </w:r>
      <w:r>
        <w:rPr>
          <w:rFonts w:cs="Times New Roman"/>
        </w:rPr>
        <w:t>十四五</w:t>
      </w:r>
      <w:r>
        <w:rPr>
          <w:rFonts w:cs="Times New Roman"/>
        </w:rPr>
        <w:t>”</w:t>
      </w:r>
      <w:r>
        <w:rPr>
          <w:rFonts w:cs="Times New Roman"/>
        </w:rPr>
        <w:t>发展规划</w:t>
      </w:r>
      <w:r>
        <w:rPr>
          <w:rFonts w:cs="Times New Roman"/>
        </w:rPr>
        <w:t>”</w:t>
      </w:r>
      <w:r>
        <w:rPr>
          <w:rFonts w:cs="Times New Roman"/>
        </w:rPr>
        <w:t>中</w:t>
      </w:r>
      <w:r>
        <w:rPr>
          <w:rFonts w:cs="Times New Roman"/>
        </w:rPr>
        <w:t>“</w:t>
      </w:r>
      <w:r>
        <w:rPr>
          <w:rFonts w:cs="Times New Roman"/>
        </w:rPr>
        <w:t>七射</w:t>
      </w:r>
      <w:r>
        <w:rPr>
          <w:rFonts w:cs="Times New Roman"/>
        </w:rPr>
        <w:t>”</w:t>
      </w:r>
      <w:r>
        <w:rPr>
          <w:rFonts w:cs="Times New Roman"/>
        </w:rPr>
        <w:t>综合运输通道的路线走廊带，距离沿线各团场</w:t>
      </w:r>
      <w:r>
        <w:rPr>
          <w:rFonts w:cs="Times New Roman"/>
        </w:rPr>
        <w:t xml:space="preserve"> “</w:t>
      </w:r>
      <w:r>
        <w:rPr>
          <w:rFonts w:cs="Times New Roman"/>
        </w:rPr>
        <w:t>近而不进</w:t>
      </w:r>
      <w:r>
        <w:rPr>
          <w:rFonts w:cs="Times New Roman"/>
        </w:rPr>
        <w:t>”</w:t>
      </w:r>
      <w:r>
        <w:rPr>
          <w:rFonts w:cs="Times New Roman"/>
        </w:rPr>
        <w:t>，可以带动沿线团场城镇的社会经济发展。</w:t>
      </w:r>
    </w:p>
    <w:p w:rsidR="00A46452" w:rsidRDefault="009A3928">
      <w:pPr>
        <w:wordWrap w:val="0"/>
        <w:topLinePunct/>
        <w:adjustRightInd w:val="0"/>
        <w:snapToGrid w:val="0"/>
        <w:ind w:firstLine="480"/>
        <w:rPr>
          <w:rFonts w:cs="Times New Roman"/>
        </w:rPr>
      </w:pPr>
      <w:r>
        <w:rPr>
          <w:rFonts w:cs="Times New Roman"/>
        </w:rPr>
        <w:t>②K</w:t>
      </w:r>
      <w:r>
        <w:rPr>
          <w:rFonts w:cs="Times New Roman"/>
        </w:rPr>
        <w:t>线方案路线在基本农田</w:t>
      </w:r>
      <w:r>
        <w:rPr>
          <w:rFonts w:cs="Times New Roman"/>
        </w:rPr>
        <w:t>“</w:t>
      </w:r>
      <w:r>
        <w:rPr>
          <w:rFonts w:cs="Times New Roman"/>
        </w:rPr>
        <w:t>二调</w:t>
      </w:r>
      <w:r>
        <w:rPr>
          <w:rFonts w:cs="Times New Roman"/>
        </w:rPr>
        <w:t>”</w:t>
      </w:r>
      <w:r>
        <w:rPr>
          <w:rFonts w:cs="Times New Roman"/>
        </w:rPr>
        <w:t>及</w:t>
      </w:r>
      <w:r>
        <w:rPr>
          <w:rFonts w:cs="Times New Roman"/>
        </w:rPr>
        <w:t>“</w:t>
      </w:r>
      <w:r>
        <w:rPr>
          <w:rFonts w:cs="Times New Roman"/>
        </w:rPr>
        <w:t>三调</w:t>
      </w:r>
      <w:r>
        <w:rPr>
          <w:rFonts w:cs="Times New Roman"/>
        </w:rPr>
        <w:t>”</w:t>
      </w:r>
      <w:r>
        <w:rPr>
          <w:rFonts w:cs="Times New Roman"/>
        </w:rPr>
        <w:t>数据中均有预留的走廊带，因此不占用基本农田。</w:t>
      </w:r>
    </w:p>
    <w:p w:rsidR="00A46452" w:rsidRDefault="009A3928">
      <w:pPr>
        <w:wordWrap w:val="0"/>
        <w:topLinePunct/>
        <w:adjustRightInd w:val="0"/>
        <w:snapToGrid w:val="0"/>
        <w:ind w:firstLine="480"/>
        <w:rPr>
          <w:rFonts w:cs="Times New Roman"/>
        </w:rPr>
      </w:pPr>
      <w:r>
        <w:rPr>
          <w:rFonts w:cs="Times New Roman"/>
        </w:rPr>
        <w:t>K</w:t>
      </w:r>
      <w:r>
        <w:rPr>
          <w:rFonts w:cs="Times New Roman"/>
        </w:rPr>
        <w:t>线方案东走廊带缺点：</w:t>
      </w:r>
    </w:p>
    <w:p w:rsidR="00A46452" w:rsidRDefault="009A3928">
      <w:pPr>
        <w:wordWrap w:val="0"/>
        <w:topLinePunct/>
        <w:adjustRightInd w:val="0"/>
        <w:snapToGrid w:val="0"/>
        <w:ind w:firstLine="480"/>
        <w:rPr>
          <w:rFonts w:cs="Times New Roman"/>
        </w:rPr>
      </w:pPr>
      <w:r>
        <w:rPr>
          <w:rFonts w:cs="Times New Roman"/>
        </w:rPr>
        <w:t>①K</w:t>
      </w:r>
      <w:r>
        <w:rPr>
          <w:rFonts w:cs="Times New Roman"/>
        </w:rPr>
        <w:t>线方案较</w:t>
      </w:r>
      <w:r>
        <w:rPr>
          <w:rFonts w:cs="Times New Roman"/>
        </w:rPr>
        <w:t>A</w:t>
      </w:r>
      <w:r>
        <w:rPr>
          <w:rFonts w:cs="Times New Roman"/>
        </w:rPr>
        <w:t>线方案长</w:t>
      </w:r>
      <w:r>
        <w:rPr>
          <w:rFonts w:cs="Times New Roman"/>
        </w:rPr>
        <w:t>5.396km</w:t>
      </w:r>
      <w:r>
        <w:rPr>
          <w:rFonts w:cs="Times New Roman"/>
        </w:rPr>
        <w:t>，且线型平面指标较</w:t>
      </w:r>
      <w:r>
        <w:rPr>
          <w:rFonts w:cs="Times New Roman"/>
        </w:rPr>
        <w:t>A</w:t>
      </w:r>
      <w:r>
        <w:rPr>
          <w:rFonts w:cs="Times New Roman"/>
        </w:rPr>
        <w:t>线差。</w:t>
      </w:r>
    </w:p>
    <w:p w:rsidR="00A46452" w:rsidRDefault="009A3928">
      <w:pPr>
        <w:wordWrap w:val="0"/>
        <w:topLinePunct/>
        <w:adjustRightInd w:val="0"/>
        <w:snapToGrid w:val="0"/>
        <w:ind w:firstLine="480"/>
        <w:rPr>
          <w:rFonts w:cs="Times New Roman"/>
        </w:rPr>
      </w:pPr>
      <w:r>
        <w:rPr>
          <w:rFonts w:cs="Times New Roman"/>
        </w:rPr>
        <w:t>②</w:t>
      </w:r>
      <w:r>
        <w:rPr>
          <w:rFonts w:cs="Times New Roman"/>
        </w:rPr>
        <w:t>路线位于基本农田预留走廊带中，线位可调整空间极小，廊带范围内的土地、构筑物均需要征拆。</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线方案西走廊带优点：</w:t>
      </w:r>
    </w:p>
    <w:p w:rsidR="00A46452" w:rsidRDefault="009A3928">
      <w:pPr>
        <w:wordWrap w:val="0"/>
        <w:topLinePunct/>
        <w:adjustRightInd w:val="0"/>
        <w:snapToGrid w:val="0"/>
        <w:ind w:firstLine="480"/>
        <w:rPr>
          <w:rFonts w:cs="Times New Roman"/>
        </w:rPr>
      </w:pPr>
      <w:r>
        <w:rPr>
          <w:rFonts w:cs="Times New Roman"/>
        </w:rPr>
        <w:t>①A</w:t>
      </w:r>
      <w:r>
        <w:rPr>
          <w:rFonts w:cs="Times New Roman"/>
        </w:rPr>
        <w:t>线方案较</w:t>
      </w:r>
      <w:r>
        <w:rPr>
          <w:rFonts w:cs="Times New Roman"/>
        </w:rPr>
        <w:t>K</w:t>
      </w:r>
      <w:r>
        <w:rPr>
          <w:rFonts w:cs="Times New Roman"/>
        </w:rPr>
        <w:t>线方案短</w:t>
      </w:r>
      <w:r>
        <w:rPr>
          <w:rFonts w:cs="Times New Roman"/>
        </w:rPr>
        <w:t>5.396km</w:t>
      </w:r>
      <w:r>
        <w:rPr>
          <w:rFonts w:cs="Times New Roman"/>
        </w:rPr>
        <w:t>，平面线型指标较</w:t>
      </w:r>
      <w:r>
        <w:rPr>
          <w:rFonts w:cs="Times New Roman"/>
        </w:rPr>
        <w:t>K</w:t>
      </w:r>
      <w:r>
        <w:rPr>
          <w:rFonts w:cs="Times New Roman"/>
        </w:rPr>
        <w:t>线更高。</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②</w:t>
      </w:r>
      <w:r>
        <w:rPr>
          <w:rFonts w:cs="Times New Roman"/>
        </w:rPr>
        <w:t>拆迁、征地较少。</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线方案西走廊带缺点：</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线比选方案（蓝色）针对</w:t>
      </w:r>
      <w:r>
        <w:rPr>
          <w:rFonts w:cs="Times New Roman"/>
        </w:rPr>
        <w:t>K</w:t>
      </w:r>
      <w:r>
        <w:rPr>
          <w:rFonts w:cs="Times New Roman"/>
        </w:rPr>
        <w:t>线推荐方案（红色）路线线形指标、占用基本农田数量、拆除电力电线、征占用土地、拆迁以及整</w:t>
      </w:r>
      <w:r>
        <w:rPr>
          <w:rFonts w:cs="Times New Roman"/>
        </w:rPr>
        <w:t>体技术难度等方面进行廊道比选。</w:t>
      </w:r>
    </w:p>
    <w:p w:rsidR="00A46452" w:rsidRDefault="009A3928">
      <w:pPr>
        <w:wordWrap w:val="0"/>
        <w:topLinePunct/>
        <w:adjustRightInd w:val="0"/>
        <w:snapToGrid w:val="0"/>
        <w:ind w:firstLine="480"/>
        <w:rPr>
          <w:rFonts w:cs="Times New Roman"/>
        </w:rPr>
      </w:pPr>
      <w:r>
        <w:rPr>
          <w:rFonts w:cs="Times New Roman"/>
        </w:rPr>
        <w:t>K</w:t>
      </w:r>
      <w:r>
        <w:rPr>
          <w:rFonts w:cs="Times New Roman"/>
        </w:rPr>
        <w:t>方案东走廊带优点：</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①</w:t>
      </w:r>
      <w:r>
        <w:rPr>
          <w:rFonts w:cs="Times New Roman"/>
        </w:rPr>
        <w:t>符合</w:t>
      </w:r>
      <w:r>
        <w:rPr>
          <w:rFonts w:cs="Times New Roman"/>
        </w:rPr>
        <w:t>“</w:t>
      </w:r>
      <w:r>
        <w:rPr>
          <w:rFonts w:cs="Times New Roman"/>
        </w:rPr>
        <w:t>第三师图木舒克市综合交通运输</w:t>
      </w:r>
      <w:r>
        <w:rPr>
          <w:rFonts w:cs="Times New Roman"/>
        </w:rPr>
        <w:t>“</w:t>
      </w:r>
      <w:r>
        <w:rPr>
          <w:rFonts w:cs="Times New Roman"/>
        </w:rPr>
        <w:t>十四五</w:t>
      </w:r>
      <w:r>
        <w:rPr>
          <w:rFonts w:cs="Times New Roman"/>
        </w:rPr>
        <w:t>”</w:t>
      </w:r>
      <w:r>
        <w:rPr>
          <w:rFonts w:cs="Times New Roman"/>
        </w:rPr>
        <w:t>发展规划</w:t>
      </w:r>
      <w:r>
        <w:rPr>
          <w:rFonts w:cs="Times New Roman"/>
        </w:rPr>
        <w:t>”</w:t>
      </w:r>
      <w:r>
        <w:rPr>
          <w:rFonts w:cs="Times New Roman"/>
        </w:rPr>
        <w:t>中</w:t>
      </w:r>
      <w:r>
        <w:rPr>
          <w:rFonts w:cs="Times New Roman"/>
        </w:rPr>
        <w:t>“</w:t>
      </w:r>
      <w:r>
        <w:rPr>
          <w:rFonts w:cs="Times New Roman"/>
        </w:rPr>
        <w:t>七射</w:t>
      </w:r>
      <w:r>
        <w:rPr>
          <w:rFonts w:cs="Times New Roman"/>
        </w:rPr>
        <w:t>”</w:t>
      </w:r>
      <w:r>
        <w:rPr>
          <w:rFonts w:cs="Times New Roman"/>
        </w:rPr>
        <w:t>综合运输通道的路线走廊带，距离沿线各团场</w:t>
      </w:r>
      <w:r>
        <w:rPr>
          <w:rFonts w:cs="Times New Roman"/>
        </w:rPr>
        <w:t>“</w:t>
      </w:r>
      <w:r>
        <w:rPr>
          <w:rFonts w:cs="Times New Roman"/>
        </w:rPr>
        <w:t>近而不进</w:t>
      </w:r>
      <w:r>
        <w:rPr>
          <w:rFonts w:cs="Times New Roman"/>
        </w:rPr>
        <w:t>”</w:t>
      </w:r>
      <w:r>
        <w:rPr>
          <w:rFonts w:cs="Times New Roman"/>
        </w:rPr>
        <w:t>，可以带动沿线团场城镇的社会经济发展。</w:t>
      </w:r>
    </w:p>
    <w:p w:rsidR="00A46452" w:rsidRDefault="009A3928">
      <w:pPr>
        <w:wordWrap w:val="0"/>
        <w:topLinePunct/>
        <w:adjustRightInd w:val="0"/>
        <w:snapToGrid w:val="0"/>
        <w:ind w:firstLine="480"/>
        <w:rPr>
          <w:rFonts w:cs="Times New Roman"/>
        </w:rPr>
      </w:pPr>
      <w:r>
        <w:rPr>
          <w:rFonts w:cs="Times New Roman"/>
        </w:rPr>
        <w:t>②K</w:t>
      </w:r>
      <w:r>
        <w:rPr>
          <w:rFonts w:cs="Times New Roman"/>
        </w:rPr>
        <w:t>线方案路线在基本农田</w:t>
      </w:r>
      <w:r>
        <w:rPr>
          <w:rFonts w:cs="Times New Roman"/>
        </w:rPr>
        <w:t>“</w:t>
      </w:r>
      <w:r>
        <w:rPr>
          <w:rFonts w:cs="Times New Roman"/>
        </w:rPr>
        <w:t>二调</w:t>
      </w:r>
      <w:r>
        <w:rPr>
          <w:rFonts w:cs="Times New Roman"/>
        </w:rPr>
        <w:t>”</w:t>
      </w:r>
      <w:r>
        <w:rPr>
          <w:rFonts w:cs="Times New Roman"/>
        </w:rPr>
        <w:t>及</w:t>
      </w:r>
      <w:r>
        <w:rPr>
          <w:rFonts w:cs="Times New Roman"/>
        </w:rPr>
        <w:t>“</w:t>
      </w:r>
      <w:r>
        <w:rPr>
          <w:rFonts w:cs="Times New Roman"/>
        </w:rPr>
        <w:t>三调</w:t>
      </w:r>
      <w:r>
        <w:rPr>
          <w:rFonts w:cs="Times New Roman"/>
        </w:rPr>
        <w:t>”</w:t>
      </w:r>
      <w:r>
        <w:rPr>
          <w:rFonts w:cs="Times New Roman"/>
        </w:rPr>
        <w:t>数据中均有预留的走廊带，因此不占用基本农田。</w:t>
      </w:r>
    </w:p>
    <w:p w:rsidR="00A46452" w:rsidRDefault="009A3928">
      <w:pPr>
        <w:wordWrap w:val="0"/>
        <w:topLinePunct/>
        <w:adjustRightInd w:val="0"/>
        <w:snapToGrid w:val="0"/>
        <w:ind w:firstLine="480"/>
        <w:rPr>
          <w:rFonts w:cs="Times New Roman"/>
        </w:rPr>
      </w:pPr>
      <w:r>
        <w:rPr>
          <w:rFonts w:cs="Times New Roman"/>
        </w:rPr>
        <w:t>K</w:t>
      </w:r>
      <w:r>
        <w:rPr>
          <w:rFonts w:cs="Times New Roman"/>
        </w:rPr>
        <w:t>线方案东走廊带缺点：</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①K</w:t>
      </w:r>
      <w:r>
        <w:rPr>
          <w:rFonts w:cs="Times New Roman"/>
        </w:rPr>
        <w:t>线方案较</w:t>
      </w:r>
      <w:r>
        <w:rPr>
          <w:rFonts w:cs="Times New Roman"/>
        </w:rPr>
        <w:t>A</w:t>
      </w:r>
      <w:r>
        <w:rPr>
          <w:rFonts w:cs="Times New Roman"/>
        </w:rPr>
        <w:t>线方案长</w:t>
      </w:r>
      <w:r>
        <w:rPr>
          <w:rFonts w:cs="Times New Roman"/>
        </w:rPr>
        <w:t>5.396km</w:t>
      </w:r>
      <w:r>
        <w:rPr>
          <w:rFonts w:cs="Times New Roman"/>
        </w:rPr>
        <w:t>，且线型平面指标较</w:t>
      </w:r>
      <w:r>
        <w:rPr>
          <w:rFonts w:cs="Times New Roman"/>
        </w:rPr>
        <w:t>A</w:t>
      </w:r>
      <w:r>
        <w:rPr>
          <w:rFonts w:cs="Times New Roman"/>
        </w:rPr>
        <w:t>线差。</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②</w:t>
      </w:r>
      <w:r>
        <w:rPr>
          <w:rFonts w:cs="Times New Roman"/>
        </w:rPr>
        <w:t>路线位于基本农田预留走廊带中，线位可调整空间极小，廊带范围内的土地、构筑物均需要征拆。</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线方案西走廊带优点：</w:t>
      </w:r>
    </w:p>
    <w:p w:rsidR="00A46452" w:rsidRDefault="009A3928">
      <w:pPr>
        <w:wordWrap w:val="0"/>
        <w:topLinePunct/>
        <w:adjustRightInd w:val="0"/>
        <w:snapToGrid w:val="0"/>
        <w:ind w:firstLine="480"/>
        <w:rPr>
          <w:rFonts w:cs="Times New Roman"/>
        </w:rPr>
      </w:pPr>
      <w:r>
        <w:rPr>
          <w:rFonts w:cs="Times New Roman"/>
        </w:rPr>
        <w:t>①A</w:t>
      </w:r>
      <w:r>
        <w:rPr>
          <w:rFonts w:cs="Times New Roman"/>
        </w:rPr>
        <w:t>线方案较</w:t>
      </w:r>
      <w:r>
        <w:rPr>
          <w:rFonts w:cs="Times New Roman"/>
        </w:rPr>
        <w:t>K</w:t>
      </w:r>
      <w:r>
        <w:rPr>
          <w:rFonts w:cs="Times New Roman"/>
        </w:rPr>
        <w:t>线方案短</w:t>
      </w:r>
      <w:r>
        <w:rPr>
          <w:rFonts w:cs="Times New Roman"/>
        </w:rPr>
        <w:t>5.396km</w:t>
      </w:r>
      <w:r>
        <w:rPr>
          <w:rFonts w:cs="Times New Roman"/>
        </w:rPr>
        <w:t>，平面线型指标较</w:t>
      </w:r>
      <w:r>
        <w:rPr>
          <w:rFonts w:cs="Times New Roman"/>
        </w:rPr>
        <w:t>K</w:t>
      </w:r>
      <w:r>
        <w:rPr>
          <w:rFonts w:cs="Times New Roman"/>
        </w:rPr>
        <w:t>线更高。</w:t>
      </w:r>
    </w:p>
    <w:p w:rsidR="00A46452" w:rsidRDefault="009A3928">
      <w:pPr>
        <w:wordWrap w:val="0"/>
        <w:topLinePunct/>
        <w:adjustRightInd w:val="0"/>
        <w:snapToGrid w:val="0"/>
        <w:ind w:firstLine="480"/>
        <w:rPr>
          <w:rFonts w:cs="Times New Roman"/>
        </w:rPr>
      </w:pPr>
      <w:r>
        <w:rPr>
          <w:rFonts w:cs="Times New Roman"/>
        </w:rPr>
        <w:t>②</w:t>
      </w:r>
      <w:r>
        <w:rPr>
          <w:rFonts w:cs="Times New Roman"/>
        </w:rPr>
        <w:t>拆迁、征地较少。</w:t>
      </w:r>
    </w:p>
    <w:p w:rsidR="00A46452" w:rsidRDefault="009A3928">
      <w:pPr>
        <w:wordWrap w:val="0"/>
        <w:topLinePunct/>
        <w:adjustRightInd w:val="0"/>
        <w:snapToGrid w:val="0"/>
        <w:ind w:firstLine="480"/>
        <w:rPr>
          <w:rFonts w:cs="Times New Roman"/>
        </w:rPr>
      </w:pPr>
      <w:r>
        <w:rPr>
          <w:rFonts w:cs="Times New Roman"/>
        </w:rPr>
        <w:t>A</w:t>
      </w:r>
      <w:r>
        <w:rPr>
          <w:rFonts w:cs="Times New Roman"/>
        </w:rPr>
        <w:t>线方案西走廊带缺点：</w:t>
      </w:r>
    </w:p>
    <w:p w:rsidR="00A46452" w:rsidRDefault="009A3928">
      <w:pPr>
        <w:wordWrap w:val="0"/>
        <w:topLinePunct/>
        <w:adjustRightInd w:val="0"/>
        <w:snapToGrid w:val="0"/>
        <w:ind w:firstLine="480"/>
        <w:rPr>
          <w:rFonts w:cs="Times New Roman"/>
        </w:rPr>
      </w:pPr>
      <w:r>
        <w:rPr>
          <w:rFonts w:cs="Times New Roman"/>
        </w:rPr>
        <w:t>①A</w:t>
      </w:r>
      <w:r>
        <w:rPr>
          <w:rFonts w:cs="Times New Roman"/>
        </w:rPr>
        <w:t>线为在基本农田</w:t>
      </w:r>
      <w:r>
        <w:rPr>
          <w:rFonts w:cs="Times New Roman"/>
        </w:rPr>
        <w:t>“</w:t>
      </w:r>
      <w:r>
        <w:rPr>
          <w:rFonts w:cs="Times New Roman"/>
        </w:rPr>
        <w:t>二调</w:t>
      </w:r>
      <w:r>
        <w:rPr>
          <w:rFonts w:cs="Times New Roman"/>
        </w:rPr>
        <w:t>”</w:t>
      </w:r>
      <w:r>
        <w:rPr>
          <w:rFonts w:cs="Times New Roman"/>
        </w:rPr>
        <w:t>及</w:t>
      </w:r>
      <w:r>
        <w:rPr>
          <w:rFonts w:cs="Times New Roman"/>
        </w:rPr>
        <w:t>“</w:t>
      </w:r>
      <w:r>
        <w:rPr>
          <w:rFonts w:cs="Times New Roman"/>
        </w:rPr>
        <w:t>三调</w:t>
      </w:r>
      <w:r>
        <w:rPr>
          <w:rFonts w:cs="Times New Roman"/>
        </w:rPr>
        <w:t>”</w:t>
      </w:r>
      <w:r>
        <w:rPr>
          <w:rFonts w:cs="Times New Roman"/>
        </w:rPr>
        <w:t>数据中未预留走廊带，在保证公路线型指标的前提下尽可能少占用基本农田，但仍旧占用基本农田</w:t>
      </w:r>
      <w:r>
        <w:rPr>
          <w:rFonts w:cs="Times New Roman"/>
        </w:rPr>
        <w:t>135</w:t>
      </w:r>
      <w:r>
        <w:rPr>
          <w:rFonts w:cs="Times New Roman"/>
        </w:rPr>
        <w:t>亩。</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3.3-</w:t>
      </w:r>
      <w:r>
        <w:rPr>
          <w:rFonts w:eastAsia="黑体" w:cs="Times New Roman" w:hint="eastAsia"/>
        </w:rPr>
        <w:t>1</w:t>
      </w:r>
      <w:r>
        <w:rPr>
          <w:rFonts w:eastAsia="黑体" w:cs="Times New Roman"/>
        </w:rPr>
        <w:t xml:space="preserve">  </w:t>
      </w:r>
      <w:r>
        <w:rPr>
          <w:rFonts w:eastAsia="黑体" w:cs="Times New Roman"/>
        </w:rPr>
        <w:t xml:space="preserve">               </w:t>
      </w:r>
      <w:r>
        <w:rPr>
          <w:rFonts w:eastAsia="黑体" w:cs="Times New Roman"/>
        </w:rPr>
        <w:t>K</w:t>
      </w:r>
      <w:r>
        <w:rPr>
          <w:rFonts w:eastAsia="黑体" w:cs="Times New Roman"/>
        </w:rPr>
        <w:t>、</w:t>
      </w:r>
      <w:r>
        <w:rPr>
          <w:rFonts w:eastAsia="黑体" w:cs="Times New Roman"/>
        </w:rPr>
        <w:t>H</w:t>
      </w:r>
      <w:r>
        <w:rPr>
          <w:rFonts w:eastAsia="黑体" w:cs="Times New Roman"/>
        </w:rPr>
        <w:t>路线方案环境保护比选表</w:t>
      </w:r>
    </w:p>
    <w:tbl>
      <w:tblPr>
        <w:tblW w:w="510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212"/>
        <w:gridCol w:w="2256"/>
        <w:gridCol w:w="1418"/>
        <w:gridCol w:w="1864"/>
        <w:gridCol w:w="1288"/>
      </w:tblGrid>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10"/>
                <w:sz w:val="18"/>
                <w:szCs w:val="18"/>
              </w:rPr>
            </w:pPr>
            <w:r>
              <w:rPr>
                <w:rFonts w:cs="Times New Roman"/>
                <w:w w:val="95"/>
                <w:sz w:val="18"/>
                <w:szCs w:val="18"/>
              </w:rPr>
              <w:t>序</w:t>
            </w:r>
            <w:r>
              <w:rPr>
                <w:rFonts w:cs="Times New Roman"/>
                <w:spacing w:val="-10"/>
                <w:sz w:val="18"/>
                <w:szCs w:val="18"/>
              </w:rPr>
              <w:t>号</w:t>
            </w:r>
          </w:p>
        </w:tc>
        <w:tc>
          <w:tcPr>
            <w:tcW w:w="71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w w:val="95"/>
                <w:sz w:val="18"/>
                <w:szCs w:val="18"/>
              </w:rPr>
            </w:pPr>
            <w:r>
              <w:rPr>
                <w:rFonts w:cs="Times New Roman"/>
                <w:w w:val="95"/>
                <w:sz w:val="18"/>
                <w:szCs w:val="18"/>
              </w:rPr>
              <w:t>环境要素</w:t>
            </w: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10"/>
                <w:sz w:val="18"/>
                <w:szCs w:val="18"/>
              </w:rPr>
            </w:pPr>
            <w:r>
              <w:rPr>
                <w:rFonts w:cs="Times New Roman"/>
                <w:w w:val="95"/>
                <w:sz w:val="18"/>
                <w:szCs w:val="18"/>
              </w:rPr>
              <w:t>项</w:t>
            </w:r>
            <w:r>
              <w:rPr>
                <w:rFonts w:cs="Times New Roman"/>
                <w:spacing w:val="-10"/>
                <w:sz w:val="18"/>
                <w:szCs w:val="18"/>
              </w:rPr>
              <w:t>目</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12"/>
                <w:sz w:val="18"/>
                <w:szCs w:val="18"/>
              </w:rPr>
            </w:pPr>
            <w:r>
              <w:rPr>
                <w:rFonts w:cs="Times New Roman"/>
                <w:w w:val="95"/>
                <w:sz w:val="18"/>
                <w:szCs w:val="18"/>
              </w:rPr>
              <w:t>K</w:t>
            </w:r>
            <w:r>
              <w:rPr>
                <w:rFonts w:cs="Times New Roman"/>
                <w:spacing w:val="-12"/>
                <w:sz w:val="18"/>
                <w:szCs w:val="18"/>
              </w:rPr>
              <w:t>线</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12"/>
                <w:sz w:val="18"/>
                <w:szCs w:val="18"/>
              </w:rPr>
            </w:pPr>
            <w:r>
              <w:rPr>
                <w:rFonts w:cs="Times New Roman"/>
                <w:w w:val="95"/>
                <w:sz w:val="18"/>
                <w:szCs w:val="18"/>
              </w:rPr>
              <w:t>A</w:t>
            </w:r>
            <w:r>
              <w:rPr>
                <w:rFonts w:cs="Times New Roman"/>
                <w:spacing w:val="-12"/>
                <w:sz w:val="18"/>
                <w:szCs w:val="18"/>
              </w:rPr>
              <w:t>线</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w w:val="95"/>
                <w:sz w:val="18"/>
                <w:szCs w:val="18"/>
              </w:rPr>
            </w:pPr>
            <w:r>
              <w:rPr>
                <w:rFonts w:cs="Times New Roman"/>
                <w:w w:val="95"/>
                <w:sz w:val="18"/>
                <w:szCs w:val="18"/>
              </w:rPr>
              <w:t>比较结果</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z w:val="18"/>
                <w:szCs w:val="18"/>
              </w:rPr>
            </w:pPr>
            <w:r>
              <w:rPr>
                <w:rFonts w:cs="Times New Roman"/>
                <w:sz w:val="18"/>
                <w:szCs w:val="18"/>
              </w:rPr>
              <w:t>1</w:t>
            </w:r>
          </w:p>
        </w:tc>
        <w:tc>
          <w:tcPr>
            <w:tcW w:w="711" w:type="pct"/>
            <w:vMerge w:val="restar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工程</w:t>
            </w: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路线长度</w:t>
            </w:r>
            <w:r>
              <w:rPr>
                <w:rFonts w:cs="Times New Roman"/>
                <w:spacing w:val="-3"/>
                <w:sz w:val="18"/>
                <w:szCs w:val="18"/>
              </w:rPr>
              <w:t>（</w:t>
            </w:r>
            <w:r>
              <w:rPr>
                <w:rFonts w:cs="Times New Roman"/>
                <w:spacing w:val="-5"/>
                <w:sz w:val="18"/>
                <w:szCs w:val="18"/>
              </w:rPr>
              <w:t>km</w:t>
            </w:r>
            <w:r>
              <w:rPr>
                <w:rFonts w:cs="Times New Roman"/>
                <w:spacing w:val="-5"/>
                <w:sz w:val="18"/>
                <w:szCs w:val="18"/>
              </w:rPr>
              <w:t>）</w:t>
            </w:r>
          </w:p>
        </w:tc>
        <w:tc>
          <w:tcPr>
            <w:tcW w:w="1416" w:type="dxa"/>
            <w:tcBorders>
              <w:tl2br w:val="nil"/>
              <w:tr2bl w:val="nil"/>
            </w:tcBorders>
            <w:vAlign w:val="center"/>
          </w:tcPr>
          <w:p w:rsidR="00A46452" w:rsidRDefault="009A3928">
            <w:pPr>
              <w:wordWrap w:val="0"/>
              <w:topLinePunct/>
              <w:spacing w:line="240" w:lineRule="auto"/>
              <w:ind w:firstLineChars="0" w:firstLine="0"/>
              <w:jc w:val="center"/>
              <w:textAlignment w:val="top"/>
              <w:rPr>
                <w:rFonts w:cs="Times New Roman"/>
                <w:spacing w:val="-2"/>
                <w:sz w:val="18"/>
                <w:szCs w:val="18"/>
              </w:rPr>
            </w:pPr>
            <w:r>
              <w:rPr>
                <w:rFonts w:cs="Times New Roman"/>
                <w:kern w:val="0"/>
                <w:sz w:val="21"/>
                <w:lang w:bidi="ar"/>
              </w:rPr>
              <w:t>45.950</w:t>
            </w:r>
          </w:p>
        </w:tc>
        <w:tc>
          <w:tcPr>
            <w:tcW w:w="1862" w:type="dxa"/>
            <w:tcBorders>
              <w:tl2br w:val="nil"/>
              <w:tr2bl w:val="nil"/>
            </w:tcBorders>
            <w:vAlign w:val="center"/>
          </w:tcPr>
          <w:p w:rsidR="00A46452" w:rsidRDefault="009A3928">
            <w:pPr>
              <w:wordWrap w:val="0"/>
              <w:topLinePunct/>
              <w:spacing w:line="240" w:lineRule="auto"/>
              <w:ind w:firstLineChars="0" w:firstLine="0"/>
              <w:jc w:val="center"/>
              <w:textAlignment w:val="top"/>
              <w:rPr>
                <w:rFonts w:cs="Times New Roman"/>
                <w:spacing w:val="-2"/>
                <w:sz w:val="18"/>
                <w:szCs w:val="18"/>
              </w:rPr>
            </w:pPr>
            <w:r>
              <w:rPr>
                <w:rFonts w:cs="Times New Roman"/>
                <w:kern w:val="0"/>
                <w:sz w:val="21"/>
                <w:lang w:bidi="ar"/>
              </w:rPr>
              <w:t>40.544</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K</w:t>
            </w:r>
            <w:r>
              <w:rPr>
                <w:rFonts w:cs="Times New Roman"/>
                <w:spacing w:val="-2"/>
                <w:sz w:val="18"/>
                <w:szCs w:val="18"/>
              </w:rPr>
              <w:t>线</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z w:val="18"/>
                <w:szCs w:val="18"/>
              </w:rPr>
            </w:pPr>
            <w:r>
              <w:rPr>
                <w:rFonts w:cs="Times New Roman"/>
                <w:sz w:val="18"/>
                <w:szCs w:val="18"/>
              </w:rPr>
              <w:t>2</w:t>
            </w:r>
          </w:p>
        </w:tc>
        <w:tc>
          <w:tcPr>
            <w:tcW w:w="711" w:type="pct"/>
            <w:vMerge/>
            <w:tcBorders>
              <w:tl2br w:val="nil"/>
              <w:tr2bl w:val="nil"/>
            </w:tcBorders>
            <w:vAlign w:val="center"/>
          </w:tcPr>
          <w:p w:rsidR="00A46452" w:rsidRDefault="00A46452">
            <w:pPr>
              <w:pStyle w:val="TableParagraph"/>
              <w:kinsoku w:val="0"/>
              <w:overflowPunct w:val="0"/>
              <w:spacing w:line="240" w:lineRule="exact"/>
              <w:ind w:firstLineChars="0" w:firstLine="0"/>
              <w:jc w:val="center"/>
              <w:rPr>
                <w:rFonts w:cs="Times New Roman"/>
                <w:spacing w:val="-3"/>
                <w:sz w:val="18"/>
                <w:szCs w:val="18"/>
              </w:rPr>
            </w:pP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占地（亩）</w:t>
            </w:r>
          </w:p>
        </w:tc>
        <w:tc>
          <w:tcPr>
            <w:tcW w:w="1416" w:type="dxa"/>
            <w:tcBorders>
              <w:tl2br w:val="nil"/>
              <w:tr2bl w:val="nil"/>
            </w:tcBorders>
            <w:vAlign w:val="center"/>
          </w:tcPr>
          <w:p w:rsidR="00A46452" w:rsidRDefault="009A3928">
            <w:pPr>
              <w:wordWrap w:val="0"/>
              <w:topLinePunct/>
              <w:spacing w:line="240" w:lineRule="auto"/>
              <w:ind w:firstLineChars="0" w:firstLine="0"/>
              <w:jc w:val="center"/>
              <w:textAlignment w:val="top"/>
              <w:rPr>
                <w:rFonts w:cs="Times New Roman"/>
                <w:spacing w:val="-2"/>
                <w:sz w:val="18"/>
                <w:szCs w:val="18"/>
              </w:rPr>
            </w:pPr>
            <w:r>
              <w:rPr>
                <w:rFonts w:cs="Times New Roman"/>
                <w:kern w:val="0"/>
                <w:sz w:val="21"/>
                <w:lang w:bidi="ar"/>
              </w:rPr>
              <w:t>1723.89</w:t>
            </w:r>
          </w:p>
        </w:tc>
        <w:tc>
          <w:tcPr>
            <w:tcW w:w="1862" w:type="dxa"/>
            <w:tcBorders>
              <w:tl2br w:val="nil"/>
              <w:tr2bl w:val="nil"/>
            </w:tcBorders>
            <w:vAlign w:val="center"/>
          </w:tcPr>
          <w:p w:rsidR="00A46452" w:rsidRDefault="009A3928">
            <w:pPr>
              <w:wordWrap w:val="0"/>
              <w:topLinePunct/>
              <w:spacing w:line="240" w:lineRule="auto"/>
              <w:ind w:firstLineChars="0" w:firstLine="0"/>
              <w:jc w:val="center"/>
              <w:textAlignment w:val="top"/>
              <w:rPr>
                <w:rFonts w:cs="Times New Roman"/>
                <w:spacing w:val="-2"/>
                <w:sz w:val="18"/>
                <w:szCs w:val="18"/>
              </w:rPr>
            </w:pPr>
            <w:r>
              <w:rPr>
                <w:rFonts w:cs="Times New Roman"/>
                <w:kern w:val="0"/>
                <w:sz w:val="21"/>
                <w:lang w:bidi="ar"/>
              </w:rPr>
              <w:t>1496.47</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A</w:t>
            </w:r>
            <w:r>
              <w:rPr>
                <w:rFonts w:cs="Times New Roman"/>
                <w:spacing w:val="-2"/>
                <w:sz w:val="18"/>
                <w:szCs w:val="18"/>
              </w:rPr>
              <w:t>线</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z w:val="18"/>
                <w:szCs w:val="18"/>
              </w:rPr>
            </w:pPr>
            <w:r>
              <w:rPr>
                <w:rFonts w:cs="Times New Roman"/>
                <w:sz w:val="18"/>
                <w:szCs w:val="18"/>
              </w:rPr>
              <w:t>3</w:t>
            </w:r>
          </w:p>
        </w:tc>
        <w:tc>
          <w:tcPr>
            <w:tcW w:w="711" w:type="pct"/>
            <w:vMerge/>
            <w:tcBorders>
              <w:tl2br w:val="nil"/>
              <w:tr2bl w:val="nil"/>
            </w:tcBorders>
            <w:vAlign w:val="center"/>
          </w:tcPr>
          <w:p w:rsidR="00A46452" w:rsidRDefault="00A46452">
            <w:pPr>
              <w:pStyle w:val="TableParagraph"/>
              <w:kinsoku w:val="0"/>
              <w:overflowPunct w:val="0"/>
              <w:spacing w:line="240" w:lineRule="exact"/>
              <w:ind w:firstLineChars="0" w:firstLine="0"/>
              <w:jc w:val="center"/>
              <w:rPr>
                <w:rFonts w:cs="Times New Roman"/>
                <w:spacing w:val="-3"/>
                <w:sz w:val="18"/>
                <w:szCs w:val="18"/>
              </w:rPr>
            </w:pP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土石方量</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177950</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165530</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K</w:t>
            </w:r>
            <w:r>
              <w:rPr>
                <w:rFonts w:cs="Times New Roman"/>
                <w:spacing w:val="-2"/>
                <w:sz w:val="18"/>
                <w:szCs w:val="18"/>
              </w:rPr>
              <w:t>线</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z w:val="18"/>
                <w:szCs w:val="18"/>
              </w:rPr>
            </w:pPr>
            <w:r>
              <w:rPr>
                <w:rFonts w:cs="Times New Roman"/>
                <w:sz w:val="18"/>
                <w:szCs w:val="18"/>
              </w:rPr>
              <w:t>5</w:t>
            </w:r>
          </w:p>
        </w:tc>
        <w:tc>
          <w:tcPr>
            <w:tcW w:w="711" w:type="pct"/>
            <w:vMerge w:val="restar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生态</w:t>
            </w: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生态保护红线</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4"/>
                <w:sz w:val="18"/>
                <w:szCs w:val="18"/>
              </w:rPr>
              <w:t>相当</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z w:val="18"/>
                <w:szCs w:val="18"/>
              </w:rPr>
            </w:pPr>
            <w:r>
              <w:rPr>
                <w:rFonts w:cs="Times New Roman"/>
                <w:sz w:val="18"/>
                <w:szCs w:val="18"/>
              </w:rPr>
              <w:t>6</w:t>
            </w:r>
          </w:p>
        </w:tc>
        <w:tc>
          <w:tcPr>
            <w:tcW w:w="711" w:type="pct"/>
            <w:vMerge/>
            <w:tcBorders>
              <w:tl2br w:val="nil"/>
              <w:tr2bl w:val="nil"/>
            </w:tcBorders>
            <w:vAlign w:val="center"/>
          </w:tcPr>
          <w:p w:rsidR="00A46452" w:rsidRDefault="00A46452">
            <w:pPr>
              <w:pStyle w:val="TableParagraph"/>
              <w:kinsoku w:val="0"/>
              <w:overflowPunct w:val="0"/>
              <w:spacing w:line="240" w:lineRule="exact"/>
              <w:ind w:firstLineChars="0" w:firstLine="0"/>
              <w:jc w:val="center"/>
              <w:rPr>
                <w:rFonts w:cs="Times New Roman"/>
                <w:spacing w:val="-3"/>
                <w:sz w:val="18"/>
                <w:szCs w:val="18"/>
              </w:rPr>
            </w:pP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国家一级公益林</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4"/>
                <w:sz w:val="18"/>
                <w:szCs w:val="18"/>
              </w:rPr>
              <w:t>相当</w:t>
            </w:r>
          </w:p>
        </w:tc>
      </w:tr>
      <w:tr w:rsidR="00A46452">
        <w:trPr>
          <w:trHeight w:val="227"/>
          <w:jc w:val="center"/>
        </w:trPr>
        <w:tc>
          <w:tcPr>
            <w:tcW w:w="283" w:type="pct"/>
            <w:tcBorders>
              <w:tl2br w:val="nil"/>
              <w:tr2bl w:val="nil"/>
            </w:tcBorders>
            <w:shd w:val="clear" w:color="auto" w:fill="auto"/>
            <w:vAlign w:val="center"/>
          </w:tcPr>
          <w:p w:rsidR="00A46452" w:rsidRDefault="009A3928">
            <w:pPr>
              <w:pStyle w:val="TableParagraph"/>
              <w:kinsoku w:val="0"/>
              <w:overflowPunct w:val="0"/>
              <w:spacing w:line="240" w:lineRule="exact"/>
              <w:ind w:firstLineChars="0" w:firstLine="0"/>
              <w:jc w:val="center"/>
              <w:rPr>
                <w:rFonts w:cs="Times New Roman"/>
                <w:kern w:val="0"/>
                <w:sz w:val="18"/>
                <w:szCs w:val="18"/>
              </w:rPr>
            </w:pPr>
            <w:r>
              <w:rPr>
                <w:rFonts w:cs="Times New Roman"/>
                <w:sz w:val="18"/>
                <w:szCs w:val="18"/>
              </w:rPr>
              <w:t>7</w:t>
            </w:r>
          </w:p>
        </w:tc>
        <w:tc>
          <w:tcPr>
            <w:tcW w:w="711" w:type="pct"/>
            <w:vMerge/>
            <w:tcBorders>
              <w:tl2br w:val="nil"/>
              <w:tr2bl w:val="nil"/>
            </w:tcBorders>
            <w:vAlign w:val="center"/>
          </w:tcPr>
          <w:p w:rsidR="00A46452" w:rsidRDefault="00A46452">
            <w:pPr>
              <w:pStyle w:val="TableParagraph"/>
              <w:kinsoku w:val="0"/>
              <w:overflowPunct w:val="0"/>
              <w:spacing w:line="240" w:lineRule="exact"/>
              <w:ind w:firstLineChars="0" w:firstLine="0"/>
              <w:jc w:val="center"/>
              <w:rPr>
                <w:rFonts w:cs="Times New Roman"/>
                <w:spacing w:val="-3"/>
                <w:sz w:val="18"/>
                <w:szCs w:val="18"/>
              </w:rPr>
            </w:pP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基本农田</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沿线占用基本农田</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4"/>
                <w:sz w:val="18"/>
                <w:szCs w:val="18"/>
              </w:rPr>
            </w:pPr>
            <w:r>
              <w:rPr>
                <w:rFonts w:cs="Times New Roman"/>
                <w:spacing w:val="-2"/>
                <w:sz w:val="18"/>
                <w:szCs w:val="18"/>
              </w:rPr>
              <w:t>K</w:t>
            </w:r>
            <w:r>
              <w:rPr>
                <w:rFonts w:cs="Times New Roman"/>
                <w:spacing w:val="-2"/>
                <w:sz w:val="18"/>
                <w:szCs w:val="18"/>
              </w:rPr>
              <w:t>线</w:t>
            </w:r>
          </w:p>
        </w:tc>
      </w:tr>
      <w:tr w:rsidR="00A46452">
        <w:trPr>
          <w:trHeight w:val="227"/>
          <w:jc w:val="center"/>
        </w:trPr>
        <w:tc>
          <w:tcPr>
            <w:tcW w:w="283" w:type="pct"/>
            <w:tcBorders>
              <w:tl2br w:val="nil"/>
              <w:tr2bl w:val="nil"/>
            </w:tcBorders>
            <w:shd w:val="clear" w:color="auto" w:fill="auto"/>
            <w:vAlign w:val="center"/>
          </w:tcPr>
          <w:p w:rsidR="00A46452" w:rsidRDefault="009A3928">
            <w:pPr>
              <w:pStyle w:val="TableParagraph"/>
              <w:kinsoku w:val="0"/>
              <w:overflowPunct w:val="0"/>
              <w:spacing w:line="240" w:lineRule="exact"/>
              <w:ind w:firstLineChars="0" w:firstLine="0"/>
              <w:jc w:val="center"/>
              <w:rPr>
                <w:rFonts w:cs="Times New Roman"/>
                <w:spacing w:val="-5"/>
                <w:kern w:val="0"/>
                <w:sz w:val="18"/>
                <w:szCs w:val="18"/>
              </w:rPr>
            </w:pPr>
            <w:r>
              <w:rPr>
                <w:rFonts w:cs="Times New Roman"/>
                <w:spacing w:val="-5"/>
                <w:sz w:val="18"/>
                <w:szCs w:val="18"/>
              </w:rPr>
              <w:t>8</w:t>
            </w:r>
          </w:p>
        </w:tc>
        <w:tc>
          <w:tcPr>
            <w:tcW w:w="711" w:type="pct"/>
            <w:vMerge/>
            <w:tcBorders>
              <w:tl2br w:val="nil"/>
              <w:tr2bl w:val="nil"/>
            </w:tcBorders>
            <w:vAlign w:val="center"/>
          </w:tcPr>
          <w:p w:rsidR="00A46452" w:rsidRDefault="00A46452">
            <w:pPr>
              <w:pStyle w:val="TableParagraph"/>
              <w:kinsoku w:val="0"/>
              <w:overflowPunct w:val="0"/>
              <w:spacing w:line="240" w:lineRule="exact"/>
              <w:ind w:firstLineChars="0" w:firstLine="0"/>
              <w:jc w:val="center"/>
              <w:rPr>
                <w:rFonts w:cs="Times New Roman"/>
                <w:spacing w:val="-3"/>
                <w:sz w:val="18"/>
                <w:szCs w:val="18"/>
              </w:rPr>
            </w:pP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自然保护区</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不占用</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线不占用</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K</w:t>
            </w:r>
            <w:r>
              <w:rPr>
                <w:rFonts w:cs="Times New Roman"/>
                <w:spacing w:val="-2"/>
                <w:sz w:val="18"/>
                <w:szCs w:val="18"/>
              </w:rPr>
              <w:t>线</w:t>
            </w:r>
          </w:p>
        </w:tc>
      </w:tr>
      <w:tr w:rsidR="00A46452">
        <w:trPr>
          <w:trHeight w:val="227"/>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5"/>
                <w:sz w:val="18"/>
                <w:szCs w:val="18"/>
              </w:rPr>
            </w:pPr>
            <w:r>
              <w:rPr>
                <w:rFonts w:cs="Times New Roman"/>
                <w:spacing w:val="-5"/>
                <w:sz w:val="18"/>
                <w:szCs w:val="18"/>
              </w:rPr>
              <w:t>9</w:t>
            </w:r>
          </w:p>
        </w:tc>
        <w:tc>
          <w:tcPr>
            <w:tcW w:w="71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大气、声</w:t>
            </w: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大气、</w:t>
            </w:r>
            <w:r>
              <w:rPr>
                <w:rFonts w:cs="Times New Roman"/>
                <w:spacing w:val="-3"/>
                <w:sz w:val="18"/>
                <w:szCs w:val="18"/>
              </w:rPr>
              <w:t>声环境保护目标</w:t>
            </w:r>
            <w:r>
              <w:rPr>
                <w:rFonts w:cs="Times New Roman"/>
                <w:spacing w:val="-5"/>
                <w:sz w:val="18"/>
                <w:szCs w:val="18"/>
              </w:rPr>
              <w:t>个</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无</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无</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4"/>
                <w:sz w:val="18"/>
                <w:szCs w:val="18"/>
              </w:rPr>
              <w:t>相当</w:t>
            </w:r>
          </w:p>
        </w:tc>
      </w:tr>
      <w:tr w:rsidR="00A46452">
        <w:trPr>
          <w:trHeight w:val="90"/>
          <w:jc w:val="center"/>
        </w:trPr>
        <w:tc>
          <w:tcPr>
            <w:tcW w:w="28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5"/>
                <w:sz w:val="18"/>
                <w:szCs w:val="18"/>
              </w:rPr>
            </w:pPr>
            <w:r>
              <w:rPr>
                <w:rFonts w:cs="Times New Roman"/>
                <w:spacing w:val="-5"/>
                <w:sz w:val="18"/>
                <w:szCs w:val="18"/>
              </w:rPr>
              <w:t>10</w:t>
            </w:r>
          </w:p>
        </w:tc>
        <w:tc>
          <w:tcPr>
            <w:tcW w:w="71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水环境</w:t>
            </w:r>
          </w:p>
        </w:tc>
        <w:tc>
          <w:tcPr>
            <w:tcW w:w="132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3"/>
                <w:sz w:val="18"/>
                <w:szCs w:val="18"/>
              </w:rPr>
            </w:pPr>
            <w:r>
              <w:rPr>
                <w:rFonts w:cs="Times New Roman"/>
                <w:spacing w:val="-3"/>
                <w:sz w:val="18"/>
                <w:szCs w:val="18"/>
              </w:rPr>
              <w:t>桥梁</w:t>
            </w:r>
          </w:p>
        </w:tc>
        <w:tc>
          <w:tcPr>
            <w:tcW w:w="831"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10</w:t>
            </w:r>
            <w:r>
              <w:rPr>
                <w:rFonts w:cs="Times New Roman"/>
                <w:spacing w:val="-2"/>
                <w:sz w:val="18"/>
                <w:szCs w:val="18"/>
              </w:rPr>
              <w:t>座</w:t>
            </w:r>
          </w:p>
        </w:tc>
        <w:tc>
          <w:tcPr>
            <w:tcW w:w="1093"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2"/>
                <w:sz w:val="18"/>
                <w:szCs w:val="18"/>
              </w:rPr>
            </w:pPr>
            <w:r>
              <w:rPr>
                <w:rFonts w:cs="Times New Roman"/>
                <w:spacing w:val="-2"/>
                <w:sz w:val="18"/>
                <w:szCs w:val="18"/>
              </w:rPr>
              <w:t>6</w:t>
            </w:r>
            <w:r>
              <w:rPr>
                <w:rFonts w:cs="Times New Roman"/>
                <w:spacing w:val="-2"/>
                <w:sz w:val="18"/>
                <w:szCs w:val="18"/>
              </w:rPr>
              <w:t>座</w:t>
            </w:r>
          </w:p>
        </w:tc>
        <w:tc>
          <w:tcPr>
            <w:tcW w:w="755" w:type="pct"/>
            <w:tcBorders>
              <w:tl2br w:val="nil"/>
              <w:tr2bl w:val="nil"/>
            </w:tcBorders>
            <w:vAlign w:val="center"/>
          </w:tcPr>
          <w:p w:rsidR="00A46452" w:rsidRDefault="009A3928">
            <w:pPr>
              <w:pStyle w:val="TableParagraph"/>
              <w:kinsoku w:val="0"/>
              <w:overflowPunct w:val="0"/>
              <w:spacing w:line="240" w:lineRule="exact"/>
              <w:ind w:firstLineChars="0" w:firstLine="0"/>
              <w:jc w:val="center"/>
              <w:rPr>
                <w:rFonts w:cs="Times New Roman"/>
                <w:spacing w:val="-4"/>
                <w:sz w:val="18"/>
                <w:szCs w:val="18"/>
              </w:rPr>
            </w:pPr>
            <w:r>
              <w:rPr>
                <w:rFonts w:cs="Times New Roman"/>
                <w:spacing w:val="-4"/>
                <w:sz w:val="18"/>
                <w:szCs w:val="18"/>
              </w:rPr>
              <w:t>A</w:t>
            </w:r>
            <w:r>
              <w:rPr>
                <w:rFonts w:cs="Times New Roman"/>
                <w:spacing w:val="-2"/>
                <w:sz w:val="18"/>
                <w:szCs w:val="18"/>
              </w:rPr>
              <w:t>线</w:t>
            </w:r>
          </w:p>
        </w:tc>
      </w:tr>
    </w:tbl>
    <w:p w:rsidR="00A46452" w:rsidRDefault="009A3928">
      <w:pPr>
        <w:ind w:firstLine="480"/>
        <w:rPr>
          <w:rFonts w:cs="Times New Roman"/>
        </w:rPr>
      </w:pPr>
      <w:r>
        <w:rPr>
          <w:rFonts w:cs="Times New Roman"/>
        </w:rPr>
        <w:t>两个方案均不占用国家一级公益林，</w:t>
      </w:r>
      <w:r>
        <w:rPr>
          <w:rFonts w:cs="Times New Roman"/>
        </w:rPr>
        <w:t>A</w:t>
      </w:r>
      <w:r>
        <w:rPr>
          <w:rFonts w:cs="Times New Roman"/>
        </w:rPr>
        <w:t>方案虽然占地面积少，土方量少，但</w:t>
      </w:r>
      <w:r>
        <w:rPr>
          <w:rFonts w:cs="Times New Roman"/>
        </w:rPr>
        <w:t>A</w:t>
      </w:r>
      <w:r>
        <w:rPr>
          <w:rFonts w:cs="Times New Roman"/>
        </w:rPr>
        <w:t>方案未在基本农田</w:t>
      </w:r>
      <w:r>
        <w:rPr>
          <w:rFonts w:cs="Times New Roman"/>
        </w:rPr>
        <w:t>“</w:t>
      </w:r>
      <w:r>
        <w:rPr>
          <w:rFonts w:cs="Times New Roman"/>
        </w:rPr>
        <w:t>三调</w:t>
      </w:r>
      <w:r>
        <w:rPr>
          <w:rFonts w:cs="Times New Roman"/>
        </w:rPr>
        <w:t>”</w:t>
      </w:r>
      <w:r>
        <w:rPr>
          <w:rFonts w:cs="Times New Roman"/>
        </w:rPr>
        <w:t>数据中预留廊道，占用基本农田数量较大</w:t>
      </w:r>
      <w:r>
        <w:rPr>
          <w:rFonts w:cs="Times New Roman"/>
        </w:rPr>
        <w:t>。</w:t>
      </w:r>
      <w:r>
        <w:rPr>
          <w:rFonts w:cs="Times New Roman"/>
        </w:rPr>
        <w:t>K</w:t>
      </w:r>
      <w:r>
        <w:rPr>
          <w:rFonts w:cs="Times New Roman"/>
        </w:rPr>
        <w:t>线方案不占用自然保护区，在生态影响方面影响较小，故</w:t>
      </w:r>
      <w:r>
        <w:rPr>
          <w:rFonts w:cs="Times New Roman"/>
        </w:rPr>
        <w:t>K</w:t>
      </w:r>
      <w:r>
        <w:rPr>
          <w:rFonts w:cs="Times New Roman"/>
        </w:rPr>
        <w:t>线方案较优在采取严格防护和生态恢复措施后，可很大程度减轻施工期对环境的影响。因此，</w:t>
      </w:r>
      <w:r>
        <w:rPr>
          <w:rFonts w:cs="Times New Roman"/>
        </w:rPr>
        <w:t>对图木舒克市至</w:t>
      </w:r>
      <w:r>
        <w:rPr>
          <w:rFonts w:cs="Times New Roman"/>
        </w:rPr>
        <w:t>53</w:t>
      </w:r>
      <w:r>
        <w:rPr>
          <w:rFonts w:cs="Times New Roman"/>
        </w:rPr>
        <w:t>团段进行走廊带</w:t>
      </w:r>
      <w:r>
        <w:rPr>
          <w:rFonts w:cs="Times New Roman"/>
        </w:rPr>
        <w:t>方案</w:t>
      </w:r>
      <w:r>
        <w:rPr>
          <w:rFonts w:cs="Times New Roman"/>
        </w:rPr>
        <w:t>推荐</w:t>
      </w:r>
      <w:r>
        <w:rPr>
          <w:rFonts w:cs="Times New Roman"/>
        </w:rPr>
        <w:t>K</w:t>
      </w:r>
      <w:r>
        <w:rPr>
          <w:rFonts w:cs="Times New Roman"/>
        </w:rPr>
        <w:t>方案。</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18" w:name="_Toc31918"/>
      <w:r>
        <w:rPr>
          <w:rFonts w:cs="Times New Roman" w:hint="default"/>
          <w:sz w:val="30"/>
          <w:szCs w:val="30"/>
        </w:rPr>
        <w:t>3.3</w:t>
      </w:r>
      <w:r>
        <w:rPr>
          <w:rFonts w:cs="Times New Roman" w:hint="default"/>
          <w:sz w:val="30"/>
          <w:szCs w:val="30"/>
        </w:rPr>
        <w:t>穿越国家二级公益林不可避让分析</w:t>
      </w:r>
      <w:bookmarkEnd w:id="218"/>
    </w:p>
    <w:p w:rsidR="00A46452" w:rsidRDefault="009A3928">
      <w:pPr>
        <w:ind w:firstLine="480"/>
        <w:rPr>
          <w:rFonts w:cs="Times New Roman"/>
          <w:snapToGrid w:val="0"/>
        </w:rPr>
      </w:pPr>
      <w:r>
        <w:rPr>
          <w:rFonts w:cs="Times New Roman"/>
          <w:snapToGrid w:val="0"/>
        </w:rPr>
        <w:t>①</w:t>
      </w:r>
      <w:r>
        <w:rPr>
          <w:rFonts w:cs="Times New Roman"/>
          <w:snapToGrid w:val="0"/>
        </w:rPr>
        <w:t>公益林的不可避让性分析</w:t>
      </w:r>
    </w:p>
    <w:p w:rsidR="00A46452" w:rsidRDefault="009A3928">
      <w:pPr>
        <w:ind w:firstLine="480"/>
        <w:rPr>
          <w:rFonts w:cs="Times New Roman"/>
          <w:szCs w:val="24"/>
        </w:rPr>
      </w:pPr>
      <w:r>
        <w:rPr>
          <w:rFonts w:cs="Times New Roman"/>
          <w:snapToGrid w:val="0"/>
        </w:rPr>
        <w:t>本项目</w:t>
      </w:r>
      <w:r>
        <w:rPr>
          <w:rFonts w:cs="Times New Roman"/>
          <w:snapToGrid w:val="0"/>
          <w:lang w:val="zh-CN"/>
        </w:rPr>
        <w:t>公益林重点分布在</w:t>
      </w:r>
      <w:r>
        <w:rPr>
          <w:rFonts w:cs="Times New Roman"/>
          <w:snapToGrid w:val="0"/>
        </w:rPr>
        <w:t>第三师图木舒克市及喀什地区巴楚县</w:t>
      </w:r>
      <w:r>
        <w:rPr>
          <w:rFonts w:cs="Times New Roman"/>
          <w:snapToGrid w:val="0"/>
          <w:lang w:val="zh-CN"/>
        </w:rPr>
        <w:t>，</w:t>
      </w:r>
      <w:r>
        <w:rPr>
          <w:rFonts w:cs="Times New Roman"/>
          <w:snapToGrid w:val="0"/>
        </w:rPr>
        <w:t>根据公益林现状调查情况，</w:t>
      </w:r>
      <w:r>
        <w:rPr>
          <w:rFonts w:cs="Times New Roman"/>
          <w:snapToGrid w:val="0"/>
          <w:lang w:val="zh-CN"/>
        </w:rPr>
        <w:t>本项目</w:t>
      </w:r>
      <w:r>
        <w:rPr>
          <w:rFonts w:cs="Times New Roman"/>
          <w:snapToGrid w:val="0"/>
        </w:rPr>
        <w:t>沿线</w:t>
      </w:r>
      <w:r>
        <w:rPr>
          <w:rFonts w:cs="Times New Roman"/>
          <w:snapToGrid w:val="0"/>
          <w:lang w:val="zh-CN"/>
        </w:rPr>
        <w:t>穿越国家二级</w:t>
      </w:r>
      <w:r>
        <w:rPr>
          <w:rFonts w:cs="Times New Roman"/>
          <w:snapToGrid w:val="0"/>
        </w:rPr>
        <w:t>公益林，拟建项目建设地点周边均为公益林，路线绕行的费用较大，远高于植被保护的费用，不具备避让条件，因此尽量选择了沿线比较稀疏的路段穿越</w:t>
      </w:r>
      <w:r>
        <w:rPr>
          <w:rFonts w:cs="Times New Roman"/>
          <w:snapToGrid w:val="0"/>
          <w:lang w:val="zh-CN"/>
        </w:rPr>
        <w:t>。</w:t>
      </w:r>
    </w:p>
    <w:p w:rsidR="00A46452" w:rsidRDefault="009A3928" w:rsidP="00182EED">
      <w:pPr>
        <w:pStyle w:val="a5"/>
        <w:widowControl/>
        <w:spacing w:after="0" w:line="356" w:lineRule="auto"/>
        <w:ind w:firstLine="480"/>
        <w:rPr>
          <w:rFonts w:cs="Times New Roman" w:hint="default"/>
        </w:rPr>
      </w:pPr>
      <w:r>
        <w:rPr>
          <w:rFonts w:cs="Times New Roman" w:hint="default"/>
        </w:rPr>
        <w:t>②</w:t>
      </w:r>
      <w:r>
        <w:rPr>
          <w:rFonts w:cs="Times New Roman" w:hint="default"/>
        </w:rPr>
        <w:t>公益林的影响分析</w:t>
      </w:r>
    </w:p>
    <w:p w:rsidR="00A46452" w:rsidRDefault="009A3928" w:rsidP="00182EED">
      <w:pPr>
        <w:pStyle w:val="a5"/>
        <w:widowControl/>
        <w:spacing w:after="0" w:line="356" w:lineRule="auto"/>
        <w:ind w:firstLine="480"/>
        <w:rPr>
          <w:rFonts w:cs="Times New Roman" w:hint="default"/>
        </w:rPr>
      </w:pPr>
      <w:r>
        <w:rPr>
          <w:rFonts w:cs="Times New Roman" w:hint="default"/>
        </w:rPr>
        <w:t>根据《建设项目使用林地审核审批管理办法》（国家林业局令第</w:t>
      </w:r>
      <w:r>
        <w:rPr>
          <w:rFonts w:cs="Times New Roman" w:hint="default"/>
        </w:rPr>
        <w:t>35</w:t>
      </w:r>
      <w:r>
        <w:rPr>
          <w:rFonts w:cs="Times New Roman" w:hint="default"/>
        </w:rPr>
        <w:t>号，</w:t>
      </w:r>
      <w:r>
        <w:rPr>
          <w:rFonts w:cs="Times New Roman" w:hint="default"/>
        </w:rPr>
        <w:t>2015.3.31</w:t>
      </w:r>
      <w:r>
        <w:rPr>
          <w:rFonts w:cs="Times New Roman" w:hint="default"/>
        </w:rPr>
        <w:t>）管理规定，各类建设项目不得使用</w:t>
      </w:r>
      <w:r>
        <w:rPr>
          <w:rFonts w:cs="Times New Roman" w:hint="default"/>
        </w:rPr>
        <w:t>Ⅰ</w:t>
      </w:r>
      <w:r>
        <w:rPr>
          <w:rFonts w:cs="Times New Roman" w:hint="default"/>
        </w:rPr>
        <w:t>级保护林地。本项目涉及国家二公益林，主要为河岸胡杨林，胡杨林呈走廊式分布。</w:t>
      </w:r>
    </w:p>
    <w:p w:rsidR="00A46452" w:rsidRDefault="009A3928" w:rsidP="00182EED">
      <w:pPr>
        <w:pStyle w:val="a5"/>
        <w:widowControl/>
        <w:spacing w:after="0" w:line="356" w:lineRule="auto"/>
        <w:ind w:firstLine="480"/>
        <w:rPr>
          <w:rFonts w:cs="Times New Roman" w:hint="default"/>
        </w:rPr>
      </w:pPr>
      <w:r>
        <w:rPr>
          <w:rFonts w:cs="Times New Roman" w:hint="default"/>
        </w:rPr>
        <w:t>经与林调单位核实，因为本项目涉及的胡杨树量比较多，且胸径比较大，移植过程中，树木的根系很容易受到损伤，这会导致树木吸收水分和养分的能力下降，且恢复能力较差，这直接导致移植后的成活率降低。移植后的土壤可能与原生长土壤的性质存在差异，如排水性、肥力等，不适宜的土壤环境会对树木的生长产生不利影响。移植后的树木需要精心管理，包括浇水、修剪、施肥等，管理不当会使树木难以恢复生长，影响其成活。因此，确需砍伐。</w:t>
      </w:r>
    </w:p>
    <w:p w:rsidR="00A46452" w:rsidRDefault="009A3928" w:rsidP="00182EED">
      <w:pPr>
        <w:pStyle w:val="a5"/>
        <w:widowControl/>
        <w:spacing w:after="0" w:line="356" w:lineRule="auto"/>
        <w:ind w:firstLine="480"/>
        <w:rPr>
          <w:rFonts w:cs="Times New Roman" w:hint="default"/>
        </w:rPr>
      </w:pPr>
      <w:r>
        <w:rPr>
          <w:rFonts w:cs="Times New Roman" w:hint="default"/>
        </w:rPr>
        <w:t>本环评要求本项目在条件允许时，减少砍伐林木的数量，最大程度地保护沿线的林业生态。缩短施工作业范围，将重点公益林</w:t>
      </w:r>
      <w:r>
        <w:rPr>
          <w:rFonts w:cs="Times New Roman" w:hint="default"/>
        </w:rPr>
        <w:t>的影响降到最低。</w:t>
      </w:r>
    </w:p>
    <w:p w:rsidR="00A46452" w:rsidRDefault="009A3928" w:rsidP="00182EED">
      <w:pPr>
        <w:pStyle w:val="a5"/>
        <w:widowControl/>
        <w:spacing w:after="0" w:line="356" w:lineRule="auto"/>
        <w:ind w:firstLine="480"/>
        <w:rPr>
          <w:rFonts w:cs="Times New Roman" w:hint="default"/>
        </w:rPr>
      </w:pPr>
      <w:r>
        <w:rPr>
          <w:rFonts w:cs="Times New Roman" w:hint="default"/>
        </w:rPr>
        <w:t>建设需严格按照《建设项目使用林地审核审批管理办法》要求，不得占用</w:t>
      </w:r>
      <w:r>
        <w:rPr>
          <w:rFonts w:cs="Times New Roman" w:hint="default"/>
        </w:rPr>
        <w:t>Ⅰ</w:t>
      </w:r>
      <w:r>
        <w:rPr>
          <w:rFonts w:cs="Times New Roman" w:hint="default"/>
        </w:rPr>
        <w:t>级保护林地，占用</w:t>
      </w:r>
      <w:r>
        <w:rPr>
          <w:rFonts w:cs="Times New Roman" w:hint="default"/>
        </w:rPr>
        <w:t>Ⅱ</w:t>
      </w:r>
      <w:r>
        <w:rPr>
          <w:rFonts w:cs="Times New Roman" w:hint="default"/>
        </w:rPr>
        <w:t>级及其以下保护林地的需按照相关规定办理征占地手续，按照相关法律法规进行补偿和恢复。</w:t>
      </w:r>
    </w:p>
    <w:p w:rsidR="00A46452" w:rsidRDefault="009A3928" w:rsidP="00182EED">
      <w:pPr>
        <w:pStyle w:val="a5"/>
        <w:widowControl/>
        <w:spacing w:after="0" w:line="356" w:lineRule="auto"/>
        <w:ind w:firstLine="480"/>
        <w:rPr>
          <w:rFonts w:cs="Times New Roman" w:hint="default"/>
          <w:spacing w:val="-1"/>
        </w:rPr>
      </w:pPr>
      <w:r>
        <w:rPr>
          <w:rFonts w:cs="Times New Roman" w:hint="default"/>
        </w:rPr>
        <w:t>本项目对重点公益林的影响主要是胡杨、柽柳灌丛等。项目占用灌木林地比例微小，胡杨在采取保护措施的前提下，项目建设对林地的影响极小。</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19" w:name="_Toc57826731"/>
      <w:bookmarkStart w:id="220" w:name="_Toc29658"/>
      <w:bookmarkStart w:id="221" w:name="_Toc34989566"/>
      <w:r>
        <w:rPr>
          <w:rFonts w:cs="Times New Roman" w:hint="default"/>
          <w:sz w:val="30"/>
          <w:szCs w:val="30"/>
        </w:rPr>
        <w:t>3.4</w:t>
      </w:r>
      <w:r>
        <w:rPr>
          <w:rFonts w:cs="Times New Roman" w:hint="default"/>
          <w:sz w:val="30"/>
          <w:szCs w:val="30"/>
        </w:rPr>
        <w:t>临时工程的选址合理性分析</w:t>
      </w:r>
      <w:bookmarkEnd w:id="219"/>
      <w:bookmarkEnd w:id="220"/>
      <w:bookmarkEnd w:id="221"/>
    </w:p>
    <w:p w:rsidR="00A46452" w:rsidRDefault="009A3928">
      <w:pPr>
        <w:tabs>
          <w:tab w:val="left" w:pos="413"/>
        </w:tabs>
        <w:wordWrap w:val="0"/>
        <w:topLinePunct/>
        <w:adjustRightInd w:val="0"/>
        <w:snapToGrid w:val="0"/>
        <w:ind w:firstLine="480"/>
        <w:rPr>
          <w:rFonts w:cs="Times New Roman"/>
        </w:rPr>
      </w:pPr>
      <w:r>
        <w:rPr>
          <w:rFonts w:cs="Times New Roman"/>
        </w:rPr>
        <w:t>（</w:t>
      </w:r>
      <w:r>
        <w:rPr>
          <w:rFonts w:cs="Times New Roman"/>
        </w:rPr>
        <w:t>1</w:t>
      </w:r>
      <w:r>
        <w:rPr>
          <w:rFonts w:cs="Times New Roman"/>
        </w:rPr>
        <w:t>）施工站场选址合理性分析</w:t>
      </w:r>
    </w:p>
    <w:p w:rsidR="00A46452" w:rsidRDefault="009A3928">
      <w:pPr>
        <w:wordWrap w:val="0"/>
        <w:topLinePunct/>
        <w:adjustRightInd w:val="0"/>
        <w:snapToGrid w:val="0"/>
        <w:ind w:firstLine="480"/>
        <w:rPr>
          <w:rFonts w:cs="Times New Roman"/>
        </w:rPr>
      </w:pPr>
      <w:r>
        <w:rPr>
          <w:rFonts w:cs="Times New Roman"/>
        </w:rPr>
        <w:t>本项目全线设置</w:t>
      </w:r>
      <w:r>
        <w:rPr>
          <w:rFonts w:cs="Times New Roman"/>
        </w:rPr>
        <w:t>3</w:t>
      </w:r>
      <w:r>
        <w:rPr>
          <w:rFonts w:cs="Times New Roman"/>
        </w:rPr>
        <w:t>处综合站场</w:t>
      </w:r>
      <w:r>
        <w:rPr>
          <w:rFonts w:cs="Times New Roman"/>
        </w:rPr>
        <w:t>。占地类型均为沿线的</w:t>
      </w:r>
      <w:r>
        <w:rPr>
          <w:rFonts w:cs="Times New Roman"/>
        </w:rPr>
        <w:t>林</w:t>
      </w:r>
      <w:r>
        <w:rPr>
          <w:rFonts w:cs="Times New Roman"/>
        </w:rPr>
        <w:t>地，占地面积共计</w:t>
      </w:r>
    </w:p>
    <w:p w:rsidR="00A46452" w:rsidRDefault="009A3928">
      <w:pPr>
        <w:wordWrap w:val="0"/>
        <w:topLinePunct/>
        <w:adjustRightInd w:val="0"/>
        <w:snapToGrid w:val="0"/>
        <w:ind w:firstLineChars="0" w:firstLine="0"/>
        <w:rPr>
          <w:rFonts w:cs="Times New Roman"/>
        </w:rPr>
      </w:pPr>
      <w:r>
        <w:rPr>
          <w:rFonts w:cs="Times New Roman"/>
        </w:rPr>
        <w:t>8.85</w:t>
      </w:r>
      <w:r>
        <w:rPr>
          <w:rFonts w:cs="Times New Roman"/>
        </w:rPr>
        <w:t>hm</w:t>
      </w:r>
      <w:r>
        <w:rPr>
          <w:rFonts w:cs="Times New Roman"/>
          <w:vertAlign w:val="superscript"/>
        </w:rPr>
        <w:t>2</w:t>
      </w:r>
      <w:r>
        <w:rPr>
          <w:rFonts w:cs="Times New Roman"/>
        </w:rPr>
        <w:t>。施工场地对生态环境的影响主要通过占地、机械碾压及人员活动等，破坏地表植被和土壤结构，降低生态系统功能。其影响范围与场地规模、人员数量及施工时间长短有密切关系。</w:t>
      </w:r>
    </w:p>
    <w:p w:rsidR="00A46452" w:rsidRDefault="009A3928">
      <w:pPr>
        <w:ind w:firstLine="456"/>
        <w:rPr>
          <w:rFonts w:cs="Times New Roman"/>
        </w:rPr>
      </w:pPr>
      <w:r>
        <w:rPr>
          <w:rFonts w:cs="Times New Roman"/>
          <w:spacing w:val="-6"/>
        </w:rPr>
        <w:t>本项目各站场</w:t>
      </w:r>
      <w:r>
        <w:rPr>
          <w:rFonts w:cs="Times New Roman"/>
          <w:spacing w:val="-6"/>
        </w:rPr>
        <w:t>虽</w:t>
      </w:r>
      <w:r>
        <w:rPr>
          <w:rFonts w:cs="Times New Roman"/>
          <w:spacing w:val="-6"/>
        </w:rPr>
        <w:t>位于</w:t>
      </w:r>
      <w:r>
        <w:rPr>
          <w:rFonts w:cs="Times New Roman"/>
          <w:spacing w:val="-6"/>
        </w:rPr>
        <w:t>林</w:t>
      </w:r>
      <w:r>
        <w:rPr>
          <w:rFonts w:cs="Times New Roman"/>
          <w:spacing w:val="-6"/>
        </w:rPr>
        <w:t>地内，</w:t>
      </w:r>
      <w:r>
        <w:rPr>
          <w:rFonts w:cs="Times New Roman"/>
          <w:spacing w:val="-6"/>
        </w:rPr>
        <w:t>但植被覆盖度较低，</w:t>
      </w:r>
      <w:r>
        <w:rPr>
          <w:rFonts w:cs="Times New Roman"/>
          <w:spacing w:val="-6"/>
        </w:rPr>
        <w:t>周边无保护野生动植物以及生态敏感区分布，</w:t>
      </w:r>
      <w:r>
        <w:rPr>
          <w:rFonts w:cs="Times New Roman"/>
          <w:spacing w:val="-6"/>
        </w:rPr>
        <w:t>周边</w:t>
      </w:r>
      <w:r>
        <w:rPr>
          <w:rFonts w:cs="Times New Roman"/>
          <w:spacing w:val="-6"/>
        </w:rPr>
        <w:t>500m</w:t>
      </w:r>
      <w:r>
        <w:rPr>
          <w:rFonts w:cs="Times New Roman"/>
          <w:spacing w:val="-6"/>
        </w:rPr>
        <w:t>以内无居民区；水稳拌合站、混凝土拌合站、沥青拌合站远离农田布设，距离农田最近的直接距离约</w:t>
      </w:r>
      <w:r>
        <w:rPr>
          <w:rFonts w:cs="Times New Roman"/>
          <w:spacing w:val="-6"/>
        </w:rPr>
        <w:t>1</w:t>
      </w:r>
      <w:r>
        <w:rPr>
          <w:rFonts w:cs="Times New Roman"/>
          <w:spacing w:val="-6"/>
        </w:rPr>
        <w:t>87</w:t>
      </w:r>
      <w:r>
        <w:rPr>
          <w:rFonts w:cs="Times New Roman"/>
          <w:spacing w:val="-6"/>
        </w:rPr>
        <w:t>m</w:t>
      </w:r>
      <w:r>
        <w:rPr>
          <w:rFonts w:cs="Times New Roman"/>
          <w:spacing w:val="-6"/>
        </w:rPr>
        <w:t>。拌合站生产过程中产生的扬尘、沥青烟等对周边农田影响较小，在落实相关设计和环保措施要求后，拟建项目的拌合站选址基本合理。</w:t>
      </w:r>
    </w:p>
    <w:p w:rsidR="00A46452" w:rsidRDefault="009A3928">
      <w:pPr>
        <w:ind w:firstLine="480"/>
        <w:rPr>
          <w:rFonts w:cs="Times New Roman"/>
          <w:spacing w:val="-6"/>
        </w:rPr>
      </w:pPr>
      <w:r>
        <w:rPr>
          <w:rFonts w:cs="Times New Roman"/>
        </w:rPr>
        <w:t>（</w:t>
      </w:r>
      <w:r>
        <w:rPr>
          <w:rFonts w:cs="Times New Roman"/>
        </w:rPr>
        <w:t>2</w:t>
      </w:r>
      <w:r>
        <w:rPr>
          <w:rFonts w:cs="Times New Roman"/>
        </w:rPr>
        <w:t>）</w:t>
      </w:r>
      <w:r>
        <w:rPr>
          <w:rFonts w:cs="Times New Roman"/>
          <w:spacing w:val="-6"/>
        </w:rPr>
        <w:t>施工营地选址合理性分析</w:t>
      </w:r>
    </w:p>
    <w:p w:rsidR="00A46452" w:rsidRDefault="009A3928">
      <w:pPr>
        <w:ind w:firstLine="456"/>
        <w:rPr>
          <w:rFonts w:cs="Times New Roman"/>
          <w:spacing w:val="-6"/>
        </w:rPr>
      </w:pPr>
      <w:r>
        <w:rPr>
          <w:rFonts w:cs="Times New Roman"/>
          <w:spacing w:val="-6"/>
        </w:rPr>
        <w:t>本工程在</w:t>
      </w:r>
      <w:r>
        <w:rPr>
          <w:rFonts w:cs="Times New Roman"/>
          <w:spacing w:val="-6"/>
        </w:rPr>
        <w:t>k0+000</w:t>
      </w:r>
      <w:r>
        <w:rPr>
          <w:rFonts w:eastAsia="等线" w:cs="Times New Roman"/>
          <w:spacing w:val="-6"/>
        </w:rPr>
        <w:t>～</w:t>
      </w:r>
      <w:r>
        <w:rPr>
          <w:rFonts w:cs="Times New Roman"/>
          <w:spacing w:val="-6"/>
        </w:rPr>
        <w:t>k</w:t>
      </w:r>
      <w:r>
        <w:rPr>
          <w:rFonts w:cs="Times New Roman"/>
          <w:spacing w:val="-6"/>
        </w:rPr>
        <w:t>107</w:t>
      </w:r>
      <w:r>
        <w:rPr>
          <w:rFonts w:cs="Times New Roman"/>
          <w:spacing w:val="-6"/>
        </w:rPr>
        <w:t>+</w:t>
      </w:r>
      <w:r>
        <w:rPr>
          <w:rFonts w:cs="Times New Roman"/>
          <w:spacing w:val="-6"/>
        </w:rPr>
        <w:t>379</w:t>
      </w:r>
      <w:r>
        <w:rPr>
          <w:rFonts w:cs="Times New Roman"/>
          <w:spacing w:val="-6"/>
        </w:rPr>
        <w:t>施工营地共设</w:t>
      </w:r>
      <w:r>
        <w:rPr>
          <w:rFonts w:cs="Times New Roman"/>
          <w:spacing w:val="-6"/>
        </w:rPr>
        <w:t>3</w:t>
      </w:r>
      <w:r>
        <w:rPr>
          <w:rFonts w:cs="Times New Roman"/>
          <w:spacing w:val="-6"/>
        </w:rPr>
        <w:t>处，</w:t>
      </w:r>
      <w:r>
        <w:rPr>
          <w:rFonts w:cs="Times New Roman"/>
          <w:spacing w:val="-6"/>
        </w:rPr>
        <w:t>3</w:t>
      </w:r>
      <w:r>
        <w:rPr>
          <w:rFonts w:cs="Times New Roman"/>
          <w:spacing w:val="-6"/>
        </w:rPr>
        <w:t>个自</w:t>
      </w:r>
      <w:r>
        <w:rPr>
          <w:rFonts w:cs="Times New Roman"/>
          <w:spacing w:val="-6"/>
        </w:rPr>
        <w:t>建施工营地均设在综合站场内，</w:t>
      </w:r>
      <w:r>
        <w:rPr>
          <w:rFonts w:cs="Times New Roman"/>
          <w:spacing w:val="-6"/>
        </w:rPr>
        <w:t>不再</w:t>
      </w:r>
      <w:r>
        <w:rPr>
          <w:rFonts w:cs="Times New Roman"/>
          <w:spacing w:val="-6"/>
        </w:rPr>
        <w:t>单独设置施工营地，可减少新增临时占地。因此，从环境保护角度分析，施工营地选址合理。</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）取土场选址合理性分析</w:t>
      </w:r>
    </w:p>
    <w:p w:rsidR="00A46452" w:rsidRDefault="009A3928" w:rsidP="00182EED">
      <w:pPr>
        <w:widowControl/>
        <w:ind w:firstLine="480"/>
        <w:rPr>
          <w:rFonts w:cs="Times New Roman"/>
        </w:rPr>
      </w:pPr>
      <w:r>
        <w:rPr>
          <w:rFonts w:cs="Times New Roman"/>
        </w:rPr>
        <w:t>本工程选择</w:t>
      </w:r>
      <w:r>
        <w:rPr>
          <w:rFonts w:cs="Times New Roman"/>
        </w:rPr>
        <w:t>2</w:t>
      </w:r>
      <w:r>
        <w:rPr>
          <w:rFonts w:cs="Times New Roman"/>
        </w:rPr>
        <w:t>处砂砾石料场和</w:t>
      </w:r>
      <w:r>
        <w:rPr>
          <w:rFonts w:cs="Times New Roman"/>
        </w:rPr>
        <w:t>1</w:t>
      </w:r>
      <w:r>
        <w:rPr>
          <w:rFonts w:cs="Times New Roman"/>
        </w:rPr>
        <w:t>处风积沙料场，</w:t>
      </w:r>
      <w:r>
        <w:rPr>
          <w:rFonts w:cs="Times New Roman"/>
        </w:rPr>
        <w:t>砂砾石料场</w:t>
      </w:r>
      <w:r>
        <w:rPr>
          <w:rFonts w:cs="Times New Roman"/>
        </w:rPr>
        <w:t>为专业的商品料场</w:t>
      </w:r>
      <w:r>
        <w:rPr>
          <w:rFonts w:cs="Times New Roman"/>
        </w:rPr>
        <w:t>，</w:t>
      </w:r>
      <w:r>
        <w:rPr>
          <w:rFonts w:cs="Times New Roman"/>
        </w:rPr>
        <w:t>风积沙料场为自采料场</w:t>
      </w:r>
      <w:r>
        <w:rPr>
          <w:rFonts w:cs="Times New Roman"/>
        </w:rPr>
        <w:t>。</w:t>
      </w:r>
      <w:r>
        <w:rPr>
          <w:rFonts w:cs="Times New Roman"/>
        </w:rPr>
        <w:t>风积沙料场</w:t>
      </w:r>
      <w:r>
        <w:rPr>
          <w:rFonts w:cs="Times New Roman"/>
          <w:kern w:val="0"/>
          <w:szCs w:val="24"/>
          <w:lang w:bidi="ar"/>
        </w:rPr>
        <w:t>位于五十三团团部北部风积沙漠区，植被稀少，比高约</w:t>
      </w:r>
      <w:r>
        <w:rPr>
          <w:rFonts w:cs="Times New Roman"/>
          <w:kern w:val="0"/>
          <w:szCs w:val="24"/>
          <w:lang w:bidi="ar"/>
        </w:rPr>
        <w:t>1.0</w:t>
      </w:r>
      <w:r>
        <w:rPr>
          <w:rFonts w:cs="Times New Roman"/>
          <w:kern w:val="0"/>
          <w:szCs w:val="24"/>
          <w:lang w:bidi="ar"/>
        </w:rPr>
        <w:t>～</w:t>
      </w:r>
      <w:r>
        <w:rPr>
          <w:rFonts w:cs="Times New Roman"/>
          <w:kern w:val="0"/>
          <w:szCs w:val="24"/>
          <w:lang w:bidi="ar"/>
        </w:rPr>
        <w:t>8.0m</w:t>
      </w:r>
      <w:r>
        <w:rPr>
          <w:rFonts w:cs="Times New Roman"/>
          <w:kern w:val="0"/>
          <w:szCs w:val="24"/>
          <w:lang w:bidi="ar"/>
        </w:rPr>
        <w:t>，呈新月状分布，无道路通行，该料场长约</w:t>
      </w:r>
      <w:r>
        <w:rPr>
          <w:rFonts w:cs="Times New Roman"/>
          <w:kern w:val="0"/>
          <w:szCs w:val="24"/>
          <w:lang w:bidi="ar"/>
        </w:rPr>
        <w:t>3400.00m</w:t>
      </w:r>
      <w:r>
        <w:rPr>
          <w:rFonts w:cs="Times New Roman"/>
          <w:kern w:val="0"/>
          <w:szCs w:val="24"/>
          <w:lang w:bidi="ar"/>
        </w:rPr>
        <w:t>，宽</w:t>
      </w:r>
      <w:r>
        <w:rPr>
          <w:rFonts w:cs="Times New Roman"/>
          <w:kern w:val="0"/>
          <w:szCs w:val="24"/>
          <w:lang w:bidi="ar"/>
        </w:rPr>
        <w:t>800.00m</w:t>
      </w:r>
      <w:r>
        <w:rPr>
          <w:rFonts w:cs="Times New Roman"/>
          <w:kern w:val="0"/>
          <w:szCs w:val="24"/>
          <w:lang w:bidi="ar"/>
        </w:rPr>
        <w:t>。</w:t>
      </w:r>
      <w:r>
        <w:rPr>
          <w:rFonts w:cs="Times New Roman"/>
          <w:spacing w:val="-6"/>
        </w:rPr>
        <w:t>不占用耕地和林地，周边</w:t>
      </w:r>
      <w:r>
        <w:rPr>
          <w:rFonts w:cs="Times New Roman"/>
          <w:spacing w:val="-6"/>
        </w:rPr>
        <w:t>500m</w:t>
      </w:r>
      <w:r>
        <w:rPr>
          <w:rFonts w:cs="Times New Roman"/>
          <w:spacing w:val="-6"/>
        </w:rPr>
        <w:t>以内无居民区</w:t>
      </w:r>
      <w:r>
        <w:rPr>
          <w:rFonts w:cs="Times New Roman"/>
          <w:spacing w:val="-6"/>
        </w:rPr>
        <w:t>，</w:t>
      </w:r>
      <w:r>
        <w:rPr>
          <w:rFonts w:cs="Times New Roman"/>
          <w:spacing w:val="-6"/>
        </w:rPr>
        <w:t>项目自采料场均不</w:t>
      </w:r>
      <w:r>
        <w:rPr>
          <w:rFonts w:cs="Times New Roman"/>
        </w:rPr>
        <w:t>占用自然保护区、生态红线、土地沙化封禁保护区</w:t>
      </w:r>
      <w:r>
        <w:rPr>
          <w:rFonts w:cs="Times New Roman"/>
        </w:rPr>
        <w:t>等敏感保护目标</w:t>
      </w:r>
      <w:r>
        <w:rPr>
          <w:rFonts w:cs="Times New Roman"/>
        </w:rPr>
        <w:t>。</w:t>
      </w:r>
      <w:r>
        <w:rPr>
          <w:rFonts w:cs="Times New Roman"/>
        </w:rPr>
        <w:t>结合工程所选料场的储量、可采性、运距以及环境敏感程度等综合考虑，本环评认为，本工程的建设不会对该料场开采造成生态环境影响，因此，从环保角度分析料场布置合理。</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）弃土场选址合理性分析</w:t>
      </w:r>
    </w:p>
    <w:p w:rsidR="00A46452" w:rsidRDefault="009A3928" w:rsidP="00182EED">
      <w:pPr>
        <w:wordWrap w:val="0"/>
        <w:topLinePunct/>
        <w:ind w:firstLine="456"/>
        <w:rPr>
          <w:rFonts w:cs="Times New Roman"/>
        </w:rPr>
      </w:pPr>
      <w:r>
        <w:rPr>
          <w:rFonts w:cs="Times New Roman"/>
          <w:spacing w:val="-6"/>
        </w:rPr>
        <w:t>根据项目设计</w:t>
      </w:r>
      <w:r>
        <w:rPr>
          <w:rFonts w:cs="Times New Roman"/>
          <w:spacing w:val="-6"/>
        </w:rPr>
        <w:t>2</w:t>
      </w:r>
      <w:r>
        <w:rPr>
          <w:rFonts w:cs="Times New Roman"/>
          <w:spacing w:val="-6"/>
        </w:rPr>
        <w:t>处弃土场，</w:t>
      </w:r>
      <w:r>
        <w:rPr>
          <w:rFonts w:cs="Times New Roman"/>
          <w:kern w:val="0"/>
          <w:szCs w:val="24"/>
          <w:lang w:bidi="ar"/>
        </w:rPr>
        <w:t>其中</w:t>
      </w:r>
      <w:r>
        <w:rPr>
          <w:rFonts w:cs="Times New Roman"/>
          <w:kern w:val="0"/>
          <w:szCs w:val="24"/>
          <w:lang w:bidi="ar"/>
        </w:rPr>
        <w:t>1#</w:t>
      </w:r>
      <w:r>
        <w:rPr>
          <w:rFonts w:cs="Times New Roman"/>
          <w:kern w:val="0"/>
          <w:szCs w:val="24"/>
          <w:lang w:bidi="ar"/>
        </w:rPr>
        <w:t>弃土场位于图木舒克市，永安坝水库东侧、马蹄山北部山前，</w:t>
      </w:r>
      <w:r>
        <w:rPr>
          <w:rFonts w:cs="Times New Roman"/>
        </w:rPr>
        <w:t>为坑洼形，</w:t>
      </w:r>
      <w:r>
        <w:rPr>
          <w:rFonts w:cs="Times New Roman"/>
          <w:kern w:val="0"/>
          <w:szCs w:val="24"/>
          <w:lang w:bidi="ar"/>
        </w:rPr>
        <w:t>长</w:t>
      </w:r>
      <w:r>
        <w:rPr>
          <w:rFonts w:cs="Times New Roman"/>
          <w:kern w:val="0"/>
          <w:szCs w:val="24"/>
          <w:lang w:bidi="ar"/>
        </w:rPr>
        <w:t>900m</w:t>
      </w:r>
      <w:r>
        <w:rPr>
          <w:rFonts w:cs="Times New Roman"/>
          <w:kern w:val="0"/>
          <w:szCs w:val="24"/>
          <w:lang w:bidi="ar"/>
        </w:rPr>
        <w:t>，宽</w:t>
      </w:r>
      <w:r>
        <w:rPr>
          <w:rFonts w:cs="Times New Roman"/>
          <w:kern w:val="0"/>
          <w:szCs w:val="24"/>
          <w:lang w:bidi="ar"/>
        </w:rPr>
        <w:t>400m</w:t>
      </w:r>
      <w:r>
        <w:rPr>
          <w:rFonts w:cs="Times New Roman"/>
          <w:kern w:val="0"/>
          <w:szCs w:val="24"/>
          <w:lang w:bidi="ar"/>
        </w:rPr>
        <w:t>，面积约</w:t>
      </w:r>
      <w:r>
        <w:rPr>
          <w:rFonts w:cs="Times New Roman"/>
          <w:kern w:val="0"/>
          <w:szCs w:val="24"/>
          <w:lang w:bidi="ar"/>
        </w:rPr>
        <w:t>36</w:t>
      </w:r>
      <w:r>
        <w:rPr>
          <w:rFonts w:cs="Times New Roman"/>
          <w:kern w:val="0"/>
          <w:szCs w:val="24"/>
          <w:lang w:bidi="ar"/>
        </w:rPr>
        <w:t>万</w:t>
      </w:r>
      <w:r>
        <w:rPr>
          <w:rFonts w:cs="Times New Roman"/>
          <w:kern w:val="0"/>
          <w:szCs w:val="24"/>
          <w:lang w:bidi="ar"/>
        </w:rPr>
        <w:t>m</w:t>
      </w:r>
      <w:r>
        <w:rPr>
          <w:rFonts w:cs="Times New Roman"/>
          <w:kern w:val="0"/>
          <w:szCs w:val="24"/>
          <w:vertAlign w:val="superscript"/>
          <w:lang w:bidi="ar"/>
        </w:rPr>
        <w:t>2</w:t>
      </w:r>
      <w:r>
        <w:rPr>
          <w:rFonts w:cs="Times New Roman"/>
          <w:kern w:val="0"/>
          <w:szCs w:val="24"/>
          <w:lang w:bidi="ar"/>
        </w:rPr>
        <w:t>，距离拟建公路</w:t>
      </w:r>
      <w:r>
        <w:rPr>
          <w:rFonts w:cs="Times New Roman"/>
          <w:kern w:val="0"/>
          <w:szCs w:val="24"/>
          <w:lang w:bidi="ar"/>
        </w:rPr>
        <w:t>K0+000</w:t>
      </w:r>
      <w:r>
        <w:rPr>
          <w:rFonts w:cs="Times New Roman"/>
          <w:kern w:val="0"/>
          <w:szCs w:val="24"/>
          <w:lang w:bidi="ar"/>
        </w:rPr>
        <w:t>约</w:t>
      </w:r>
      <w:r>
        <w:rPr>
          <w:rFonts w:cs="Times New Roman"/>
          <w:kern w:val="0"/>
          <w:szCs w:val="24"/>
          <w:lang w:bidi="ar"/>
        </w:rPr>
        <w:t>22.7km</w:t>
      </w:r>
      <w:r>
        <w:rPr>
          <w:rFonts w:cs="Times New Roman"/>
          <w:kern w:val="0"/>
          <w:szCs w:val="24"/>
          <w:lang w:bidi="ar"/>
        </w:rPr>
        <w:t>。</w:t>
      </w:r>
      <w:r>
        <w:rPr>
          <w:rFonts w:cs="Times New Roman"/>
          <w:kern w:val="0"/>
          <w:szCs w:val="24"/>
          <w:lang w:bidi="ar"/>
        </w:rPr>
        <w:t>2#</w:t>
      </w:r>
      <w:r>
        <w:rPr>
          <w:rFonts w:cs="Times New Roman"/>
          <w:kern w:val="0"/>
          <w:szCs w:val="24"/>
          <w:lang w:bidi="ar"/>
        </w:rPr>
        <w:t>位于柯坪县阿恰勒镇北部吐和公路两侧，地形平坦，吐和公路南侧长</w:t>
      </w:r>
      <w:r>
        <w:rPr>
          <w:rFonts w:cs="Times New Roman"/>
          <w:kern w:val="0"/>
          <w:szCs w:val="24"/>
          <w:lang w:bidi="ar"/>
        </w:rPr>
        <w:t>600m</w:t>
      </w:r>
      <w:r>
        <w:rPr>
          <w:rFonts w:cs="Times New Roman"/>
          <w:kern w:val="0"/>
          <w:szCs w:val="24"/>
          <w:lang w:bidi="ar"/>
        </w:rPr>
        <w:t>，宽</w:t>
      </w:r>
      <w:r>
        <w:rPr>
          <w:rFonts w:cs="Times New Roman"/>
          <w:kern w:val="0"/>
          <w:szCs w:val="24"/>
          <w:lang w:bidi="ar"/>
        </w:rPr>
        <w:t>100m</w:t>
      </w:r>
      <w:r>
        <w:rPr>
          <w:rFonts w:cs="Times New Roman"/>
          <w:kern w:val="0"/>
          <w:szCs w:val="24"/>
          <w:lang w:bidi="ar"/>
        </w:rPr>
        <w:t>，面积约</w:t>
      </w:r>
      <w:r>
        <w:rPr>
          <w:rFonts w:cs="Times New Roman"/>
          <w:kern w:val="0"/>
          <w:szCs w:val="24"/>
          <w:lang w:bidi="ar"/>
        </w:rPr>
        <w:t>6</w:t>
      </w:r>
      <w:r>
        <w:rPr>
          <w:rFonts w:cs="Times New Roman"/>
          <w:kern w:val="0"/>
          <w:szCs w:val="24"/>
          <w:lang w:bidi="ar"/>
        </w:rPr>
        <w:t>万</w:t>
      </w:r>
      <w:r>
        <w:rPr>
          <w:rFonts w:cs="Times New Roman"/>
          <w:kern w:val="0"/>
          <w:szCs w:val="24"/>
          <w:lang w:bidi="ar"/>
        </w:rPr>
        <w:t>m</w:t>
      </w:r>
      <w:r>
        <w:rPr>
          <w:rFonts w:cs="Times New Roman"/>
          <w:kern w:val="0"/>
          <w:szCs w:val="24"/>
          <w:vertAlign w:val="superscript"/>
          <w:lang w:bidi="ar"/>
        </w:rPr>
        <w:t>2</w:t>
      </w:r>
      <w:r>
        <w:rPr>
          <w:rFonts w:cs="Times New Roman"/>
          <w:kern w:val="0"/>
          <w:szCs w:val="24"/>
          <w:lang w:bidi="ar"/>
        </w:rPr>
        <w:t>。吐和公路北侧长</w:t>
      </w:r>
      <w:r>
        <w:rPr>
          <w:rFonts w:cs="Times New Roman"/>
          <w:kern w:val="0"/>
          <w:szCs w:val="24"/>
          <w:lang w:bidi="ar"/>
        </w:rPr>
        <w:t>700m</w:t>
      </w:r>
      <w:r>
        <w:rPr>
          <w:rFonts w:cs="Times New Roman"/>
          <w:kern w:val="0"/>
          <w:szCs w:val="24"/>
          <w:lang w:bidi="ar"/>
        </w:rPr>
        <w:t>，宽</w:t>
      </w:r>
      <w:r>
        <w:rPr>
          <w:rFonts w:cs="Times New Roman"/>
          <w:kern w:val="0"/>
          <w:szCs w:val="24"/>
          <w:lang w:bidi="ar"/>
        </w:rPr>
        <w:t>300m</w:t>
      </w:r>
      <w:r>
        <w:rPr>
          <w:rFonts w:cs="Times New Roman"/>
          <w:kern w:val="0"/>
          <w:szCs w:val="24"/>
          <w:lang w:bidi="ar"/>
        </w:rPr>
        <w:t>，面积约</w:t>
      </w:r>
      <w:r>
        <w:rPr>
          <w:rFonts w:cs="Times New Roman"/>
          <w:kern w:val="0"/>
          <w:szCs w:val="24"/>
          <w:lang w:bidi="ar"/>
        </w:rPr>
        <w:t>21</w:t>
      </w:r>
      <w:r>
        <w:rPr>
          <w:rFonts w:cs="Times New Roman"/>
          <w:kern w:val="0"/>
          <w:szCs w:val="24"/>
          <w:lang w:bidi="ar"/>
        </w:rPr>
        <w:t>万</w:t>
      </w:r>
      <w:r>
        <w:rPr>
          <w:rFonts w:cs="Times New Roman"/>
          <w:kern w:val="0"/>
          <w:szCs w:val="24"/>
          <w:lang w:bidi="ar"/>
        </w:rPr>
        <w:t>m</w:t>
      </w:r>
      <w:r>
        <w:rPr>
          <w:rFonts w:cs="Times New Roman"/>
          <w:kern w:val="0"/>
          <w:szCs w:val="24"/>
          <w:vertAlign w:val="superscript"/>
          <w:lang w:bidi="ar"/>
        </w:rPr>
        <w:t>2</w:t>
      </w:r>
      <w:r>
        <w:rPr>
          <w:rFonts w:cs="Times New Roman"/>
          <w:kern w:val="0"/>
          <w:szCs w:val="24"/>
          <w:lang w:bidi="ar"/>
        </w:rPr>
        <w:t>。该弃土场距离拟建公路</w:t>
      </w:r>
      <w:r>
        <w:rPr>
          <w:rFonts w:cs="Times New Roman"/>
          <w:kern w:val="0"/>
          <w:szCs w:val="24"/>
          <w:lang w:bidi="ar"/>
        </w:rPr>
        <w:t>K81+940</w:t>
      </w:r>
      <w:r>
        <w:rPr>
          <w:rFonts w:cs="Times New Roman"/>
          <w:kern w:val="0"/>
          <w:szCs w:val="24"/>
          <w:lang w:bidi="ar"/>
        </w:rPr>
        <w:t>约</w:t>
      </w:r>
      <w:r>
        <w:rPr>
          <w:rFonts w:cs="Times New Roman"/>
          <w:kern w:val="0"/>
          <w:szCs w:val="24"/>
          <w:lang w:bidi="ar"/>
        </w:rPr>
        <w:t>8.8km</w:t>
      </w:r>
      <w:r>
        <w:rPr>
          <w:rFonts w:cs="Times New Roman"/>
          <w:kern w:val="0"/>
          <w:szCs w:val="24"/>
          <w:lang w:bidi="ar"/>
        </w:rPr>
        <w:t>。</w:t>
      </w:r>
      <w:r>
        <w:rPr>
          <w:rFonts w:cs="Times New Roman"/>
        </w:rPr>
        <w:t>弃土场周围</w:t>
      </w:r>
      <w:r>
        <w:rPr>
          <w:rFonts w:cs="Times New Roman"/>
        </w:rPr>
        <w:t>500m</w:t>
      </w:r>
      <w:r>
        <w:rPr>
          <w:rFonts w:cs="Times New Roman"/>
        </w:rPr>
        <w:t>内无居民区等敏感点，</w:t>
      </w:r>
      <w:r>
        <w:rPr>
          <w:rFonts w:cs="Times New Roman"/>
        </w:rPr>
        <w:t>500m</w:t>
      </w:r>
      <w:r>
        <w:rPr>
          <w:rFonts w:cs="Times New Roman"/>
        </w:rPr>
        <w:t>内均无自然保护区、风景名胜区。项目应严格控制占地范围，弃土前完成弃土场周边截、排系统和拦渣措施，做到</w:t>
      </w:r>
      <w:r>
        <w:rPr>
          <w:rFonts w:cs="Times New Roman"/>
        </w:rPr>
        <w:t>“</w:t>
      </w:r>
      <w:r>
        <w:rPr>
          <w:rFonts w:cs="Times New Roman"/>
        </w:rPr>
        <w:t>先挡后弃</w:t>
      </w:r>
      <w:r>
        <w:rPr>
          <w:rFonts w:cs="Times New Roman"/>
        </w:rPr>
        <w:t>”</w:t>
      </w:r>
      <w:r>
        <w:rPr>
          <w:rFonts w:cs="Times New Roman"/>
        </w:rPr>
        <w:t>，弃土过程中采取防尘网苫盖、同时采取洒水措施增加弃土湿度，降低扬尘的产生。弃土回填后喷水压实，防止弃土因大风产生扬尘，造成水土流失。</w:t>
      </w:r>
      <w:r>
        <w:rPr>
          <w:rFonts w:cs="Times New Roman"/>
          <w:spacing w:val="-6"/>
        </w:rPr>
        <w:t>施工结束后对弃土场及时</w:t>
      </w:r>
      <w:r>
        <w:rPr>
          <w:rFonts w:cs="Times New Roman"/>
          <w:spacing w:val="-6"/>
        </w:rPr>
        <w:t>进行土地平整</w:t>
      </w:r>
      <w:r>
        <w:rPr>
          <w:rFonts w:cs="Times New Roman"/>
        </w:rPr>
        <w:t>及生态修复</w:t>
      </w:r>
      <w:r>
        <w:rPr>
          <w:rFonts w:cs="Times New Roman"/>
          <w:spacing w:val="-6"/>
        </w:rPr>
        <w:t>，通过上述补偿措施后，可将弃土</w:t>
      </w:r>
      <w:r>
        <w:rPr>
          <w:rFonts w:cs="Times New Roman"/>
          <w:spacing w:val="-6"/>
        </w:rPr>
        <w:t>场</w:t>
      </w:r>
      <w:r>
        <w:rPr>
          <w:rFonts w:cs="Times New Roman"/>
          <w:spacing w:val="-6"/>
        </w:rPr>
        <w:t>对周边环境的影响降到最小，弃土场选址基本合理。</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）施工便道选线合理性分析</w:t>
      </w:r>
    </w:p>
    <w:p w:rsidR="00A46452" w:rsidRDefault="009A3928">
      <w:pPr>
        <w:wordWrap w:val="0"/>
        <w:topLinePunct/>
        <w:adjustRightInd w:val="0"/>
        <w:snapToGrid w:val="0"/>
        <w:ind w:firstLine="480"/>
        <w:rPr>
          <w:rFonts w:cs="Times New Roman"/>
        </w:rPr>
      </w:pPr>
      <w:r>
        <w:rPr>
          <w:rFonts w:cs="Times New Roman"/>
        </w:rPr>
        <w:t>本项目施工道路尽可能利用沿线已有的乡道、公路</w:t>
      </w:r>
      <w:r>
        <w:rPr>
          <w:rFonts w:cs="Times New Roman"/>
        </w:rPr>
        <w:t>及</w:t>
      </w:r>
      <w:r>
        <w:rPr>
          <w:rFonts w:cs="Times New Roman"/>
        </w:rPr>
        <w:t>机耕道，此次仅局部路段新建施工临时便道</w:t>
      </w:r>
      <w:r>
        <w:rPr>
          <w:rFonts w:cs="Times New Roman"/>
        </w:rPr>
        <w:t>、</w:t>
      </w:r>
      <w:r>
        <w:rPr>
          <w:rFonts w:cs="Times New Roman"/>
        </w:rPr>
        <w:t>便桥</w:t>
      </w:r>
      <w:r>
        <w:rPr>
          <w:rFonts w:cs="Times New Roman"/>
        </w:rPr>
        <w:t>总长</w:t>
      </w:r>
      <w:r>
        <w:rPr>
          <w:rFonts w:cs="Times New Roman"/>
        </w:rPr>
        <w:t>13.190</w:t>
      </w:r>
      <w:r>
        <w:rPr>
          <w:rFonts w:cs="Times New Roman"/>
        </w:rPr>
        <w:t>km</w:t>
      </w:r>
      <w:r>
        <w:rPr>
          <w:rFonts w:cs="Times New Roman"/>
        </w:rPr>
        <w:t>，总占地面积约</w:t>
      </w:r>
      <w:r>
        <w:rPr>
          <w:rFonts w:cs="Times New Roman"/>
        </w:rPr>
        <w:t>2.64</w:t>
      </w:r>
      <w:r>
        <w:rPr>
          <w:rFonts w:cs="Times New Roman"/>
          <w:spacing w:val="-4"/>
        </w:rPr>
        <w:t>hm²</w:t>
      </w:r>
      <w:r>
        <w:rPr>
          <w:rFonts w:cs="Times New Roman"/>
        </w:rPr>
        <w:t>。施工便道沿线的占地类型为</w:t>
      </w:r>
      <w:r>
        <w:rPr>
          <w:rFonts w:cs="Times New Roman"/>
        </w:rPr>
        <w:t>耕地、林地</w:t>
      </w:r>
      <w:r>
        <w:rPr>
          <w:rFonts w:cs="Times New Roman"/>
        </w:rPr>
        <w:t>，</w:t>
      </w:r>
      <w:r>
        <w:rPr>
          <w:rFonts w:cs="Times New Roman"/>
        </w:rPr>
        <w:t>未占用生态红线及自然保护区。</w:t>
      </w:r>
      <w:r>
        <w:rPr>
          <w:rFonts w:cs="Times New Roman"/>
        </w:rPr>
        <w:t>在农田段施工，采用推进式施工，有效控制占地面积，减少对基本农田的扰动，施工便道选址基本合理。本次环评要求施工过程中严格控制施工便道的占地范围，优先选择距离最短的路线，减少对生态环境的影响。</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3.</w:t>
      </w:r>
      <w:r>
        <w:rPr>
          <w:rFonts w:eastAsia="黑体" w:cs="Times New Roman" w:hint="eastAsia"/>
        </w:rPr>
        <w:t>4</w:t>
      </w:r>
      <w:r>
        <w:rPr>
          <w:rFonts w:eastAsia="黑体" w:cs="Times New Roman"/>
        </w:rPr>
        <w:t>-</w:t>
      </w:r>
      <w:r>
        <w:rPr>
          <w:rFonts w:eastAsia="黑体" w:cs="Times New Roman" w:hint="eastAsia"/>
        </w:rPr>
        <w:t>1</w:t>
      </w:r>
      <w:r>
        <w:rPr>
          <w:rFonts w:eastAsia="黑体" w:cs="Times New Roman"/>
        </w:rPr>
        <w:t xml:space="preserve">                  </w:t>
      </w:r>
      <w:r>
        <w:rPr>
          <w:rFonts w:eastAsia="黑体" w:cs="Times New Roman"/>
        </w:rPr>
        <w:t>项目临时占地类型表</w:t>
      </w:r>
    </w:p>
    <w:tbl>
      <w:tblPr>
        <w:tblW w:w="4998"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1113"/>
        <w:gridCol w:w="5695"/>
        <w:gridCol w:w="1717"/>
      </w:tblGrid>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临时占地</w:t>
            </w:r>
          </w:p>
        </w:tc>
        <w:tc>
          <w:tcPr>
            <w:tcW w:w="100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占地面积</w:t>
            </w:r>
          </w:p>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w:t>
            </w:r>
            <w:r>
              <w:rPr>
                <w:rFonts w:cs="Times New Roman"/>
                <w:kern w:val="0"/>
                <w:sz w:val="18"/>
                <w:szCs w:val="18"/>
                <w:lang w:bidi="ar"/>
              </w:rPr>
              <w:t>hm</w:t>
            </w:r>
            <w:r>
              <w:rPr>
                <w:rFonts w:cs="Times New Roman"/>
                <w:kern w:val="0"/>
                <w:sz w:val="18"/>
                <w:szCs w:val="18"/>
                <w:vertAlign w:val="superscript"/>
                <w:lang w:bidi="ar"/>
              </w:rPr>
              <w:t>2</w:t>
            </w:r>
            <w:r>
              <w:rPr>
                <w:rFonts w:cs="Times New Roman"/>
                <w:kern w:val="0"/>
                <w:sz w:val="18"/>
                <w:szCs w:val="18"/>
                <w:lang w:bidi="ar"/>
              </w:rPr>
              <w:t>）</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1</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施工便道、便桥</w:t>
            </w:r>
          </w:p>
        </w:tc>
        <w:tc>
          <w:tcPr>
            <w:tcW w:w="1715"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2.6</w:t>
            </w:r>
            <w:r>
              <w:rPr>
                <w:rFonts w:cs="Times New Roman"/>
                <w:kern w:val="0"/>
                <w:sz w:val="18"/>
                <w:szCs w:val="18"/>
                <w:lang w:bidi="ar"/>
              </w:rPr>
              <w:t>4</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拌合站、预制场</w:t>
            </w:r>
            <w:r>
              <w:rPr>
                <w:rFonts w:cs="Times New Roman"/>
                <w:kern w:val="0"/>
                <w:sz w:val="18"/>
                <w:szCs w:val="18"/>
                <w:lang w:bidi="ar"/>
              </w:rPr>
              <w:t>、施工驻地</w:t>
            </w:r>
          </w:p>
        </w:tc>
        <w:tc>
          <w:tcPr>
            <w:tcW w:w="1715"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8.85</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3</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弃土场</w:t>
            </w:r>
          </w:p>
        </w:tc>
        <w:tc>
          <w:tcPr>
            <w:tcW w:w="1715"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63</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4</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风积沙料场</w:t>
            </w:r>
          </w:p>
        </w:tc>
        <w:tc>
          <w:tcPr>
            <w:tcW w:w="1715"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272</w:t>
            </w:r>
          </w:p>
        </w:tc>
      </w:tr>
      <w:tr w:rsidR="00A46452">
        <w:trPr>
          <w:jc w:val="center"/>
        </w:trPr>
        <w:tc>
          <w:tcPr>
            <w:tcW w:w="3992" w:type="pct"/>
            <w:gridSpan w:val="2"/>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合计</w:t>
            </w:r>
          </w:p>
        </w:tc>
        <w:tc>
          <w:tcPr>
            <w:tcW w:w="1715"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346.49</w:t>
            </w:r>
          </w:p>
        </w:tc>
      </w:tr>
    </w:tbl>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22" w:name="_Toc6169"/>
      <w:r>
        <w:rPr>
          <w:rFonts w:cs="Times New Roman" w:hint="default"/>
          <w:sz w:val="30"/>
          <w:szCs w:val="30"/>
        </w:rPr>
        <w:t>3.</w:t>
      </w:r>
      <w:r>
        <w:rPr>
          <w:rFonts w:cs="Times New Roman" w:hint="default"/>
          <w:sz w:val="30"/>
          <w:szCs w:val="30"/>
        </w:rPr>
        <w:t>5</w:t>
      </w:r>
      <w:r>
        <w:rPr>
          <w:rFonts w:cs="Times New Roman" w:hint="default"/>
          <w:sz w:val="30"/>
          <w:szCs w:val="30"/>
        </w:rPr>
        <w:t>小结</w:t>
      </w:r>
      <w:bookmarkEnd w:id="222"/>
    </w:p>
    <w:p w:rsidR="00A46452" w:rsidRDefault="009A3928">
      <w:pPr>
        <w:wordWrap w:val="0"/>
        <w:topLinePunct/>
        <w:adjustRightInd w:val="0"/>
        <w:snapToGrid w:val="0"/>
        <w:ind w:firstLine="480"/>
        <w:rPr>
          <w:rFonts w:cs="Times New Roman"/>
        </w:rPr>
      </w:pPr>
      <w:r>
        <w:rPr>
          <w:rFonts w:cs="Times New Roman"/>
        </w:rPr>
        <w:t>根据自然资源部</w:t>
      </w:r>
      <w:r>
        <w:rPr>
          <w:rFonts w:cs="Times New Roman"/>
        </w:rPr>
        <w:t xml:space="preserve"> </w:t>
      </w:r>
      <w:r>
        <w:rPr>
          <w:rFonts w:cs="Times New Roman"/>
        </w:rPr>
        <w:t>国家发展改革委</w:t>
      </w:r>
      <w:r>
        <w:rPr>
          <w:rFonts w:cs="Times New Roman"/>
        </w:rPr>
        <w:t xml:space="preserve"> </w:t>
      </w:r>
      <w:r>
        <w:rPr>
          <w:rFonts w:cs="Times New Roman"/>
        </w:rPr>
        <w:t>交通运输部</w:t>
      </w:r>
      <w:r>
        <w:rPr>
          <w:rFonts w:cs="Times New Roman"/>
        </w:rPr>
        <w:t xml:space="preserve"> </w:t>
      </w:r>
      <w:r>
        <w:rPr>
          <w:rFonts w:cs="Times New Roman"/>
        </w:rPr>
        <w:t>水利部</w:t>
      </w:r>
      <w:r>
        <w:rPr>
          <w:rFonts w:cs="Times New Roman"/>
        </w:rPr>
        <w:t xml:space="preserve"> </w:t>
      </w:r>
      <w:r>
        <w:rPr>
          <w:rFonts w:cs="Times New Roman"/>
        </w:rPr>
        <w:t>国家能源局</w:t>
      </w:r>
      <w:r>
        <w:rPr>
          <w:rFonts w:cs="Times New Roman"/>
        </w:rPr>
        <w:t xml:space="preserve"> </w:t>
      </w:r>
      <w:r>
        <w:rPr>
          <w:rFonts w:cs="Times New Roman"/>
        </w:rPr>
        <w:t>国家铁路局中国民用航空局《关于加强用地审批前期工作积极推进基础设施项目建设的通知》（自然资发〔</w:t>
      </w:r>
      <w:r>
        <w:rPr>
          <w:rFonts w:cs="Times New Roman"/>
        </w:rPr>
        <w:t>2022</w:t>
      </w:r>
      <w:r>
        <w:rPr>
          <w:rFonts w:cs="Times New Roman"/>
        </w:rPr>
        <w:t>〕</w:t>
      </w:r>
      <w:r>
        <w:rPr>
          <w:rFonts w:cs="Times New Roman"/>
        </w:rPr>
        <w:t>130</w:t>
      </w:r>
      <w:r>
        <w:rPr>
          <w:rFonts w:cs="Times New Roman"/>
        </w:rPr>
        <w:t>号）、自然资源部</w:t>
      </w:r>
      <w:r>
        <w:rPr>
          <w:rFonts w:cs="Times New Roman"/>
        </w:rPr>
        <w:t xml:space="preserve"> </w:t>
      </w:r>
      <w:r>
        <w:rPr>
          <w:rFonts w:cs="Times New Roman"/>
        </w:rPr>
        <w:t>农业农村部</w:t>
      </w:r>
      <w:r>
        <w:rPr>
          <w:rFonts w:cs="Times New Roman"/>
        </w:rPr>
        <w:t xml:space="preserve"> </w:t>
      </w:r>
      <w:r>
        <w:rPr>
          <w:rFonts w:cs="Times New Roman"/>
        </w:rPr>
        <w:t>国家林业和草原局《关于严格耕地用途管制有关问题的通知》（自然资发〔</w:t>
      </w:r>
      <w:r>
        <w:rPr>
          <w:rFonts w:cs="Times New Roman"/>
        </w:rPr>
        <w:t>2021</w:t>
      </w:r>
      <w:r>
        <w:rPr>
          <w:rFonts w:cs="Times New Roman"/>
        </w:rPr>
        <w:t>〕</w:t>
      </w:r>
      <w:r>
        <w:rPr>
          <w:rFonts w:cs="Times New Roman"/>
        </w:rPr>
        <w:t>166</w:t>
      </w:r>
      <w:r>
        <w:rPr>
          <w:rFonts w:cs="Times New Roman"/>
        </w:rPr>
        <w:t>号）、自然资源部《关于积极做好用地用海要素保障的通知》（自然资发〔</w:t>
      </w:r>
      <w:r>
        <w:rPr>
          <w:rFonts w:cs="Times New Roman"/>
        </w:rPr>
        <w:t>2022</w:t>
      </w:r>
      <w:r>
        <w:rPr>
          <w:rFonts w:cs="Times New Roman"/>
        </w:rPr>
        <w:t>〕</w:t>
      </w:r>
      <w:r>
        <w:rPr>
          <w:rFonts w:cs="Times New Roman"/>
        </w:rPr>
        <w:t>129</w:t>
      </w:r>
      <w:r>
        <w:rPr>
          <w:rFonts w:cs="Times New Roman"/>
        </w:rPr>
        <w:t>号）、自然资源部《关于规范临时用地管理的通知》（自然资规〔</w:t>
      </w:r>
      <w:r>
        <w:rPr>
          <w:rFonts w:cs="Times New Roman"/>
        </w:rPr>
        <w:t>2021</w:t>
      </w:r>
      <w:r>
        <w:rPr>
          <w:rFonts w:cs="Times New Roman"/>
        </w:rPr>
        <w:t>〕</w:t>
      </w:r>
      <w:r>
        <w:rPr>
          <w:rFonts w:cs="Times New Roman"/>
        </w:rPr>
        <w:t>2</w:t>
      </w:r>
      <w:r>
        <w:rPr>
          <w:rFonts w:cs="Times New Roman"/>
        </w:rPr>
        <w:t>号）的相关要求，本项目选线、临时工程选址合理性见表</w:t>
      </w:r>
      <w:r>
        <w:rPr>
          <w:rFonts w:cs="Times New Roman"/>
        </w:rPr>
        <w:t>3.</w:t>
      </w:r>
      <w:r>
        <w:rPr>
          <w:rFonts w:cs="Times New Roman" w:hint="eastAsia"/>
        </w:rPr>
        <w:t>5</w:t>
      </w:r>
      <w:r>
        <w:rPr>
          <w:rFonts w:cs="Times New Roman"/>
        </w:rPr>
        <w:t>-</w:t>
      </w:r>
      <w:r>
        <w:rPr>
          <w:rFonts w:cs="Times New Roman" w:hint="eastAsia"/>
        </w:rPr>
        <w:t>1</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3.</w:t>
      </w:r>
      <w:r>
        <w:rPr>
          <w:rFonts w:eastAsia="黑体" w:cs="Times New Roman" w:hint="eastAsia"/>
        </w:rPr>
        <w:t>5</w:t>
      </w:r>
      <w:r>
        <w:rPr>
          <w:rFonts w:eastAsia="黑体" w:cs="Times New Roman"/>
        </w:rPr>
        <w:t>-</w:t>
      </w:r>
      <w:r>
        <w:rPr>
          <w:rFonts w:eastAsia="黑体" w:cs="Times New Roman" w:hint="eastAsia"/>
        </w:rPr>
        <w:t>1</w:t>
      </w:r>
      <w:r>
        <w:rPr>
          <w:rFonts w:eastAsia="黑体" w:cs="Times New Roman"/>
        </w:rPr>
        <w:t xml:space="preserve">       </w:t>
      </w:r>
      <w:r>
        <w:rPr>
          <w:rFonts w:eastAsia="黑体" w:cs="Times New Roman"/>
        </w:rPr>
        <w:t>本项目选线、临时工程选址与相关政策的</w:t>
      </w:r>
      <w:r>
        <w:rPr>
          <w:rFonts w:eastAsia="黑体" w:cs="Times New Roman"/>
        </w:rPr>
        <w:t>选址合理性分析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0"/>
        <w:gridCol w:w="3376"/>
        <w:gridCol w:w="3125"/>
        <w:gridCol w:w="837"/>
      </w:tblGrid>
      <w:tr w:rsidR="00A46452">
        <w:trPr>
          <w:trHeight w:val="23"/>
          <w:tblHeader/>
        </w:trPr>
        <w:tc>
          <w:tcPr>
            <w:tcW w:w="1188" w:type="dxa"/>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相关政策</w:t>
            </w:r>
          </w:p>
        </w:tc>
        <w:tc>
          <w:tcPr>
            <w:tcW w:w="3371" w:type="dxa"/>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要求</w:t>
            </w:r>
          </w:p>
        </w:tc>
        <w:tc>
          <w:tcPr>
            <w:tcW w:w="3120" w:type="dxa"/>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本项目临时工程选址符合性分析</w:t>
            </w:r>
          </w:p>
        </w:tc>
        <w:tc>
          <w:tcPr>
            <w:tcW w:w="836" w:type="dxa"/>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符合性</w:t>
            </w:r>
          </w:p>
        </w:tc>
      </w:tr>
      <w:tr w:rsidR="00A46452">
        <w:trPr>
          <w:trHeight w:val="23"/>
        </w:trPr>
        <w:tc>
          <w:tcPr>
            <w:tcW w:w="1188" w:type="dxa"/>
            <w:vMerge w:val="restar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《关于加强用地审批前期工作积极推进基础设施项目建设的通知》（自然资发〔</w:t>
            </w:r>
            <w:r>
              <w:rPr>
                <w:rFonts w:cs="Times New Roman"/>
                <w:sz w:val="18"/>
                <w:szCs w:val="18"/>
              </w:rPr>
              <w:t>2022</w:t>
            </w:r>
            <w:r>
              <w:rPr>
                <w:rFonts w:cs="Times New Roman"/>
                <w:sz w:val="18"/>
                <w:szCs w:val="18"/>
              </w:rPr>
              <w:t>〕</w:t>
            </w:r>
            <w:r>
              <w:rPr>
                <w:rFonts w:cs="Times New Roman"/>
                <w:sz w:val="18"/>
                <w:szCs w:val="18"/>
              </w:rPr>
              <w:t>130</w:t>
            </w:r>
            <w:r>
              <w:rPr>
                <w:rFonts w:cs="Times New Roman"/>
                <w:sz w:val="18"/>
                <w:szCs w:val="18"/>
              </w:rPr>
              <w:t>号）</w:t>
            </w: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可研编制单位、项目设计单位要加强多方案比选，不占、少占耕地和永久基本农田，合理避让生态保护红线、历史文化保护红线和灾害风险区。</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项目可研单位提出了</w:t>
            </w:r>
            <w:r>
              <w:rPr>
                <w:rFonts w:cs="Times New Roman"/>
                <w:sz w:val="18"/>
                <w:szCs w:val="18"/>
              </w:rPr>
              <w:t>“</w:t>
            </w:r>
            <w:r>
              <w:rPr>
                <w:rFonts w:cs="Times New Roman"/>
                <w:sz w:val="18"/>
                <w:szCs w:val="18"/>
              </w:rPr>
              <w:t>走廊带、局部方案、起终点</w:t>
            </w:r>
            <w:r>
              <w:rPr>
                <w:rFonts w:cs="Times New Roman"/>
                <w:sz w:val="18"/>
                <w:szCs w:val="18"/>
              </w:rPr>
              <w:t>”</w:t>
            </w:r>
            <w:r>
              <w:rPr>
                <w:rFonts w:cs="Times New Roman"/>
                <w:sz w:val="18"/>
                <w:szCs w:val="18"/>
              </w:rPr>
              <w:t>三种方案的比选论证，最终选取避让基本农田的方案。临时占地均选择在植被覆盖度比较低的林地，临时占地不占用基本农田及一般耕地，不占用生态保护红线、环境敏感区。</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可行性研究阶段，用地涉及耕地、永久基本农田、生态保护红线的建设项目，需开展节约集约用地论证分析，从占用耕地和永久基本农田的必要性、用地规模和功能分区的合理性、不可避让生态保护红线的充分性、节地水平的先进性等对方案进行分析比选，形成节约集约用地专章作为用地预审申报材料提交审查，审查后的内容纳入可行性研究报告或项目申请报告相关章节。</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在可研阶段，项目避让基本农田、自然保护区的方案。本项目已取得新疆维吾尔自治区自然资源厅、新疆生产建设兵团自然资源局《关于第三师图木舒克市</w:t>
            </w:r>
            <w:r>
              <w:rPr>
                <w:rFonts w:cs="Times New Roman"/>
                <w:sz w:val="18"/>
                <w:szCs w:val="18"/>
              </w:rPr>
              <w:t>-</w:t>
            </w:r>
            <w:r>
              <w:rPr>
                <w:rFonts w:cs="Times New Roman"/>
                <w:sz w:val="18"/>
                <w:szCs w:val="18"/>
              </w:rPr>
              <w:t>柯坪县</w:t>
            </w:r>
            <w:r>
              <w:rPr>
                <w:rFonts w:cs="Times New Roman"/>
                <w:sz w:val="18"/>
                <w:szCs w:val="18"/>
              </w:rPr>
              <w:t>-</w:t>
            </w:r>
            <w:r>
              <w:rPr>
                <w:rFonts w:cs="Times New Roman"/>
                <w:sz w:val="18"/>
                <w:szCs w:val="18"/>
              </w:rPr>
              <w:t>乌什县公路</w:t>
            </w:r>
            <w:r>
              <w:rPr>
                <w:rFonts w:cs="Times New Roman"/>
                <w:sz w:val="18"/>
                <w:szCs w:val="18"/>
              </w:rPr>
              <w:t>(</w:t>
            </w:r>
            <w:r>
              <w:rPr>
                <w:rFonts w:cs="Times New Roman"/>
                <w:sz w:val="18"/>
                <w:szCs w:val="18"/>
              </w:rPr>
              <w:t>图木舒克</w:t>
            </w:r>
            <w:r>
              <w:rPr>
                <w:rFonts w:cs="Times New Roman"/>
                <w:sz w:val="18"/>
                <w:szCs w:val="18"/>
              </w:rPr>
              <w:t>-</w:t>
            </w:r>
            <w:r>
              <w:rPr>
                <w:rFonts w:cs="Times New Roman"/>
                <w:sz w:val="18"/>
                <w:szCs w:val="18"/>
              </w:rPr>
              <w:t>柯坪段</w:t>
            </w:r>
            <w:r>
              <w:rPr>
                <w:rFonts w:cs="Times New Roman"/>
                <w:sz w:val="18"/>
                <w:szCs w:val="18"/>
              </w:rPr>
              <w:t>)</w:t>
            </w:r>
            <w:r>
              <w:rPr>
                <w:rFonts w:cs="Times New Roman"/>
                <w:sz w:val="18"/>
                <w:szCs w:val="18"/>
              </w:rPr>
              <w:t>公路</w:t>
            </w:r>
            <w:r>
              <w:rPr>
                <w:rFonts w:cs="Times New Roman"/>
                <w:sz w:val="18"/>
                <w:szCs w:val="18"/>
              </w:rPr>
              <w:t>项目用地预审与选址意见书》（用字第</w:t>
            </w:r>
            <w:r>
              <w:rPr>
                <w:rFonts w:cs="Times New Roman"/>
                <w:sz w:val="18"/>
                <w:szCs w:val="18"/>
              </w:rPr>
              <w:t>660000202500003</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号）。</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初步设计阶段，项目应因地制宜优先采用本行业先进的节地技术和节地模式，在满足安全生产等前提下，优化设计方案，提升项目节地水平</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项目在初步设计阶段，将进一步降低路基高度，收缩边坡等节地设计，优化和减少占用耕地。</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val="restar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《关于严格耕地用途管制有关问题的通知》（自然资发〔</w:t>
            </w:r>
            <w:r>
              <w:rPr>
                <w:rFonts w:cs="Times New Roman"/>
                <w:sz w:val="18"/>
                <w:szCs w:val="18"/>
              </w:rPr>
              <w:t>2021</w:t>
            </w:r>
            <w:r>
              <w:rPr>
                <w:rFonts w:cs="Times New Roman"/>
                <w:sz w:val="18"/>
                <w:szCs w:val="18"/>
              </w:rPr>
              <w:t>〕</w:t>
            </w:r>
            <w:r>
              <w:rPr>
                <w:rFonts w:cs="Times New Roman"/>
                <w:sz w:val="18"/>
                <w:szCs w:val="18"/>
              </w:rPr>
              <w:t>166</w:t>
            </w:r>
            <w:r>
              <w:rPr>
                <w:rFonts w:cs="Times New Roman"/>
                <w:sz w:val="18"/>
                <w:szCs w:val="18"/>
              </w:rPr>
              <w:t>号）</w:t>
            </w: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不得违规超标准在铁路、公路等用地红线外，以及河渠两侧、水库周边占用一般耕地种树建设绿化带。</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项目区后续绿化设计结合沿线实际情况实施沿线、服务区的绿化，严禁用地红线外占用耕地实施绿化。</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能源、交通、水利、军事设施等重大建设项目选址确实难以避让永久基本农田的，经依法批准，应在落实耕地占补平衡基础上，按照数量不减、质量不降原则，在可以长期稳定利用的耕地上落实永久基本农田补划任务。</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本项目连接了南疆地区</w:t>
            </w:r>
            <w:r>
              <w:rPr>
                <w:rFonts w:cs="Times New Roman"/>
                <w:sz w:val="18"/>
                <w:szCs w:val="18"/>
              </w:rPr>
              <w:t>2</w:t>
            </w:r>
            <w:r>
              <w:rPr>
                <w:rFonts w:cs="Times New Roman"/>
                <w:sz w:val="18"/>
                <w:szCs w:val="18"/>
              </w:rPr>
              <w:t>个重点城市，本项目不占用基本农田</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val="restar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《关于规范临时用地管理的通知》（自然资规〔</w:t>
            </w:r>
            <w:r>
              <w:rPr>
                <w:rFonts w:cs="Times New Roman"/>
                <w:sz w:val="18"/>
                <w:szCs w:val="18"/>
              </w:rPr>
              <w:t>2021</w:t>
            </w:r>
            <w:r>
              <w:rPr>
                <w:rFonts w:cs="Times New Roman"/>
                <w:sz w:val="18"/>
                <w:szCs w:val="18"/>
              </w:rPr>
              <w:t>〕</w:t>
            </w:r>
            <w:r>
              <w:rPr>
                <w:rFonts w:cs="Times New Roman"/>
                <w:sz w:val="18"/>
                <w:szCs w:val="18"/>
              </w:rPr>
              <w:t>2</w:t>
            </w:r>
            <w:r>
              <w:rPr>
                <w:rFonts w:cs="Times New Roman"/>
                <w:sz w:val="18"/>
                <w:szCs w:val="18"/>
              </w:rPr>
              <w:t>号）</w:t>
            </w:r>
          </w:p>
        </w:tc>
        <w:tc>
          <w:tcPr>
            <w:tcW w:w="3371"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建设项目施工、地质勘查使用临时用地时应坚持</w:t>
            </w:r>
            <w:r>
              <w:rPr>
                <w:rFonts w:cs="Times New Roman"/>
                <w:sz w:val="18"/>
                <w:szCs w:val="18"/>
              </w:rPr>
              <w:t>“</w:t>
            </w:r>
            <w:r>
              <w:rPr>
                <w:rFonts w:cs="Times New Roman"/>
                <w:sz w:val="18"/>
                <w:szCs w:val="18"/>
              </w:rPr>
              <w:t>用多少、批多少、占多少、恢复多少</w:t>
            </w:r>
            <w:r>
              <w:rPr>
                <w:rFonts w:cs="Times New Roman"/>
                <w:sz w:val="18"/>
                <w:szCs w:val="18"/>
              </w:rPr>
              <w:t>”</w:t>
            </w:r>
            <w:r>
              <w:rPr>
                <w:rFonts w:cs="Times New Roman"/>
                <w:sz w:val="18"/>
                <w:szCs w:val="18"/>
              </w:rPr>
              <w:t>，尽量不占或者少占耕地。使用后土地复垦难度较大的临时用地，要严格控制占用耕地。铁路、公路等单独选址建设项目，应科学组织施工，节约集约使用临时用地。制梁场、拌和站等难以恢复原种植条件的不得以临时用地方式占用耕地和永久基本农田，可以建设用地方式或者临时占用未利用地方式使用土地。</w:t>
            </w:r>
          </w:p>
        </w:tc>
        <w:tc>
          <w:tcPr>
            <w:tcW w:w="3120"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本项目的沥青拌和站、水稳拌和站均选择在</w:t>
            </w:r>
            <w:r>
              <w:rPr>
                <w:rFonts w:cs="Times New Roman"/>
                <w:sz w:val="18"/>
                <w:szCs w:val="18"/>
              </w:rPr>
              <w:t>植被覆盖度较低的林地内</w:t>
            </w:r>
            <w:r>
              <w:rPr>
                <w:rFonts w:cs="Times New Roman"/>
                <w:sz w:val="18"/>
                <w:szCs w:val="18"/>
              </w:rPr>
              <w:t>，不占用耕地及基本农田；自采风积沙料场选址在沙漠区；取土场均位于主线两侧距离公路中心线</w:t>
            </w:r>
            <w:r>
              <w:rPr>
                <w:rFonts w:cs="Times New Roman"/>
                <w:sz w:val="18"/>
                <w:szCs w:val="18"/>
              </w:rPr>
              <w:t>200m</w:t>
            </w:r>
            <w:r>
              <w:rPr>
                <w:rFonts w:cs="Times New Roman"/>
                <w:sz w:val="18"/>
                <w:szCs w:val="18"/>
              </w:rPr>
              <w:t>以外</w:t>
            </w:r>
            <w:r>
              <w:rPr>
                <w:rFonts w:cs="Times New Roman"/>
                <w:sz w:val="18"/>
                <w:szCs w:val="18"/>
              </w:rPr>
              <w:t>的荒地上。农田段不设置临时道路。</w:t>
            </w:r>
          </w:p>
        </w:tc>
        <w:tc>
          <w:tcPr>
            <w:tcW w:w="836"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r w:rsidR="00A46452">
        <w:trPr>
          <w:trHeight w:val="23"/>
        </w:trPr>
        <w:tc>
          <w:tcPr>
            <w:tcW w:w="1188" w:type="dxa"/>
            <w:vMerge/>
            <w:tcBorders>
              <w:top w:val="single" w:sz="6" w:space="0" w:color="auto"/>
              <w:left w:val="single" w:sz="12" w:space="0" w:color="auto"/>
              <w:bottom w:val="single" w:sz="12"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3371"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3120"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环评要求项目边建设边恢复，完工一段恢复一段，及时拆除临时工程建筑物，平整土地，实施复垦，落实临时工程的生态恢复。</w:t>
            </w:r>
          </w:p>
        </w:tc>
        <w:tc>
          <w:tcPr>
            <w:tcW w:w="836" w:type="dxa"/>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符合</w:t>
            </w:r>
          </w:p>
        </w:tc>
      </w:tr>
    </w:tbl>
    <w:p w:rsidR="00A46452" w:rsidRDefault="009A3928">
      <w:pPr>
        <w:wordWrap w:val="0"/>
        <w:topLinePunct/>
        <w:adjustRightInd w:val="0"/>
        <w:snapToGrid w:val="0"/>
        <w:ind w:firstLine="480"/>
        <w:rPr>
          <w:rFonts w:cs="Times New Roman"/>
        </w:rPr>
      </w:pPr>
      <w:r>
        <w:rPr>
          <w:rFonts w:cs="Times New Roman"/>
        </w:rPr>
        <w:t>本项目于</w:t>
      </w:r>
      <w:r>
        <w:rPr>
          <w:rFonts w:cs="Times New Roman"/>
        </w:rPr>
        <w:t>2022</w:t>
      </w:r>
      <w:r>
        <w:rPr>
          <w:rFonts w:cs="Times New Roman"/>
        </w:rPr>
        <w:t>年</w:t>
      </w:r>
      <w:r>
        <w:rPr>
          <w:rFonts w:cs="Times New Roman"/>
        </w:rPr>
        <w:t>7</w:t>
      </w:r>
      <w:r>
        <w:rPr>
          <w:rFonts w:cs="Times New Roman"/>
        </w:rPr>
        <w:t>月被纳入《国家公路网规划》，同时也是第三师图木舒克市</w:t>
      </w:r>
      <w:r>
        <w:rPr>
          <w:rFonts w:cs="Times New Roman" w:hint="eastAsia"/>
        </w:rPr>
        <w:t>“</w:t>
      </w:r>
      <w:r>
        <w:rPr>
          <w:rFonts w:cs="Times New Roman"/>
        </w:rPr>
        <w:t>十四五</w:t>
      </w:r>
      <w:r>
        <w:rPr>
          <w:rFonts w:cs="Times New Roman" w:hint="eastAsia"/>
        </w:rPr>
        <w:t>”</w:t>
      </w:r>
      <w:r>
        <w:rPr>
          <w:rFonts w:cs="Times New Roman"/>
        </w:rPr>
        <w:t>交通运输发展规划的重点项目。本项目的建设对于完善国家公路网布局、筑牢祖国西北安全屏障、促进沿边开放和国土开发、巩固拓展脱贫攻坚成果等具有重大作用。项目属于鼓励类，符合国家的产业政策。</w:t>
      </w:r>
    </w:p>
    <w:p w:rsidR="00A46452" w:rsidRDefault="00A46452" w:rsidP="00182EED">
      <w:pPr>
        <w:pStyle w:val="21"/>
        <w:keepNext w:val="0"/>
        <w:keepLines w:val="0"/>
        <w:wordWrap w:val="0"/>
        <w:topLinePunct/>
        <w:adjustRightInd w:val="0"/>
        <w:snapToGrid w:val="0"/>
        <w:spacing w:beforeLines="50" w:before="120" w:afterLines="50" w:after="120"/>
        <w:rPr>
          <w:rFonts w:cs="Times New Roman" w:hint="default"/>
          <w:sz w:val="30"/>
          <w:szCs w:val="30"/>
        </w:rPr>
        <w:sectPr w:rsidR="00A46452">
          <w:headerReference w:type="default" r:id="rId19"/>
          <w:footerReference w:type="default" r:id="rId20"/>
          <w:pgSz w:w="11906" w:h="16838"/>
          <w:pgMar w:top="1440" w:right="1797" w:bottom="1440" w:left="1797" w:header="851" w:footer="992" w:gutter="0"/>
          <w:cols w:space="425"/>
          <w:docGrid w:linePitch="312"/>
        </w:sectPr>
      </w:pPr>
    </w:p>
    <w:p w:rsidR="00A46452" w:rsidRDefault="009A3928">
      <w:pPr>
        <w:pStyle w:val="1"/>
        <w:wordWrap w:val="0"/>
        <w:topLinePunct/>
        <w:adjustRightInd w:val="0"/>
        <w:snapToGrid w:val="0"/>
        <w:jc w:val="left"/>
        <w:rPr>
          <w:rFonts w:eastAsia="黑体" w:cs="Times New Roman" w:hint="default"/>
          <w:sz w:val="32"/>
          <w:szCs w:val="32"/>
        </w:rPr>
      </w:pPr>
      <w:bookmarkStart w:id="223" w:name="_Toc28419"/>
      <w:r>
        <w:rPr>
          <w:rFonts w:eastAsia="黑体" w:cs="Times New Roman" w:hint="default"/>
          <w:sz w:val="32"/>
          <w:szCs w:val="32"/>
        </w:rPr>
        <w:t>4</w:t>
      </w:r>
      <w:r>
        <w:rPr>
          <w:rFonts w:eastAsia="黑体" w:cs="Times New Roman" w:hint="default"/>
          <w:sz w:val="32"/>
          <w:szCs w:val="32"/>
        </w:rPr>
        <w:t>工程概况</w:t>
      </w:r>
      <w:bookmarkEnd w:id="216"/>
      <w:bookmarkEnd w:id="223"/>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24" w:name="_Toc15494"/>
      <w:r>
        <w:rPr>
          <w:rFonts w:cs="Times New Roman" w:hint="default"/>
          <w:sz w:val="30"/>
          <w:szCs w:val="30"/>
        </w:rPr>
        <w:t>4.1</w:t>
      </w:r>
      <w:r>
        <w:rPr>
          <w:rFonts w:cs="Times New Roman" w:hint="default"/>
          <w:sz w:val="30"/>
          <w:szCs w:val="30"/>
        </w:rPr>
        <w:t>既有公路概况</w:t>
      </w:r>
      <w:bookmarkEnd w:id="224"/>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4.1.1</w:t>
      </w:r>
      <w:r>
        <w:rPr>
          <w:rFonts w:cs="Times New Roman" w:hint="default"/>
          <w:sz w:val="28"/>
          <w:szCs w:val="28"/>
        </w:rPr>
        <w:t>既有公路的情况</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本项目路段</w:t>
      </w:r>
      <w:r>
        <w:rPr>
          <w:rFonts w:cs="Times New Roman"/>
          <w:kern w:val="0"/>
          <w:szCs w:val="24"/>
          <w:lang w:bidi="ar"/>
        </w:rPr>
        <w:t>有三部分，</w:t>
      </w:r>
      <w:r>
        <w:rPr>
          <w:rFonts w:cs="Times New Roman"/>
          <w:kern w:val="0"/>
          <w:szCs w:val="24"/>
          <w:lang w:bidi="ar"/>
        </w:rPr>
        <w:t>总长为</w:t>
      </w:r>
      <w:r>
        <w:rPr>
          <w:rFonts w:cs="Times New Roman"/>
          <w:kern w:val="0"/>
          <w:szCs w:val="24"/>
          <w:lang w:bidi="ar"/>
        </w:rPr>
        <w:t>5.926</w:t>
      </w:r>
      <w:r>
        <w:rPr>
          <w:rFonts w:cs="Times New Roman" w:hint="eastAsia"/>
          <w:kern w:val="0"/>
          <w:szCs w:val="24"/>
          <w:lang w:bidi="ar"/>
        </w:rPr>
        <w:t>km</w:t>
      </w:r>
      <w:r>
        <w:rPr>
          <w:rFonts w:cs="Times New Roman"/>
          <w:kern w:val="0"/>
          <w:szCs w:val="24"/>
          <w:lang w:bidi="ar"/>
        </w:rPr>
        <w:t>。</w:t>
      </w:r>
    </w:p>
    <w:p w:rsidR="00A46452" w:rsidRDefault="009A3928">
      <w:pPr>
        <w:wordWrap w:val="0"/>
        <w:topLinePunct/>
        <w:adjustRightInd w:val="0"/>
        <w:snapToGrid w:val="0"/>
        <w:ind w:firstLine="480"/>
        <w:rPr>
          <w:rFonts w:cs="Times New Roman"/>
          <w:kern w:val="0"/>
          <w:szCs w:val="24"/>
          <w:lang w:bidi="ar"/>
        </w:rPr>
      </w:pPr>
      <w:r>
        <w:rPr>
          <w:rFonts w:cs="Times New Roman"/>
          <w:kern w:val="0"/>
          <w:szCs w:val="24"/>
          <w:lang w:bidi="ar"/>
        </w:rPr>
        <w:t>（</w:t>
      </w:r>
      <w:r>
        <w:rPr>
          <w:rFonts w:cs="Times New Roman"/>
          <w:kern w:val="0"/>
          <w:szCs w:val="24"/>
          <w:lang w:bidi="ar"/>
        </w:rPr>
        <w:t>1</w:t>
      </w:r>
      <w:r>
        <w:rPr>
          <w:rFonts w:cs="Times New Roman"/>
          <w:kern w:val="0"/>
          <w:szCs w:val="24"/>
          <w:lang w:bidi="ar"/>
        </w:rPr>
        <w:t>）路线桩号</w:t>
      </w:r>
      <w:r>
        <w:rPr>
          <w:rFonts w:cs="Times New Roman"/>
          <w:kern w:val="0"/>
          <w:szCs w:val="24"/>
          <w:lang w:bidi="ar"/>
        </w:rPr>
        <w:t>K0+000</w:t>
      </w:r>
      <w:r>
        <w:rPr>
          <w:rFonts w:cs="Times New Roman"/>
          <w:kern w:val="0"/>
          <w:szCs w:val="24"/>
          <w:lang w:bidi="ar"/>
        </w:rPr>
        <w:t>~</w:t>
      </w:r>
      <w:r>
        <w:rPr>
          <w:rFonts w:cs="Times New Roman"/>
          <w:kern w:val="0"/>
          <w:szCs w:val="24"/>
          <w:lang w:bidi="ar"/>
        </w:rPr>
        <w:t>K3+300</w:t>
      </w:r>
      <w:r>
        <w:rPr>
          <w:rFonts w:cs="Times New Roman"/>
          <w:kern w:val="0"/>
          <w:szCs w:val="24"/>
          <w:lang w:bidi="ar"/>
        </w:rPr>
        <w:t>段</w:t>
      </w:r>
      <w:r>
        <w:rPr>
          <w:rFonts w:cs="Times New Roman"/>
          <w:kern w:val="0"/>
          <w:szCs w:val="24"/>
          <w:lang w:bidi="ar"/>
        </w:rPr>
        <w:t>为</w:t>
      </w:r>
      <w:r>
        <w:rPr>
          <w:rFonts w:cs="Times New Roman"/>
          <w:kern w:val="0"/>
          <w:szCs w:val="24"/>
          <w:lang w:bidi="ar"/>
        </w:rPr>
        <w:t>老路改扩建段</w:t>
      </w:r>
      <w:r>
        <w:rPr>
          <w:rFonts w:cs="Times New Roman"/>
          <w:kern w:val="0"/>
          <w:szCs w:val="24"/>
          <w:lang w:bidi="ar"/>
        </w:rPr>
        <w:t>，</w:t>
      </w:r>
      <w:r>
        <w:rPr>
          <w:rFonts w:cs="Times New Roman"/>
          <w:kern w:val="0"/>
          <w:szCs w:val="24"/>
          <w:lang w:bidi="ar"/>
        </w:rPr>
        <w:t>原有老路为机场大道东延段，长度为</w:t>
      </w:r>
      <w:r>
        <w:rPr>
          <w:rFonts w:cs="Times New Roman"/>
          <w:kern w:val="0"/>
          <w:szCs w:val="24"/>
          <w:lang w:bidi="ar"/>
        </w:rPr>
        <w:t>3.300km</w:t>
      </w:r>
      <w:r>
        <w:rPr>
          <w:rFonts w:cs="Times New Roman"/>
          <w:kern w:val="0"/>
          <w:szCs w:val="24"/>
          <w:lang w:bidi="ar"/>
        </w:rPr>
        <w:t>，公路等级为二级公路，设计速度</w:t>
      </w:r>
      <w:r>
        <w:rPr>
          <w:rFonts w:cs="Times New Roman"/>
          <w:kern w:val="0"/>
          <w:szCs w:val="24"/>
          <w:lang w:bidi="ar"/>
        </w:rPr>
        <w:t>80km/h</w:t>
      </w:r>
      <w:r>
        <w:rPr>
          <w:rFonts w:cs="Times New Roman"/>
          <w:kern w:val="0"/>
          <w:szCs w:val="24"/>
          <w:lang w:bidi="ar"/>
        </w:rPr>
        <w:t>，路基宽度</w:t>
      </w:r>
      <w:r>
        <w:rPr>
          <w:rFonts w:cs="Times New Roman"/>
          <w:kern w:val="0"/>
          <w:szCs w:val="24"/>
          <w:lang w:bidi="ar"/>
        </w:rPr>
        <w:t>12.0</w:t>
      </w:r>
      <w:r>
        <w:rPr>
          <w:rFonts w:cs="Times New Roman"/>
        </w:rPr>
        <w:t>m</w:t>
      </w:r>
      <w:r>
        <w:rPr>
          <w:rFonts w:cs="Times New Roman"/>
          <w:kern w:val="0"/>
          <w:szCs w:val="24"/>
          <w:lang w:bidi="ar"/>
        </w:rPr>
        <w:t>。</w:t>
      </w:r>
      <w:r>
        <w:rPr>
          <w:rFonts w:cs="Times New Roman"/>
          <w:kern w:val="0"/>
          <w:szCs w:val="24"/>
          <w:lang w:bidi="ar"/>
        </w:rPr>
        <w:t>此次</w:t>
      </w:r>
      <w:r>
        <w:rPr>
          <w:rFonts w:cs="Times New Roman"/>
          <w:kern w:val="0"/>
          <w:szCs w:val="24"/>
          <w:lang w:bidi="ar"/>
        </w:rPr>
        <w:t>将老路结构层挖除，路基</w:t>
      </w:r>
      <w:r>
        <w:rPr>
          <w:rFonts w:cs="Times New Roman"/>
          <w:kern w:val="0"/>
          <w:szCs w:val="24"/>
          <w:lang w:bidi="ar"/>
        </w:rPr>
        <w:t>变</w:t>
      </w:r>
      <w:r>
        <w:rPr>
          <w:rFonts w:cs="Times New Roman"/>
          <w:kern w:val="0"/>
          <w:szCs w:val="24"/>
          <w:lang w:bidi="ar"/>
        </w:rPr>
        <w:t>宽后重新铺筑路面结构层。</w:t>
      </w:r>
    </w:p>
    <w:p w:rsidR="00A46452" w:rsidRDefault="009A3928">
      <w:pPr>
        <w:wordWrap w:val="0"/>
        <w:topLinePunct/>
        <w:adjustRightInd w:val="0"/>
        <w:snapToGrid w:val="0"/>
        <w:ind w:firstLine="480"/>
        <w:rPr>
          <w:rFonts w:cs="Times New Roman"/>
          <w:kern w:val="0"/>
          <w:szCs w:val="24"/>
          <w:lang w:bidi="ar"/>
        </w:rPr>
      </w:pPr>
      <w:r>
        <w:rPr>
          <w:rFonts w:cs="Times New Roman"/>
          <w:kern w:val="0"/>
          <w:szCs w:val="24"/>
          <w:lang w:bidi="ar"/>
        </w:rPr>
        <w:t>（</w:t>
      </w:r>
      <w:r>
        <w:rPr>
          <w:rFonts w:cs="Times New Roman"/>
          <w:kern w:val="0"/>
          <w:szCs w:val="24"/>
          <w:lang w:bidi="ar"/>
        </w:rPr>
        <w:t>2</w:t>
      </w:r>
      <w:r>
        <w:rPr>
          <w:rFonts w:cs="Times New Roman"/>
          <w:kern w:val="0"/>
          <w:szCs w:val="24"/>
          <w:lang w:bidi="ar"/>
        </w:rPr>
        <w:t>）路线桩号</w:t>
      </w:r>
      <w:r>
        <w:rPr>
          <w:rFonts w:cs="Times New Roman"/>
          <w:kern w:val="0"/>
          <w:szCs w:val="24"/>
          <w:lang w:bidi="ar"/>
        </w:rPr>
        <w:t>K81+940</w:t>
      </w:r>
      <w:r>
        <w:rPr>
          <w:rFonts w:cs="Times New Roman"/>
          <w:kern w:val="0"/>
          <w:szCs w:val="24"/>
          <w:lang w:bidi="ar"/>
        </w:rPr>
        <w:t>~</w:t>
      </w:r>
      <w:r>
        <w:rPr>
          <w:rFonts w:cs="Times New Roman"/>
          <w:kern w:val="0"/>
          <w:szCs w:val="24"/>
          <w:lang w:bidi="ar"/>
        </w:rPr>
        <w:t>K83+380</w:t>
      </w:r>
      <w:r>
        <w:rPr>
          <w:rFonts w:cs="Times New Roman"/>
          <w:kern w:val="0"/>
          <w:szCs w:val="24"/>
          <w:lang w:bidi="ar"/>
        </w:rPr>
        <w:t>段</w:t>
      </w:r>
      <w:r>
        <w:rPr>
          <w:rFonts w:cs="Times New Roman"/>
          <w:kern w:val="0"/>
          <w:szCs w:val="24"/>
          <w:lang w:bidi="ar"/>
        </w:rPr>
        <w:t>为利用段</w:t>
      </w:r>
      <w:r>
        <w:rPr>
          <w:rFonts w:cs="Times New Roman"/>
          <w:kern w:val="0"/>
          <w:szCs w:val="24"/>
          <w:lang w:bidi="ar"/>
        </w:rPr>
        <w:t>，原有老路为既有</w:t>
      </w:r>
      <w:r>
        <w:rPr>
          <w:rFonts w:cs="Times New Roman"/>
          <w:kern w:val="0"/>
          <w:szCs w:val="24"/>
          <w:lang w:bidi="ar"/>
        </w:rPr>
        <w:t>S308</w:t>
      </w:r>
      <w:r>
        <w:rPr>
          <w:rFonts w:cs="Times New Roman"/>
          <w:kern w:val="0"/>
          <w:szCs w:val="24"/>
          <w:lang w:bidi="ar"/>
        </w:rPr>
        <w:t>线，长度为</w:t>
      </w:r>
      <w:r>
        <w:rPr>
          <w:rFonts w:cs="Times New Roman"/>
          <w:kern w:val="0"/>
          <w:szCs w:val="24"/>
          <w:lang w:bidi="ar"/>
        </w:rPr>
        <w:t>1.440km</w:t>
      </w:r>
      <w:r>
        <w:rPr>
          <w:rFonts w:cs="Times New Roman"/>
          <w:kern w:val="0"/>
          <w:szCs w:val="24"/>
          <w:lang w:bidi="ar"/>
        </w:rPr>
        <w:t>，公路等级为二级公路，设计速度</w:t>
      </w:r>
      <w:r>
        <w:rPr>
          <w:rFonts w:cs="Times New Roman"/>
          <w:kern w:val="0"/>
          <w:szCs w:val="24"/>
          <w:lang w:bidi="ar"/>
        </w:rPr>
        <w:t>80km/h</w:t>
      </w:r>
      <w:r>
        <w:rPr>
          <w:rFonts w:cs="Times New Roman"/>
          <w:kern w:val="0"/>
          <w:szCs w:val="24"/>
          <w:lang w:bidi="ar"/>
        </w:rPr>
        <w:t>，路基宽度</w:t>
      </w:r>
      <w:r>
        <w:rPr>
          <w:rFonts w:cs="Times New Roman"/>
          <w:kern w:val="0"/>
          <w:szCs w:val="24"/>
          <w:lang w:bidi="ar"/>
        </w:rPr>
        <w:t>12.0</w:t>
      </w:r>
      <w:r>
        <w:rPr>
          <w:rFonts w:cs="Times New Roman"/>
        </w:rPr>
        <w:t>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3</w:t>
      </w:r>
      <w:r>
        <w:rPr>
          <w:rFonts w:cs="Times New Roman"/>
          <w:kern w:val="0"/>
          <w:szCs w:val="24"/>
          <w:lang w:bidi="ar"/>
        </w:rPr>
        <w:t>）</w:t>
      </w:r>
      <w:r>
        <w:rPr>
          <w:rFonts w:cs="Times New Roman"/>
          <w:kern w:val="0"/>
          <w:szCs w:val="24"/>
          <w:lang w:bidi="ar"/>
        </w:rPr>
        <w:t>K104+380</w:t>
      </w:r>
      <w:r>
        <w:rPr>
          <w:rFonts w:cs="Times New Roman"/>
          <w:kern w:val="0"/>
          <w:szCs w:val="24"/>
          <w:lang w:bidi="ar"/>
        </w:rPr>
        <w:t>~</w:t>
      </w:r>
      <w:r>
        <w:rPr>
          <w:rFonts w:cs="Times New Roman"/>
          <w:kern w:val="0"/>
          <w:szCs w:val="24"/>
          <w:lang w:bidi="ar"/>
        </w:rPr>
        <w:t>K105+566</w:t>
      </w:r>
      <w:r>
        <w:rPr>
          <w:rFonts w:cs="Times New Roman"/>
          <w:kern w:val="0"/>
          <w:szCs w:val="24"/>
          <w:lang w:bidi="ar"/>
        </w:rPr>
        <w:t>为</w:t>
      </w:r>
      <w:r>
        <w:rPr>
          <w:rFonts w:cs="Times New Roman"/>
          <w:kern w:val="0"/>
          <w:szCs w:val="24"/>
          <w:lang w:bidi="ar"/>
        </w:rPr>
        <w:t>预防性养护路段，原有老路为既有</w:t>
      </w:r>
      <w:r>
        <w:rPr>
          <w:rFonts w:cs="Times New Roman"/>
          <w:kern w:val="0"/>
          <w:szCs w:val="24"/>
          <w:lang w:bidi="ar"/>
        </w:rPr>
        <w:t>S308</w:t>
      </w:r>
      <w:r>
        <w:rPr>
          <w:rFonts w:cs="Times New Roman"/>
          <w:kern w:val="0"/>
          <w:szCs w:val="24"/>
          <w:lang w:bidi="ar"/>
        </w:rPr>
        <w:t>线，长度为</w:t>
      </w:r>
      <w:r>
        <w:rPr>
          <w:rFonts w:cs="Times New Roman"/>
          <w:kern w:val="0"/>
          <w:szCs w:val="24"/>
          <w:lang w:bidi="ar"/>
        </w:rPr>
        <w:t>1.186km</w:t>
      </w:r>
      <w:r>
        <w:rPr>
          <w:rFonts w:cs="Times New Roman"/>
          <w:kern w:val="0"/>
          <w:szCs w:val="24"/>
          <w:lang w:bidi="ar"/>
        </w:rPr>
        <w:t>，公路等级为二级公路，设计速度</w:t>
      </w:r>
      <w:r>
        <w:rPr>
          <w:rFonts w:cs="Times New Roman"/>
          <w:kern w:val="0"/>
          <w:szCs w:val="24"/>
          <w:lang w:bidi="ar"/>
        </w:rPr>
        <w:t>80km/h</w:t>
      </w:r>
      <w:r>
        <w:rPr>
          <w:rFonts w:cs="Times New Roman"/>
          <w:kern w:val="0"/>
          <w:szCs w:val="24"/>
          <w:lang w:bidi="ar"/>
        </w:rPr>
        <w:t>，路</w:t>
      </w:r>
      <w:r>
        <w:rPr>
          <w:rFonts w:cs="Times New Roman"/>
          <w:kern w:val="0"/>
          <w:szCs w:val="24"/>
          <w:lang w:bidi="ar"/>
        </w:rPr>
        <w:t>基宽度</w:t>
      </w:r>
      <w:r>
        <w:rPr>
          <w:rFonts w:cs="Times New Roman"/>
          <w:kern w:val="0"/>
          <w:szCs w:val="24"/>
          <w:lang w:bidi="ar"/>
        </w:rPr>
        <w:t>12.0</w:t>
      </w:r>
      <w:r>
        <w:rPr>
          <w:rFonts w:cs="Times New Roman"/>
        </w:rPr>
        <w:t>m</w:t>
      </w:r>
      <w:r>
        <w:rPr>
          <w:rFonts w:cs="Times New Roman"/>
          <w:kern w:val="0"/>
          <w:szCs w:val="24"/>
          <w:lang w:bidi="ar"/>
        </w:rPr>
        <w:t>。根据老路弯沉、回弹检测，老路结构层强度较高，最终确定该段对老路路面进行预防性养护，采用厚</w:t>
      </w:r>
      <w:r>
        <w:rPr>
          <w:rFonts w:cs="Times New Roman"/>
          <w:kern w:val="0"/>
          <w:szCs w:val="24"/>
          <w:lang w:bidi="ar"/>
        </w:rPr>
        <w:t>1.5cmUTO-10</w:t>
      </w:r>
      <w:r>
        <w:rPr>
          <w:rFonts w:cs="Times New Roman"/>
          <w:kern w:val="0"/>
          <w:szCs w:val="24"/>
          <w:lang w:bidi="ar"/>
        </w:rPr>
        <w:t>超薄罩面（铣刨厚</w:t>
      </w:r>
      <w:r>
        <w:rPr>
          <w:rFonts w:cs="Times New Roman"/>
          <w:kern w:val="0"/>
          <w:szCs w:val="24"/>
          <w:lang w:bidi="ar"/>
        </w:rPr>
        <w:t>1cm</w:t>
      </w:r>
      <w:r>
        <w:rPr>
          <w:rFonts w:cs="Times New Roman"/>
          <w:kern w:val="0"/>
          <w:szCs w:val="24"/>
          <w:lang w:bidi="ar"/>
        </w:rPr>
        <w:t>原沥青面层）。</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4.1.2</w:t>
      </w:r>
      <w:r>
        <w:rPr>
          <w:rFonts w:cs="Times New Roman" w:hint="default"/>
          <w:sz w:val="28"/>
          <w:szCs w:val="28"/>
        </w:rPr>
        <w:t>既有公路的手续情况</w:t>
      </w:r>
    </w:p>
    <w:p w:rsidR="00A46452" w:rsidRDefault="009A3928">
      <w:pPr>
        <w:pStyle w:val="a5"/>
        <w:spacing w:after="0"/>
        <w:ind w:firstLine="480"/>
        <w:rPr>
          <w:rFonts w:cs="Times New Roman" w:hint="default"/>
        </w:rPr>
      </w:pPr>
      <w:r>
        <w:rPr>
          <w:rFonts w:cs="Times New Roman" w:hint="default"/>
        </w:rPr>
        <w:t>机场东延大道</w:t>
      </w:r>
      <w:r>
        <w:rPr>
          <w:rFonts w:cs="Times New Roman" w:hint="default"/>
        </w:rPr>
        <w:t>于</w:t>
      </w:r>
      <w:r>
        <w:rPr>
          <w:rFonts w:cs="Times New Roman" w:hint="default"/>
        </w:rPr>
        <w:t>20</w:t>
      </w:r>
      <w:r>
        <w:rPr>
          <w:rFonts w:cs="Times New Roman" w:hint="default"/>
        </w:rPr>
        <w:t>19</w:t>
      </w:r>
      <w:r>
        <w:rPr>
          <w:rFonts w:cs="Times New Roman" w:hint="default"/>
        </w:rPr>
        <w:t>年</w:t>
      </w:r>
      <w:r>
        <w:rPr>
          <w:rFonts w:cs="Times New Roman" w:hint="default"/>
        </w:rPr>
        <w:t>4</w:t>
      </w:r>
      <w:r>
        <w:rPr>
          <w:rFonts w:cs="Times New Roman" w:hint="default"/>
        </w:rPr>
        <w:t>月</w:t>
      </w:r>
      <w:r>
        <w:rPr>
          <w:rFonts w:cs="Times New Roman" w:hint="default"/>
        </w:rPr>
        <w:t>8</w:t>
      </w:r>
      <w:r>
        <w:rPr>
          <w:rFonts w:cs="Times New Roman" w:hint="default"/>
        </w:rPr>
        <w:t>日取得</w:t>
      </w:r>
      <w:r>
        <w:rPr>
          <w:rFonts w:cs="Times New Roman" w:hint="default"/>
        </w:rPr>
        <w:t>第三师图木舒克建设（环保）</w:t>
      </w:r>
      <w:r>
        <w:rPr>
          <w:rFonts w:cs="Times New Roman" w:hint="default"/>
        </w:rPr>
        <w:t>局《</w:t>
      </w:r>
      <w:r>
        <w:rPr>
          <w:rFonts w:cs="Times New Roman" w:hint="default"/>
        </w:rPr>
        <w:t>关于</w:t>
      </w:r>
      <w:r>
        <w:rPr>
          <w:rFonts w:cs="Times New Roman" w:hint="default"/>
        </w:rPr>
        <w:t>第三师图木舒克市飞机场～一间房岔口公</w:t>
      </w:r>
      <w:r>
        <w:rPr>
          <w:rFonts w:cs="Times New Roman" w:hint="default"/>
        </w:rPr>
        <w:t>路建设项目环境影响报告表的批复</w:t>
      </w:r>
      <w:r>
        <w:rPr>
          <w:rFonts w:cs="Times New Roman" w:hint="default"/>
        </w:rPr>
        <w:t>》（师市环审</w:t>
      </w:r>
      <w:r>
        <w:rPr>
          <w:rFonts w:eastAsia="微软雅黑" w:cs="Times New Roman" w:hint="default"/>
        </w:rPr>
        <w:t>〔</w:t>
      </w:r>
      <w:r>
        <w:rPr>
          <w:rFonts w:cs="Times New Roman" w:hint="default"/>
        </w:rPr>
        <w:t>2019</w:t>
      </w:r>
      <w:r>
        <w:rPr>
          <w:rFonts w:eastAsia="微软雅黑" w:cs="Times New Roman" w:hint="default"/>
        </w:rPr>
        <w:t>〕</w:t>
      </w:r>
      <w:r>
        <w:rPr>
          <w:rFonts w:cs="Times New Roman" w:hint="default"/>
        </w:rPr>
        <w:t>14</w:t>
      </w:r>
      <w:r>
        <w:rPr>
          <w:rFonts w:cs="Times New Roman" w:hint="default"/>
        </w:rPr>
        <w:t>号）</w:t>
      </w:r>
      <w:r>
        <w:rPr>
          <w:rFonts w:cs="Times New Roman" w:hint="default"/>
        </w:rPr>
        <w:t>，</w:t>
      </w:r>
      <w:r>
        <w:rPr>
          <w:rFonts w:cs="Times New Roman" w:hint="default"/>
        </w:rPr>
        <w:t>2022</w:t>
      </w:r>
      <w:r>
        <w:rPr>
          <w:rFonts w:cs="Times New Roman" w:hint="default"/>
        </w:rPr>
        <w:t>年</w:t>
      </w:r>
      <w:r>
        <w:rPr>
          <w:rFonts w:cs="Times New Roman" w:hint="default"/>
        </w:rPr>
        <w:t>10</w:t>
      </w:r>
      <w:r>
        <w:rPr>
          <w:rFonts w:cs="Times New Roman" w:hint="default"/>
        </w:rPr>
        <w:t>月完成验收</w:t>
      </w:r>
      <w:r>
        <w:rPr>
          <w:rFonts w:cs="Times New Roman" w:hint="default"/>
        </w:rPr>
        <w:t>。省道</w:t>
      </w:r>
      <w:r>
        <w:rPr>
          <w:rFonts w:cs="Times New Roman" w:hint="default"/>
        </w:rPr>
        <w:t>S308</w:t>
      </w:r>
      <w:r>
        <w:rPr>
          <w:rFonts w:cs="Times New Roman" w:hint="default"/>
        </w:rPr>
        <w:t>于</w:t>
      </w:r>
      <w:r>
        <w:rPr>
          <w:rFonts w:cs="Times New Roman" w:hint="default"/>
        </w:rPr>
        <w:t>2014</w:t>
      </w:r>
      <w:r>
        <w:rPr>
          <w:rFonts w:cs="Times New Roman" w:hint="default"/>
        </w:rPr>
        <w:t>年建设，</w:t>
      </w:r>
      <w:r>
        <w:rPr>
          <w:rFonts w:cs="Times New Roman" w:hint="default"/>
        </w:rPr>
        <w:t>2024</w:t>
      </w:r>
      <w:r>
        <w:rPr>
          <w:rFonts w:cs="Times New Roman" w:hint="default"/>
        </w:rPr>
        <w:t>年</w:t>
      </w:r>
      <w:r>
        <w:rPr>
          <w:rFonts w:cs="Times New Roman" w:hint="default"/>
        </w:rPr>
        <w:t>S308</w:t>
      </w:r>
      <w:r>
        <w:rPr>
          <w:rFonts w:cs="Times New Roman" w:hint="default"/>
        </w:rPr>
        <w:t>线阿恰勒</w:t>
      </w:r>
      <w:r>
        <w:rPr>
          <w:rFonts w:cs="Times New Roman" w:hint="default"/>
        </w:rPr>
        <w:t>-</w:t>
      </w:r>
      <w:r>
        <w:rPr>
          <w:rFonts w:cs="Times New Roman" w:hint="default"/>
        </w:rPr>
        <w:t>柯坪县段公路进行了改造升级。</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4.1.3</w:t>
      </w:r>
      <w:r>
        <w:rPr>
          <w:rFonts w:cs="Times New Roman" w:hint="default"/>
          <w:sz w:val="28"/>
          <w:szCs w:val="28"/>
        </w:rPr>
        <w:t>存在的环境问题</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w:t>
      </w:r>
      <w:r>
        <w:rPr>
          <w:rFonts w:cs="Times New Roman" w:hint="default"/>
        </w:rPr>
        <w:t>1</w:t>
      </w:r>
      <w:r>
        <w:rPr>
          <w:rFonts w:cs="Times New Roman" w:hint="default"/>
        </w:rPr>
        <w:t>）存在的环境问题</w:t>
      </w:r>
    </w:p>
    <w:p w:rsidR="00A46452" w:rsidRDefault="009A3928">
      <w:pPr>
        <w:pStyle w:val="a5"/>
        <w:wordWrap w:val="0"/>
        <w:topLinePunct/>
        <w:adjustRightInd w:val="0"/>
        <w:snapToGrid w:val="0"/>
        <w:spacing w:after="0"/>
        <w:ind w:firstLine="480"/>
        <w:rPr>
          <w:rFonts w:cs="Times New Roman" w:hint="default"/>
        </w:rPr>
      </w:pPr>
      <w:r>
        <w:rPr>
          <w:rFonts w:cs="Times New Roman" w:hint="default"/>
          <w:kern w:val="0"/>
        </w:rPr>
        <w:t>①</w:t>
      </w:r>
      <w:r>
        <w:rPr>
          <w:rFonts w:cs="Times New Roman" w:hint="default"/>
          <w:kern w:val="0"/>
        </w:rPr>
        <w:t>噪声环境问题：现有工程已落实声环境保护措施，利用道路两侧绿化、限制车速作为改善交通噪声的措施。根据实际调查，绿化带宽度约为</w:t>
      </w:r>
      <w:r>
        <w:rPr>
          <w:rFonts w:cs="Times New Roman" w:hint="default"/>
          <w:kern w:val="0"/>
        </w:rPr>
        <w:t>20~30m</w:t>
      </w:r>
      <w:r>
        <w:rPr>
          <w:rFonts w:cs="Times New Roman" w:hint="default"/>
          <w:kern w:val="0"/>
        </w:rPr>
        <w:t>，采取实测调查现有工程噪声对周边环境保</w:t>
      </w:r>
      <w:r>
        <w:rPr>
          <w:rFonts w:cs="Times New Roman" w:hint="default"/>
          <w:spacing w:val="-3"/>
        </w:rPr>
        <w:t>护目标的环境噪声影响，对沿线受到现有</w:t>
      </w:r>
      <w:r>
        <w:rPr>
          <w:rFonts w:cs="Times New Roman" w:hint="default"/>
          <w:spacing w:val="-2"/>
        </w:rPr>
        <w:t>工程道路影响的环境保护目标设置了</w:t>
      </w:r>
      <w:r>
        <w:rPr>
          <w:rFonts w:cs="Times New Roman" w:hint="default"/>
          <w:spacing w:val="-2"/>
        </w:rPr>
        <w:t>2</w:t>
      </w:r>
      <w:r>
        <w:rPr>
          <w:rFonts w:cs="Times New Roman" w:hint="default"/>
          <w:spacing w:val="-2"/>
        </w:rPr>
        <w:t>个监测点</w:t>
      </w:r>
      <w:r>
        <w:rPr>
          <w:rFonts w:cs="Times New Roman" w:hint="default"/>
        </w:rPr>
        <w:t>，现有工程敏感点的声环境质量均达标。</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②</w:t>
      </w:r>
      <w:r>
        <w:rPr>
          <w:rFonts w:cs="Times New Roman" w:hint="default"/>
        </w:rPr>
        <w:t>扬尘问题：现有老路路段修建时间长，经过长年的车辆负荷及雨水的侵袭，目前大部分路段路况差、路面车辙、坑槽、裂缝严重，扬尘大。</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③</w:t>
      </w:r>
      <w:r>
        <w:rPr>
          <w:rFonts w:cs="Times New Roman" w:hint="default"/>
        </w:rPr>
        <w:t>生态问题：</w:t>
      </w:r>
      <w:r>
        <w:rPr>
          <w:rFonts w:cs="Times New Roman" w:hint="default"/>
          <w:spacing w:val="2"/>
        </w:rPr>
        <w:t>对施工造成的农业、林业、</w:t>
      </w:r>
      <w:r>
        <w:rPr>
          <w:rFonts w:cs="Times New Roman" w:hint="default"/>
          <w:spacing w:val="2"/>
        </w:rPr>
        <w:t>土壤</w:t>
      </w:r>
      <w:r>
        <w:rPr>
          <w:rFonts w:cs="Times New Roman" w:hint="default"/>
          <w:spacing w:val="2"/>
        </w:rPr>
        <w:t>等不利影响按照相应标准进行了合理补偿。</w:t>
      </w:r>
      <w:r>
        <w:rPr>
          <w:rFonts w:cs="Times New Roman" w:hint="default"/>
        </w:rPr>
        <w:t>本项目改扩建路段位于绿洲农田区，公路建设多年，改扩建路段的人为活动频繁，大型野生动物已远离城市建成区及周边区域，根据现场勘查，常见的以兽类啮齿类动物为主，鸟类有麻雀、燕子、喜鹊、乌鸦等，种类和数量较少。现有的桥梁涵洞能满足兽类啮齿野生动物通行的要求。</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4.1.4“</w:t>
      </w:r>
      <w:r>
        <w:rPr>
          <w:rFonts w:cs="Times New Roman" w:hint="default"/>
          <w:sz w:val="28"/>
          <w:szCs w:val="28"/>
        </w:rPr>
        <w:t>以新带老</w:t>
      </w:r>
      <w:r>
        <w:rPr>
          <w:rFonts w:cs="Times New Roman" w:hint="default"/>
          <w:sz w:val="28"/>
          <w:szCs w:val="28"/>
        </w:rPr>
        <w:t>”</w:t>
      </w:r>
      <w:r>
        <w:rPr>
          <w:rFonts w:cs="Times New Roman" w:hint="default"/>
          <w:sz w:val="28"/>
          <w:szCs w:val="28"/>
        </w:rPr>
        <w:t>环保措施</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w:t>
      </w:r>
      <w:r>
        <w:rPr>
          <w:rFonts w:cs="Times New Roman" w:hint="default"/>
        </w:rPr>
        <w:t>1</w:t>
      </w:r>
      <w:r>
        <w:rPr>
          <w:rFonts w:cs="Times New Roman" w:hint="default"/>
        </w:rPr>
        <w:t>）</w:t>
      </w:r>
      <w:r>
        <w:rPr>
          <w:rFonts w:cs="Times New Roman" w:hint="default"/>
        </w:rPr>
        <w:t>噪声</w:t>
      </w:r>
      <w:r>
        <w:rPr>
          <w:rFonts w:cs="Times New Roman" w:hint="default"/>
        </w:rPr>
        <w:t>“</w:t>
      </w:r>
      <w:r>
        <w:rPr>
          <w:rFonts w:cs="Times New Roman" w:hint="default"/>
        </w:rPr>
        <w:t>以新带老</w:t>
      </w:r>
      <w:r>
        <w:rPr>
          <w:rFonts w:cs="Times New Roman" w:hint="default"/>
        </w:rPr>
        <w:t>”</w:t>
      </w:r>
      <w:r>
        <w:rPr>
          <w:rFonts w:cs="Times New Roman" w:hint="default"/>
        </w:rPr>
        <w:t>措施</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对于因本项目实施导致的沿线噪声超标的部分声环境敏感目标建设声屏障措施，并通过维护挖方边坡、道路绿化、降噪路面等措施，综合降低交通噪声，改善不利噪声影响。</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w:t>
      </w:r>
      <w:r>
        <w:rPr>
          <w:rFonts w:cs="Times New Roman" w:hint="default"/>
        </w:rPr>
        <w:t>2</w:t>
      </w:r>
      <w:r>
        <w:rPr>
          <w:rFonts w:cs="Times New Roman" w:hint="default"/>
        </w:rPr>
        <w:t>）大气</w:t>
      </w:r>
      <w:r>
        <w:rPr>
          <w:rFonts w:cs="Times New Roman" w:hint="default"/>
        </w:rPr>
        <w:t>“</w:t>
      </w:r>
      <w:r>
        <w:rPr>
          <w:rFonts w:cs="Times New Roman" w:hint="default"/>
        </w:rPr>
        <w:t>以新带老</w:t>
      </w:r>
      <w:r>
        <w:rPr>
          <w:rFonts w:cs="Times New Roman" w:hint="default"/>
        </w:rPr>
        <w:t>”</w:t>
      </w:r>
      <w:r>
        <w:rPr>
          <w:rFonts w:cs="Times New Roman" w:hint="default"/>
        </w:rPr>
        <w:t>措施</w:t>
      </w:r>
    </w:p>
    <w:p w:rsidR="00A46452" w:rsidRDefault="009A3928">
      <w:pPr>
        <w:pStyle w:val="a5"/>
        <w:wordWrap w:val="0"/>
        <w:topLinePunct/>
        <w:adjustRightInd w:val="0"/>
        <w:snapToGrid w:val="0"/>
        <w:spacing w:after="0"/>
        <w:ind w:firstLine="480"/>
        <w:rPr>
          <w:rFonts w:cs="Times New Roman" w:hint="default"/>
        </w:rPr>
      </w:pPr>
      <w:r>
        <w:rPr>
          <w:rFonts w:cs="Times New Roman" w:hint="default"/>
        </w:rPr>
        <w:t>现</w:t>
      </w:r>
      <w:r>
        <w:rPr>
          <w:rFonts w:cs="Times New Roman" w:hint="default"/>
        </w:rPr>
        <w:t>改扩建路段</w:t>
      </w:r>
      <w:r>
        <w:rPr>
          <w:rFonts w:cs="Times New Roman" w:hint="default"/>
        </w:rPr>
        <w:t>采用沥青混凝土</w:t>
      </w:r>
      <w:r>
        <w:rPr>
          <w:rFonts w:cs="Times New Roman" w:hint="default"/>
        </w:rPr>
        <w:t>罩</w:t>
      </w:r>
      <w:r>
        <w:rPr>
          <w:rFonts w:cs="Times New Roman" w:hint="default"/>
        </w:rPr>
        <w:t>面减少扬尘</w:t>
      </w:r>
      <w:r>
        <w:rPr>
          <w:rFonts w:cs="Times New Roman" w:hint="default"/>
        </w:rPr>
        <w:t>的产生</w:t>
      </w:r>
      <w:r>
        <w:rPr>
          <w:rFonts w:cs="Times New Roman" w:hint="default"/>
        </w:rPr>
        <w:t>；可在道路两边设置标志，标牌，以减少扬尘噪声产生的影响；</w:t>
      </w:r>
    </w:p>
    <w:p w:rsidR="00A46452" w:rsidRDefault="009A3928" w:rsidP="00182EED">
      <w:pPr>
        <w:pStyle w:val="21"/>
        <w:keepNext w:val="0"/>
        <w:keepLines w:val="0"/>
        <w:wordWrap w:val="0"/>
        <w:topLinePunct/>
        <w:adjustRightInd w:val="0"/>
        <w:snapToGrid w:val="0"/>
        <w:spacing w:beforeLines="50" w:before="120" w:afterLines="50" w:after="120"/>
        <w:rPr>
          <w:rFonts w:cs="Times New Roman" w:hint="default"/>
          <w:sz w:val="30"/>
          <w:szCs w:val="30"/>
        </w:rPr>
      </w:pPr>
      <w:bookmarkStart w:id="225" w:name="_Toc17838"/>
      <w:r>
        <w:rPr>
          <w:rFonts w:cs="Times New Roman" w:hint="default"/>
          <w:sz w:val="30"/>
          <w:szCs w:val="30"/>
        </w:rPr>
        <w:t>4.2</w:t>
      </w:r>
      <w:r>
        <w:rPr>
          <w:rFonts w:cs="Times New Roman" w:hint="default"/>
          <w:sz w:val="30"/>
          <w:szCs w:val="30"/>
        </w:rPr>
        <w:t>本次新改扩工程概况</w:t>
      </w:r>
      <w:bookmarkEnd w:id="225"/>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4.2.1</w:t>
      </w:r>
      <w:r>
        <w:rPr>
          <w:rFonts w:cs="Times New Roman" w:hint="default"/>
          <w:sz w:val="28"/>
          <w:szCs w:val="28"/>
        </w:rPr>
        <w:t>项目基本情况</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项目名称：第三师图木舒克市</w:t>
      </w:r>
      <w:r>
        <w:rPr>
          <w:rFonts w:cs="Times New Roman"/>
        </w:rPr>
        <w:t>－</w:t>
      </w:r>
      <w:r>
        <w:rPr>
          <w:rFonts w:cs="Times New Roman"/>
        </w:rPr>
        <w:t>柯坪县</w:t>
      </w:r>
      <w:r>
        <w:rPr>
          <w:rFonts w:cs="Times New Roman"/>
        </w:rPr>
        <w:t>－</w:t>
      </w:r>
      <w:r>
        <w:rPr>
          <w:rFonts w:cs="Times New Roman"/>
        </w:rPr>
        <w:t>乌什县公路（图木舒克</w:t>
      </w:r>
      <w:r>
        <w:rPr>
          <w:rFonts w:cs="Times New Roman"/>
        </w:rPr>
        <w:t>-</w:t>
      </w:r>
      <w:r>
        <w:rPr>
          <w:rFonts w:cs="Times New Roman"/>
        </w:rPr>
        <w:t>柯坪段）</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）建设地点：</w:t>
      </w:r>
      <w:r>
        <w:rPr>
          <w:rFonts w:cs="Times New Roman"/>
        </w:rPr>
        <w:t>起点位于</w:t>
      </w:r>
      <w:r>
        <w:rPr>
          <w:rFonts w:cs="Times New Roman"/>
        </w:rPr>
        <w:t>第三师图木舒克市、途经</w:t>
      </w:r>
      <w:r>
        <w:rPr>
          <w:rFonts w:cs="Times New Roman"/>
        </w:rPr>
        <w:t>50</w:t>
      </w:r>
      <w:r>
        <w:rPr>
          <w:rFonts w:cs="Times New Roman"/>
        </w:rPr>
        <w:t>团东侧、</w:t>
      </w:r>
      <w:r>
        <w:rPr>
          <w:rFonts w:cs="Times New Roman"/>
        </w:rPr>
        <w:t>53</w:t>
      </w:r>
      <w:r>
        <w:rPr>
          <w:rFonts w:cs="Times New Roman"/>
        </w:rPr>
        <w:t>团西侧（</w:t>
      </w:r>
      <w:r>
        <w:rPr>
          <w:rFonts w:cs="Times New Roman"/>
        </w:rPr>
        <w:t>G217</w:t>
      </w:r>
      <w:r>
        <w:rPr>
          <w:rFonts w:cs="Times New Roman"/>
        </w:rPr>
        <w:t>）、</w:t>
      </w:r>
      <w:r>
        <w:rPr>
          <w:rFonts w:cs="Times New Roman"/>
        </w:rPr>
        <w:t>巴楚县、</w:t>
      </w:r>
      <w:r>
        <w:rPr>
          <w:rFonts w:cs="Times New Roman"/>
        </w:rPr>
        <w:t>阿恰勒镇（</w:t>
      </w:r>
      <w:r>
        <w:rPr>
          <w:rFonts w:cs="Times New Roman"/>
        </w:rPr>
        <w:t>G3012</w:t>
      </w:r>
      <w:r>
        <w:rPr>
          <w:rFonts w:cs="Times New Roman"/>
        </w:rPr>
        <w:t>）、</w:t>
      </w:r>
      <w:r>
        <w:rPr>
          <w:rFonts w:cs="Times New Roman"/>
        </w:rPr>
        <w:t>终点</w:t>
      </w:r>
      <w:r>
        <w:rPr>
          <w:rFonts w:cs="Times New Roman"/>
        </w:rPr>
        <w:t>柯坪县；</w:t>
      </w:r>
      <w:r>
        <w:rPr>
          <w:rFonts w:cs="Times New Roman"/>
        </w:rPr>
        <w:t>路线起点坐标</w:t>
      </w:r>
      <w:r>
        <w:rPr>
          <w:rFonts w:cs="Times New Roman"/>
        </w:rPr>
        <w:t>E</w:t>
      </w:r>
      <w:r>
        <w:rPr>
          <w:rFonts w:cs="Times New Roman"/>
        </w:rPr>
        <w:t>79°12'51.8342"</w:t>
      </w:r>
      <w:r>
        <w:rPr>
          <w:rFonts w:cs="Times New Roman"/>
        </w:rPr>
        <w:t>，</w:t>
      </w:r>
      <w:r>
        <w:rPr>
          <w:rFonts w:cs="Times New Roman"/>
        </w:rPr>
        <w:t>N</w:t>
      </w:r>
      <w:r>
        <w:rPr>
          <w:rFonts w:cs="Times New Roman"/>
        </w:rPr>
        <w:t>39°52'26.3241"</w:t>
      </w:r>
      <w:r>
        <w:rPr>
          <w:rFonts w:cs="Times New Roman"/>
        </w:rPr>
        <w:t>；</w:t>
      </w:r>
      <w:r>
        <w:rPr>
          <w:rFonts w:cs="Times New Roman"/>
        </w:rPr>
        <w:t>终点坐标</w:t>
      </w:r>
      <w:r>
        <w:rPr>
          <w:rFonts w:cs="Times New Roman"/>
        </w:rPr>
        <w:t>E79°03'21.5014"</w:t>
      </w:r>
      <w:r>
        <w:rPr>
          <w:rFonts w:cs="Times New Roman"/>
        </w:rPr>
        <w:t>，</w:t>
      </w:r>
      <w:r>
        <w:rPr>
          <w:rFonts w:cs="Times New Roman"/>
        </w:rPr>
        <w:t>N40°31'21.4350"</w:t>
      </w:r>
      <w:r>
        <w:rPr>
          <w:rFonts w:cs="Times New Roman"/>
        </w:rPr>
        <w:t>），</w:t>
      </w:r>
      <w:r>
        <w:rPr>
          <w:rFonts w:cs="Times New Roman"/>
        </w:rPr>
        <w:t>地理位置示意图见图</w:t>
      </w:r>
      <w:r>
        <w:rPr>
          <w:rFonts w:cs="Times New Roman"/>
        </w:rPr>
        <w:t>4.2-1</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）建设性质：改扩建、新建；</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w:t>
      </w:r>
      <w:r>
        <w:rPr>
          <w:rFonts w:cs="Times New Roman"/>
        </w:rPr>
        <w:t>建设规模：本项目路线全长</w:t>
      </w:r>
      <w:r>
        <w:rPr>
          <w:rFonts w:cs="Times New Roman"/>
        </w:rPr>
        <w:t>107.379km</w:t>
      </w:r>
      <w:r>
        <w:rPr>
          <w:rFonts w:cs="Times New Roman"/>
        </w:rPr>
        <w:t>（</w:t>
      </w:r>
      <w:r>
        <w:rPr>
          <w:rFonts w:cs="Times New Roman"/>
          <w:kern w:val="0"/>
          <w:szCs w:val="24"/>
          <w:lang w:bidi="ar"/>
        </w:rPr>
        <w:t>含断链一处，</w:t>
      </w:r>
      <w:r>
        <w:rPr>
          <w:rFonts w:cs="Times New Roman"/>
        </w:rPr>
        <w:t>为长链长</w:t>
      </w:r>
      <w:r>
        <w:rPr>
          <w:rFonts w:cs="Times New Roman"/>
        </w:rPr>
        <w:t>0.202km</w:t>
      </w:r>
      <w:r>
        <w:rPr>
          <w:rFonts w:cs="Times New Roman"/>
        </w:rPr>
        <w:t>）。其中改扩建路段约</w:t>
      </w:r>
      <w:r>
        <w:rPr>
          <w:rFonts w:cs="Times New Roman"/>
        </w:rPr>
        <w:t>5.926km</w:t>
      </w:r>
      <w:r>
        <w:rPr>
          <w:rFonts w:cs="Times New Roman"/>
        </w:rPr>
        <w:t>，新建</w:t>
      </w:r>
      <w:r>
        <w:rPr>
          <w:rFonts w:cs="Times New Roman"/>
        </w:rPr>
        <w:t>101.453km</w:t>
      </w:r>
      <w:r>
        <w:rPr>
          <w:rFonts w:cs="Times New Roman"/>
        </w:rPr>
        <w:t>。</w:t>
      </w:r>
    </w:p>
    <w:p w:rsidR="00A46452" w:rsidRDefault="009A3928">
      <w:pPr>
        <w:wordWrap w:val="0"/>
        <w:topLinePunct/>
        <w:adjustRightInd w:val="0"/>
        <w:snapToGrid w:val="0"/>
        <w:ind w:firstLine="480"/>
        <w:rPr>
          <w:rFonts w:cs="Times New Roman"/>
          <w:kern w:val="0"/>
          <w:szCs w:val="24"/>
          <w:lang w:bidi="ar"/>
        </w:rPr>
      </w:pPr>
      <w:r>
        <w:rPr>
          <w:rFonts w:cs="Times New Roman"/>
          <w:kern w:val="0"/>
          <w:szCs w:val="24"/>
          <w:lang w:bidi="ar"/>
        </w:rPr>
        <w:t>路线桩号</w:t>
      </w:r>
      <w:r>
        <w:rPr>
          <w:rFonts w:cs="Times New Roman"/>
          <w:kern w:val="0"/>
          <w:szCs w:val="24"/>
          <w:lang w:bidi="ar"/>
        </w:rPr>
        <w:t>K0+000-K3+300</w:t>
      </w:r>
      <w:r>
        <w:rPr>
          <w:rFonts w:cs="Times New Roman"/>
          <w:kern w:val="0"/>
          <w:szCs w:val="24"/>
          <w:lang w:bidi="ar"/>
        </w:rPr>
        <w:t>段，原有老路为机场大道东延段，公路等级为二级公路，设计速度</w:t>
      </w:r>
      <w:r>
        <w:rPr>
          <w:rFonts w:cs="Times New Roman"/>
          <w:kern w:val="0"/>
          <w:szCs w:val="24"/>
          <w:lang w:bidi="ar"/>
        </w:rPr>
        <w:t>6</w:t>
      </w:r>
      <w:r>
        <w:rPr>
          <w:rFonts w:cs="Times New Roman"/>
          <w:kern w:val="0"/>
          <w:szCs w:val="24"/>
          <w:lang w:bidi="ar"/>
        </w:rPr>
        <w:t>0km/h</w:t>
      </w:r>
      <w:r>
        <w:rPr>
          <w:rFonts w:cs="Times New Roman"/>
          <w:kern w:val="0"/>
          <w:szCs w:val="24"/>
          <w:lang w:bidi="ar"/>
        </w:rPr>
        <w:t>，路基宽度</w:t>
      </w:r>
      <w:r>
        <w:rPr>
          <w:rFonts w:cs="Times New Roman"/>
          <w:kern w:val="0"/>
          <w:szCs w:val="24"/>
          <w:lang w:bidi="ar"/>
        </w:rPr>
        <w:t>17.5</w:t>
      </w:r>
      <w:r>
        <w:rPr>
          <w:rFonts w:cs="Times New Roman"/>
        </w:rPr>
        <w:t>m</w:t>
      </w:r>
      <w:r>
        <w:rPr>
          <w:rFonts w:cs="Times New Roman"/>
          <w:kern w:val="0"/>
          <w:szCs w:val="24"/>
          <w:lang w:bidi="ar"/>
        </w:rPr>
        <w:t>。</w:t>
      </w:r>
      <w:r>
        <w:rPr>
          <w:rFonts w:cs="Times New Roman"/>
          <w:kern w:val="0"/>
          <w:szCs w:val="24"/>
          <w:lang w:bidi="ar"/>
        </w:rPr>
        <w:t>K3+300</w:t>
      </w:r>
      <w:r>
        <w:rPr>
          <w:rFonts w:cs="Times New Roman"/>
          <w:kern w:val="0"/>
          <w:szCs w:val="24"/>
          <w:lang w:bidi="ar"/>
        </w:rPr>
        <w:t>~</w:t>
      </w:r>
      <w:r>
        <w:rPr>
          <w:rFonts w:cs="Times New Roman"/>
          <w:kern w:val="0"/>
          <w:szCs w:val="24"/>
          <w:lang w:bidi="ar"/>
        </w:rPr>
        <w:t>K107+177</w:t>
      </w:r>
      <w:r>
        <w:rPr>
          <w:rFonts w:cs="Times New Roman"/>
          <w:kern w:val="0"/>
          <w:szCs w:val="24"/>
          <w:lang w:bidi="ar"/>
        </w:rPr>
        <w:t>段，公路等级为二级公路，设计速度</w:t>
      </w:r>
      <w:r>
        <w:rPr>
          <w:rFonts w:cs="Times New Roman"/>
          <w:kern w:val="0"/>
          <w:szCs w:val="24"/>
          <w:lang w:bidi="ar"/>
        </w:rPr>
        <w:t>80km/h</w:t>
      </w:r>
      <w:r>
        <w:rPr>
          <w:rFonts w:cs="Times New Roman"/>
          <w:kern w:val="0"/>
          <w:szCs w:val="24"/>
          <w:lang w:bidi="ar"/>
        </w:rPr>
        <w:t>，路基宽度</w:t>
      </w:r>
      <w:r>
        <w:rPr>
          <w:rFonts w:cs="Times New Roman"/>
          <w:kern w:val="0"/>
          <w:szCs w:val="24"/>
          <w:lang w:bidi="ar"/>
        </w:rPr>
        <w:t>12.0</w:t>
      </w:r>
      <w:r>
        <w:rPr>
          <w:rFonts w:cs="Times New Roman"/>
        </w:rPr>
        <w:t>m</w:t>
      </w:r>
      <w:r>
        <w:rPr>
          <w:rFonts w:cs="Times New Roman"/>
          <w:kern w:val="0"/>
          <w:szCs w:val="24"/>
          <w:lang w:bidi="ar"/>
        </w:rPr>
        <w:t>。</w:t>
      </w:r>
    </w:p>
    <w:p w:rsidR="00A46452" w:rsidRDefault="009A3928" w:rsidP="00182EED">
      <w:pPr>
        <w:wordWrap w:val="0"/>
        <w:topLinePunct/>
        <w:ind w:firstLine="480"/>
        <w:rPr>
          <w:rFonts w:cs="Times New Roman"/>
        </w:rPr>
      </w:pPr>
      <w:r>
        <w:rPr>
          <w:rFonts w:cs="Times New Roman"/>
        </w:rPr>
        <w:t>（</w:t>
      </w:r>
      <w:r>
        <w:rPr>
          <w:rFonts w:cs="Times New Roman"/>
        </w:rPr>
        <w:t>5</w:t>
      </w:r>
      <w:r>
        <w:rPr>
          <w:rFonts w:cs="Times New Roman"/>
        </w:rPr>
        <w:t>）</w:t>
      </w:r>
      <w:r>
        <w:rPr>
          <w:rFonts w:cs="Times New Roman"/>
        </w:rPr>
        <w:t>工程概况</w:t>
      </w:r>
      <w:r>
        <w:rPr>
          <w:rFonts w:cs="Times New Roman"/>
        </w:rPr>
        <w:t>：</w:t>
      </w:r>
      <w:r>
        <w:rPr>
          <w:rFonts w:cs="Times New Roman"/>
        </w:rPr>
        <w:t>项目</w:t>
      </w:r>
      <w:r>
        <w:rPr>
          <w:rFonts w:cs="Times New Roman"/>
        </w:rPr>
        <w:t>起点位于图木舒克市唐王</w:t>
      </w:r>
      <w:r>
        <w:rPr>
          <w:rFonts w:cs="Times New Roman"/>
        </w:rPr>
        <w:t>城机场南侧</w:t>
      </w:r>
      <w:r>
        <w:rPr>
          <w:rFonts w:cs="Times New Roman"/>
        </w:rPr>
        <w:t>（</w:t>
      </w:r>
      <w:r>
        <w:rPr>
          <w:rFonts w:cs="Times New Roman"/>
        </w:rPr>
        <w:t>东经</w:t>
      </w:r>
      <w:r>
        <w:rPr>
          <w:rFonts w:cs="Times New Roman"/>
        </w:rPr>
        <w:t>79°12'51.8342"</w:t>
      </w:r>
      <w:r>
        <w:rPr>
          <w:rFonts w:cs="Times New Roman"/>
        </w:rPr>
        <w:t>，</w:t>
      </w:r>
      <w:r>
        <w:rPr>
          <w:rFonts w:cs="Times New Roman"/>
        </w:rPr>
        <w:t>北纬</w:t>
      </w:r>
      <w:r>
        <w:rPr>
          <w:rFonts w:cs="Times New Roman"/>
        </w:rPr>
        <w:t>39°52'26.3241"</w:t>
      </w:r>
      <w:r>
        <w:rPr>
          <w:rFonts w:cs="Times New Roman"/>
        </w:rPr>
        <w:t>）</w:t>
      </w:r>
      <w:r>
        <w:rPr>
          <w:rFonts w:cs="Times New Roman"/>
        </w:rPr>
        <w:t>，与机场大道终点相接，沿机场大道终点向东后延</w:t>
      </w:r>
      <w:r>
        <w:rPr>
          <w:rFonts w:cs="Times New Roman"/>
        </w:rPr>
        <w:t>5</w:t>
      </w:r>
      <w:r>
        <w:rPr>
          <w:rFonts w:cs="Times New Roman"/>
        </w:rPr>
        <w:t>公里后向北，途经</w:t>
      </w:r>
      <w:r>
        <w:rPr>
          <w:rFonts w:cs="Times New Roman"/>
        </w:rPr>
        <w:t>50</w:t>
      </w:r>
      <w:r>
        <w:rPr>
          <w:rFonts w:cs="Times New Roman"/>
        </w:rPr>
        <w:t>团东侧、</w:t>
      </w:r>
      <w:r>
        <w:rPr>
          <w:rFonts w:cs="Times New Roman"/>
        </w:rPr>
        <w:t>53</w:t>
      </w:r>
      <w:r>
        <w:rPr>
          <w:rFonts w:cs="Times New Roman"/>
        </w:rPr>
        <w:t>团西侧（</w:t>
      </w:r>
      <w:r>
        <w:rPr>
          <w:rFonts w:cs="Times New Roman"/>
        </w:rPr>
        <w:t>G217</w:t>
      </w:r>
      <w:r>
        <w:rPr>
          <w:rFonts w:cs="Times New Roman"/>
        </w:rPr>
        <w:t>）、阿恰勒镇（</w:t>
      </w:r>
      <w:r>
        <w:rPr>
          <w:rFonts w:cs="Times New Roman"/>
        </w:rPr>
        <w:t>G3012</w:t>
      </w:r>
      <w:r>
        <w:rPr>
          <w:rFonts w:cs="Times New Roman"/>
        </w:rPr>
        <w:t>），</w:t>
      </w:r>
      <w:r>
        <w:rPr>
          <w:rFonts w:cs="Times New Roman"/>
        </w:rPr>
        <w:t>沿线途经</w:t>
      </w:r>
      <w:r>
        <w:rPr>
          <w:rFonts w:cs="Times New Roman"/>
        </w:rPr>
        <w:t>水系突来买提河、喀什噶尔河、柯坪河、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cs="Times New Roman"/>
        </w:rPr>
        <w:t>及干渠，</w:t>
      </w:r>
      <w:r>
        <w:rPr>
          <w:rFonts w:cs="Times New Roman"/>
        </w:rPr>
        <w:t>在阿恰勒镇向西沿原有</w:t>
      </w:r>
      <w:r>
        <w:rPr>
          <w:rFonts w:cs="Times New Roman"/>
        </w:rPr>
        <w:t>S308</w:t>
      </w:r>
      <w:r>
        <w:rPr>
          <w:rFonts w:cs="Times New Roman"/>
        </w:rPr>
        <w:t>线北侧布线，终点位于柯坪县</w:t>
      </w:r>
      <w:r>
        <w:rPr>
          <w:rFonts w:cs="Times New Roman"/>
        </w:rPr>
        <w:t>，</w:t>
      </w:r>
      <w:r>
        <w:rPr>
          <w:rFonts w:cs="Times New Roman"/>
        </w:rPr>
        <w:t>接市政道路，路线全长</w:t>
      </w:r>
      <w:r>
        <w:rPr>
          <w:rFonts w:cs="Times New Roman"/>
        </w:rPr>
        <w:t>107.379</w:t>
      </w:r>
      <w:r>
        <w:rPr>
          <w:rFonts w:cs="Times New Roman"/>
        </w:rPr>
        <w:t>km</w:t>
      </w:r>
      <w:r>
        <w:rPr>
          <w:rFonts w:cs="Times New Roman"/>
        </w:rPr>
        <w:t>。全线共设置桥梁</w:t>
      </w:r>
      <w:r>
        <w:rPr>
          <w:rFonts w:cs="Times New Roman"/>
        </w:rPr>
        <w:t>15</w:t>
      </w:r>
      <w:r>
        <w:rPr>
          <w:rFonts w:cs="Times New Roman"/>
        </w:rPr>
        <w:t>座</w:t>
      </w:r>
      <w:r>
        <w:rPr>
          <w:rFonts w:cs="Times New Roman"/>
        </w:rPr>
        <w:t>（</w:t>
      </w:r>
      <w:r>
        <w:rPr>
          <w:rFonts w:cs="Times New Roman"/>
        </w:rPr>
        <w:t>1</w:t>
      </w:r>
      <w:r>
        <w:rPr>
          <w:rFonts w:cs="Times New Roman"/>
        </w:rPr>
        <w:t>座利用大桥，</w:t>
      </w:r>
      <w:r>
        <w:rPr>
          <w:rFonts w:cs="Times New Roman"/>
        </w:rPr>
        <w:t>4</w:t>
      </w:r>
      <w:r>
        <w:rPr>
          <w:rFonts w:cs="Times New Roman"/>
        </w:rPr>
        <w:t>座大桥、</w:t>
      </w:r>
      <w:r>
        <w:rPr>
          <w:rFonts w:cs="Times New Roman"/>
        </w:rPr>
        <w:t>6</w:t>
      </w:r>
      <w:r>
        <w:rPr>
          <w:rFonts w:cs="Times New Roman"/>
        </w:rPr>
        <w:t>座中桥、</w:t>
      </w:r>
      <w:r>
        <w:rPr>
          <w:rFonts w:cs="Times New Roman"/>
        </w:rPr>
        <w:t>4</w:t>
      </w:r>
      <w:r>
        <w:rPr>
          <w:rFonts w:cs="Times New Roman"/>
        </w:rPr>
        <w:t>座小桥</w:t>
      </w:r>
      <w:r>
        <w:rPr>
          <w:rFonts w:cs="Times New Roman"/>
        </w:rPr>
        <w:t>），</w:t>
      </w:r>
      <w:r>
        <w:rPr>
          <w:rFonts w:cs="Times New Roman"/>
        </w:rPr>
        <w:t>主线桥梁</w:t>
      </w:r>
      <w:r>
        <w:rPr>
          <w:rFonts w:cs="Times New Roman"/>
        </w:rPr>
        <w:t>1738m/15</w:t>
      </w:r>
      <w:r>
        <w:rPr>
          <w:rFonts w:cs="Times New Roman"/>
        </w:rPr>
        <w:t>座，涵洞</w:t>
      </w:r>
      <w:r>
        <w:rPr>
          <w:rFonts w:cs="Times New Roman"/>
        </w:rPr>
        <w:t>1091.6m/75</w:t>
      </w:r>
      <w:r>
        <w:rPr>
          <w:rFonts w:cs="Times New Roman"/>
        </w:rPr>
        <w:t>道；</w:t>
      </w:r>
      <w:r>
        <w:rPr>
          <w:rFonts w:cs="Times New Roman"/>
        </w:rPr>
        <w:t>交叉工程：</w:t>
      </w:r>
      <w:r>
        <w:rPr>
          <w:rFonts w:cs="Times New Roman"/>
        </w:rPr>
        <w:t>30</w:t>
      </w:r>
      <w:r>
        <w:rPr>
          <w:rFonts w:cs="Times New Roman"/>
        </w:rPr>
        <w:t>处平面交叉，</w:t>
      </w:r>
      <w:r>
        <w:rPr>
          <w:rFonts w:cs="Times New Roman"/>
        </w:rPr>
        <w:t>1</w:t>
      </w:r>
      <w:r>
        <w:rPr>
          <w:rFonts w:cs="Times New Roman"/>
        </w:rPr>
        <w:t>处互通式立体交叉，</w:t>
      </w:r>
      <w:r>
        <w:rPr>
          <w:rFonts w:cs="Times New Roman"/>
        </w:rPr>
        <w:t>1</w:t>
      </w:r>
      <w:r>
        <w:rPr>
          <w:rFonts w:cs="Times New Roman"/>
        </w:rPr>
        <w:t>处分离式立体交叉。</w:t>
      </w:r>
      <w:r>
        <w:rPr>
          <w:rFonts w:cs="Times New Roman"/>
        </w:rPr>
        <w:t>本项目</w:t>
      </w:r>
      <w:r>
        <w:rPr>
          <w:rFonts w:cs="Times New Roman"/>
          <w:snapToGrid w:val="0"/>
          <w:szCs w:val="24"/>
          <w:lang w:val="zh-CN"/>
        </w:rPr>
        <w:t>总投资为</w:t>
      </w:r>
      <w:r>
        <w:rPr>
          <w:rFonts w:cs="Times New Roman"/>
          <w:kern w:val="0"/>
          <w:szCs w:val="24"/>
          <w:lang w:bidi="ar"/>
        </w:rPr>
        <w:t>117219</w:t>
      </w:r>
      <w:r>
        <w:rPr>
          <w:rFonts w:cs="Times New Roman"/>
          <w:kern w:val="0"/>
          <w:szCs w:val="24"/>
          <w:lang w:bidi="ar"/>
        </w:rPr>
        <w:t>万元</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6</w:t>
      </w:r>
      <w:r>
        <w:rPr>
          <w:rFonts w:cs="Times New Roman"/>
        </w:rPr>
        <w:t>）</w:t>
      </w:r>
      <w:r>
        <w:rPr>
          <w:rFonts w:cs="Times New Roman"/>
        </w:rPr>
        <w:t>本</w:t>
      </w:r>
      <w:r>
        <w:rPr>
          <w:rFonts w:cs="Times New Roman"/>
        </w:rPr>
        <w:t>项目过各行政区域的桩号里程见表</w:t>
      </w:r>
      <w:r>
        <w:rPr>
          <w:rFonts w:cs="Times New Roman"/>
        </w:rPr>
        <w:t>4</w:t>
      </w:r>
      <w:r>
        <w:rPr>
          <w:rFonts w:cs="Times New Roman"/>
        </w:rPr>
        <w:t>.</w:t>
      </w:r>
      <w:r>
        <w:rPr>
          <w:rFonts w:cs="Times New Roman"/>
        </w:rPr>
        <w:t>2</w:t>
      </w:r>
      <w:r>
        <w:rPr>
          <w:rFonts w:cs="Times New Roman"/>
        </w:rPr>
        <w:t>-1</w:t>
      </w:r>
      <w:r>
        <w:rPr>
          <w:rFonts w:cs="Times New Roman"/>
        </w:rPr>
        <w:t>，项目组成表见表</w:t>
      </w:r>
      <w:r>
        <w:rPr>
          <w:rFonts w:cs="Times New Roman"/>
        </w:rPr>
        <w:t>4</w:t>
      </w:r>
      <w:r>
        <w:rPr>
          <w:rFonts w:cs="Times New Roman"/>
        </w:rPr>
        <w:t>.</w:t>
      </w:r>
      <w:r>
        <w:rPr>
          <w:rFonts w:cs="Times New Roman"/>
        </w:rPr>
        <w:t>2</w:t>
      </w:r>
      <w:r>
        <w:rPr>
          <w:rFonts w:cs="Times New Roman"/>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-1</w:t>
      </w:r>
      <w:r>
        <w:rPr>
          <w:rFonts w:eastAsia="黑体" w:cs="Times New Roman"/>
        </w:rPr>
        <w:t xml:space="preserve">                  </w:t>
      </w:r>
      <w:r>
        <w:rPr>
          <w:rFonts w:eastAsia="黑体" w:cs="Times New Roman"/>
        </w:rPr>
        <w:t>项目</w:t>
      </w:r>
      <w:r>
        <w:rPr>
          <w:rFonts w:eastAsia="黑体" w:cs="Times New Roman"/>
        </w:rPr>
        <w:t>跨</w:t>
      </w:r>
      <w:r>
        <w:rPr>
          <w:rFonts w:eastAsia="黑体" w:cs="Times New Roman"/>
        </w:rPr>
        <w:t>行政区域桩号里程表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05"/>
        <w:gridCol w:w="3617"/>
        <w:gridCol w:w="2303"/>
      </w:tblGrid>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行政区域</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起讫桩号</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eastAsiaTheme="minorEastAsia" w:cs="Times New Roman"/>
                <w:sz w:val="18"/>
                <w:szCs w:val="18"/>
              </w:rPr>
              <w:t>主线长度（</w:t>
            </w:r>
            <w:r>
              <w:rPr>
                <w:rFonts w:eastAsiaTheme="minorEastAsia" w:cs="Times New Roman"/>
                <w:sz w:val="18"/>
                <w:szCs w:val="18"/>
              </w:rPr>
              <w:t>km</w:t>
            </w:r>
            <w:r>
              <w:rPr>
                <w:rFonts w:eastAsiaTheme="minorEastAsia" w:cs="Times New Roman"/>
                <w:sz w:val="18"/>
                <w:szCs w:val="18"/>
              </w:rPr>
              <w:t>）</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44</w:t>
            </w:r>
            <w:r>
              <w:rPr>
                <w:rFonts w:cs="Times New Roman"/>
                <w:kern w:val="0"/>
                <w:sz w:val="18"/>
                <w:szCs w:val="18"/>
                <w:lang w:bidi="ar"/>
              </w:rPr>
              <w:t>团</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K0+000~K5+090</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5.090</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K6+800~K17+320</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10.520</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K17+320~K31+500</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14.180</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51</w:t>
            </w:r>
            <w:r>
              <w:rPr>
                <w:rFonts w:cs="Times New Roman"/>
                <w:kern w:val="0"/>
                <w:sz w:val="18"/>
                <w:szCs w:val="18"/>
                <w:lang w:bidi="ar"/>
              </w:rPr>
              <w:t>团</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K31+500~K31+710</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0.210</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巴楚县</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K5+090~K6+800</w:t>
            </w:r>
            <w:r>
              <w:rPr>
                <w:rFonts w:cs="Times New Roman"/>
                <w:kern w:val="0"/>
                <w:sz w:val="18"/>
                <w:szCs w:val="18"/>
                <w:lang w:bidi="ar"/>
              </w:rPr>
              <w:t>、</w:t>
            </w:r>
            <w:r>
              <w:rPr>
                <w:rFonts w:cs="Times New Roman"/>
                <w:kern w:val="0"/>
                <w:sz w:val="18"/>
                <w:szCs w:val="18"/>
                <w:lang w:bidi="ar"/>
              </w:rPr>
              <w:t>K31+710~K52+050</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22.252</w:t>
            </w:r>
          </w:p>
        </w:tc>
      </w:tr>
      <w:tr w:rsidR="00A46452">
        <w:trPr>
          <w:trHeight w:val="280"/>
        </w:trPr>
        <w:tc>
          <w:tcPr>
            <w:tcW w:w="1527"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柯坪县</w:t>
            </w:r>
          </w:p>
        </w:tc>
        <w:tc>
          <w:tcPr>
            <w:tcW w:w="212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K52+050~K107+177</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sz w:val="18"/>
                <w:szCs w:val="18"/>
              </w:rPr>
            </w:pPr>
            <w:r>
              <w:rPr>
                <w:rFonts w:cs="Times New Roman"/>
                <w:kern w:val="0"/>
                <w:sz w:val="18"/>
                <w:szCs w:val="18"/>
                <w:lang w:bidi="ar"/>
              </w:rPr>
              <w:t>55.127</w:t>
            </w:r>
          </w:p>
        </w:tc>
      </w:tr>
      <w:tr w:rsidR="00A46452">
        <w:trPr>
          <w:trHeight w:val="280"/>
        </w:trPr>
        <w:tc>
          <w:tcPr>
            <w:tcW w:w="3648" w:type="pct"/>
            <w:gridSpan w:val="2"/>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kern w:val="0"/>
                <w:sz w:val="18"/>
                <w:szCs w:val="18"/>
                <w:lang w:bidi="ar"/>
              </w:rPr>
            </w:pPr>
            <w:r>
              <w:rPr>
                <w:rFonts w:cs="Times New Roman"/>
                <w:kern w:val="0"/>
                <w:sz w:val="18"/>
                <w:szCs w:val="18"/>
                <w:lang w:bidi="ar"/>
              </w:rPr>
              <w:t>合计</w:t>
            </w:r>
          </w:p>
        </w:tc>
        <w:tc>
          <w:tcPr>
            <w:tcW w:w="1351" w:type="pct"/>
            <w:tcBorders>
              <w:tl2br w:val="nil"/>
              <w:tr2bl w:val="nil"/>
            </w:tcBorders>
            <w:shd w:val="clear" w:color="auto" w:fill="auto"/>
            <w:noWrap/>
            <w:vAlign w:val="center"/>
          </w:tcPr>
          <w:p w:rsidR="00A46452" w:rsidRDefault="009A3928" w:rsidP="00182EED">
            <w:pPr>
              <w:wordWrap w:val="0"/>
              <w:topLinePunct/>
              <w:adjustRightInd w:val="0"/>
              <w:snapToGrid w:val="0"/>
              <w:spacing w:line="240" w:lineRule="auto"/>
              <w:ind w:firstLine="360"/>
              <w:jc w:val="center"/>
              <w:textAlignment w:val="center"/>
              <w:rPr>
                <w:rFonts w:cs="Times New Roman"/>
                <w:kern w:val="0"/>
                <w:sz w:val="18"/>
                <w:szCs w:val="18"/>
                <w:lang w:bidi="ar"/>
              </w:rPr>
            </w:pPr>
            <w:r>
              <w:rPr>
                <w:rFonts w:cs="Times New Roman"/>
                <w:kern w:val="0"/>
                <w:sz w:val="18"/>
                <w:szCs w:val="18"/>
                <w:lang w:bidi="ar"/>
              </w:rPr>
              <w:t>107.379</w:t>
            </w:r>
          </w:p>
        </w:tc>
      </w:tr>
    </w:tbl>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-2</w:t>
      </w:r>
      <w:r>
        <w:rPr>
          <w:rFonts w:eastAsia="黑体" w:cs="Times New Roman"/>
        </w:rPr>
        <w:t xml:space="preserve">                      </w:t>
      </w:r>
      <w:r>
        <w:rPr>
          <w:rFonts w:eastAsia="黑体" w:cs="Times New Roman"/>
        </w:rPr>
        <w:t>工程项目组成表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1223"/>
        <w:gridCol w:w="6602"/>
      </w:tblGrid>
      <w:tr w:rsidR="00A46452">
        <w:tc>
          <w:tcPr>
            <w:tcW w:w="5000" w:type="pct"/>
            <w:gridSpan w:val="3"/>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项目构成</w:t>
            </w:r>
          </w:p>
        </w:tc>
      </w:tr>
      <w:tr w:rsidR="00A46452">
        <w:tc>
          <w:tcPr>
            <w:tcW w:w="412" w:type="pct"/>
            <w:vMerge w:val="restart"/>
            <w:vAlign w:val="center"/>
          </w:tcPr>
          <w:p w:rsidR="00A46452" w:rsidRDefault="009A3928">
            <w:pPr>
              <w:wordWrap w:val="0"/>
              <w:topLinePunct/>
              <w:adjustRightInd w:val="0"/>
              <w:snapToGrid w:val="0"/>
              <w:spacing w:line="320" w:lineRule="exact"/>
              <w:ind w:firstLineChars="0" w:firstLine="0"/>
              <w:jc w:val="center"/>
              <w:rPr>
                <w:rFonts w:cs="Times New Roman"/>
                <w:snapToGrid w:val="0"/>
                <w:sz w:val="18"/>
                <w:szCs w:val="18"/>
              </w:rPr>
            </w:pPr>
            <w:r>
              <w:rPr>
                <w:rFonts w:cs="Times New Roman"/>
                <w:snapToGrid w:val="0"/>
                <w:sz w:val="18"/>
                <w:szCs w:val="18"/>
              </w:rPr>
              <w:t>主</w:t>
            </w:r>
          </w:p>
          <w:p w:rsidR="00A46452" w:rsidRDefault="009A3928">
            <w:pPr>
              <w:wordWrap w:val="0"/>
              <w:topLinePunct/>
              <w:adjustRightInd w:val="0"/>
              <w:snapToGrid w:val="0"/>
              <w:spacing w:line="320" w:lineRule="exact"/>
              <w:ind w:firstLineChars="0" w:firstLine="0"/>
              <w:jc w:val="center"/>
              <w:rPr>
                <w:rFonts w:cs="Times New Roman"/>
                <w:snapToGrid w:val="0"/>
                <w:sz w:val="18"/>
                <w:szCs w:val="18"/>
              </w:rPr>
            </w:pPr>
            <w:r>
              <w:rPr>
                <w:rFonts w:cs="Times New Roman"/>
                <w:snapToGrid w:val="0"/>
                <w:sz w:val="18"/>
                <w:szCs w:val="18"/>
              </w:rPr>
              <w:t>体</w:t>
            </w:r>
          </w:p>
          <w:p w:rsidR="00A46452" w:rsidRDefault="009A3928">
            <w:pPr>
              <w:wordWrap w:val="0"/>
              <w:topLinePunct/>
              <w:adjustRightInd w:val="0"/>
              <w:snapToGrid w:val="0"/>
              <w:spacing w:line="320" w:lineRule="exact"/>
              <w:ind w:firstLineChars="0" w:firstLine="0"/>
              <w:jc w:val="center"/>
              <w:rPr>
                <w:rFonts w:cs="Times New Roman"/>
                <w:snapToGrid w:val="0"/>
                <w:sz w:val="18"/>
                <w:szCs w:val="18"/>
              </w:rPr>
            </w:pPr>
            <w:r>
              <w:rPr>
                <w:rFonts w:cs="Times New Roman"/>
                <w:snapToGrid w:val="0"/>
                <w:sz w:val="18"/>
                <w:szCs w:val="18"/>
              </w:rPr>
              <w:t>工</w:t>
            </w:r>
          </w:p>
          <w:p w:rsidR="00A46452" w:rsidRDefault="009A3928">
            <w:pPr>
              <w:wordWrap w:val="0"/>
              <w:topLinePunct/>
              <w:adjustRightInd w:val="0"/>
              <w:snapToGrid w:val="0"/>
              <w:spacing w:line="320" w:lineRule="exact"/>
              <w:ind w:firstLineChars="0" w:firstLine="0"/>
              <w:jc w:val="center"/>
              <w:rPr>
                <w:rFonts w:cs="Times New Roman"/>
                <w:snapToGrid w:val="0"/>
                <w:sz w:val="18"/>
                <w:szCs w:val="18"/>
              </w:rPr>
            </w:pPr>
            <w:r>
              <w:rPr>
                <w:rFonts w:cs="Times New Roman"/>
                <w:snapToGrid w:val="0"/>
                <w:sz w:val="18"/>
                <w:szCs w:val="18"/>
              </w:rPr>
              <w:t>程</w:t>
            </w: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路线工程</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lang w:bidi="en-US"/>
              </w:rPr>
            </w:pPr>
            <w:r>
              <w:rPr>
                <w:rFonts w:cs="Times New Roman"/>
                <w:bCs/>
                <w:sz w:val="18"/>
                <w:szCs w:val="18"/>
                <w:lang w:bidi="en-US"/>
              </w:rPr>
              <w:t>本项目路线全长</w:t>
            </w:r>
            <w:r>
              <w:rPr>
                <w:rFonts w:cs="Times New Roman"/>
                <w:bCs/>
                <w:sz w:val="18"/>
                <w:szCs w:val="18"/>
                <w:lang w:bidi="en-US"/>
              </w:rPr>
              <w:t>107.379</w:t>
            </w:r>
            <w:r>
              <w:rPr>
                <w:rFonts w:cs="Times New Roman"/>
                <w:bCs/>
                <w:sz w:val="18"/>
                <w:szCs w:val="18"/>
                <w:lang w:bidi="en-US"/>
              </w:rPr>
              <w:t>km</w:t>
            </w:r>
            <w:r>
              <w:rPr>
                <w:rFonts w:cs="Times New Roman"/>
                <w:bCs/>
                <w:sz w:val="18"/>
                <w:szCs w:val="18"/>
                <w:lang w:bidi="en-US"/>
              </w:rPr>
              <w:t>，</w:t>
            </w:r>
            <w:r>
              <w:rPr>
                <w:rFonts w:cs="Times New Roman"/>
                <w:bCs/>
                <w:sz w:val="18"/>
                <w:szCs w:val="18"/>
                <w:lang w:bidi="en-US"/>
              </w:rPr>
              <w:t>（含长链</w:t>
            </w:r>
            <w:r>
              <w:rPr>
                <w:rFonts w:cs="Times New Roman"/>
                <w:bCs/>
                <w:sz w:val="18"/>
                <w:szCs w:val="18"/>
                <w:lang w:bidi="en-US"/>
              </w:rPr>
              <w:t>1</w:t>
            </w:r>
            <w:r>
              <w:rPr>
                <w:rFonts w:cs="Times New Roman"/>
                <w:bCs/>
                <w:sz w:val="18"/>
                <w:szCs w:val="18"/>
                <w:lang w:bidi="en-US"/>
              </w:rPr>
              <w:t>处，</w:t>
            </w:r>
            <w:r>
              <w:rPr>
                <w:rFonts w:cs="Times New Roman"/>
                <w:bCs/>
                <w:sz w:val="18"/>
                <w:szCs w:val="18"/>
                <w:lang w:bidi="en-US"/>
              </w:rPr>
              <w:t>K42+880=K43+082.033</w:t>
            </w:r>
            <w:r>
              <w:rPr>
                <w:rFonts w:cs="Times New Roman"/>
                <w:bCs/>
                <w:sz w:val="18"/>
                <w:szCs w:val="18"/>
                <w:lang w:bidi="en-US"/>
              </w:rPr>
              <w:t>，长度</w:t>
            </w:r>
            <w:r>
              <w:rPr>
                <w:rFonts w:cs="Times New Roman"/>
                <w:bCs/>
                <w:sz w:val="18"/>
                <w:szCs w:val="18"/>
                <w:lang w:bidi="en-US"/>
              </w:rPr>
              <w:t>202.033m</w:t>
            </w:r>
            <w:r>
              <w:rPr>
                <w:rFonts w:cs="Times New Roman"/>
                <w:bCs/>
                <w:sz w:val="18"/>
                <w:szCs w:val="18"/>
                <w:lang w:bidi="en-US"/>
              </w:rPr>
              <w:t>）</w:t>
            </w:r>
            <w:r>
              <w:rPr>
                <w:rFonts w:cs="Times New Roman"/>
                <w:bCs/>
                <w:sz w:val="18"/>
                <w:szCs w:val="18"/>
                <w:lang w:bidi="en-US"/>
              </w:rPr>
              <w:t>其中改建路段长度为</w:t>
            </w:r>
            <w:r>
              <w:rPr>
                <w:rFonts w:cs="Times New Roman"/>
                <w:bCs/>
                <w:sz w:val="18"/>
                <w:szCs w:val="18"/>
                <w:lang w:bidi="en-US"/>
              </w:rPr>
              <w:t>5.926</w:t>
            </w:r>
            <w:r>
              <w:rPr>
                <w:rFonts w:cs="Times New Roman"/>
                <w:bCs/>
                <w:sz w:val="18"/>
                <w:szCs w:val="18"/>
                <w:lang w:bidi="en-US"/>
              </w:rPr>
              <w:t>km</w:t>
            </w:r>
            <w:r>
              <w:rPr>
                <w:rFonts w:cs="Times New Roman"/>
                <w:bCs/>
                <w:sz w:val="18"/>
                <w:szCs w:val="18"/>
                <w:lang w:bidi="en-US"/>
              </w:rPr>
              <w:t>，</w:t>
            </w:r>
            <w:r>
              <w:rPr>
                <w:rFonts w:cs="Times New Roman"/>
                <w:bCs/>
                <w:sz w:val="18"/>
                <w:szCs w:val="18"/>
                <w:lang w:bidi="en-US"/>
              </w:rPr>
              <w:t>新建</w:t>
            </w:r>
            <w:r>
              <w:rPr>
                <w:rFonts w:cs="Times New Roman"/>
                <w:bCs/>
                <w:sz w:val="18"/>
                <w:szCs w:val="18"/>
                <w:lang w:bidi="en-US"/>
              </w:rPr>
              <w:t>101.453</w:t>
            </w:r>
            <w:r>
              <w:rPr>
                <w:rFonts w:cs="Times New Roman"/>
                <w:bCs/>
                <w:sz w:val="18"/>
                <w:szCs w:val="18"/>
                <w:lang w:bidi="en-US"/>
              </w:rPr>
              <w:t>km</w:t>
            </w:r>
            <w:r>
              <w:rPr>
                <w:rFonts w:cs="Times New Roman"/>
                <w:bCs/>
                <w:sz w:val="18"/>
                <w:szCs w:val="18"/>
                <w:lang w:bidi="en-US"/>
              </w:rPr>
              <w:t>；</w:t>
            </w:r>
            <w:r>
              <w:rPr>
                <w:rFonts w:cs="Times New Roman"/>
                <w:bCs/>
                <w:sz w:val="18"/>
                <w:szCs w:val="18"/>
                <w:lang w:bidi="en-US"/>
              </w:rPr>
              <w:t>其中，第三师图木舒克市路线长</w:t>
            </w:r>
            <w:r>
              <w:rPr>
                <w:rFonts w:cs="Times New Roman"/>
                <w:bCs/>
                <w:sz w:val="18"/>
                <w:szCs w:val="18"/>
                <w:lang w:bidi="en-US"/>
              </w:rPr>
              <w:t>30.000km</w:t>
            </w:r>
            <w:r>
              <w:rPr>
                <w:rFonts w:cs="Times New Roman"/>
                <w:bCs/>
                <w:sz w:val="18"/>
                <w:szCs w:val="18"/>
                <w:lang w:bidi="en-US"/>
              </w:rPr>
              <w:t>，巴楚县路线长</w:t>
            </w:r>
            <w:r>
              <w:rPr>
                <w:rFonts w:cs="Times New Roman"/>
                <w:bCs/>
                <w:sz w:val="18"/>
                <w:szCs w:val="18"/>
                <w:lang w:bidi="en-US"/>
              </w:rPr>
              <w:t>22.252km</w:t>
            </w:r>
            <w:r>
              <w:rPr>
                <w:rFonts w:cs="Times New Roman"/>
                <w:bCs/>
                <w:sz w:val="18"/>
                <w:szCs w:val="18"/>
                <w:lang w:bidi="en-US"/>
              </w:rPr>
              <w:t>，柯坪县路线长</w:t>
            </w:r>
            <w:r>
              <w:rPr>
                <w:rFonts w:cs="Times New Roman"/>
                <w:bCs/>
                <w:sz w:val="18"/>
                <w:szCs w:val="18"/>
                <w:lang w:bidi="en-US"/>
              </w:rPr>
              <w:t>55.127km</w:t>
            </w:r>
            <w:r>
              <w:rPr>
                <w:rFonts w:cs="Times New Roman"/>
                <w:bCs/>
                <w:sz w:val="18"/>
                <w:szCs w:val="18"/>
                <w:lang w:bidi="en-US"/>
              </w:rPr>
              <w:t>；项目永久占地共</w:t>
            </w:r>
            <w:r>
              <w:rPr>
                <w:rFonts w:cs="Times New Roman"/>
                <w:bCs/>
                <w:sz w:val="18"/>
                <w:szCs w:val="18"/>
                <w:lang w:bidi="en-US"/>
              </w:rPr>
              <w:t>300.80hm²</w:t>
            </w:r>
            <w:r>
              <w:rPr>
                <w:rFonts w:cs="Times New Roman"/>
                <w:bCs/>
                <w:sz w:val="18"/>
                <w:szCs w:val="18"/>
                <w:lang w:bidi="en-US"/>
              </w:rPr>
              <w:t>，原有公路占地</w:t>
            </w:r>
            <w:r>
              <w:rPr>
                <w:rFonts w:cs="Times New Roman"/>
                <w:bCs/>
                <w:sz w:val="18"/>
                <w:szCs w:val="18"/>
                <w:lang w:bidi="en-US"/>
              </w:rPr>
              <w:t>21.10hm²</w:t>
            </w:r>
            <w:r>
              <w:rPr>
                <w:rFonts w:cs="Times New Roman"/>
                <w:bCs/>
                <w:sz w:val="18"/>
                <w:szCs w:val="18"/>
                <w:lang w:bidi="en-US"/>
              </w:rPr>
              <w:t>、荒地</w:t>
            </w:r>
            <w:r>
              <w:rPr>
                <w:rFonts w:cs="Times New Roman"/>
                <w:bCs/>
                <w:sz w:val="18"/>
                <w:szCs w:val="18"/>
                <w:lang w:bidi="en-US"/>
              </w:rPr>
              <w:t>2.98hm²</w:t>
            </w:r>
            <w:r>
              <w:rPr>
                <w:rFonts w:cs="Times New Roman"/>
                <w:bCs/>
                <w:sz w:val="18"/>
                <w:szCs w:val="18"/>
                <w:lang w:bidi="en-US"/>
              </w:rPr>
              <w:t>、耕地</w:t>
            </w:r>
            <w:r>
              <w:rPr>
                <w:rFonts w:cs="Times New Roman"/>
                <w:bCs/>
                <w:sz w:val="18"/>
                <w:szCs w:val="18"/>
                <w:lang w:bidi="en-US"/>
              </w:rPr>
              <w:t>34.27hm²</w:t>
            </w:r>
            <w:r>
              <w:rPr>
                <w:rFonts w:cs="Times New Roman"/>
                <w:bCs/>
                <w:sz w:val="18"/>
                <w:szCs w:val="18"/>
                <w:lang w:bidi="en-US"/>
              </w:rPr>
              <w:t>、草地</w:t>
            </w:r>
            <w:r>
              <w:rPr>
                <w:rFonts w:cs="Times New Roman"/>
                <w:bCs/>
                <w:sz w:val="18"/>
                <w:szCs w:val="18"/>
                <w:lang w:bidi="en-US"/>
              </w:rPr>
              <w:t>97.91hm²</w:t>
            </w:r>
            <w:r>
              <w:rPr>
                <w:rFonts w:cs="Times New Roman"/>
                <w:bCs/>
                <w:sz w:val="18"/>
                <w:szCs w:val="18"/>
                <w:lang w:bidi="en-US"/>
              </w:rPr>
              <w:t>、建设用地</w:t>
            </w:r>
            <w:r>
              <w:rPr>
                <w:rFonts w:cs="Times New Roman"/>
                <w:bCs/>
                <w:sz w:val="18"/>
                <w:szCs w:val="18"/>
                <w:lang w:bidi="en-US"/>
              </w:rPr>
              <w:t>5.11hm²</w:t>
            </w:r>
            <w:r>
              <w:rPr>
                <w:rFonts w:cs="Times New Roman"/>
                <w:bCs/>
                <w:sz w:val="18"/>
                <w:szCs w:val="18"/>
                <w:lang w:bidi="en-US"/>
              </w:rPr>
              <w:t>、林地</w:t>
            </w:r>
            <w:r>
              <w:rPr>
                <w:rFonts w:cs="Times New Roman"/>
                <w:bCs/>
                <w:sz w:val="18"/>
                <w:szCs w:val="18"/>
                <w:lang w:bidi="en-US"/>
              </w:rPr>
              <w:t>139.15hm²</w:t>
            </w:r>
            <w:r>
              <w:rPr>
                <w:rFonts w:cs="Times New Roman"/>
                <w:bCs/>
                <w:sz w:val="18"/>
                <w:szCs w:val="18"/>
                <w:lang w:bidi="en-US"/>
              </w:rPr>
              <w:t>、居民地</w:t>
            </w:r>
            <w:r>
              <w:rPr>
                <w:rFonts w:cs="Times New Roman"/>
                <w:bCs/>
                <w:sz w:val="18"/>
                <w:szCs w:val="18"/>
                <w:lang w:bidi="en-US"/>
              </w:rPr>
              <w:t>0.28hm²</w:t>
            </w:r>
            <w:r>
              <w:rPr>
                <w:rFonts w:cs="Times New Roman"/>
                <w:bCs/>
                <w:sz w:val="18"/>
                <w:szCs w:val="18"/>
                <w:lang w:bidi="en-US"/>
              </w:rPr>
              <w:t>。</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jc w:val="center"/>
              <w:rPr>
                <w:rFonts w:cs="Times New Roman"/>
                <w:snapToGrid w:val="0"/>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路基工程</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lang w:bidi="en-US"/>
              </w:rPr>
            </w:pPr>
            <w:r>
              <w:rPr>
                <w:rFonts w:cs="Times New Roman"/>
                <w:bCs/>
                <w:sz w:val="18"/>
                <w:szCs w:val="18"/>
                <w:lang w:bidi="en-US"/>
              </w:rPr>
              <w:t>拟建项目为二级公路，其中</w:t>
            </w:r>
            <w:r>
              <w:rPr>
                <w:rFonts w:cs="Times New Roman"/>
                <w:bCs/>
                <w:sz w:val="18"/>
                <w:szCs w:val="18"/>
                <w:lang w:bidi="en-US"/>
              </w:rPr>
              <w:t>K0+000~K3+300</w:t>
            </w:r>
            <w:r>
              <w:rPr>
                <w:rFonts w:cs="Times New Roman"/>
                <w:bCs/>
                <w:sz w:val="18"/>
                <w:szCs w:val="18"/>
                <w:lang w:bidi="en-US"/>
              </w:rPr>
              <w:t>段设计速度</w:t>
            </w:r>
            <w:r>
              <w:rPr>
                <w:rFonts w:cs="Times New Roman"/>
                <w:bCs/>
                <w:sz w:val="18"/>
                <w:szCs w:val="18"/>
                <w:lang w:bidi="en-US"/>
              </w:rPr>
              <w:t>60km/h</w:t>
            </w:r>
            <w:r>
              <w:rPr>
                <w:rFonts w:cs="Times New Roman"/>
                <w:bCs/>
                <w:sz w:val="18"/>
                <w:szCs w:val="18"/>
                <w:lang w:bidi="en-US"/>
              </w:rPr>
              <w:t>，路基宽度</w:t>
            </w:r>
            <w:r>
              <w:rPr>
                <w:rFonts w:cs="Times New Roman"/>
                <w:bCs/>
                <w:sz w:val="18"/>
                <w:szCs w:val="18"/>
                <w:lang w:bidi="en-US"/>
              </w:rPr>
              <w:t>17.5m</w:t>
            </w:r>
            <w:r>
              <w:rPr>
                <w:rFonts w:cs="Times New Roman"/>
                <w:bCs/>
                <w:sz w:val="18"/>
                <w:szCs w:val="18"/>
                <w:lang w:bidi="en-US"/>
              </w:rPr>
              <w:t>，硬路肩宽度</w:t>
            </w:r>
            <w:r>
              <w:rPr>
                <w:rFonts w:cs="Times New Roman"/>
                <w:bCs/>
                <w:sz w:val="18"/>
                <w:szCs w:val="18"/>
                <w:lang w:bidi="en-US"/>
              </w:rPr>
              <w:t>2×0.75m</w:t>
            </w:r>
            <w:r>
              <w:rPr>
                <w:rFonts w:cs="Times New Roman"/>
                <w:bCs/>
                <w:sz w:val="18"/>
                <w:szCs w:val="18"/>
                <w:lang w:bidi="en-US"/>
              </w:rPr>
              <w:t>，土路肩宽度</w:t>
            </w:r>
            <w:r>
              <w:rPr>
                <w:rFonts w:cs="Times New Roman"/>
                <w:bCs/>
                <w:sz w:val="18"/>
                <w:szCs w:val="18"/>
                <w:lang w:bidi="en-US"/>
              </w:rPr>
              <w:t>2×0.75m</w:t>
            </w:r>
            <w:r>
              <w:rPr>
                <w:rFonts w:cs="Times New Roman"/>
                <w:bCs/>
                <w:sz w:val="18"/>
                <w:szCs w:val="18"/>
                <w:lang w:bidi="en-US"/>
              </w:rPr>
              <w:t>；</w:t>
            </w:r>
            <w:r>
              <w:rPr>
                <w:rFonts w:cs="Times New Roman"/>
                <w:bCs/>
                <w:sz w:val="18"/>
                <w:szCs w:val="18"/>
                <w:lang w:bidi="en-US"/>
              </w:rPr>
              <w:t>K3+300-K107+177</w:t>
            </w:r>
            <w:r>
              <w:rPr>
                <w:rFonts w:cs="Times New Roman"/>
                <w:bCs/>
                <w:sz w:val="18"/>
                <w:szCs w:val="18"/>
                <w:lang w:bidi="en-US"/>
              </w:rPr>
              <w:t>段设计速度</w:t>
            </w:r>
            <w:r>
              <w:rPr>
                <w:rFonts w:cs="Times New Roman"/>
                <w:bCs/>
                <w:sz w:val="18"/>
                <w:szCs w:val="18"/>
                <w:lang w:bidi="en-US"/>
              </w:rPr>
              <w:t>80km/h</w:t>
            </w:r>
            <w:r>
              <w:rPr>
                <w:rFonts w:cs="Times New Roman"/>
                <w:bCs/>
                <w:sz w:val="18"/>
                <w:szCs w:val="18"/>
                <w:lang w:bidi="en-US"/>
              </w:rPr>
              <w:t>，路基宽度</w:t>
            </w:r>
            <w:r>
              <w:rPr>
                <w:rFonts w:cs="Times New Roman"/>
                <w:bCs/>
                <w:sz w:val="18"/>
                <w:szCs w:val="18"/>
                <w:lang w:bidi="en-US"/>
              </w:rPr>
              <w:t>12.0m</w:t>
            </w:r>
            <w:r>
              <w:rPr>
                <w:rFonts w:cs="Times New Roman"/>
                <w:bCs/>
                <w:sz w:val="18"/>
                <w:szCs w:val="18"/>
                <w:lang w:bidi="en-US"/>
              </w:rPr>
              <w:t>，硬路肩宽度</w:t>
            </w:r>
            <w:r>
              <w:rPr>
                <w:rFonts w:cs="Times New Roman"/>
                <w:bCs/>
                <w:sz w:val="18"/>
                <w:szCs w:val="18"/>
                <w:lang w:bidi="en-US"/>
              </w:rPr>
              <w:t>2×1.5m</w:t>
            </w:r>
            <w:r>
              <w:rPr>
                <w:rFonts w:cs="Times New Roman"/>
                <w:bCs/>
                <w:sz w:val="18"/>
                <w:szCs w:val="18"/>
                <w:lang w:bidi="en-US"/>
              </w:rPr>
              <w:t>，土路肩宽度</w:t>
            </w:r>
            <w:r>
              <w:rPr>
                <w:rFonts w:cs="Times New Roman"/>
                <w:bCs/>
                <w:sz w:val="18"/>
                <w:szCs w:val="18"/>
                <w:lang w:bidi="en-US"/>
              </w:rPr>
              <w:t>2×0.75m</w:t>
            </w:r>
            <w:r>
              <w:rPr>
                <w:rFonts w:cs="Times New Roman"/>
                <w:bCs/>
                <w:sz w:val="18"/>
                <w:szCs w:val="18"/>
                <w:lang w:bidi="en-US"/>
              </w:rPr>
              <w:t>。</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路面工程</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lang w:bidi="en-US"/>
              </w:rPr>
              <w:t>本项目面层采用沥青混凝土</w:t>
            </w:r>
            <w:r>
              <w:rPr>
                <w:rFonts w:cs="Times New Roman"/>
                <w:bCs/>
                <w:sz w:val="18"/>
                <w:szCs w:val="18"/>
                <w:lang w:bidi="en-US"/>
              </w:rPr>
              <w:t>，</w:t>
            </w:r>
            <w:r>
              <w:rPr>
                <w:rFonts w:cs="Times New Roman"/>
                <w:bCs/>
                <w:sz w:val="18"/>
                <w:szCs w:val="18"/>
                <w:lang w:bidi="en-US"/>
              </w:rPr>
              <w:t>路面结构：</w:t>
            </w:r>
            <w:r>
              <w:rPr>
                <w:rFonts w:cs="Times New Roman"/>
                <w:bCs/>
                <w:sz w:val="18"/>
                <w:szCs w:val="18"/>
                <w:lang w:bidi="en-US"/>
              </w:rPr>
              <w:t>5cm</w:t>
            </w:r>
            <w:r>
              <w:rPr>
                <w:rFonts w:cs="Times New Roman"/>
                <w:bCs/>
                <w:sz w:val="18"/>
                <w:szCs w:val="18"/>
                <w:lang w:bidi="en-US"/>
              </w:rPr>
              <w:t>中粒式沥青混凝土（</w:t>
            </w:r>
            <w:r>
              <w:rPr>
                <w:rFonts w:cs="Times New Roman"/>
                <w:bCs/>
                <w:sz w:val="18"/>
                <w:szCs w:val="18"/>
                <w:lang w:bidi="en-US"/>
              </w:rPr>
              <w:t>AC-16C</w:t>
            </w:r>
            <w:r>
              <w:rPr>
                <w:rFonts w:cs="Times New Roman"/>
                <w:bCs/>
                <w:sz w:val="18"/>
                <w:szCs w:val="18"/>
                <w:lang w:bidi="en-US"/>
              </w:rPr>
              <w:t>）</w:t>
            </w:r>
            <w:r>
              <w:rPr>
                <w:rFonts w:cs="Times New Roman"/>
                <w:bCs/>
                <w:sz w:val="18"/>
                <w:szCs w:val="18"/>
                <w:lang w:bidi="en-US"/>
              </w:rPr>
              <w:t>+</w:t>
            </w:r>
            <w:r>
              <w:rPr>
                <w:rFonts w:cs="Times New Roman"/>
                <w:bCs/>
                <w:sz w:val="18"/>
                <w:szCs w:val="18"/>
                <w:lang w:bidi="en-US"/>
              </w:rPr>
              <w:t>下封层</w:t>
            </w:r>
            <w:r>
              <w:rPr>
                <w:rFonts w:cs="Times New Roman"/>
                <w:bCs/>
                <w:sz w:val="18"/>
                <w:szCs w:val="18"/>
                <w:lang w:bidi="en-US"/>
              </w:rPr>
              <w:t>+25cm5%</w:t>
            </w:r>
            <w:r>
              <w:rPr>
                <w:rFonts w:cs="Times New Roman"/>
                <w:bCs/>
                <w:sz w:val="18"/>
                <w:szCs w:val="18"/>
                <w:lang w:bidi="en-US"/>
              </w:rPr>
              <w:t>水泥稳定砂砾</w:t>
            </w:r>
            <w:r>
              <w:rPr>
                <w:rFonts w:cs="Times New Roman"/>
                <w:bCs/>
                <w:sz w:val="18"/>
                <w:szCs w:val="18"/>
                <w:lang w:bidi="en-US"/>
              </w:rPr>
              <w:t>+25cm</w:t>
            </w:r>
            <w:r>
              <w:rPr>
                <w:rFonts w:cs="Times New Roman"/>
                <w:bCs/>
                <w:sz w:val="18"/>
                <w:szCs w:val="18"/>
                <w:lang w:bidi="en-US"/>
              </w:rPr>
              <w:t>天然级配砾石</w:t>
            </w:r>
            <w:r>
              <w:rPr>
                <w:rFonts w:cs="Times New Roman"/>
                <w:bCs/>
                <w:sz w:val="18"/>
                <w:szCs w:val="18"/>
                <w:lang w:bidi="en-US"/>
              </w:rPr>
              <w:t>。</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桥涵</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fldChar w:fldCharType="begin"/>
            </w:r>
            <w:r>
              <w:rPr>
                <w:rFonts w:cs="Times New Roman"/>
                <w:bCs/>
                <w:sz w:val="18"/>
                <w:szCs w:val="18"/>
              </w:rPr>
              <w:instrText xml:space="preserve"> = 1 \* GB3 </w:instrText>
            </w:r>
            <w:r>
              <w:rPr>
                <w:rFonts w:cs="Times New Roman"/>
                <w:bCs/>
                <w:sz w:val="18"/>
                <w:szCs w:val="18"/>
              </w:rPr>
              <w:fldChar w:fldCharType="separate"/>
            </w:r>
            <w:r>
              <w:rPr>
                <w:rFonts w:cs="Times New Roman"/>
                <w:bCs/>
                <w:sz w:val="18"/>
                <w:szCs w:val="18"/>
              </w:rPr>
              <w:t>①</w:t>
            </w:r>
            <w:r>
              <w:rPr>
                <w:rFonts w:cs="Times New Roman"/>
                <w:bCs/>
                <w:sz w:val="18"/>
                <w:szCs w:val="18"/>
              </w:rPr>
              <w:fldChar w:fldCharType="end"/>
            </w:r>
            <w:r>
              <w:rPr>
                <w:rFonts w:cs="Times New Roman"/>
                <w:bCs/>
                <w:sz w:val="18"/>
                <w:szCs w:val="18"/>
              </w:rPr>
              <w:t>桥梁</w:t>
            </w:r>
          </w:p>
          <w:p w:rsidR="00A46452" w:rsidRDefault="009A3928">
            <w:pPr>
              <w:wordWrap w:val="0"/>
              <w:topLinePunct/>
              <w:adjustRightInd w:val="0"/>
              <w:snapToGrid w:val="0"/>
              <w:spacing w:line="320" w:lineRule="exact"/>
              <w:ind w:firstLineChars="0" w:firstLine="0"/>
              <w:jc w:val="left"/>
              <w:rPr>
                <w:rFonts w:cs="Times New Roman"/>
                <w:bCs/>
                <w:sz w:val="18"/>
                <w:szCs w:val="18"/>
              </w:rPr>
            </w:pPr>
            <w:r>
              <w:rPr>
                <w:rFonts w:cs="Times New Roman"/>
                <w:bCs/>
                <w:sz w:val="18"/>
                <w:szCs w:val="18"/>
              </w:rPr>
              <w:t>全线共设置桥梁</w:t>
            </w:r>
            <w:r>
              <w:rPr>
                <w:rFonts w:cs="Times New Roman"/>
                <w:bCs/>
                <w:sz w:val="18"/>
                <w:szCs w:val="18"/>
              </w:rPr>
              <w:t>15</w:t>
            </w:r>
            <w:r>
              <w:rPr>
                <w:rFonts w:cs="Times New Roman"/>
                <w:bCs/>
                <w:sz w:val="18"/>
                <w:szCs w:val="18"/>
              </w:rPr>
              <w:t>座，</w:t>
            </w:r>
            <w:r>
              <w:rPr>
                <w:rFonts w:cs="Times New Roman"/>
                <w:bCs/>
                <w:sz w:val="18"/>
                <w:szCs w:val="18"/>
              </w:rPr>
              <w:t>新建大桥</w:t>
            </w:r>
            <w:r>
              <w:rPr>
                <w:rFonts w:cs="Times New Roman"/>
                <w:bCs/>
                <w:sz w:val="18"/>
                <w:szCs w:val="18"/>
              </w:rPr>
              <w:t>767m/4</w:t>
            </w:r>
            <w:r>
              <w:rPr>
                <w:rFonts w:cs="Times New Roman"/>
                <w:bCs/>
                <w:sz w:val="18"/>
                <w:szCs w:val="18"/>
              </w:rPr>
              <w:t>座、新建中桥</w:t>
            </w:r>
            <w:r>
              <w:rPr>
                <w:rFonts w:cs="Times New Roman"/>
                <w:bCs/>
                <w:sz w:val="18"/>
                <w:szCs w:val="18"/>
              </w:rPr>
              <w:t>356m/6</w:t>
            </w:r>
            <w:r>
              <w:rPr>
                <w:rFonts w:cs="Times New Roman"/>
                <w:bCs/>
                <w:sz w:val="18"/>
                <w:szCs w:val="18"/>
              </w:rPr>
              <w:t>座、新建小桥</w:t>
            </w:r>
            <w:r>
              <w:rPr>
                <w:rFonts w:cs="Times New Roman"/>
                <w:bCs/>
                <w:sz w:val="18"/>
                <w:szCs w:val="18"/>
              </w:rPr>
              <w:t>98m/</w:t>
            </w:r>
            <w:r>
              <w:rPr>
                <w:rFonts w:cs="Times New Roman"/>
                <w:bCs/>
                <w:sz w:val="18"/>
                <w:szCs w:val="18"/>
              </w:rPr>
              <w:t>座；利用大桥</w:t>
            </w:r>
            <w:r>
              <w:rPr>
                <w:rFonts w:cs="Times New Roman"/>
                <w:bCs/>
                <w:sz w:val="18"/>
                <w:szCs w:val="18"/>
              </w:rPr>
              <w:t>517m/1</w:t>
            </w:r>
            <w:r>
              <w:rPr>
                <w:rFonts w:cs="Times New Roman"/>
                <w:bCs/>
                <w:sz w:val="18"/>
                <w:szCs w:val="18"/>
              </w:rPr>
              <w:t>，桥梁涉及水体情况详见表</w:t>
            </w:r>
            <w:r>
              <w:rPr>
                <w:rFonts w:cs="Times New Roman"/>
                <w:bCs/>
                <w:sz w:val="18"/>
                <w:szCs w:val="18"/>
              </w:rPr>
              <w:t>4.2-4</w:t>
            </w:r>
            <w:r>
              <w:rPr>
                <w:rFonts w:cs="Times New Roman"/>
                <w:bCs/>
                <w:sz w:val="18"/>
                <w:szCs w:val="18"/>
              </w:rPr>
              <w:t>。</w:t>
            </w:r>
          </w:p>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fldChar w:fldCharType="begin"/>
            </w:r>
            <w:r>
              <w:rPr>
                <w:rFonts w:cs="Times New Roman"/>
                <w:bCs/>
                <w:sz w:val="18"/>
                <w:szCs w:val="18"/>
              </w:rPr>
              <w:instrText xml:space="preserve"> = 2 \* GB3 </w:instrText>
            </w:r>
            <w:r>
              <w:rPr>
                <w:rFonts w:cs="Times New Roman"/>
                <w:bCs/>
                <w:sz w:val="18"/>
                <w:szCs w:val="18"/>
              </w:rPr>
              <w:fldChar w:fldCharType="separate"/>
            </w:r>
            <w:r>
              <w:rPr>
                <w:rFonts w:cs="Times New Roman"/>
                <w:bCs/>
                <w:sz w:val="18"/>
                <w:szCs w:val="18"/>
              </w:rPr>
              <w:t>②</w:t>
            </w:r>
            <w:r>
              <w:rPr>
                <w:rFonts w:cs="Times New Roman"/>
                <w:bCs/>
                <w:sz w:val="18"/>
                <w:szCs w:val="18"/>
              </w:rPr>
              <w:fldChar w:fldCharType="end"/>
            </w:r>
            <w:r>
              <w:rPr>
                <w:rFonts w:cs="Times New Roman"/>
                <w:bCs/>
                <w:sz w:val="18"/>
                <w:szCs w:val="18"/>
              </w:rPr>
              <w:t>涵洞</w:t>
            </w:r>
            <w:r>
              <w:rPr>
                <w:rFonts w:cs="Times New Roman"/>
                <w:bCs/>
                <w:sz w:val="18"/>
                <w:szCs w:val="18"/>
              </w:rPr>
              <w:t>75</w:t>
            </w:r>
            <w:r>
              <w:rPr>
                <w:rFonts w:cs="Times New Roman"/>
                <w:bCs/>
                <w:sz w:val="18"/>
                <w:szCs w:val="18"/>
              </w:rPr>
              <w:t>道，作为运行期动物通道</w:t>
            </w:r>
            <w:r>
              <w:rPr>
                <w:rFonts w:cs="Times New Roman"/>
                <w:bCs/>
                <w:sz w:val="18"/>
                <w:szCs w:val="18"/>
              </w:rPr>
              <w:t>。</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交叉工程</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本项目共设平面交叉</w:t>
            </w:r>
            <w:r>
              <w:rPr>
                <w:rFonts w:cs="Times New Roman"/>
                <w:bCs/>
                <w:sz w:val="18"/>
                <w:szCs w:val="18"/>
              </w:rPr>
              <w:t>30</w:t>
            </w:r>
            <w:r>
              <w:rPr>
                <w:rFonts w:cs="Times New Roman"/>
                <w:bCs/>
                <w:sz w:val="18"/>
                <w:szCs w:val="18"/>
              </w:rPr>
              <w:t>处。</w:t>
            </w:r>
          </w:p>
        </w:tc>
      </w:tr>
      <w:tr w:rsidR="00A46452">
        <w:trPr>
          <w:trHeight w:val="90"/>
        </w:trPr>
        <w:tc>
          <w:tcPr>
            <w:tcW w:w="412" w:type="pct"/>
            <w:vMerge w:val="restar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附属工程</w:t>
            </w: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服务区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设服务区</w:t>
            </w:r>
            <w:r>
              <w:rPr>
                <w:rFonts w:cs="Times New Roman"/>
                <w:bCs/>
                <w:sz w:val="18"/>
                <w:szCs w:val="18"/>
              </w:rPr>
              <w:t>2</w:t>
            </w:r>
            <w:r>
              <w:rPr>
                <w:rFonts w:cs="Times New Roman"/>
                <w:bCs/>
                <w:sz w:val="18"/>
                <w:szCs w:val="18"/>
              </w:rPr>
              <w:t>处，拟设于</w:t>
            </w:r>
            <w:r>
              <w:rPr>
                <w:rFonts w:cs="Times New Roman"/>
                <w:bCs/>
                <w:sz w:val="18"/>
                <w:szCs w:val="18"/>
              </w:rPr>
              <w:t>K32+000</w:t>
            </w:r>
            <w:r>
              <w:rPr>
                <w:rFonts w:cs="Times New Roman"/>
                <w:bCs/>
                <w:sz w:val="18"/>
                <w:szCs w:val="18"/>
              </w:rPr>
              <w:t>处公路两侧。预留</w:t>
            </w:r>
            <w:r>
              <w:rPr>
                <w:rFonts w:cs="Times New Roman"/>
                <w:bCs/>
                <w:sz w:val="18"/>
                <w:szCs w:val="18"/>
              </w:rPr>
              <w:t>2</w:t>
            </w:r>
            <w:r>
              <w:rPr>
                <w:rFonts w:cs="Times New Roman"/>
                <w:bCs/>
                <w:sz w:val="18"/>
                <w:szCs w:val="18"/>
              </w:rPr>
              <w:t>处加油站用地，加油站不在本工程评价范围内。</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停车区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设停车区</w:t>
            </w:r>
            <w:r>
              <w:rPr>
                <w:rFonts w:cs="Times New Roman"/>
                <w:bCs/>
                <w:sz w:val="18"/>
                <w:szCs w:val="18"/>
              </w:rPr>
              <w:t>3</w:t>
            </w:r>
            <w:r>
              <w:rPr>
                <w:rFonts w:cs="Times New Roman"/>
                <w:bCs/>
                <w:sz w:val="18"/>
                <w:szCs w:val="18"/>
              </w:rPr>
              <w:t>处，拟设于</w:t>
            </w:r>
            <w:r>
              <w:rPr>
                <w:rFonts w:cs="Times New Roman"/>
                <w:bCs/>
                <w:sz w:val="18"/>
                <w:szCs w:val="18"/>
              </w:rPr>
              <w:t>K31+900~K32+100</w:t>
            </w:r>
            <w:r>
              <w:rPr>
                <w:rFonts w:cs="Times New Roman"/>
                <w:bCs/>
                <w:sz w:val="18"/>
                <w:szCs w:val="18"/>
              </w:rPr>
              <w:t>处。</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治超站</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设治超站</w:t>
            </w:r>
            <w:r>
              <w:rPr>
                <w:rFonts w:cs="Times New Roman"/>
                <w:bCs/>
                <w:sz w:val="18"/>
                <w:szCs w:val="18"/>
              </w:rPr>
              <w:t>1</w:t>
            </w:r>
            <w:r>
              <w:rPr>
                <w:rFonts w:cs="Times New Roman"/>
                <w:bCs/>
                <w:sz w:val="18"/>
                <w:szCs w:val="18"/>
              </w:rPr>
              <w:t>处，拟设于</w:t>
            </w:r>
            <w:r>
              <w:rPr>
                <w:rFonts w:cs="Times New Roman"/>
                <w:bCs/>
                <w:sz w:val="18"/>
                <w:szCs w:val="18"/>
              </w:rPr>
              <w:t>K32+100~K320+140</w:t>
            </w:r>
          </w:p>
        </w:tc>
      </w:tr>
      <w:tr w:rsidR="00A46452">
        <w:trPr>
          <w:trHeight w:val="90"/>
        </w:trPr>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公安检查站</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设公安检查站</w:t>
            </w:r>
            <w:r>
              <w:rPr>
                <w:rFonts w:cs="Times New Roman"/>
                <w:bCs/>
                <w:sz w:val="18"/>
                <w:szCs w:val="18"/>
              </w:rPr>
              <w:t>1</w:t>
            </w:r>
            <w:r>
              <w:rPr>
                <w:rFonts w:cs="Times New Roman"/>
                <w:bCs/>
                <w:sz w:val="18"/>
                <w:szCs w:val="18"/>
              </w:rPr>
              <w:t>处，拟设于</w:t>
            </w:r>
            <w:r>
              <w:rPr>
                <w:rFonts w:cs="Times New Roman"/>
                <w:bCs/>
                <w:sz w:val="18"/>
                <w:szCs w:val="18"/>
              </w:rPr>
              <w:t>K30+860~K30+900</w:t>
            </w:r>
            <w:r>
              <w:rPr>
                <w:rFonts w:cs="Times New Roman"/>
                <w:bCs/>
                <w:sz w:val="18"/>
                <w:szCs w:val="18"/>
              </w:rPr>
              <w:t>。</w:t>
            </w:r>
          </w:p>
        </w:tc>
      </w:tr>
      <w:tr w:rsidR="00A46452">
        <w:trPr>
          <w:trHeight w:val="330"/>
        </w:trPr>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其他</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不设养护工区及加油站，仅预留加油站用地</w:t>
            </w:r>
          </w:p>
        </w:tc>
      </w:tr>
      <w:tr w:rsidR="00A46452">
        <w:tc>
          <w:tcPr>
            <w:tcW w:w="412" w:type="pct"/>
            <w:vMerge w:val="restar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临</w:t>
            </w:r>
          </w:p>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时</w:t>
            </w:r>
          </w:p>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工</w:t>
            </w:r>
          </w:p>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程</w:t>
            </w: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施工</w:t>
            </w:r>
            <w:r>
              <w:rPr>
                <w:rFonts w:cs="Times New Roman"/>
                <w:bCs/>
                <w:sz w:val="18"/>
                <w:szCs w:val="18"/>
              </w:rPr>
              <w:t>营地</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sz w:val="18"/>
                <w:szCs w:val="18"/>
              </w:rPr>
              <w:t>全线共规划设置</w:t>
            </w:r>
            <w:r>
              <w:rPr>
                <w:rFonts w:cs="Times New Roman"/>
                <w:sz w:val="18"/>
                <w:szCs w:val="18"/>
              </w:rPr>
              <w:t>3</w:t>
            </w:r>
            <w:r>
              <w:rPr>
                <w:rFonts w:cs="Times New Roman"/>
                <w:sz w:val="18"/>
                <w:szCs w:val="18"/>
              </w:rPr>
              <w:t>处施工营地，</w:t>
            </w:r>
            <w:r>
              <w:rPr>
                <w:rFonts w:cs="Times New Roman"/>
                <w:bCs/>
                <w:sz w:val="18"/>
                <w:szCs w:val="18"/>
              </w:rPr>
              <w:t>位于综合站场，</w:t>
            </w:r>
            <w:r>
              <w:rPr>
                <w:rFonts w:cs="Times New Roman"/>
                <w:sz w:val="18"/>
                <w:szCs w:val="18"/>
              </w:rPr>
              <w:t>均为</w:t>
            </w:r>
            <w:r>
              <w:rPr>
                <w:rFonts w:cs="Times New Roman"/>
                <w:bCs/>
                <w:sz w:val="18"/>
                <w:szCs w:val="18"/>
              </w:rPr>
              <w:t>自建。</w:t>
            </w:r>
            <w:r>
              <w:rPr>
                <w:rFonts w:cs="Times New Roman"/>
                <w:bCs/>
                <w:sz w:val="18"/>
                <w:szCs w:val="18"/>
              </w:rPr>
              <w:t>第一处位于第三师图木舒克市</w:t>
            </w:r>
            <w:r>
              <w:rPr>
                <w:rFonts w:cs="Times New Roman"/>
                <w:bCs/>
                <w:sz w:val="18"/>
                <w:szCs w:val="18"/>
              </w:rPr>
              <w:t>50</w:t>
            </w:r>
            <w:r>
              <w:rPr>
                <w:rFonts w:cs="Times New Roman"/>
                <w:bCs/>
                <w:sz w:val="18"/>
                <w:szCs w:val="18"/>
              </w:rPr>
              <w:t>团；第二处位于第三师</w:t>
            </w:r>
            <w:r>
              <w:rPr>
                <w:rFonts w:cs="Times New Roman"/>
                <w:bCs/>
                <w:sz w:val="18"/>
                <w:szCs w:val="18"/>
              </w:rPr>
              <w:t>53</w:t>
            </w:r>
            <w:r>
              <w:rPr>
                <w:rFonts w:cs="Times New Roman"/>
                <w:bCs/>
                <w:sz w:val="18"/>
                <w:szCs w:val="18"/>
              </w:rPr>
              <w:t>团；第三处位于柯坪县。</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施工便道</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本次设置施工便道长度共计</w:t>
            </w:r>
            <w:r>
              <w:rPr>
                <w:rFonts w:cs="Times New Roman"/>
                <w:bCs/>
                <w:sz w:val="18"/>
                <w:szCs w:val="18"/>
              </w:rPr>
              <w:t>13.170</w:t>
            </w:r>
            <w:r>
              <w:rPr>
                <w:rFonts w:cs="Times New Roman"/>
                <w:bCs/>
                <w:sz w:val="18"/>
                <w:szCs w:val="18"/>
              </w:rPr>
              <w:t>km</w:t>
            </w:r>
            <w:r>
              <w:rPr>
                <w:rFonts w:cs="Times New Roman"/>
                <w:bCs/>
                <w:sz w:val="18"/>
                <w:szCs w:val="18"/>
              </w:rPr>
              <w:t>，</w:t>
            </w:r>
            <w:r>
              <w:rPr>
                <w:rFonts w:cs="Times New Roman"/>
                <w:bCs/>
                <w:sz w:val="18"/>
                <w:szCs w:val="18"/>
              </w:rPr>
              <w:t>均为临时新建。</w:t>
            </w:r>
          </w:p>
        </w:tc>
      </w:tr>
      <w:tr w:rsidR="00A46452">
        <w:trPr>
          <w:trHeight w:val="90"/>
        </w:trPr>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砂砾石料场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lang w:bidi="en-US"/>
              </w:rPr>
            </w:pPr>
            <w:r>
              <w:rPr>
                <w:rFonts w:cs="Times New Roman"/>
                <w:bCs/>
                <w:sz w:val="18"/>
                <w:szCs w:val="18"/>
              </w:rPr>
              <w:t>2</w:t>
            </w:r>
            <w:r>
              <w:rPr>
                <w:rFonts w:cs="Times New Roman"/>
                <w:bCs/>
                <w:sz w:val="18"/>
                <w:szCs w:val="18"/>
              </w:rPr>
              <w:t>处，均</w:t>
            </w:r>
            <w:r>
              <w:rPr>
                <w:rFonts w:cs="Times New Roman"/>
                <w:bCs/>
                <w:sz w:val="18"/>
                <w:szCs w:val="18"/>
              </w:rPr>
              <w:t>为</w:t>
            </w:r>
            <w:r>
              <w:rPr>
                <w:rFonts w:cs="Times New Roman"/>
                <w:bCs/>
                <w:sz w:val="18"/>
                <w:szCs w:val="18"/>
              </w:rPr>
              <w:t>社会</w:t>
            </w:r>
            <w:r>
              <w:rPr>
                <w:rFonts w:cs="Times New Roman"/>
                <w:bCs/>
                <w:sz w:val="18"/>
                <w:szCs w:val="18"/>
              </w:rPr>
              <w:t>商业料场</w:t>
            </w:r>
            <w:r>
              <w:rPr>
                <w:rFonts w:cs="Times New Roman"/>
                <w:bCs/>
                <w:sz w:val="18"/>
                <w:szCs w:val="18"/>
              </w:rPr>
              <w:t>。</w:t>
            </w:r>
            <w:r>
              <w:rPr>
                <w:rFonts w:cs="Times New Roman"/>
                <w:bCs/>
                <w:sz w:val="18"/>
                <w:szCs w:val="18"/>
              </w:rPr>
              <w:t>分别位于图木舒克市永安湖调节闸专业砂砾石料场，提供</w:t>
            </w:r>
            <w:r>
              <w:rPr>
                <w:rFonts w:cs="Times New Roman"/>
                <w:bCs/>
                <w:sz w:val="18"/>
                <w:szCs w:val="18"/>
              </w:rPr>
              <w:t>K0+000~K40+000</w:t>
            </w:r>
            <w:r>
              <w:rPr>
                <w:rFonts w:cs="Times New Roman"/>
                <w:bCs/>
                <w:sz w:val="18"/>
                <w:szCs w:val="18"/>
              </w:rPr>
              <w:t>段路基工程所需的砾类土，上路运距</w:t>
            </w:r>
            <w:r>
              <w:rPr>
                <w:rFonts w:cs="Times New Roman"/>
                <w:bCs/>
                <w:sz w:val="18"/>
                <w:szCs w:val="18"/>
              </w:rPr>
              <w:t>30.0km</w:t>
            </w:r>
            <w:r>
              <w:rPr>
                <w:rFonts w:cs="Times New Roman"/>
                <w:bCs/>
                <w:sz w:val="18"/>
                <w:szCs w:val="18"/>
              </w:rPr>
              <w:t>；柯坪县柯小驼砂砾石专业料场，供应</w:t>
            </w:r>
            <w:r>
              <w:rPr>
                <w:rFonts w:cs="Times New Roman"/>
                <w:bCs/>
                <w:sz w:val="18"/>
                <w:szCs w:val="18"/>
              </w:rPr>
              <w:t>K40+000~K107+177</w:t>
            </w:r>
            <w:r>
              <w:rPr>
                <w:rFonts w:cs="Times New Roman"/>
                <w:bCs/>
                <w:sz w:val="18"/>
                <w:szCs w:val="18"/>
              </w:rPr>
              <w:t>段路基工程所需的砾类土，上路运距</w:t>
            </w:r>
            <w:r>
              <w:rPr>
                <w:rFonts w:cs="Times New Roman"/>
                <w:bCs/>
                <w:sz w:val="18"/>
                <w:szCs w:val="18"/>
              </w:rPr>
              <w:t>25km</w:t>
            </w:r>
            <w:r>
              <w:rPr>
                <w:rFonts w:cs="Times New Roman"/>
                <w:bCs/>
                <w:sz w:val="18"/>
                <w:szCs w:val="18"/>
              </w:rPr>
              <w:t>。</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风积沙料场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snapToGrid w:val="0"/>
                <w:sz w:val="18"/>
                <w:szCs w:val="18"/>
              </w:rPr>
            </w:pPr>
            <w:r>
              <w:rPr>
                <w:rFonts w:cs="Times New Roman"/>
                <w:snapToGrid w:val="0"/>
                <w:sz w:val="18"/>
                <w:szCs w:val="18"/>
              </w:rPr>
              <w:t>1</w:t>
            </w:r>
            <w:r>
              <w:rPr>
                <w:rFonts w:cs="Times New Roman"/>
                <w:snapToGrid w:val="0"/>
                <w:sz w:val="18"/>
                <w:szCs w:val="18"/>
              </w:rPr>
              <w:t>处，</w:t>
            </w:r>
            <w:r>
              <w:rPr>
                <w:rFonts w:cs="Times New Roman"/>
                <w:snapToGrid w:val="0"/>
                <w:sz w:val="18"/>
                <w:szCs w:val="18"/>
              </w:rPr>
              <w:t>风积沙料场为</w:t>
            </w:r>
            <w:r>
              <w:rPr>
                <w:rFonts w:cs="Times New Roman"/>
                <w:snapToGrid w:val="0"/>
                <w:sz w:val="18"/>
                <w:szCs w:val="18"/>
              </w:rPr>
              <w:t>自采砂料场</w:t>
            </w:r>
            <w:r>
              <w:rPr>
                <w:rFonts w:cs="Times New Roman"/>
                <w:snapToGrid w:val="0"/>
                <w:sz w:val="18"/>
                <w:szCs w:val="18"/>
              </w:rPr>
              <w:t>，距离路线起点</w:t>
            </w:r>
            <w:r>
              <w:rPr>
                <w:rFonts w:cs="Times New Roman"/>
                <w:snapToGrid w:val="0"/>
                <w:sz w:val="18"/>
                <w:szCs w:val="18"/>
              </w:rPr>
              <w:t>42km</w:t>
            </w:r>
            <w:r>
              <w:rPr>
                <w:rFonts w:cs="Times New Roman"/>
                <w:snapToGrid w:val="0"/>
                <w:sz w:val="18"/>
                <w:szCs w:val="18"/>
              </w:rPr>
              <w:t>。</w:t>
            </w:r>
          </w:p>
        </w:tc>
      </w:tr>
      <w:tr w:rsidR="00A46452">
        <w:trPr>
          <w:trHeight w:val="330"/>
        </w:trPr>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弃土场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2</w:t>
            </w:r>
            <w:r>
              <w:rPr>
                <w:rFonts w:cs="Times New Roman"/>
                <w:bCs/>
                <w:sz w:val="18"/>
                <w:szCs w:val="18"/>
              </w:rPr>
              <w:t>处，</w:t>
            </w:r>
            <w:r>
              <w:rPr>
                <w:rFonts w:cs="Times New Roman"/>
                <w:bCs/>
                <w:sz w:val="18"/>
                <w:szCs w:val="18"/>
              </w:rPr>
              <w:t>图木舒克弃土场位于图木舒克市，上路桩号</w:t>
            </w:r>
            <w:r>
              <w:rPr>
                <w:rFonts w:cs="Times New Roman"/>
                <w:bCs/>
                <w:sz w:val="18"/>
                <w:szCs w:val="18"/>
              </w:rPr>
              <w:t>K0+000</w:t>
            </w:r>
            <w:r>
              <w:rPr>
                <w:rFonts w:cs="Times New Roman"/>
                <w:bCs/>
                <w:sz w:val="18"/>
                <w:szCs w:val="18"/>
              </w:rPr>
              <w:t>，上路运距</w:t>
            </w:r>
            <w:r>
              <w:rPr>
                <w:rFonts w:cs="Times New Roman"/>
                <w:bCs/>
                <w:sz w:val="18"/>
                <w:szCs w:val="18"/>
              </w:rPr>
              <w:t>22.7km</w:t>
            </w:r>
            <w:r>
              <w:rPr>
                <w:rFonts w:cs="Times New Roman"/>
                <w:bCs/>
                <w:sz w:val="18"/>
                <w:szCs w:val="18"/>
              </w:rPr>
              <w:t>。柯坪弃土场位于柯坪县阿恰勒镇北部吐和公路两侧，上路桩号</w:t>
            </w:r>
            <w:r>
              <w:rPr>
                <w:rFonts w:cs="Times New Roman"/>
                <w:bCs/>
                <w:sz w:val="18"/>
                <w:szCs w:val="18"/>
              </w:rPr>
              <w:t>K81+940</w:t>
            </w:r>
            <w:r>
              <w:rPr>
                <w:rFonts w:cs="Times New Roman"/>
                <w:bCs/>
                <w:sz w:val="18"/>
                <w:szCs w:val="18"/>
              </w:rPr>
              <w:t>，上路运距</w:t>
            </w:r>
            <w:r>
              <w:rPr>
                <w:rFonts w:cs="Times New Roman"/>
                <w:bCs/>
                <w:sz w:val="18"/>
                <w:szCs w:val="18"/>
              </w:rPr>
              <w:t>8.8km</w:t>
            </w:r>
            <w:r>
              <w:rPr>
                <w:rFonts w:cs="Times New Roman"/>
                <w:bCs/>
                <w:sz w:val="18"/>
                <w:szCs w:val="18"/>
              </w:rPr>
              <w:t>。</w:t>
            </w:r>
            <w:r>
              <w:rPr>
                <w:rFonts w:cs="Times New Roman"/>
                <w:snapToGrid w:val="0"/>
                <w:kern w:val="0"/>
                <w:sz w:val="18"/>
                <w:szCs w:val="18"/>
              </w:rPr>
              <w:t>均为沿线两侧未利用的盐碱荒地或风积沙荒地</w:t>
            </w:r>
            <w:r>
              <w:rPr>
                <w:rFonts w:cs="Times New Roman"/>
                <w:snapToGrid w:val="0"/>
                <w:kern w:val="0"/>
                <w:sz w:val="18"/>
                <w:szCs w:val="18"/>
              </w:rPr>
              <w:t>。</w:t>
            </w:r>
            <w:r>
              <w:rPr>
                <w:rFonts w:cs="Times New Roman"/>
                <w:snapToGrid w:val="0"/>
                <w:kern w:val="0"/>
                <w:sz w:val="18"/>
                <w:szCs w:val="18"/>
              </w:rPr>
              <w:t>改扩建路段铣刨及挖除的废旧沥青运至五十一团沥青养护站进行回收利用</w:t>
            </w:r>
            <w:r>
              <w:rPr>
                <w:rFonts w:cs="Times New Roman"/>
                <w:bCs/>
                <w:sz w:val="18"/>
                <w:szCs w:val="18"/>
              </w:rPr>
              <w:t>，上路桩号</w:t>
            </w:r>
            <w:r>
              <w:rPr>
                <w:rFonts w:cs="Times New Roman"/>
                <w:bCs/>
                <w:sz w:val="18"/>
                <w:szCs w:val="18"/>
              </w:rPr>
              <w:t>K0+000</w:t>
            </w:r>
            <w:r>
              <w:rPr>
                <w:rFonts w:cs="Times New Roman"/>
                <w:bCs/>
                <w:sz w:val="18"/>
                <w:szCs w:val="18"/>
              </w:rPr>
              <w:t>，上路运距</w:t>
            </w:r>
            <w:r>
              <w:rPr>
                <w:rFonts w:cs="Times New Roman"/>
                <w:bCs/>
                <w:sz w:val="18"/>
                <w:szCs w:val="18"/>
              </w:rPr>
              <w:t>22.6km</w:t>
            </w:r>
            <w:r>
              <w:rPr>
                <w:rFonts w:cs="Times New Roman"/>
                <w:bCs/>
                <w:sz w:val="18"/>
                <w:szCs w:val="18"/>
              </w:rPr>
              <w:t>。</w:t>
            </w:r>
          </w:p>
        </w:tc>
      </w:tr>
      <w:tr w:rsidR="00A46452">
        <w:trPr>
          <w:trHeight w:val="532"/>
        </w:trPr>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综合站场</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设</w:t>
            </w:r>
            <w:r>
              <w:rPr>
                <w:rFonts w:cs="Times New Roman"/>
                <w:bCs/>
                <w:sz w:val="18"/>
                <w:szCs w:val="18"/>
              </w:rPr>
              <w:t>3</w:t>
            </w:r>
            <w:r>
              <w:rPr>
                <w:rFonts w:cs="Times New Roman"/>
                <w:bCs/>
                <w:sz w:val="18"/>
                <w:szCs w:val="18"/>
              </w:rPr>
              <w:t>个综合</w:t>
            </w:r>
            <w:r>
              <w:rPr>
                <w:rFonts w:cs="Times New Roman"/>
                <w:bCs/>
                <w:sz w:val="18"/>
                <w:szCs w:val="18"/>
              </w:rPr>
              <w:t>站场</w:t>
            </w:r>
            <w:r>
              <w:rPr>
                <w:rFonts w:cs="Times New Roman"/>
                <w:bCs/>
                <w:sz w:val="18"/>
                <w:szCs w:val="18"/>
              </w:rPr>
              <w:t>，</w:t>
            </w:r>
            <w:r>
              <w:rPr>
                <w:rFonts w:cs="Times New Roman"/>
                <w:bCs/>
                <w:sz w:val="18"/>
                <w:szCs w:val="18"/>
              </w:rPr>
              <w:t>均为</w:t>
            </w:r>
            <w:r>
              <w:rPr>
                <w:rFonts w:cs="Times New Roman"/>
                <w:sz w:val="18"/>
                <w:szCs w:val="18"/>
              </w:rPr>
              <w:t>三站合一综合站设置沥青拌和站、水稳拌和站、预制梁场</w:t>
            </w:r>
            <w:r>
              <w:rPr>
                <w:rFonts w:cs="Times New Roman"/>
                <w:bCs/>
                <w:sz w:val="18"/>
                <w:szCs w:val="18"/>
              </w:rPr>
              <w:t>。第一处位于第三师图木舒克市</w:t>
            </w:r>
            <w:r>
              <w:rPr>
                <w:rFonts w:cs="Times New Roman"/>
                <w:bCs/>
                <w:sz w:val="18"/>
                <w:szCs w:val="18"/>
              </w:rPr>
              <w:t>50</w:t>
            </w:r>
            <w:r>
              <w:rPr>
                <w:rFonts w:cs="Times New Roman"/>
                <w:bCs/>
                <w:sz w:val="18"/>
                <w:szCs w:val="18"/>
              </w:rPr>
              <w:t>团，在路线桩号</w:t>
            </w:r>
            <w:r>
              <w:rPr>
                <w:rFonts w:cs="Times New Roman"/>
                <w:bCs/>
                <w:sz w:val="18"/>
                <w:szCs w:val="18"/>
              </w:rPr>
              <w:t>K14+300</w:t>
            </w:r>
            <w:r>
              <w:rPr>
                <w:rFonts w:cs="Times New Roman"/>
                <w:bCs/>
                <w:sz w:val="18"/>
                <w:szCs w:val="18"/>
              </w:rPr>
              <w:t>处附近</w:t>
            </w:r>
            <w:r>
              <w:rPr>
                <w:rFonts w:cs="Times New Roman"/>
                <w:bCs/>
                <w:sz w:val="18"/>
                <w:szCs w:val="18"/>
              </w:rPr>
              <w:t>0.5km</w:t>
            </w:r>
            <w:r>
              <w:rPr>
                <w:rFonts w:cs="Times New Roman"/>
                <w:bCs/>
                <w:sz w:val="18"/>
                <w:szCs w:val="18"/>
              </w:rPr>
              <w:t>新建沥青拌合站、水稳拌合站及构件预制场；第二处位于第三师</w:t>
            </w:r>
            <w:r>
              <w:rPr>
                <w:rFonts w:cs="Times New Roman"/>
                <w:bCs/>
                <w:sz w:val="18"/>
                <w:szCs w:val="18"/>
              </w:rPr>
              <w:t>53</w:t>
            </w:r>
            <w:r>
              <w:rPr>
                <w:rFonts w:cs="Times New Roman"/>
                <w:bCs/>
                <w:sz w:val="18"/>
                <w:szCs w:val="18"/>
              </w:rPr>
              <w:t>团，在路线桩号</w:t>
            </w:r>
            <w:r>
              <w:rPr>
                <w:rFonts w:cs="Times New Roman"/>
                <w:bCs/>
                <w:sz w:val="18"/>
                <w:szCs w:val="18"/>
              </w:rPr>
              <w:t>K28+500</w:t>
            </w:r>
            <w:r>
              <w:rPr>
                <w:rFonts w:cs="Times New Roman"/>
                <w:bCs/>
                <w:sz w:val="18"/>
                <w:szCs w:val="18"/>
              </w:rPr>
              <w:t>处附近</w:t>
            </w:r>
            <w:r>
              <w:rPr>
                <w:rFonts w:cs="Times New Roman"/>
                <w:bCs/>
                <w:sz w:val="18"/>
                <w:szCs w:val="18"/>
              </w:rPr>
              <w:t>0.5km</w:t>
            </w:r>
            <w:r>
              <w:rPr>
                <w:rFonts w:cs="Times New Roman"/>
                <w:bCs/>
                <w:sz w:val="18"/>
                <w:szCs w:val="18"/>
              </w:rPr>
              <w:t>新建沥青拌合站、水稳拌合站及构件预制场一处；第三处位于柯坪县，在路线桩号</w:t>
            </w:r>
            <w:r>
              <w:rPr>
                <w:rFonts w:cs="Times New Roman"/>
                <w:bCs/>
                <w:sz w:val="18"/>
                <w:szCs w:val="18"/>
              </w:rPr>
              <w:t>K78+600</w:t>
            </w:r>
            <w:r>
              <w:rPr>
                <w:rFonts w:cs="Times New Roman"/>
                <w:bCs/>
                <w:sz w:val="18"/>
                <w:szCs w:val="18"/>
              </w:rPr>
              <w:t>处附近</w:t>
            </w:r>
            <w:r>
              <w:rPr>
                <w:rFonts w:cs="Times New Roman"/>
                <w:bCs/>
                <w:sz w:val="18"/>
                <w:szCs w:val="18"/>
              </w:rPr>
              <w:t>0.5km</w:t>
            </w:r>
            <w:r>
              <w:rPr>
                <w:rFonts w:cs="Times New Roman"/>
                <w:bCs/>
                <w:sz w:val="18"/>
                <w:szCs w:val="18"/>
              </w:rPr>
              <w:t>新建沥青拌合站、水稳拌合站及构件预制场一处</w:t>
            </w:r>
          </w:p>
        </w:tc>
      </w:tr>
      <w:tr w:rsidR="00A46452">
        <w:tc>
          <w:tcPr>
            <w:tcW w:w="412" w:type="pct"/>
            <w:vMerge w:val="restar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辅助</w:t>
            </w:r>
          </w:p>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工程</w:t>
            </w: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用水</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施工用水可从柯坪县、阿恰勒镇及图木舒克市拉运，施工用水全线平均运距</w:t>
            </w:r>
            <w:r>
              <w:rPr>
                <w:rFonts w:cs="Times New Roman"/>
                <w:bCs/>
                <w:sz w:val="18"/>
                <w:szCs w:val="18"/>
              </w:rPr>
              <w:t>12km</w:t>
            </w:r>
            <w:r>
              <w:rPr>
                <w:rFonts w:cs="Times New Roman"/>
                <w:bCs/>
                <w:sz w:val="18"/>
                <w:szCs w:val="18"/>
              </w:rPr>
              <w:t>。</w:t>
            </w:r>
          </w:p>
        </w:tc>
      </w:tr>
      <w:tr w:rsidR="00A46452">
        <w:trPr>
          <w:trHeight w:val="270"/>
        </w:trPr>
        <w:tc>
          <w:tcPr>
            <w:tcW w:w="412" w:type="pct"/>
            <w:vMerge/>
            <w:vAlign w:val="center"/>
          </w:tcPr>
          <w:p w:rsidR="00A46452" w:rsidRDefault="00A46452">
            <w:pPr>
              <w:wordWrap w:val="0"/>
              <w:topLinePunct/>
              <w:adjustRightInd w:val="0"/>
              <w:snapToGrid w:val="0"/>
              <w:spacing w:line="320" w:lineRule="exact"/>
              <w:ind w:firstLineChars="0" w:firstLine="0"/>
              <w:jc w:val="center"/>
              <w:rPr>
                <w:rFonts w:cs="Times New Roman"/>
                <w:bCs/>
                <w:sz w:val="18"/>
                <w:szCs w:val="18"/>
              </w:rPr>
            </w:pPr>
          </w:p>
        </w:tc>
        <w:tc>
          <w:tcPr>
            <w:tcW w:w="717" w:type="pc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用电</w:t>
            </w:r>
          </w:p>
        </w:tc>
        <w:tc>
          <w:tcPr>
            <w:tcW w:w="3869" w:type="pct"/>
            <w:vAlign w:val="center"/>
          </w:tcPr>
          <w:p w:rsidR="00A46452" w:rsidRDefault="009A3928">
            <w:pPr>
              <w:wordWrap w:val="0"/>
              <w:topLinePunct/>
              <w:adjustRightInd w:val="0"/>
              <w:snapToGrid w:val="0"/>
              <w:spacing w:line="320" w:lineRule="exact"/>
              <w:ind w:firstLineChars="0" w:firstLine="0"/>
              <w:rPr>
                <w:rFonts w:cs="Times New Roman"/>
                <w:bCs/>
                <w:sz w:val="18"/>
                <w:szCs w:val="18"/>
              </w:rPr>
            </w:pPr>
            <w:r>
              <w:rPr>
                <w:rFonts w:cs="Times New Roman"/>
                <w:bCs/>
                <w:sz w:val="18"/>
                <w:szCs w:val="18"/>
              </w:rPr>
              <w:t>沿线电网较发达，施工营地生活用电可与电力供应部门联系，施工用电拟采用工地自发电。</w:t>
            </w:r>
          </w:p>
        </w:tc>
      </w:tr>
      <w:tr w:rsidR="00A46452">
        <w:tc>
          <w:tcPr>
            <w:tcW w:w="412" w:type="pct"/>
            <w:vMerge w:val="restart"/>
            <w:vAlign w:val="center"/>
          </w:tcPr>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环保</w:t>
            </w:r>
          </w:p>
          <w:p w:rsidR="00A46452" w:rsidRDefault="009A3928">
            <w:pPr>
              <w:wordWrap w:val="0"/>
              <w:topLinePunct/>
              <w:adjustRightInd w:val="0"/>
              <w:snapToGrid w:val="0"/>
              <w:spacing w:line="320" w:lineRule="exact"/>
              <w:ind w:firstLineChars="0" w:firstLine="0"/>
              <w:jc w:val="center"/>
              <w:rPr>
                <w:rFonts w:cs="Times New Roman"/>
                <w:bCs/>
                <w:sz w:val="18"/>
                <w:szCs w:val="18"/>
              </w:rPr>
            </w:pPr>
            <w:r>
              <w:rPr>
                <w:rFonts w:cs="Times New Roman"/>
                <w:bCs/>
                <w:sz w:val="18"/>
                <w:szCs w:val="18"/>
              </w:rPr>
              <w:t>工程</w:t>
            </w: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废气治理</w:t>
            </w:r>
          </w:p>
        </w:tc>
        <w:tc>
          <w:tcPr>
            <w:tcW w:w="3869" w:type="pct"/>
            <w:vAlign w:val="center"/>
          </w:tcPr>
          <w:p w:rsidR="00A46452" w:rsidRDefault="009A3928">
            <w:pPr>
              <w:wordWrap w:val="0"/>
              <w:spacing w:line="320" w:lineRule="exact"/>
              <w:ind w:firstLineChars="0" w:firstLine="0"/>
              <w:rPr>
                <w:rFonts w:cs="Times New Roman"/>
                <w:snapToGrid w:val="0"/>
                <w:sz w:val="18"/>
                <w:szCs w:val="18"/>
              </w:rPr>
            </w:pPr>
            <w:r>
              <w:rPr>
                <w:rFonts w:cs="Times New Roman"/>
                <w:sz w:val="18"/>
                <w:szCs w:val="18"/>
              </w:rPr>
              <w:t>施工期洒水降尘；站场封闭，拌和站布袋除尘、沥青烟气活性炭吸附等。</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废水治理</w:t>
            </w:r>
          </w:p>
        </w:tc>
        <w:tc>
          <w:tcPr>
            <w:tcW w:w="3869" w:type="pct"/>
            <w:vAlign w:val="center"/>
          </w:tcPr>
          <w:p w:rsidR="00A46452" w:rsidRDefault="009A3928">
            <w:pPr>
              <w:wordWrap w:val="0"/>
              <w:spacing w:line="320" w:lineRule="exact"/>
              <w:ind w:firstLineChars="0" w:firstLine="0"/>
              <w:rPr>
                <w:rFonts w:cs="Times New Roman"/>
                <w:snapToGrid w:val="0"/>
                <w:sz w:val="18"/>
                <w:szCs w:val="18"/>
              </w:rPr>
            </w:pPr>
            <w:r>
              <w:rPr>
                <w:rFonts w:cs="Times New Roman"/>
                <w:snapToGrid w:val="0"/>
                <w:kern w:val="0"/>
                <w:sz w:val="18"/>
                <w:szCs w:val="18"/>
              </w:rPr>
              <w:t>施工期生产废水设置隔油沉淀池</w:t>
            </w:r>
            <w:r>
              <w:rPr>
                <w:rFonts w:cs="Times New Roman"/>
                <w:snapToGrid w:val="0"/>
                <w:kern w:val="0"/>
                <w:sz w:val="18"/>
                <w:szCs w:val="18"/>
              </w:rPr>
              <w:t>，</w:t>
            </w:r>
            <w:r>
              <w:rPr>
                <w:rFonts w:cs="Times New Roman"/>
                <w:snapToGrid w:val="0"/>
                <w:kern w:val="0"/>
                <w:sz w:val="18"/>
                <w:szCs w:val="18"/>
              </w:rPr>
              <w:t>自建的施工营地生活污水集中收集经一体化污水处理设施经处理后，用于周边荒漠植被灌溉。</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噪声治理</w:t>
            </w:r>
          </w:p>
        </w:tc>
        <w:tc>
          <w:tcPr>
            <w:tcW w:w="3869" w:type="pct"/>
            <w:vAlign w:val="center"/>
          </w:tcPr>
          <w:p w:rsidR="00A46452" w:rsidRDefault="009A3928">
            <w:pPr>
              <w:wordWrap w:val="0"/>
              <w:spacing w:line="320" w:lineRule="exact"/>
              <w:ind w:firstLineChars="0" w:firstLine="0"/>
              <w:rPr>
                <w:rFonts w:cs="Times New Roman"/>
                <w:snapToGrid w:val="0"/>
                <w:sz w:val="18"/>
                <w:szCs w:val="18"/>
              </w:rPr>
            </w:pPr>
            <w:r>
              <w:rPr>
                <w:rFonts w:cs="Times New Roman"/>
                <w:sz w:val="18"/>
                <w:szCs w:val="18"/>
              </w:rPr>
              <w:t>设置声屏障、设置限速、禁鸣标志。</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固废治理</w:t>
            </w:r>
          </w:p>
        </w:tc>
        <w:tc>
          <w:tcPr>
            <w:tcW w:w="3869" w:type="pct"/>
            <w:vAlign w:val="center"/>
          </w:tcPr>
          <w:p w:rsidR="00A46452" w:rsidRDefault="009A3928">
            <w:pPr>
              <w:wordWrap w:val="0"/>
              <w:spacing w:line="320" w:lineRule="exact"/>
              <w:ind w:firstLineChars="0" w:firstLine="0"/>
              <w:rPr>
                <w:rFonts w:cs="Times New Roman"/>
                <w:snapToGrid w:val="0"/>
                <w:sz w:val="18"/>
                <w:szCs w:val="18"/>
              </w:rPr>
            </w:pPr>
            <w:r>
              <w:rPr>
                <w:rFonts w:cs="Times New Roman"/>
                <w:sz w:val="18"/>
                <w:szCs w:val="18"/>
              </w:rPr>
              <w:t>施工期弃土运至弃土场，建筑垃圾运至附近指定地点填埋处置；生活垃圾统一收集后，清运至周边团场生活垃圾填埋场处置；公路养护单位通过冷再生机组加工后作为水稳层骨料用于其他低等级道路铺筑利用；施工站场废活性炭交由有资质单位处置</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生态保护</w:t>
            </w:r>
          </w:p>
        </w:tc>
        <w:tc>
          <w:tcPr>
            <w:tcW w:w="3869" w:type="pct"/>
            <w:vAlign w:val="center"/>
          </w:tcPr>
          <w:p w:rsidR="00A46452" w:rsidRDefault="009A3928">
            <w:pPr>
              <w:wordWrap w:val="0"/>
              <w:spacing w:line="320" w:lineRule="exact"/>
              <w:ind w:firstLineChars="0" w:firstLine="0"/>
              <w:rPr>
                <w:rFonts w:cs="Times New Roman"/>
                <w:snapToGrid w:val="0"/>
                <w:sz w:val="18"/>
                <w:szCs w:val="18"/>
              </w:rPr>
            </w:pPr>
            <w:r>
              <w:rPr>
                <w:rFonts w:cs="Times New Roman"/>
                <w:sz w:val="18"/>
                <w:szCs w:val="18"/>
              </w:rPr>
              <w:t>降低路基，收紧边坡，减少占地（特别是耕地、林地）、防沙治沙、水土保持、临时占地恢复、公路绿化等措施</w:t>
            </w:r>
          </w:p>
        </w:tc>
      </w:tr>
      <w:tr w:rsidR="00A46452">
        <w:tc>
          <w:tcPr>
            <w:tcW w:w="412" w:type="pct"/>
            <w:vMerge/>
            <w:vAlign w:val="center"/>
          </w:tcPr>
          <w:p w:rsidR="00A46452" w:rsidRDefault="00A46452">
            <w:pPr>
              <w:wordWrap w:val="0"/>
              <w:topLinePunct/>
              <w:adjustRightInd w:val="0"/>
              <w:snapToGrid w:val="0"/>
              <w:spacing w:line="320" w:lineRule="exact"/>
              <w:ind w:firstLineChars="0" w:firstLine="0"/>
              <w:rPr>
                <w:rFonts w:cs="Times New Roman"/>
                <w:bCs/>
                <w:sz w:val="18"/>
                <w:szCs w:val="18"/>
              </w:rPr>
            </w:pPr>
          </w:p>
        </w:tc>
        <w:tc>
          <w:tcPr>
            <w:tcW w:w="717" w:type="pct"/>
            <w:vAlign w:val="center"/>
          </w:tcPr>
          <w:p w:rsidR="00A46452" w:rsidRDefault="009A3928">
            <w:pPr>
              <w:wordWrap w:val="0"/>
              <w:spacing w:line="320" w:lineRule="exact"/>
              <w:ind w:firstLineChars="0" w:firstLine="0"/>
              <w:jc w:val="center"/>
              <w:rPr>
                <w:rFonts w:cs="Times New Roman"/>
                <w:snapToGrid w:val="0"/>
                <w:sz w:val="18"/>
                <w:szCs w:val="18"/>
              </w:rPr>
            </w:pPr>
            <w:r>
              <w:rPr>
                <w:rFonts w:cs="Times New Roman"/>
                <w:sz w:val="18"/>
                <w:szCs w:val="18"/>
              </w:rPr>
              <w:t>事故风险防范</w:t>
            </w:r>
          </w:p>
        </w:tc>
        <w:tc>
          <w:tcPr>
            <w:tcW w:w="3869" w:type="pct"/>
            <w:vAlign w:val="center"/>
          </w:tcPr>
          <w:p w:rsidR="00A46452" w:rsidRDefault="009A3928">
            <w:pPr>
              <w:tabs>
                <w:tab w:val="left" w:pos="2157"/>
              </w:tabs>
              <w:wordWrap w:val="0"/>
              <w:spacing w:line="320" w:lineRule="exact"/>
              <w:ind w:firstLineChars="0" w:firstLine="0"/>
              <w:rPr>
                <w:rFonts w:cs="Times New Roman"/>
                <w:snapToGrid w:val="0"/>
                <w:sz w:val="18"/>
                <w:szCs w:val="18"/>
              </w:rPr>
            </w:pPr>
            <w:r>
              <w:rPr>
                <w:rFonts w:cs="Times New Roman"/>
                <w:sz w:val="18"/>
                <w:szCs w:val="18"/>
              </w:rPr>
              <w:t>跨越桥梁设置防撞型护栏</w:t>
            </w:r>
            <w:r>
              <w:rPr>
                <w:rFonts w:cs="Times New Roman"/>
                <w:sz w:val="18"/>
                <w:szCs w:val="18"/>
              </w:rPr>
              <w:t>。</w:t>
            </w:r>
          </w:p>
        </w:tc>
      </w:tr>
    </w:tbl>
    <w:p w:rsidR="00A46452" w:rsidRDefault="00A46452" w:rsidP="00182EED">
      <w:pPr>
        <w:wordWrap w:val="0"/>
        <w:topLinePunct/>
        <w:adjustRightInd w:val="0"/>
        <w:snapToGrid w:val="0"/>
        <w:ind w:firstLine="480"/>
        <w:jc w:val="left"/>
        <w:rPr>
          <w:rFonts w:cs="Times New Roman"/>
        </w:rPr>
        <w:sectPr w:rsidR="00A46452">
          <w:pgSz w:w="11906" w:h="16838"/>
          <w:pgMar w:top="1440" w:right="1797" w:bottom="1440" w:left="1797" w:header="851" w:footer="992" w:gutter="0"/>
          <w:cols w:space="425"/>
          <w:docGrid w:linePitch="312"/>
        </w:sectPr>
      </w:pP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4.2.2</w:t>
      </w:r>
      <w:r>
        <w:rPr>
          <w:rFonts w:cs="Times New Roman" w:hint="default"/>
          <w:sz w:val="28"/>
          <w:szCs w:val="28"/>
        </w:rPr>
        <w:t>主要技术指标</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rPr>
        <w:t>本项目依据在路网中的功能定位、远景交通量结合沿线地形、地貌等情况，利用路段桩号为</w:t>
      </w:r>
      <w:r>
        <w:rPr>
          <w:rFonts w:cs="Times New Roman"/>
          <w:kern w:val="0"/>
          <w:szCs w:val="24"/>
          <w:lang w:bidi="ar"/>
        </w:rPr>
        <w:t>K0+000</w:t>
      </w:r>
      <w:r>
        <w:rPr>
          <w:rFonts w:cs="Times New Roman"/>
          <w:kern w:val="0"/>
          <w:szCs w:val="24"/>
          <w:lang w:bidi="ar"/>
        </w:rPr>
        <w:t>~</w:t>
      </w:r>
      <w:r>
        <w:rPr>
          <w:rFonts w:cs="Times New Roman"/>
          <w:kern w:val="0"/>
          <w:szCs w:val="24"/>
          <w:lang w:bidi="ar"/>
        </w:rPr>
        <w:t>K3+</w:t>
      </w:r>
      <w:r>
        <w:rPr>
          <w:rFonts w:cs="Times New Roman"/>
          <w:kern w:val="0"/>
          <w:szCs w:val="24"/>
          <w:lang w:bidi="ar"/>
        </w:rPr>
        <w:t>3</w:t>
      </w:r>
      <w:r>
        <w:rPr>
          <w:rFonts w:cs="Times New Roman"/>
          <w:kern w:val="0"/>
          <w:szCs w:val="24"/>
          <w:lang w:bidi="ar"/>
        </w:rPr>
        <w:t>00</w:t>
      </w:r>
      <w:r>
        <w:rPr>
          <w:rFonts w:cs="Times New Roman"/>
          <w:kern w:val="0"/>
          <w:szCs w:val="24"/>
          <w:lang w:bidi="ar"/>
        </w:rPr>
        <w:t>段、</w:t>
      </w:r>
      <w:r>
        <w:rPr>
          <w:rFonts w:cs="Times New Roman"/>
          <w:kern w:val="0"/>
          <w:szCs w:val="24"/>
          <w:lang w:bidi="ar"/>
        </w:rPr>
        <w:t>K8</w:t>
      </w:r>
      <w:r>
        <w:rPr>
          <w:rFonts w:cs="Times New Roman"/>
          <w:kern w:val="0"/>
          <w:szCs w:val="24"/>
          <w:lang w:bidi="ar"/>
        </w:rPr>
        <w:t>1</w:t>
      </w:r>
      <w:r>
        <w:rPr>
          <w:rFonts w:cs="Times New Roman"/>
          <w:kern w:val="0"/>
          <w:szCs w:val="24"/>
          <w:lang w:bidi="ar"/>
        </w:rPr>
        <w:t>+</w:t>
      </w:r>
      <w:r>
        <w:rPr>
          <w:rFonts w:cs="Times New Roman"/>
          <w:kern w:val="0"/>
          <w:szCs w:val="24"/>
          <w:lang w:bidi="ar"/>
        </w:rPr>
        <w:t>940~</w:t>
      </w:r>
      <w:r>
        <w:rPr>
          <w:rFonts w:cs="Times New Roman"/>
          <w:kern w:val="0"/>
          <w:szCs w:val="24"/>
          <w:lang w:bidi="ar"/>
        </w:rPr>
        <w:t>K8</w:t>
      </w:r>
      <w:r>
        <w:rPr>
          <w:rFonts w:cs="Times New Roman"/>
          <w:kern w:val="0"/>
          <w:szCs w:val="24"/>
          <w:lang w:bidi="ar"/>
        </w:rPr>
        <w:t>3</w:t>
      </w:r>
      <w:r>
        <w:rPr>
          <w:rFonts w:cs="Times New Roman"/>
          <w:kern w:val="0"/>
          <w:szCs w:val="24"/>
          <w:lang w:bidi="ar"/>
        </w:rPr>
        <w:t>+</w:t>
      </w:r>
      <w:r>
        <w:rPr>
          <w:rFonts w:cs="Times New Roman"/>
          <w:kern w:val="0"/>
          <w:szCs w:val="24"/>
          <w:lang w:bidi="ar"/>
        </w:rPr>
        <w:t>380</w:t>
      </w:r>
      <w:r>
        <w:rPr>
          <w:rFonts w:cs="Times New Roman"/>
          <w:kern w:val="0"/>
          <w:szCs w:val="24"/>
          <w:lang w:bidi="ar"/>
        </w:rPr>
        <w:t>段</w:t>
      </w:r>
      <w:r>
        <w:rPr>
          <w:rFonts w:cs="Times New Roman"/>
          <w:kern w:val="0"/>
          <w:szCs w:val="24"/>
          <w:lang w:bidi="ar"/>
        </w:rPr>
        <w:t>、</w:t>
      </w:r>
      <w:r>
        <w:rPr>
          <w:rFonts w:cs="Times New Roman"/>
          <w:kern w:val="0"/>
          <w:szCs w:val="24"/>
          <w:lang w:bidi="ar"/>
        </w:rPr>
        <w:t>K104+380~K105+566</w:t>
      </w:r>
      <w:r>
        <w:rPr>
          <w:rFonts w:cs="Times New Roman"/>
          <w:kern w:val="0"/>
          <w:szCs w:val="24"/>
          <w:lang w:bidi="ar"/>
        </w:rPr>
        <w:t>段，</w:t>
      </w:r>
      <w:r>
        <w:rPr>
          <w:rFonts w:cs="Times New Roman"/>
          <w:kern w:val="0"/>
          <w:szCs w:val="24"/>
          <w:lang w:bidi="ar"/>
        </w:rPr>
        <w:t>共长</w:t>
      </w:r>
      <w:r>
        <w:rPr>
          <w:rFonts w:cs="Times New Roman"/>
          <w:kern w:val="0"/>
          <w:szCs w:val="24"/>
          <w:lang w:bidi="ar"/>
        </w:rPr>
        <w:t>5.</w:t>
      </w:r>
      <w:r>
        <w:rPr>
          <w:rFonts w:cs="Times New Roman"/>
          <w:kern w:val="0"/>
          <w:szCs w:val="24"/>
          <w:lang w:bidi="ar"/>
        </w:rPr>
        <w:t>9</w:t>
      </w:r>
      <w:r>
        <w:rPr>
          <w:rFonts w:cs="Times New Roman"/>
          <w:kern w:val="0"/>
          <w:szCs w:val="24"/>
          <w:lang w:bidi="ar"/>
        </w:rPr>
        <w:t>2</w:t>
      </w:r>
      <w:r>
        <w:rPr>
          <w:rFonts w:cs="Times New Roman"/>
          <w:kern w:val="0"/>
          <w:szCs w:val="24"/>
          <w:lang w:bidi="ar"/>
        </w:rPr>
        <w:t>6</w:t>
      </w:r>
      <w:r>
        <w:rPr>
          <w:rFonts w:cs="Times New Roman"/>
          <w:kern w:val="0"/>
          <w:szCs w:val="24"/>
          <w:lang w:bidi="ar"/>
        </w:rPr>
        <w:t>km</w:t>
      </w:r>
      <w:r>
        <w:rPr>
          <w:rFonts w:cs="Times New Roman"/>
          <w:kern w:val="0"/>
          <w:szCs w:val="24"/>
          <w:lang w:bidi="ar"/>
        </w:rPr>
        <w:t>，</w:t>
      </w:r>
      <w:r>
        <w:rPr>
          <w:rFonts w:cs="Times New Roman"/>
        </w:rPr>
        <w:t>对利用路段进行改扩建，其余路段为新建路段</w:t>
      </w:r>
      <w:r>
        <w:rPr>
          <w:rFonts w:cs="Times New Roman"/>
        </w:rPr>
        <w:t>。</w:t>
      </w:r>
      <w:r>
        <w:rPr>
          <w:rFonts w:cs="Times New Roman"/>
        </w:rPr>
        <w:t>公路等级为二级公路，</w:t>
      </w:r>
      <w:r>
        <w:rPr>
          <w:rFonts w:cs="Times New Roman"/>
          <w:kern w:val="0"/>
          <w:szCs w:val="24"/>
          <w:lang w:bidi="ar"/>
        </w:rPr>
        <w:t>K0+000</w:t>
      </w:r>
      <w:r>
        <w:rPr>
          <w:rFonts w:cs="Times New Roman"/>
          <w:kern w:val="0"/>
          <w:szCs w:val="24"/>
          <w:lang w:bidi="ar"/>
        </w:rPr>
        <w:t>~</w:t>
      </w:r>
      <w:r>
        <w:rPr>
          <w:rFonts w:cs="Times New Roman"/>
          <w:kern w:val="0"/>
          <w:szCs w:val="24"/>
          <w:lang w:bidi="ar"/>
        </w:rPr>
        <w:t>K</w:t>
      </w:r>
      <w:r>
        <w:rPr>
          <w:rFonts w:cs="Times New Roman"/>
          <w:kern w:val="0"/>
          <w:szCs w:val="24"/>
          <w:lang w:bidi="ar"/>
        </w:rPr>
        <w:t>3</w:t>
      </w:r>
      <w:r>
        <w:rPr>
          <w:rFonts w:cs="Times New Roman"/>
          <w:kern w:val="0"/>
          <w:szCs w:val="24"/>
          <w:lang w:bidi="ar"/>
        </w:rPr>
        <w:t>+</w:t>
      </w:r>
      <w:r>
        <w:rPr>
          <w:rFonts w:cs="Times New Roman"/>
          <w:kern w:val="0"/>
          <w:szCs w:val="24"/>
          <w:lang w:bidi="ar"/>
        </w:rPr>
        <w:t>300</w:t>
      </w:r>
      <w:r>
        <w:rPr>
          <w:rFonts w:cs="Times New Roman"/>
          <w:kern w:val="0"/>
          <w:szCs w:val="24"/>
          <w:lang w:bidi="ar"/>
        </w:rPr>
        <w:t>段设计速度</w:t>
      </w:r>
      <w:r>
        <w:rPr>
          <w:rFonts w:cs="Times New Roman"/>
          <w:kern w:val="0"/>
          <w:szCs w:val="24"/>
          <w:lang w:bidi="ar"/>
        </w:rPr>
        <w:t>60km/h</w:t>
      </w:r>
      <w:r>
        <w:rPr>
          <w:rFonts w:cs="Times New Roman"/>
          <w:kern w:val="0"/>
          <w:szCs w:val="24"/>
          <w:lang w:bidi="ar"/>
        </w:rPr>
        <w:t>，路基宽度</w:t>
      </w:r>
      <w:r>
        <w:rPr>
          <w:rFonts w:cs="Times New Roman"/>
          <w:kern w:val="0"/>
          <w:szCs w:val="24"/>
          <w:lang w:bidi="ar"/>
        </w:rPr>
        <w:t>17.5</w:t>
      </w:r>
      <w:r>
        <w:rPr>
          <w:rFonts w:cs="Times New Roman"/>
          <w:kern w:val="0"/>
          <w:szCs w:val="24"/>
          <w:lang w:bidi="ar"/>
        </w:rPr>
        <w:t>m</w:t>
      </w:r>
      <w:r>
        <w:rPr>
          <w:rFonts w:cs="Times New Roman"/>
          <w:kern w:val="0"/>
          <w:szCs w:val="24"/>
          <w:lang w:bidi="ar"/>
        </w:rPr>
        <w:t>；</w:t>
      </w:r>
      <w:r>
        <w:rPr>
          <w:rFonts w:cs="Times New Roman"/>
          <w:kern w:val="0"/>
          <w:szCs w:val="24"/>
          <w:lang w:bidi="ar"/>
        </w:rPr>
        <w:t>K</w:t>
      </w:r>
      <w:r>
        <w:rPr>
          <w:rFonts w:cs="Times New Roman"/>
          <w:kern w:val="0"/>
          <w:szCs w:val="24"/>
          <w:lang w:bidi="ar"/>
        </w:rPr>
        <w:t>3</w:t>
      </w:r>
      <w:r>
        <w:rPr>
          <w:rFonts w:cs="Times New Roman"/>
          <w:kern w:val="0"/>
          <w:szCs w:val="24"/>
          <w:lang w:bidi="ar"/>
        </w:rPr>
        <w:t>+</w:t>
      </w:r>
      <w:r>
        <w:rPr>
          <w:rFonts w:cs="Times New Roman"/>
          <w:kern w:val="0"/>
          <w:szCs w:val="24"/>
          <w:lang w:bidi="ar"/>
        </w:rPr>
        <w:t>300~</w:t>
      </w:r>
      <w:r>
        <w:rPr>
          <w:rFonts w:cs="Times New Roman"/>
          <w:kern w:val="0"/>
          <w:szCs w:val="24"/>
          <w:lang w:bidi="ar"/>
        </w:rPr>
        <w:t>K10</w:t>
      </w:r>
      <w:r>
        <w:rPr>
          <w:rFonts w:cs="Times New Roman"/>
          <w:kern w:val="0"/>
          <w:szCs w:val="24"/>
          <w:lang w:bidi="ar"/>
        </w:rPr>
        <w:t>7</w:t>
      </w:r>
      <w:r>
        <w:rPr>
          <w:rFonts w:cs="Times New Roman"/>
          <w:kern w:val="0"/>
          <w:szCs w:val="24"/>
          <w:lang w:bidi="ar"/>
        </w:rPr>
        <w:t>+</w:t>
      </w:r>
      <w:r>
        <w:rPr>
          <w:rFonts w:cs="Times New Roman"/>
          <w:kern w:val="0"/>
          <w:szCs w:val="24"/>
          <w:lang w:bidi="ar"/>
        </w:rPr>
        <w:t>177</w:t>
      </w:r>
      <w:r>
        <w:rPr>
          <w:rFonts w:cs="Times New Roman"/>
          <w:kern w:val="0"/>
          <w:szCs w:val="24"/>
          <w:lang w:bidi="ar"/>
        </w:rPr>
        <w:t>段设计速度</w:t>
      </w:r>
      <w:r>
        <w:rPr>
          <w:rFonts w:cs="Times New Roman"/>
          <w:kern w:val="0"/>
          <w:szCs w:val="24"/>
          <w:lang w:bidi="ar"/>
        </w:rPr>
        <w:t>80km/h</w:t>
      </w:r>
      <w:r>
        <w:rPr>
          <w:rFonts w:cs="Times New Roman"/>
          <w:kern w:val="0"/>
          <w:szCs w:val="24"/>
          <w:lang w:bidi="ar"/>
        </w:rPr>
        <w:t>，路基宽度</w:t>
      </w:r>
      <w:r>
        <w:rPr>
          <w:rFonts w:cs="Times New Roman"/>
          <w:kern w:val="0"/>
          <w:szCs w:val="24"/>
          <w:lang w:bidi="ar"/>
        </w:rPr>
        <w:t>12.0</w:t>
      </w:r>
      <w:r>
        <w:rPr>
          <w:rFonts w:cs="Times New Roman"/>
          <w:kern w:val="0"/>
          <w:szCs w:val="24"/>
          <w:lang w:bidi="ar"/>
        </w:rPr>
        <w:t>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全线桥涵设计荷载采用公路</w:t>
      </w:r>
      <w:r>
        <w:rPr>
          <w:rFonts w:cs="Times New Roman"/>
          <w:kern w:val="0"/>
          <w:szCs w:val="24"/>
          <w:lang w:bidi="ar"/>
        </w:rPr>
        <w:t>—Ⅰ</w:t>
      </w:r>
      <w:r>
        <w:rPr>
          <w:rFonts w:cs="Times New Roman"/>
          <w:kern w:val="0"/>
          <w:szCs w:val="24"/>
          <w:lang w:bidi="ar"/>
        </w:rPr>
        <w:t>级。</w:t>
      </w:r>
      <w:r>
        <w:rPr>
          <w:rFonts w:cs="Times New Roman"/>
        </w:rPr>
        <w:t>全线共设置桥梁</w:t>
      </w:r>
      <w:r>
        <w:rPr>
          <w:rFonts w:cs="Times New Roman"/>
        </w:rPr>
        <w:t>15</w:t>
      </w:r>
      <w:r>
        <w:rPr>
          <w:rFonts w:cs="Times New Roman"/>
        </w:rPr>
        <w:t>座，</w:t>
      </w:r>
      <w:r>
        <w:rPr>
          <w:rFonts w:cs="Times New Roman"/>
        </w:rPr>
        <w:t>新建大桥</w:t>
      </w:r>
      <w:r>
        <w:rPr>
          <w:rFonts w:cs="Times New Roman"/>
        </w:rPr>
        <w:t>4</w:t>
      </w:r>
      <w:r>
        <w:rPr>
          <w:rFonts w:cs="Times New Roman"/>
        </w:rPr>
        <w:t>座</w:t>
      </w:r>
      <w:r>
        <w:rPr>
          <w:rFonts w:cs="Times New Roman"/>
        </w:rPr>
        <w:t>/767m</w:t>
      </w:r>
      <w:r>
        <w:rPr>
          <w:rFonts w:cs="Times New Roman"/>
        </w:rPr>
        <w:t>、新建中桥</w:t>
      </w:r>
      <w:r>
        <w:rPr>
          <w:rFonts w:cs="Times New Roman"/>
        </w:rPr>
        <w:t>6</w:t>
      </w:r>
      <w:r>
        <w:rPr>
          <w:rFonts w:cs="Times New Roman"/>
        </w:rPr>
        <w:t>座</w:t>
      </w:r>
      <w:r>
        <w:rPr>
          <w:rFonts w:cs="Times New Roman"/>
        </w:rPr>
        <w:t>/356m</w:t>
      </w:r>
      <w:r>
        <w:rPr>
          <w:rFonts w:cs="Times New Roman"/>
        </w:rPr>
        <w:t>、新建小桥</w:t>
      </w:r>
      <w:r>
        <w:rPr>
          <w:rFonts w:cs="Times New Roman"/>
        </w:rPr>
        <w:t>4/98m</w:t>
      </w:r>
      <w:r>
        <w:rPr>
          <w:rFonts w:cs="Times New Roman"/>
        </w:rPr>
        <w:t>、利用大桥</w:t>
      </w:r>
      <w:r>
        <w:rPr>
          <w:rFonts w:cs="Times New Roman"/>
        </w:rPr>
        <w:t>1</w:t>
      </w:r>
      <w:r>
        <w:rPr>
          <w:rFonts w:cs="Times New Roman"/>
        </w:rPr>
        <w:t>座</w:t>
      </w:r>
      <w:r>
        <w:rPr>
          <w:rFonts w:cs="Times New Roman"/>
        </w:rPr>
        <w:t>/517m</w:t>
      </w:r>
      <w:r>
        <w:rPr>
          <w:rFonts w:cs="Times New Roman"/>
        </w:rPr>
        <w:t>，</w:t>
      </w:r>
      <w:r>
        <w:rPr>
          <w:rFonts w:cs="Times New Roman"/>
        </w:rPr>
        <w:t>涵洞</w:t>
      </w:r>
      <w:r>
        <w:rPr>
          <w:rFonts w:cs="Times New Roman"/>
        </w:rPr>
        <w:t>75</w:t>
      </w:r>
      <w:r>
        <w:rPr>
          <w:rFonts w:cs="Times New Roman"/>
        </w:rPr>
        <w:t>道，平面交叉</w:t>
      </w:r>
      <w:r>
        <w:rPr>
          <w:rFonts w:cs="Times New Roman"/>
        </w:rPr>
        <w:t>30</w:t>
      </w:r>
      <w:r>
        <w:rPr>
          <w:rFonts w:cs="Times New Roman"/>
        </w:rPr>
        <w:t>处。本项目主要经济技术指标见表</w:t>
      </w:r>
      <w:r>
        <w:rPr>
          <w:rFonts w:cs="Times New Roman"/>
        </w:rPr>
        <w:t>4</w:t>
      </w:r>
      <w:r>
        <w:rPr>
          <w:rFonts w:cs="Times New Roman"/>
        </w:rPr>
        <w:t>.</w:t>
      </w:r>
      <w:r>
        <w:rPr>
          <w:rFonts w:cs="Times New Roman"/>
        </w:rPr>
        <w:t>2</w:t>
      </w:r>
      <w:r>
        <w:rPr>
          <w:rFonts w:cs="Times New Roman"/>
        </w:rPr>
        <w:t>-</w:t>
      </w:r>
      <w:r>
        <w:rPr>
          <w:rFonts w:cs="Times New Roman"/>
        </w:rPr>
        <w:t>3</w:t>
      </w:r>
      <w:r>
        <w:rPr>
          <w:rFonts w:cs="Times New Roman"/>
        </w:rPr>
        <w:t>。</w:t>
      </w:r>
    </w:p>
    <w:p w:rsidR="00A46452" w:rsidRDefault="009A3928">
      <w:pPr>
        <w:wordWrap w:val="0"/>
        <w:topLinePunct/>
        <w:adjustRightInd w:val="0"/>
        <w:snapToGrid w:val="0"/>
        <w:spacing w:line="240" w:lineRule="auto"/>
        <w:ind w:firstLineChars="0" w:firstLine="0"/>
        <w:jc w:val="left"/>
        <w:rPr>
          <w:rFonts w:eastAsia="黑体" w:cs="Times New Roman"/>
          <w:szCs w:val="24"/>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w:t>
      </w:r>
      <w:r>
        <w:rPr>
          <w:rFonts w:eastAsia="黑体" w:cs="Times New Roman"/>
        </w:rPr>
        <w:t xml:space="preserve">3                 </w:t>
      </w:r>
      <w:r>
        <w:rPr>
          <w:rFonts w:eastAsia="黑体" w:cs="Times New Roman"/>
          <w:szCs w:val="24"/>
        </w:rPr>
        <w:t xml:space="preserve">      </w:t>
      </w:r>
      <w:r>
        <w:rPr>
          <w:rFonts w:eastAsia="黑体" w:cs="Times New Roman"/>
          <w:kern w:val="0"/>
          <w:szCs w:val="24"/>
          <w:lang w:bidi="ar"/>
        </w:rPr>
        <w:t>主要技术指标表</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43"/>
        <w:gridCol w:w="823"/>
        <w:gridCol w:w="87"/>
        <w:gridCol w:w="1461"/>
        <w:gridCol w:w="667"/>
        <w:gridCol w:w="2460"/>
        <w:gridCol w:w="2184"/>
      </w:tblGrid>
      <w:tr w:rsidR="00A46452">
        <w:trPr>
          <w:trHeight w:val="401"/>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技术指标</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单位</w:t>
            </w:r>
          </w:p>
        </w:tc>
        <w:tc>
          <w:tcPr>
            <w:tcW w:w="2724" w:type="pct"/>
            <w:gridSpan w:val="2"/>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设计指标</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等级</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二级公路</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二级公路</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设计段落</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K0</w:t>
            </w:r>
            <w:r>
              <w:rPr>
                <w:rFonts w:cs="Times New Roman"/>
                <w:kern w:val="0"/>
                <w:szCs w:val="24"/>
                <w:lang w:bidi="ar"/>
              </w:rPr>
              <w:t>~</w:t>
            </w:r>
            <w:r>
              <w:rPr>
                <w:rFonts w:cs="Times New Roman"/>
                <w:kern w:val="0"/>
                <w:sz w:val="18"/>
                <w:szCs w:val="18"/>
                <w:lang w:bidi="ar"/>
              </w:rPr>
              <w:t>K</w:t>
            </w:r>
            <w:r>
              <w:rPr>
                <w:rFonts w:cs="Times New Roman"/>
                <w:kern w:val="0"/>
                <w:sz w:val="18"/>
                <w:szCs w:val="18"/>
                <w:lang w:bidi="ar"/>
              </w:rPr>
              <w:t>3</w:t>
            </w:r>
            <w:r>
              <w:rPr>
                <w:rFonts w:cs="Times New Roman"/>
                <w:kern w:val="0"/>
                <w:sz w:val="18"/>
                <w:szCs w:val="18"/>
                <w:lang w:bidi="ar"/>
              </w:rPr>
              <w:t>+</w:t>
            </w:r>
            <w:r>
              <w:rPr>
                <w:rFonts w:cs="Times New Roman"/>
                <w:kern w:val="0"/>
                <w:sz w:val="18"/>
                <w:szCs w:val="18"/>
                <w:lang w:bidi="ar"/>
              </w:rPr>
              <w:t>300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w:t>
            </w:r>
            <w:r>
              <w:rPr>
                <w:rFonts w:cs="Times New Roman"/>
                <w:kern w:val="0"/>
                <w:sz w:val="18"/>
                <w:szCs w:val="18"/>
                <w:lang w:bidi="ar"/>
              </w:rPr>
              <w:t>+</w:t>
            </w:r>
            <w:r>
              <w:rPr>
                <w:rFonts w:cs="Times New Roman"/>
                <w:kern w:val="0"/>
                <w:sz w:val="18"/>
                <w:szCs w:val="18"/>
                <w:lang w:bidi="ar"/>
              </w:rPr>
              <w:t>300</w:t>
            </w:r>
            <w:r>
              <w:rPr>
                <w:rFonts w:cs="Times New Roman"/>
                <w:kern w:val="0"/>
                <w:szCs w:val="24"/>
                <w:lang w:bidi="ar"/>
              </w:rPr>
              <w:t>~</w:t>
            </w:r>
            <w:r>
              <w:rPr>
                <w:rFonts w:cs="Times New Roman"/>
                <w:kern w:val="0"/>
                <w:sz w:val="18"/>
                <w:szCs w:val="18"/>
                <w:lang w:bidi="ar"/>
              </w:rPr>
              <w:t>K10</w:t>
            </w:r>
            <w:r>
              <w:rPr>
                <w:rFonts w:cs="Times New Roman"/>
                <w:kern w:val="0"/>
                <w:sz w:val="18"/>
                <w:szCs w:val="18"/>
                <w:lang w:bidi="ar"/>
              </w:rPr>
              <w:t>7</w:t>
            </w:r>
            <w:r>
              <w:rPr>
                <w:rFonts w:cs="Times New Roman"/>
                <w:kern w:val="0"/>
                <w:sz w:val="18"/>
                <w:szCs w:val="18"/>
                <w:lang w:bidi="ar"/>
              </w:rPr>
              <w:t>+</w:t>
            </w:r>
            <w:r>
              <w:rPr>
                <w:rFonts w:cs="Times New Roman"/>
                <w:kern w:val="0"/>
                <w:sz w:val="18"/>
                <w:szCs w:val="18"/>
                <w:lang w:bidi="ar"/>
              </w:rPr>
              <w:t>177</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设计速度</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91"/>
                <w:rFonts w:ascii="Times New Roman" w:hAnsi="Times New Roman" w:cs="Times New Roman"/>
                <w:color w:val="auto"/>
                <w:sz w:val="18"/>
                <w:szCs w:val="18"/>
                <w:lang w:bidi="ar"/>
              </w:rPr>
              <w:t>km/h</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80</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路基宽度</w:t>
            </w:r>
          </w:p>
        </w:tc>
        <w:tc>
          <w:tcPr>
            <w:tcW w:w="391" w:type="pct"/>
            <w:tcBorders>
              <w:tl2br w:val="nil"/>
              <w:tr2bl w:val="nil"/>
            </w:tcBorders>
            <w:shd w:val="clear" w:color="auto" w:fill="auto"/>
            <w:vAlign w:val="bottom"/>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r>
      <w:tr w:rsidR="00A46452">
        <w:trPr>
          <w:trHeight w:val="23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行车道宽度</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2×3.75</w:t>
            </w:r>
          </w:p>
        </w:tc>
      </w:tr>
      <w:tr w:rsidR="00A46452">
        <w:trPr>
          <w:trHeight w:val="220"/>
          <w:jc w:val="center"/>
        </w:trPr>
        <w:tc>
          <w:tcPr>
            <w:tcW w:w="494"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慢车道</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双黄线</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右侧硬路肩宽度</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2×0.75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2×1.5</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71"/>
                <w:rFonts w:ascii="Times New Roman" w:hAnsi="Times New Roman" w:cs="Times New Roman"/>
                <w:color w:val="auto"/>
                <w:sz w:val="18"/>
                <w:szCs w:val="18"/>
                <w:lang w:bidi="ar"/>
              </w:rPr>
              <w:t>土路肩宽度</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2×0.75</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2×0.75</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不设超高圆曲线最小半径</w:t>
            </w:r>
            <w:r>
              <w:rPr>
                <w:rFonts w:cs="Times New Roman"/>
                <w:kern w:val="0"/>
                <w:sz w:val="18"/>
                <w:szCs w:val="18"/>
                <w:lang w:bidi="ar"/>
              </w:rPr>
              <w:t>（</w:t>
            </w:r>
            <w:r>
              <w:rPr>
                <w:rFonts w:cs="Times New Roman"/>
                <w:kern w:val="0"/>
                <w:sz w:val="18"/>
                <w:szCs w:val="18"/>
                <w:lang w:bidi="ar"/>
              </w:rPr>
              <w:t>路拱</w:t>
            </w:r>
            <w:r>
              <w:rPr>
                <w:rFonts w:cs="Times New Roman"/>
                <w:kern w:val="0"/>
                <w:sz w:val="18"/>
                <w:szCs w:val="18"/>
                <w:lang w:bidi="ar"/>
              </w:rPr>
              <w:t>≤2%</w:t>
            </w:r>
            <w:r>
              <w:rPr>
                <w:rFonts w:cs="Times New Roman"/>
                <w:kern w:val="0"/>
                <w:sz w:val="18"/>
                <w:szCs w:val="18"/>
                <w:lang w:bidi="ar"/>
              </w:rPr>
              <w:t>）</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500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2500</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圆曲线最小半径</w:t>
            </w:r>
            <w:r>
              <w:rPr>
                <w:rFonts w:cs="Times New Roman"/>
                <w:kern w:val="0"/>
                <w:sz w:val="18"/>
                <w:szCs w:val="18"/>
                <w:lang w:bidi="ar"/>
              </w:rPr>
              <w:t>（</w:t>
            </w:r>
            <w:r>
              <w:rPr>
                <w:rFonts w:cs="Times New Roman"/>
                <w:kern w:val="0"/>
                <w:sz w:val="18"/>
                <w:szCs w:val="18"/>
                <w:lang w:bidi="ar"/>
              </w:rPr>
              <w:t>一般值</w:t>
            </w:r>
            <w:r>
              <w:rPr>
                <w:rFonts w:cs="Times New Roman"/>
                <w:kern w:val="0"/>
                <w:sz w:val="18"/>
                <w:szCs w:val="18"/>
                <w:lang w:bidi="ar"/>
              </w:rPr>
              <w:t>）</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r>
              <w:rPr>
                <w:rFonts w:cs="Times New Roman"/>
                <w:kern w:val="0"/>
                <w:sz w:val="18"/>
                <w:szCs w:val="18"/>
                <w:lang w:bidi="ar"/>
              </w:rPr>
              <w:t>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400</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最大纵坡</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w:t>
            </w:r>
          </w:p>
        </w:tc>
      </w:tr>
      <w:tr w:rsidR="00A46452">
        <w:trPr>
          <w:trHeight w:val="220"/>
          <w:jc w:val="center"/>
        </w:trPr>
        <w:tc>
          <w:tcPr>
            <w:tcW w:w="494"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482"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竖曲线一般最小半径</w:t>
            </w:r>
          </w:p>
        </w:tc>
        <w:tc>
          <w:tcPr>
            <w:tcW w:w="907" w:type="pct"/>
            <w:gridSpan w:val="2"/>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凸型</w:t>
            </w:r>
          </w:p>
        </w:tc>
        <w:tc>
          <w:tcPr>
            <w:tcW w:w="391"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Style w:val="font201"/>
                <w:rFonts w:ascii="Times New Roman" w:hAnsi="Times New Roman" w:cs="Times New Roman"/>
                <w:color w:val="auto"/>
                <w:sz w:val="18"/>
                <w:szCs w:val="18"/>
                <w:lang w:bidi="ar"/>
              </w:rPr>
            </w:pPr>
            <w:r>
              <w:rPr>
                <w:rStyle w:val="font201"/>
                <w:rFonts w:ascii="Times New Roman" w:hAnsi="Times New Roman" w:cs="Times New Roman"/>
                <w:color w:val="auto"/>
                <w:sz w:val="18"/>
                <w:szCs w:val="18"/>
                <w:lang w:bidi="ar"/>
              </w:rPr>
              <w:t>10000</w:t>
            </w:r>
          </w:p>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4500</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r>
              <w:rPr>
                <w:rFonts w:cs="Times New Roman"/>
                <w:kern w:val="0"/>
                <w:sz w:val="18"/>
                <w:szCs w:val="18"/>
                <w:lang w:bidi="ar"/>
              </w:rPr>
              <w:t>000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45</w:t>
            </w:r>
            <w:r>
              <w:rPr>
                <w:rFonts w:cs="Times New Roman"/>
                <w:kern w:val="0"/>
                <w:sz w:val="18"/>
                <w:szCs w:val="18"/>
                <w:lang w:bidi="ar"/>
              </w:rPr>
              <w:t>00</w:t>
            </w:r>
          </w:p>
        </w:tc>
      </w:tr>
      <w:tr w:rsidR="00A46452">
        <w:trPr>
          <w:trHeight w:val="220"/>
          <w:jc w:val="center"/>
        </w:trPr>
        <w:tc>
          <w:tcPr>
            <w:tcW w:w="494"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482"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907" w:type="pct"/>
            <w:gridSpan w:val="2"/>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凹型</w:t>
            </w:r>
          </w:p>
        </w:tc>
        <w:tc>
          <w:tcPr>
            <w:tcW w:w="391"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w:t>
            </w:r>
            <w:r>
              <w:rPr>
                <w:rFonts w:cs="Times New Roman"/>
                <w:kern w:val="0"/>
                <w:sz w:val="18"/>
                <w:szCs w:val="18"/>
                <w:lang w:bidi="ar"/>
              </w:rPr>
              <w:t>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r>
              <w:rPr>
                <w:rFonts w:cs="Times New Roman"/>
                <w:kern w:val="0"/>
                <w:sz w:val="18"/>
                <w:szCs w:val="18"/>
                <w:lang w:bidi="ar"/>
              </w:rPr>
              <w:t>000</w:t>
            </w:r>
          </w:p>
        </w:tc>
      </w:tr>
      <w:tr w:rsidR="00A46452">
        <w:trPr>
          <w:trHeight w:val="23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13</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竖曲线最小长度</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2</w:t>
            </w:r>
            <w:r>
              <w:rPr>
                <w:rFonts w:cs="Times New Roman"/>
                <w:kern w:val="0"/>
                <w:sz w:val="18"/>
                <w:szCs w:val="18"/>
                <w:lang w:bidi="ar"/>
              </w:rPr>
              <w:t>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170</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14</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停车视距</w:t>
            </w:r>
          </w:p>
        </w:tc>
        <w:tc>
          <w:tcPr>
            <w:tcW w:w="39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81"/>
                <w:rFonts w:ascii="Times New Roman" w:hAnsi="Times New Roman" w:cs="Times New Roman"/>
                <w:color w:val="auto"/>
                <w:sz w:val="18"/>
                <w:szCs w:val="18"/>
                <w:lang w:bidi="ar"/>
              </w:rPr>
              <w:t>m</w:t>
            </w: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5</w:t>
            </w:r>
            <w:r>
              <w:rPr>
                <w:rFonts w:cs="Times New Roman"/>
                <w:kern w:val="0"/>
                <w:sz w:val="18"/>
                <w:szCs w:val="18"/>
                <w:lang w:bidi="ar"/>
              </w:rPr>
              <w:t>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22</w:t>
            </w:r>
            <w:r>
              <w:rPr>
                <w:rFonts w:cs="Times New Roman"/>
                <w:kern w:val="0"/>
                <w:sz w:val="18"/>
                <w:szCs w:val="18"/>
                <w:lang w:bidi="ar"/>
              </w:rPr>
              <w:t>0</w:t>
            </w:r>
          </w:p>
        </w:tc>
      </w:tr>
      <w:tr w:rsidR="00A46452">
        <w:trPr>
          <w:trHeight w:val="220"/>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路基设计洪水频率</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r>
      <w:tr w:rsidR="00A46452">
        <w:trPr>
          <w:trHeight w:val="390"/>
          <w:jc w:val="center"/>
        </w:trPr>
        <w:tc>
          <w:tcPr>
            <w:tcW w:w="494"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16</w:t>
            </w:r>
          </w:p>
        </w:tc>
        <w:tc>
          <w:tcPr>
            <w:tcW w:w="533" w:type="pct"/>
            <w:gridSpan w:val="2"/>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桥涵设计洪水频率</w:t>
            </w:r>
          </w:p>
        </w:tc>
        <w:tc>
          <w:tcPr>
            <w:tcW w:w="85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小桥、涵洞</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r>
      <w:tr w:rsidR="00A46452">
        <w:trPr>
          <w:trHeight w:val="220"/>
          <w:jc w:val="center"/>
        </w:trPr>
        <w:tc>
          <w:tcPr>
            <w:tcW w:w="494"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533" w:type="pct"/>
            <w:gridSpan w:val="2"/>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85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特大桥、大中桥</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1</w:t>
            </w:r>
            <w:r>
              <w:rPr>
                <w:rFonts w:cs="Times New Roman"/>
                <w:kern w:val="0"/>
                <w:sz w:val="18"/>
                <w:szCs w:val="18"/>
                <w:lang w:bidi="ar"/>
              </w:rPr>
              <w:t>00</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1</w:t>
            </w:r>
            <w:r>
              <w:rPr>
                <w:rFonts w:cs="Times New Roman"/>
                <w:kern w:val="0"/>
                <w:sz w:val="18"/>
                <w:szCs w:val="18"/>
                <w:lang w:bidi="ar"/>
              </w:rPr>
              <w:t>00</w:t>
            </w:r>
          </w:p>
        </w:tc>
      </w:tr>
      <w:tr w:rsidR="00A46452">
        <w:trPr>
          <w:trHeight w:val="225"/>
          <w:jc w:val="center"/>
        </w:trPr>
        <w:tc>
          <w:tcPr>
            <w:tcW w:w="49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w:t>
            </w:r>
          </w:p>
        </w:tc>
        <w:tc>
          <w:tcPr>
            <w:tcW w:w="1390"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汽车荷载等级</w:t>
            </w:r>
          </w:p>
        </w:tc>
        <w:tc>
          <w:tcPr>
            <w:tcW w:w="391" w:type="pct"/>
            <w:tcBorders>
              <w:tl2br w:val="nil"/>
              <w:tr2bl w:val="nil"/>
            </w:tcBorders>
            <w:shd w:val="clear" w:color="auto" w:fill="auto"/>
          </w:tcPr>
          <w:p w:rsidR="00A46452" w:rsidRDefault="00A46452">
            <w:pPr>
              <w:wordWrap w:val="0"/>
              <w:topLinePunct/>
              <w:adjustRightInd w:val="0"/>
              <w:snapToGrid w:val="0"/>
              <w:spacing w:line="240" w:lineRule="exact"/>
              <w:ind w:firstLineChars="0" w:firstLine="0"/>
              <w:jc w:val="left"/>
              <w:rPr>
                <w:rFonts w:cs="Times New Roman"/>
                <w:sz w:val="18"/>
                <w:szCs w:val="18"/>
              </w:rPr>
            </w:pPr>
          </w:p>
        </w:tc>
        <w:tc>
          <w:tcPr>
            <w:tcW w:w="144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公路</w:t>
            </w:r>
            <w:r>
              <w:rPr>
                <w:rFonts w:cs="Times New Roman"/>
                <w:kern w:val="0"/>
                <w:sz w:val="18"/>
                <w:szCs w:val="18"/>
                <w:lang w:bidi="ar"/>
              </w:rPr>
              <w:t>-I</w:t>
            </w:r>
            <w:r>
              <w:rPr>
                <w:rFonts w:cs="Times New Roman"/>
                <w:kern w:val="0"/>
                <w:sz w:val="18"/>
                <w:szCs w:val="18"/>
                <w:lang w:bidi="ar"/>
              </w:rPr>
              <w:t>级</w:t>
            </w:r>
          </w:p>
        </w:tc>
        <w:tc>
          <w:tcPr>
            <w:tcW w:w="128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公路一</w:t>
            </w:r>
            <w:r>
              <w:rPr>
                <w:rFonts w:cs="Times New Roman"/>
                <w:kern w:val="0"/>
                <w:sz w:val="18"/>
                <w:szCs w:val="18"/>
                <w:lang w:bidi="ar"/>
              </w:rPr>
              <w:t>I</w:t>
            </w:r>
            <w:r>
              <w:rPr>
                <w:rFonts w:cs="Times New Roman"/>
                <w:kern w:val="0"/>
                <w:sz w:val="18"/>
                <w:szCs w:val="18"/>
                <w:lang w:bidi="ar"/>
              </w:rPr>
              <w:t>级</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4.2.3</w:t>
      </w:r>
      <w:r>
        <w:rPr>
          <w:rFonts w:cs="Times New Roman" w:hint="default"/>
          <w:sz w:val="28"/>
          <w:szCs w:val="28"/>
        </w:rPr>
        <w:t>路线走向及主要控制点</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拟建项目位</w:t>
      </w:r>
      <w:r>
        <w:rPr>
          <w:rFonts w:cs="Times New Roman"/>
          <w:kern w:val="0"/>
          <w:szCs w:val="24"/>
          <w:lang w:bidi="ar"/>
        </w:rPr>
        <w:t>于新疆生产建设兵团第三师图木舒克市、喀什地区巴楚县和阿克苏地区柯坪县境内。起点位于</w:t>
      </w:r>
      <w:r>
        <w:rPr>
          <w:rFonts w:cs="Times New Roman"/>
          <w:kern w:val="0"/>
          <w:szCs w:val="24"/>
          <w:lang w:bidi="ar"/>
        </w:rPr>
        <w:t>第三师</w:t>
      </w:r>
      <w:r>
        <w:rPr>
          <w:rFonts w:cs="Times New Roman"/>
          <w:kern w:val="0"/>
          <w:szCs w:val="24"/>
          <w:lang w:bidi="ar"/>
        </w:rPr>
        <w:t>图木舒克市唐王城机场南侧，与机场大道终点相接，沿机场大道终点向东后延</w:t>
      </w:r>
      <w:r>
        <w:rPr>
          <w:rFonts w:cs="Times New Roman"/>
          <w:kern w:val="0"/>
          <w:szCs w:val="24"/>
          <w:lang w:bidi="ar"/>
        </w:rPr>
        <w:t>5</w:t>
      </w:r>
      <w:r>
        <w:rPr>
          <w:rFonts w:cs="Times New Roman"/>
          <w:kern w:val="0"/>
          <w:szCs w:val="24"/>
          <w:lang w:bidi="ar"/>
        </w:rPr>
        <w:t>公里后向北，途经</w:t>
      </w:r>
      <w:r>
        <w:rPr>
          <w:rFonts w:cs="Times New Roman"/>
          <w:kern w:val="0"/>
          <w:szCs w:val="24"/>
          <w:lang w:bidi="ar"/>
        </w:rPr>
        <w:t>50</w:t>
      </w:r>
      <w:r>
        <w:rPr>
          <w:rFonts w:cs="Times New Roman"/>
          <w:kern w:val="0"/>
          <w:szCs w:val="24"/>
          <w:lang w:bidi="ar"/>
        </w:rPr>
        <w:t>团东侧、</w:t>
      </w:r>
      <w:r>
        <w:rPr>
          <w:rFonts w:cs="Times New Roman"/>
          <w:kern w:val="0"/>
          <w:szCs w:val="24"/>
          <w:lang w:bidi="ar"/>
        </w:rPr>
        <w:t>53</w:t>
      </w:r>
      <w:r>
        <w:rPr>
          <w:rFonts w:cs="Times New Roman"/>
          <w:kern w:val="0"/>
          <w:szCs w:val="24"/>
          <w:lang w:bidi="ar"/>
        </w:rPr>
        <w:t>团西侧（</w:t>
      </w:r>
      <w:r>
        <w:rPr>
          <w:rFonts w:cs="Times New Roman"/>
          <w:kern w:val="0"/>
          <w:szCs w:val="24"/>
          <w:lang w:bidi="ar"/>
        </w:rPr>
        <w:t>G217</w:t>
      </w:r>
      <w:r>
        <w:rPr>
          <w:rFonts w:cs="Times New Roman"/>
          <w:kern w:val="0"/>
          <w:szCs w:val="24"/>
          <w:lang w:bidi="ar"/>
        </w:rPr>
        <w:t>）、阿恰勒镇（</w:t>
      </w:r>
      <w:r>
        <w:rPr>
          <w:rFonts w:cs="Times New Roman"/>
          <w:kern w:val="0"/>
          <w:szCs w:val="24"/>
          <w:lang w:bidi="ar"/>
        </w:rPr>
        <w:t>G3012</w:t>
      </w:r>
      <w:r>
        <w:rPr>
          <w:rFonts w:cs="Times New Roman"/>
          <w:kern w:val="0"/>
          <w:szCs w:val="24"/>
          <w:lang w:bidi="ar"/>
        </w:rPr>
        <w:t>），在阿恰勒镇向西沿原有</w:t>
      </w:r>
      <w:r>
        <w:rPr>
          <w:rFonts w:cs="Times New Roman"/>
          <w:kern w:val="0"/>
          <w:szCs w:val="24"/>
          <w:lang w:bidi="ar"/>
        </w:rPr>
        <w:t>S308</w:t>
      </w:r>
      <w:r>
        <w:rPr>
          <w:rFonts w:cs="Times New Roman"/>
          <w:kern w:val="0"/>
          <w:szCs w:val="24"/>
          <w:lang w:bidi="ar"/>
        </w:rPr>
        <w:t>线北侧布线，终点位于柯坪县玉尔其乡</w:t>
      </w:r>
      <w:r>
        <w:rPr>
          <w:rFonts w:cs="Times New Roman"/>
          <w:kern w:val="0"/>
          <w:szCs w:val="24"/>
          <w:lang w:bidi="ar"/>
        </w:rPr>
        <w:t>，</w:t>
      </w:r>
      <w:r>
        <w:rPr>
          <w:rFonts w:cs="Times New Roman"/>
          <w:kern w:val="0"/>
          <w:szCs w:val="24"/>
          <w:lang w:bidi="ar"/>
        </w:rPr>
        <w:t>接玉尔其乡主干道。</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主要控制点：</w:t>
      </w:r>
      <w:r>
        <w:rPr>
          <w:rFonts w:cs="Times New Roman"/>
          <w:kern w:val="0"/>
          <w:szCs w:val="24"/>
          <w:lang w:bidi="ar"/>
        </w:rPr>
        <w:t>第三师唐王城机场、图昆公路（</w:t>
      </w:r>
      <w:r>
        <w:rPr>
          <w:rFonts w:cs="Times New Roman"/>
          <w:kern w:val="0"/>
          <w:szCs w:val="24"/>
          <w:lang w:bidi="ar"/>
        </w:rPr>
        <w:t>G688</w:t>
      </w:r>
      <w:r>
        <w:rPr>
          <w:rFonts w:cs="Times New Roman"/>
          <w:kern w:val="0"/>
          <w:szCs w:val="24"/>
          <w:lang w:bidi="ar"/>
        </w:rPr>
        <w:t>线）</w:t>
      </w:r>
      <w:r>
        <w:rPr>
          <w:rFonts w:cs="Times New Roman"/>
          <w:kern w:val="0"/>
          <w:szCs w:val="24"/>
          <w:lang w:bidi="ar"/>
        </w:rPr>
        <w:t>50</w:t>
      </w:r>
      <w:r>
        <w:rPr>
          <w:rFonts w:cs="Times New Roman"/>
          <w:kern w:val="0"/>
          <w:szCs w:val="24"/>
          <w:lang w:bidi="ar"/>
        </w:rPr>
        <w:t>团、</w:t>
      </w:r>
      <w:r>
        <w:rPr>
          <w:rFonts w:cs="Times New Roman"/>
          <w:kern w:val="0"/>
          <w:szCs w:val="24"/>
          <w:lang w:bidi="ar"/>
        </w:rPr>
        <w:t>53</w:t>
      </w:r>
      <w:r>
        <w:rPr>
          <w:rFonts w:cs="Times New Roman"/>
          <w:kern w:val="0"/>
          <w:szCs w:val="24"/>
          <w:lang w:bidi="ar"/>
        </w:rPr>
        <w:t>团、阿恰勒镇、南疆铁路、</w:t>
      </w:r>
      <w:r>
        <w:rPr>
          <w:rFonts w:cs="Times New Roman"/>
          <w:kern w:val="0"/>
          <w:szCs w:val="24"/>
          <w:lang w:bidi="ar"/>
        </w:rPr>
        <w:t>G3012</w:t>
      </w:r>
      <w:r>
        <w:rPr>
          <w:rFonts w:cs="Times New Roman"/>
          <w:kern w:val="0"/>
          <w:szCs w:val="24"/>
          <w:lang w:bidi="ar"/>
        </w:rPr>
        <w:t>线、</w:t>
      </w:r>
      <w:r>
        <w:rPr>
          <w:rFonts w:cs="Times New Roman"/>
          <w:kern w:val="0"/>
          <w:szCs w:val="24"/>
          <w:lang w:bidi="ar"/>
        </w:rPr>
        <w:t>G314</w:t>
      </w:r>
      <w:r>
        <w:rPr>
          <w:rFonts w:cs="Times New Roman"/>
          <w:kern w:val="0"/>
          <w:szCs w:val="24"/>
          <w:lang w:bidi="ar"/>
        </w:rPr>
        <w:t>线、</w:t>
      </w:r>
      <w:r>
        <w:rPr>
          <w:rFonts w:cs="Times New Roman"/>
          <w:kern w:val="0"/>
          <w:szCs w:val="24"/>
          <w:lang w:bidi="ar"/>
        </w:rPr>
        <w:t>S308</w:t>
      </w:r>
      <w:r>
        <w:rPr>
          <w:rFonts w:cs="Times New Roman"/>
          <w:kern w:val="0"/>
          <w:szCs w:val="24"/>
          <w:lang w:bidi="ar"/>
        </w:rPr>
        <w:t>线、柯坪县。</w:t>
      </w:r>
      <w:r>
        <w:rPr>
          <w:rFonts w:cs="Times New Roman"/>
          <w:kern w:val="0"/>
          <w:szCs w:val="24"/>
          <w:lang w:bidi="ar"/>
        </w:rPr>
        <w:t>本项目路线走向见图</w:t>
      </w:r>
      <w:r>
        <w:rPr>
          <w:rFonts w:cs="Times New Roman"/>
          <w:kern w:val="0"/>
          <w:szCs w:val="24"/>
          <w:lang w:bidi="ar"/>
        </w:rPr>
        <w:t>4.2-2</w:t>
      </w:r>
      <w:r>
        <w:rPr>
          <w:rFonts w:cs="Times New Roman"/>
          <w:kern w:val="0"/>
          <w:szCs w:val="24"/>
          <w:lang w:bidi="ar"/>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26" w:name="_Toc57826712"/>
      <w:bookmarkStart w:id="227" w:name="_Toc34989548"/>
      <w:bookmarkStart w:id="228" w:name="_Hlk3383693"/>
      <w:r>
        <w:rPr>
          <w:rFonts w:cs="Times New Roman" w:hint="default"/>
          <w:sz w:val="28"/>
          <w:szCs w:val="28"/>
        </w:rPr>
        <w:t>4.2.4</w:t>
      </w:r>
      <w:r>
        <w:rPr>
          <w:rFonts w:cs="Times New Roman" w:hint="default"/>
          <w:sz w:val="28"/>
          <w:szCs w:val="28"/>
        </w:rPr>
        <w:t>项目组成及布置</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w:t>
      </w:r>
      <w:r>
        <w:rPr>
          <w:rFonts w:cs="Times New Roman" w:hint="default"/>
          <w:iCs/>
        </w:rPr>
        <w:t>.</w:t>
      </w:r>
      <w:r>
        <w:rPr>
          <w:rFonts w:cs="Times New Roman" w:hint="default"/>
          <w:iCs/>
        </w:rPr>
        <w:t>2</w:t>
      </w:r>
      <w:r>
        <w:rPr>
          <w:rFonts w:cs="Times New Roman" w:hint="default"/>
          <w:iCs/>
        </w:rPr>
        <w:t>.</w:t>
      </w:r>
      <w:r>
        <w:rPr>
          <w:rFonts w:cs="Times New Roman" w:hint="default"/>
          <w:iCs/>
        </w:rPr>
        <w:t>4</w:t>
      </w:r>
      <w:r>
        <w:rPr>
          <w:rFonts w:cs="Times New Roman" w:hint="default"/>
          <w:iCs/>
        </w:rPr>
        <w:t>.</w:t>
      </w:r>
      <w:r>
        <w:rPr>
          <w:rFonts w:cs="Times New Roman" w:hint="default"/>
          <w:iCs/>
        </w:rPr>
        <w:t>1</w:t>
      </w:r>
      <w:r>
        <w:rPr>
          <w:rFonts w:cs="Times New Roman" w:hint="default"/>
          <w:iCs/>
        </w:rPr>
        <w:t>路基工程</w:t>
      </w:r>
    </w:p>
    <w:p w:rsidR="00A46452" w:rsidRDefault="009A3928">
      <w:pPr>
        <w:wordWrap w:val="0"/>
        <w:topLinePunct/>
        <w:adjustRightInd w:val="0"/>
        <w:snapToGrid w:val="0"/>
        <w:ind w:firstLine="480"/>
        <w:rPr>
          <w:rFonts w:cs="Times New Roman"/>
        </w:rPr>
      </w:pPr>
      <w:r>
        <w:rPr>
          <w:rFonts w:cs="Times New Roman"/>
        </w:rPr>
        <w:t>1</w:t>
      </w:r>
      <w:r>
        <w:rPr>
          <w:rFonts w:cs="Times New Roman"/>
        </w:rPr>
        <w:t>、</w:t>
      </w:r>
      <w:r>
        <w:rPr>
          <w:rFonts w:cs="Times New Roman"/>
        </w:rPr>
        <w:t>路基填土高度</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根据项目所在区域的地质地层岩性分布情况，本项目路</w:t>
      </w:r>
      <w:r>
        <w:rPr>
          <w:rFonts w:cs="Times New Roman"/>
          <w:kern w:val="0"/>
          <w:szCs w:val="24"/>
          <w:lang w:bidi="ar"/>
        </w:rPr>
        <w:t>基填挖高度主要受河流洪水水位、季节性冻土、盐渍土等不良地质及特殊性岩土的影响，此外还受桥涵构造物布置及净空、隧道进出口的影响。总体上尽量减小工程规模，减小环境破坏、在满足使用需求的情况下，尽量降低路基高度，减少征地拆迁数量，同时尽量做到纵面协调顺实、填挖平衡，避免高填深挖。</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1</w:t>
      </w:r>
      <w:r>
        <w:rPr>
          <w:rFonts w:cs="Times New Roman"/>
          <w:kern w:val="0"/>
          <w:szCs w:val="24"/>
          <w:lang w:bidi="ar"/>
        </w:rPr>
        <w:t>）</w:t>
      </w:r>
      <w:r>
        <w:rPr>
          <w:rFonts w:cs="Times New Roman"/>
          <w:kern w:val="0"/>
          <w:szCs w:val="24"/>
          <w:lang w:bidi="ar"/>
        </w:rPr>
        <w:t>一般路段：为满足路基工作区要求，方便机械作业，减少低填浅挖，在地形条件较好，地下水位较低的地区，未受到不良地质和特殊岩土影响，不受洪水影响的路段，应尽量控制填土高度，在确保路基工作区处于干燥、中湿状态前提下，确定一般路基填土高度：路面结构层厚度</w:t>
      </w:r>
      <w:r>
        <w:rPr>
          <w:rFonts w:cs="Times New Roman"/>
          <w:kern w:val="0"/>
          <w:szCs w:val="24"/>
          <w:lang w:bidi="ar"/>
        </w:rPr>
        <w:t>+</w:t>
      </w:r>
      <w:r>
        <w:rPr>
          <w:rFonts w:cs="Times New Roman"/>
          <w:kern w:val="0"/>
          <w:szCs w:val="24"/>
          <w:lang w:bidi="ar"/>
        </w:rPr>
        <w:t>路床厚度，即</w:t>
      </w:r>
      <w:r>
        <w:rPr>
          <w:rFonts w:cs="Times New Roman"/>
          <w:kern w:val="0"/>
          <w:szCs w:val="24"/>
          <w:lang w:bidi="ar"/>
        </w:rPr>
        <w:t>1.35m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利用老路路段：本项目部分路段为利用既有老路加宽改建路段，在利用老路路段应尽量以老路路面高度作为控制高度。</w:t>
      </w:r>
    </w:p>
    <w:p w:rsidR="00A46452" w:rsidRDefault="009A3928">
      <w:pPr>
        <w:wordWrap w:val="0"/>
        <w:topLinePunct/>
        <w:adjustRightInd w:val="0"/>
        <w:snapToGrid w:val="0"/>
        <w:ind w:firstLine="480"/>
        <w:rPr>
          <w:rFonts w:cs="Times New Roman"/>
        </w:rPr>
      </w:pPr>
      <w:r>
        <w:rPr>
          <w:rFonts w:cs="Times New Roman"/>
        </w:rPr>
        <w:t>2</w:t>
      </w:r>
      <w:r>
        <w:rPr>
          <w:rFonts w:cs="Times New Roman"/>
        </w:rPr>
        <w:t>、</w:t>
      </w:r>
      <w:r>
        <w:rPr>
          <w:rFonts w:cs="Times New Roman"/>
        </w:rPr>
        <w:t>路基横断面</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w:t>
      </w:r>
      <w:r>
        <w:rPr>
          <w:rFonts w:cs="Times New Roman"/>
          <w:kern w:val="0"/>
          <w:szCs w:val="24"/>
          <w:lang w:bidi="ar"/>
        </w:rPr>
        <w:t>1</w:t>
      </w:r>
      <w:r>
        <w:rPr>
          <w:rFonts w:cs="Times New Roman"/>
          <w:kern w:val="0"/>
          <w:szCs w:val="24"/>
          <w:lang w:bidi="ar"/>
        </w:rPr>
        <w:t>）</w:t>
      </w:r>
      <w:r>
        <w:rPr>
          <w:rFonts w:cs="Times New Roman"/>
          <w:kern w:val="0"/>
          <w:szCs w:val="24"/>
          <w:lang w:bidi="ar"/>
        </w:rPr>
        <w:t>K0+000</w:t>
      </w:r>
      <w:r>
        <w:rPr>
          <w:rFonts w:cs="Times New Roman"/>
          <w:kern w:val="0"/>
          <w:szCs w:val="24"/>
          <w:lang w:bidi="ar"/>
        </w:rPr>
        <w:t>～</w:t>
      </w:r>
      <w:r>
        <w:rPr>
          <w:rFonts w:cs="Times New Roman"/>
          <w:kern w:val="0"/>
          <w:szCs w:val="24"/>
          <w:lang w:bidi="ar"/>
        </w:rPr>
        <w:t>K3+300</w:t>
      </w:r>
      <w:r>
        <w:rPr>
          <w:rFonts w:cs="Times New Roman"/>
          <w:kern w:val="0"/>
          <w:szCs w:val="24"/>
          <w:lang w:bidi="ar"/>
        </w:rPr>
        <w:t>段</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采用双向四车道路基断面，设计车速</w:t>
      </w:r>
      <w:r>
        <w:rPr>
          <w:rFonts w:cs="Times New Roman"/>
          <w:kern w:val="0"/>
          <w:szCs w:val="24"/>
          <w:lang w:bidi="ar"/>
        </w:rPr>
        <w:t>60km/h</w:t>
      </w:r>
      <w:r>
        <w:rPr>
          <w:rFonts w:cs="Times New Roman"/>
          <w:kern w:val="0"/>
          <w:szCs w:val="24"/>
          <w:lang w:bidi="ar"/>
        </w:rPr>
        <w:t>，利用既有老路机场大道东延段作为</w:t>
      </w:r>
      <w:r>
        <w:rPr>
          <w:rFonts w:cs="Times New Roman"/>
          <w:kern w:val="0"/>
          <w:szCs w:val="24"/>
          <w:lang w:bidi="ar"/>
        </w:rPr>
        <w:t>路基进行单侧加宽改扩建。路基宽</w:t>
      </w:r>
      <w:r>
        <w:rPr>
          <w:rFonts w:cs="Times New Roman"/>
          <w:kern w:val="0"/>
          <w:szCs w:val="24"/>
          <w:lang w:bidi="ar"/>
        </w:rPr>
        <w:t>17.5m</w:t>
      </w:r>
      <w:r>
        <w:rPr>
          <w:rFonts w:cs="Times New Roman"/>
          <w:kern w:val="0"/>
          <w:szCs w:val="24"/>
          <w:lang w:bidi="ar"/>
        </w:rPr>
        <w:t>，其中中间带宽度</w:t>
      </w:r>
      <w:r>
        <w:rPr>
          <w:rFonts w:cs="Times New Roman"/>
          <w:kern w:val="0"/>
          <w:szCs w:val="24"/>
          <w:lang w:bidi="ar"/>
        </w:rPr>
        <w:t>0.5m</w:t>
      </w:r>
      <w:r>
        <w:rPr>
          <w:rFonts w:cs="Times New Roman"/>
          <w:kern w:val="0"/>
          <w:szCs w:val="24"/>
          <w:lang w:bidi="ar"/>
        </w:rPr>
        <w:t>，行车道宽</w:t>
      </w:r>
      <w:r>
        <w:rPr>
          <w:rFonts w:cs="Times New Roman"/>
          <w:kern w:val="0"/>
          <w:szCs w:val="24"/>
          <w:lang w:bidi="ar"/>
        </w:rPr>
        <w:t>2×3.50m</w:t>
      </w:r>
      <w:r>
        <w:rPr>
          <w:rFonts w:cs="Times New Roman"/>
          <w:kern w:val="0"/>
          <w:szCs w:val="24"/>
          <w:lang w:bidi="ar"/>
        </w:rPr>
        <w:t>，慢车道宽</w:t>
      </w:r>
      <w:r>
        <w:rPr>
          <w:rFonts w:cs="Times New Roman"/>
          <w:kern w:val="0"/>
          <w:szCs w:val="24"/>
          <w:lang w:bidi="ar"/>
        </w:rPr>
        <w:t>2×3.50m</w:t>
      </w:r>
      <w:r>
        <w:rPr>
          <w:rFonts w:cs="Times New Roman"/>
          <w:kern w:val="0"/>
          <w:szCs w:val="24"/>
          <w:lang w:bidi="ar"/>
        </w:rPr>
        <w:t>，右侧硬路肩宽</w:t>
      </w:r>
      <w:r>
        <w:rPr>
          <w:rFonts w:cs="Times New Roman"/>
          <w:kern w:val="0"/>
          <w:szCs w:val="24"/>
          <w:lang w:bidi="ar"/>
        </w:rPr>
        <w:t>2×0.75m</w:t>
      </w:r>
      <w:r>
        <w:rPr>
          <w:rFonts w:cs="Times New Roman"/>
          <w:kern w:val="0"/>
          <w:szCs w:val="24"/>
          <w:lang w:bidi="ar"/>
        </w:rPr>
        <w:t>，土路肩宽</w:t>
      </w:r>
      <w:r>
        <w:rPr>
          <w:rFonts w:cs="Times New Roman"/>
          <w:kern w:val="0"/>
          <w:szCs w:val="24"/>
          <w:lang w:bidi="ar"/>
        </w:rPr>
        <w:t>2×0.75m</w:t>
      </w:r>
      <w:r>
        <w:rPr>
          <w:rFonts w:cs="Times New Roman"/>
          <w:kern w:val="0"/>
          <w:szCs w:val="24"/>
          <w:lang w:bidi="ar"/>
        </w:rPr>
        <w:t>。</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K3+300</w:t>
      </w:r>
      <w:r>
        <w:rPr>
          <w:rFonts w:cs="Times New Roman"/>
          <w:kern w:val="0"/>
          <w:szCs w:val="24"/>
          <w:lang w:bidi="ar"/>
        </w:rPr>
        <w:t>～</w:t>
      </w:r>
      <w:r>
        <w:rPr>
          <w:rFonts w:cs="Times New Roman"/>
          <w:kern w:val="0"/>
          <w:szCs w:val="24"/>
          <w:lang w:bidi="ar"/>
        </w:rPr>
        <w:t>K107+177</w:t>
      </w:r>
      <w:r>
        <w:rPr>
          <w:rFonts w:cs="Times New Roman"/>
          <w:kern w:val="0"/>
          <w:szCs w:val="24"/>
          <w:lang w:bidi="ar"/>
        </w:rPr>
        <w:t>段</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采用双向两车道路基断面，设计车速</w:t>
      </w:r>
      <w:r>
        <w:rPr>
          <w:rFonts w:cs="Times New Roman"/>
          <w:kern w:val="0"/>
          <w:szCs w:val="24"/>
          <w:lang w:bidi="ar"/>
        </w:rPr>
        <w:t>80km/h</w:t>
      </w:r>
      <w:r>
        <w:rPr>
          <w:rFonts w:cs="Times New Roman"/>
          <w:kern w:val="0"/>
          <w:szCs w:val="24"/>
          <w:lang w:bidi="ar"/>
        </w:rPr>
        <w:t>，其中</w:t>
      </w:r>
      <w:r>
        <w:rPr>
          <w:rFonts w:cs="Times New Roman"/>
          <w:kern w:val="0"/>
          <w:szCs w:val="24"/>
          <w:lang w:bidi="ar"/>
        </w:rPr>
        <w:t>K19+480.00</w:t>
      </w:r>
      <w:r>
        <w:rPr>
          <w:rFonts w:cs="Times New Roman"/>
          <w:kern w:val="0"/>
          <w:szCs w:val="24"/>
          <w:lang w:bidi="ar"/>
        </w:rPr>
        <w:t>～</w:t>
      </w:r>
      <w:r>
        <w:rPr>
          <w:rFonts w:cs="Times New Roman"/>
          <w:kern w:val="0"/>
          <w:szCs w:val="24"/>
          <w:lang w:bidi="ar"/>
        </w:rPr>
        <w:t>21+500.00</w:t>
      </w:r>
      <w:r>
        <w:rPr>
          <w:rFonts w:cs="Times New Roman"/>
          <w:kern w:val="0"/>
          <w:szCs w:val="24"/>
          <w:lang w:bidi="ar"/>
        </w:rPr>
        <w:t>、</w:t>
      </w:r>
      <w:r>
        <w:rPr>
          <w:rFonts w:cs="Times New Roman"/>
          <w:kern w:val="0"/>
          <w:szCs w:val="24"/>
          <w:lang w:bidi="ar"/>
        </w:rPr>
        <w:t>K105+566.07</w:t>
      </w:r>
      <w:r>
        <w:rPr>
          <w:rFonts w:cs="Times New Roman"/>
          <w:kern w:val="0"/>
          <w:szCs w:val="24"/>
          <w:lang w:bidi="ar"/>
        </w:rPr>
        <w:t>～</w:t>
      </w:r>
      <w:r>
        <w:rPr>
          <w:rFonts w:cs="Times New Roman"/>
          <w:kern w:val="0"/>
          <w:szCs w:val="24"/>
          <w:lang w:bidi="ar"/>
        </w:rPr>
        <w:t>K106+380.00</w:t>
      </w:r>
      <w:r>
        <w:rPr>
          <w:rFonts w:cs="Times New Roman"/>
          <w:kern w:val="0"/>
          <w:szCs w:val="24"/>
          <w:lang w:bidi="ar"/>
        </w:rPr>
        <w:t>段利用既有老路</w:t>
      </w:r>
      <w:r>
        <w:rPr>
          <w:rFonts w:cs="Times New Roman"/>
          <w:kern w:val="0"/>
          <w:szCs w:val="24"/>
          <w:lang w:bidi="ar"/>
        </w:rPr>
        <w:t>S308</w:t>
      </w:r>
      <w:r>
        <w:rPr>
          <w:rFonts w:cs="Times New Roman"/>
          <w:kern w:val="0"/>
          <w:szCs w:val="24"/>
          <w:lang w:bidi="ar"/>
        </w:rPr>
        <w:t>作为路基进行改建，</w:t>
      </w:r>
      <w:r>
        <w:rPr>
          <w:rFonts w:cs="Times New Roman"/>
          <w:kern w:val="0"/>
          <w:szCs w:val="24"/>
          <w:lang w:bidi="ar"/>
        </w:rPr>
        <w:t>K3+300</w:t>
      </w:r>
      <w:r>
        <w:rPr>
          <w:rFonts w:cs="Times New Roman"/>
          <w:kern w:val="0"/>
          <w:szCs w:val="24"/>
          <w:lang w:bidi="ar"/>
        </w:rPr>
        <w:t>～</w:t>
      </w:r>
      <w:r>
        <w:rPr>
          <w:rFonts w:cs="Times New Roman"/>
          <w:kern w:val="0"/>
          <w:szCs w:val="24"/>
          <w:lang w:bidi="ar"/>
        </w:rPr>
        <w:t>K19+480.00</w:t>
      </w:r>
      <w:r>
        <w:rPr>
          <w:rFonts w:cs="Times New Roman"/>
          <w:kern w:val="0"/>
          <w:szCs w:val="24"/>
          <w:lang w:bidi="ar"/>
        </w:rPr>
        <w:t>、</w:t>
      </w:r>
      <w:r>
        <w:rPr>
          <w:rFonts w:cs="Times New Roman"/>
          <w:kern w:val="0"/>
          <w:szCs w:val="24"/>
          <w:lang w:bidi="ar"/>
        </w:rPr>
        <w:t>K21+500.00</w:t>
      </w:r>
      <w:r>
        <w:rPr>
          <w:rFonts w:cs="Times New Roman"/>
          <w:kern w:val="0"/>
          <w:szCs w:val="24"/>
          <w:lang w:bidi="ar"/>
        </w:rPr>
        <w:t>～</w:t>
      </w:r>
      <w:r>
        <w:rPr>
          <w:rFonts w:cs="Times New Roman"/>
          <w:kern w:val="0"/>
          <w:szCs w:val="24"/>
          <w:lang w:bidi="ar"/>
        </w:rPr>
        <w:t>K105+566.07</w:t>
      </w:r>
      <w:r>
        <w:rPr>
          <w:rFonts w:cs="Times New Roman"/>
          <w:kern w:val="0"/>
          <w:szCs w:val="24"/>
          <w:lang w:bidi="ar"/>
        </w:rPr>
        <w:t>、</w:t>
      </w:r>
      <w:r>
        <w:rPr>
          <w:rFonts w:cs="Times New Roman"/>
          <w:kern w:val="0"/>
          <w:szCs w:val="24"/>
          <w:lang w:bidi="ar"/>
        </w:rPr>
        <w:t>K106+380.00</w:t>
      </w:r>
      <w:r>
        <w:rPr>
          <w:rFonts w:cs="Times New Roman"/>
          <w:kern w:val="0"/>
          <w:szCs w:val="24"/>
          <w:lang w:bidi="ar"/>
        </w:rPr>
        <w:t>～</w:t>
      </w:r>
      <w:r>
        <w:rPr>
          <w:rFonts w:cs="Times New Roman"/>
          <w:kern w:val="0"/>
          <w:szCs w:val="24"/>
          <w:lang w:bidi="ar"/>
        </w:rPr>
        <w:t>K107+177</w:t>
      </w:r>
      <w:r>
        <w:rPr>
          <w:rFonts w:cs="Times New Roman"/>
          <w:kern w:val="0"/>
          <w:szCs w:val="24"/>
          <w:lang w:bidi="ar"/>
        </w:rPr>
        <w:t>段为</w:t>
      </w:r>
      <w:r>
        <w:rPr>
          <w:rFonts w:cs="Times New Roman"/>
          <w:kern w:val="0"/>
          <w:szCs w:val="24"/>
          <w:lang w:bidi="ar"/>
        </w:rPr>
        <w:t>新建。路基宽</w:t>
      </w:r>
      <w:r>
        <w:rPr>
          <w:rFonts w:cs="Times New Roman"/>
          <w:kern w:val="0"/>
          <w:szCs w:val="24"/>
          <w:lang w:bidi="ar"/>
        </w:rPr>
        <w:t>12.0m</w:t>
      </w:r>
      <w:r>
        <w:rPr>
          <w:rFonts w:cs="Times New Roman"/>
          <w:kern w:val="0"/>
          <w:szCs w:val="24"/>
          <w:lang w:bidi="ar"/>
        </w:rPr>
        <w:t>，其中行车道宽</w:t>
      </w:r>
      <w:r>
        <w:rPr>
          <w:rFonts w:cs="Times New Roman"/>
          <w:kern w:val="0"/>
          <w:szCs w:val="24"/>
          <w:lang w:bidi="ar"/>
        </w:rPr>
        <w:t>2×3.75m</w:t>
      </w:r>
      <w:r>
        <w:rPr>
          <w:rFonts w:cs="Times New Roman"/>
          <w:kern w:val="0"/>
          <w:szCs w:val="24"/>
          <w:lang w:bidi="ar"/>
        </w:rPr>
        <w:t>，硬路肩宽</w:t>
      </w:r>
      <w:r>
        <w:rPr>
          <w:rFonts w:cs="Times New Roman"/>
          <w:kern w:val="0"/>
          <w:szCs w:val="24"/>
          <w:lang w:bidi="ar"/>
        </w:rPr>
        <w:t>2×1.50m</w:t>
      </w:r>
      <w:r>
        <w:rPr>
          <w:rFonts w:cs="Times New Roman"/>
          <w:kern w:val="0"/>
          <w:szCs w:val="24"/>
          <w:lang w:bidi="ar"/>
        </w:rPr>
        <w:t>，土路肩宽</w:t>
      </w:r>
      <w:r>
        <w:rPr>
          <w:rFonts w:cs="Times New Roman"/>
          <w:kern w:val="0"/>
          <w:szCs w:val="24"/>
          <w:lang w:bidi="ar"/>
        </w:rPr>
        <w:t>2×0.75m</w:t>
      </w:r>
      <w:r>
        <w:rPr>
          <w:rFonts w:cs="Times New Roman"/>
          <w:kern w:val="0"/>
          <w:szCs w:val="24"/>
          <w:lang w:bidi="ar"/>
        </w:rPr>
        <w:t>。</w:t>
      </w:r>
      <w:r>
        <w:rPr>
          <w:rFonts w:cs="Times New Roman"/>
        </w:rPr>
        <w:t>路基标准横断面图见图</w:t>
      </w:r>
      <w:r>
        <w:rPr>
          <w:rFonts w:cs="Times New Roman"/>
        </w:rPr>
        <w:t>4.2-3~</w:t>
      </w:r>
      <w:r>
        <w:rPr>
          <w:rFonts w:cs="Times New Roman"/>
        </w:rPr>
        <w:t>图</w:t>
      </w:r>
      <w:r>
        <w:rPr>
          <w:rFonts w:cs="Times New Roman"/>
        </w:rPr>
        <w:t>4.2-5</w:t>
      </w:r>
      <w:r>
        <w:rPr>
          <w:rFonts w:cs="Times New Roman"/>
        </w:rPr>
        <w:t>。</w:t>
      </w:r>
    </w:p>
    <w:p w:rsidR="00A46452" w:rsidRDefault="009A3928">
      <w:pPr>
        <w:wordWrap w:val="0"/>
        <w:topLinePunct/>
        <w:adjustRightInd w:val="0"/>
        <w:snapToGrid w:val="0"/>
        <w:ind w:firstLine="480"/>
        <w:rPr>
          <w:rFonts w:cs="Times New Roman"/>
          <w:kern w:val="0"/>
        </w:rPr>
      </w:pPr>
      <w:r>
        <w:rPr>
          <w:rFonts w:cs="Times New Roman"/>
        </w:rPr>
        <w:t>3</w:t>
      </w:r>
      <w:r>
        <w:rPr>
          <w:rFonts w:cs="Times New Roman"/>
        </w:rPr>
        <w:t>、</w:t>
      </w:r>
      <w:r>
        <w:rPr>
          <w:rFonts w:cs="Times New Roman"/>
          <w:kern w:val="0"/>
        </w:rPr>
        <w:t>路基排水工程</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本项目路线部分路段经过戈壁荒漠区，部分路段经过农田区。本项目降雨量较小，沿线地表汇水面积小，农田区浇灌主要以漫灌为主。在路基综合排水系统的设计方面，从保证路基稳定和减少水土流失以及尽量减少对沿线环境影响的角度出发，充分考虑工程建设的实际情况和环保的特殊要求，对路基路面综合排水进行系统设计，通过设置路基边沟、排水沟、急流槽、拦水带及结合各种桥涵构造物和防护工程等，建立完善的综合排水系统。</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1</w:t>
      </w:r>
      <w:r>
        <w:rPr>
          <w:rFonts w:cs="Times New Roman"/>
          <w:kern w:val="0"/>
          <w:szCs w:val="24"/>
          <w:lang w:bidi="ar"/>
        </w:rPr>
        <w:t>）</w:t>
      </w:r>
      <w:r>
        <w:rPr>
          <w:rFonts w:cs="Times New Roman"/>
          <w:kern w:val="0"/>
          <w:szCs w:val="24"/>
          <w:lang w:bidi="ar"/>
        </w:rPr>
        <w:t>边沟</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挖方路段设置边沟以排除路面水，路面水和少量坡面水由边沟排入桥涵或自然沟中。主线采用梯形边沟，同时风沙路段兼做积</w:t>
      </w:r>
      <w:r>
        <w:rPr>
          <w:rFonts w:cs="Times New Roman"/>
          <w:kern w:val="0"/>
          <w:szCs w:val="24"/>
          <w:lang w:bidi="ar"/>
        </w:rPr>
        <w:t>沙平台，深度</w:t>
      </w:r>
      <w:r>
        <w:rPr>
          <w:rFonts w:cs="Times New Roman"/>
          <w:kern w:val="0"/>
          <w:szCs w:val="24"/>
          <w:lang w:bidi="ar"/>
        </w:rPr>
        <w:t>0.4m</w:t>
      </w:r>
      <w:r>
        <w:rPr>
          <w:rFonts w:cs="Times New Roman"/>
          <w:kern w:val="0"/>
          <w:szCs w:val="24"/>
          <w:lang w:bidi="ar"/>
        </w:rPr>
        <w:t>，底宽</w:t>
      </w:r>
      <w:r>
        <w:rPr>
          <w:rFonts w:cs="Times New Roman"/>
          <w:kern w:val="0"/>
          <w:szCs w:val="24"/>
          <w:lang w:bidi="ar"/>
        </w:rPr>
        <w:t>1.0m</w:t>
      </w:r>
      <w:r>
        <w:rPr>
          <w:rFonts w:cs="Times New Roman"/>
          <w:kern w:val="0"/>
          <w:szCs w:val="24"/>
          <w:lang w:bidi="ar"/>
        </w:rPr>
        <w:t>（兼做积沙平台时底宽采用</w:t>
      </w:r>
      <w:r>
        <w:rPr>
          <w:rFonts w:cs="Times New Roman"/>
          <w:kern w:val="0"/>
          <w:szCs w:val="24"/>
          <w:lang w:bidi="ar"/>
        </w:rPr>
        <w:t>2.0m</w:t>
      </w:r>
      <w:r>
        <w:rPr>
          <w:rFonts w:cs="Times New Roman"/>
          <w:kern w:val="0"/>
          <w:szCs w:val="24"/>
          <w:lang w:bidi="ar"/>
        </w:rPr>
        <w:t>），内边坡</w:t>
      </w:r>
      <w:r>
        <w:rPr>
          <w:rFonts w:cs="Times New Roman"/>
          <w:kern w:val="0"/>
          <w:szCs w:val="24"/>
          <w:lang w:bidi="ar"/>
        </w:rPr>
        <w:t>1</w:t>
      </w:r>
      <w:r>
        <w:rPr>
          <w:rFonts w:cs="Times New Roman"/>
          <w:kern w:val="0"/>
          <w:szCs w:val="24"/>
          <w:lang w:bidi="ar"/>
        </w:rPr>
        <w:t>：</w:t>
      </w:r>
      <w:r>
        <w:rPr>
          <w:rFonts w:cs="Times New Roman"/>
          <w:kern w:val="0"/>
          <w:szCs w:val="24"/>
          <w:lang w:bidi="ar"/>
        </w:rPr>
        <w:t>4</w:t>
      </w:r>
      <w:r>
        <w:rPr>
          <w:rFonts w:cs="Times New Roman"/>
          <w:kern w:val="0"/>
          <w:szCs w:val="24"/>
          <w:lang w:bidi="ar"/>
        </w:rPr>
        <w:t>，外边坡与挖方边坡一致。</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排水沟</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K84+100</w:t>
      </w:r>
      <w:r>
        <w:rPr>
          <w:rFonts w:cs="Times New Roman"/>
          <w:kern w:val="0"/>
          <w:szCs w:val="24"/>
          <w:lang w:bidi="ar"/>
        </w:rPr>
        <w:t>～</w:t>
      </w:r>
      <w:r>
        <w:rPr>
          <w:rFonts w:cs="Times New Roman"/>
          <w:kern w:val="0"/>
          <w:szCs w:val="24"/>
          <w:lang w:bidi="ar"/>
        </w:rPr>
        <w:t>K104+380.61</w:t>
      </w:r>
      <w:r>
        <w:rPr>
          <w:rFonts w:cs="Times New Roman"/>
          <w:kern w:val="0"/>
          <w:szCs w:val="24"/>
          <w:lang w:bidi="ar"/>
        </w:rPr>
        <w:t>段新建路基与左侧老路伴行路段，路基中间设置矩形排水沟，拦排地表水，并由横向管排至新建路基右侧。排水沟尺寸为深</w:t>
      </w:r>
      <w:r>
        <w:rPr>
          <w:rFonts w:cs="Times New Roman"/>
          <w:kern w:val="0"/>
          <w:szCs w:val="24"/>
          <w:lang w:bidi="ar"/>
        </w:rPr>
        <w:t xml:space="preserve"> 0.4m</w:t>
      </w:r>
      <w:r>
        <w:rPr>
          <w:rFonts w:cs="Times New Roman"/>
          <w:kern w:val="0"/>
          <w:szCs w:val="24"/>
          <w:lang w:bidi="ar"/>
        </w:rPr>
        <w:t>，底宽</w:t>
      </w:r>
      <w:r>
        <w:rPr>
          <w:rFonts w:cs="Times New Roman"/>
          <w:kern w:val="0"/>
          <w:szCs w:val="24"/>
          <w:lang w:bidi="ar"/>
        </w:rPr>
        <w:t>0.4m</w:t>
      </w:r>
      <w:r>
        <w:rPr>
          <w:rFonts w:cs="Times New Roman"/>
          <w:kern w:val="0"/>
          <w:szCs w:val="24"/>
          <w:lang w:bidi="ar"/>
        </w:rPr>
        <w:t>，采用厚</w:t>
      </w:r>
      <w:r>
        <w:rPr>
          <w:rFonts w:cs="Times New Roman"/>
          <w:kern w:val="0"/>
          <w:szCs w:val="24"/>
          <w:lang w:bidi="ar"/>
        </w:rPr>
        <w:t>15cmC30</w:t>
      </w:r>
      <w:r>
        <w:rPr>
          <w:rFonts w:cs="Times New Roman"/>
          <w:kern w:val="0"/>
          <w:szCs w:val="24"/>
          <w:lang w:bidi="ar"/>
        </w:rPr>
        <w:t>水泥混凝土预制板，并设置钢筋砼盖板。通过排水沟将路面水、地表水经桥涵排出路基范围外。</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3</w:t>
      </w:r>
      <w:r>
        <w:rPr>
          <w:rFonts w:cs="Times New Roman"/>
          <w:kern w:val="0"/>
          <w:szCs w:val="24"/>
          <w:lang w:bidi="ar"/>
        </w:rPr>
        <w:t>）</w:t>
      </w:r>
      <w:r>
        <w:rPr>
          <w:rFonts w:cs="Times New Roman"/>
          <w:kern w:val="0"/>
          <w:szCs w:val="24"/>
          <w:lang w:bidi="ar"/>
        </w:rPr>
        <w:t>急流槽</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当边沟、排水沟出口段地势较陡，易产生冲刷的段落，设置急流槽，将水流排出路基范围外。</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w:t>
      </w:r>
      <w:r>
        <w:rPr>
          <w:rFonts w:cs="Times New Roman"/>
          <w:kern w:val="0"/>
          <w:szCs w:val="24"/>
          <w:lang w:bidi="ar"/>
        </w:rPr>
        <w:t>4</w:t>
      </w:r>
      <w:r>
        <w:rPr>
          <w:rFonts w:cs="Times New Roman"/>
          <w:kern w:val="0"/>
          <w:szCs w:val="24"/>
          <w:lang w:bidi="ar"/>
        </w:rPr>
        <w:t>）</w:t>
      </w:r>
      <w:r>
        <w:rPr>
          <w:rFonts w:cs="Times New Roman"/>
          <w:kern w:val="0"/>
          <w:szCs w:val="24"/>
          <w:lang w:bidi="ar"/>
        </w:rPr>
        <w:t>拦水带</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K84+100</w:t>
      </w:r>
      <w:r>
        <w:rPr>
          <w:rFonts w:cs="Times New Roman"/>
          <w:kern w:val="0"/>
          <w:szCs w:val="24"/>
          <w:lang w:bidi="ar"/>
        </w:rPr>
        <w:t>～</w:t>
      </w:r>
      <w:r>
        <w:rPr>
          <w:rFonts w:cs="Times New Roman"/>
          <w:kern w:val="0"/>
          <w:szCs w:val="24"/>
          <w:lang w:bidi="ar"/>
        </w:rPr>
        <w:t>K104+380.61</w:t>
      </w:r>
      <w:r>
        <w:rPr>
          <w:rFonts w:cs="Times New Roman"/>
          <w:kern w:val="0"/>
          <w:szCs w:val="24"/>
          <w:lang w:bidi="ar"/>
        </w:rPr>
        <w:t>段路拱横坡为向右单向坡度，右侧设置拦水带，将路面雨水拦截并汇流至急流槽处排至路基右侧。</w:t>
      </w:r>
    </w:p>
    <w:p w:rsidR="00A46452" w:rsidRDefault="009A3928">
      <w:pPr>
        <w:wordWrap w:val="0"/>
        <w:topLinePunct/>
        <w:adjustRightInd w:val="0"/>
        <w:snapToGrid w:val="0"/>
        <w:ind w:firstLine="480"/>
        <w:rPr>
          <w:rFonts w:cs="Times New Roman"/>
        </w:rPr>
      </w:pPr>
      <w:r>
        <w:rPr>
          <w:rFonts w:cs="Times New Roman"/>
        </w:rPr>
        <w:t>4</w:t>
      </w:r>
      <w:r>
        <w:rPr>
          <w:rFonts w:cs="Times New Roman"/>
        </w:rPr>
        <w:t>、</w:t>
      </w:r>
      <w:r>
        <w:rPr>
          <w:rFonts w:cs="Times New Roman"/>
        </w:rPr>
        <w:t>路基防护工程</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在立交区及主线高填方路段路基边坡采用预制块方格网防护；主线桥头两侧</w:t>
      </w:r>
      <w:r>
        <w:rPr>
          <w:rFonts w:cs="Times New Roman"/>
          <w:kern w:val="0"/>
          <w:szCs w:val="24"/>
          <w:lang w:bidi="ar"/>
        </w:rPr>
        <w:t>150m</w:t>
      </w:r>
      <w:r>
        <w:rPr>
          <w:rFonts w:cs="Times New Roman"/>
          <w:kern w:val="0"/>
          <w:szCs w:val="24"/>
          <w:lang w:bidi="ar"/>
        </w:rPr>
        <w:t>范围内路堤高度</w:t>
      </w:r>
      <w:r>
        <w:rPr>
          <w:rFonts w:cs="Times New Roman"/>
          <w:kern w:val="0"/>
          <w:szCs w:val="24"/>
          <w:lang w:bidi="ar"/>
        </w:rPr>
        <w:t>≥3m</w:t>
      </w:r>
      <w:r>
        <w:rPr>
          <w:rFonts w:cs="Times New Roman"/>
          <w:kern w:val="0"/>
          <w:szCs w:val="24"/>
          <w:lang w:bidi="ar"/>
        </w:rPr>
        <w:t>时，采用方格网护坡防护；其余路堤边坡采用砾石土自然边坡防护。</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w:t>
      </w:r>
      <w:r>
        <w:rPr>
          <w:rFonts w:cs="Times New Roman" w:hint="default"/>
          <w:iCs/>
        </w:rPr>
        <w:t>.</w:t>
      </w:r>
      <w:r>
        <w:rPr>
          <w:rFonts w:cs="Times New Roman" w:hint="default"/>
          <w:iCs/>
        </w:rPr>
        <w:t>2</w:t>
      </w:r>
      <w:r>
        <w:rPr>
          <w:rFonts w:cs="Times New Roman" w:hint="default"/>
          <w:iCs/>
        </w:rPr>
        <w:t>.</w:t>
      </w:r>
      <w:r>
        <w:rPr>
          <w:rFonts w:cs="Times New Roman" w:hint="default"/>
          <w:iCs/>
        </w:rPr>
        <w:t>4</w:t>
      </w:r>
      <w:r>
        <w:rPr>
          <w:rFonts w:cs="Times New Roman" w:hint="default"/>
          <w:iCs/>
        </w:rPr>
        <w:t>.2</w:t>
      </w:r>
      <w:r>
        <w:rPr>
          <w:rFonts w:cs="Times New Roman" w:hint="default"/>
          <w:iCs/>
        </w:rPr>
        <w:t>路面工程</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K0+000</w:t>
      </w:r>
      <w:r>
        <w:rPr>
          <w:rFonts w:cs="Times New Roman"/>
          <w:kern w:val="0"/>
          <w:szCs w:val="24"/>
          <w:lang w:bidi="ar"/>
        </w:rPr>
        <w:t>～</w:t>
      </w:r>
      <w:r>
        <w:rPr>
          <w:rFonts w:cs="Times New Roman"/>
          <w:kern w:val="0"/>
          <w:szCs w:val="24"/>
          <w:lang w:bidi="ar"/>
        </w:rPr>
        <w:t>K81+943.87</w:t>
      </w:r>
      <w:r>
        <w:rPr>
          <w:rFonts w:cs="Times New Roman"/>
          <w:kern w:val="0"/>
          <w:szCs w:val="24"/>
          <w:lang w:bidi="ar"/>
        </w:rPr>
        <w:t>、</w:t>
      </w:r>
      <w:r>
        <w:rPr>
          <w:rFonts w:cs="Times New Roman"/>
          <w:kern w:val="0"/>
          <w:szCs w:val="24"/>
          <w:lang w:bidi="ar"/>
        </w:rPr>
        <w:t>K83+380</w:t>
      </w:r>
      <w:r>
        <w:rPr>
          <w:rFonts w:cs="Times New Roman"/>
          <w:kern w:val="0"/>
          <w:szCs w:val="24"/>
          <w:lang w:bidi="ar"/>
        </w:rPr>
        <w:t>～</w:t>
      </w:r>
      <w:r>
        <w:rPr>
          <w:rFonts w:cs="Times New Roman"/>
          <w:kern w:val="0"/>
          <w:szCs w:val="24"/>
          <w:lang w:bidi="ar"/>
        </w:rPr>
        <w:t>K104+380.61</w:t>
      </w:r>
      <w:r>
        <w:rPr>
          <w:rFonts w:cs="Times New Roman"/>
          <w:kern w:val="0"/>
          <w:szCs w:val="24"/>
          <w:lang w:bidi="ar"/>
        </w:rPr>
        <w:t>、</w:t>
      </w:r>
      <w:r>
        <w:rPr>
          <w:rFonts w:cs="Times New Roman"/>
          <w:kern w:val="0"/>
          <w:szCs w:val="24"/>
          <w:lang w:bidi="ar"/>
        </w:rPr>
        <w:t>K105+566.07</w:t>
      </w:r>
      <w:r>
        <w:rPr>
          <w:rFonts w:cs="Times New Roman"/>
          <w:kern w:val="0"/>
          <w:szCs w:val="24"/>
          <w:lang w:bidi="ar"/>
        </w:rPr>
        <w:t>～</w:t>
      </w:r>
      <w:r>
        <w:rPr>
          <w:rFonts w:cs="Times New Roman"/>
          <w:kern w:val="0"/>
          <w:szCs w:val="24"/>
          <w:lang w:bidi="ar"/>
        </w:rPr>
        <w:t>K107+177</w:t>
      </w:r>
      <w:r>
        <w:rPr>
          <w:rFonts w:cs="Times New Roman"/>
          <w:kern w:val="0"/>
          <w:szCs w:val="24"/>
          <w:lang w:bidi="ar"/>
        </w:rPr>
        <w:t>段路面结构为</w:t>
      </w:r>
      <w:r>
        <w:rPr>
          <w:rFonts w:cs="Times New Roman"/>
          <w:kern w:val="0"/>
          <w:szCs w:val="24"/>
          <w:lang w:bidi="ar"/>
        </w:rPr>
        <w:t>5cm</w:t>
      </w:r>
      <w:r>
        <w:rPr>
          <w:rFonts w:cs="Times New Roman"/>
          <w:kern w:val="0"/>
          <w:szCs w:val="24"/>
          <w:lang w:bidi="ar"/>
        </w:rPr>
        <w:t>中粒式沥青混凝土（</w:t>
      </w:r>
      <w:r>
        <w:rPr>
          <w:rFonts w:cs="Times New Roman"/>
          <w:kern w:val="0"/>
          <w:szCs w:val="24"/>
          <w:lang w:bidi="ar"/>
        </w:rPr>
        <w:t>AC-16C</w:t>
      </w:r>
      <w:r>
        <w:rPr>
          <w:rFonts w:cs="Times New Roman"/>
          <w:kern w:val="0"/>
          <w:szCs w:val="24"/>
          <w:lang w:bidi="ar"/>
        </w:rPr>
        <w:t>）</w:t>
      </w:r>
      <w:r>
        <w:rPr>
          <w:rFonts w:cs="Times New Roman"/>
          <w:kern w:val="0"/>
          <w:szCs w:val="24"/>
          <w:lang w:bidi="ar"/>
        </w:rPr>
        <w:t>+</w:t>
      </w:r>
      <w:r>
        <w:rPr>
          <w:rFonts w:cs="Times New Roman"/>
          <w:kern w:val="0"/>
          <w:szCs w:val="24"/>
          <w:lang w:bidi="ar"/>
        </w:rPr>
        <w:t>下封层</w:t>
      </w:r>
      <w:r>
        <w:rPr>
          <w:rFonts w:cs="Times New Roman"/>
          <w:kern w:val="0"/>
          <w:szCs w:val="24"/>
          <w:lang w:bidi="ar"/>
        </w:rPr>
        <w:t>+25cm5%</w:t>
      </w:r>
      <w:r>
        <w:rPr>
          <w:rFonts w:cs="Times New Roman"/>
          <w:kern w:val="0"/>
          <w:szCs w:val="24"/>
          <w:lang w:bidi="ar"/>
        </w:rPr>
        <w:t>水泥稳定砂砾</w:t>
      </w:r>
      <w:r>
        <w:rPr>
          <w:rFonts w:cs="Times New Roman"/>
          <w:kern w:val="0"/>
          <w:szCs w:val="24"/>
          <w:lang w:bidi="ar"/>
        </w:rPr>
        <w:t>+25cm</w:t>
      </w:r>
      <w:r>
        <w:rPr>
          <w:rFonts w:cs="Times New Roman"/>
          <w:kern w:val="0"/>
          <w:szCs w:val="24"/>
          <w:lang w:bidi="ar"/>
        </w:rPr>
        <w:t>天然级配砾石。</w:t>
      </w:r>
      <w:r>
        <w:rPr>
          <w:rFonts w:cs="Times New Roman"/>
          <w:kern w:val="0"/>
          <w:szCs w:val="24"/>
          <w:lang w:bidi="ar"/>
        </w:rPr>
        <w:t>K104+380.61</w:t>
      </w:r>
      <w:r>
        <w:rPr>
          <w:rFonts w:cs="Times New Roman"/>
          <w:kern w:val="0"/>
          <w:szCs w:val="24"/>
          <w:lang w:bidi="ar"/>
        </w:rPr>
        <w:t>～</w:t>
      </w:r>
      <w:r>
        <w:rPr>
          <w:rFonts w:cs="Times New Roman"/>
          <w:kern w:val="0"/>
          <w:szCs w:val="24"/>
          <w:lang w:bidi="ar"/>
        </w:rPr>
        <w:t>K105+566.07</w:t>
      </w:r>
      <w:r>
        <w:rPr>
          <w:rFonts w:cs="Times New Roman"/>
          <w:kern w:val="0"/>
          <w:szCs w:val="24"/>
          <w:lang w:bidi="ar"/>
        </w:rPr>
        <w:t>段为厚</w:t>
      </w:r>
      <w:r>
        <w:rPr>
          <w:rFonts w:cs="Times New Roman"/>
          <w:kern w:val="0"/>
          <w:szCs w:val="24"/>
          <w:lang w:bidi="ar"/>
        </w:rPr>
        <w:t xml:space="preserve">1.5cmUTO-10 </w:t>
      </w:r>
      <w:r>
        <w:rPr>
          <w:rFonts w:cs="Times New Roman"/>
          <w:kern w:val="0"/>
          <w:szCs w:val="24"/>
          <w:lang w:bidi="ar"/>
        </w:rPr>
        <w:t>超薄罩面。</w:t>
      </w:r>
      <w:r>
        <w:rPr>
          <w:rFonts w:cs="Times New Roman"/>
          <w:kern w:val="0"/>
          <w:szCs w:val="24"/>
          <w:lang w:bidi="ar"/>
        </w:rPr>
        <w:t>K81+943.87</w:t>
      </w:r>
      <w:r>
        <w:rPr>
          <w:rFonts w:cs="Times New Roman"/>
          <w:kern w:val="0"/>
          <w:szCs w:val="24"/>
          <w:lang w:bidi="ar"/>
        </w:rPr>
        <w:t>～</w:t>
      </w:r>
      <w:r>
        <w:rPr>
          <w:rFonts w:cs="Times New Roman"/>
          <w:kern w:val="0"/>
          <w:szCs w:val="24"/>
          <w:lang w:bidi="ar"/>
        </w:rPr>
        <w:t>K83+380</w:t>
      </w:r>
      <w:r>
        <w:rPr>
          <w:rFonts w:cs="Times New Roman"/>
          <w:kern w:val="0"/>
          <w:szCs w:val="24"/>
          <w:lang w:bidi="ar"/>
        </w:rPr>
        <w:t>段为完全利用</w:t>
      </w:r>
      <w:r>
        <w:rPr>
          <w:rFonts w:cs="Times New Roman"/>
          <w:kern w:val="0"/>
          <w:szCs w:val="24"/>
          <w:lang w:bidi="ar"/>
        </w:rPr>
        <w:t>段。</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w:t>
      </w:r>
      <w:r>
        <w:rPr>
          <w:rFonts w:cs="Times New Roman" w:hint="default"/>
          <w:iCs/>
        </w:rPr>
        <w:t>.</w:t>
      </w:r>
      <w:r>
        <w:rPr>
          <w:rFonts w:cs="Times New Roman" w:hint="default"/>
          <w:iCs/>
        </w:rPr>
        <w:t>2</w:t>
      </w:r>
      <w:r>
        <w:rPr>
          <w:rFonts w:cs="Times New Roman" w:hint="default"/>
          <w:iCs/>
        </w:rPr>
        <w:t>.</w:t>
      </w:r>
      <w:r>
        <w:rPr>
          <w:rFonts w:cs="Times New Roman" w:hint="default"/>
          <w:iCs/>
        </w:rPr>
        <w:t>4</w:t>
      </w:r>
      <w:r>
        <w:rPr>
          <w:rFonts w:cs="Times New Roman" w:hint="default"/>
          <w:iCs/>
        </w:rPr>
        <w:t>.</w:t>
      </w:r>
      <w:r>
        <w:rPr>
          <w:rFonts w:cs="Times New Roman" w:hint="default"/>
          <w:iCs/>
        </w:rPr>
        <w:t>3</w:t>
      </w:r>
      <w:r>
        <w:rPr>
          <w:rFonts w:cs="Times New Roman" w:hint="default"/>
          <w:iCs/>
        </w:rPr>
        <w:t>桥涵工程</w:t>
      </w:r>
    </w:p>
    <w:p w:rsidR="00A46452" w:rsidRDefault="009A3928" w:rsidP="00182EED">
      <w:pPr>
        <w:wordWrap w:val="0"/>
        <w:topLinePunct/>
        <w:adjustRightInd w:val="0"/>
        <w:snapToGrid w:val="0"/>
        <w:spacing w:line="460" w:lineRule="exact"/>
        <w:ind w:firstLine="480"/>
        <w:jc w:val="left"/>
        <w:rPr>
          <w:rFonts w:cs="Times New Roman"/>
        </w:rPr>
      </w:pPr>
      <w:r>
        <w:rPr>
          <w:rFonts w:cs="Times New Roman"/>
        </w:rPr>
        <w:t>（</w:t>
      </w:r>
      <w:r>
        <w:rPr>
          <w:rFonts w:cs="Times New Roman"/>
        </w:rPr>
        <w:t>1</w:t>
      </w:r>
      <w:r>
        <w:rPr>
          <w:rFonts w:cs="Times New Roman"/>
        </w:rPr>
        <w:t>）桥梁</w:t>
      </w:r>
    </w:p>
    <w:p w:rsidR="00A46452" w:rsidRDefault="009A3928" w:rsidP="00182EED">
      <w:pPr>
        <w:wordWrap w:val="0"/>
        <w:topLinePunct/>
        <w:adjustRightInd w:val="0"/>
        <w:snapToGrid w:val="0"/>
        <w:spacing w:line="460" w:lineRule="exact"/>
        <w:ind w:firstLine="480"/>
        <w:jc w:val="left"/>
        <w:rPr>
          <w:rFonts w:cs="Times New Roman"/>
          <w:kern w:val="0"/>
          <w:szCs w:val="24"/>
          <w:lang w:bidi="ar"/>
        </w:rPr>
      </w:pPr>
      <w:r>
        <w:rPr>
          <w:rFonts w:cs="Times New Roman"/>
        </w:rPr>
        <w:t>全线共设置</w:t>
      </w:r>
      <w:r>
        <w:rPr>
          <w:rFonts w:cs="Times New Roman"/>
        </w:rPr>
        <w:t>15</w:t>
      </w:r>
      <w:r>
        <w:rPr>
          <w:rFonts w:cs="Times New Roman"/>
        </w:rPr>
        <w:t>座桥梁（利用大桥</w:t>
      </w:r>
      <w:r>
        <w:rPr>
          <w:rFonts w:cs="Times New Roman"/>
        </w:rPr>
        <w:t>1</w:t>
      </w:r>
      <w:r>
        <w:rPr>
          <w:rFonts w:cs="Times New Roman"/>
        </w:rPr>
        <w:t>座，</w:t>
      </w:r>
      <w:r>
        <w:rPr>
          <w:rFonts w:cs="Times New Roman"/>
        </w:rPr>
        <w:t>517m/1</w:t>
      </w:r>
      <w:r>
        <w:rPr>
          <w:rFonts w:cs="Times New Roman"/>
        </w:rPr>
        <w:t>座），</w:t>
      </w:r>
      <w:r>
        <w:rPr>
          <w:rFonts w:cs="Times New Roman"/>
          <w:kern w:val="0"/>
          <w:szCs w:val="24"/>
          <w:lang w:bidi="ar"/>
        </w:rPr>
        <w:t>新建大</w:t>
      </w:r>
      <w:r>
        <w:rPr>
          <w:rFonts w:cs="Times New Roman"/>
          <w:kern w:val="0"/>
          <w:szCs w:val="24"/>
          <w:lang w:bidi="ar"/>
        </w:rPr>
        <w:t>桥</w:t>
      </w:r>
      <w:r>
        <w:rPr>
          <w:rFonts w:cs="Times New Roman"/>
          <w:kern w:val="0"/>
          <w:szCs w:val="24"/>
          <w:lang w:bidi="ar"/>
        </w:rPr>
        <w:t>767</w:t>
      </w:r>
      <w:r>
        <w:rPr>
          <w:rFonts w:cs="Times New Roman"/>
        </w:rPr>
        <w:t>m</w:t>
      </w:r>
      <w:r>
        <w:rPr>
          <w:rFonts w:cs="Times New Roman"/>
          <w:kern w:val="0"/>
          <w:szCs w:val="24"/>
          <w:lang w:bidi="ar"/>
        </w:rPr>
        <w:t>/</w:t>
      </w:r>
      <w:r>
        <w:rPr>
          <w:rFonts w:cs="Times New Roman" w:hint="eastAsia"/>
          <w:kern w:val="0"/>
          <w:szCs w:val="24"/>
          <w:lang w:bidi="ar"/>
        </w:rPr>
        <w:t>4</w:t>
      </w:r>
      <w:r>
        <w:rPr>
          <w:rFonts w:cs="Times New Roman"/>
          <w:kern w:val="0"/>
          <w:szCs w:val="24"/>
          <w:lang w:bidi="ar"/>
        </w:rPr>
        <w:t>座，中桥</w:t>
      </w:r>
      <w:r>
        <w:rPr>
          <w:rFonts w:cs="Times New Roman"/>
          <w:kern w:val="0"/>
          <w:szCs w:val="24"/>
          <w:lang w:bidi="ar"/>
        </w:rPr>
        <w:t>356</w:t>
      </w:r>
      <w:r>
        <w:rPr>
          <w:rFonts w:cs="Times New Roman"/>
        </w:rPr>
        <w:t>m</w:t>
      </w:r>
      <w:r>
        <w:rPr>
          <w:rFonts w:cs="Times New Roman"/>
          <w:kern w:val="0"/>
          <w:szCs w:val="24"/>
          <w:lang w:bidi="ar"/>
        </w:rPr>
        <w:t>/</w:t>
      </w:r>
      <w:r>
        <w:rPr>
          <w:rFonts w:cs="Times New Roman"/>
          <w:kern w:val="0"/>
          <w:szCs w:val="24"/>
          <w:lang w:bidi="ar"/>
        </w:rPr>
        <w:t>6</w:t>
      </w:r>
      <w:r>
        <w:rPr>
          <w:rFonts w:cs="Times New Roman"/>
          <w:kern w:val="0"/>
          <w:szCs w:val="24"/>
          <w:lang w:bidi="ar"/>
        </w:rPr>
        <w:t>座，小桥</w:t>
      </w:r>
      <w:r>
        <w:rPr>
          <w:rFonts w:cs="Times New Roman"/>
          <w:kern w:val="0"/>
          <w:szCs w:val="24"/>
          <w:lang w:bidi="ar"/>
        </w:rPr>
        <w:t>98</w:t>
      </w:r>
      <w:r>
        <w:rPr>
          <w:rFonts w:cs="Times New Roman"/>
        </w:rPr>
        <w:t>m</w:t>
      </w:r>
      <w:r>
        <w:rPr>
          <w:rFonts w:cs="Times New Roman"/>
          <w:kern w:val="0"/>
          <w:szCs w:val="24"/>
          <w:lang w:bidi="ar"/>
        </w:rPr>
        <w:t>/</w:t>
      </w:r>
      <w:r>
        <w:rPr>
          <w:rFonts w:cs="Times New Roman"/>
          <w:kern w:val="0"/>
          <w:szCs w:val="24"/>
          <w:lang w:bidi="ar"/>
        </w:rPr>
        <w:t>4</w:t>
      </w:r>
      <w:r>
        <w:rPr>
          <w:rFonts w:cs="Times New Roman"/>
          <w:kern w:val="0"/>
          <w:szCs w:val="24"/>
          <w:lang w:bidi="ar"/>
        </w:rPr>
        <w:t>座。桥涵设计的汽车荷载等级为公路</w:t>
      </w:r>
      <w:r>
        <w:rPr>
          <w:rFonts w:cs="Times New Roman"/>
          <w:kern w:val="0"/>
          <w:szCs w:val="24"/>
          <w:lang w:bidi="ar"/>
        </w:rPr>
        <w:t>—Ⅰ</w:t>
      </w:r>
      <w:r>
        <w:rPr>
          <w:rFonts w:cs="Times New Roman"/>
          <w:kern w:val="0"/>
          <w:szCs w:val="24"/>
          <w:lang w:bidi="ar"/>
        </w:rPr>
        <w:t>级。</w:t>
      </w:r>
      <w:r>
        <w:rPr>
          <w:rFonts w:cs="Times New Roman"/>
          <w:kern w:val="0"/>
        </w:rPr>
        <w:t>桥梁设置见表</w:t>
      </w:r>
      <w:r>
        <w:rPr>
          <w:rFonts w:cs="Times New Roman"/>
          <w:kern w:val="0"/>
        </w:rPr>
        <w:t>4</w:t>
      </w:r>
      <w:r>
        <w:rPr>
          <w:rFonts w:cs="Times New Roman"/>
          <w:kern w:val="0"/>
        </w:rPr>
        <w:t>.</w:t>
      </w:r>
      <w:r>
        <w:rPr>
          <w:rFonts w:cs="Times New Roman"/>
          <w:kern w:val="0"/>
        </w:rPr>
        <w:t>2</w:t>
      </w:r>
      <w:r>
        <w:rPr>
          <w:rFonts w:cs="Times New Roman"/>
          <w:kern w:val="0"/>
        </w:rPr>
        <w:t>-</w:t>
      </w:r>
      <w:r>
        <w:rPr>
          <w:rFonts w:cs="Times New Roman"/>
          <w:kern w:val="0"/>
        </w:rPr>
        <w:t>4</w:t>
      </w:r>
      <w:r>
        <w:rPr>
          <w:rFonts w:cs="Times New Roman"/>
          <w:kern w:val="0"/>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w:t>
      </w:r>
      <w:r>
        <w:rPr>
          <w:rFonts w:eastAsia="黑体" w:cs="Times New Roman"/>
        </w:rPr>
        <w:t xml:space="preserve">4                 </w:t>
      </w:r>
      <w:r>
        <w:rPr>
          <w:rFonts w:eastAsia="黑体" w:cs="Times New Roman"/>
        </w:rPr>
        <w:t>本项目桥梁设置情况一览表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763"/>
        <w:gridCol w:w="1145"/>
        <w:gridCol w:w="679"/>
        <w:gridCol w:w="450"/>
        <w:gridCol w:w="590"/>
        <w:gridCol w:w="850"/>
        <w:gridCol w:w="1100"/>
        <w:gridCol w:w="939"/>
        <w:gridCol w:w="1616"/>
      </w:tblGrid>
      <w:tr w:rsidR="00A46452">
        <w:trPr>
          <w:trHeight w:val="260"/>
        </w:trPr>
        <w:tc>
          <w:tcPr>
            <w:tcW w:w="396"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763"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中心桩号</w:t>
            </w:r>
          </w:p>
        </w:tc>
        <w:tc>
          <w:tcPr>
            <w:tcW w:w="1145"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桥名</w:t>
            </w:r>
          </w:p>
        </w:tc>
        <w:tc>
          <w:tcPr>
            <w:tcW w:w="679"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孔数及跨径</w:t>
            </w:r>
          </w:p>
        </w:tc>
        <w:tc>
          <w:tcPr>
            <w:tcW w:w="450"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交角</w:t>
            </w:r>
          </w:p>
        </w:tc>
        <w:tc>
          <w:tcPr>
            <w:tcW w:w="590"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桥长</w:t>
            </w:r>
            <w:r>
              <w:rPr>
                <w:rFonts w:cs="Times New Roman"/>
                <w:kern w:val="0"/>
                <w:sz w:val="18"/>
                <w:szCs w:val="18"/>
                <w:lang w:bidi="ar"/>
              </w:rPr>
              <w:t>(m)</w:t>
            </w:r>
          </w:p>
        </w:tc>
        <w:tc>
          <w:tcPr>
            <w:tcW w:w="850"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上部构造</w:t>
            </w:r>
          </w:p>
        </w:tc>
        <w:tc>
          <w:tcPr>
            <w:tcW w:w="2039" w:type="dxa"/>
            <w:gridSpan w:val="2"/>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下部构造</w:t>
            </w:r>
          </w:p>
        </w:tc>
        <w:tc>
          <w:tcPr>
            <w:tcW w:w="1616" w:type="dxa"/>
            <w:vMerge w:val="restart"/>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kern w:val="0"/>
                <w:sz w:val="18"/>
                <w:szCs w:val="18"/>
                <w:lang w:bidi="ar"/>
              </w:rPr>
            </w:pPr>
            <w:r>
              <w:rPr>
                <w:rFonts w:cs="Times New Roman"/>
                <w:kern w:val="0"/>
                <w:sz w:val="18"/>
                <w:szCs w:val="18"/>
                <w:lang w:bidi="ar"/>
              </w:rPr>
              <w:t>备注</w:t>
            </w:r>
          </w:p>
        </w:tc>
      </w:tr>
      <w:tr w:rsidR="00A46452">
        <w:trPr>
          <w:trHeight w:val="260"/>
        </w:trPr>
        <w:tc>
          <w:tcPr>
            <w:tcW w:w="396" w:type="dxa"/>
            <w:vMerge/>
            <w:tcBorders>
              <w:tl2br w:val="nil"/>
              <w:tr2bl w:val="nil"/>
            </w:tcBorders>
            <w:shd w:val="clear" w:color="auto" w:fill="auto"/>
            <w:textDirection w:val="tbRlV"/>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763"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1145"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679"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450"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590"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850"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rPr>
                <w:rFonts w:cs="Times New Roman"/>
                <w:sz w:val="18"/>
                <w:szCs w:val="18"/>
              </w:rPr>
            </w:pP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桥台</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桥墩</w:t>
            </w:r>
          </w:p>
        </w:tc>
        <w:tc>
          <w:tcPr>
            <w:tcW w:w="1616" w:type="dxa"/>
            <w:vMerge/>
            <w:tcBorders>
              <w:tl2br w:val="nil"/>
              <w:tr2bl w:val="nil"/>
            </w:tcBorders>
            <w:shd w:val="clear" w:color="auto" w:fill="auto"/>
            <w:vAlign w:val="center"/>
          </w:tcPr>
          <w:p w:rsidR="00A46452" w:rsidRDefault="00A46452">
            <w:pPr>
              <w:wordWrap w:val="0"/>
              <w:topLinePunct/>
              <w:adjustRightInd w:val="0"/>
              <w:snapToGrid w:val="0"/>
              <w:spacing w:line="220" w:lineRule="exact"/>
              <w:ind w:firstLineChars="0" w:firstLine="0"/>
              <w:jc w:val="center"/>
              <w:textAlignment w:val="center"/>
              <w:rPr>
                <w:rFonts w:cs="Times New Roman"/>
                <w:kern w:val="0"/>
                <w:sz w:val="18"/>
                <w:szCs w:val="18"/>
                <w:lang w:bidi="ar"/>
              </w:rPr>
            </w:pPr>
          </w:p>
        </w:tc>
      </w:tr>
      <w:tr w:rsidR="00A46452">
        <w:trPr>
          <w:trHeight w:val="54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K14+769</w:t>
            </w:r>
            <w:r>
              <w:rPr>
                <w:rFonts w:cs="Times New Roman"/>
                <w:kern w:val="0"/>
                <w:sz w:val="18"/>
                <w:szCs w:val="18"/>
                <w:lang w:bidi="ar"/>
              </w:rPr>
              <w:t>.</w:t>
            </w:r>
            <w:r>
              <w:rPr>
                <w:rFonts w:cs="Times New Roman"/>
                <w:kern w:val="0"/>
                <w:sz w:val="18"/>
                <w:szCs w:val="18"/>
                <w:lang w:bidi="ar"/>
              </w:rPr>
              <w:t>700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sz w:val="18"/>
                <w:szCs w:val="18"/>
              </w:rPr>
              <w:t>五十团四干</w:t>
            </w:r>
          </w:p>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sz w:val="18"/>
                <w:szCs w:val="18"/>
              </w:rPr>
              <w:t>渠大桥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4-30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105</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127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跨越五十团四干渠，设置</w:t>
            </w:r>
            <w:r>
              <w:rPr>
                <w:rFonts w:cs="Times New Roman"/>
                <w:snapToGrid w:val="0"/>
                <w:kern w:val="0"/>
                <w:sz w:val="18"/>
                <w:szCs w:val="18"/>
              </w:rPr>
              <w:t>3</w:t>
            </w:r>
            <w:r>
              <w:rPr>
                <w:rFonts w:cs="Times New Roman"/>
                <w:snapToGrid w:val="0"/>
                <w:kern w:val="0"/>
                <w:sz w:val="18"/>
                <w:szCs w:val="18"/>
              </w:rPr>
              <w:t>个桥墩</w:t>
            </w:r>
          </w:p>
        </w:tc>
      </w:tr>
      <w:tr w:rsidR="00A46452">
        <w:trPr>
          <w:trHeight w:val="55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K18+727.500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中干渠小桥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2-13</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31</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预应力砼矮</w:t>
            </w:r>
            <w:r>
              <w:rPr>
                <w:rFonts w:cs="Times New Roman"/>
                <w:kern w:val="0"/>
                <w:sz w:val="18"/>
                <w:szCs w:val="18"/>
                <w:lang w:bidi="ar"/>
              </w:rPr>
              <w:t>T</w:t>
            </w:r>
            <w:r>
              <w:rPr>
                <w:rFonts w:cs="Times New Roman"/>
                <w:kern w:val="0"/>
                <w:sz w:val="18"/>
                <w:szCs w:val="18"/>
                <w:lang w:bidi="ar"/>
              </w:rPr>
              <w:t>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trHeight w:val="64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K22+482.000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突来买提河中桥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3-20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66</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trHeight w:val="52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4</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K23+695.800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六支干渠中桥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1-20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柱式台、钻孔灌注桩</w:t>
            </w:r>
          </w:p>
        </w:tc>
        <w:tc>
          <w:tcPr>
            <w:tcW w:w="939" w:type="dxa"/>
            <w:tcBorders>
              <w:tl2br w:val="nil"/>
              <w:tr2bl w:val="nil"/>
            </w:tcBorders>
            <w:shd w:val="clear" w:color="auto" w:fill="auto"/>
          </w:tcPr>
          <w:p w:rsidR="00A46452" w:rsidRDefault="00A46452">
            <w:pPr>
              <w:wordWrap w:val="0"/>
              <w:topLinePunct/>
              <w:adjustRightInd w:val="0"/>
              <w:snapToGrid w:val="0"/>
              <w:spacing w:line="220" w:lineRule="exact"/>
              <w:ind w:firstLineChars="0" w:firstLine="0"/>
              <w:jc w:val="left"/>
              <w:rPr>
                <w:rFonts w:cs="Times New Roman"/>
                <w:sz w:val="18"/>
                <w:szCs w:val="18"/>
              </w:rPr>
            </w:pP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napToGrid w:val="0"/>
                <w:kern w:val="0"/>
                <w:sz w:val="18"/>
                <w:szCs w:val="18"/>
              </w:rPr>
              <w:t>新建</w:t>
            </w:r>
          </w:p>
        </w:tc>
      </w:tr>
      <w:tr w:rsidR="00A46452">
        <w:trPr>
          <w:trHeight w:val="68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5</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K28+020.800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喀什噶尔河</w:t>
            </w:r>
            <w:r>
              <w:rPr>
                <w:rFonts w:cs="Times New Roman"/>
                <w:kern w:val="0"/>
                <w:sz w:val="18"/>
                <w:szCs w:val="18"/>
                <w:lang w:bidi="ar"/>
              </w:rPr>
              <w:t>一号中桥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2</w:t>
            </w:r>
            <w:r>
              <w:rPr>
                <w:rFonts w:cs="Times New Roman"/>
                <w:snapToGrid w:val="0"/>
                <w:kern w:val="0"/>
                <w:sz w:val="18"/>
                <w:szCs w:val="18"/>
              </w:rPr>
              <w:t>个桥墩</w:t>
            </w:r>
          </w:p>
        </w:tc>
      </w:tr>
      <w:tr w:rsidR="00A46452">
        <w:trPr>
          <w:trHeight w:val="48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K30+522.500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喀什噶尔河</w:t>
            </w:r>
            <w:r>
              <w:rPr>
                <w:rFonts w:cs="Times New Roman"/>
                <w:kern w:val="0"/>
                <w:sz w:val="18"/>
                <w:szCs w:val="18"/>
                <w:lang w:bidi="ar"/>
              </w:rPr>
              <w:t>二号中桥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12</w:t>
            </w:r>
            <w:r>
              <w:rPr>
                <w:rFonts w:cs="Times New Roman"/>
                <w:kern w:val="0"/>
                <w:sz w:val="18"/>
                <w:szCs w:val="18"/>
                <w:lang w:bidi="ar"/>
              </w:rPr>
              <w:t>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2</w:t>
            </w:r>
            <w:r>
              <w:rPr>
                <w:rFonts w:cs="Times New Roman"/>
                <w:snapToGrid w:val="0"/>
                <w:kern w:val="0"/>
                <w:sz w:val="18"/>
                <w:szCs w:val="18"/>
              </w:rPr>
              <w:t>个桥墩</w:t>
            </w:r>
          </w:p>
        </w:tc>
      </w:tr>
      <w:tr w:rsidR="00A46452">
        <w:trPr>
          <w:trHeight w:val="60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7</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K81+114.000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苏贝希沟</w:t>
            </w:r>
            <w:r>
              <w:rPr>
                <w:rFonts w:cs="Times New Roman"/>
                <w:b/>
                <w:bCs/>
                <w:kern w:val="0"/>
                <w:sz w:val="18"/>
                <w:szCs w:val="18"/>
                <w:lang w:bidi="ar"/>
              </w:rPr>
              <w:t>-</w:t>
            </w:r>
            <w:r>
              <w:rPr>
                <w:rFonts w:cs="Times New Roman"/>
                <w:b/>
                <w:bCs/>
                <w:kern w:val="0"/>
                <w:sz w:val="18"/>
                <w:szCs w:val="18"/>
                <w:lang w:bidi="ar"/>
              </w:rPr>
              <w:t>加依洛萨依河一号大桥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6-30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187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b/>
                <w:bCs/>
                <w:sz w:val="18"/>
                <w:szCs w:val="18"/>
              </w:rPr>
            </w:pPr>
            <w:r>
              <w:rPr>
                <w:rFonts w:cs="Times New Roman"/>
                <w:b/>
                <w:bCs/>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b/>
                <w:bCs/>
                <w:kern w:val="0"/>
                <w:sz w:val="18"/>
                <w:szCs w:val="18"/>
                <w:lang w:bidi="ar"/>
              </w:rPr>
            </w:pPr>
            <w:r>
              <w:rPr>
                <w:rFonts w:cs="Times New Roman"/>
                <w:b/>
                <w:bCs/>
                <w:kern w:val="0"/>
                <w:sz w:val="18"/>
                <w:szCs w:val="18"/>
                <w:lang w:bidi="ar"/>
              </w:rPr>
              <w:t>设置</w:t>
            </w:r>
            <w:r>
              <w:rPr>
                <w:rFonts w:cs="Times New Roman"/>
                <w:b/>
                <w:bCs/>
                <w:kern w:val="0"/>
                <w:sz w:val="18"/>
                <w:szCs w:val="18"/>
                <w:lang w:bidi="ar"/>
              </w:rPr>
              <w:t>5</w:t>
            </w:r>
            <w:r>
              <w:rPr>
                <w:rFonts w:cs="Times New Roman"/>
                <w:b/>
                <w:bCs/>
                <w:kern w:val="0"/>
                <w:sz w:val="18"/>
                <w:szCs w:val="18"/>
                <w:lang w:bidi="ar"/>
              </w:rPr>
              <w:t>个桥墩</w:t>
            </w:r>
          </w:p>
        </w:tc>
      </w:tr>
      <w:tr w:rsidR="00A46452">
        <w:trPr>
          <w:trHeight w:val="57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sz w:val="18"/>
                <w:szCs w:val="18"/>
              </w:rPr>
              <w:t>8</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K81+786.000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阿恰干渠一号中桥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3-13</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75</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44</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预应力砼矮</w:t>
            </w:r>
            <w:r>
              <w:rPr>
                <w:rFonts w:cs="Times New Roman"/>
                <w:kern w:val="0"/>
                <w:sz w:val="18"/>
                <w:szCs w:val="18"/>
                <w:lang w:bidi="ar"/>
              </w:rPr>
              <w:t>T</w:t>
            </w:r>
            <w:r>
              <w:rPr>
                <w:rFonts w:cs="Times New Roman"/>
                <w:kern w:val="0"/>
                <w:sz w:val="18"/>
                <w:szCs w:val="18"/>
                <w:lang w:bidi="ar"/>
              </w:rPr>
              <w:t>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柱式墩、钻孔灌注桩</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2</w:t>
            </w:r>
            <w:r>
              <w:rPr>
                <w:rFonts w:cs="Times New Roman"/>
                <w:snapToGrid w:val="0"/>
                <w:kern w:val="0"/>
                <w:sz w:val="18"/>
                <w:szCs w:val="18"/>
              </w:rPr>
              <w:t>个桥墩</w:t>
            </w:r>
          </w:p>
        </w:tc>
      </w:tr>
      <w:tr w:rsidR="00A46452">
        <w:trPr>
          <w:trHeight w:val="52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K82+540.000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阿柯公铁立交桥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17-30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517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柱式墩基础</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利用</w:t>
            </w:r>
          </w:p>
        </w:tc>
      </w:tr>
      <w:tr w:rsidR="00A46452">
        <w:trPr>
          <w:trHeight w:val="52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10</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K84+702.700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阿恰干渠二号中桥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1-20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桩柱式桥台钻孔灌注桩</w:t>
            </w:r>
          </w:p>
        </w:tc>
        <w:tc>
          <w:tcPr>
            <w:tcW w:w="939" w:type="dxa"/>
            <w:tcBorders>
              <w:tl2br w:val="nil"/>
              <w:tr2bl w:val="nil"/>
            </w:tcBorders>
            <w:shd w:val="clear" w:color="auto" w:fill="auto"/>
          </w:tcPr>
          <w:p w:rsidR="00A46452" w:rsidRDefault="00A46452">
            <w:pPr>
              <w:wordWrap w:val="0"/>
              <w:topLinePunct/>
              <w:adjustRightInd w:val="0"/>
              <w:snapToGrid w:val="0"/>
              <w:spacing w:line="220" w:lineRule="exact"/>
              <w:ind w:firstLineChars="0" w:firstLine="0"/>
              <w:jc w:val="left"/>
              <w:rPr>
                <w:rFonts w:cs="Times New Roman"/>
                <w:sz w:val="18"/>
                <w:szCs w:val="18"/>
              </w:rPr>
            </w:pP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napToGrid w:val="0"/>
                <w:kern w:val="0"/>
                <w:sz w:val="18"/>
                <w:szCs w:val="18"/>
              </w:rPr>
              <w:t>新建</w:t>
            </w:r>
          </w:p>
        </w:tc>
      </w:tr>
      <w:tr w:rsidR="00A46452">
        <w:trPr>
          <w:trHeight w:val="52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K84+800.00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柯坪一号小桥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1-13</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18</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预应力砼矮</w:t>
            </w:r>
            <w:r>
              <w:rPr>
                <w:rFonts w:cs="Times New Roman"/>
                <w:kern w:val="0"/>
                <w:sz w:val="18"/>
                <w:szCs w:val="18"/>
                <w:lang w:bidi="ar"/>
              </w:rPr>
              <w:t>T</w:t>
            </w:r>
            <w:r>
              <w:rPr>
                <w:rFonts w:cs="Times New Roman"/>
                <w:kern w:val="0"/>
                <w:sz w:val="18"/>
                <w:szCs w:val="18"/>
                <w:lang w:bidi="ar"/>
              </w:rPr>
              <w:t>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桩柱式桥台钻孔灌注桩</w:t>
            </w:r>
          </w:p>
        </w:tc>
        <w:tc>
          <w:tcPr>
            <w:tcW w:w="939" w:type="dxa"/>
            <w:tcBorders>
              <w:tl2br w:val="nil"/>
              <w:tr2bl w:val="nil"/>
            </w:tcBorders>
            <w:shd w:val="clear" w:color="auto" w:fill="auto"/>
          </w:tcPr>
          <w:p w:rsidR="00A46452" w:rsidRDefault="00A46452">
            <w:pPr>
              <w:wordWrap w:val="0"/>
              <w:topLinePunct/>
              <w:adjustRightInd w:val="0"/>
              <w:snapToGrid w:val="0"/>
              <w:spacing w:line="220" w:lineRule="exact"/>
              <w:ind w:firstLineChars="0" w:firstLine="0"/>
              <w:jc w:val="left"/>
              <w:rPr>
                <w:rFonts w:cs="Times New Roman"/>
                <w:sz w:val="18"/>
                <w:szCs w:val="18"/>
              </w:rPr>
            </w:pP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napToGrid w:val="0"/>
                <w:kern w:val="0"/>
                <w:sz w:val="18"/>
                <w:szCs w:val="18"/>
              </w:rPr>
              <w:t>新建</w:t>
            </w:r>
          </w:p>
        </w:tc>
      </w:tr>
      <w:tr w:rsidR="00A46452">
        <w:trPr>
          <w:trHeight w:val="50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K85+032.000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加依洛萨依河二号大桥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8-30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247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柱式墩基础</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kern w:val="0"/>
                <w:sz w:val="18"/>
                <w:szCs w:val="18"/>
                <w:lang w:bidi="ar"/>
              </w:rPr>
              <w:t>7</w:t>
            </w:r>
            <w:r>
              <w:rPr>
                <w:rFonts w:cs="Times New Roman"/>
                <w:kern w:val="0"/>
                <w:sz w:val="18"/>
                <w:szCs w:val="18"/>
                <w:lang w:bidi="ar"/>
              </w:rPr>
              <w:t>个桥墩</w:t>
            </w:r>
          </w:p>
        </w:tc>
      </w:tr>
      <w:tr w:rsidR="00A46452">
        <w:trPr>
          <w:trHeight w:val="52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13</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K89+329.800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柯坪二号小桥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1-13</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18</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预应力砼矮</w:t>
            </w:r>
            <w:r>
              <w:rPr>
                <w:rFonts w:cs="Times New Roman"/>
                <w:kern w:val="0"/>
                <w:sz w:val="18"/>
                <w:szCs w:val="18"/>
                <w:lang w:bidi="ar"/>
              </w:rPr>
              <w:t>T</w:t>
            </w:r>
            <w:r>
              <w:rPr>
                <w:rFonts w:cs="Times New Roman"/>
                <w:kern w:val="0"/>
                <w:sz w:val="18"/>
                <w:szCs w:val="18"/>
                <w:lang w:bidi="ar"/>
              </w:rPr>
              <w:t>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柱式墩基础</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新建</w:t>
            </w:r>
          </w:p>
        </w:tc>
      </w:tr>
      <w:tr w:rsidR="00A46452">
        <w:trPr>
          <w:trHeight w:val="34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14</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K90+066.000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柯坪三号小桥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2-13</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31</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预应力砼矮</w:t>
            </w:r>
            <w:r>
              <w:rPr>
                <w:rFonts w:cs="Times New Roman"/>
                <w:kern w:val="0"/>
                <w:sz w:val="18"/>
                <w:szCs w:val="18"/>
                <w:lang w:bidi="ar"/>
              </w:rPr>
              <w:t>T</w:t>
            </w:r>
            <w:r>
              <w:rPr>
                <w:rFonts w:cs="Times New Roman"/>
                <w:kern w:val="0"/>
                <w:sz w:val="18"/>
                <w:szCs w:val="18"/>
                <w:lang w:bidi="ar"/>
              </w:rPr>
              <w:t>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桩柱式桥台钻孔灌注桩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柱式墩基础</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1</w:t>
            </w:r>
            <w:r>
              <w:rPr>
                <w:rFonts w:cs="Times New Roman"/>
                <w:snapToGrid w:val="0"/>
                <w:kern w:val="0"/>
                <w:sz w:val="18"/>
                <w:szCs w:val="18"/>
              </w:rPr>
              <w:t>个桥墩</w:t>
            </w:r>
          </w:p>
        </w:tc>
      </w:tr>
      <w:tr w:rsidR="00A46452">
        <w:trPr>
          <w:trHeight w:val="600"/>
        </w:trPr>
        <w:tc>
          <w:tcPr>
            <w:tcW w:w="396"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top"/>
              <w:rPr>
                <w:rFonts w:cs="Times New Roman"/>
                <w:sz w:val="18"/>
                <w:szCs w:val="18"/>
              </w:rPr>
            </w:pPr>
            <w:r>
              <w:rPr>
                <w:rFonts w:cs="Times New Roman"/>
                <w:kern w:val="0"/>
                <w:sz w:val="18"/>
                <w:szCs w:val="18"/>
                <w:lang w:bidi="ar"/>
              </w:rPr>
              <w:t>15</w:t>
            </w:r>
          </w:p>
        </w:tc>
        <w:tc>
          <w:tcPr>
            <w:tcW w:w="763"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K100+343.80</w:t>
            </w:r>
          </w:p>
        </w:tc>
        <w:tc>
          <w:tcPr>
            <w:tcW w:w="1145"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柯坪河大桥</w:t>
            </w:r>
          </w:p>
        </w:tc>
        <w:tc>
          <w:tcPr>
            <w:tcW w:w="67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10-20</w:t>
            </w:r>
          </w:p>
        </w:tc>
        <w:tc>
          <w:tcPr>
            <w:tcW w:w="4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59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207</w:t>
            </w:r>
          </w:p>
        </w:tc>
        <w:tc>
          <w:tcPr>
            <w:tcW w:w="85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预应力砼小箱梁</w:t>
            </w:r>
          </w:p>
        </w:tc>
        <w:tc>
          <w:tcPr>
            <w:tcW w:w="1100"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肋板式桥台、钻孔灌注桩</w:t>
            </w:r>
          </w:p>
        </w:tc>
        <w:tc>
          <w:tcPr>
            <w:tcW w:w="939" w:type="dxa"/>
            <w:tcBorders>
              <w:tl2br w:val="nil"/>
              <w:tr2bl w:val="nil"/>
            </w:tcBorders>
            <w:shd w:val="clear" w:color="auto" w:fill="auto"/>
            <w:vAlign w:val="center"/>
          </w:tcPr>
          <w:p w:rsidR="00A46452" w:rsidRDefault="009A3928">
            <w:pPr>
              <w:wordWrap w:val="0"/>
              <w:topLinePunct/>
              <w:adjustRightInd w:val="0"/>
              <w:snapToGrid w:val="0"/>
              <w:spacing w:line="220" w:lineRule="exact"/>
              <w:ind w:firstLineChars="0" w:firstLine="0"/>
              <w:jc w:val="center"/>
              <w:textAlignment w:val="center"/>
              <w:rPr>
                <w:rFonts w:cs="Times New Roman"/>
                <w:sz w:val="18"/>
                <w:szCs w:val="18"/>
              </w:rPr>
            </w:pPr>
            <w:r>
              <w:rPr>
                <w:rFonts w:cs="Times New Roman"/>
                <w:kern w:val="0"/>
                <w:sz w:val="18"/>
                <w:szCs w:val="18"/>
                <w:lang w:bidi="ar"/>
              </w:rPr>
              <w:t>柱式墩</w:t>
            </w:r>
            <w:r>
              <w:rPr>
                <w:rFonts w:cs="Times New Roman"/>
                <w:kern w:val="0"/>
                <w:sz w:val="18"/>
                <w:szCs w:val="18"/>
                <w:lang w:bidi="ar"/>
              </w:rPr>
              <w:br/>
            </w:r>
            <w:r>
              <w:rPr>
                <w:rFonts w:cs="Times New Roman"/>
                <w:kern w:val="0"/>
                <w:sz w:val="18"/>
                <w:szCs w:val="18"/>
                <w:lang w:bidi="ar"/>
              </w:rPr>
              <w:t>基础</w:t>
            </w:r>
          </w:p>
        </w:tc>
        <w:tc>
          <w:tcPr>
            <w:tcW w:w="1616"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snapToGrid w:val="0"/>
                <w:kern w:val="0"/>
                <w:sz w:val="18"/>
                <w:szCs w:val="18"/>
              </w:rPr>
              <w:t>设置</w:t>
            </w:r>
            <w:r>
              <w:rPr>
                <w:rFonts w:cs="Times New Roman"/>
                <w:snapToGrid w:val="0"/>
                <w:kern w:val="0"/>
                <w:sz w:val="18"/>
                <w:szCs w:val="18"/>
              </w:rPr>
              <w:t>9</w:t>
            </w:r>
            <w:r>
              <w:rPr>
                <w:rFonts w:cs="Times New Roman"/>
                <w:snapToGrid w:val="0"/>
                <w:kern w:val="0"/>
                <w:sz w:val="18"/>
                <w:szCs w:val="18"/>
              </w:rPr>
              <w:t>个桥墩</w:t>
            </w:r>
          </w:p>
        </w:tc>
      </w:tr>
    </w:tbl>
    <w:p w:rsidR="00A46452" w:rsidRDefault="009A3928" w:rsidP="00182EED">
      <w:pPr>
        <w:wordWrap w:val="0"/>
        <w:topLinePunct/>
        <w:adjustRightInd w:val="0"/>
        <w:snapToGrid w:val="0"/>
        <w:ind w:firstLine="482"/>
        <w:jc w:val="left"/>
        <w:rPr>
          <w:rFonts w:cs="Times New Roman"/>
        </w:rPr>
      </w:pPr>
      <w:r>
        <w:rPr>
          <w:rFonts w:cs="Times New Roman"/>
          <w:b/>
          <w:bCs/>
          <w:kern w:val="0"/>
          <w:szCs w:val="24"/>
          <w:lang w:bidi="ar"/>
        </w:rPr>
        <w:t>典型桥梁设计</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K81+114</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加依洛萨依沟一号大桥</w:t>
      </w:r>
      <w:r>
        <w:rPr>
          <w:rFonts w:cs="Times New Roman"/>
          <w:b/>
          <w:bCs/>
          <w:kern w:val="0"/>
          <w:szCs w:val="24"/>
          <w:lang w:bidi="ar"/>
        </w:rPr>
        <w:t xml:space="preserve"> </w:t>
      </w:r>
    </w:p>
    <w:p w:rsidR="00A46452" w:rsidRDefault="009A3928" w:rsidP="00182EED">
      <w:pPr>
        <w:wordWrap w:val="0"/>
        <w:topLinePunct/>
        <w:adjustRightInd w:val="0"/>
        <w:snapToGrid w:val="0"/>
        <w:ind w:firstLine="480"/>
        <w:rPr>
          <w:rFonts w:cs="Times New Roman"/>
        </w:rPr>
      </w:pPr>
      <w:r>
        <w:rPr>
          <w:rFonts w:cs="Times New Roman"/>
        </w:rPr>
        <w:t>①</w:t>
      </w:r>
      <w:r>
        <w:rPr>
          <w:rFonts w:cs="Times New Roman"/>
          <w:kern w:val="0"/>
          <w:szCs w:val="24"/>
          <w:lang w:bidi="ar"/>
        </w:rPr>
        <w:t>建设条件</w:t>
      </w:r>
    </w:p>
    <w:p w:rsidR="00A46452" w:rsidRDefault="009A3928">
      <w:pPr>
        <w:ind w:firstLine="480"/>
        <w:rPr>
          <w:rFonts w:cs="Times New Roman"/>
        </w:rPr>
      </w:pPr>
      <w:r>
        <w:rPr>
          <w:rFonts w:cs="Times New Roman"/>
          <w:kern w:val="0"/>
          <w:szCs w:val="24"/>
          <w:lang w:bidi="ar"/>
        </w:rPr>
        <w:t>“</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加依洛萨依沟</w:t>
      </w:r>
      <w:r>
        <w:rPr>
          <w:rFonts w:cs="Times New Roman"/>
          <w:kern w:val="0"/>
          <w:szCs w:val="24"/>
          <w:lang w:bidi="ar"/>
        </w:rPr>
        <w:t>”</w:t>
      </w:r>
      <w:r>
        <w:rPr>
          <w:rFonts w:cs="Times New Roman"/>
          <w:kern w:val="0"/>
          <w:szCs w:val="24"/>
          <w:lang w:bidi="ar"/>
        </w:rPr>
        <w:t>本地人又称柯坪河，上游吐和高速采用（</w:t>
      </w:r>
      <w:r>
        <w:rPr>
          <w:rFonts w:cs="Times New Roman"/>
          <w:kern w:val="0"/>
          <w:szCs w:val="24"/>
          <w:lang w:bidi="ar"/>
        </w:rPr>
        <w:t>10</w:t>
      </w:r>
      <w:r>
        <w:rPr>
          <w:rFonts w:cs="Times New Roman"/>
        </w:rPr>
        <w:t>m</w:t>
      </w:r>
      <w:r>
        <w:rPr>
          <w:rFonts w:cs="Times New Roman"/>
          <w:kern w:val="0"/>
          <w:szCs w:val="24"/>
          <w:lang w:bidi="ar"/>
        </w:rPr>
        <w:t>~</w:t>
      </w:r>
      <w:r>
        <w:rPr>
          <w:rFonts w:cs="Times New Roman"/>
          <w:kern w:val="0"/>
          <w:szCs w:val="24"/>
          <w:lang w:bidi="ar"/>
        </w:rPr>
        <w:t>30m</w:t>
      </w:r>
      <w:r>
        <w:rPr>
          <w:rFonts w:cs="Times New Roman"/>
          <w:kern w:val="0"/>
          <w:szCs w:val="24"/>
          <w:lang w:bidi="ar"/>
        </w:rPr>
        <w:t>）预应力砼小箱梁跨越柯坪河，南疆铁路采用（</w:t>
      </w:r>
      <w:r>
        <w:rPr>
          <w:rFonts w:cs="Times New Roman"/>
          <w:kern w:val="0"/>
          <w:szCs w:val="24"/>
          <w:lang w:bidi="ar"/>
        </w:rPr>
        <w:t>10</w:t>
      </w:r>
      <w:r>
        <w:rPr>
          <w:rFonts w:cs="Times New Roman"/>
        </w:rPr>
        <w:t>m</w:t>
      </w:r>
      <w:r>
        <w:rPr>
          <w:rFonts w:cs="Times New Roman"/>
          <w:kern w:val="0"/>
          <w:szCs w:val="24"/>
          <w:lang w:bidi="ar"/>
        </w:rPr>
        <w:t>~</w:t>
      </w:r>
      <w:r>
        <w:rPr>
          <w:rFonts w:cs="Times New Roman"/>
          <w:kern w:val="0"/>
          <w:szCs w:val="24"/>
          <w:lang w:bidi="ar"/>
        </w:rPr>
        <w:t>30m</w:t>
      </w:r>
      <w:r>
        <w:rPr>
          <w:rFonts w:cs="Times New Roman"/>
          <w:kern w:val="0"/>
          <w:szCs w:val="24"/>
          <w:lang w:bidi="ar"/>
        </w:rPr>
        <w:t>）预应力砼小箱梁跨越柯坪河，下游</w:t>
      </w:r>
      <w:r>
        <w:rPr>
          <w:rFonts w:cs="Times New Roman"/>
          <w:kern w:val="0"/>
          <w:szCs w:val="24"/>
          <w:lang w:bidi="ar"/>
        </w:rPr>
        <w:t>G314</w:t>
      </w:r>
      <w:r>
        <w:rPr>
          <w:rFonts w:cs="Times New Roman"/>
          <w:kern w:val="0"/>
          <w:szCs w:val="24"/>
          <w:lang w:bidi="ar"/>
        </w:rPr>
        <w:t>采用（</w:t>
      </w:r>
      <w:r>
        <w:rPr>
          <w:rFonts w:cs="Times New Roman"/>
          <w:kern w:val="0"/>
          <w:szCs w:val="24"/>
          <w:lang w:bidi="ar"/>
        </w:rPr>
        <w:t>5</w:t>
      </w:r>
      <w:r>
        <w:rPr>
          <w:rFonts w:cs="Times New Roman"/>
        </w:rPr>
        <w:t>m</w:t>
      </w:r>
      <w:r>
        <w:rPr>
          <w:rFonts w:cs="Times New Roman"/>
          <w:kern w:val="0"/>
          <w:szCs w:val="24"/>
          <w:lang w:bidi="ar"/>
        </w:rPr>
        <w:t>~</w:t>
      </w:r>
      <w:r>
        <w:rPr>
          <w:rFonts w:cs="Times New Roman"/>
          <w:kern w:val="0"/>
          <w:szCs w:val="24"/>
          <w:lang w:bidi="ar"/>
        </w:rPr>
        <w:t>30m</w:t>
      </w:r>
      <w:r>
        <w:rPr>
          <w:rFonts w:cs="Times New Roman"/>
          <w:kern w:val="0"/>
          <w:szCs w:val="24"/>
          <w:lang w:bidi="ar"/>
        </w:rPr>
        <w:t>）预应力砼小箱梁跨越苏贝希沟</w:t>
      </w:r>
      <w:r>
        <w:rPr>
          <w:rFonts w:cs="Times New Roman"/>
          <w:kern w:val="0"/>
          <w:szCs w:val="24"/>
          <w:lang w:bidi="ar"/>
        </w:rPr>
        <w:t>-</w:t>
      </w:r>
      <w:r>
        <w:rPr>
          <w:rFonts w:cs="Times New Roman"/>
          <w:kern w:val="0"/>
          <w:szCs w:val="24"/>
          <w:lang w:bidi="ar"/>
        </w:rPr>
        <w:t>加依洛萨依沟，拟建道路穿越柯坪河岸线规划宽度为</w:t>
      </w:r>
      <w:r>
        <w:rPr>
          <w:rFonts w:cs="Times New Roman"/>
          <w:kern w:val="0"/>
          <w:szCs w:val="24"/>
          <w:lang w:bidi="ar"/>
        </w:rPr>
        <w:t>171m</w:t>
      </w:r>
      <w:r>
        <w:rPr>
          <w:rFonts w:cs="Times New Roman"/>
          <w:kern w:val="0"/>
          <w:szCs w:val="24"/>
          <w:lang w:bidi="ar"/>
        </w:rPr>
        <w:t>。</w:t>
      </w:r>
      <w:r>
        <w:rPr>
          <w:rFonts w:cs="Times New Roman"/>
        </w:rPr>
        <w:t>K</w:t>
      </w:r>
      <w:r>
        <w:rPr>
          <w:rFonts w:cs="Times New Roman"/>
        </w:rPr>
        <w:t>81</w:t>
      </w:r>
      <w:r>
        <w:rPr>
          <w:rFonts w:cs="Times New Roman"/>
        </w:rPr>
        <w:t>+</w:t>
      </w:r>
      <w:r>
        <w:rPr>
          <w:rFonts w:cs="Times New Roman"/>
        </w:rPr>
        <w:t>114</w:t>
      </w:r>
      <w:r>
        <w:rPr>
          <w:rFonts w:cs="Times New Roman"/>
        </w:rPr>
        <w:t>苏贝希沟一加依洛萨依沟一号大桥桥位示意图</w:t>
      </w:r>
      <w:r>
        <w:rPr>
          <w:rFonts w:cs="Times New Roman"/>
        </w:rPr>
        <w:t>见图</w:t>
      </w:r>
      <w:r>
        <w:rPr>
          <w:rFonts w:cs="Times New Roman"/>
        </w:rPr>
        <w:t>4.2-3</w:t>
      </w:r>
      <w:r>
        <w:rPr>
          <w:rFonts w:cs="Times New Roman" w:hint="eastAsia"/>
        </w:rPr>
        <w:t>。</w:t>
      </w:r>
    </w:p>
    <w:p w:rsidR="00A46452" w:rsidRDefault="009A3928" w:rsidP="00182EED">
      <w:pPr>
        <w:wordWrap w:val="0"/>
        <w:topLinePunct/>
        <w:adjustRightInd w:val="0"/>
        <w:snapToGrid w:val="0"/>
        <w:ind w:firstLine="480"/>
        <w:rPr>
          <w:rFonts w:cs="Times New Roman"/>
        </w:rPr>
      </w:pPr>
      <w:r>
        <w:rPr>
          <w:rFonts w:cs="Times New Roman"/>
        </w:rPr>
        <w:t>②</w:t>
      </w:r>
      <w:r>
        <w:rPr>
          <w:rFonts w:cs="Times New Roman"/>
          <w:kern w:val="0"/>
          <w:szCs w:val="24"/>
          <w:lang w:bidi="ar"/>
        </w:rPr>
        <w:t>地质条件</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根据勘察成果，桥址区勘探深度</w:t>
      </w:r>
      <w:r>
        <w:rPr>
          <w:rFonts w:cs="Times New Roman"/>
          <w:kern w:val="0"/>
          <w:szCs w:val="24"/>
          <w:lang w:bidi="ar"/>
        </w:rPr>
        <w:t>50m</w:t>
      </w:r>
      <w:r>
        <w:rPr>
          <w:rFonts w:cs="Times New Roman"/>
          <w:kern w:val="0"/>
          <w:szCs w:val="24"/>
          <w:lang w:bidi="ar"/>
        </w:rPr>
        <w:t>范围内地层岩性自上而下特性为：第一层：杂填土（</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ml</w:t>
      </w:r>
      <w:r>
        <w:rPr>
          <w:rFonts w:cs="Times New Roman"/>
          <w:kern w:val="0"/>
          <w:szCs w:val="24"/>
          <w:lang w:bidi="ar"/>
        </w:rPr>
        <w:t>），厚约</w:t>
      </w:r>
      <w:r>
        <w:rPr>
          <w:rFonts w:cs="Times New Roman"/>
          <w:kern w:val="0"/>
          <w:szCs w:val="24"/>
          <w:lang w:bidi="ar"/>
        </w:rPr>
        <w:t>0.4m</w:t>
      </w:r>
      <w:r>
        <w:rPr>
          <w:rFonts w:cs="Times New Roman"/>
          <w:kern w:val="0"/>
          <w:szCs w:val="24"/>
          <w:lang w:bidi="ar"/>
        </w:rPr>
        <w:t>~</w:t>
      </w:r>
      <w:r>
        <w:rPr>
          <w:rFonts w:cs="Times New Roman"/>
          <w:kern w:val="0"/>
          <w:szCs w:val="24"/>
          <w:lang w:bidi="ar"/>
        </w:rPr>
        <w:t>0.6m</w:t>
      </w:r>
      <w:r>
        <w:rPr>
          <w:rFonts w:cs="Times New Roman"/>
          <w:kern w:val="0"/>
          <w:szCs w:val="24"/>
          <w:lang w:bidi="ar"/>
        </w:rPr>
        <w:t>，呈黄褐色，干燥</w:t>
      </w:r>
      <w:r>
        <w:rPr>
          <w:rFonts w:cs="Times New Roman"/>
          <w:kern w:val="0"/>
          <w:szCs w:val="24"/>
          <w:lang w:bidi="ar"/>
        </w:rPr>
        <w:t>-</w:t>
      </w:r>
      <w:r>
        <w:rPr>
          <w:rFonts w:cs="Times New Roman"/>
          <w:kern w:val="0"/>
          <w:szCs w:val="24"/>
          <w:lang w:bidi="ar"/>
        </w:rPr>
        <w:t>稍湿，稍密</w:t>
      </w:r>
      <w:r>
        <w:rPr>
          <w:rFonts w:cs="Times New Roman"/>
          <w:kern w:val="0"/>
          <w:szCs w:val="24"/>
          <w:lang w:bidi="ar"/>
        </w:rPr>
        <w:t>,</w:t>
      </w:r>
      <w:r>
        <w:rPr>
          <w:rFonts w:cs="Times New Roman"/>
          <w:kern w:val="0"/>
          <w:szCs w:val="24"/>
          <w:lang w:bidi="ar"/>
        </w:rPr>
        <w:t>主要由砂砾石组成，河床左岸有混凝土护堤。</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第二层：粉砂（</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），厚度约</w:t>
      </w:r>
      <w:r>
        <w:rPr>
          <w:rFonts w:cs="Times New Roman"/>
          <w:kern w:val="0"/>
          <w:szCs w:val="24"/>
          <w:lang w:bidi="ar"/>
        </w:rPr>
        <w:t>5.0m</w:t>
      </w:r>
      <w:r>
        <w:rPr>
          <w:rFonts w:cs="Times New Roman"/>
          <w:kern w:val="0"/>
          <w:szCs w:val="24"/>
          <w:lang w:bidi="ar"/>
        </w:rPr>
        <w:t>，呈浅黄色，呈稍湿</w:t>
      </w:r>
      <w:r>
        <w:rPr>
          <w:rFonts w:cs="Times New Roman"/>
          <w:kern w:val="0"/>
          <w:szCs w:val="24"/>
          <w:lang w:bidi="ar"/>
        </w:rPr>
        <w:t>-</w:t>
      </w:r>
      <w:r>
        <w:rPr>
          <w:rFonts w:cs="Times New Roman"/>
          <w:kern w:val="0"/>
          <w:szCs w:val="24"/>
          <w:lang w:bidi="ar"/>
        </w:rPr>
        <w:t>饱和状态，松散</w:t>
      </w:r>
      <w:r>
        <w:rPr>
          <w:rFonts w:cs="Times New Roman"/>
          <w:kern w:val="0"/>
          <w:szCs w:val="24"/>
          <w:lang w:bidi="ar"/>
        </w:rPr>
        <w:t>-</w:t>
      </w:r>
      <w:r>
        <w:rPr>
          <w:rFonts w:cs="Times New Roman"/>
          <w:kern w:val="0"/>
          <w:szCs w:val="24"/>
          <w:lang w:bidi="ar"/>
        </w:rPr>
        <w:t>稍密。矿物成分以石英、长石及云母为主，颗粒形状不规则，颗粒级配一般，土石等级</w:t>
      </w:r>
      <w:r>
        <w:rPr>
          <w:rFonts w:cs="Times New Roman"/>
          <w:kern w:val="0"/>
          <w:szCs w:val="24"/>
          <w:lang w:bidi="ar"/>
        </w:rPr>
        <w:t>Ⅱ</w:t>
      </w:r>
      <w:r>
        <w:rPr>
          <w:rFonts w:cs="Times New Roman"/>
          <w:kern w:val="0"/>
          <w:szCs w:val="24"/>
          <w:lang w:bidi="ar"/>
        </w:rPr>
        <w:t>级。</w:t>
      </w:r>
      <w:r>
        <w:rPr>
          <w:rFonts w:cs="Times New Roman"/>
          <w:kern w:val="0"/>
          <w:szCs w:val="24"/>
          <w:lang w:bidi="ar"/>
        </w:rPr>
        <w:t xml:space="preserve"> </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第三层：粉土（</w:t>
      </w:r>
      <w:r>
        <w:rPr>
          <w:rFonts w:cs="Times New Roman"/>
          <w:kern w:val="0"/>
          <w:szCs w:val="24"/>
          <w:lang w:bidi="ar"/>
        </w:rPr>
        <w:t>Q</w:t>
      </w:r>
      <w:r>
        <w:rPr>
          <w:rFonts w:cs="Times New Roman"/>
          <w:kern w:val="0"/>
          <w:szCs w:val="24"/>
          <w:vertAlign w:val="subscript"/>
          <w:lang w:bidi="ar"/>
        </w:rPr>
        <w:t>3-4</w:t>
      </w:r>
      <w:r>
        <w:rPr>
          <w:rFonts w:cs="Times New Roman"/>
          <w:kern w:val="0"/>
          <w:szCs w:val="24"/>
          <w:vertAlign w:val="superscript"/>
          <w:lang w:bidi="ar"/>
        </w:rPr>
        <w:t>al+pl</w:t>
      </w:r>
      <w:r>
        <w:rPr>
          <w:rFonts w:cs="Times New Roman"/>
          <w:kern w:val="0"/>
          <w:szCs w:val="24"/>
          <w:lang w:bidi="ar"/>
        </w:rPr>
        <w:t>），埋深</w:t>
      </w:r>
      <w:r>
        <w:rPr>
          <w:rFonts w:cs="Times New Roman"/>
          <w:kern w:val="0"/>
          <w:szCs w:val="24"/>
          <w:lang w:bidi="ar"/>
        </w:rPr>
        <w:t>0.4m</w:t>
      </w:r>
      <w:r>
        <w:rPr>
          <w:rFonts w:cs="Times New Roman"/>
          <w:kern w:val="0"/>
          <w:szCs w:val="24"/>
          <w:lang w:bidi="ar"/>
        </w:rPr>
        <w:t>~</w:t>
      </w:r>
      <w:r>
        <w:rPr>
          <w:rFonts w:cs="Times New Roman"/>
          <w:kern w:val="0"/>
          <w:szCs w:val="24"/>
          <w:lang w:bidi="ar"/>
        </w:rPr>
        <w:t>5.0m</w:t>
      </w:r>
      <w:r>
        <w:rPr>
          <w:rFonts w:cs="Times New Roman"/>
          <w:kern w:val="0"/>
          <w:szCs w:val="24"/>
          <w:lang w:bidi="ar"/>
        </w:rPr>
        <w:t>厚度</w:t>
      </w:r>
      <w:r>
        <w:rPr>
          <w:rFonts w:cs="Times New Roman"/>
          <w:kern w:val="0"/>
          <w:szCs w:val="24"/>
          <w:lang w:bidi="ar"/>
        </w:rPr>
        <w:t>4.0m</w:t>
      </w:r>
      <w:r>
        <w:rPr>
          <w:rFonts w:cs="Times New Roman"/>
          <w:kern w:val="0"/>
          <w:szCs w:val="24"/>
          <w:lang w:bidi="ar"/>
        </w:rPr>
        <w:t>～</w:t>
      </w:r>
      <w:r>
        <w:rPr>
          <w:rFonts w:cs="Times New Roman"/>
          <w:kern w:val="0"/>
          <w:szCs w:val="24"/>
          <w:lang w:bidi="ar"/>
        </w:rPr>
        <w:t>12.0m</w:t>
      </w:r>
      <w:r>
        <w:rPr>
          <w:rFonts w:cs="Times New Roman"/>
          <w:kern w:val="0"/>
          <w:szCs w:val="24"/>
          <w:lang w:bidi="ar"/>
        </w:rPr>
        <w:t>，呈黄褐色，稍密～中密，稍湿</w:t>
      </w:r>
      <w:r>
        <w:rPr>
          <w:rFonts w:cs="Times New Roman"/>
          <w:kern w:val="0"/>
          <w:szCs w:val="24"/>
          <w:lang w:bidi="ar"/>
        </w:rPr>
        <w:t>-</w:t>
      </w:r>
      <w:r>
        <w:rPr>
          <w:rFonts w:cs="Times New Roman"/>
          <w:kern w:val="0"/>
          <w:szCs w:val="24"/>
          <w:lang w:bidi="ar"/>
        </w:rPr>
        <w:t>饱和，无光泽反应，干强度低，韧性低。土石等级</w:t>
      </w:r>
      <w:r>
        <w:rPr>
          <w:rFonts w:cs="Times New Roman"/>
          <w:kern w:val="0"/>
          <w:szCs w:val="24"/>
          <w:lang w:bidi="ar"/>
        </w:rPr>
        <w:t>Ⅱ</w:t>
      </w:r>
      <w:r>
        <w:rPr>
          <w:rFonts w:cs="Times New Roman"/>
          <w:kern w:val="0"/>
          <w:szCs w:val="24"/>
          <w:lang w:bidi="ar"/>
        </w:rPr>
        <w:t>级。</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第四层：粉砂（</w:t>
      </w:r>
      <w:r>
        <w:rPr>
          <w:rFonts w:cs="Times New Roman"/>
          <w:kern w:val="0"/>
          <w:szCs w:val="24"/>
          <w:lang w:bidi="ar"/>
        </w:rPr>
        <w:t>Q</w:t>
      </w:r>
      <w:r>
        <w:rPr>
          <w:rFonts w:cs="Times New Roman"/>
          <w:kern w:val="0"/>
          <w:szCs w:val="24"/>
          <w:vertAlign w:val="subscript"/>
          <w:lang w:bidi="ar"/>
        </w:rPr>
        <w:t>3-4</w:t>
      </w:r>
      <w:r>
        <w:rPr>
          <w:rFonts w:cs="Times New Roman"/>
          <w:kern w:val="0"/>
          <w:szCs w:val="24"/>
          <w:vertAlign w:val="superscript"/>
          <w:lang w:bidi="ar"/>
        </w:rPr>
        <w:t>al+pl</w:t>
      </w:r>
      <w:r>
        <w:rPr>
          <w:rFonts w:cs="Times New Roman"/>
          <w:kern w:val="0"/>
          <w:szCs w:val="24"/>
          <w:lang w:bidi="ar"/>
        </w:rPr>
        <w:t>），埋深</w:t>
      </w:r>
      <w:r>
        <w:rPr>
          <w:rFonts w:cs="Times New Roman"/>
          <w:kern w:val="0"/>
          <w:szCs w:val="24"/>
          <w:lang w:bidi="ar"/>
        </w:rPr>
        <w:t>8.0</w:t>
      </w:r>
      <w:r>
        <w:rPr>
          <w:rFonts w:cs="Times New Roman"/>
        </w:rPr>
        <w:t>m</w:t>
      </w:r>
      <w:r>
        <w:rPr>
          <w:rFonts w:cs="Times New Roman"/>
          <w:kern w:val="0"/>
          <w:szCs w:val="24"/>
          <w:lang w:bidi="ar"/>
        </w:rPr>
        <w:t>～</w:t>
      </w:r>
      <w:r>
        <w:rPr>
          <w:rFonts w:cs="Times New Roman"/>
          <w:kern w:val="0"/>
          <w:szCs w:val="24"/>
          <w:lang w:bidi="ar"/>
        </w:rPr>
        <w:t>12.0m</w:t>
      </w:r>
      <w:r>
        <w:rPr>
          <w:rFonts w:cs="Times New Roman"/>
          <w:kern w:val="0"/>
          <w:szCs w:val="24"/>
          <w:lang w:bidi="ar"/>
        </w:rPr>
        <w:t>，厚度</w:t>
      </w:r>
      <w:r>
        <w:rPr>
          <w:rFonts w:cs="Times New Roman"/>
          <w:kern w:val="0"/>
          <w:szCs w:val="24"/>
          <w:lang w:bidi="ar"/>
        </w:rPr>
        <w:t>3.5m</w:t>
      </w:r>
      <w:r>
        <w:rPr>
          <w:rFonts w:cs="Times New Roman"/>
          <w:kern w:val="0"/>
          <w:szCs w:val="24"/>
          <w:lang w:bidi="ar"/>
        </w:rPr>
        <w:t>～</w:t>
      </w:r>
      <w:r>
        <w:rPr>
          <w:rFonts w:cs="Times New Roman"/>
          <w:kern w:val="0"/>
          <w:szCs w:val="24"/>
          <w:lang w:bidi="ar"/>
        </w:rPr>
        <w:t>5.3m</w:t>
      </w:r>
      <w:r>
        <w:rPr>
          <w:rFonts w:cs="Times New Roman"/>
          <w:kern w:val="0"/>
          <w:szCs w:val="24"/>
          <w:lang w:bidi="ar"/>
        </w:rPr>
        <w:t>，呈土黄色，青灰色，呈饱和状态，密实。矿物成分以石英、长石及云母为主，颗粒形状不规则，颗粒级配一般，土石等级</w:t>
      </w:r>
      <w:r>
        <w:rPr>
          <w:rFonts w:cs="Times New Roman"/>
          <w:kern w:val="0"/>
          <w:szCs w:val="24"/>
          <w:lang w:bidi="ar"/>
        </w:rPr>
        <w:t>Ⅱ</w:t>
      </w:r>
      <w:r>
        <w:rPr>
          <w:rFonts w:cs="Times New Roman"/>
          <w:kern w:val="0"/>
          <w:szCs w:val="24"/>
          <w:lang w:bidi="ar"/>
        </w:rPr>
        <w:t>级。</w:t>
      </w:r>
    </w:p>
    <w:p w:rsidR="00A46452" w:rsidRDefault="009A3928" w:rsidP="00182EED">
      <w:pPr>
        <w:wordWrap w:val="0"/>
        <w:topLinePunct/>
        <w:adjustRightInd w:val="0"/>
        <w:snapToGrid w:val="0"/>
        <w:ind w:firstLine="480"/>
        <w:rPr>
          <w:rFonts w:cs="Times New Roman"/>
        </w:rPr>
      </w:pPr>
      <w:r>
        <w:rPr>
          <w:rFonts w:cs="Times New Roman"/>
        </w:rPr>
        <w:t>③</w:t>
      </w:r>
      <w:r>
        <w:rPr>
          <w:rFonts w:cs="Times New Roman"/>
          <w:kern w:val="0"/>
          <w:szCs w:val="24"/>
          <w:lang w:bidi="ar"/>
        </w:rPr>
        <w:t>桥型方案</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拟采用结构型式：拟新建</w:t>
      </w:r>
      <w:r>
        <w:rPr>
          <w:rFonts w:cs="Times New Roman"/>
          <w:kern w:val="0"/>
          <w:szCs w:val="24"/>
          <w:lang w:bidi="ar"/>
        </w:rPr>
        <w:t>6m</w:t>
      </w:r>
      <w:r>
        <w:rPr>
          <w:rFonts w:cs="Times New Roman"/>
          <w:kern w:val="0"/>
          <w:szCs w:val="24"/>
          <w:lang w:bidi="ar"/>
        </w:rPr>
        <w:t>～</w:t>
      </w:r>
      <w:r>
        <w:rPr>
          <w:rFonts w:cs="Times New Roman"/>
          <w:kern w:val="0"/>
          <w:szCs w:val="24"/>
          <w:lang w:bidi="ar"/>
        </w:rPr>
        <w:t>30.0m</w:t>
      </w:r>
      <w:r>
        <w:rPr>
          <w:rFonts w:cs="Times New Roman"/>
          <w:kern w:val="0"/>
          <w:szCs w:val="24"/>
          <w:lang w:bidi="ar"/>
        </w:rPr>
        <w:t>大桥，交角</w:t>
      </w:r>
      <w:r>
        <w:rPr>
          <w:rFonts w:cs="Times New Roman"/>
          <w:kern w:val="0"/>
          <w:szCs w:val="24"/>
          <w:lang w:bidi="ar"/>
        </w:rPr>
        <w:t>90°</w:t>
      </w:r>
      <w:r>
        <w:rPr>
          <w:rFonts w:cs="Times New Roman"/>
          <w:kern w:val="0"/>
          <w:szCs w:val="24"/>
          <w:lang w:bidi="ar"/>
        </w:rPr>
        <w:t>，上部结构采用装配式预应力混凝土小箱梁，下部结构采用桩柱式桥墩，桩柱式桥台，钻孔灌注桩基础。</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涵洞</w:t>
      </w:r>
    </w:p>
    <w:p w:rsidR="00A46452" w:rsidRDefault="009A3928">
      <w:pPr>
        <w:wordWrap w:val="0"/>
        <w:topLinePunct/>
        <w:adjustRightInd w:val="0"/>
        <w:snapToGrid w:val="0"/>
        <w:ind w:firstLine="480"/>
        <w:rPr>
          <w:rFonts w:cs="Times New Roman"/>
        </w:rPr>
      </w:pPr>
      <w:r>
        <w:rPr>
          <w:rFonts w:cs="Times New Roman"/>
          <w:kern w:val="0"/>
          <w:szCs w:val="24"/>
          <w:lang w:bidi="ar"/>
        </w:rPr>
        <w:t>全线共设置涵洞</w:t>
      </w:r>
      <w:r>
        <w:rPr>
          <w:rFonts w:cs="Times New Roman"/>
          <w:kern w:val="0"/>
          <w:szCs w:val="24"/>
          <w:lang w:bidi="ar"/>
        </w:rPr>
        <w:t>1091.6m</w:t>
      </w:r>
      <w:r>
        <w:rPr>
          <w:rFonts w:cs="Times New Roman"/>
          <w:kern w:val="0"/>
          <w:szCs w:val="24"/>
          <w:lang w:bidi="ar"/>
        </w:rPr>
        <w:t>/</w:t>
      </w:r>
      <w:r>
        <w:rPr>
          <w:rFonts w:cs="Times New Roman"/>
          <w:kern w:val="0"/>
          <w:szCs w:val="24"/>
          <w:lang w:bidi="ar"/>
        </w:rPr>
        <w:t>75</w:t>
      </w:r>
      <w:r>
        <w:rPr>
          <w:rFonts w:cs="Times New Roman"/>
          <w:kern w:val="0"/>
          <w:szCs w:val="24"/>
          <w:lang w:bidi="ar"/>
        </w:rPr>
        <w:t>道</w:t>
      </w:r>
      <w:r>
        <w:rPr>
          <w:rFonts w:cs="Times New Roman"/>
          <w:kern w:val="0"/>
          <w:szCs w:val="24"/>
          <w:lang w:bidi="ar"/>
        </w:rPr>
        <w:t>，</w:t>
      </w:r>
      <w:r>
        <w:rPr>
          <w:rFonts w:cs="Times New Roman"/>
          <w:kern w:val="0"/>
          <w:szCs w:val="24"/>
          <w:lang w:bidi="ar"/>
        </w:rPr>
        <w:t>75</w:t>
      </w:r>
      <w:r>
        <w:rPr>
          <w:rFonts w:cs="Times New Roman"/>
          <w:kern w:val="0"/>
          <w:szCs w:val="24"/>
          <w:lang w:bidi="ar"/>
        </w:rPr>
        <w:t>道（不含管线交叉处涵洞）。</w:t>
      </w:r>
      <w:r>
        <w:rPr>
          <w:rFonts w:cs="Times New Roman"/>
        </w:rPr>
        <w:t>涵洞主要功能为泄洪和灌溉</w:t>
      </w:r>
      <w:r>
        <w:rPr>
          <w:rFonts w:cs="Times New Roman"/>
        </w:rPr>
        <w:t>，</w:t>
      </w:r>
      <w:r>
        <w:rPr>
          <w:rFonts w:cs="Times New Roman"/>
        </w:rPr>
        <w:t>日常也作为野生动物通道使用</w:t>
      </w:r>
      <w:r>
        <w:rPr>
          <w:rFonts w:cs="Times New Roman"/>
        </w:rPr>
        <w:t>。涵洞结构型式均与路基同宽，本项目涵洞结构型式主要采用盖板涵、箱涵，涵洞型式的选择，依据地质条件、材料供应情况、工期及地形地貌、工程实际情况等。</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w:t>
      </w:r>
      <w:r>
        <w:rPr>
          <w:rFonts w:cs="Times New Roman" w:hint="default"/>
          <w:iCs/>
        </w:rPr>
        <w:t>.</w:t>
      </w:r>
      <w:r>
        <w:rPr>
          <w:rFonts w:cs="Times New Roman" w:hint="default"/>
          <w:iCs/>
        </w:rPr>
        <w:t>2</w:t>
      </w:r>
      <w:r>
        <w:rPr>
          <w:rFonts w:cs="Times New Roman" w:hint="default"/>
          <w:iCs/>
        </w:rPr>
        <w:t>.</w:t>
      </w:r>
      <w:r>
        <w:rPr>
          <w:rFonts w:cs="Times New Roman" w:hint="default"/>
          <w:iCs/>
        </w:rPr>
        <w:t>4</w:t>
      </w:r>
      <w:r>
        <w:rPr>
          <w:rFonts w:cs="Times New Roman" w:hint="default"/>
          <w:iCs/>
        </w:rPr>
        <w:t>.</w:t>
      </w:r>
      <w:r>
        <w:rPr>
          <w:rFonts w:cs="Times New Roman" w:hint="default"/>
          <w:iCs/>
        </w:rPr>
        <w:t>4</w:t>
      </w:r>
      <w:r>
        <w:rPr>
          <w:rFonts w:cs="Times New Roman" w:hint="default"/>
          <w:iCs/>
        </w:rPr>
        <w:t>交叉工程</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1</w:t>
      </w:r>
      <w:r>
        <w:rPr>
          <w:rFonts w:cs="Times New Roman"/>
          <w:kern w:val="0"/>
          <w:szCs w:val="24"/>
          <w:lang w:bidi="ar"/>
        </w:rPr>
        <w:t>）</w:t>
      </w:r>
      <w:r>
        <w:rPr>
          <w:rFonts w:cs="Times New Roman"/>
          <w:kern w:val="0"/>
        </w:rPr>
        <w:t>平面交叉</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拟建项目全线共设置</w:t>
      </w:r>
      <w:r>
        <w:rPr>
          <w:rFonts w:cs="Times New Roman"/>
          <w:kern w:val="0"/>
          <w:szCs w:val="24"/>
          <w:lang w:bidi="ar"/>
        </w:rPr>
        <w:t>30</w:t>
      </w:r>
      <w:r>
        <w:rPr>
          <w:rFonts w:cs="Times New Roman"/>
          <w:kern w:val="0"/>
          <w:szCs w:val="24"/>
          <w:lang w:bidi="ar"/>
        </w:rPr>
        <w:t>处平面交叉，</w:t>
      </w:r>
      <w:r>
        <w:rPr>
          <w:rFonts w:cs="Times New Roman"/>
          <w:kern w:val="0"/>
          <w:szCs w:val="24"/>
          <w:lang w:bidi="ar"/>
        </w:rPr>
        <w:t>1</w:t>
      </w:r>
      <w:r>
        <w:rPr>
          <w:rFonts w:cs="Times New Roman"/>
          <w:kern w:val="0"/>
          <w:szCs w:val="24"/>
          <w:lang w:bidi="ar"/>
        </w:rPr>
        <w:t>处分离式立体交叉。</w:t>
      </w:r>
      <w:r>
        <w:rPr>
          <w:rFonts w:cs="Times New Roman"/>
          <w:kern w:val="0"/>
          <w:szCs w:val="24"/>
          <w:lang w:bidi="ar"/>
        </w:rPr>
        <w:t>具体设置情况见表</w:t>
      </w:r>
      <w:r>
        <w:rPr>
          <w:rFonts w:cs="Times New Roman"/>
          <w:kern w:val="0"/>
          <w:szCs w:val="24"/>
          <w:lang w:bidi="ar"/>
        </w:rPr>
        <w:t>4.2-5</w:t>
      </w:r>
      <w:r>
        <w:rPr>
          <w:rFonts w:cs="Times New Roman"/>
          <w:kern w:val="0"/>
          <w:szCs w:val="24"/>
          <w:lang w:bidi="ar"/>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 xml:space="preserve">4.2-5                      </w:t>
      </w:r>
      <w:r>
        <w:rPr>
          <w:rFonts w:eastAsia="黑体" w:cs="Times New Roman"/>
        </w:rPr>
        <w:t>交叉</w:t>
      </w:r>
      <w:r>
        <w:rPr>
          <w:rFonts w:eastAsia="黑体" w:cs="Times New Roman"/>
        </w:rPr>
        <w:t>工程</w:t>
      </w:r>
      <w:r>
        <w:rPr>
          <w:rFonts w:eastAsia="黑体" w:cs="Times New Roman"/>
        </w:rPr>
        <w:t>设置一览表</w:t>
      </w:r>
    </w:p>
    <w:tbl>
      <w:tblPr>
        <w:tblW w:w="4998"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78"/>
        <w:gridCol w:w="1887"/>
        <w:gridCol w:w="1171"/>
        <w:gridCol w:w="800"/>
        <w:gridCol w:w="864"/>
        <w:gridCol w:w="687"/>
        <w:gridCol w:w="1142"/>
        <w:gridCol w:w="1296"/>
      </w:tblGrid>
      <w:tr w:rsidR="00A46452">
        <w:trPr>
          <w:trHeight w:val="305"/>
        </w:trPr>
        <w:tc>
          <w:tcPr>
            <w:tcW w:w="397"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1106"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21"/>
                <w:rFonts w:ascii="Times New Roman" w:hAnsi="Times New Roman" w:cs="Times New Roman"/>
                <w:b w:val="0"/>
                <w:bCs w:val="0"/>
                <w:color w:val="auto"/>
                <w:sz w:val="18"/>
                <w:szCs w:val="18"/>
                <w:lang w:bidi="ar"/>
              </w:rPr>
              <w:t>路线交叉桩号</w:t>
            </w:r>
          </w:p>
        </w:tc>
        <w:tc>
          <w:tcPr>
            <w:tcW w:w="2065" w:type="pct"/>
            <w:gridSpan w:val="4"/>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21"/>
                <w:rFonts w:ascii="Times New Roman" w:hAnsi="Times New Roman" w:cs="Times New Roman"/>
                <w:b w:val="0"/>
                <w:bCs w:val="0"/>
                <w:color w:val="auto"/>
                <w:sz w:val="18"/>
                <w:szCs w:val="18"/>
                <w:lang w:bidi="ar"/>
              </w:rPr>
              <w:t>被交道路</w:t>
            </w:r>
          </w:p>
        </w:tc>
        <w:tc>
          <w:tcPr>
            <w:tcW w:w="670"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21"/>
                <w:rFonts w:ascii="Times New Roman" w:hAnsi="Times New Roman" w:cs="Times New Roman"/>
                <w:b w:val="0"/>
                <w:bCs w:val="0"/>
                <w:color w:val="auto"/>
                <w:sz w:val="18"/>
                <w:szCs w:val="18"/>
                <w:lang w:bidi="ar"/>
              </w:rPr>
              <w:t>交叉</w:t>
            </w:r>
            <w:r>
              <w:rPr>
                <w:rFonts w:cs="Times New Roman"/>
                <w:kern w:val="0"/>
                <w:sz w:val="18"/>
                <w:szCs w:val="18"/>
                <w:lang w:bidi="ar"/>
              </w:rPr>
              <w:t>角度</w:t>
            </w:r>
            <w:r>
              <w:rPr>
                <w:rFonts w:cs="Times New Roman"/>
                <w:kern w:val="0"/>
                <w:sz w:val="18"/>
                <w:szCs w:val="18"/>
                <w:lang w:bidi="ar"/>
              </w:rPr>
              <w:t>(</w:t>
            </w:r>
            <w:r>
              <w:rPr>
                <w:rFonts w:cs="Times New Roman"/>
                <w:kern w:val="0"/>
                <w:sz w:val="18"/>
                <w:szCs w:val="18"/>
                <w:lang w:bidi="ar"/>
              </w:rPr>
              <w:t>度</w:t>
            </w:r>
            <w:r>
              <w:rPr>
                <w:rFonts w:cs="Times New Roman"/>
                <w:kern w:val="0"/>
                <w:sz w:val="18"/>
                <w:szCs w:val="18"/>
                <w:lang w:bidi="ar"/>
              </w:rPr>
              <w:t>)</w:t>
            </w:r>
          </w:p>
        </w:tc>
        <w:tc>
          <w:tcPr>
            <w:tcW w:w="760"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21"/>
                <w:rFonts w:ascii="Times New Roman" w:hAnsi="Times New Roman" w:cs="Times New Roman"/>
                <w:b w:val="0"/>
                <w:bCs w:val="0"/>
                <w:color w:val="auto"/>
                <w:sz w:val="18"/>
                <w:szCs w:val="18"/>
                <w:lang w:bidi="ar"/>
              </w:rPr>
              <w:t>改造</w:t>
            </w:r>
            <w:r>
              <w:rPr>
                <w:rStyle w:val="font121"/>
                <w:rFonts w:ascii="Times New Roman" w:hAnsi="Times New Roman" w:cs="Times New Roman"/>
                <w:b w:val="0"/>
                <w:bCs w:val="0"/>
                <w:color w:val="auto"/>
                <w:sz w:val="18"/>
                <w:szCs w:val="18"/>
                <w:lang w:bidi="ar"/>
              </w:rPr>
              <w:br/>
            </w:r>
            <w:r>
              <w:rPr>
                <w:rFonts w:cs="Times New Roman"/>
                <w:kern w:val="0"/>
                <w:sz w:val="18"/>
                <w:szCs w:val="18"/>
                <w:lang w:bidi="ar"/>
              </w:rPr>
              <w:t>长度</w:t>
            </w:r>
            <w:r>
              <w:rPr>
                <w:rFonts w:cs="Times New Roman"/>
                <w:kern w:val="0"/>
                <w:sz w:val="18"/>
                <w:szCs w:val="18"/>
                <w:lang w:bidi="ar"/>
              </w:rPr>
              <w:br/>
              <w:t>(m)</w:t>
            </w:r>
          </w:p>
        </w:tc>
      </w:tr>
      <w:tr w:rsidR="00A46452">
        <w:trPr>
          <w:trHeight w:val="400"/>
        </w:trPr>
        <w:tc>
          <w:tcPr>
            <w:tcW w:w="397"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106"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名称</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等级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宽度</w:t>
            </w:r>
            <w:r>
              <w:rPr>
                <w:rFonts w:cs="Times New Roman"/>
                <w:kern w:val="0"/>
                <w:sz w:val="18"/>
                <w:szCs w:val="18"/>
                <w:lang w:bidi="ar"/>
              </w:rPr>
              <w:br/>
              <w:t>(m)</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交叉形式</w:t>
            </w:r>
          </w:p>
        </w:tc>
        <w:tc>
          <w:tcPr>
            <w:tcW w:w="670"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760"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K0+000.00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次干路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71.98</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w:t>
            </w:r>
          </w:p>
        </w:tc>
      </w:tr>
      <w:tr w:rsidR="00A46452">
        <w:trPr>
          <w:trHeight w:val="35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K0+416.30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71.37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25</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K0+948.83</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71.20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25</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K1+479.23</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89.75</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K2+927.11</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G688</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89.65</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292</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K6+940.00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S666</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90.00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294.25</w:t>
            </w:r>
          </w:p>
        </w:tc>
      </w:tr>
      <w:tr w:rsidR="00A46452">
        <w:trPr>
          <w:trHeight w:val="33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K9+188.00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82.87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8</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K15+319.84</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S311</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12.0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70.00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559.15</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K17+331.18</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84.43</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43</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K18+759.52</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88.33</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100</w:t>
            </w:r>
          </w:p>
        </w:tc>
      </w:tr>
      <w:tr w:rsidR="00A46452">
        <w:trPr>
          <w:trHeight w:val="39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K19+957.95</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90.00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r>
      <w:tr w:rsidR="00A46452">
        <w:trPr>
          <w:trHeight w:val="33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K20+509.50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88.33</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13</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K21+979.20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7.5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83.47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160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14</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K25+201.17</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X217</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82.68</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402</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15</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K25+702.03</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G217</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81.07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404</w:t>
            </w:r>
          </w:p>
        </w:tc>
      </w:tr>
      <w:tr w:rsidR="00A46452">
        <w:trPr>
          <w:trHeight w:val="35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16</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K26+779.80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7.5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80.65</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120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K33+308.75</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接线</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一级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27.0</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75.00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52.3</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18</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K79+002.04</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G314</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十</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80.72</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416</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19</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K81+943.87</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S308</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85.92</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200</w:t>
            </w:r>
          </w:p>
        </w:tc>
      </w:tr>
      <w:tr w:rsidR="00A46452">
        <w:trPr>
          <w:trHeight w:val="42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K83+866.83</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高速收</w:t>
            </w:r>
            <w:r>
              <w:rPr>
                <w:rFonts w:cs="Times New Roman"/>
                <w:kern w:val="0"/>
                <w:sz w:val="18"/>
                <w:szCs w:val="18"/>
                <w:lang w:bidi="ar"/>
              </w:rPr>
              <w:br/>
            </w:r>
            <w:r>
              <w:rPr>
                <w:rFonts w:cs="Times New Roman"/>
                <w:kern w:val="0"/>
                <w:sz w:val="18"/>
                <w:szCs w:val="18"/>
                <w:lang w:bidi="ar"/>
              </w:rPr>
              <w:t>费站</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二级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14.5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71.42</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720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21</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K84+630.61</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三级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63.7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r>
      <w:tr w:rsidR="00A46452">
        <w:trPr>
          <w:trHeight w:val="35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22</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K87+610.00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K99+318.99</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87.78</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24</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K100+922.83</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主干路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31.5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25</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K102+260.79</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86.92</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r>
      <w:tr w:rsidR="00A46452">
        <w:trPr>
          <w:trHeight w:val="33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K103+223.54</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27</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K103+406.37</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13</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44.38</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80</w:t>
            </w:r>
          </w:p>
        </w:tc>
      </w:tr>
      <w:tr w:rsidR="00A46452">
        <w:trPr>
          <w:trHeight w:val="37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28</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K104+359.14</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13.5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69.93</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60</w:t>
            </w:r>
          </w:p>
        </w:tc>
      </w:tr>
      <w:tr w:rsidR="00A46452">
        <w:trPr>
          <w:trHeight w:val="37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29</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K104+962.20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90</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40</w:t>
            </w:r>
          </w:p>
        </w:tc>
      </w:tr>
      <w:tr w:rsidR="00A46452">
        <w:trPr>
          <w:trHeight w:val="37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K105+155.22</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次干路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70.9</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r>
      <w:tr w:rsidR="00A46452">
        <w:trPr>
          <w:trHeight w:val="33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31</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K105+566.07</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市政路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支路</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70.77</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r>
      <w:tr w:rsidR="00A46452">
        <w:trPr>
          <w:trHeight w:val="360"/>
        </w:trPr>
        <w:tc>
          <w:tcPr>
            <w:tcW w:w="39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32</w:t>
            </w:r>
          </w:p>
        </w:tc>
        <w:tc>
          <w:tcPr>
            <w:tcW w:w="110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K107+177.00</w:t>
            </w:r>
          </w:p>
        </w:tc>
        <w:tc>
          <w:tcPr>
            <w:tcW w:w="686"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沥青路</w:t>
            </w:r>
          </w:p>
        </w:tc>
        <w:tc>
          <w:tcPr>
            <w:tcW w:w="469"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四级</w:t>
            </w:r>
          </w:p>
        </w:tc>
        <w:tc>
          <w:tcPr>
            <w:tcW w:w="50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7.5</w:t>
            </w:r>
          </w:p>
        </w:tc>
        <w:tc>
          <w:tcPr>
            <w:tcW w:w="40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T</w:t>
            </w:r>
          </w:p>
        </w:tc>
        <w:tc>
          <w:tcPr>
            <w:tcW w:w="67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86.12</w:t>
            </w:r>
          </w:p>
        </w:tc>
        <w:tc>
          <w:tcPr>
            <w:tcW w:w="76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50</w:t>
            </w:r>
          </w:p>
        </w:tc>
      </w:tr>
    </w:tbl>
    <w:p w:rsidR="00A46452" w:rsidRDefault="009A3928">
      <w:pPr>
        <w:ind w:firstLineChars="0" w:firstLine="0"/>
        <w:rPr>
          <w:rFonts w:cs="Times New Roman"/>
          <w:sz w:val="18"/>
          <w:szCs w:val="18"/>
          <w:shd w:val="clear" w:color="auto" w:fill="FFFFFF"/>
        </w:rPr>
      </w:pPr>
      <w:r>
        <w:rPr>
          <w:rFonts w:cs="Times New Roman"/>
          <w:sz w:val="18"/>
          <w:szCs w:val="18"/>
          <w:shd w:val="clear" w:color="auto" w:fill="FFFFFF"/>
        </w:rPr>
        <w:t>备注：</w:t>
      </w:r>
      <w:r>
        <w:rPr>
          <w:rFonts w:cs="Times New Roman"/>
          <w:sz w:val="18"/>
          <w:szCs w:val="18"/>
          <w:shd w:val="clear" w:color="auto" w:fill="FFFFFF"/>
        </w:rPr>
        <w:t>“</w:t>
      </w:r>
      <w:r>
        <w:rPr>
          <w:rFonts w:cs="Times New Roman"/>
          <w:sz w:val="18"/>
          <w:szCs w:val="18"/>
          <w:shd w:val="clear" w:color="auto" w:fill="FFFFFF"/>
        </w:rPr>
        <w:t>十</w:t>
      </w:r>
      <w:r>
        <w:rPr>
          <w:rFonts w:cs="Times New Roman"/>
          <w:sz w:val="18"/>
          <w:szCs w:val="18"/>
          <w:shd w:val="clear" w:color="auto" w:fill="FFFFFF"/>
        </w:rPr>
        <w:t>”</w:t>
      </w:r>
      <w:r>
        <w:rPr>
          <w:rFonts w:cs="Times New Roman"/>
          <w:sz w:val="18"/>
          <w:szCs w:val="18"/>
          <w:shd w:val="clear" w:color="auto" w:fill="FFFFFF"/>
        </w:rPr>
        <w:t>字形交叉是相交道路相互垂直或近于垂直</w:t>
      </w:r>
      <w:r>
        <w:rPr>
          <w:rFonts w:cs="Times New Roman"/>
          <w:sz w:val="18"/>
          <w:szCs w:val="18"/>
          <w:shd w:val="clear" w:color="auto" w:fill="FFFFFF"/>
        </w:rPr>
        <w:t>；</w:t>
      </w:r>
      <w:r>
        <w:rPr>
          <w:rFonts w:cs="Times New Roman"/>
          <w:sz w:val="18"/>
          <w:szCs w:val="18"/>
          <w:shd w:val="clear" w:color="auto" w:fill="FFFFFF"/>
        </w:rPr>
        <w:t>“</w:t>
      </w:r>
      <w:r>
        <w:rPr>
          <w:rFonts w:cs="Times New Roman"/>
          <w:kern w:val="0"/>
          <w:sz w:val="18"/>
          <w:szCs w:val="18"/>
          <w:lang w:bidi="ar"/>
        </w:rPr>
        <w:t>T</w:t>
      </w:r>
      <w:r>
        <w:rPr>
          <w:rFonts w:cs="Times New Roman"/>
          <w:sz w:val="18"/>
          <w:szCs w:val="18"/>
          <w:shd w:val="clear" w:color="auto" w:fill="FFFFFF"/>
        </w:rPr>
        <w:t>”</w:t>
      </w:r>
      <w:r>
        <w:rPr>
          <w:rFonts w:cs="Times New Roman"/>
          <w:sz w:val="18"/>
          <w:szCs w:val="18"/>
          <w:shd w:val="clear" w:color="auto" w:fill="FFFFFF"/>
        </w:rPr>
        <w:t>字形交叉是</w:t>
      </w:r>
      <w:r>
        <w:rPr>
          <w:rFonts w:cs="Times New Roman"/>
          <w:sz w:val="18"/>
          <w:szCs w:val="18"/>
          <w:shd w:val="clear" w:color="auto" w:fill="FFFFFF"/>
        </w:rPr>
        <w:t>在道路交叉处相互垂直或近于垂直的三路交叉。</w:t>
      </w:r>
    </w:p>
    <w:p w:rsidR="00A46452" w:rsidRDefault="009A3928">
      <w:pPr>
        <w:ind w:firstLine="480"/>
        <w:rPr>
          <w:rFonts w:cs="Times New Roman"/>
          <w:kern w:val="0"/>
        </w:rPr>
      </w:pPr>
      <w:r>
        <w:rPr>
          <w:rFonts w:cs="Times New Roman"/>
          <w:kern w:val="0"/>
        </w:rPr>
        <w:t>（</w:t>
      </w:r>
      <w:r>
        <w:rPr>
          <w:rFonts w:cs="Times New Roman"/>
          <w:kern w:val="0"/>
        </w:rPr>
        <w:t>2</w:t>
      </w:r>
      <w:r>
        <w:rPr>
          <w:rFonts w:cs="Times New Roman"/>
          <w:kern w:val="0"/>
        </w:rPr>
        <w:t>）</w:t>
      </w:r>
      <w:r>
        <w:rPr>
          <w:rFonts w:cs="Times New Roman"/>
          <w:kern w:val="0"/>
        </w:rPr>
        <w:t>互通立交分布情况</w:t>
      </w:r>
    </w:p>
    <w:p w:rsidR="00A46452" w:rsidRDefault="009A3928" w:rsidP="00182EED">
      <w:pPr>
        <w:widowControl/>
        <w:ind w:firstLine="480"/>
        <w:jc w:val="left"/>
        <w:rPr>
          <w:rFonts w:cs="Times New Roman"/>
          <w:kern w:val="0"/>
          <w:szCs w:val="24"/>
          <w:lang w:bidi="ar"/>
        </w:rPr>
      </w:pPr>
      <w:r>
        <w:rPr>
          <w:rFonts w:cs="Times New Roman"/>
          <w:kern w:val="0"/>
          <w:szCs w:val="24"/>
          <w:lang w:bidi="ar"/>
        </w:rPr>
        <w:t>主线</w:t>
      </w:r>
      <w:r>
        <w:rPr>
          <w:rFonts w:cs="Times New Roman"/>
          <w:kern w:val="0"/>
          <w:szCs w:val="24"/>
          <w:lang w:bidi="ar"/>
        </w:rPr>
        <w:t>G217</w:t>
      </w:r>
      <w:r>
        <w:rPr>
          <w:rFonts w:cs="Times New Roman"/>
          <w:kern w:val="0"/>
          <w:szCs w:val="24"/>
          <w:lang w:bidi="ar"/>
        </w:rPr>
        <w:t>设计速度</w:t>
      </w:r>
      <w:r>
        <w:rPr>
          <w:rFonts w:cs="Times New Roman"/>
          <w:kern w:val="0"/>
          <w:szCs w:val="24"/>
          <w:lang w:bidi="ar"/>
        </w:rPr>
        <w:t>100km/h</w:t>
      </w:r>
      <w:r>
        <w:rPr>
          <w:rFonts w:cs="Times New Roman"/>
          <w:kern w:val="0"/>
          <w:szCs w:val="24"/>
          <w:lang w:bidi="ar"/>
        </w:rPr>
        <w:t>，本项目设计速度</w:t>
      </w:r>
      <w:r>
        <w:rPr>
          <w:rFonts w:cs="Times New Roman"/>
          <w:kern w:val="0"/>
          <w:szCs w:val="24"/>
          <w:lang w:bidi="ar"/>
        </w:rPr>
        <w:t>80km/h</w:t>
      </w:r>
      <w:r>
        <w:rPr>
          <w:rFonts w:cs="Times New Roman"/>
          <w:kern w:val="0"/>
          <w:szCs w:val="24"/>
          <w:lang w:bidi="ar"/>
        </w:rPr>
        <w:t>，互通匝道的设计速度为</w:t>
      </w:r>
      <w:r>
        <w:rPr>
          <w:rFonts w:cs="Times New Roman"/>
          <w:kern w:val="0"/>
          <w:szCs w:val="24"/>
          <w:lang w:bidi="ar"/>
        </w:rPr>
        <w:t>40km/h</w:t>
      </w:r>
      <w:r>
        <w:rPr>
          <w:rFonts w:cs="Times New Roman"/>
          <w:kern w:val="0"/>
          <w:szCs w:val="24"/>
          <w:lang w:bidi="ar"/>
        </w:rPr>
        <w:t>。路基宽度</w:t>
      </w:r>
      <w:r>
        <w:rPr>
          <w:rFonts w:cs="Times New Roman"/>
          <w:kern w:val="0"/>
          <w:szCs w:val="24"/>
          <w:lang w:bidi="ar"/>
        </w:rPr>
        <w:t>26m</w:t>
      </w:r>
      <w:r>
        <w:rPr>
          <w:rFonts w:cs="Times New Roman"/>
          <w:kern w:val="0"/>
          <w:szCs w:val="24"/>
          <w:lang w:bidi="ar"/>
        </w:rPr>
        <w:t>，双向四车道。</w:t>
      </w:r>
    </w:p>
    <w:p w:rsidR="00A46452" w:rsidRDefault="009A3928">
      <w:pPr>
        <w:spacing w:line="240" w:lineRule="auto"/>
        <w:ind w:firstLineChars="0" w:firstLine="0"/>
        <w:rPr>
          <w:rFonts w:eastAsia="黑体" w:cs="Times New Roman"/>
        </w:rPr>
      </w:pPr>
      <w:r>
        <w:rPr>
          <w:rFonts w:eastAsia="黑体" w:cs="Times New Roman"/>
        </w:rPr>
        <w:t>表</w:t>
      </w:r>
      <w:r>
        <w:rPr>
          <w:rFonts w:eastAsia="黑体" w:cs="Times New Roman" w:hint="eastAsia"/>
        </w:rPr>
        <w:t>4</w:t>
      </w:r>
      <w:r>
        <w:rPr>
          <w:rFonts w:eastAsia="黑体" w:cs="Times New Roman"/>
        </w:rPr>
        <w:t>.</w:t>
      </w:r>
      <w:r>
        <w:rPr>
          <w:rFonts w:eastAsia="黑体" w:cs="Times New Roman" w:hint="eastAsia"/>
        </w:rPr>
        <w:t>2</w:t>
      </w:r>
      <w:r>
        <w:rPr>
          <w:rFonts w:eastAsia="黑体" w:cs="Times New Roman"/>
        </w:rPr>
        <w:t xml:space="preserve">-6              </w:t>
      </w:r>
      <w:r>
        <w:rPr>
          <w:rFonts w:eastAsia="黑体" w:cs="Times New Roman"/>
        </w:rPr>
        <w:t>推荐线位互通一览表</w:t>
      </w:r>
    </w:p>
    <w:tbl>
      <w:tblPr>
        <w:tblW w:w="4998"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367"/>
        <w:gridCol w:w="1893"/>
        <w:gridCol w:w="950"/>
        <w:gridCol w:w="1185"/>
        <w:gridCol w:w="2130"/>
      </w:tblGrid>
      <w:tr w:rsidR="00A46452">
        <w:trPr>
          <w:trHeight w:val="312"/>
          <w:jc w:val="center"/>
        </w:trPr>
        <w:tc>
          <w:tcPr>
            <w:tcW w:w="1387"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中心桩号及起讫桩号</w:t>
            </w:r>
          </w:p>
        </w:tc>
        <w:tc>
          <w:tcPr>
            <w:tcW w:w="1110"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名称</w:t>
            </w:r>
          </w:p>
        </w:tc>
        <w:tc>
          <w:tcPr>
            <w:tcW w:w="557"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互通</w:t>
            </w:r>
            <w:r>
              <w:rPr>
                <w:rFonts w:cs="Times New Roman"/>
                <w:kern w:val="0"/>
                <w:sz w:val="21"/>
                <w:lang w:bidi="ar"/>
              </w:rPr>
              <w:br/>
            </w:r>
            <w:r>
              <w:rPr>
                <w:rFonts w:cs="Times New Roman"/>
                <w:kern w:val="0"/>
                <w:sz w:val="21"/>
                <w:lang w:bidi="ar"/>
              </w:rPr>
              <w:t>形式</w:t>
            </w:r>
          </w:p>
        </w:tc>
        <w:tc>
          <w:tcPr>
            <w:tcW w:w="695"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交叉</w:t>
            </w:r>
            <w:r>
              <w:rPr>
                <w:rFonts w:cs="Times New Roman"/>
                <w:kern w:val="0"/>
                <w:sz w:val="21"/>
                <w:lang w:bidi="ar"/>
              </w:rPr>
              <w:br/>
            </w:r>
            <w:r>
              <w:rPr>
                <w:rFonts w:cs="Times New Roman"/>
                <w:kern w:val="0"/>
                <w:sz w:val="21"/>
                <w:lang w:bidi="ar"/>
              </w:rPr>
              <w:t>方式</w:t>
            </w:r>
          </w:p>
        </w:tc>
        <w:tc>
          <w:tcPr>
            <w:tcW w:w="1249"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被交路名称及等级</w:t>
            </w:r>
          </w:p>
        </w:tc>
      </w:tr>
      <w:tr w:rsidR="00A46452">
        <w:trPr>
          <w:trHeight w:val="312"/>
          <w:jc w:val="center"/>
        </w:trPr>
        <w:tc>
          <w:tcPr>
            <w:tcW w:w="1387"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1110"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557"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695"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1249"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r>
      <w:tr w:rsidR="00A46452">
        <w:trPr>
          <w:trHeight w:val="312"/>
          <w:jc w:val="center"/>
        </w:trPr>
        <w:tc>
          <w:tcPr>
            <w:tcW w:w="1387"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1110"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557"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695"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c>
          <w:tcPr>
            <w:tcW w:w="1249"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21"/>
              </w:rPr>
            </w:pPr>
          </w:p>
        </w:tc>
      </w:tr>
      <w:tr w:rsidR="00A46452">
        <w:trPr>
          <w:jc w:val="center"/>
        </w:trPr>
        <w:tc>
          <w:tcPr>
            <w:tcW w:w="138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K33+794</w:t>
            </w:r>
          </w:p>
        </w:tc>
        <w:tc>
          <w:tcPr>
            <w:tcW w:w="11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图木舒克市东互</w:t>
            </w:r>
            <w:r>
              <w:rPr>
                <w:rFonts w:cs="Times New Roman"/>
                <w:kern w:val="0"/>
                <w:sz w:val="21"/>
                <w:lang w:bidi="ar"/>
              </w:rPr>
              <w:br/>
            </w:r>
            <w:r>
              <w:rPr>
                <w:rFonts w:cs="Times New Roman"/>
                <w:kern w:val="0"/>
                <w:sz w:val="21"/>
                <w:lang w:bidi="ar"/>
              </w:rPr>
              <w:t>通式立体交叉</w:t>
            </w:r>
          </w:p>
        </w:tc>
        <w:tc>
          <w:tcPr>
            <w:tcW w:w="55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A</w:t>
            </w:r>
            <w:r>
              <w:rPr>
                <w:rFonts w:cs="Times New Roman"/>
                <w:kern w:val="0"/>
                <w:sz w:val="21"/>
                <w:lang w:bidi="ar"/>
              </w:rPr>
              <w:t>型单</w:t>
            </w:r>
            <w:r>
              <w:rPr>
                <w:rFonts w:cs="Times New Roman"/>
                <w:kern w:val="0"/>
                <w:sz w:val="21"/>
                <w:lang w:bidi="ar"/>
              </w:rPr>
              <w:br/>
            </w:r>
            <w:r>
              <w:rPr>
                <w:rFonts w:cs="Times New Roman"/>
                <w:kern w:val="0"/>
                <w:sz w:val="21"/>
                <w:lang w:bidi="ar"/>
              </w:rPr>
              <w:t>喇叭型</w:t>
            </w:r>
          </w:p>
        </w:tc>
        <w:tc>
          <w:tcPr>
            <w:tcW w:w="695"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本项目上</w:t>
            </w:r>
            <w:r>
              <w:rPr>
                <w:rFonts w:cs="Times New Roman"/>
                <w:kern w:val="0"/>
                <w:sz w:val="21"/>
                <w:lang w:bidi="ar"/>
              </w:rPr>
              <w:br/>
            </w:r>
            <w:r>
              <w:rPr>
                <w:rFonts w:cs="Times New Roman"/>
                <w:kern w:val="0"/>
                <w:sz w:val="21"/>
                <w:lang w:bidi="ar"/>
              </w:rPr>
              <w:t>跨被交路</w:t>
            </w:r>
            <w:r>
              <w:rPr>
                <w:rFonts w:cs="Times New Roman"/>
                <w:kern w:val="0"/>
                <w:sz w:val="21"/>
                <w:lang w:bidi="ar"/>
              </w:rPr>
              <w:br/>
              <w:t>G217</w:t>
            </w:r>
          </w:p>
        </w:tc>
        <w:tc>
          <w:tcPr>
            <w:tcW w:w="124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21"/>
              </w:rPr>
            </w:pPr>
            <w:r>
              <w:rPr>
                <w:rFonts w:cs="Times New Roman"/>
                <w:kern w:val="0"/>
                <w:sz w:val="21"/>
                <w:lang w:bidi="ar"/>
              </w:rPr>
              <w:t>拟建</w:t>
            </w:r>
            <w:r>
              <w:rPr>
                <w:rFonts w:cs="Times New Roman"/>
                <w:kern w:val="0"/>
                <w:sz w:val="21"/>
                <w:lang w:bidi="ar"/>
              </w:rPr>
              <w:t>G217</w:t>
            </w:r>
            <w:r>
              <w:rPr>
                <w:rFonts w:cs="Times New Roman"/>
                <w:kern w:val="0"/>
                <w:sz w:val="21"/>
                <w:lang w:bidi="ar"/>
              </w:rPr>
              <w:br/>
              <w:t>(</w:t>
            </w:r>
            <w:r>
              <w:rPr>
                <w:rFonts w:cs="Times New Roman"/>
                <w:kern w:val="0"/>
                <w:sz w:val="21"/>
                <w:lang w:bidi="ar"/>
              </w:rPr>
              <w:t>一级公路</w:t>
            </w:r>
            <w:r>
              <w:rPr>
                <w:rFonts w:cs="Times New Roman"/>
                <w:kern w:val="0"/>
                <w:sz w:val="21"/>
                <w:lang w:bidi="ar"/>
              </w:rPr>
              <w:t>)</w:t>
            </w:r>
          </w:p>
        </w:tc>
      </w:tr>
    </w:tbl>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w:t>
      </w:r>
      <w:r>
        <w:rPr>
          <w:rFonts w:cs="Times New Roman" w:hint="default"/>
          <w:iCs/>
        </w:rPr>
        <w:t>.</w:t>
      </w:r>
      <w:r>
        <w:rPr>
          <w:rFonts w:cs="Times New Roman" w:hint="default"/>
          <w:iCs/>
        </w:rPr>
        <w:t>2</w:t>
      </w:r>
      <w:r>
        <w:rPr>
          <w:rFonts w:cs="Times New Roman" w:hint="default"/>
          <w:iCs/>
        </w:rPr>
        <w:t>.</w:t>
      </w:r>
      <w:r>
        <w:rPr>
          <w:rFonts w:cs="Times New Roman" w:hint="default"/>
          <w:iCs/>
        </w:rPr>
        <w:t>4</w:t>
      </w:r>
      <w:r>
        <w:rPr>
          <w:rFonts w:cs="Times New Roman" w:hint="default"/>
          <w:iCs/>
        </w:rPr>
        <w:t>.</w:t>
      </w:r>
      <w:r>
        <w:rPr>
          <w:rFonts w:cs="Times New Roman" w:hint="default"/>
          <w:iCs/>
        </w:rPr>
        <w:t>5</w:t>
      </w:r>
      <w:r>
        <w:rPr>
          <w:rFonts w:cs="Times New Roman" w:hint="default"/>
          <w:iCs/>
        </w:rPr>
        <w:t>交通工程及沿线设施</w:t>
      </w:r>
    </w:p>
    <w:p w:rsidR="00A46452" w:rsidRDefault="009A3928">
      <w:pPr>
        <w:wordWrap w:val="0"/>
        <w:topLinePunct/>
        <w:ind w:firstLine="480"/>
        <w:rPr>
          <w:rFonts w:cs="Times New Roman"/>
          <w:kern w:val="0"/>
          <w:szCs w:val="24"/>
        </w:rPr>
      </w:pPr>
      <w:r>
        <w:rPr>
          <w:rFonts w:cs="Times New Roman"/>
          <w:kern w:val="0"/>
          <w:szCs w:val="24"/>
        </w:rPr>
        <w:t>本项目设置</w:t>
      </w:r>
      <w:r>
        <w:rPr>
          <w:rFonts w:cs="Times New Roman"/>
          <w:kern w:val="0"/>
          <w:szCs w:val="24"/>
        </w:rPr>
        <w:t>2</w:t>
      </w:r>
      <w:r>
        <w:rPr>
          <w:rFonts w:cs="Times New Roman"/>
          <w:kern w:val="0"/>
          <w:szCs w:val="24"/>
        </w:rPr>
        <w:t>处服务区，</w:t>
      </w:r>
      <w:r>
        <w:rPr>
          <w:rFonts w:cs="Times New Roman"/>
          <w:kern w:val="0"/>
          <w:szCs w:val="24"/>
        </w:rPr>
        <w:t>3</w:t>
      </w:r>
      <w:r>
        <w:rPr>
          <w:rFonts w:cs="Times New Roman"/>
          <w:kern w:val="0"/>
          <w:szCs w:val="24"/>
        </w:rPr>
        <w:t>处停车区，</w:t>
      </w:r>
      <w:r>
        <w:rPr>
          <w:rFonts w:cs="Times New Roman"/>
          <w:kern w:val="0"/>
          <w:szCs w:val="24"/>
        </w:rPr>
        <w:t>1</w:t>
      </w:r>
      <w:r>
        <w:rPr>
          <w:rFonts w:cs="Times New Roman"/>
          <w:kern w:val="0"/>
          <w:szCs w:val="24"/>
        </w:rPr>
        <w:t>处</w:t>
      </w:r>
      <w:r>
        <w:rPr>
          <w:rFonts w:cs="Times New Roman"/>
          <w:kern w:val="0"/>
          <w:szCs w:val="24"/>
        </w:rPr>
        <w:t>治超站，</w:t>
      </w:r>
      <w:r>
        <w:rPr>
          <w:rFonts w:cs="Times New Roman"/>
          <w:kern w:val="0"/>
          <w:szCs w:val="24"/>
        </w:rPr>
        <w:t>1</w:t>
      </w:r>
      <w:r>
        <w:rPr>
          <w:rFonts w:cs="Times New Roman"/>
          <w:kern w:val="0"/>
          <w:szCs w:val="24"/>
        </w:rPr>
        <w:t>处公安检察站</w:t>
      </w:r>
      <w:r>
        <w:rPr>
          <w:rFonts w:cs="Times New Roman"/>
          <w:kern w:val="0"/>
          <w:szCs w:val="24"/>
        </w:rPr>
        <w:t>。</w:t>
      </w:r>
      <w:r>
        <w:rPr>
          <w:rFonts w:cs="Times New Roman"/>
          <w:kern w:val="0"/>
          <w:szCs w:val="24"/>
          <w:lang w:bidi="ar"/>
        </w:rPr>
        <w:t>拟建服务区中心桩号为</w:t>
      </w:r>
      <w:r>
        <w:rPr>
          <w:rFonts w:cs="Times New Roman"/>
          <w:kern w:val="0"/>
          <w:szCs w:val="24"/>
          <w:lang w:bidi="ar"/>
        </w:rPr>
        <w:t>K32+000</w:t>
      </w:r>
      <w:r>
        <w:rPr>
          <w:rFonts w:cs="Times New Roman"/>
          <w:kern w:val="0"/>
          <w:szCs w:val="24"/>
        </w:rPr>
        <w:t>，</w:t>
      </w:r>
      <w:r>
        <w:rPr>
          <w:rFonts w:cs="Times New Roman"/>
          <w:kern w:val="0"/>
          <w:szCs w:val="24"/>
          <w:lang w:bidi="ar"/>
        </w:rPr>
        <w:t>停</w:t>
      </w:r>
      <w:r>
        <w:rPr>
          <w:rFonts w:cs="Times New Roman"/>
          <w:kern w:val="0"/>
          <w:szCs w:val="24"/>
        </w:rPr>
        <w:t>车区设置在</w:t>
      </w:r>
      <w:r>
        <w:rPr>
          <w:rFonts w:cs="Times New Roman"/>
          <w:kern w:val="0"/>
          <w:szCs w:val="24"/>
        </w:rPr>
        <w:t>K31+900~K32+100</w:t>
      </w:r>
      <w:r>
        <w:rPr>
          <w:rFonts w:cs="Times New Roman"/>
          <w:kern w:val="0"/>
          <w:szCs w:val="24"/>
        </w:rPr>
        <w:t>处。</w:t>
      </w:r>
    </w:p>
    <w:p w:rsidR="00A46452" w:rsidRDefault="009A3928">
      <w:pPr>
        <w:spacing w:line="240" w:lineRule="auto"/>
        <w:ind w:firstLineChars="0" w:firstLine="0"/>
        <w:rPr>
          <w:rFonts w:eastAsia="黑体" w:cs="Times New Roman"/>
        </w:rPr>
      </w:pPr>
      <w:r>
        <w:rPr>
          <w:rFonts w:eastAsia="黑体" w:cs="Times New Roman"/>
        </w:rPr>
        <w:t>表</w:t>
      </w:r>
      <w:r>
        <w:rPr>
          <w:rFonts w:eastAsia="黑体" w:cs="Times New Roman"/>
        </w:rPr>
        <w:t>4.2-</w:t>
      </w:r>
      <w:r>
        <w:rPr>
          <w:rFonts w:eastAsia="黑体" w:cs="Times New Roman" w:hint="eastAsia"/>
        </w:rPr>
        <w:t>7</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服务区、管理养护机构一览表</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775"/>
        <w:gridCol w:w="1822"/>
        <w:gridCol w:w="1461"/>
        <w:gridCol w:w="1628"/>
        <w:gridCol w:w="1669"/>
        <w:gridCol w:w="984"/>
      </w:tblGrid>
      <w:tr w:rsidR="00A46452">
        <w:trPr>
          <w:trHeight w:val="439"/>
        </w:trPr>
        <w:tc>
          <w:tcPr>
            <w:tcW w:w="46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序号</w:t>
            </w:r>
          </w:p>
        </w:tc>
        <w:tc>
          <w:tcPr>
            <w:tcW w:w="1092"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管理设施桩号</w:t>
            </w:r>
          </w:p>
        </w:tc>
        <w:tc>
          <w:tcPr>
            <w:tcW w:w="8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名称</w:t>
            </w:r>
          </w:p>
        </w:tc>
        <w:tc>
          <w:tcPr>
            <w:tcW w:w="9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位置</w:t>
            </w:r>
          </w:p>
        </w:tc>
        <w:tc>
          <w:tcPr>
            <w:tcW w:w="1000"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占地面积（亩）</w:t>
            </w:r>
          </w:p>
        </w:tc>
        <w:tc>
          <w:tcPr>
            <w:tcW w:w="590"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主要设施</w:t>
            </w:r>
          </w:p>
        </w:tc>
      </w:tr>
      <w:tr w:rsidR="00A46452">
        <w:trPr>
          <w:trHeight w:val="630"/>
        </w:trPr>
        <w:tc>
          <w:tcPr>
            <w:tcW w:w="46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1</w:t>
            </w:r>
          </w:p>
        </w:tc>
        <w:tc>
          <w:tcPr>
            <w:tcW w:w="1092"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K</w:t>
            </w:r>
            <w:r>
              <w:rPr>
                <w:rFonts w:cs="Times New Roman"/>
                <w:snapToGrid w:val="0"/>
                <w:kern w:val="0"/>
                <w:sz w:val="18"/>
                <w:szCs w:val="18"/>
              </w:rPr>
              <w:t>31</w:t>
            </w:r>
            <w:r>
              <w:rPr>
                <w:rFonts w:cs="Times New Roman"/>
                <w:snapToGrid w:val="0"/>
                <w:kern w:val="0"/>
                <w:sz w:val="18"/>
                <w:szCs w:val="18"/>
              </w:rPr>
              <w:t>+</w:t>
            </w:r>
            <w:r>
              <w:rPr>
                <w:rFonts w:cs="Times New Roman"/>
                <w:snapToGrid w:val="0"/>
                <w:kern w:val="0"/>
                <w:sz w:val="18"/>
                <w:szCs w:val="18"/>
              </w:rPr>
              <w:t>820~K32+100</w:t>
            </w:r>
          </w:p>
        </w:tc>
        <w:tc>
          <w:tcPr>
            <w:tcW w:w="8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服务区</w:t>
            </w:r>
          </w:p>
        </w:tc>
        <w:tc>
          <w:tcPr>
            <w:tcW w:w="9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路线右侧</w:t>
            </w:r>
          </w:p>
        </w:tc>
        <w:tc>
          <w:tcPr>
            <w:tcW w:w="1000"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29.87</w:t>
            </w:r>
          </w:p>
        </w:tc>
        <w:tc>
          <w:tcPr>
            <w:tcW w:w="590" w:type="pct"/>
            <w:vMerge w:val="restart"/>
            <w:tcBorders>
              <w:tl2br w:val="nil"/>
              <w:tr2bl w:val="nil"/>
            </w:tcBorders>
            <w:vAlign w:val="center"/>
          </w:tcPr>
          <w:p w:rsidR="00A46452" w:rsidRDefault="009A3928">
            <w:pPr>
              <w:widowControl/>
              <w:spacing w:line="240" w:lineRule="exact"/>
              <w:ind w:firstLineChars="0" w:firstLine="0"/>
              <w:rPr>
                <w:rFonts w:cs="Times New Roman"/>
                <w:snapToGrid w:val="0"/>
                <w:kern w:val="0"/>
                <w:sz w:val="18"/>
                <w:szCs w:val="18"/>
              </w:rPr>
            </w:pPr>
            <w:r>
              <w:rPr>
                <w:rFonts w:cs="Times New Roman"/>
                <w:snapToGrid w:val="0"/>
                <w:kern w:val="0"/>
                <w:sz w:val="18"/>
                <w:szCs w:val="18"/>
              </w:rPr>
              <w:t>综合服务楼、餐厅、停车位、加油站预留用地</w:t>
            </w:r>
          </w:p>
        </w:tc>
      </w:tr>
      <w:tr w:rsidR="00A46452">
        <w:trPr>
          <w:trHeight w:val="161"/>
        </w:trPr>
        <w:tc>
          <w:tcPr>
            <w:tcW w:w="46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2</w:t>
            </w:r>
          </w:p>
        </w:tc>
        <w:tc>
          <w:tcPr>
            <w:tcW w:w="1092"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K31+900~K32+150</w:t>
            </w:r>
          </w:p>
        </w:tc>
        <w:tc>
          <w:tcPr>
            <w:tcW w:w="8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服务区</w:t>
            </w:r>
          </w:p>
        </w:tc>
        <w:tc>
          <w:tcPr>
            <w:tcW w:w="975"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路线</w:t>
            </w:r>
            <w:r>
              <w:rPr>
                <w:rFonts w:cs="Times New Roman"/>
                <w:snapToGrid w:val="0"/>
                <w:kern w:val="0"/>
                <w:sz w:val="18"/>
                <w:szCs w:val="18"/>
              </w:rPr>
              <w:t>左</w:t>
            </w:r>
            <w:r>
              <w:rPr>
                <w:rFonts w:cs="Times New Roman"/>
                <w:snapToGrid w:val="0"/>
                <w:kern w:val="0"/>
                <w:sz w:val="18"/>
                <w:szCs w:val="18"/>
              </w:rPr>
              <w:t>侧</w:t>
            </w:r>
          </w:p>
        </w:tc>
        <w:tc>
          <w:tcPr>
            <w:tcW w:w="1000" w:type="pc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26.43</w:t>
            </w:r>
          </w:p>
        </w:tc>
        <w:tc>
          <w:tcPr>
            <w:tcW w:w="590" w:type="pct"/>
            <w:vMerge/>
            <w:tcBorders>
              <w:tl2br w:val="nil"/>
              <w:tr2bl w:val="nil"/>
            </w:tcBorders>
            <w:vAlign w:val="center"/>
          </w:tcPr>
          <w:p w:rsidR="00A46452" w:rsidRDefault="00A46452">
            <w:pPr>
              <w:widowControl/>
              <w:spacing w:line="240" w:lineRule="exact"/>
              <w:ind w:firstLineChars="0" w:firstLine="0"/>
              <w:jc w:val="center"/>
              <w:rPr>
                <w:rFonts w:cs="Times New Roman"/>
                <w:snapToGrid w:val="0"/>
                <w:kern w:val="0"/>
                <w:sz w:val="18"/>
                <w:szCs w:val="18"/>
              </w:rPr>
            </w:pPr>
          </w:p>
        </w:tc>
      </w:tr>
    </w:tbl>
    <w:p w:rsidR="00A46452" w:rsidRDefault="009A3928">
      <w:pPr>
        <w:spacing w:line="240" w:lineRule="auto"/>
        <w:ind w:firstLineChars="0" w:firstLine="0"/>
        <w:rPr>
          <w:rFonts w:eastAsia="黑体" w:cs="Times New Roman"/>
        </w:rPr>
      </w:pPr>
      <w:r>
        <w:rPr>
          <w:rFonts w:eastAsia="黑体" w:cs="Times New Roman"/>
        </w:rPr>
        <w:t>表</w:t>
      </w:r>
      <w:r>
        <w:rPr>
          <w:rFonts w:eastAsia="黑体" w:cs="Times New Roman"/>
        </w:rPr>
        <w:t>4.2-</w:t>
      </w:r>
      <w:r>
        <w:rPr>
          <w:rFonts w:eastAsia="黑体" w:cs="Times New Roman" w:hint="eastAsia"/>
        </w:rPr>
        <w:t>8</w:t>
      </w:r>
      <w:r>
        <w:rPr>
          <w:rFonts w:eastAsia="黑体" w:cs="Times New Roman"/>
        </w:rPr>
        <w:t xml:space="preserve">                 </w:t>
      </w:r>
      <w:r>
        <w:rPr>
          <w:rFonts w:eastAsia="黑体" w:cs="Times New Roman"/>
        </w:rPr>
        <w:t>停车区一览表</w:t>
      </w:r>
    </w:p>
    <w:tbl>
      <w:tblPr>
        <w:tblStyle w:val="TableNormal"/>
        <w:tblW w:w="5034"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74"/>
        <w:gridCol w:w="3093"/>
        <w:gridCol w:w="1534"/>
        <w:gridCol w:w="2898"/>
      </w:tblGrid>
      <w:tr w:rsidR="00A46452">
        <w:trPr>
          <w:trHeight w:val="508"/>
        </w:trPr>
        <w:tc>
          <w:tcPr>
            <w:tcW w:w="521" w:type="pct"/>
            <w:tcBorders>
              <w:tl2br w:val="nil"/>
              <w:tr2bl w:val="nil"/>
            </w:tcBorders>
            <w:vAlign w:val="center"/>
          </w:tcPr>
          <w:p w:rsidR="00A46452" w:rsidRDefault="009A3928">
            <w:pPr>
              <w:pStyle w:val="TableText"/>
              <w:spacing w:line="240" w:lineRule="exact"/>
              <w:ind w:firstLineChars="0" w:firstLine="0"/>
              <w:jc w:val="center"/>
            </w:pPr>
            <w:r>
              <w:rPr>
                <w:b/>
                <w:bCs/>
                <w:spacing w:val="4"/>
              </w:rPr>
              <w:t>序号</w:t>
            </w:r>
          </w:p>
        </w:tc>
        <w:tc>
          <w:tcPr>
            <w:tcW w:w="1840" w:type="pct"/>
            <w:tcBorders>
              <w:tl2br w:val="nil"/>
              <w:tr2bl w:val="nil"/>
            </w:tcBorders>
            <w:vAlign w:val="center"/>
          </w:tcPr>
          <w:p w:rsidR="00A46452" w:rsidRDefault="009A3928">
            <w:pPr>
              <w:pStyle w:val="TableText"/>
              <w:spacing w:line="240" w:lineRule="exact"/>
              <w:ind w:firstLineChars="0" w:firstLine="0"/>
              <w:jc w:val="center"/>
            </w:pPr>
            <w:r>
              <w:rPr>
                <w:b/>
                <w:bCs/>
                <w:spacing w:val="6"/>
              </w:rPr>
              <w:t>停车区桩号</w:t>
            </w:r>
          </w:p>
        </w:tc>
        <w:tc>
          <w:tcPr>
            <w:tcW w:w="913" w:type="pct"/>
            <w:tcBorders>
              <w:tl2br w:val="nil"/>
              <w:tr2bl w:val="nil"/>
            </w:tcBorders>
            <w:vAlign w:val="center"/>
          </w:tcPr>
          <w:p w:rsidR="00A46452" w:rsidRDefault="009A3928">
            <w:pPr>
              <w:pStyle w:val="TableText"/>
              <w:spacing w:line="240" w:lineRule="exact"/>
              <w:ind w:firstLineChars="0" w:firstLine="0"/>
              <w:jc w:val="center"/>
            </w:pPr>
            <w:r>
              <w:rPr>
                <w:b/>
                <w:bCs/>
                <w:spacing w:val="3"/>
              </w:rPr>
              <w:t>位置</w:t>
            </w:r>
          </w:p>
        </w:tc>
        <w:tc>
          <w:tcPr>
            <w:tcW w:w="1724" w:type="pct"/>
            <w:tcBorders>
              <w:tl2br w:val="nil"/>
              <w:tr2bl w:val="nil"/>
            </w:tcBorders>
            <w:vAlign w:val="center"/>
          </w:tcPr>
          <w:p w:rsidR="00A46452" w:rsidRDefault="009A3928">
            <w:pPr>
              <w:pStyle w:val="TableText"/>
              <w:spacing w:line="240" w:lineRule="exact"/>
              <w:ind w:firstLineChars="0" w:firstLine="0"/>
              <w:jc w:val="center"/>
            </w:pPr>
            <w:r>
              <w:rPr>
                <w:spacing w:val="2"/>
              </w:rPr>
              <w:t>占地面积（亩）</w:t>
            </w:r>
          </w:p>
        </w:tc>
      </w:tr>
      <w:tr w:rsidR="00A46452">
        <w:trPr>
          <w:trHeight w:val="188"/>
        </w:trPr>
        <w:tc>
          <w:tcPr>
            <w:tcW w:w="521"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1</w:t>
            </w:r>
          </w:p>
        </w:tc>
        <w:tc>
          <w:tcPr>
            <w:tcW w:w="1840"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K</w:t>
            </w:r>
            <w:r>
              <w:rPr>
                <w:rFonts w:cs="Times New Roman"/>
                <w:snapToGrid w:val="0"/>
                <w:kern w:val="0"/>
                <w:sz w:val="18"/>
                <w:szCs w:val="18"/>
              </w:rPr>
              <w:t>31</w:t>
            </w:r>
            <w:r>
              <w:rPr>
                <w:rFonts w:cs="Times New Roman"/>
                <w:snapToGrid w:val="0"/>
                <w:kern w:val="0"/>
                <w:sz w:val="18"/>
                <w:szCs w:val="18"/>
              </w:rPr>
              <w:t>+</w:t>
            </w:r>
            <w:r>
              <w:rPr>
                <w:rFonts w:cs="Times New Roman"/>
                <w:snapToGrid w:val="0"/>
                <w:kern w:val="0"/>
                <w:sz w:val="18"/>
                <w:szCs w:val="18"/>
              </w:rPr>
              <w:t>860~</w:t>
            </w:r>
            <w:r>
              <w:rPr>
                <w:rFonts w:cs="Times New Roman"/>
                <w:snapToGrid w:val="0"/>
                <w:kern w:val="0"/>
                <w:sz w:val="18"/>
                <w:szCs w:val="18"/>
              </w:rPr>
              <w:t>K</w:t>
            </w:r>
            <w:r>
              <w:rPr>
                <w:rFonts w:cs="Times New Roman"/>
                <w:snapToGrid w:val="0"/>
                <w:kern w:val="0"/>
                <w:sz w:val="18"/>
                <w:szCs w:val="18"/>
              </w:rPr>
              <w:t>31</w:t>
            </w:r>
            <w:r>
              <w:rPr>
                <w:rFonts w:cs="Times New Roman"/>
                <w:snapToGrid w:val="0"/>
                <w:kern w:val="0"/>
                <w:sz w:val="18"/>
                <w:szCs w:val="18"/>
              </w:rPr>
              <w:t>+</w:t>
            </w:r>
            <w:r>
              <w:rPr>
                <w:rFonts w:cs="Times New Roman"/>
                <w:snapToGrid w:val="0"/>
                <w:kern w:val="0"/>
                <w:sz w:val="18"/>
                <w:szCs w:val="18"/>
              </w:rPr>
              <w:t>920</w:t>
            </w:r>
          </w:p>
        </w:tc>
        <w:tc>
          <w:tcPr>
            <w:tcW w:w="913"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路线</w:t>
            </w:r>
            <w:r>
              <w:rPr>
                <w:rFonts w:cs="Times New Roman"/>
                <w:snapToGrid w:val="0"/>
                <w:kern w:val="0"/>
                <w:sz w:val="18"/>
                <w:szCs w:val="18"/>
              </w:rPr>
              <w:t>右</w:t>
            </w:r>
            <w:r>
              <w:rPr>
                <w:rFonts w:cs="Times New Roman"/>
                <w:snapToGrid w:val="0"/>
                <w:kern w:val="0"/>
                <w:sz w:val="18"/>
                <w:szCs w:val="18"/>
              </w:rPr>
              <w:t>侧</w:t>
            </w:r>
          </w:p>
        </w:tc>
        <w:tc>
          <w:tcPr>
            <w:tcW w:w="1724" w:type="pct"/>
            <w:vMerge w:val="restart"/>
            <w:tcBorders>
              <w:tl2br w:val="nil"/>
              <w:tr2bl w:val="nil"/>
            </w:tcBorders>
            <w:vAlign w:val="center"/>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8.2</w:t>
            </w:r>
          </w:p>
        </w:tc>
      </w:tr>
      <w:tr w:rsidR="00A46452">
        <w:trPr>
          <w:trHeight w:val="90"/>
        </w:trPr>
        <w:tc>
          <w:tcPr>
            <w:tcW w:w="521"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2</w:t>
            </w:r>
          </w:p>
        </w:tc>
        <w:tc>
          <w:tcPr>
            <w:tcW w:w="1840"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K</w:t>
            </w:r>
            <w:r>
              <w:rPr>
                <w:rFonts w:cs="Times New Roman"/>
                <w:snapToGrid w:val="0"/>
                <w:kern w:val="0"/>
                <w:sz w:val="18"/>
                <w:szCs w:val="18"/>
              </w:rPr>
              <w:t>31</w:t>
            </w:r>
            <w:r>
              <w:rPr>
                <w:rFonts w:cs="Times New Roman"/>
                <w:snapToGrid w:val="0"/>
                <w:kern w:val="0"/>
                <w:sz w:val="18"/>
                <w:szCs w:val="18"/>
              </w:rPr>
              <w:t>+</w:t>
            </w:r>
            <w:r>
              <w:rPr>
                <w:rFonts w:cs="Times New Roman"/>
                <w:snapToGrid w:val="0"/>
                <w:kern w:val="0"/>
                <w:sz w:val="18"/>
                <w:szCs w:val="18"/>
              </w:rPr>
              <w:t>940~</w:t>
            </w:r>
            <w:r>
              <w:rPr>
                <w:rFonts w:cs="Times New Roman"/>
                <w:snapToGrid w:val="0"/>
                <w:kern w:val="0"/>
                <w:sz w:val="18"/>
                <w:szCs w:val="18"/>
              </w:rPr>
              <w:t>K</w:t>
            </w:r>
            <w:r>
              <w:rPr>
                <w:rFonts w:cs="Times New Roman"/>
                <w:snapToGrid w:val="0"/>
                <w:kern w:val="0"/>
                <w:sz w:val="18"/>
                <w:szCs w:val="18"/>
              </w:rPr>
              <w:t>32</w:t>
            </w:r>
            <w:r>
              <w:rPr>
                <w:rFonts w:cs="Times New Roman"/>
                <w:snapToGrid w:val="0"/>
                <w:kern w:val="0"/>
                <w:sz w:val="18"/>
                <w:szCs w:val="18"/>
              </w:rPr>
              <w:t>+</w:t>
            </w:r>
            <w:r>
              <w:rPr>
                <w:rFonts w:cs="Times New Roman"/>
                <w:snapToGrid w:val="0"/>
                <w:kern w:val="0"/>
                <w:sz w:val="18"/>
                <w:szCs w:val="18"/>
              </w:rPr>
              <w:t>060</w:t>
            </w:r>
          </w:p>
        </w:tc>
        <w:tc>
          <w:tcPr>
            <w:tcW w:w="913" w:type="pct"/>
            <w:tcBorders>
              <w:tl2br w:val="nil"/>
              <w:tr2bl w:val="nil"/>
            </w:tcBorders>
          </w:tcPr>
          <w:p w:rsidR="00A46452" w:rsidRDefault="009A3928">
            <w:pPr>
              <w:widowControl/>
              <w:spacing w:line="240" w:lineRule="exact"/>
              <w:ind w:firstLineChars="0" w:firstLine="0"/>
              <w:jc w:val="center"/>
              <w:rPr>
                <w:rFonts w:cs="Times New Roman"/>
                <w:snapToGrid w:val="0"/>
                <w:kern w:val="0"/>
                <w:sz w:val="18"/>
                <w:szCs w:val="18"/>
              </w:rPr>
            </w:pPr>
            <w:r>
              <w:rPr>
                <w:rFonts w:cs="Times New Roman"/>
                <w:snapToGrid w:val="0"/>
                <w:kern w:val="0"/>
                <w:sz w:val="18"/>
                <w:szCs w:val="18"/>
              </w:rPr>
              <w:t>路线</w:t>
            </w:r>
            <w:r>
              <w:rPr>
                <w:rFonts w:cs="Times New Roman"/>
                <w:snapToGrid w:val="0"/>
                <w:kern w:val="0"/>
                <w:sz w:val="18"/>
                <w:szCs w:val="18"/>
              </w:rPr>
              <w:t>两侧</w:t>
            </w:r>
          </w:p>
        </w:tc>
        <w:tc>
          <w:tcPr>
            <w:tcW w:w="1724" w:type="pct"/>
            <w:vMerge/>
            <w:tcBorders>
              <w:tl2br w:val="nil"/>
              <w:tr2bl w:val="nil"/>
            </w:tcBorders>
          </w:tcPr>
          <w:p w:rsidR="00A46452" w:rsidRDefault="00A46452">
            <w:pPr>
              <w:widowControl/>
              <w:spacing w:line="240" w:lineRule="exact"/>
              <w:ind w:firstLineChars="0" w:firstLine="0"/>
              <w:jc w:val="center"/>
              <w:rPr>
                <w:rFonts w:cs="Times New Roman"/>
                <w:snapToGrid w:val="0"/>
                <w:kern w:val="0"/>
                <w:sz w:val="18"/>
                <w:szCs w:val="18"/>
              </w:rPr>
            </w:pP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29" w:name="_Toc97464612"/>
      <w:bookmarkStart w:id="230" w:name="_Toc98414189"/>
      <w:bookmarkStart w:id="231" w:name="_Toc98413507"/>
      <w:bookmarkStart w:id="232" w:name="_Toc57826715"/>
      <w:r>
        <w:rPr>
          <w:rFonts w:cs="Times New Roman" w:hint="default"/>
          <w:sz w:val="28"/>
          <w:szCs w:val="28"/>
        </w:rPr>
        <w:t>4.2.5</w:t>
      </w:r>
      <w:r>
        <w:rPr>
          <w:rFonts w:cs="Times New Roman" w:hint="default"/>
          <w:sz w:val="28"/>
          <w:szCs w:val="28"/>
        </w:rPr>
        <w:t>占地规模</w:t>
      </w:r>
      <w:bookmarkEnd w:id="229"/>
      <w:bookmarkEnd w:id="230"/>
      <w:bookmarkEnd w:id="231"/>
      <w:bookmarkEnd w:id="232"/>
      <w:r>
        <w:rPr>
          <w:rFonts w:cs="Times New Roman" w:hint="default"/>
          <w:sz w:val="28"/>
          <w:szCs w:val="28"/>
        </w:rPr>
        <w:t>及拆迁</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4.2.5.1</w:t>
      </w:r>
      <w:r>
        <w:rPr>
          <w:rFonts w:cs="Times New Roman" w:hint="default"/>
          <w:iCs/>
        </w:rPr>
        <w:t>占地规模</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）永久占地</w:t>
      </w:r>
    </w:p>
    <w:p w:rsidR="00A46452" w:rsidRDefault="009A3928" w:rsidP="00182EED">
      <w:pPr>
        <w:wordWrap w:val="0"/>
        <w:topLinePunct/>
        <w:adjustRightInd w:val="0"/>
        <w:snapToGrid w:val="0"/>
        <w:ind w:firstLine="480"/>
        <w:jc w:val="left"/>
        <w:rPr>
          <w:rFonts w:cs="Times New Roman"/>
        </w:rPr>
      </w:pPr>
      <w:r>
        <w:rPr>
          <w:rFonts w:cs="Times New Roman"/>
        </w:rPr>
        <w:t>本项目</w:t>
      </w:r>
      <w:r>
        <w:rPr>
          <w:rFonts w:cs="Times New Roman"/>
        </w:rPr>
        <w:t>途经</w:t>
      </w:r>
      <w:r>
        <w:rPr>
          <w:rFonts w:cs="Times New Roman"/>
        </w:rPr>
        <w:t>第</w:t>
      </w:r>
      <w:r>
        <w:rPr>
          <w:rFonts w:cs="Times New Roman"/>
        </w:rPr>
        <w:t>三</w:t>
      </w:r>
      <w:r>
        <w:rPr>
          <w:rFonts w:cs="Times New Roman"/>
        </w:rPr>
        <w:t>师、</w:t>
      </w:r>
      <w:r>
        <w:rPr>
          <w:rFonts w:cs="Times New Roman"/>
        </w:rPr>
        <w:t>巴楚县</w:t>
      </w:r>
      <w:r>
        <w:rPr>
          <w:rFonts w:cs="Times New Roman"/>
        </w:rPr>
        <w:t>，</w:t>
      </w:r>
      <w:r>
        <w:rPr>
          <w:rFonts w:cs="Times New Roman"/>
        </w:rPr>
        <w:t>柯坪</w:t>
      </w:r>
      <w:r>
        <w:rPr>
          <w:rFonts w:cs="Times New Roman"/>
        </w:rPr>
        <w:t>县，</w:t>
      </w:r>
      <w:r>
        <w:rPr>
          <w:rFonts w:cs="Times New Roman"/>
        </w:rPr>
        <w:t>根据初步设计占地资料，本工程</w:t>
      </w:r>
      <w:r>
        <w:rPr>
          <w:rFonts w:cs="Times New Roman"/>
          <w:kern w:val="0"/>
          <w:szCs w:val="24"/>
          <w:lang w:bidi="ar"/>
        </w:rPr>
        <w:t>永久占地共</w:t>
      </w:r>
      <w:r>
        <w:rPr>
          <w:rFonts w:cs="Times New Roman"/>
          <w:kern w:val="0"/>
          <w:szCs w:val="24"/>
          <w:lang w:bidi="ar"/>
        </w:rPr>
        <w:t>300.80hm²</w:t>
      </w:r>
      <w:r>
        <w:rPr>
          <w:rFonts w:cs="Times New Roman"/>
          <w:kern w:val="0"/>
          <w:szCs w:val="24"/>
          <w:lang w:bidi="ar"/>
        </w:rPr>
        <w:t>，</w:t>
      </w:r>
      <w:r>
        <w:rPr>
          <w:rFonts w:cs="Times New Roman"/>
          <w:kern w:val="0"/>
          <w:szCs w:val="24"/>
          <w:lang w:bidi="ar"/>
        </w:rPr>
        <w:t>其中新增永久占地面积为</w:t>
      </w:r>
      <w:r>
        <w:rPr>
          <w:rFonts w:cs="Times New Roman"/>
          <w:kern w:val="0"/>
          <w:szCs w:val="24"/>
          <w:lang w:bidi="ar"/>
        </w:rPr>
        <w:t>279.70hm²</w:t>
      </w:r>
      <w:r>
        <w:rPr>
          <w:rFonts w:cs="Times New Roman"/>
          <w:kern w:val="0"/>
          <w:szCs w:val="24"/>
          <w:lang w:bidi="ar"/>
        </w:rPr>
        <w:t>，占地类型包括：耕地、林地、草地、交通运输用地（原有公路用地）。</w:t>
      </w:r>
      <w:r>
        <w:rPr>
          <w:rFonts w:cs="Times New Roman"/>
          <w:kern w:val="0"/>
          <w:szCs w:val="24"/>
          <w:lang w:bidi="ar"/>
        </w:rPr>
        <w:t>原有公路占地</w:t>
      </w:r>
      <w:r>
        <w:rPr>
          <w:rFonts w:cs="Times New Roman"/>
          <w:kern w:val="0"/>
          <w:szCs w:val="24"/>
          <w:lang w:bidi="ar"/>
        </w:rPr>
        <w:t>21.10hm²</w:t>
      </w:r>
      <w:r>
        <w:rPr>
          <w:rFonts w:cs="Times New Roman"/>
          <w:kern w:val="0"/>
          <w:szCs w:val="24"/>
          <w:lang w:bidi="ar"/>
        </w:rPr>
        <w:t>、荒地</w:t>
      </w:r>
      <w:r>
        <w:rPr>
          <w:rFonts w:cs="Times New Roman"/>
          <w:kern w:val="0"/>
          <w:szCs w:val="24"/>
          <w:lang w:bidi="ar"/>
        </w:rPr>
        <w:t>2.98hm²</w:t>
      </w:r>
      <w:r>
        <w:rPr>
          <w:rFonts w:cs="Times New Roman"/>
          <w:kern w:val="0"/>
          <w:szCs w:val="24"/>
          <w:lang w:bidi="ar"/>
        </w:rPr>
        <w:t>、耕地</w:t>
      </w:r>
      <w:r>
        <w:rPr>
          <w:rFonts w:cs="Times New Roman"/>
          <w:kern w:val="0"/>
          <w:szCs w:val="24"/>
          <w:lang w:bidi="ar"/>
        </w:rPr>
        <w:t>34.27hm²</w:t>
      </w:r>
      <w:r>
        <w:rPr>
          <w:rFonts w:cs="Times New Roman"/>
          <w:kern w:val="0"/>
          <w:szCs w:val="24"/>
          <w:lang w:bidi="ar"/>
        </w:rPr>
        <w:t>、</w:t>
      </w:r>
      <w:r>
        <w:rPr>
          <w:rFonts w:cs="Times New Roman"/>
          <w:kern w:val="0"/>
          <w:szCs w:val="24"/>
          <w:lang w:bidi="ar"/>
        </w:rPr>
        <w:t>草地</w:t>
      </w:r>
      <w:r>
        <w:rPr>
          <w:rFonts w:cs="Times New Roman"/>
          <w:kern w:val="0"/>
          <w:szCs w:val="24"/>
          <w:lang w:bidi="ar"/>
        </w:rPr>
        <w:t>97.91hm²</w:t>
      </w:r>
      <w:r>
        <w:rPr>
          <w:rFonts w:cs="Times New Roman"/>
          <w:kern w:val="0"/>
          <w:szCs w:val="24"/>
          <w:lang w:bidi="ar"/>
        </w:rPr>
        <w:t>、建设用地</w:t>
      </w:r>
      <w:r>
        <w:rPr>
          <w:rFonts w:cs="Times New Roman"/>
          <w:kern w:val="0"/>
          <w:szCs w:val="24"/>
          <w:lang w:bidi="ar"/>
        </w:rPr>
        <w:t>5.11hm²</w:t>
      </w:r>
      <w:r>
        <w:rPr>
          <w:rFonts w:cs="Times New Roman"/>
          <w:kern w:val="0"/>
          <w:szCs w:val="24"/>
          <w:lang w:bidi="ar"/>
        </w:rPr>
        <w:t>、</w:t>
      </w:r>
      <w:r>
        <w:rPr>
          <w:rFonts w:cs="Times New Roman"/>
          <w:kern w:val="0"/>
          <w:szCs w:val="24"/>
          <w:lang w:bidi="ar"/>
        </w:rPr>
        <w:t>林地</w:t>
      </w:r>
      <w:r>
        <w:rPr>
          <w:rFonts w:cs="Times New Roman"/>
          <w:kern w:val="0"/>
          <w:szCs w:val="24"/>
          <w:lang w:bidi="ar"/>
        </w:rPr>
        <w:t>139.15hm²</w:t>
      </w:r>
      <w:r>
        <w:rPr>
          <w:rFonts w:cs="Times New Roman"/>
          <w:kern w:val="0"/>
          <w:szCs w:val="24"/>
          <w:lang w:bidi="ar"/>
        </w:rPr>
        <w:t>、</w:t>
      </w:r>
      <w:r>
        <w:rPr>
          <w:rFonts w:cs="Times New Roman"/>
          <w:kern w:val="0"/>
          <w:szCs w:val="24"/>
          <w:lang w:bidi="ar"/>
        </w:rPr>
        <w:t>住宅用地（</w:t>
      </w:r>
      <w:r>
        <w:rPr>
          <w:rFonts w:cs="Times New Roman"/>
          <w:kern w:val="0"/>
          <w:szCs w:val="24"/>
          <w:lang w:bidi="ar"/>
        </w:rPr>
        <w:t>居民地</w:t>
      </w:r>
      <w:r>
        <w:rPr>
          <w:rFonts w:cs="Times New Roman"/>
          <w:kern w:val="0"/>
          <w:szCs w:val="24"/>
          <w:lang w:bidi="ar"/>
        </w:rPr>
        <w:t>）</w:t>
      </w:r>
      <w:r>
        <w:rPr>
          <w:rFonts w:cs="Times New Roman"/>
          <w:kern w:val="0"/>
          <w:szCs w:val="24"/>
          <w:lang w:bidi="ar"/>
        </w:rPr>
        <w:t>0.28hm²</w:t>
      </w:r>
      <w:r>
        <w:rPr>
          <w:rFonts w:cs="Times New Roman"/>
          <w:kern w:val="0"/>
          <w:szCs w:val="24"/>
          <w:lang w:bidi="ar"/>
        </w:rPr>
        <w:t>。</w:t>
      </w:r>
    </w:p>
    <w:p w:rsidR="00A46452" w:rsidRDefault="009A3928">
      <w:pPr>
        <w:wordWrap w:val="0"/>
        <w:topLinePunct/>
        <w:adjustRightInd w:val="0"/>
        <w:snapToGrid w:val="0"/>
        <w:ind w:firstLine="480"/>
        <w:rPr>
          <w:rFonts w:cs="Times New Roman"/>
        </w:rPr>
      </w:pPr>
      <w:r>
        <w:rPr>
          <w:rFonts w:cs="Times New Roman"/>
        </w:rPr>
        <w:t>按辖区划分，占用第</w:t>
      </w:r>
      <w:r>
        <w:rPr>
          <w:rFonts w:cs="Times New Roman"/>
        </w:rPr>
        <w:t>三</w:t>
      </w:r>
      <w:r>
        <w:rPr>
          <w:rFonts w:cs="Times New Roman"/>
        </w:rPr>
        <w:t>师</w:t>
      </w:r>
      <w:r>
        <w:rPr>
          <w:rFonts w:cs="Times New Roman"/>
        </w:rPr>
        <w:t>图木舒克</w:t>
      </w:r>
      <w:r>
        <w:rPr>
          <w:rFonts w:cs="Times New Roman"/>
        </w:rPr>
        <w:t>市境内用地面积</w:t>
      </w:r>
      <w:r>
        <w:rPr>
          <w:rFonts w:cs="Times New Roman"/>
        </w:rPr>
        <w:t>81.38hm²</w:t>
      </w:r>
      <w:r>
        <w:rPr>
          <w:rFonts w:cs="Times New Roman"/>
        </w:rPr>
        <w:t>、</w:t>
      </w:r>
      <w:r>
        <w:rPr>
          <w:rFonts w:cs="Times New Roman"/>
        </w:rPr>
        <w:t>巴楚县</w:t>
      </w:r>
      <w:r>
        <w:rPr>
          <w:rFonts w:cs="Times New Roman"/>
        </w:rPr>
        <w:t>78.35hm²</w:t>
      </w:r>
      <w:r>
        <w:rPr>
          <w:rFonts w:cs="Times New Roman"/>
        </w:rPr>
        <w:t>、</w:t>
      </w:r>
      <w:r>
        <w:rPr>
          <w:rFonts w:cs="Times New Roman"/>
        </w:rPr>
        <w:t>柯坪县</w:t>
      </w:r>
      <w:r>
        <w:rPr>
          <w:rFonts w:cs="Times New Roman"/>
        </w:rPr>
        <w:t>141.06hm²</w:t>
      </w:r>
      <w:r>
        <w:rPr>
          <w:rFonts w:cs="Times New Roman"/>
          <w:kern w:val="0"/>
          <w:szCs w:val="24"/>
          <w:lang w:bidi="ar"/>
        </w:rPr>
        <w:t>。</w:t>
      </w:r>
    </w:p>
    <w:p w:rsidR="00A46452" w:rsidRDefault="009A3928">
      <w:pPr>
        <w:wordWrap w:val="0"/>
        <w:topLinePunct/>
        <w:adjustRightInd w:val="0"/>
        <w:snapToGrid w:val="0"/>
        <w:ind w:firstLine="480"/>
        <w:rPr>
          <w:rFonts w:cs="Times New Roman"/>
          <w:spacing w:val="-4"/>
        </w:rPr>
      </w:pPr>
      <w:r>
        <w:rPr>
          <w:rFonts w:cs="Times New Roman"/>
        </w:rPr>
        <w:t>根据《土地利用现状分类标准》（</w:t>
      </w:r>
      <w:r>
        <w:rPr>
          <w:rFonts w:cs="Times New Roman"/>
        </w:rPr>
        <w:t>GB/T21010-2017</w:t>
      </w:r>
      <w:r>
        <w:rPr>
          <w:rFonts w:cs="Times New Roman"/>
        </w:rPr>
        <w:t>），本项目永久占地类型统计见表</w:t>
      </w:r>
      <w:r>
        <w:rPr>
          <w:rFonts w:cs="Times New Roman"/>
        </w:rPr>
        <w:t>4</w:t>
      </w:r>
      <w:r>
        <w:rPr>
          <w:rFonts w:cs="Times New Roman"/>
        </w:rPr>
        <w:t>.</w:t>
      </w:r>
      <w:r>
        <w:rPr>
          <w:rFonts w:cs="Times New Roman"/>
        </w:rPr>
        <w:t>2-</w:t>
      </w:r>
      <w:r>
        <w:rPr>
          <w:rFonts w:cs="Times New Roman" w:hint="eastAsia"/>
        </w:rPr>
        <w:t>9</w:t>
      </w:r>
      <w:r>
        <w:rPr>
          <w:rFonts w:cs="Times New Roman"/>
          <w:spacing w:val="-4"/>
        </w:rPr>
        <w:t>。</w:t>
      </w:r>
    </w:p>
    <w:p w:rsidR="00A46452" w:rsidRDefault="00A46452">
      <w:pPr>
        <w:wordWrap w:val="0"/>
        <w:topLinePunct/>
        <w:adjustRightInd w:val="0"/>
        <w:snapToGrid w:val="0"/>
        <w:ind w:firstLine="464"/>
        <w:rPr>
          <w:rFonts w:cs="Times New Roman"/>
          <w:spacing w:val="-4"/>
        </w:rPr>
        <w:sectPr w:rsidR="00A46452">
          <w:pgSz w:w="11906" w:h="16838"/>
          <w:pgMar w:top="1440" w:right="1797" w:bottom="1440" w:left="1797" w:header="851" w:footer="992" w:gutter="0"/>
          <w:cols w:space="425"/>
          <w:docGrid w:linePitch="312"/>
        </w:sectPr>
      </w:pP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w:t>
      </w:r>
      <w:r>
        <w:rPr>
          <w:rFonts w:eastAsia="黑体" w:cs="Times New Roman"/>
        </w:rPr>
        <w:t>-</w:t>
      </w:r>
      <w:r>
        <w:rPr>
          <w:rFonts w:eastAsia="黑体" w:cs="Times New Roman" w:hint="eastAsia"/>
        </w:rPr>
        <w:t>9</w:t>
      </w:r>
      <w:r>
        <w:rPr>
          <w:rFonts w:eastAsia="黑体" w:cs="Times New Roman"/>
        </w:rPr>
        <w:t xml:space="preserve">                                          </w:t>
      </w:r>
      <w:r>
        <w:rPr>
          <w:rFonts w:eastAsia="黑体" w:cs="Times New Roman"/>
        </w:rPr>
        <w:t>本项目永久占地情况表</w:t>
      </w:r>
      <w:r>
        <w:rPr>
          <w:rFonts w:eastAsia="黑体" w:cs="Times New Roman"/>
        </w:rPr>
        <w:t xml:space="preserve">                                  </w:t>
      </w:r>
      <w:r>
        <w:rPr>
          <w:rFonts w:eastAsia="黑体" w:cs="Times New Roman"/>
        </w:rPr>
        <w:t>单位：</w:t>
      </w:r>
      <w:r>
        <w:rPr>
          <w:rFonts w:eastAsia="黑体" w:cs="Times New Roman"/>
        </w:rPr>
        <w:t>亩</w:t>
      </w:r>
    </w:p>
    <w:tbl>
      <w:tblPr>
        <w:tblW w:w="4996"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482"/>
        <w:gridCol w:w="1471"/>
        <w:gridCol w:w="896"/>
        <w:gridCol w:w="1471"/>
        <w:gridCol w:w="997"/>
        <w:gridCol w:w="685"/>
        <w:gridCol w:w="969"/>
        <w:gridCol w:w="912"/>
        <w:gridCol w:w="878"/>
        <w:gridCol w:w="872"/>
        <w:gridCol w:w="793"/>
        <w:gridCol w:w="867"/>
        <w:gridCol w:w="1870"/>
      </w:tblGrid>
      <w:tr w:rsidR="00A46452">
        <w:trPr>
          <w:jc w:val="center"/>
        </w:trPr>
        <w:tc>
          <w:tcPr>
            <w:tcW w:w="1042" w:type="pct"/>
            <w:gridSpan w:val="2"/>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起讫桩号</w:t>
            </w:r>
          </w:p>
        </w:tc>
        <w:tc>
          <w:tcPr>
            <w:tcW w:w="316"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长度（</w:t>
            </w:r>
            <w:r>
              <w:rPr>
                <w:rFonts w:cs="Times New Roman"/>
                <w:kern w:val="0"/>
                <w:sz w:val="18"/>
                <w:szCs w:val="18"/>
                <w:lang w:bidi="ar"/>
              </w:rPr>
              <w:t>m</w:t>
            </w:r>
            <w:r>
              <w:rPr>
                <w:rFonts w:cs="Times New Roman"/>
                <w:kern w:val="0"/>
                <w:sz w:val="18"/>
                <w:szCs w:val="18"/>
                <w:lang w:bidi="ar"/>
              </w:rPr>
              <w:t>）</w:t>
            </w:r>
          </w:p>
        </w:tc>
        <w:tc>
          <w:tcPr>
            <w:tcW w:w="517"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土地所有者</w:t>
            </w:r>
          </w:p>
        </w:tc>
        <w:tc>
          <w:tcPr>
            <w:tcW w:w="2462" w:type="pct"/>
            <w:gridSpan w:val="8"/>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占地数量（亩）</w:t>
            </w:r>
          </w:p>
        </w:tc>
        <w:tc>
          <w:tcPr>
            <w:tcW w:w="660" w:type="pct"/>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eastAsia="黑体" w:cs="Times New Roman"/>
                <w:sz w:val="18"/>
                <w:szCs w:val="18"/>
              </w:rPr>
            </w:pPr>
            <w:r>
              <w:rPr>
                <w:rFonts w:cs="Times New Roman"/>
                <w:kern w:val="0"/>
                <w:sz w:val="18"/>
                <w:szCs w:val="18"/>
                <w:lang w:bidi="ar"/>
              </w:rPr>
              <w:t>备注</w:t>
            </w:r>
          </w:p>
        </w:tc>
      </w:tr>
      <w:tr w:rsidR="00A46452">
        <w:trPr>
          <w:jc w:val="center"/>
        </w:trPr>
        <w:tc>
          <w:tcPr>
            <w:tcW w:w="1042" w:type="pct"/>
            <w:gridSpan w:val="2"/>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6"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原有公路</w:t>
            </w:r>
          </w:p>
        </w:tc>
        <w:tc>
          <w:tcPr>
            <w:tcW w:w="2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荒地</w:t>
            </w: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草地</w:t>
            </w: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耕地</w:t>
            </w: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建设用地</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林地</w:t>
            </w:r>
          </w:p>
        </w:tc>
        <w:tc>
          <w:tcPr>
            <w:tcW w:w="28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居民地</w:t>
            </w: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合计</w:t>
            </w:r>
          </w:p>
        </w:tc>
        <w:tc>
          <w:tcPr>
            <w:tcW w:w="660" w:type="pct"/>
            <w:vMerge/>
            <w:tcBorders>
              <w:tl2br w:val="nil"/>
              <w:tr2bl w:val="nil"/>
            </w:tcBorders>
            <w:shd w:val="clear" w:color="auto" w:fill="auto"/>
            <w:vAlign w:val="center"/>
          </w:tcPr>
          <w:p w:rsidR="00A46452" w:rsidRDefault="00A46452">
            <w:pPr>
              <w:widowControl/>
              <w:spacing w:line="240" w:lineRule="auto"/>
              <w:ind w:firstLineChars="0" w:firstLine="0"/>
              <w:jc w:val="center"/>
              <w:rPr>
                <w:rFonts w:eastAsia="黑体"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K0+000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K3+486</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3486</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44</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96.18</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27.21</w:t>
            </w: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1.98</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28.76</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154.14</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K3+486</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K5+090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1604</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44</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11.65</w:t>
            </w: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33.68</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46.33</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K5+090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K6+800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巴楚县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20.00</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26.30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46.30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K6+800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K7+360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16.80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16.80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K7+360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K7+410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2.03</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2.03</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玉米地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K7+410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3.65</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3.65</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K7+680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7.29</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7.29</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K7+680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K7+890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果园（枣树地）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K7+890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K7+970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3.24</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3.24</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果园（桃树地）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K7+970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K8+280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12.56</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12.56</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甘草地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K8+280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K8+450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6.89</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6.89</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果园（枣树地）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K8+450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K8+510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甘草地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K8+510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K8+550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麦子地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K8+550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K8+820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10.94</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10.94</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K8+820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K9+180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10.80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10.80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K9+180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K9+340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6.48</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6.48</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玉米地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K9+340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K9+660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12.96</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12.96</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K9+660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K9+730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2.84</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2.84</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无作物，地间林带</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K9+730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K10+370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25.92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25.92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棉花地，兼种玉米</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K10+370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K11+140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31.19</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31.19</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K11+140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K11+460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14.40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14.40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K11+460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K11+490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K11+490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K12+320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33.62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33.62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果园（枣树地）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K12+320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K12+660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13.77</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13.77</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K12+660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K12+896</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236</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9.56</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9.56</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小麦地兼种玉米</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K12+896</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K12+963</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67</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2.71</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2.71</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K12+963</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K13+110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147</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5.95</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5.95</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小麦地兼种玉米</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K13+110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K13+310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8.10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8.10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新开耕地，无作物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K13+310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K13+840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31.80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31.80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K13+840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K13+900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K13+900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K14+310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24.60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24.60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K14+310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K14+740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17.42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17.42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K14+740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K14+800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K14+800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K15+550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750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30.38</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30.38</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K15+550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K15+780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9.32</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9.32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K15+780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K16+060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11.34</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11.34</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K16+060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K16+200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4.20</w:t>
            </w: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未利用地，垃圾覆盖</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K16+200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2.93</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12.15</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15.08</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K16+830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9.90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9.90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K16+830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K17+320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16.27</w:t>
            </w: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16.27</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荒地、沙丘，地表零星植被</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K17+320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K18+130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24.30</w:t>
            </w: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荒地、沙丘，地表零星植被</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K18+130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K18+240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小麦地兼种玉米</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K18+240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K18+780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6.08</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2.43</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6.33</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10.13</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24.96</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K18+780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K19+000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6.60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6.60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K19+000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11.75</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15.00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30.35</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K21+600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25.20</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9.07</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28.83</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37.80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100.90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K21+600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K21+990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2.81</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6.37</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11.70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20.88</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K21+990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K22+460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11.28</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11.28</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K22+460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K24+080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11.66</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48.60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69.73</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K24+080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K24+180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0.72</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1.98</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5.70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K24+180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K25+460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9.22</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10.74</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38.40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58.36</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K25+460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K25+680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6.60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6.60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枣树地兼种核桃</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K25+680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K26+070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11.70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11.70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棉花地兼种枣树</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K26+070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K26+340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8.10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8.10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K26+340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K26+550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K26+550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K26+760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K26+760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K28+050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9.29</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38.70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47.99</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K28+050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K28+140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K28+140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K28+240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0.72</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3.72</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K28+240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K28+310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K28+310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1.37</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5.70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7.07</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K28+610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K28+610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K31+500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20.81</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86.70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107.51</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K31+500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K31+710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51</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12.56</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12.56</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K31+710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K32+500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790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巴楚县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15.41</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26.07</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41.48</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K32+500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K52+050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19752</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巴楚县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366.97</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720.55</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1087.52</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含互通式立体交叉用地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K52+050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K79+180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27130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884.41</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165.96</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1050.37</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K79+180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K81+060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1880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65.13</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65.13</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K81+060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K81+190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1.25</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5.90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7.15</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K81+190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K81+770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17.40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17.40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K81+770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K81+940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5.10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5.10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新开耕地，无作物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K81+940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K83+380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88.78</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88.78</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利用段</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K83+380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K83+880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10.50</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12.38</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22.88</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K83+880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K100+440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16560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43.00</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54.57</w:t>
            </w: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496.80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594.37</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K100+440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K100+610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5.10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5.10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向日葵地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K100+610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K100+650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1.20</w:t>
            </w: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沥青路面，停车平台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K100+650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K104+380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3730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111.90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111.90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K104+380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K105+580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36.00</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36.00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K105+580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K106+380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800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7.80</w:t>
            </w: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24.00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K106+380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K106+450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K106+450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K106+760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19.07</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19.07</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玉米地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K106+760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K106+780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0.60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0.60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K106+780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K106+960</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180</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5.40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5.40</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玉米地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K106+960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K107+177</w:t>
            </w:r>
          </w:p>
        </w:tc>
        <w:tc>
          <w:tcPr>
            <w:tcW w:w="316"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217</w:t>
            </w: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15.56</w:t>
            </w: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4.41</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2.10</w:t>
            </w: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22.07</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耕地为农家果园，桃树、杏树、苹果树、枣树</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GQK8+530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GQK8+560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0.51</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0.51</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无作物</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GQK11+770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GQK11+830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50</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0.45</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0.45</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枣树地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GQK18+780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GQK19+460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3.00</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4.09</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7.09</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耕地为棉花地</w:t>
            </w: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GQK23+630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GQK23+680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第三师</w:t>
            </w:r>
            <w:r>
              <w:rPr>
                <w:rFonts w:cs="Times New Roman"/>
                <w:kern w:val="0"/>
                <w:sz w:val="18"/>
                <w:szCs w:val="18"/>
                <w:lang w:bidi="ar"/>
              </w:rPr>
              <w:t>53</w:t>
            </w:r>
            <w:r>
              <w:rPr>
                <w:rFonts w:cs="Times New Roman"/>
                <w:kern w:val="0"/>
                <w:sz w:val="18"/>
                <w:szCs w:val="18"/>
                <w:lang w:bidi="ar"/>
              </w:rPr>
              <w:t>团</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0.39</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0.39</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GQK100+730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GQK104+600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23.00</w:t>
            </w: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23.00</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r>
      <w:tr w:rsidR="00A46452">
        <w:trPr>
          <w:jc w:val="center"/>
        </w:trPr>
        <w:tc>
          <w:tcPr>
            <w:tcW w:w="523"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GQK106+380</w:t>
            </w:r>
          </w:p>
        </w:tc>
        <w:tc>
          <w:tcPr>
            <w:tcW w:w="519"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GQK106+670</w:t>
            </w:r>
          </w:p>
        </w:tc>
        <w:tc>
          <w:tcPr>
            <w:tcW w:w="316"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517"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35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42"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14.36</w:t>
            </w:r>
          </w:p>
        </w:tc>
        <w:tc>
          <w:tcPr>
            <w:tcW w:w="31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8"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280" w:type="pct"/>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14.36</w:t>
            </w:r>
          </w:p>
        </w:tc>
        <w:tc>
          <w:tcPr>
            <w:tcW w:w="66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玉米地</w:t>
            </w:r>
          </w:p>
        </w:tc>
      </w:tr>
      <w:tr w:rsidR="00A46452">
        <w:trPr>
          <w:trHeight w:val="519"/>
          <w:jc w:val="center"/>
        </w:trPr>
        <w:tc>
          <w:tcPr>
            <w:tcW w:w="1877" w:type="pct"/>
            <w:gridSpan w:val="4"/>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合计</w:t>
            </w:r>
          </w:p>
        </w:tc>
        <w:tc>
          <w:tcPr>
            <w:tcW w:w="35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316.46</w:t>
            </w:r>
          </w:p>
        </w:tc>
        <w:tc>
          <w:tcPr>
            <w:tcW w:w="2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44.77</w:t>
            </w:r>
          </w:p>
        </w:tc>
        <w:tc>
          <w:tcPr>
            <w:tcW w:w="34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1468.71</w:t>
            </w:r>
          </w:p>
        </w:tc>
        <w:tc>
          <w:tcPr>
            <w:tcW w:w="32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514.00</w:t>
            </w:r>
          </w:p>
        </w:tc>
        <w:tc>
          <w:tcPr>
            <w:tcW w:w="31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76.67</w:t>
            </w:r>
          </w:p>
        </w:tc>
        <w:tc>
          <w:tcPr>
            <w:tcW w:w="308"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2087.20</w:t>
            </w:r>
          </w:p>
        </w:tc>
        <w:tc>
          <w:tcPr>
            <w:tcW w:w="280"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4.20</w:t>
            </w:r>
          </w:p>
        </w:tc>
        <w:tc>
          <w:tcPr>
            <w:tcW w:w="302" w:type="pc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4512.02</w:t>
            </w:r>
          </w:p>
        </w:tc>
        <w:tc>
          <w:tcPr>
            <w:tcW w:w="660" w:type="pct"/>
            <w:tcBorders>
              <w:tl2br w:val="nil"/>
              <w:tr2bl w:val="nil"/>
            </w:tcBorders>
            <w:shd w:val="clear" w:color="auto" w:fill="auto"/>
            <w:vAlign w:val="center"/>
          </w:tcPr>
          <w:p w:rsidR="00A46452" w:rsidRDefault="00A46452">
            <w:pPr>
              <w:widowControl/>
              <w:spacing w:line="240" w:lineRule="auto"/>
              <w:ind w:firstLineChars="0" w:firstLine="0"/>
              <w:jc w:val="center"/>
              <w:textAlignment w:val="center"/>
              <w:rPr>
                <w:rFonts w:cs="Times New Roman"/>
                <w:kern w:val="0"/>
                <w:sz w:val="18"/>
                <w:szCs w:val="18"/>
                <w:lang w:bidi="ar"/>
              </w:rPr>
            </w:pPr>
          </w:p>
        </w:tc>
      </w:tr>
    </w:tbl>
    <w:p w:rsidR="00A46452" w:rsidRDefault="00A46452">
      <w:pPr>
        <w:wordWrap w:val="0"/>
        <w:topLinePunct/>
        <w:adjustRightInd w:val="0"/>
        <w:snapToGrid w:val="0"/>
        <w:spacing w:line="240" w:lineRule="auto"/>
        <w:ind w:firstLineChars="0" w:firstLine="0"/>
        <w:rPr>
          <w:rFonts w:eastAsia="黑体" w:cs="Times New Roman"/>
        </w:rPr>
      </w:pPr>
    </w:p>
    <w:p w:rsidR="00A46452" w:rsidRDefault="00A46452">
      <w:pPr>
        <w:wordWrap w:val="0"/>
        <w:topLinePunct/>
        <w:adjustRightInd w:val="0"/>
        <w:snapToGrid w:val="0"/>
        <w:ind w:firstLine="464"/>
        <w:rPr>
          <w:rFonts w:cs="Times New Roman"/>
          <w:spacing w:val="-4"/>
        </w:rPr>
        <w:sectPr w:rsidR="00A46452">
          <w:pgSz w:w="16838" w:h="11906" w:orient="landscape"/>
          <w:pgMar w:top="1740" w:right="1440" w:bottom="1740" w:left="1440" w:header="851" w:footer="992" w:gutter="0"/>
          <w:cols w:space="425"/>
          <w:docGrid w:linePitch="312"/>
        </w:sectPr>
      </w:pP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bookmarkStart w:id="233" w:name="_Toc486841849"/>
      <w:bookmarkStart w:id="234" w:name="_Toc493587507"/>
      <w:bookmarkStart w:id="235" w:name="_Toc471981499"/>
      <w:bookmarkStart w:id="236" w:name="_Toc471983192"/>
      <w:bookmarkStart w:id="237" w:name="_Toc482003735"/>
      <w:bookmarkStart w:id="238" w:name="_Toc469140822"/>
      <w:r>
        <w:rPr>
          <w:rFonts w:cs="Times New Roman" w:hint="default"/>
          <w:iCs/>
        </w:rPr>
        <w:t>4.2.5.2</w:t>
      </w:r>
      <w:r>
        <w:rPr>
          <w:rFonts w:cs="Times New Roman" w:hint="default"/>
          <w:iCs/>
        </w:rPr>
        <w:t>拆迁安置</w:t>
      </w:r>
      <w:bookmarkEnd w:id="233"/>
      <w:bookmarkEnd w:id="234"/>
      <w:bookmarkEnd w:id="235"/>
      <w:bookmarkEnd w:id="236"/>
      <w:bookmarkEnd w:id="237"/>
      <w:bookmarkEnd w:id="238"/>
    </w:p>
    <w:p w:rsidR="00A46452" w:rsidRDefault="009A3928">
      <w:pPr>
        <w:wordWrap w:val="0"/>
        <w:topLinePunct/>
        <w:adjustRightInd w:val="0"/>
        <w:snapToGrid w:val="0"/>
        <w:ind w:firstLine="480"/>
        <w:rPr>
          <w:rFonts w:cs="Times New Roman"/>
        </w:rPr>
        <w:sectPr w:rsidR="00A46452">
          <w:pgSz w:w="11906" w:h="16838"/>
          <w:pgMar w:top="1440" w:right="1797" w:bottom="1440" w:left="1797" w:header="851" w:footer="992" w:gutter="0"/>
          <w:cols w:space="425"/>
          <w:docGrid w:linePitch="312"/>
        </w:sectPr>
      </w:pPr>
      <w:r>
        <w:rPr>
          <w:rFonts w:cs="Times New Roman"/>
        </w:rPr>
        <w:t>拟建项目对于公路用地范围内的既有建筑物均应协助有关部门事先拆迁或改移，项目拆迁建筑物表见表</w:t>
      </w:r>
      <w:r>
        <w:rPr>
          <w:rFonts w:cs="Times New Roman" w:hint="eastAsia"/>
        </w:rPr>
        <w:t>4.2</w:t>
      </w:r>
      <w:r>
        <w:rPr>
          <w:rFonts w:cs="Times New Roman"/>
        </w:rPr>
        <w:t>-1</w:t>
      </w:r>
      <w:r>
        <w:rPr>
          <w:rFonts w:cs="Times New Roman" w:hint="eastAsia"/>
        </w:rPr>
        <w:t>0</w:t>
      </w:r>
      <w:r>
        <w:rPr>
          <w:rFonts w:cs="Times New Roman"/>
        </w:rPr>
        <w:t>。本项目需拆迁</w:t>
      </w:r>
      <w:r>
        <w:rPr>
          <w:rFonts w:cs="Times New Roman"/>
        </w:rPr>
        <w:t>房屋</w:t>
      </w:r>
      <w:r>
        <w:rPr>
          <w:rFonts w:cs="Times New Roman"/>
        </w:rPr>
        <w:t>20011.6</w:t>
      </w:r>
      <w:r>
        <w:rPr>
          <w:rFonts w:cs="Times New Roman"/>
        </w:rPr>
        <w:t>m</w:t>
      </w:r>
      <w:r>
        <w:rPr>
          <w:rFonts w:cs="Times New Roman"/>
          <w:vertAlign w:val="superscript"/>
        </w:rPr>
        <w:t>2</w:t>
      </w:r>
      <w:r>
        <w:rPr>
          <w:rFonts w:cs="Times New Roman"/>
        </w:rPr>
        <w:t>，</w:t>
      </w:r>
      <w:r>
        <w:rPr>
          <w:rFonts w:cs="Times New Roman"/>
        </w:rPr>
        <w:t>蓄水池</w:t>
      </w:r>
      <w:r>
        <w:rPr>
          <w:rFonts w:cs="Times New Roman"/>
        </w:rPr>
        <w:t>420</w:t>
      </w:r>
      <w:r>
        <w:rPr>
          <w:rFonts w:cs="Times New Roman"/>
        </w:rPr>
        <w:t>m</w:t>
      </w:r>
      <w:r>
        <w:rPr>
          <w:rFonts w:cs="Times New Roman"/>
          <w:vertAlign w:val="superscript"/>
        </w:rPr>
        <w:t>2</w:t>
      </w:r>
      <w:r>
        <w:rPr>
          <w:rFonts w:cs="Times New Roman"/>
        </w:rPr>
        <w:t>，</w:t>
      </w:r>
      <w:r>
        <w:rPr>
          <w:rFonts w:cs="Times New Roman"/>
        </w:rPr>
        <w:t>棚圈</w:t>
      </w:r>
      <w:r>
        <w:rPr>
          <w:rFonts w:cs="Times New Roman"/>
        </w:rPr>
        <w:t>671</w:t>
      </w:r>
      <w:r>
        <w:rPr>
          <w:rFonts w:cs="Times New Roman"/>
        </w:rPr>
        <w:t>m</w:t>
      </w:r>
      <w:r>
        <w:rPr>
          <w:rFonts w:cs="Times New Roman"/>
          <w:vertAlign w:val="superscript"/>
        </w:rPr>
        <w:t>2</w:t>
      </w:r>
      <w:r>
        <w:rPr>
          <w:rFonts w:cs="Times New Roman"/>
        </w:rPr>
        <w:t>，</w:t>
      </w:r>
      <w:r>
        <w:rPr>
          <w:rFonts w:cs="Times New Roman"/>
        </w:rPr>
        <w:t>土窑</w:t>
      </w:r>
      <w:r>
        <w:rPr>
          <w:rFonts w:cs="Times New Roman"/>
        </w:rPr>
        <w:t>48</w:t>
      </w:r>
      <w:r>
        <w:rPr>
          <w:rFonts w:cs="Times New Roman"/>
        </w:rPr>
        <w:t>m</w:t>
      </w:r>
      <w:r>
        <w:rPr>
          <w:rFonts w:cs="Times New Roman"/>
          <w:vertAlign w:val="superscript"/>
        </w:rPr>
        <w:t>2</w:t>
      </w:r>
      <w:r>
        <w:rPr>
          <w:rFonts w:cs="Times New Roman"/>
        </w:rPr>
        <w:t>；</w:t>
      </w:r>
      <w:r>
        <w:rPr>
          <w:rFonts w:cs="Times New Roman"/>
        </w:rPr>
        <w:t>拆除标志牌</w:t>
      </w:r>
      <w:r>
        <w:rPr>
          <w:rFonts w:cs="Times New Roman"/>
        </w:rPr>
        <w:t>15</w:t>
      </w:r>
      <w:r>
        <w:rPr>
          <w:rFonts w:cs="Times New Roman"/>
        </w:rPr>
        <w:t>块，闸门</w:t>
      </w:r>
      <w:r>
        <w:rPr>
          <w:rFonts w:cs="Times New Roman"/>
        </w:rPr>
        <w:t>2</w:t>
      </w:r>
      <w:r>
        <w:rPr>
          <w:rFonts w:cs="Times New Roman"/>
        </w:rPr>
        <w:t>个，围栏</w:t>
      </w:r>
      <w:r>
        <w:rPr>
          <w:rFonts w:cs="Times New Roman"/>
        </w:rPr>
        <w:t>295m</w:t>
      </w:r>
      <w:r>
        <w:rPr>
          <w:rFonts w:cs="Times New Roman"/>
        </w:rPr>
        <w:t>，水井</w:t>
      </w:r>
      <w:r>
        <w:rPr>
          <w:rFonts w:cs="Times New Roman"/>
        </w:rPr>
        <w:t>1</w:t>
      </w:r>
      <w:r>
        <w:rPr>
          <w:rFonts w:cs="Times New Roman"/>
        </w:rPr>
        <w:t>个。</w:t>
      </w:r>
      <w:r>
        <w:rPr>
          <w:rFonts w:cs="Times New Roman"/>
        </w:rPr>
        <w:t>拆除电杆</w:t>
      </w:r>
      <w:r>
        <w:rPr>
          <w:rFonts w:cs="Times New Roman"/>
        </w:rPr>
        <w:t>145</w:t>
      </w:r>
      <w:r>
        <w:rPr>
          <w:rFonts w:cs="Times New Roman"/>
        </w:rPr>
        <w:t>根、</w:t>
      </w:r>
      <w:r>
        <w:rPr>
          <w:rFonts w:cs="Times New Roman"/>
        </w:rPr>
        <w:t>电讯杆</w:t>
      </w:r>
      <w:r>
        <w:rPr>
          <w:rFonts w:cs="Times New Roman"/>
        </w:rPr>
        <w:t>18</w:t>
      </w:r>
      <w:r>
        <w:rPr>
          <w:rFonts w:cs="Times New Roman"/>
        </w:rPr>
        <w:t>根、监控杆</w:t>
      </w:r>
      <w:r>
        <w:rPr>
          <w:rFonts w:cs="Times New Roman"/>
        </w:rPr>
        <w:t>10</w:t>
      </w:r>
      <w:r>
        <w:rPr>
          <w:rFonts w:cs="Times New Roman"/>
        </w:rPr>
        <w:t>根、高压电塔</w:t>
      </w:r>
      <w:r>
        <w:rPr>
          <w:rFonts w:cs="Times New Roman"/>
        </w:rPr>
        <w:t>4</w:t>
      </w:r>
      <w:r>
        <w:rPr>
          <w:rFonts w:cs="Times New Roman"/>
        </w:rPr>
        <w:t>座</w:t>
      </w:r>
      <w:r>
        <w:rPr>
          <w:rFonts w:cs="Times New Roman"/>
        </w:rPr>
        <w:t>。工程拆迁过程中需要做好相关补偿措施，以免引起社会纠纷，</w:t>
      </w:r>
      <w:r>
        <w:rPr>
          <w:rFonts w:cs="Times New Roman"/>
        </w:rPr>
        <w:t>建议</w:t>
      </w:r>
      <w:r>
        <w:rPr>
          <w:rFonts w:cs="Times New Roman"/>
        </w:rPr>
        <w:t>兵团第</w:t>
      </w:r>
      <w:r>
        <w:rPr>
          <w:rFonts w:cs="Times New Roman"/>
        </w:rPr>
        <w:t>三</w:t>
      </w:r>
      <w:r>
        <w:rPr>
          <w:rFonts w:cs="Times New Roman"/>
        </w:rPr>
        <w:t>师</w:t>
      </w:r>
      <w:r>
        <w:rPr>
          <w:rFonts w:cs="Times New Roman"/>
        </w:rPr>
        <w:t>图木舒克</w:t>
      </w:r>
      <w:r>
        <w:rPr>
          <w:rFonts w:cs="Times New Roman"/>
        </w:rPr>
        <w:t>市</w:t>
      </w:r>
      <w:r>
        <w:rPr>
          <w:rFonts w:cs="Times New Roman"/>
        </w:rPr>
        <w:t>、</w:t>
      </w:r>
      <w:r>
        <w:rPr>
          <w:rFonts w:cs="Times New Roman"/>
        </w:rPr>
        <w:t>喀什地区巴楚县、阿克苏地区柯坪</w:t>
      </w:r>
      <w:r>
        <w:rPr>
          <w:rFonts w:cs="Times New Roman"/>
        </w:rPr>
        <w:t>县在土地占用、拆迁等方面与周边地方县市尽早做好协商，以利于项目的顺利实施。拆除建筑垃圾尽可能回用，不能回用的集中收集后运至城市管理部门指定地点。</w:t>
      </w:r>
    </w:p>
    <w:p w:rsidR="00A46452" w:rsidRDefault="009A3928">
      <w:pPr>
        <w:pStyle w:val="ac"/>
        <w:spacing w:line="240" w:lineRule="auto"/>
        <w:ind w:firstLineChars="0" w:firstLine="0"/>
        <w:rPr>
          <w:rFonts w:ascii="Times New Roman" w:hAnsi="Times New Roman" w:cs="Times New Roman" w:hint="default"/>
        </w:rPr>
      </w:pPr>
      <w:r>
        <w:rPr>
          <w:rFonts w:ascii="Times New Roman" w:hAnsi="Times New Roman" w:cs="Times New Roman" w:hint="default"/>
          <w:sz w:val="24"/>
        </w:rPr>
        <w:t>表</w:t>
      </w:r>
      <w:r>
        <w:rPr>
          <w:rFonts w:ascii="Times New Roman" w:hAnsi="Times New Roman" w:cs="Times New Roman"/>
          <w:sz w:val="24"/>
        </w:rPr>
        <w:t>4</w:t>
      </w:r>
      <w:r>
        <w:rPr>
          <w:rFonts w:ascii="Times New Roman" w:hAnsi="Times New Roman" w:cs="Times New Roman" w:hint="default"/>
          <w:sz w:val="24"/>
        </w:rPr>
        <w:t>.</w:t>
      </w:r>
      <w:r>
        <w:rPr>
          <w:rFonts w:ascii="Times New Roman" w:hAnsi="Times New Roman" w:cs="Times New Roman"/>
          <w:sz w:val="24"/>
        </w:rPr>
        <w:t>2</w:t>
      </w:r>
      <w:r>
        <w:rPr>
          <w:rFonts w:ascii="Times New Roman" w:hAnsi="Times New Roman" w:cs="Times New Roman" w:hint="default"/>
          <w:sz w:val="24"/>
        </w:rPr>
        <w:t>-1</w:t>
      </w:r>
      <w:r>
        <w:rPr>
          <w:rFonts w:ascii="Times New Roman" w:hAnsi="Times New Roman" w:cs="Times New Roman"/>
          <w:sz w:val="24"/>
        </w:rPr>
        <w:t>0</w:t>
      </w:r>
      <w:r>
        <w:rPr>
          <w:rFonts w:ascii="Times New Roman" w:hAnsi="Times New Roman" w:cs="Times New Roman" w:hint="default"/>
          <w:sz w:val="24"/>
        </w:rPr>
        <w:t xml:space="preserve">                                         </w:t>
      </w:r>
      <w:r>
        <w:rPr>
          <w:rFonts w:ascii="Times New Roman" w:hAnsi="Times New Roman" w:cs="Times New Roman" w:hint="default"/>
          <w:sz w:val="24"/>
        </w:rPr>
        <w:t>项目拆迁建筑物表见表</w:t>
      </w:r>
    </w:p>
    <w:tbl>
      <w:tblPr>
        <w:tblW w:w="0" w:type="auto"/>
        <w:tblInd w:w="9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502"/>
        <w:gridCol w:w="1585"/>
        <w:gridCol w:w="744"/>
        <w:gridCol w:w="1024"/>
        <w:gridCol w:w="757"/>
        <w:gridCol w:w="1125"/>
        <w:gridCol w:w="887"/>
        <w:gridCol w:w="725"/>
        <w:gridCol w:w="863"/>
        <w:gridCol w:w="683"/>
        <w:gridCol w:w="757"/>
        <w:gridCol w:w="760"/>
        <w:gridCol w:w="733"/>
        <w:gridCol w:w="2931"/>
      </w:tblGrid>
      <w:tr w:rsidR="00A46452">
        <w:trPr>
          <w:trHeight w:val="348"/>
        </w:trPr>
        <w:tc>
          <w:tcPr>
            <w:tcW w:w="502"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序号</w:t>
            </w:r>
          </w:p>
        </w:tc>
        <w:tc>
          <w:tcPr>
            <w:tcW w:w="1585"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桩号及起讫桩号</w:t>
            </w:r>
          </w:p>
        </w:tc>
        <w:tc>
          <w:tcPr>
            <w:tcW w:w="74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位置</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所属县乡</w:t>
            </w:r>
            <w:r>
              <w:rPr>
                <w:rFonts w:cs="Times New Roman"/>
                <w:kern w:val="0"/>
                <w:sz w:val="18"/>
                <w:szCs w:val="18"/>
                <w:lang w:bidi="ar"/>
              </w:rPr>
              <w:t>（</w:t>
            </w:r>
            <w:r>
              <w:rPr>
                <w:rFonts w:cs="Times New Roman"/>
                <w:kern w:val="0"/>
                <w:sz w:val="18"/>
                <w:szCs w:val="18"/>
                <w:lang w:bidi="ar"/>
              </w:rPr>
              <w:t>镇</w:t>
            </w:r>
            <w:r>
              <w:rPr>
                <w:rFonts w:cs="Times New Roman"/>
                <w:kern w:val="0"/>
                <w:sz w:val="18"/>
                <w:szCs w:val="18"/>
                <w:lang w:bidi="ar"/>
              </w:rPr>
              <w:t>）</w:t>
            </w:r>
          </w:p>
        </w:tc>
        <w:tc>
          <w:tcPr>
            <w:tcW w:w="7290" w:type="dxa"/>
            <w:gridSpan w:val="9"/>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建筑物种类</w:t>
            </w:r>
          </w:p>
        </w:tc>
        <w:tc>
          <w:tcPr>
            <w:tcW w:w="2931"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b/>
                <w:bCs/>
                <w:sz w:val="18"/>
                <w:szCs w:val="18"/>
              </w:rPr>
            </w:pPr>
            <w:r>
              <w:rPr>
                <w:rFonts w:cs="Times New Roman"/>
                <w:kern w:val="0"/>
                <w:sz w:val="18"/>
                <w:szCs w:val="18"/>
                <w:lang w:bidi="ar"/>
              </w:rPr>
              <w:t>备注</w:t>
            </w:r>
          </w:p>
        </w:tc>
      </w:tr>
      <w:tr w:rsidR="00A46452">
        <w:trPr>
          <w:trHeight w:val="705"/>
        </w:trPr>
        <w:tc>
          <w:tcPr>
            <w:tcW w:w="502"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1585"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4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标志</w:t>
            </w:r>
            <w:r>
              <w:rPr>
                <w:rFonts w:cs="Times New Roman"/>
                <w:kern w:val="0"/>
                <w:sz w:val="18"/>
                <w:szCs w:val="18"/>
                <w:lang w:bidi="ar"/>
              </w:rPr>
              <w:t>(</w:t>
            </w:r>
            <w:r>
              <w:rPr>
                <w:rFonts w:cs="Times New Roman"/>
                <w:kern w:val="0"/>
                <w:sz w:val="18"/>
                <w:szCs w:val="18"/>
                <w:lang w:bidi="ar"/>
              </w:rPr>
              <w:t>块</w:t>
            </w:r>
            <w:r>
              <w:rPr>
                <w:rFonts w:cs="Times New Roman"/>
                <w:kern w:val="0"/>
                <w:sz w:val="18"/>
                <w:szCs w:val="18"/>
                <w:lang w:bidi="ar"/>
              </w:rPr>
              <w:t>)</w:t>
            </w: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房屋</w:t>
            </w:r>
          </w:p>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(m²/</w:t>
            </w:r>
            <w:r>
              <w:rPr>
                <w:rFonts w:cs="Times New Roman"/>
                <w:kern w:val="0"/>
                <w:sz w:val="18"/>
                <w:szCs w:val="18"/>
                <w:lang w:bidi="ar"/>
              </w:rPr>
              <w:t>间</w:t>
            </w:r>
            <w:r>
              <w:rPr>
                <w:rFonts w:cs="Times New Roman"/>
                <w:kern w:val="0"/>
                <w:sz w:val="18"/>
                <w:szCs w:val="18"/>
                <w:lang w:bidi="ar"/>
              </w:rPr>
              <w:t>)</w:t>
            </w:r>
          </w:p>
        </w:tc>
        <w:tc>
          <w:tcPr>
            <w:tcW w:w="88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蓄水池</w:t>
            </w:r>
            <w:r>
              <w:rPr>
                <w:rFonts w:cs="Times New Roman"/>
                <w:kern w:val="0"/>
                <w:sz w:val="18"/>
                <w:szCs w:val="18"/>
                <w:lang w:bidi="ar"/>
              </w:rPr>
              <w:t>(m²)</w:t>
            </w: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棚圈</w:t>
            </w:r>
            <w:r>
              <w:rPr>
                <w:rFonts w:cs="Times New Roman"/>
                <w:kern w:val="0"/>
                <w:sz w:val="18"/>
                <w:szCs w:val="18"/>
                <w:lang w:bidi="ar"/>
              </w:rPr>
              <w:t>(m²)</w:t>
            </w:r>
          </w:p>
        </w:tc>
        <w:tc>
          <w:tcPr>
            <w:tcW w:w="86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土窑</w:t>
            </w:r>
            <w:r>
              <w:rPr>
                <w:rFonts w:cs="Times New Roman"/>
                <w:kern w:val="0"/>
                <w:sz w:val="18"/>
                <w:szCs w:val="18"/>
                <w:lang w:bidi="ar"/>
              </w:rPr>
              <w:br/>
              <w:t>(m²/</w:t>
            </w:r>
            <w:r>
              <w:rPr>
                <w:rFonts w:cs="Times New Roman"/>
                <w:kern w:val="0"/>
                <w:sz w:val="18"/>
                <w:szCs w:val="18"/>
                <w:lang w:bidi="ar"/>
              </w:rPr>
              <w:t>间</w:t>
            </w:r>
            <w:r>
              <w:rPr>
                <w:rFonts w:cs="Times New Roman"/>
                <w:kern w:val="0"/>
                <w:sz w:val="18"/>
                <w:szCs w:val="18"/>
                <w:lang w:bidi="ar"/>
              </w:rPr>
              <w:t>)</w:t>
            </w:r>
          </w:p>
        </w:tc>
        <w:tc>
          <w:tcPr>
            <w:tcW w:w="68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闸门</w:t>
            </w:r>
            <w:r>
              <w:rPr>
                <w:rFonts w:cs="Times New Roman"/>
                <w:kern w:val="0"/>
                <w:sz w:val="18"/>
                <w:szCs w:val="18"/>
                <w:lang w:bidi="ar"/>
              </w:rPr>
              <w:t>(</w:t>
            </w:r>
            <w:r>
              <w:rPr>
                <w:rFonts w:cs="Times New Roman"/>
                <w:kern w:val="0"/>
                <w:sz w:val="18"/>
                <w:szCs w:val="18"/>
                <w:lang w:bidi="ar"/>
              </w:rPr>
              <w:t>个</w:t>
            </w:r>
            <w:r>
              <w:rPr>
                <w:rFonts w:cs="Times New Roman"/>
                <w:kern w:val="0"/>
                <w:sz w:val="18"/>
                <w:szCs w:val="18"/>
                <w:lang w:bidi="ar"/>
              </w:rPr>
              <w:t>)</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涵洞</w:t>
            </w:r>
            <w:r>
              <w:rPr>
                <w:rFonts w:cs="Times New Roman"/>
                <w:kern w:val="0"/>
                <w:sz w:val="18"/>
                <w:szCs w:val="18"/>
                <w:lang w:bidi="ar"/>
              </w:rPr>
              <w:br/>
              <w:t>(m/</w:t>
            </w:r>
            <w:r>
              <w:rPr>
                <w:rFonts w:cs="Times New Roman"/>
                <w:kern w:val="0"/>
                <w:sz w:val="18"/>
                <w:szCs w:val="18"/>
                <w:lang w:bidi="ar"/>
              </w:rPr>
              <w:t>道</w:t>
            </w:r>
            <w:r>
              <w:rPr>
                <w:rFonts w:cs="Times New Roman"/>
                <w:kern w:val="0"/>
                <w:sz w:val="18"/>
                <w:szCs w:val="18"/>
                <w:lang w:bidi="ar"/>
              </w:rPr>
              <w:t>)</w:t>
            </w: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围栏</w:t>
            </w:r>
            <w:r>
              <w:rPr>
                <w:rFonts w:cs="Times New Roman"/>
                <w:kern w:val="0"/>
                <w:sz w:val="18"/>
                <w:szCs w:val="18"/>
                <w:lang w:bidi="ar"/>
              </w:rPr>
              <w:t>（</w:t>
            </w:r>
            <w:r>
              <w:rPr>
                <w:rFonts w:cs="Times New Roman"/>
                <w:kern w:val="0"/>
                <w:sz w:val="18"/>
                <w:szCs w:val="18"/>
                <w:lang w:bidi="ar"/>
              </w:rPr>
              <w:t>m</w:t>
            </w:r>
            <w:r>
              <w:rPr>
                <w:rFonts w:cs="Times New Roman"/>
                <w:kern w:val="0"/>
                <w:sz w:val="18"/>
                <w:szCs w:val="18"/>
                <w:lang w:bidi="ar"/>
              </w:rPr>
              <w:t>）</w:t>
            </w:r>
          </w:p>
        </w:tc>
        <w:tc>
          <w:tcPr>
            <w:tcW w:w="73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水井</w:t>
            </w:r>
          </w:p>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w:t>
            </w:r>
            <w:r>
              <w:rPr>
                <w:rFonts w:cs="Times New Roman"/>
                <w:kern w:val="0"/>
                <w:sz w:val="18"/>
                <w:szCs w:val="18"/>
                <w:lang w:bidi="ar"/>
              </w:rPr>
              <w:t>个</w:t>
            </w:r>
            <w:r>
              <w:rPr>
                <w:rFonts w:cs="Times New Roman"/>
                <w:kern w:val="0"/>
                <w:sz w:val="18"/>
                <w:szCs w:val="18"/>
                <w:lang w:bidi="ar"/>
              </w:rPr>
              <w:t>)</w:t>
            </w:r>
          </w:p>
        </w:tc>
        <w:tc>
          <w:tcPr>
            <w:tcW w:w="2931"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b/>
                <w:bCs/>
                <w:sz w:val="18"/>
                <w:szCs w:val="18"/>
              </w:rPr>
            </w:pP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K0+380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44</w:t>
            </w:r>
            <w:r>
              <w:rPr>
                <w:rFonts w:cs="Times New Roman"/>
                <w:kern w:val="0"/>
                <w:sz w:val="18"/>
                <w:szCs w:val="18"/>
                <w:lang w:bidi="ar"/>
              </w:rPr>
              <w:t>团</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6×1m²</w:t>
            </w:r>
            <w:r>
              <w:rPr>
                <w:rFonts w:cs="Times New Roman"/>
                <w:kern w:val="0"/>
                <w:sz w:val="18"/>
                <w:szCs w:val="18"/>
                <w:lang w:bidi="ar"/>
              </w:rPr>
              <w:t>加油站标牌，拆除后重新安装</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K2+700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420</w:t>
            </w: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深</w:t>
            </w:r>
            <w:r>
              <w:rPr>
                <w:rFonts w:cs="Times New Roman"/>
                <w:kern w:val="0"/>
                <w:sz w:val="18"/>
                <w:szCs w:val="18"/>
                <w:lang w:bidi="ar"/>
              </w:rPr>
              <w:t>2</w:t>
            </w:r>
            <w:r>
              <w:rPr>
                <w:rFonts w:cs="Times New Roman"/>
                <w:kern w:val="0"/>
                <w:sz w:val="18"/>
                <w:szCs w:val="18"/>
                <w:lang w:bidi="ar"/>
              </w:rPr>
              <w:t>米蓄水池，拆除后恢复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K3+650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90</w:t>
            </w: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铁丝围栏羊圈，拆除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K3+692</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48/1</w:t>
            </w: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K6+540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路中</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w:t>
            </w: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公益林外围刺丝围栏，拆除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K8+584</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r>
              <w:rPr>
                <w:rFonts w:cs="Times New Roman"/>
                <w:kern w:val="0"/>
                <w:sz w:val="18"/>
                <w:szCs w:val="18"/>
                <w:lang w:bidi="ar"/>
              </w:rPr>
              <w:t>团</w:t>
            </w: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封堵井口</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K10+720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60/1</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泵房，拆除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K13+460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100</w:t>
            </w: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铁丝围栏羊圈，拆除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9</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K16+224</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路中</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w:t>
            </w: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木板围栏羊圈，高</w:t>
            </w:r>
            <w:r>
              <w:rPr>
                <w:rFonts w:cs="Times New Roman"/>
                <w:kern w:val="0"/>
                <w:sz w:val="18"/>
                <w:szCs w:val="18"/>
                <w:lang w:bidi="ar"/>
              </w:rPr>
              <w:t>2.5</w:t>
            </w:r>
            <w:r>
              <w:rPr>
                <w:rFonts w:cs="Times New Roman"/>
                <w:kern w:val="0"/>
                <w:sz w:val="18"/>
                <w:szCs w:val="18"/>
                <w:lang w:bidi="ar"/>
              </w:rPr>
              <w:t>米，拆除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K19+010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53</w:t>
            </w:r>
            <w:r>
              <w:rPr>
                <w:rFonts w:cs="Times New Roman"/>
                <w:kern w:val="0"/>
                <w:sz w:val="18"/>
                <w:szCs w:val="18"/>
                <w:lang w:bidi="ar"/>
              </w:rPr>
              <w:t>团</w:t>
            </w: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423</w:t>
            </w: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砖混羊圈，拆除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11</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K19+126</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27/1</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砖混厕所，拆除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12</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K21+948</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路中</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250/5</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彩钢板房屋，拆除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13</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K25+684</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w:t>
            </w: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宽</w:t>
            </w:r>
            <w:r>
              <w:rPr>
                <w:rFonts w:cs="Times New Roman"/>
                <w:kern w:val="0"/>
                <w:sz w:val="18"/>
                <w:szCs w:val="18"/>
                <w:lang w:bidi="ar"/>
              </w:rPr>
              <w:t>0.5</w:t>
            </w:r>
            <w:r>
              <w:rPr>
                <w:rFonts w:cs="Times New Roman"/>
                <w:kern w:val="0"/>
                <w:sz w:val="18"/>
                <w:szCs w:val="18"/>
                <w:lang w:bidi="ar"/>
              </w:rPr>
              <w:t>米闸门拆除，拆除</w:t>
            </w:r>
            <w:r>
              <w:rPr>
                <w:rFonts w:cs="Times New Roman"/>
                <w:kern w:val="0"/>
                <w:sz w:val="18"/>
                <w:szCs w:val="18"/>
                <w:lang w:bidi="ar"/>
              </w:rPr>
              <w:t>1-0.5</w:t>
            </w:r>
            <w:r>
              <w:rPr>
                <w:rFonts w:cs="Times New Roman"/>
                <w:kern w:val="0"/>
                <w:sz w:val="18"/>
                <w:szCs w:val="18"/>
                <w:lang w:bidi="ar"/>
              </w:rPr>
              <w:t>米涵洞</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14</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K79+815</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25/1</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泵房，拆除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K81+768</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木板围栏骆驼圈，高</w:t>
            </w:r>
            <w:r>
              <w:rPr>
                <w:rFonts w:cs="Times New Roman"/>
                <w:kern w:val="0"/>
                <w:sz w:val="18"/>
                <w:szCs w:val="18"/>
                <w:lang w:bidi="ar"/>
              </w:rPr>
              <w:t>2.0</w:t>
            </w:r>
            <w:r>
              <w:rPr>
                <w:rFonts w:cs="Times New Roman"/>
                <w:kern w:val="0"/>
                <w:sz w:val="18"/>
                <w:szCs w:val="18"/>
                <w:lang w:bidi="ar"/>
              </w:rPr>
              <w:t>米，拆除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K84+332</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三柱式宣传牌</w:t>
            </w:r>
            <w:r>
              <w:rPr>
                <w:rFonts w:cs="Times New Roman"/>
                <w:kern w:val="0"/>
                <w:sz w:val="18"/>
                <w:szCs w:val="18"/>
                <w:lang w:bidi="ar"/>
              </w:rPr>
              <w:t>29.25m²(</w:t>
            </w:r>
            <w:r>
              <w:rPr>
                <w:rFonts w:cs="Times New Roman"/>
                <w:kern w:val="0"/>
                <w:sz w:val="18"/>
                <w:szCs w:val="18"/>
                <w:lang w:bidi="ar"/>
              </w:rPr>
              <w:t>砼基础</w:t>
            </w:r>
            <w:r>
              <w:rPr>
                <w:rFonts w:cs="Times New Roman"/>
                <w:kern w:val="0"/>
                <w:sz w:val="18"/>
                <w:szCs w:val="18"/>
                <w:lang w:bidi="ar"/>
              </w:rPr>
              <w:t>30m³)</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17</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K84+420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宣传墙</w:t>
            </w:r>
            <w:r>
              <w:rPr>
                <w:rFonts w:cs="Times New Roman"/>
                <w:kern w:val="0"/>
                <w:sz w:val="18"/>
                <w:szCs w:val="18"/>
                <w:lang w:bidi="ar"/>
              </w:rPr>
              <w:t>6×3×0.4m³,</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18</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K84+667</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双柱式宣传牌</w:t>
            </w:r>
            <w:r>
              <w:rPr>
                <w:rFonts w:cs="Times New Roman"/>
                <w:kern w:val="0"/>
                <w:sz w:val="18"/>
                <w:szCs w:val="18"/>
                <w:lang w:bidi="ar"/>
              </w:rPr>
              <w:t>15m²(</w:t>
            </w:r>
            <w:r>
              <w:rPr>
                <w:rFonts w:cs="Times New Roman"/>
                <w:kern w:val="0"/>
                <w:sz w:val="18"/>
                <w:szCs w:val="18"/>
                <w:lang w:bidi="ar"/>
              </w:rPr>
              <w:t>砼基础</w:t>
            </w:r>
            <w:r>
              <w:rPr>
                <w:rFonts w:cs="Times New Roman"/>
                <w:kern w:val="0"/>
                <w:sz w:val="18"/>
                <w:szCs w:val="18"/>
                <w:lang w:bidi="ar"/>
              </w:rPr>
              <w:t>16m³)</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19</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K86+000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双柱式宣传牌</w:t>
            </w:r>
            <w:r>
              <w:rPr>
                <w:rFonts w:cs="Times New Roman"/>
                <w:kern w:val="0"/>
                <w:sz w:val="18"/>
                <w:szCs w:val="18"/>
                <w:lang w:bidi="ar"/>
              </w:rPr>
              <w:t>12m²(</w:t>
            </w:r>
            <w:r>
              <w:rPr>
                <w:rFonts w:cs="Times New Roman"/>
                <w:kern w:val="0"/>
                <w:sz w:val="18"/>
                <w:szCs w:val="18"/>
                <w:lang w:bidi="ar"/>
              </w:rPr>
              <w:t>砼基础</w:t>
            </w:r>
            <w:r>
              <w:rPr>
                <w:rFonts w:cs="Times New Roman"/>
                <w:kern w:val="0"/>
                <w:sz w:val="18"/>
                <w:szCs w:val="18"/>
                <w:lang w:bidi="ar"/>
              </w:rPr>
              <w:t>16m³)</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K89+040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宣传墙</w:t>
            </w:r>
            <w:r>
              <w:rPr>
                <w:rFonts w:cs="Times New Roman"/>
                <w:kern w:val="0"/>
                <w:sz w:val="18"/>
                <w:szCs w:val="18"/>
                <w:lang w:bidi="ar"/>
              </w:rPr>
              <w:t>7×3.5×0.5m³</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K90+520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双柱式宣传牌</w:t>
            </w:r>
            <w:r>
              <w:rPr>
                <w:rFonts w:cs="Times New Roman"/>
                <w:kern w:val="0"/>
                <w:sz w:val="18"/>
                <w:szCs w:val="18"/>
                <w:lang w:bidi="ar"/>
              </w:rPr>
              <w:t>2m²</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22</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K91+705</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双柱式宣传牌</w:t>
            </w:r>
            <w:r>
              <w:rPr>
                <w:rFonts w:cs="Times New Roman"/>
                <w:kern w:val="0"/>
                <w:sz w:val="18"/>
                <w:szCs w:val="18"/>
                <w:lang w:bidi="ar"/>
              </w:rPr>
              <w:t>2m²</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23</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K99+316</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宣传墙</w:t>
            </w:r>
            <w:r>
              <w:rPr>
                <w:rFonts w:cs="Times New Roman"/>
                <w:kern w:val="0"/>
                <w:sz w:val="18"/>
                <w:szCs w:val="18"/>
                <w:lang w:bidi="ar"/>
              </w:rPr>
              <w:t>7.5×3.5×0.3m³</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K99+558</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三柱式宣传牌</w:t>
            </w:r>
            <w:r>
              <w:rPr>
                <w:rFonts w:cs="Times New Roman"/>
                <w:kern w:val="0"/>
                <w:sz w:val="18"/>
                <w:szCs w:val="18"/>
                <w:lang w:bidi="ar"/>
              </w:rPr>
              <w:t>15m²(</w:t>
            </w:r>
            <w:r>
              <w:rPr>
                <w:rFonts w:cs="Times New Roman"/>
                <w:kern w:val="0"/>
                <w:sz w:val="18"/>
                <w:szCs w:val="18"/>
                <w:lang w:bidi="ar"/>
              </w:rPr>
              <w:t>砼基础</w:t>
            </w:r>
            <w:r>
              <w:rPr>
                <w:rFonts w:cs="Times New Roman"/>
                <w:kern w:val="0"/>
                <w:sz w:val="18"/>
                <w:szCs w:val="18"/>
                <w:lang w:bidi="ar"/>
              </w:rPr>
              <w:t>30m³)</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25</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K99+735</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w:t>
            </w: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全国公路交调观测站</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26</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K99+932</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三柱式宣传牌</w:t>
            </w:r>
            <w:r>
              <w:rPr>
                <w:rFonts w:cs="Times New Roman"/>
                <w:kern w:val="0"/>
                <w:sz w:val="18"/>
                <w:szCs w:val="18"/>
                <w:lang w:bidi="ar"/>
              </w:rPr>
              <w:t>18m²(</w:t>
            </w:r>
            <w:r>
              <w:rPr>
                <w:rFonts w:cs="Times New Roman"/>
                <w:kern w:val="0"/>
                <w:sz w:val="18"/>
                <w:szCs w:val="18"/>
                <w:lang w:bidi="ar"/>
              </w:rPr>
              <w:t>砼基础</w:t>
            </w:r>
            <w:r>
              <w:rPr>
                <w:rFonts w:cs="Times New Roman"/>
                <w:kern w:val="0"/>
                <w:sz w:val="18"/>
                <w:szCs w:val="18"/>
                <w:lang w:bidi="ar"/>
              </w:rPr>
              <w:t>30m³)</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27</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K99+920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宽</w:t>
            </w:r>
            <w:r>
              <w:rPr>
                <w:rFonts w:cs="Times New Roman"/>
                <w:kern w:val="0"/>
                <w:sz w:val="18"/>
                <w:szCs w:val="18"/>
                <w:lang w:bidi="ar"/>
              </w:rPr>
              <w:t>0.5</w:t>
            </w:r>
            <w:r>
              <w:rPr>
                <w:rFonts w:cs="Times New Roman"/>
                <w:kern w:val="0"/>
                <w:sz w:val="18"/>
                <w:szCs w:val="18"/>
                <w:lang w:bidi="ar"/>
              </w:rPr>
              <w:t>米闸门拆除</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28</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K101+540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三柱式宣传牌</w:t>
            </w:r>
            <w:r>
              <w:rPr>
                <w:rFonts w:cs="Times New Roman"/>
                <w:kern w:val="0"/>
                <w:sz w:val="18"/>
                <w:szCs w:val="18"/>
                <w:lang w:bidi="ar"/>
              </w:rPr>
              <w:t>12m²(</w:t>
            </w:r>
            <w:r>
              <w:rPr>
                <w:rFonts w:cs="Times New Roman"/>
                <w:kern w:val="0"/>
                <w:sz w:val="18"/>
                <w:szCs w:val="18"/>
                <w:lang w:bidi="ar"/>
              </w:rPr>
              <w:t>砼基础</w:t>
            </w:r>
            <w:r>
              <w:rPr>
                <w:rFonts w:cs="Times New Roman"/>
                <w:kern w:val="0"/>
                <w:sz w:val="18"/>
                <w:szCs w:val="18"/>
                <w:lang w:bidi="ar"/>
              </w:rPr>
              <w:t>30m³)</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29</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K102+258</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val="restart"/>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柯坪县</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双柱式宣传牌</w:t>
            </w:r>
            <w:r>
              <w:rPr>
                <w:rFonts w:cs="Times New Roman"/>
                <w:kern w:val="0"/>
                <w:sz w:val="18"/>
                <w:szCs w:val="18"/>
                <w:lang w:bidi="ar"/>
              </w:rPr>
              <w:t>15m²</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30</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K102+274</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双柱式林长制宣传牌</w:t>
            </w:r>
            <w:r>
              <w:rPr>
                <w:rFonts w:cs="Times New Roman"/>
                <w:kern w:val="0"/>
                <w:sz w:val="18"/>
                <w:szCs w:val="18"/>
                <w:lang w:bidi="ar"/>
              </w:rPr>
              <w:t>2.4m²</w:t>
            </w:r>
            <w:r>
              <w:rPr>
                <w:rFonts w:cs="Times New Roman"/>
                <w:kern w:val="0"/>
                <w:sz w:val="18"/>
                <w:szCs w:val="18"/>
                <w:lang w:bidi="ar"/>
              </w:rPr>
              <w:t>，</w:t>
            </w:r>
            <w:r>
              <w:rPr>
                <w:rFonts w:cs="Times New Roman"/>
                <w:kern w:val="0"/>
                <w:sz w:val="18"/>
                <w:szCs w:val="18"/>
                <w:lang w:bidi="ar"/>
              </w:rPr>
              <w:t>拆除后恢复</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31</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K103+222</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w:t>
            </w:r>
            <w:r>
              <w:rPr>
                <w:rFonts w:cs="Times New Roman"/>
                <w:kern w:val="0"/>
                <w:sz w:val="18"/>
                <w:szCs w:val="18"/>
                <w:lang w:bidi="ar"/>
              </w:rPr>
              <w:t>苗庭天下</w:t>
            </w:r>
            <w:r>
              <w:rPr>
                <w:rFonts w:cs="Times New Roman"/>
                <w:kern w:val="0"/>
                <w:sz w:val="18"/>
                <w:szCs w:val="18"/>
                <w:lang w:bidi="ar"/>
              </w:rPr>
              <w:t>”</w:t>
            </w:r>
            <w:r>
              <w:rPr>
                <w:rFonts w:cs="Times New Roman"/>
                <w:kern w:val="0"/>
                <w:sz w:val="18"/>
                <w:szCs w:val="18"/>
                <w:lang w:bidi="ar"/>
              </w:rPr>
              <w:t>宣传门架及电动推拉门</w:t>
            </w:r>
            <w:r>
              <w:rPr>
                <w:rFonts w:cs="Times New Roman"/>
                <w:kern w:val="0"/>
                <w:sz w:val="18"/>
                <w:szCs w:val="18"/>
                <w:lang w:bidi="ar"/>
              </w:rPr>
              <w:t>6</w:t>
            </w:r>
            <w:r>
              <w:rPr>
                <w:rFonts w:cs="Times New Roman"/>
                <w:kern w:val="0"/>
                <w:sz w:val="18"/>
                <w:szCs w:val="18"/>
                <w:lang w:bidi="ar"/>
              </w:rPr>
              <w:t>米</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32</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K103+421</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森林防火双柱式宣传牌</w:t>
            </w:r>
            <w:r>
              <w:rPr>
                <w:rFonts w:cs="Times New Roman"/>
                <w:kern w:val="0"/>
                <w:sz w:val="18"/>
                <w:szCs w:val="18"/>
                <w:lang w:bidi="ar"/>
              </w:rPr>
              <w:t>2m²</w:t>
            </w:r>
            <w:r>
              <w:rPr>
                <w:rFonts w:cs="Times New Roman"/>
                <w:kern w:val="0"/>
                <w:sz w:val="18"/>
                <w:szCs w:val="18"/>
                <w:lang w:bidi="ar"/>
              </w:rPr>
              <w:t>，</w:t>
            </w:r>
            <w:r>
              <w:rPr>
                <w:rFonts w:cs="Times New Roman"/>
                <w:kern w:val="0"/>
                <w:sz w:val="18"/>
                <w:szCs w:val="18"/>
                <w:lang w:bidi="ar"/>
              </w:rPr>
              <w:t>拆除后恢复</w:t>
            </w:r>
          </w:p>
        </w:tc>
      </w:tr>
      <w:tr w:rsidR="00A46452">
        <w:trPr>
          <w:trHeight w:val="84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33</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K105+580-K106+380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左侧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16127/145</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34</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K105+625</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24/1</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w:t>
            </w:r>
          </w:p>
        </w:tc>
      </w:tr>
      <w:tr w:rsidR="00A46452">
        <w:trPr>
          <w:trHeight w:val="84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35</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K106+420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路中</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1017.4/8</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36</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K106+740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756.2/8</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37</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K106+930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右侧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102/1</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w:t>
            </w:r>
          </w:p>
        </w:tc>
      </w:tr>
      <w:tr w:rsidR="00A46452">
        <w:trPr>
          <w:trHeight w:val="42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38</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K107+040</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路中</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85</w:t>
            </w: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砖砼围墙</w:t>
            </w:r>
            <w:r>
              <w:rPr>
                <w:rFonts w:cs="Times New Roman"/>
                <w:kern w:val="0"/>
                <w:sz w:val="18"/>
                <w:szCs w:val="18"/>
                <w:lang w:bidi="ar"/>
              </w:rPr>
              <w:t>(</w:t>
            </w:r>
            <w:r>
              <w:rPr>
                <w:rFonts w:cs="Times New Roman"/>
                <w:kern w:val="0"/>
                <w:sz w:val="18"/>
                <w:szCs w:val="18"/>
                <w:lang w:bidi="ar"/>
              </w:rPr>
              <w:t>高</w:t>
            </w:r>
            <w:r>
              <w:rPr>
                <w:rFonts w:cs="Times New Roman"/>
                <w:kern w:val="0"/>
                <w:sz w:val="18"/>
                <w:szCs w:val="18"/>
                <w:lang w:bidi="ar"/>
              </w:rPr>
              <w:t>2.3</w:t>
            </w:r>
            <w:r>
              <w:rPr>
                <w:rFonts w:cs="Times New Roman"/>
                <w:kern w:val="0"/>
                <w:sz w:val="18"/>
                <w:szCs w:val="18"/>
                <w:lang w:bidi="ar"/>
              </w:rPr>
              <w:t>米</w:t>
            </w:r>
            <w:r>
              <w:rPr>
                <w:rFonts w:cs="Times New Roman"/>
                <w:kern w:val="0"/>
                <w:sz w:val="18"/>
                <w:szCs w:val="18"/>
                <w:lang w:bidi="ar"/>
              </w:rPr>
              <w:t>)</w:t>
            </w:r>
          </w:p>
        </w:tc>
      </w:tr>
      <w:tr w:rsidR="00A46452">
        <w:trPr>
          <w:trHeight w:val="840"/>
        </w:trPr>
        <w:tc>
          <w:tcPr>
            <w:tcW w:w="502"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39</w:t>
            </w:r>
          </w:p>
        </w:tc>
        <w:tc>
          <w:tcPr>
            <w:tcW w:w="158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K107+060-K107+177</w:t>
            </w:r>
          </w:p>
        </w:tc>
        <w:tc>
          <w:tcPr>
            <w:tcW w:w="744"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两侧</w:t>
            </w:r>
          </w:p>
        </w:tc>
        <w:tc>
          <w:tcPr>
            <w:tcW w:w="1024" w:type="dxa"/>
            <w:vMerge/>
            <w:tcBorders>
              <w:tl2br w:val="nil"/>
              <w:tr2bl w:val="nil"/>
            </w:tcBorders>
            <w:shd w:val="clear" w:color="auto" w:fill="auto"/>
            <w:vAlign w:val="center"/>
          </w:tcPr>
          <w:p w:rsidR="00A46452" w:rsidRDefault="00A46452">
            <w:pPr>
              <w:widowControl/>
              <w:spacing w:line="240" w:lineRule="auto"/>
              <w:ind w:firstLineChars="0" w:firstLine="0"/>
              <w:jc w:val="center"/>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1623/23</w:t>
            </w:r>
          </w:p>
        </w:tc>
        <w:tc>
          <w:tcPr>
            <w:tcW w:w="88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25"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86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68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57"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150</w:t>
            </w:r>
          </w:p>
        </w:tc>
        <w:tc>
          <w:tcPr>
            <w:tcW w:w="733"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c>
          <w:tcPr>
            <w:tcW w:w="2931"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砖砼房屋、砖砼围墙</w:t>
            </w:r>
            <w:r>
              <w:rPr>
                <w:rFonts w:cs="Times New Roman"/>
                <w:kern w:val="0"/>
                <w:sz w:val="18"/>
                <w:szCs w:val="18"/>
                <w:lang w:bidi="ar"/>
              </w:rPr>
              <w:t>(</w:t>
            </w:r>
            <w:r>
              <w:rPr>
                <w:rFonts w:cs="Times New Roman"/>
                <w:kern w:val="0"/>
                <w:sz w:val="18"/>
                <w:szCs w:val="18"/>
                <w:lang w:bidi="ar"/>
              </w:rPr>
              <w:t>高</w:t>
            </w:r>
            <w:r>
              <w:rPr>
                <w:rFonts w:cs="Times New Roman"/>
                <w:kern w:val="0"/>
                <w:sz w:val="18"/>
                <w:szCs w:val="18"/>
                <w:lang w:bidi="ar"/>
              </w:rPr>
              <w:t>2.3</w:t>
            </w:r>
            <w:r>
              <w:rPr>
                <w:rFonts w:cs="Times New Roman"/>
                <w:kern w:val="0"/>
                <w:sz w:val="18"/>
                <w:szCs w:val="18"/>
                <w:lang w:bidi="ar"/>
              </w:rPr>
              <w:t>米</w:t>
            </w:r>
            <w:r>
              <w:rPr>
                <w:rFonts w:cs="Times New Roman"/>
                <w:kern w:val="0"/>
                <w:sz w:val="18"/>
                <w:szCs w:val="18"/>
                <w:lang w:bidi="ar"/>
              </w:rPr>
              <w:t>)</w:t>
            </w:r>
          </w:p>
        </w:tc>
      </w:tr>
      <w:tr w:rsidR="00A46452">
        <w:trPr>
          <w:trHeight w:val="840"/>
        </w:trPr>
        <w:tc>
          <w:tcPr>
            <w:tcW w:w="3855" w:type="dxa"/>
            <w:gridSpan w:val="4"/>
            <w:tcBorders>
              <w:tl2br w:val="nil"/>
              <w:tr2bl w:val="nil"/>
            </w:tcBorders>
            <w:shd w:val="clear" w:color="auto" w:fill="auto"/>
            <w:vAlign w:val="center"/>
          </w:tcPr>
          <w:p w:rsidR="00A46452" w:rsidRDefault="009A3928">
            <w:pPr>
              <w:widowControl/>
              <w:spacing w:line="240" w:lineRule="auto"/>
              <w:ind w:firstLineChars="0" w:firstLine="0"/>
              <w:jc w:val="center"/>
              <w:rPr>
                <w:rFonts w:cs="Times New Roman"/>
                <w:sz w:val="18"/>
                <w:szCs w:val="18"/>
              </w:rPr>
            </w:pPr>
            <w:r>
              <w:rPr>
                <w:rFonts w:cs="Times New Roman"/>
                <w:kern w:val="0"/>
                <w:sz w:val="18"/>
                <w:szCs w:val="18"/>
                <w:lang w:bidi="ar"/>
              </w:rPr>
              <w:t>合计</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15</w:t>
            </w:r>
          </w:p>
        </w:tc>
        <w:tc>
          <w:tcPr>
            <w:tcW w:w="11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20011</w:t>
            </w:r>
            <w:r>
              <w:rPr>
                <w:rFonts w:cs="Times New Roman"/>
                <w:kern w:val="0"/>
                <w:sz w:val="18"/>
                <w:szCs w:val="18"/>
                <w:lang w:bidi="ar"/>
              </w:rPr>
              <w:t>.6/194</w:t>
            </w:r>
          </w:p>
        </w:tc>
        <w:tc>
          <w:tcPr>
            <w:tcW w:w="88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420</w:t>
            </w:r>
          </w:p>
        </w:tc>
        <w:tc>
          <w:tcPr>
            <w:tcW w:w="725"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671</w:t>
            </w:r>
          </w:p>
        </w:tc>
        <w:tc>
          <w:tcPr>
            <w:tcW w:w="86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48/1</w:t>
            </w:r>
          </w:p>
        </w:tc>
        <w:tc>
          <w:tcPr>
            <w:tcW w:w="68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w:t>
            </w:r>
          </w:p>
        </w:tc>
        <w:tc>
          <w:tcPr>
            <w:tcW w:w="757"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2/1</w:t>
            </w:r>
          </w:p>
        </w:tc>
        <w:tc>
          <w:tcPr>
            <w:tcW w:w="760"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295</w:t>
            </w:r>
          </w:p>
        </w:tc>
        <w:tc>
          <w:tcPr>
            <w:tcW w:w="733" w:type="dxa"/>
            <w:tcBorders>
              <w:tl2br w:val="nil"/>
              <w:tr2bl w:val="nil"/>
            </w:tcBorders>
            <w:shd w:val="clear" w:color="auto" w:fill="auto"/>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2931" w:type="dxa"/>
            <w:tcBorders>
              <w:tl2br w:val="nil"/>
              <w:tr2bl w:val="nil"/>
            </w:tcBorders>
            <w:shd w:val="clear" w:color="auto" w:fill="auto"/>
          </w:tcPr>
          <w:p w:rsidR="00A46452" w:rsidRDefault="00A46452">
            <w:pPr>
              <w:widowControl/>
              <w:spacing w:line="240" w:lineRule="auto"/>
              <w:ind w:firstLineChars="0" w:firstLine="0"/>
              <w:jc w:val="left"/>
              <w:rPr>
                <w:rFonts w:cs="Times New Roman"/>
                <w:sz w:val="18"/>
                <w:szCs w:val="18"/>
              </w:rPr>
            </w:pPr>
          </w:p>
        </w:tc>
      </w:tr>
    </w:tbl>
    <w:p w:rsidR="00A46452" w:rsidRDefault="00A46452">
      <w:pPr>
        <w:wordWrap w:val="0"/>
        <w:topLinePunct/>
        <w:adjustRightInd w:val="0"/>
        <w:snapToGrid w:val="0"/>
        <w:ind w:firstLine="480"/>
        <w:rPr>
          <w:rFonts w:cs="Times New Roman"/>
        </w:rPr>
        <w:sectPr w:rsidR="00A46452">
          <w:pgSz w:w="16838" w:h="11906" w:orient="landscape"/>
          <w:pgMar w:top="1797" w:right="1440" w:bottom="1797" w:left="1440" w:header="851" w:footer="992" w:gutter="0"/>
          <w:cols w:space="425"/>
          <w:docGrid w:linePitch="312"/>
        </w:sectPr>
      </w:pP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4.2.6</w:t>
      </w:r>
      <w:r>
        <w:rPr>
          <w:rFonts w:cs="Times New Roman" w:hint="default"/>
          <w:sz w:val="28"/>
          <w:szCs w:val="28"/>
        </w:rPr>
        <w:t>土石方平衡及砍树</w:t>
      </w:r>
    </w:p>
    <w:p w:rsidR="00A46452" w:rsidRDefault="009A3928" w:rsidP="00182EED">
      <w:pPr>
        <w:pStyle w:val="42"/>
        <w:keepNext w:val="0"/>
        <w:keepLines w:val="0"/>
        <w:wordWrap w:val="0"/>
        <w:topLinePunct/>
        <w:adjustRightInd w:val="0"/>
        <w:snapToGrid w:val="0"/>
        <w:spacing w:beforeLines="50" w:before="120" w:afterLines="50" w:after="120" w:line="240" w:lineRule="auto"/>
        <w:rPr>
          <w:rFonts w:cs="Times New Roman" w:hint="default"/>
          <w:iCs/>
        </w:rPr>
      </w:pPr>
      <w:r>
        <w:rPr>
          <w:rFonts w:cs="Times New Roman" w:hint="default"/>
          <w:iCs/>
        </w:rPr>
        <w:t>4.2.6.1</w:t>
      </w:r>
      <w:r>
        <w:rPr>
          <w:rFonts w:cs="Times New Roman" w:hint="default"/>
          <w:iCs/>
        </w:rPr>
        <w:t>土石方量</w:t>
      </w:r>
    </w:p>
    <w:p w:rsidR="00A46452" w:rsidRDefault="009A3928" w:rsidP="00182EED">
      <w:pPr>
        <w:wordWrap w:val="0"/>
        <w:topLinePunct/>
        <w:adjustRightInd w:val="0"/>
        <w:snapToGrid w:val="0"/>
        <w:ind w:firstLine="480"/>
        <w:jc w:val="left"/>
        <w:rPr>
          <w:rFonts w:cs="Times New Roman"/>
        </w:rPr>
      </w:pPr>
      <w:r>
        <w:rPr>
          <w:rFonts w:cs="Times New Roman"/>
        </w:rPr>
        <w:t>根据可研，本工程挖方共计</w:t>
      </w:r>
      <w:r>
        <w:rPr>
          <w:rFonts w:cs="Times New Roman"/>
          <w:kern w:val="0"/>
          <w:szCs w:val="24"/>
          <w:lang w:bidi="ar"/>
        </w:rPr>
        <w:t>293665</w:t>
      </w:r>
      <w:r>
        <w:rPr>
          <w:rFonts w:cs="Times New Roman"/>
          <w:kern w:val="0"/>
          <w:szCs w:val="24"/>
          <w:lang w:bidi="ar"/>
        </w:rPr>
        <w:t>m³</w:t>
      </w:r>
      <w:r>
        <w:rPr>
          <w:rFonts w:cs="Times New Roman"/>
          <w:kern w:val="0"/>
          <w:szCs w:val="24"/>
          <w:lang w:bidi="ar"/>
        </w:rPr>
        <w:t>，填方共计</w:t>
      </w:r>
      <w:r>
        <w:rPr>
          <w:rFonts w:cs="Times New Roman"/>
          <w:kern w:val="0"/>
          <w:szCs w:val="24"/>
          <w:lang w:bidi="ar"/>
        </w:rPr>
        <w:t>2437151</w:t>
      </w:r>
      <w:r>
        <w:rPr>
          <w:rFonts w:cs="Times New Roman"/>
          <w:kern w:val="0"/>
          <w:szCs w:val="24"/>
          <w:lang w:bidi="ar"/>
        </w:rPr>
        <w:t>m³</w:t>
      </w:r>
      <w:r>
        <w:rPr>
          <w:rFonts w:cs="Times New Roman"/>
          <w:kern w:val="0"/>
          <w:szCs w:val="24"/>
          <w:lang w:bidi="ar"/>
        </w:rPr>
        <w:t>，弃方共计</w:t>
      </w:r>
      <w:r>
        <w:rPr>
          <w:rFonts w:cs="Times New Roman"/>
          <w:kern w:val="0"/>
          <w:szCs w:val="24"/>
          <w:lang w:bidi="ar"/>
        </w:rPr>
        <w:t>293665m³</w:t>
      </w:r>
      <w:r>
        <w:rPr>
          <w:rFonts w:cs="Times New Roman"/>
          <w:kern w:val="0"/>
          <w:szCs w:val="24"/>
          <w:lang w:bidi="ar"/>
        </w:rPr>
        <w:t>。</w:t>
      </w:r>
      <w:r>
        <w:rPr>
          <w:rFonts w:cs="Times New Roman"/>
        </w:rPr>
        <w:t>土石方平衡表见表</w:t>
      </w:r>
      <w:r>
        <w:rPr>
          <w:rFonts w:cs="Times New Roman"/>
        </w:rPr>
        <w:t>4</w:t>
      </w:r>
      <w:r>
        <w:rPr>
          <w:rFonts w:cs="Times New Roman"/>
        </w:rPr>
        <w:t>.</w:t>
      </w:r>
      <w:r>
        <w:rPr>
          <w:rFonts w:cs="Times New Roman"/>
        </w:rPr>
        <w:t>2</w:t>
      </w:r>
      <w:r>
        <w:rPr>
          <w:rFonts w:cs="Times New Roman"/>
        </w:rPr>
        <w:t>-</w:t>
      </w:r>
      <w:r>
        <w:rPr>
          <w:rFonts w:cs="Times New Roman" w:hint="eastAsia"/>
        </w:rPr>
        <w:t>11</w:t>
      </w:r>
      <w:r>
        <w:rPr>
          <w:rFonts w:cs="Times New Roman"/>
        </w:rPr>
        <w:t>。</w:t>
      </w:r>
    </w:p>
    <w:p w:rsidR="00A46452" w:rsidRDefault="00A46452">
      <w:pPr>
        <w:wordWrap w:val="0"/>
        <w:topLinePunct/>
        <w:adjustRightInd w:val="0"/>
        <w:snapToGrid w:val="0"/>
        <w:ind w:firstLine="464"/>
        <w:rPr>
          <w:rFonts w:cs="Times New Roman"/>
          <w:spacing w:val="-4"/>
        </w:rPr>
        <w:sectPr w:rsidR="00A46452">
          <w:pgSz w:w="11906" w:h="16838"/>
          <w:pgMar w:top="1440" w:right="1797" w:bottom="1440" w:left="1797" w:header="851" w:footer="992" w:gutter="0"/>
          <w:cols w:space="425"/>
          <w:docGrid w:linePitch="312"/>
        </w:sectPr>
      </w:pP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szCs w:val="24"/>
        </w:rPr>
        <w:t>4</w:t>
      </w:r>
      <w:r>
        <w:rPr>
          <w:rFonts w:eastAsia="黑体" w:cs="Times New Roman"/>
          <w:szCs w:val="24"/>
        </w:rPr>
        <w:t>.</w:t>
      </w:r>
      <w:r>
        <w:rPr>
          <w:rFonts w:eastAsia="黑体" w:cs="Times New Roman"/>
          <w:szCs w:val="24"/>
        </w:rPr>
        <w:t>2</w:t>
      </w:r>
      <w:r>
        <w:rPr>
          <w:rFonts w:eastAsia="黑体" w:cs="Times New Roman"/>
          <w:szCs w:val="24"/>
        </w:rPr>
        <w:t>-</w:t>
      </w:r>
      <w:r>
        <w:rPr>
          <w:rFonts w:eastAsia="黑体" w:cs="Times New Roman" w:hint="eastAsia"/>
          <w:szCs w:val="24"/>
        </w:rPr>
        <w:t>11</w:t>
      </w:r>
      <w:r>
        <w:rPr>
          <w:rFonts w:eastAsia="黑体" w:cs="Times New Roman"/>
          <w:szCs w:val="24"/>
        </w:rPr>
        <w:t xml:space="preserve">                                           </w:t>
      </w:r>
      <w:r>
        <w:rPr>
          <w:rFonts w:eastAsia="黑体" w:cs="Times New Roman"/>
          <w:szCs w:val="24"/>
        </w:rPr>
        <w:t>本项目工程土石方平衡表</w:t>
      </w:r>
    </w:p>
    <w:tbl>
      <w:tblPr>
        <w:tblW w:w="4999"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915"/>
        <w:gridCol w:w="1208"/>
        <w:gridCol w:w="1208"/>
        <w:gridCol w:w="1225"/>
        <w:gridCol w:w="1356"/>
        <w:gridCol w:w="2373"/>
        <w:gridCol w:w="1786"/>
        <w:gridCol w:w="2100"/>
      </w:tblGrid>
      <w:tr w:rsidR="00A46452">
        <w:trPr>
          <w:trHeight w:val="335"/>
          <w:jc w:val="center"/>
        </w:trPr>
        <w:tc>
          <w:tcPr>
            <w:tcW w:w="1028"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起讫桩号</w:t>
            </w:r>
          </w:p>
        </w:tc>
        <w:tc>
          <w:tcPr>
            <w:tcW w:w="1284"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b/>
                <w:bCs/>
                <w:sz w:val="18"/>
                <w:szCs w:val="18"/>
              </w:rPr>
            </w:pPr>
            <w:r>
              <w:rPr>
                <w:rFonts w:cs="Times New Roman"/>
                <w:kern w:val="0"/>
                <w:sz w:val="18"/>
                <w:szCs w:val="18"/>
                <w:lang w:bidi="ar"/>
              </w:rPr>
              <w:t>挖方（立方米）</w:t>
            </w:r>
          </w:p>
        </w:tc>
        <w:tc>
          <w:tcPr>
            <w:tcW w:w="1315" w:type="pct"/>
            <w:gridSpan w:val="2"/>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填方（立方米）</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弃方</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计价方案总数</w:t>
            </w:r>
          </w:p>
        </w:tc>
      </w:tr>
      <w:tr w:rsidR="00A46452">
        <w:trPr>
          <w:trHeight w:val="90"/>
          <w:jc w:val="center"/>
        </w:trPr>
        <w:tc>
          <w:tcPr>
            <w:tcW w:w="1028" w:type="pct"/>
            <w:vMerge/>
            <w:tcBorders>
              <w:tl2br w:val="nil"/>
              <w:tr2bl w:val="nil"/>
            </w:tcBorders>
            <w:shd w:val="clear" w:color="auto" w:fill="auto"/>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6"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right"/>
              <w:textAlignment w:val="center"/>
              <w:rPr>
                <w:rFonts w:cs="Times New Roman"/>
                <w:sz w:val="18"/>
                <w:szCs w:val="18"/>
              </w:rPr>
            </w:pPr>
            <w:r>
              <w:rPr>
                <w:rFonts w:cs="Times New Roman"/>
                <w:kern w:val="0"/>
                <w:sz w:val="18"/>
                <w:szCs w:val="18"/>
                <w:lang w:bidi="ar"/>
              </w:rPr>
              <w:t>总数量</w:t>
            </w:r>
          </w:p>
        </w:tc>
        <w:tc>
          <w:tcPr>
            <w:tcW w:w="858" w:type="pct"/>
            <w:gridSpan w:val="2"/>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土</w:t>
            </w:r>
          </w:p>
        </w:tc>
        <w:tc>
          <w:tcPr>
            <w:tcW w:w="478"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总数量</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left"/>
              <w:textAlignment w:val="center"/>
              <w:rPr>
                <w:rFonts w:cs="Times New Roman"/>
                <w:sz w:val="18"/>
                <w:szCs w:val="18"/>
              </w:rPr>
            </w:pPr>
            <w:r>
              <w:rPr>
                <w:rFonts w:cs="Times New Roman"/>
                <w:kern w:val="0"/>
                <w:sz w:val="18"/>
                <w:szCs w:val="18"/>
                <w:lang w:bidi="ar"/>
              </w:rPr>
              <w:t>借方（砾类土）</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（立方米）</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（立方米）</w:t>
            </w:r>
          </w:p>
        </w:tc>
      </w:tr>
      <w:tr w:rsidR="00A46452">
        <w:trPr>
          <w:trHeight w:val="207"/>
          <w:jc w:val="center"/>
        </w:trPr>
        <w:tc>
          <w:tcPr>
            <w:tcW w:w="1028" w:type="pct"/>
            <w:vMerge/>
            <w:tcBorders>
              <w:tl2br w:val="nil"/>
              <w:tr2bl w:val="nil"/>
            </w:tcBorders>
            <w:shd w:val="clear" w:color="auto" w:fill="auto"/>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6" w:type="pct"/>
            <w:vMerge/>
            <w:tcBorders>
              <w:tl2br w:val="nil"/>
              <w:tr2bl w:val="nil"/>
            </w:tcBorders>
            <w:shd w:val="clear" w:color="auto" w:fill="auto"/>
            <w:vAlign w:val="center"/>
          </w:tcPr>
          <w:p w:rsidR="00A46452" w:rsidRDefault="00A46452">
            <w:pPr>
              <w:wordWrap w:val="0"/>
              <w:topLinePunct/>
              <w:adjustRightInd w:val="0"/>
              <w:snapToGrid w:val="0"/>
              <w:spacing w:line="240" w:lineRule="auto"/>
              <w:ind w:firstLineChars="0" w:firstLine="0"/>
              <w:jc w:val="right"/>
              <w:rPr>
                <w:rFonts w:cs="Times New Roman"/>
                <w:sz w:val="18"/>
                <w:szCs w:val="18"/>
              </w:rPr>
            </w:pP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I</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Ⅱ</w:t>
            </w:r>
          </w:p>
        </w:tc>
        <w:tc>
          <w:tcPr>
            <w:tcW w:w="478" w:type="pct"/>
            <w:vMerge/>
            <w:tcBorders>
              <w:tl2br w:val="nil"/>
              <w:tr2bl w:val="nil"/>
            </w:tcBorders>
            <w:shd w:val="clear" w:color="auto" w:fill="auto"/>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砂砾石</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土</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土</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K0+000-K2+920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21900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2190</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19710</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101313</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101313</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21900</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123213</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K2+920-K8+700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14589</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5305</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9284</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132629</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132629</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14589</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147219</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K8+700-K9+700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K9+700-K10+200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1262</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459</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803</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11473</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11473</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1262</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12735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K10+200-K11+200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K11+200-K11+780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1464</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532</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932</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13309</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13309</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1464</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14773</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K11+780-K12+780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K12+780-K14+300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3837</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1395</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2441</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34878</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34878</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3837</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38715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K14+300-K15+300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K15+300-K18+840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8935</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3249</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5686</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81230</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81230</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8935</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90165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K18+840-K19+840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K19+840-K21+480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4140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1505</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2634</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37632</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37632</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4140</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41771</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K21+480-K22+480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K22+480-K23+200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1817</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661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1156</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16521</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16521</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1817</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18339</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K23+200-K24+200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K24+200-K33+400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23222</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8444</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14777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211106</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211106</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23222</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234327</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K33+400-K34+400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541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947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13527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1488</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15015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K33+400-K35+000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1514</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551</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964</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13768</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13768</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1514</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15282</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K35+000-K72+888</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95633</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34776</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60857</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869388</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869388</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95633</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965020</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K72+888-K82+420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24060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8749</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15311</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218724</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218724</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24060</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242783</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K82+420-K84+120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4291</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1560</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2731</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39009</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39009</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4291</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43300</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K84+120-K86+070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4922</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1790</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3132</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44745</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44745</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4922</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49667</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K86+070-K104+600</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46771</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17008</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29764</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425194</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425194</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46771</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471965</w:t>
            </w:r>
          </w:p>
        </w:tc>
      </w:tr>
      <w:tr w:rsidR="00A46452">
        <w:trPr>
          <w:trHeight w:val="47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K104+600-K10</w:t>
            </w:r>
            <w:r>
              <w:rPr>
                <w:rFonts w:cs="Times New Roman"/>
                <w:kern w:val="0"/>
                <w:sz w:val="18"/>
                <w:szCs w:val="18"/>
                <w:lang w:bidi="ar"/>
              </w:rPr>
              <w:t>7</w:t>
            </w:r>
            <w:r>
              <w:rPr>
                <w:rFonts w:cs="Times New Roman"/>
                <w:kern w:val="0"/>
                <w:sz w:val="18"/>
                <w:szCs w:val="18"/>
                <w:lang w:bidi="ar"/>
              </w:rPr>
              <w:t>+</w:t>
            </w:r>
            <w:r>
              <w:rPr>
                <w:rFonts w:cs="Times New Roman"/>
                <w:kern w:val="0"/>
                <w:sz w:val="18"/>
                <w:szCs w:val="18"/>
                <w:lang w:bidi="ar"/>
              </w:rPr>
              <w:t>177</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23405</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7802</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15603</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78017</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78017</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23405</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101422</w:t>
            </w:r>
          </w:p>
        </w:tc>
      </w:tr>
      <w:tr w:rsidR="00A46452">
        <w:trPr>
          <w:trHeight w:val="295"/>
          <w:jc w:val="center"/>
        </w:trPr>
        <w:tc>
          <w:tcPr>
            <w:tcW w:w="102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合计：</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right"/>
              <w:textAlignment w:val="center"/>
              <w:rPr>
                <w:rFonts w:cs="Times New Roman"/>
                <w:b/>
                <w:bCs/>
                <w:sz w:val="18"/>
                <w:szCs w:val="18"/>
              </w:rPr>
            </w:pPr>
            <w:r>
              <w:rPr>
                <w:rFonts w:cs="Times New Roman"/>
                <w:b/>
                <w:bCs/>
                <w:kern w:val="0"/>
                <w:sz w:val="18"/>
                <w:szCs w:val="18"/>
                <w:lang w:bidi="ar"/>
              </w:rPr>
              <w:t>293665</w:t>
            </w:r>
          </w:p>
        </w:tc>
        <w:tc>
          <w:tcPr>
            <w:tcW w:w="426"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b/>
                <w:bCs/>
                <w:sz w:val="18"/>
                <w:szCs w:val="18"/>
              </w:rPr>
            </w:pPr>
            <w:r>
              <w:rPr>
                <w:rFonts w:cs="Times New Roman"/>
                <w:b/>
                <w:bCs/>
                <w:kern w:val="0"/>
                <w:sz w:val="18"/>
                <w:szCs w:val="18"/>
                <w:lang w:bidi="ar"/>
              </w:rPr>
              <w:t>100305</w:t>
            </w:r>
          </w:p>
        </w:tc>
        <w:tc>
          <w:tcPr>
            <w:tcW w:w="43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b/>
                <w:bCs/>
                <w:sz w:val="18"/>
                <w:szCs w:val="18"/>
              </w:rPr>
            </w:pPr>
            <w:r>
              <w:rPr>
                <w:rFonts w:cs="Times New Roman"/>
                <w:b/>
                <w:bCs/>
                <w:kern w:val="0"/>
                <w:sz w:val="18"/>
                <w:szCs w:val="18"/>
                <w:lang w:bidi="ar"/>
              </w:rPr>
              <w:t>193361</w:t>
            </w:r>
          </w:p>
        </w:tc>
        <w:tc>
          <w:tcPr>
            <w:tcW w:w="478"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2437151</w:t>
            </w:r>
          </w:p>
        </w:tc>
        <w:tc>
          <w:tcPr>
            <w:tcW w:w="837"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2437151</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b/>
                <w:bCs/>
                <w:sz w:val="18"/>
                <w:szCs w:val="18"/>
              </w:rPr>
            </w:pPr>
            <w:r>
              <w:rPr>
                <w:rFonts w:cs="Times New Roman"/>
                <w:b/>
                <w:bCs/>
                <w:kern w:val="0"/>
                <w:sz w:val="18"/>
                <w:szCs w:val="18"/>
                <w:lang w:bidi="ar"/>
              </w:rPr>
              <w:t>293665</w:t>
            </w:r>
          </w:p>
        </w:tc>
        <w:tc>
          <w:tcPr>
            <w:tcW w:w="741" w:type="pct"/>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2730816</w:t>
            </w:r>
          </w:p>
        </w:tc>
      </w:tr>
    </w:tbl>
    <w:p w:rsidR="00A46452" w:rsidRDefault="00A46452">
      <w:pPr>
        <w:wordWrap w:val="0"/>
        <w:topLinePunct/>
        <w:adjustRightInd w:val="0"/>
        <w:snapToGrid w:val="0"/>
        <w:ind w:firstLine="464"/>
        <w:rPr>
          <w:rFonts w:cs="Times New Roman"/>
          <w:spacing w:val="-4"/>
        </w:rPr>
        <w:sectPr w:rsidR="00A46452">
          <w:pgSz w:w="16838" w:h="11906" w:orient="landscape"/>
          <w:pgMar w:top="1797" w:right="1440" w:bottom="1797" w:left="1440" w:header="851" w:footer="992" w:gutter="0"/>
          <w:cols w:space="425"/>
          <w:docGrid w:linePitch="312"/>
        </w:sectPr>
      </w:pP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4.2.6.2</w:t>
      </w:r>
      <w:r>
        <w:rPr>
          <w:rFonts w:cs="Times New Roman" w:hint="default"/>
          <w:iCs/>
        </w:rPr>
        <w:t>伐树量及树木补偿</w:t>
      </w:r>
    </w:p>
    <w:p w:rsidR="00A46452" w:rsidRDefault="009A3928">
      <w:pPr>
        <w:wordWrap w:val="0"/>
        <w:topLinePunct/>
        <w:adjustRightInd w:val="0"/>
        <w:snapToGrid w:val="0"/>
        <w:ind w:firstLine="480"/>
        <w:rPr>
          <w:rFonts w:eastAsia="黑体" w:cs="Times New Roman"/>
        </w:rPr>
      </w:pPr>
      <w:r>
        <w:rPr>
          <w:rFonts w:cs="Times New Roman"/>
        </w:rPr>
        <w:t>根据工程初步</w:t>
      </w:r>
      <w:r>
        <w:rPr>
          <w:rFonts w:cs="Times New Roman"/>
        </w:rPr>
        <w:t>设计</w:t>
      </w:r>
      <w:r>
        <w:rPr>
          <w:rFonts w:cs="Times New Roman"/>
        </w:rPr>
        <w:t>报告</w:t>
      </w:r>
      <w:r>
        <w:rPr>
          <w:rFonts w:cs="Times New Roman"/>
          <w:snapToGrid w:val="0"/>
        </w:rPr>
        <w:t>，</w:t>
      </w:r>
      <w:r>
        <w:rPr>
          <w:rFonts w:cs="Times New Roman"/>
        </w:rPr>
        <w:t>拟采伐林木总计</w:t>
      </w:r>
      <w:r>
        <w:rPr>
          <w:rFonts w:cs="Times New Roman"/>
        </w:rPr>
        <w:t>23876</w:t>
      </w:r>
      <w:r>
        <w:rPr>
          <w:rFonts w:cs="Times New Roman"/>
        </w:rPr>
        <w:t>棵树，本项目占用的树种类型包括</w:t>
      </w:r>
      <w:r>
        <w:rPr>
          <w:rFonts w:cs="Times New Roman"/>
        </w:rPr>
        <w:t>胡杨、新疆杨、苹果、桑树</w:t>
      </w:r>
      <w:r>
        <w:rPr>
          <w:rFonts w:cs="Times New Roman"/>
        </w:rPr>
        <w:t>等。其中：胸径大于</w:t>
      </w:r>
      <w:r>
        <w:rPr>
          <w:rFonts w:cs="Times New Roman"/>
        </w:rPr>
        <w:t>10</w:t>
      </w:r>
      <w:r>
        <w:rPr>
          <w:rFonts w:cs="Times New Roman"/>
        </w:rPr>
        <w:t>cm</w:t>
      </w:r>
      <w:r>
        <w:rPr>
          <w:rFonts w:cs="Times New Roman"/>
        </w:rPr>
        <w:t>的</w:t>
      </w:r>
      <w:r>
        <w:rPr>
          <w:rFonts w:cs="Times New Roman"/>
        </w:rPr>
        <w:t>17758</w:t>
      </w:r>
      <w:r>
        <w:rPr>
          <w:rFonts w:cs="Times New Roman"/>
        </w:rPr>
        <w:t>株，小于</w:t>
      </w:r>
      <w:r>
        <w:rPr>
          <w:rFonts w:cs="Times New Roman"/>
        </w:rPr>
        <w:t>10</w:t>
      </w:r>
      <w:r>
        <w:rPr>
          <w:rFonts w:cs="Times New Roman"/>
        </w:rPr>
        <w:t>cm</w:t>
      </w:r>
      <w:r>
        <w:rPr>
          <w:rFonts w:cs="Times New Roman"/>
        </w:rPr>
        <w:t>6118</w:t>
      </w:r>
      <w:r>
        <w:rPr>
          <w:rFonts w:cs="Times New Roman"/>
        </w:rPr>
        <w:t>株</w:t>
      </w:r>
      <w:r>
        <w:rPr>
          <w:rFonts w:cs="Times New Roman"/>
        </w:rPr>
        <w:t>，</w:t>
      </w:r>
      <w:r>
        <w:rPr>
          <w:rFonts w:cs="Times New Roman"/>
        </w:rPr>
        <w:t>砍挖灌木丛</w:t>
      </w:r>
      <w:r>
        <w:rPr>
          <w:rFonts w:cs="Times New Roman"/>
        </w:rPr>
        <w:t>30.546</w:t>
      </w:r>
      <w:r>
        <w:rPr>
          <w:rFonts w:cs="Times New Roman"/>
        </w:rPr>
        <w:t>亩</w:t>
      </w:r>
      <w:r>
        <w:rPr>
          <w:rFonts w:cs="Times New Roman"/>
        </w:rPr>
        <w:t>。根据《中华人民共和国森林法》及地方相关管理规定，依法征、占用林地的单位和个人应支付林地补偿费、林木补偿费和安置补助费。工程伐树、挖根数量见表</w:t>
      </w:r>
      <w:r>
        <w:rPr>
          <w:rFonts w:cs="Times New Roman"/>
        </w:rPr>
        <w:t>4.2-1</w:t>
      </w:r>
      <w:r>
        <w:rPr>
          <w:rFonts w:cs="Times New Roman" w:hint="eastAsia"/>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-1</w:t>
      </w:r>
      <w:r>
        <w:rPr>
          <w:rFonts w:eastAsia="黑体" w:cs="Times New Roman" w:hint="eastAsia"/>
        </w:rPr>
        <w:t>2</w:t>
      </w:r>
      <w:r>
        <w:rPr>
          <w:rFonts w:eastAsia="黑体" w:cs="Times New Roman"/>
        </w:rPr>
        <w:t xml:space="preserve">                </w:t>
      </w:r>
      <w:r>
        <w:rPr>
          <w:rFonts w:eastAsia="黑体" w:cs="Times New Roman"/>
        </w:rPr>
        <w:t>伐树、挖根数量表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96"/>
        <w:gridCol w:w="1940"/>
        <w:gridCol w:w="578"/>
        <w:gridCol w:w="759"/>
        <w:gridCol w:w="1007"/>
        <w:gridCol w:w="1349"/>
        <w:gridCol w:w="1156"/>
        <w:gridCol w:w="1156"/>
      </w:tblGrid>
      <w:tr w:rsidR="00A46452">
        <w:trPr>
          <w:trHeight w:val="395"/>
          <w:jc w:val="center"/>
        </w:trPr>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号</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sz w:val="18"/>
                <w:szCs w:val="18"/>
              </w:rPr>
            </w:pPr>
            <w:r>
              <w:rPr>
                <w:rFonts w:cs="Times New Roman"/>
                <w:b/>
                <w:bCs/>
                <w:kern w:val="0"/>
                <w:sz w:val="18"/>
                <w:szCs w:val="18"/>
                <w:lang w:bidi="ar"/>
              </w:rPr>
              <w:t>起讫桩号</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sz w:val="18"/>
                <w:szCs w:val="18"/>
              </w:rPr>
            </w:pPr>
            <w:r>
              <w:rPr>
                <w:rFonts w:cs="Times New Roman"/>
                <w:b/>
                <w:bCs/>
                <w:kern w:val="0"/>
                <w:sz w:val="18"/>
                <w:szCs w:val="18"/>
                <w:lang w:bidi="ar"/>
              </w:rPr>
              <w:t>位置</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sz w:val="18"/>
                <w:szCs w:val="18"/>
              </w:rPr>
            </w:pPr>
            <w:r>
              <w:rPr>
                <w:rFonts w:cs="Times New Roman"/>
                <w:b/>
                <w:bCs/>
                <w:kern w:val="0"/>
                <w:sz w:val="18"/>
                <w:szCs w:val="18"/>
                <w:lang w:bidi="ar"/>
              </w:rPr>
              <w:t>所有者</w:t>
            </w:r>
          </w:p>
        </w:tc>
        <w:tc>
          <w:tcPr>
            <w:tcW w:w="0" w:type="auto"/>
            <w:gridSpan w:val="2"/>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砍挖灌木丛直径</w:t>
            </w:r>
            <w:r>
              <w:rPr>
                <w:rFonts w:cs="Times New Roman"/>
                <w:kern w:val="0"/>
                <w:sz w:val="18"/>
                <w:szCs w:val="18"/>
                <w:lang w:bidi="ar"/>
              </w:rPr>
              <w:t>＜</w:t>
            </w:r>
            <w:r>
              <w:rPr>
                <w:rFonts w:cs="Times New Roman"/>
                <w:kern w:val="0"/>
                <w:sz w:val="18"/>
                <w:szCs w:val="18"/>
                <w:lang w:bidi="ar"/>
              </w:rPr>
              <w:t>10cm(</w:t>
            </w:r>
            <w:r>
              <w:rPr>
                <w:rFonts w:cs="Times New Roman"/>
                <w:kern w:val="0"/>
                <w:sz w:val="18"/>
                <w:szCs w:val="18"/>
                <w:lang w:bidi="ar"/>
              </w:rPr>
              <w:t>亩</w:t>
            </w:r>
            <w:r>
              <w:rPr>
                <w:rFonts w:cs="Times New Roman"/>
                <w:kern w:val="0"/>
                <w:sz w:val="18"/>
                <w:szCs w:val="18"/>
                <w:lang w:bidi="ar"/>
              </w:rPr>
              <w:t>)</w:t>
            </w:r>
          </w:p>
        </w:tc>
        <w:tc>
          <w:tcPr>
            <w:tcW w:w="0" w:type="auto"/>
            <w:gridSpan w:val="2"/>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伐树及挖坑</w:t>
            </w:r>
            <w:r>
              <w:rPr>
                <w:rFonts w:cs="Times New Roman"/>
                <w:kern w:val="0"/>
                <w:sz w:val="18"/>
                <w:szCs w:val="18"/>
                <w:lang w:bidi="ar"/>
              </w:rPr>
              <w:t>(</w:t>
            </w:r>
            <w:r>
              <w:rPr>
                <w:rFonts w:cs="Times New Roman"/>
                <w:kern w:val="0"/>
                <w:sz w:val="18"/>
                <w:szCs w:val="18"/>
                <w:lang w:bidi="ar"/>
              </w:rPr>
              <w:t>棵</w:t>
            </w:r>
            <w:r>
              <w:rPr>
                <w:rFonts w:cs="Times New Roman"/>
                <w:kern w:val="0"/>
                <w:sz w:val="18"/>
                <w:szCs w:val="18"/>
                <w:lang w:bidi="ar"/>
              </w:rPr>
              <w:t>)</w:t>
            </w:r>
            <w:r>
              <w:rPr>
                <w:rFonts w:cs="Times New Roman"/>
                <w:kern w:val="0"/>
                <w:sz w:val="18"/>
                <w:szCs w:val="18"/>
                <w:lang w:bidi="ar"/>
              </w:rPr>
              <w:t>树</w:t>
            </w:r>
          </w:p>
        </w:tc>
      </w:tr>
      <w:tr w:rsidR="00A46452">
        <w:trPr>
          <w:trHeight w:val="470"/>
          <w:jc w:val="center"/>
        </w:trPr>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b/>
                <w:bCs/>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b/>
                <w:bCs/>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b/>
                <w:bCs/>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稀</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密</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直径</w:t>
            </w:r>
            <w:r>
              <w:rPr>
                <w:rFonts w:cs="Times New Roman"/>
                <w:kern w:val="0"/>
                <w:sz w:val="18"/>
                <w:szCs w:val="18"/>
                <w:lang w:bidi="ar"/>
              </w:rPr>
              <w:t>＜</w:t>
            </w:r>
            <w:r>
              <w:rPr>
                <w:rFonts w:cs="Times New Roman"/>
                <w:kern w:val="0"/>
                <w:sz w:val="18"/>
                <w:szCs w:val="18"/>
                <w:lang w:bidi="ar"/>
              </w:rPr>
              <w:t>10cm</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直径</w:t>
            </w:r>
            <w:r>
              <w:rPr>
                <w:rFonts w:cs="Times New Roman"/>
                <w:kern w:val="0"/>
                <w:sz w:val="18"/>
                <w:szCs w:val="18"/>
                <w:lang w:bidi="ar"/>
              </w:rPr>
              <w:t>＞</w:t>
            </w:r>
            <w:r>
              <w:rPr>
                <w:rFonts w:cs="Times New Roman"/>
                <w:kern w:val="0"/>
                <w:sz w:val="18"/>
                <w:szCs w:val="18"/>
                <w:lang w:bidi="ar"/>
              </w:rPr>
              <w:t>10cm</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K0+000</w:t>
            </w:r>
            <w:r>
              <w:rPr>
                <w:rFonts w:cs="Times New Roman"/>
                <w:kern w:val="0"/>
                <w:sz w:val="18"/>
                <w:szCs w:val="18"/>
                <w:lang w:bidi="ar"/>
              </w:rPr>
              <w:t>～</w:t>
            </w:r>
            <w:r>
              <w:rPr>
                <w:rFonts w:cs="Times New Roman"/>
                <w:kern w:val="0"/>
                <w:sz w:val="18"/>
                <w:szCs w:val="18"/>
                <w:lang w:bidi="ar"/>
              </w:rPr>
              <w:t>K0+280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44</w:t>
            </w:r>
            <w:r>
              <w:rPr>
                <w:rFonts w:cs="Times New Roman"/>
                <w:kern w:val="0"/>
                <w:sz w:val="18"/>
                <w:szCs w:val="18"/>
                <w:lang w:bidi="ar"/>
              </w:rPr>
              <w:t>团</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165</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K0+000~K1+080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212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478</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K1+270~K1+320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K1+480~K1+900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1.20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70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K1+900</w:t>
            </w:r>
            <w:r>
              <w:rPr>
                <w:rFonts w:cs="Times New Roman"/>
                <w:kern w:val="0"/>
                <w:sz w:val="18"/>
                <w:szCs w:val="18"/>
                <w:lang w:bidi="ar"/>
              </w:rPr>
              <w:t>～</w:t>
            </w:r>
            <w:r>
              <w:rPr>
                <w:rFonts w:cs="Times New Roman"/>
                <w:kern w:val="0"/>
                <w:sz w:val="18"/>
                <w:szCs w:val="18"/>
                <w:lang w:bidi="ar"/>
              </w:rPr>
              <w:t>K2+120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1.44</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K2+140</w:t>
            </w:r>
            <w:r>
              <w:rPr>
                <w:rFonts w:cs="Times New Roman"/>
                <w:kern w:val="0"/>
                <w:sz w:val="18"/>
                <w:szCs w:val="18"/>
                <w:lang w:bidi="ar"/>
              </w:rPr>
              <w:t>～</w:t>
            </w:r>
            <w:r>
              <w:rPr>
                <w:rFonts w:cs="Times New Roman"/>
                <w:kern w:val="0"/>
                <w:sz w:val="18"/>
                <w:szCs w:val="18"/>
                <w:lang w:bidi="ar"/>
              </w:rPr>
              <w:t>K2+670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0.15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93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702</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K3+000</w:t>
            </w:r>
            <w:r>
              <w:rPr>
                <w:rFonts w:cs="Times New Roman"/>
                <w:kern w:val="0"/>
                <w:sz w:val="18"/>
                <w:szCs w:val="18"/>
                <w:lang w:bidi="ar"/>
              </w:rPr>
              <w:t>～</w:t>
            </w:r>
            <w:r>
              <w:rPr>
                <w:rFonts w:cs="Times New Roman"/>
                <w:kern w:val="0"/>
                <w:sz w:val="18"/>
                <w:szCs w:val="18"/>
                <w:lang w:bidi="ar"/>
              </w:rPr>
              <w:t>K3+100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K3+692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K3+700</w:t>
            </w:r>
            <w:r>
              <w:rPr>
                <w:rFonts w:cs="Times New Roman"/>
                <w:kern w:val="0"/>
                <w:sz w:val="18"/>
                <w:szCs w:val="18"/>
                <w:lang w:bidi="ar"/>
              </w:rPr>
              <w:t>～</w:t>
            </w:r>
            <w:r>
              <w:rPr>
                <w:rFonts w:cs="Times New Roman"/>
                <w:kern w:val="0"/>
                <w:sz w:val="18"/>
                <w:szCs w:val="18"/>
                <w:lang w:bidi="ar"/>
              </w:rPr>
              <w:t>K3+800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2.10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K3+993~K4+100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2.40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K4+025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K4+060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K4+250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K4+290</w:t>
            </w:r>
            <w:r>
              <w:rPr>
                <w:rFonts w:cs="Times New Roman"/>
                <w:kern w:val="0"/>
                <w:sz w:val="18"/>
                <w:szCs w:val="18"/>
                <w:lang w:bidi="ar"/>
              </w:rPr>
              <w:t>～</w:t>
            </w:r>
            <w:r>
              <w:rPr>
                <w:rFonts w:cs="Times New Roman"/>
                <w:kern w:val="0"/>
                <w:sz w:val="18"/>
                <w:szCs w:val="18"/>
                <w:lang w:bidi="ar"/>
              </w:rPr>
              <w:t>K4+360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32</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K4+780</w:t>
            </w:r>
            <w:r>
              <w:rPr>
                <w:rFonts w:cs="Times New Roman"/>
                <w:kern w:val="0"/>
                <w:sz w:val="18"/>
                <w:szCs w:val="18"/>
                <w:lang w:bidi="ar"/>
              </w:rPr>
              <w:t>～</w:t>
            </w:r>
            <w:r>
              <w:rPr>
                <w:rFonts w:cs="Times New Roman"/>
                <w:kern w:val="0"/>
                <w:sz w:val="18"/>
                <w:szCs w:val="18"/>
                <w:lang w:bidi="ar"/>
              </w:rPr>
              <w:t>K5+440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510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K5+400</w:t>
            </w:r>
            <w:r>
              <w:rPr>
                <w:rFonts w:cs="Times New Roman"/>
                <w:kern w:val="0"/>
                <w:sz w:val="18"/>
                <w:szCs w:val="18"/>
                <w:lang w:bidi="ar"/>
              </w:rPr>
              <w:t>～</w:t>
            </w:r>
            <w:r>
              <w:rPr>
                <w:rFonts w:cs="Times New Roman"/>
                <w:kern w:val="0"/>
                <w:sz w:val="18"/>
                <w:szCs w:val="18"/>
                <w:lang w:bidi="ar"/>
              </w:rPr>
              <w:t>K8+820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9.45</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443"/>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K5+820</w:t>
            </w:r>
            <w:r>
              <w:rPr>
                <w:rFonts w:cs="Times New Roman"/>
                <w:kern w:val="0"/>
                <w:sz w:val="18"/>
                <w:szCs w:val="18"/>
                <w:lang w:bidi="ar"/>
              </w:rPr>
              <w:t>～</w:t>
            </w:r>
            <w:r>
              <w:rPr>
                <w:rFonts w:cs="Times New Roman"/>
                <w:kern w:val="0"/>
                <w:sz w:val="18"/>
                <w:szCs w:val="18"/>
                <w:lang w:bidi="ar"/>
              </w:rPr>
              <w:t>K7+300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50</w:t>
            </w:r>
            <w:r>
              <w:rPr>
                <w:rFonts w:cs="Times New Roman"/>
                <w:kern w:val="0"/>
                <w:sz w:val="18"/>
                <w:szCs w:val="18"/>
                <w:lang w:bidi="ar"/>
              </w:rPr>
              <w:t>团</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11.25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94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164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K7+320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K7+570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32</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K7+680~K7+890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216</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K7+890~K7+970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103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137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K8+280</w:t>
            </w:r>
            <w:r>
              <w:rPr>
                <w:rFonts w:cs="Times New Roman"/>
                <w:kern w:val="0"/>
                <w:sz w:val="18"/>
                <w:szCs w:val="18"/>
                <w:lang w:bidi="ar"/>
              </w:rPr>
              <w:t>～</w:t>
            </w:r>
            <w:r>
              <w:rPr>
                <w:rFonts w:cs="Times New Roman"/>
                <w:kern w:val="0"/>
                <w:sz w:val="18"/>
                <w:szCs w:val="18"/>
                <w:lang w:bidi="ar"/>
              </w:rPr>
              <w:t>K8+450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295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215</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Style w:val="font111"/>
                <w:rFonts w:ascii="Times New Roman" w:hAnsi="Times New Roman" w:cs="Times New Roman"/>
                <w:color w:val="auto"/>
                <w:lang w:bidi="ar"/>
              </w:rPr>
              <w:t>K9+205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K9+660</w:t>
            </w:r>
            <w:r>
              <w:rPr>
                <w:rFonts w:cs="Times New Roman"/>
                <w:kern w:val="0"/>
                <w:sz w:val="18"/>
                <w:szCs w:val="18"/>
                <w:lang w:bidi="ar"/>
              </w:rPr>
              <w:t>～</w:t>
            </w:r>
            <w:r>
              <w:rPr>
                <w:rFonts w:cs="Times New Roman"/>
                <w:kern w:val="0"/>
                <w:sz w:val="18"/>
                <w:szCs w:val="18"/>
                <w:lang w:bidi="ar"/>
              </w:rPr>
              <w:t>K9+730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31</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K10+701</w:t>
            </w:r>
            <w:r>
              <w:rPr>
                <w:rFonts w:cs="Times New Roman"/>
                <w:kern w:val="0"/>
                <w:sz w:val="18"/>
                <w:szCs w:val="18"/>
                <w:lang w:bidi="ar"/>
              </w:rPr>
              <w:t>～</w:t>
            </w:r>
            <w:r>
              <w:rPr>
                <w:rFonts w:cs="Times New Roman"/>
                <w:kern w:val="0"/>
                <w:sz w:val="18"/>
                <w:szCs w:val="18"/>
                <w:lang w:bidi="ar"/>
              </w:rPr>
              <w:t>K10+704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55</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K10+712</w:t>
            </w:r>
            <w:r>
              <w:rPr>
                <w:rFonts w:cs="Times New Roman"/>
                <w:kern w:val="0"/>
                <w:sz w:val="18"/>
                <w:szCs w:val="18"/>
                <w:lang w:bidi="ar"/>
              </w:rPr>
              <w:t>～</w:t>
            </w:r>
            <w:r>
              <w:rPr>
                <w:rFonts w:cs="Times New Roman"/>
                <w:kern w:val="0"/>
                <w:sz w:val="18"/>
                <w:szCs w:val="18"/>
                <w:lang w:bidi="ar"/>
              </w:rPr>
              <w:t>K10+715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50</w:t>
            </w:r>
            <w:r>
              <w:rPr>
                <w:rFonts w:cs="Times New Roman"/>
                <w:kern w:val="0"/>
                <w:sz w:val="18"/>
                <w:szCs w:val="18"/>
                <w:lang w:bidi="ar"/>
              </w:rPr>
              <w:t>团</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K11+213~K11+420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231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K11+492</w:t>
            </w:r>
            <w:r>
              <w:rPr>
                <w:rFonts w:cs="Times New Roman"/>
                <w:kern w:val="0"/>
                <w:sz w:val="18"/>
                <w:szCs w:val="18"/>
                <w:lang w:bidi="ar"/>
              </w:rPr>
              <w:t>～</w:t>
            </w:r>
            <w:r>
              <w:rPr>
                <w:rFonts w:cs="Times New Roman"/>
                <w:kern w:val="0"/>
                <w:sz w:val="18"/>
                <w:szCs w:val="18"/>
                <w:lang w:bidi="ar"/>
              </w:rPr>
              <w:t>K12+257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1751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544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K11+773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12</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K11+779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K12+280</w:t>
            </w:r>
            <w:r>
              <w:rPr>
                <w:rFonts w:cs="Times New Roman"/>
                <w:kern w:val="0"/>
                <w:sz w:val="18"/>
                <w:szCs w:val="18"/>
                <w:lang w:bidi="ar"/>
              </w:rPr>
              <w:t>～</w:t>
            </w:r>
            <w:r>
              <w:rPr>
                <w:rFonts w:cs="Times New Roman"/>
                <w:kern w:val="0"/>
                <w:sz w:val="18"/>
                <w:szCs w:val="18"/>
                <w:lang w:bidi="ar"/>
              </w:rPr>
              <w:t>K12+319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107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K11+785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K12+660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K13+100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K13+306</w:t>
            </w:r>
            <w:r>
              <w:rPr>
                <w:rFonts w:cs="Times New Roman"/>
                <w:kern w:val="0"/>
                <w:sz w:val="18"/>
                <w:szCs w:val="18"/>
                <w:lang w:bidi="ar"/>
              </w:rPr>
              <w:t>～</w:t>
            </w:r>
            <w:r>
              <w:rPr>
                <w:rFonts w:cs="Times New Roman"/>
                <w:kern w:val="0"/>
                <w:sz w:val="18"/>
                <w:szCs w:val="18"/>
                <w:lang w:bidi="ar"/>
              </w:rPr>
              <w:t>K13+840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39</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K13+980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K14+480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K14+780</w:t>
            </w:r>
            <w:r>
              <w:rPr>
                <w:rFonts w:cs="Times New Roman"/>
                <w:kern w:val="0"/>
                <w:sz w:val="18"/>
                <w:szCs w:val="18"/>
                <w:lang w:bidi="ar"/>
              </w:rPr>
              <w:t>～</w:t>
            </w:r>
            <w:r>
              <w:rPr>
                <w:rFonts w:cs="Times New Roman"/>
                <w:kern w:val="0"/>
                <w:sz w:val="18"/>
                <w:szCs w:val="18"/>
                <w:lang w:bidi="ar"/>
              </w:rPr>
              <w:t>K14+800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66</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K14+800</w:t>
            </w:r>
            <w:r>
              <w:rPr>
                <w:rFonts w:cs="Times New Roman"/>
                <w:kern w:val="0"/>
                <w:sz w:val="18"/>
                <w:szCs w:val="18"/>
                <w:lang w:bidi="ar"/>
              </w:rPr>
              <w:t>～</w:t>
            </w:r>
            <w:r>
              <w:rPr>
                <w:rFonts w:cs="Times New Roman"/>
                <w:kern w:val="0"/>
                <w:sz w:val="18"/>
                <w:szCs w:val="18"/>
                <w:lang w:bidi="ar"/>
              </w:rPr>
              <w:t>K15+540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1019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954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K15+214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K15+780</w:t>
            </w:r>
            <w:r>
              <w:rPr>
                <w:rFonts w:cs="Times New Roman"/>
                <w:kern w:val="0"/>
                <w:sz w:val="18"/>
                <w:szCs w:val="18"/>
                <w:lang w:bidi="ar"/>
              </w:rPr>
              <w:t>～</w:t>
            </w:r>
            <w:r>
              <w:rPr>
                <w:rFonts w:cs="Times New Roman"/>
                <w:kern w:val="0"/>
                <w:sz w:val="18"/>
                <w:szCs w:val="18"/>
                <w:lang w:bidi="ar"/>
              </w:rPr>
              <w:t>K16+058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427</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K16+230</w:t>
            </w:r>
            <w:r>
              <w:rPr>
                <w:rFonts w:cs="Times New Roman"/>
                <w:kern w:val="0"/>
                <w:sz w:val="18"/>
                <w:szCs w:val="18"/>
                <w:lang w:bidi="ar"/>
              </w:rPr>
              <w:t>～</w:t>
            </w:r>
            <w:r>
              <w:rPr>
                <w:rFonts w:cs="Times New Roman"/>
                <w:kern w:val="0"/>
                <w:sz w:val="18"/>
                <w:szCs w:val="18"/>
                <w:lang w:bidi="ar"/>
              </w:rPr>
              <w:t>K16+520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452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98</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K16+830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25</w:t>
            </w:r>
          </w:p>
        </w:tc>
      </w:tr>
      <w:tr w:rsidR="00A46452">
        <w:trPr>
          <w:trHeight w:val="287"/>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K17+100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K18+120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53</w:t>
            </w:r>
            <w:r>
              <w:rPr>
                <w:rFonts w:cs="Times New Roman"/>
                <w:kern w:val="0"/>
                <w:sz w:val="18"/>
                <w:szCs w:val="18"/>
                <w:lang w:bidi="ar"/>
              </w:rPr>
              <w:t>团</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K18+680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12</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K18+780</w:t>
            </w:r>
            <w:r>
              <w:rPr>
                <w:rFonts w:cs="Times New Roman"/>
                <w:kern w:val="0"/>
                <w:sz w:val="18"/>
                <w:szCs w:val="18"/>
                <w:lang w:bidi="ar"/>
              </w:rPr>
              <w:t>～</w:t>
            </w:r>
            <w:r>
              <w:rPr>
                <w:rFonts w:cs="Times New Roman"/>
                <w:kern w:val="0"/>
                <w:sz w:val="18"/>
                <w:szCs w:val="18"/>
                <w:lang w:bidi="ar"/>
              </w:rPr>
              <w:t>K21+000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574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K20+180</w:t>
            </w:r>
            <w:r>
              <w:rPr>
                <w:rFonts w:cs="Times New Roman"/>
                <w:kern w:val="0"/>
                <w:sz w:val="18"/>
                <w:szCs w:val="18"/>
                <w:lang w:bidi="ar"/>
              </w:rPr>
              <w:t>～</w:t>
            </w:r>
            <w:r>
              <w:rPr>
                <w:rFonts w:cs="Times New Roman"/>
                <w:kern w:val="0"/>
                <w:sz w:val="18"/>
                <w:szCs w:val="18"/>
                <w:lang w:bidi="ar"/>
              </w:rPr>
              <w:t>K20+600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207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K21+980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K22+460</w:t>
            </w:r>
            <w:r>
              <w:rPr>
                <w:rFonts w:cs="Times New Roman"/>
                <w:kern w:val="0"/>
                <w:sz w:val="18"/>
                <w:szCs w:val="18"/>
                <w:lang w:bidi="ar"/>
              </w:rPr>
              <w:t>～</w:t>
            </w:r>
            <w:r>
              <w:rPr>
                <w:rFonts w:cs="Times New Roman"/>
                <w:kern w:val="0"/>
                <w:sz w:val="18"/>
                <w:szCs w:val="18"/>
                <w:lang w:bidi="ar"/>
              </w:rPr>
              <w:t>K23+660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381</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K23+920</w:t>
            </w:r>
            <w:r>
              <w:rPr>
                <w:rFonts w:cs="Times New Roman"/>
                <w:kern w:val="0"/>
                <w:sz w:val="18"/>
                <w:szCs w:val="18"/>
                <w:lang w:bidi="ar"/>
              </w:rPr>
              <w:t>～</w:t>
            </w:r>
            <w:r>
              <w:rPr>
                <w:rFonts w:cs="Times New Roman"/>
                <w:kern w:val="0"/>
                <w:sz w:val="18"/>
                <w:szCs w:val="18"/>
                <w:lang w:bidi="ar"/>
              </w:rPr>
              <w:t>K25+240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53</w:t>
            </w:r>
            <w:r>
              <w:rPr>
                <w:rFonts w:cs="Times New Roman"/>
                <w:kern w:val="0"/>
                <w:sz w:val="18"/>
                <w:szCs w:val="18"/>
                <w:lang w:bidi="ar"/>
              </w:rPr>
              <w:t>团</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top"/>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137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K25+460</w:t>
            </w:r>
            <w:r>
              <w:rPr>
                <w:rFonts w:cs="Times New Roman"/>
                <w:kern w:val="0"/>
                <w:sz w:val="18"/>
                <w:szCs w:val="18"/>
                <w:lang w:bidi="ar"/>
              </w:rPr>
              <w:t>～</w:t>
            </w:r>
            <w:r>
              <w:rPr>
                <w:rFonts w:cs="Times New Roman"/>
                <w:kern w:val="0"/>
                <w:sz w:val="18"/>
                <w:szCs w:val="18"/>
                <w:lang w:bidi="ar"/>
              </w:rPr>
              <w:t>K25+680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55</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K25+680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K25+680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K25+713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K26+360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K25+460</w:t>
            </w:r>
            <w:r>
              <w:rPr>
                <w:rFonts w:cs="Times New Roman"/>
                <w:kern w:val="0"/>
                <w:sz w:val="18"/>
                <w:szCs w:val="18"/>
                <w:lang w:bidi="ar"/>
              </w:rPr>
              <w:t>～</w:t>
            </w:r>
            <w:r>
              <w:rPr>
                <w:rFonts w:cs="Times New Roman"/>
                <w:kern w:val="0"/>
                <w:sz w:val="18"/>
                <w:szCs w:val="18"/>
                <w:lang w:bidi="ar"/>
              </w:rPr>
              <w:t>K25+680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201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74</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K25+680</w:t>
            </w:r>
            <w:r>
              <w:rPr>
                <w:rFonts w:cs="Times New Roman"/>
                <w:kern w:val="0"/>
                <w:sz w:val="18"/>
                <w:szCs w:val="18"/>
                <w:lang w:bidi="ar"/>
              </w:rPr>
              <w:t>～</w:t>
            </w:r>
            <w:r>
              <w:rPr>
                <w:rFonts w:cs="Times New Roman"/>
                <w:kern w:val="0"/>
                <w:sz w:val="18"/>
                <w:szCs w:val="18"/>
                <w:lang w:bidi="ar"/>
              </w:rPr>
              <w:t>K26+070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74</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K26+070</w:t>
            </w:r>
            <w:r>
              <w:rPr>
                <w:rFonts w:cs="Times New Roman"/>
                <w:kern w:val="0"/>
                <w:sz w:val="18"/>
                <w:szCs w:val="18"/>
                <w:lang w:bidi="ar"/>
              </w:rPr>
              <w:t>～</w:t>
            </w:r>
            <w:r>
              <w:rPr>
                <w:rFonts w:cs="Times New Roman"/>
                <w:kern w:val="0"/>
                <w:sz w:val="18"/>
                <w:szCs w:val="18"/>
                <w:lang w:bidi="ar"/>
              </w:rPr>
              <w:t>K26+340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176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162</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K26+550</w:t>
            </w:r>
            <w:r>
              <w:rPr>
                <w:rFonts w:cs="Times New Roman"/>
                <w:kern w:val="0"/>
                <w:sz w:val="18"/>
                <w:szCs w:val="18"/>
                <w:lang w:bidi="ar"/>
              </w:rPr>
              <w:t>～</w:t>
            </w:r>
            <w:r>
              <w:rPr>
                <w:rFonts w:cs="Times New Roman"/>
                <w:kern w:val="0"/>
                <w:sz w:val="18"/>
                <w:szCs w:val="18"/>
                <w:lang w:bidi="ar"/>
              </w:rPr>
              <w:t>K26+760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143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120</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K26+780</w:t>
            </w:r>
            <w:r>
              <w:rPr>
                <w:rFonts w:cs="Times New Roman"/>
                <w:kern w:val="0"/>
                <w:sz w:val="18"/>
                <w:szCs w:val="18"/>
                <w:lang w:bidi="ar"/>
              </w:rPr>
              <w:t>～</w:t>
            </w:r>
            <w:r>
              <w:rPr>
                <w:rFonts w:cs="Times New Roman"/>
                <w:kern w:val="0"/>
                <w:sz w:val="18"/>
                <w:szCs w:val="18"/>
                <w:lang w:bidi="ar"/>
              </w:rPr>
              <w:t>K30+550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245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2471</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K30+840</w:t>
            </w:r>
            <w:r>
              <w:rPr>
                <w:rFonts w:cs="Times New Roman"/>
                <w:kern w:val="0"/>
                <w:sz w:val="18"/>
                <w:szCs w:val="18"/>
                <w:lang w:bidi="ar"/>
              </w:rPr>
              <w:t>～</w:t>
            </w:r>
            <w:r>
              <w:rPr>
                <w:rFonts w:cs="Times New Roman"/>
                <w:kern w:val="0"/>
                <w:sz w:val="18"/>
                <w:szCs w:val="18"/>
                <w:lang w:bidi="ar"/>
              </w:rPr>
              <w:t>K31+180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69</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K31+380</w:t>
            </w:r>
            <w:r>
              <w:rPr>
                <w:rFonts w:cs="Times New Roman"/>
                <w:kern w:val="0"/>
                <w:sz w:val="18"/>
                <w:szCs w:val="18"/>
                <w:lang w:bidi="ar"/>
              </w:rPr>
              <w:t>～</w:t>
            </w:r>
            <w:r>
              <w:rPr>
                <w:rFonts w:cs="Times New Roman"/>
                <w:kern w:val="0"/>
                <w:sz w:val="18"/>
                <w:szCs w:val="18"/>
                <w:lang w:bidi="ar"/>
              </w:rPr>
              <w:t>K32+500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巴楚县</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95</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K37+104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K81+770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柯坪县</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52</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K83+960</w:t>
            </w:r>
            <w:r>
              <w:rPr>
                <w:rFonts w:cs="Times New Roman"/>
                <w:kern w:val="0"/>
                <w:sz w:val="18"/>
                <w:szCs w:val="18"/>
                <w:lang w:bidi="ar"/>
              </w:rPr>
              <w:t>～</w:t>
            </w:r>
            <w:r>
              <w:rPr>
                <w:rFonts w:cs="Times New Roman"/>
                <w:kern w:val="0"/>
                <w:sz w:val="18"/>
                <w:szCs w:val="18"/>
                <w:lang w:bidi="ar"/>
              </w:rPr>
              <w:t>K84+300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68</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K84+380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K84+480</w:t>
            </w:r>
            <w:r>
              <w:rPr>
                <w:rFonts w:cs="Times New Roman"/>
                <w:kern w:val="0"/>
                <w:sz w:val="18"/>
                <w:szCs w:val="18"/>
                <w:lang w:bidi="ar"/>
              </w:rPr>
              <w:t>～</w:t>
            </w:r>
            <w:r>
              <w:rPr>
                <w:rFonts w:cs="Times New Roman"/>
                <w:kern w:val="0"/>
                <w:sz w:val="18"/>
                <w:szCs w:val="18"/>
                <w:lang w:bidi="ar"/>
              </w:rPr>
              <w:t>K85+520</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0.48</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K86+060</w:t>
            </w:r>
            <w:r>
              <w:rPr>
                <w:rFonts w:cs="Times New Roman"/>
                <w:kern w:val="0"/>
                <w:sz w:val="18"/>
                <w:szCs w:val="18"/>
                <w:lang w:bidi="ar"/>
              </w:rPr>
              <w:t>～</w:t>
            </w:r>
            <w:r>
              <w:rPr>
                <w:rFonts w:cs="Times New Roman"/>
                <w:kern w:val="0"/>
                <w:sz w:val="18"/>
                <w:szCs w:val="18"/>
                <w:lang w:bidi="ar"/>
              </w:rPr>
              <w:t>K86+120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37</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70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K100+670</w:t>
            </w:r>
            <w:r>
              <w:rPr>
                <w:rFonts w:cs="Times New Roman"/>
                <w:kern w:val="0"/>
                <w:sz w:val="18"/>
                <w:szCs w:val="18"/>
                <w:lang w:bidi="ar"/>
              </w:rPr>
              <w:t>～</w:t>
            </w:r>
            <w:r>
              <w:rPr>
                <w:rFonts w:cs="Times New Roman"/>
                <w:kern w:val="0"/>
                <w:sz w:val="18"/>
                <w:szCs w:val="18"/>
                <w:lang w:bidi="ar"/>
              </w:rPr>
              <w:t>K101+260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843</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K100+670</w:t>
            </w:r>
            <w:r>
              <w:rPr>
                <w:rFonts w:cs="Times New Roman"/>
                <w:kern w:val="0"/>
                <w:sz w:val="18"/>
                <w:szCs w:val="18"/>
                <w:lang w:bidi="ar"/>
              </w:rPr>
              <w:t>～</w:t>
            </w:r>
            <w:r>
              <w:rPr>
                <w:rFonts w:cs="Times New Roman"/>
                <w:kern w:val="0"/>
                <w:sz w:val="18"/>
                <w:szCs w:val="18"/>
                <w:lang w:bidi="ar"/>
              </w:rPr>
              <w:t>K101+260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47</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K101+260</w:t>
            </w:r>
            <w:r>
              <w:rPr>
                <w:rFonts w:cs="Times New Roman"/>
                <w:kern w:val="0"/>
                <w:sz w:val="18"/>
                <w:szCs w:val="18"/>
                <w:lang w:bidi="ar"/>
              </w:rPr>
              <w:t>～</w:t>
            </w:r>
            <w:r>
              <w:rPr>
                <w:rFonts w:cs="Times New Roman"/>
                <w:kern w:val="0"/>
                <w:sz w:val="18"/>
                <w:szCs w:val="18"/>
                <w:lang w:bidi="ar"/>
              </w:rPr>
              <w:t>K102+157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1715</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73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K102+060</w:t>
            </w:r>
            <w:r>
              <w:rPr>
                <w:rFonts w:cs="Times New Roman"/>
                <w:kern w:val="0"/>
                <w:sz w:val="18"/>
                <w:szCs w:val="18"/>
                <w:lang w:bidi="ar"/>
              </w:rPr>
              <w:t>～</w:t>
            </w:r>
            <w:r>
              <w:rPr>
                <w:rFonts w:cs="Times New Roman"/>
                <w:kern w:val="0"/>
                <w:sz w:val="18"/>
                <w:szCs w:val="18"/>
                <w:lang w:bidi="ar"/>
              </w:rPr>
              <w:t>K102+157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50</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K102+165</w:t>
            </w:r>
            <w:r>
              <w:rPr>
                <w:rFonts w:cs="Times New Roman"/>
                <w:kern w:val="0"/>
                <w:sz w:val="18"/>
                <w:szCs w:val="18"/>
                <w:lang w:bidi="ar"/>
              </w:rPr>
              <w:t>～</w:t>
            </w:r>
            <w:r>
              <w:rPr>
                <w:rFonts w:cs="Times New Roman"/>
                <w:kern w:val="0"/>
                <w:sz w:val="18"/>
                <w:szCs w:val="18"/>
                <w:lang w:bidi="ar"/>
              </w:rPr>
              <w:t>K102+374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366</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75</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K102+165</w:t>
            </w:r>
            <w:r>
              <w:rPr>
                <w:rFonts w:cs="Times New Roman"/>
                <w:kern w:val="0"/>
                <w:sz w:val="18"/>
                <w:szCs w:val="18"/>
                <w:lang w:bidi="ar"/>
              </w:rPr>
              <w:t>～</w:t>
            </w:r>
            <w:r>
              <w:rPr>
                <w:rFonts w:cs="Times New Roman"/>
                <w:kern w:val="0"/>
                <w:sz w:val="18"/>
                <w:szCs w:val="18"/>
                <w:lang w:bidi="ar"/>
              </w:rPr>
              <w:t>K102+374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221</w:t>
            </w: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K102+375</w:t>
            </w:r>
            <w:r>
              <w:rPr>
                <w:rFonts w:cs="Times New Roman"/>
                <w:kern w:val="0"/>
                <w:sz w:val="18"/>
                <w:szCs w:val="18"/>
                <w:lang w:bidi="ar"/>
              </w:rPr>
              <w:t>～</w:t>
            </w:r>
            <w:r>
              <w:rPr>
                <w:rFonts w:cs="Times New Roman"/>
                <w:kern w:val="0"/>
                <w:sz w:val="18"/>
                <w:szCs w:val="18"/>
                <w:lang w:bidi="ar"/>
              </w:rPr>
              <w:t>K102+419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柯坪县</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1.06</w:t>
            </w: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33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K102+420</w:t>
            </w:r>
            <w:r>
              <w:rPr>
                <w:rFonts w:cs="Times New Roman"/>
                <w:kern w:val="0"/>
                <w:sz w:val="18"/>
                <w:szCs w:val="18"/>
                <w:lang w:bidi="ar"/>
              </w:rPr>
              <w:t>～</w:t>
            </w:r>
            <w:r>
              <w:rPr>
                <w:rFonts w:cs="Times New Roman"/>
                <w:kern w:val="0"/>
                <w:sz w:val="18"/>
                <w:szCs w:val="18"/>
                <w:lang w:bidi="ar"/>
              </w:rPr>
              <w:t>K103+600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1581</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K103+600</w:t>
            </w:r>
            <w:r>
              <w:rPr>
                <w:rFonts w:cs="Times New Roman"/>
                <w:kern w:val="0"/>
                <w:sz w:val="18"/>
                <w:szCs w:val="18"/>
                <w:lang w:bidi="ar"/>
              </w:rPr>
              <w:t>～</w:t>
            </w:r>
            <w:r>
              <w:rPr>
                <w:rFonts w:cs="Times New Roman"/>
                <w:kern w:val="0"/>
                <w:sz w:val="18"/>
                <w:szCs w:val="18"/>
                <w:lang w:bidi="ar"/>
              </w:rPr>
              <w:t>K104+380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1122</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79</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K105+580</w:t>
            </w:r>
            <w:r>
              <w:rPr>
                <w:rFonts w:cs="Times New Roman"/>
                <w:kern w:val="0"/>
                <w:sz w:val="18"/>
                <w:szCs w:val="18"/>
                <w:lang w:bidi="ar"/>
              </w:rPr>
              <w:t>～</w:t>
            </w:r>
            <w:r>
              <w:rPr>
                <w:rFonts w:cs="Times New Roman"/>
                <w:kern w:val="0"/>
                <w:sz w:val="18"/>
                <w:szCs w:val="18"/>
                <w:lang w:bidi="ar"/>
              </w:rPr>
              <w:t>K106+360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102</w:t>
            </w:r>
          </w:p>
        </w:tc>
      </w:tr>
      <w:tr w:rsidR="00A46452">
        <w:trPr>
          <w:trHeight w:val="34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bottom"/>
              <w:rPr>
                <w:rFonts w:cs="Times New Roman"/>
                <w:sz w:val="18"/>
                <w:szCs w:val="18"/>
              </w:rPr>
            </w:pPr>
            <w:r>
              <w:rPr>
                <w:rFonts w:cs="Times New Roman"/>
                <w:kern w:val="0"/>
                <w:sz w:val="18"/>
                <w:szCs w:val="18"/>
                <w:lang w:bidi="ar"/>
              </w:rPr>
              <w:t>K105+580</w:t>
            </w:r>
            <w:r>
              <w:rPr>
                <w:rFonts w:cs="Times New Roman"/>
                <w:kern w:val="0"/>
                <w:sz w:val="18"/>
                <w:szCs w:val="18"/>
                <w:lang w:bidi="ar"/>
              </w:rPr>
              <w:t>～</w:t>
            </w:r>
            <w:r>
              <w:rPr>
                <w:rFonts w:cs="Times New Roman"/>
                <w:kern w:val="0"/>
                <w:sz w:val="18"/>
                <w:szCs w:val="18"/>
                <w:lang w:bidi="ar"/>
              </w:rPr>
              <w:t>K106+360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54</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445</w:t>
            </w:r>
          </w:p>
        </w:tc>
      </w:tr>
      <w:tr w:rsidR="00A46452">
        <w:trPr>
          <w:trHeight w:val="31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K105+580</w:t>
            </w:r>
            <w:r>
              <w:rPr>
                <w:rFonts w:cs="Times New Roman"/>
                <w:kern w:val="0"/>
                <w:sz w:val="18"/>
                <w:szCs w:val="18"/>
                <w:lang w:bidi="ar"/>
              </w:rPr>
              <w:t>～</w:t>
            </w:r>
            <w:r>
              <w:rPr>
                <w:rFonts w:cs="Times New Roman"/>
                <w:kern w:val="0"/>
                <w:sz w:val="18"/>
                <w:szCs w:val="18"/>
                <w:lang w:bidi="ar"/>
              </w:rPr>
              <w:t>K106+360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右侧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23.1</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190.8</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82</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K106+650</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左侧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40</w:t>
            </w:r>
          </w:p>
        </w:tc>
      </w:tr>
      <w:tr w:rsidR="00A46452">
        <w:trPr>
          <w:trHeight w:val="32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83</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K106+680</w:t>
            </w:r>
            <w:r>
              <w:rPr>
                <w:rFonts w:cs="Times New Roman"/>
                <w:kern w:val="0"/>
                <w:sz w:val="18"/>
                <w:szCs w:val="18"/>
                <w:lang w:bidi="ar"/>
              </w:rPr>
              <w:t>～</w:t>
            </w:r>
            <w:r>
              <w:rPr>
                <w:rFonts w:cs="Times New Roman"/>
                <w:kern w:val="0"/>
                <w:sz w:val="18"/>
                <w:szCs w:val="18"/>
                <w:lang w:bidi="ar"/>
              </w:rPr>
              <w:t>K107+177</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两侧</w:t>
            </w:r>
          </w:p>
        </w:tc>
        <w:tc>
          <w:tcPr>
            <w:tcW w:w="0" w:type="auto"/>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930</w:t>
            </w:r>
          </w:p>
        </w:tc>
      </w:tr>
      <w:tr w:rsidR="00A46452">
        <w:trPr>
          <w:trHeight w:val="340"/>
          <w:jc w:val="center"/>
        </w:trPr>
        <w:tc>
          <w:tcPr>
            <w:tcW w:w="0" w:type="auto"/>
            <w:gridSpan w:val="4"/>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kern w:val="0"/>
                <w:sz w:val="18"/>
                <w:szCs w:val="18"/>
                <w:lang w:bidi="ar"/>
              </w:rPr>
              <w:t>合计：</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0.48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30.546</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6118</w:t>
            </w:r>
          </w:p>
        </w:tc>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17758</w:t>
            </w:r>
          </w:p>
        </w:tc>
      </w:tr>
    </w:tbl>
    <w:p w:rsidR="00A46452" w:rsidRDefault="009A3928" w:rsidP="00182EED">
      <w:pPr>
        <w:wordWrap w:val="0"/>
        <w:topLinePunct/>
        <w:adjustRightInd w:val="0"/>
        <w:snapToGrid w:val="0"/>
        <w:ind w:firstLine="480"/>
        <w:rPr>
          <w:rFonts w:cs="Times New Roman"/>
        </w:rPr>
      </w:pPr>
      <w:r>
        <w:rPr>
          <w:rFonts w:cs="Times New Roman"/>
        </w:rPr>
        <w:t>（</w:t>
      </w:r>
      <w:r>
        <w:rPr>
          <w:rFonts w:cs="Times New Roman"/>
        </w:rPr>
        <w:t>2</w:t>
      </w:r>
      <w:r>
        <w:rPr>
          <w:rFonts w:cs="Times New Roman"/>
        </w:rPr>
        <w:t>）临时占地</w:t>
      </w:r>
    </w:p>
    <w:p w:rsidR="00A46452" w:rsidRDefault="009A3928" w:rsidP="00182EED">
      <w:pPr>
        <w:wordWrap w:val="0"/>
        <w:topLinePunct/>
        <w:adjustRightInd w:val="0"/>
        <w:snapToGrid w:val="0"/>
        <w:ind w:firstLine="480"/>
        <w:rPr>
          <w:rFonts w:cs="Times New Roman"/>
        </w:rPr>
      </w:pPr>
      <w:r>
        <w:rPr>
          <w:rFonts w:cs="Times New Roman"/>
        </w:rPr>
        <w:t>本工程临时占地包括施工便道</w:t>
      </w:r>
      <w:r>
        <w:rPr>
          <w:rFonts w:cs="Times New Roman"/>
        </w:rPr>
        <w:t>、</w:t>
      </w:r>
      <w:r>
        <w:rPr>
          <w:rFonts w:cs="Times New Roman"/>
        </w:rPr>
        <w:t>便桥</w:t>
      </w:r>
      <w:r>
        <w:rPr>
          <w:rFonts w:cs="Times New Roman"/>
        </w:rPr>
        <w:t>，取（弃）料场，施工</w:t>
      </w:r>
      <w:r>
        <w:rPr>
          <w:rFonts w:cs="Times New Roman"/>
        </w:rPr>
        <w:t>营</w:t>
      </w:r>
      <w:r>
        <w:rPr>
          <w:rFonts w:cs="Times New Roman"/>
        </w:rPr>
        <w:t>地</w:t>
      </w:r>
      <w:r>
        <w:rPr>
          <w:rFonts w:cs="Times New Roman"/>
        </w:rPr>
        <w:t>、预制场、</w:t>
      </w:r>
      <w:r>
        <w:rPr>
          <w:rFonts w:cs="Times New Roman"/>
        </w:rPr>
        <w:t>拌和站</w:t>
      </w:r>
      <w:r>
        <w:rPr>
          <w:rFonts w:cs="Times New Roman"/>
        </w:rPr>
        <w:t>等。</w:t>
      </w:r>
      <w:r>
        <w:rPr>
          <w:rFonts w:cs="Times New Roman"/>
        </w:rPr>
        <w:t>拌和站、预制场及施工</w:t>
      </w:r>
      <w:r>
        <w:rPr>
          <w:rFonts w:cs="Times New Roman"/>
        </w:rPr>
        <w:t>营</w:t>
      </w:r>
      <w:r>
        <w:rPr>
          <w:rFonts w:cs="Times New Roman"/>
        </w:rPr>
        <w:t>地占地类型主要为林地；砂砾石料场为商业料场；风积沙料场为沙漠区；弃土场主要占地类型为建筑用地。</w:t>
      </w:r>
      <w:r>
        <w:rPr>
          <w:rFonts w:cs="Times New Roman"/>
        </w:rPr>
        <w:t>本项目临时占地面积见表</w:t>
      </w:r>
      <w:r>
        <w:rPr>
          <w:rFonts w:cs="Times New Roman"/>
        </w:rPr>
        <w:t>4</w:t>
      </w:r>
      <w:r>
        <w:rPr>
          <w:rFonts w:cs="Times New Roman"/>
        </w:rPr>
        <w:t>.</w:t>
      </w:r>
      <w:r>
        <w:rPr>
          <w:rFonts w:cs="Times New Roman"/>
        </w:rPr>
        <w:t>2</w:t>
      </w:r>
      <w:r>
        <w:rPr>
          <w:rFonts w:cs="Times New Roman"/>
        </w:rPr>
        <w:t>-</w:t>
      </w:r>
      <w:r>
        <w:rPr>
          <w:rFonts w:cs="Times New Roman"/>
        </w:rPr>
        <w:t>1</w:t>
      </w:r>
      <w:r>
        <w:rPr>
          <w:rFonts w:cs="Times New Roman" w:hint="eastAsia"/>
        </w:rPr>
        <w:t>3</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2-1</w:t>
      </w:r>
      <w:r>
        <w:rPr>
          <w:rFonts w:eastAsia="黑体" w:cs="Times New Roman" w:hint="eastAsia"/>
        </w:rPr>
        <w:t>3</w:t>
      </w:r>
      <w:r>
        <w:rPr>
          <w:rFonts w:eastAsia="黑体" w:cs="Times New Roman"/>
        </w:rPr>
        <w:t xml:space="preserve">                  </w:t>
      </w:r>
      <w:r>
        <w:rPr>
          <w:rFonts w:eastAsia="黑体" w:cs="Times New Roman"/>
        </w:rPr>
        <w:t>项目临时占地类型表</w:t>
      </w:r>
    </w:p>
    <w:tbl>
      <w:tblPr>
        <w:tblW w:w="4998"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1111"/>
        <w:gridCol w:w="5687"/>
        <w:gridCol w:w="1715"/>
      </w:tblGrid>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临时占地</w:t>
            </w:r>
          </w:p>
        </w:tc>
        <w:tc>
          <w:tcPr>
            <w:tcW w:w="100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占地面积</w:t>
            </w:r>
          </w:p>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w:t>
            </w:r>
            <w:r>
              <w:rPr>
                <w:rFonts w:cs="Times New Roman"/>
                <w:kern w:val="0"/>
                <w:sz w:val="18"/>
                <w:szCs w:val="18"/>
                <w:lang w:bidi="ar"/>
              </w:rPr>
              <w:t>hm</w:t>
            </w:r>
            <w:r>
              <w:rPr>
                <w:rFonts w:cs="Times New Roman"/>
                <w:kern w:val="0"/>
                <w:sz w:val="18"/>
                <w:szCs w:val="18"/>
                <w:vertAlign w:val="superscript"/>
                <w:lang w:bidi="ar"/>
              </w:rPr>
              <w:t>2</w:t>
            </w:r>
            <w:r>
              <w:rPr>
                <w:rFonts w:cs="Times New Roman"/>
                <w:kern w:val="0"/>
                <w:sz w:val="18"/>
                <w:szCs w:val="18"/>
                <w:lang w:bidi="ar"/>
              </w:rPr>
              <w:t>）</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1</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施工便道、便桥</w:t>
            </w:r>
          </w:p>
        </w:tc>
        <w:tc>
          <w:tcPr>
            <w:tcW w:w="1717"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2.6</w:t>
            </w:r>
            <w:r>
              <w:rPr>
                <w:rFonts w:cs="Times New Roman"/>
                <w:kern w:val="0"/>
                <w:sz w:val="18"/>
                <w:szCs w:val="18"/>
                <w:lang w:bidi="ar"/>
              </w:rPr>
              <w:t>4</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综合站场</w:t>
            </w:r>
          </w:p>
        </w:tc>
        <w:tc>
          <w:tcPr>
            <w:tcW w:w="1717"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8.85</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3</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弃土场</w:t>
            </w:r>
          </w:p>
        </w:tc>
        <w:tc>
          <w:tcPr>
            <w:tcW w:w="1717"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63</w:t>
            </w:r>
          </w:p>
        </w:tc>
      </w:tr>
      <w:tr w:rsidR="00A46452">
        <w:trPr>
          <w:jc w:val="center"/>
        </w:trPr>
        <w:tc>
          <w:tcPr>
            <w:tcW w:w="65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4</w:t>
            </w:r>
          </w:p>
        </w:tc>
        <w:tc>
          <w:tcPr>
            <w:tcW w:w="333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风积沙料场</w:t>
            </w:r>
          </w:p>
        </w:tc>
        <w:tc>
          <w:tcPr>
            <w:tcW w:w="1717"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272</w:t>
            </w:r>
          </w:p>
        </w:tc>
      </w:tr>
      <w:tr w:rsidR="00A46452">
        <w:trPr>
          <w:jc w:val="center"/>
        </w:trPr>
        <w:tc>
          <w:tcPr>
            <w:tcW w:w="3992" w:type="pct"/>
            <w:gridSpan w:val="2"/>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sz w:val="18"/>
                <w:szCs w:val="18"/>
              </w:rPr>
              <w:t>合计</w:t>
            </w:r>
          </w:p>
        </w:tc>
        <w:tc>
          <w:tcPr>
            <w:tcW w:w="1717" w:type="dxa"/>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346.49</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 xml:space="preserve">4.2.7 </w:t>
      </w:r>
      <w:r>
        <w:rPr>
          <w:rFonts w:cs="Times New Roman" w:hint="default"/>
          <w:sz w:val="28"/>
          <w:szCs w:val="28"/>
        </w:rPr>
        <w:t>施工组织与施工方案</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4.2.7.1</w:t>
      </w:r>
      <w:r>
        <w:rPr>
          <w:rFonts w:cs="Times New Roman" w:hint="default"/>
          <w:iCs/>
        </w:rPr>
        <w:t>施工布置</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施工生产生活区</w:t>
      </w:r>
    </w:p>
    <w:p w:rsidR="00A46452" w:rsidRDefault="009A3928" w:rsidP="00182EED">
      <w:pPr>
        <w:wordWrap w:val="0"/>
        <w:topLinePunct/>
        <w:adjustRightInd w:val="0"/>
        <w:snapToGrid w:val="0"/>
        <w:ind w:firstLine="480"/>
        <w:jc w:val="left"/>
        <w:rPr>
          <w:rFonts w:cs="Times New Roman"/>
        </w:rPr>
      </w:pPr>
      <w:r>
        <w:rPr>
          <w:rFonts w:cs="Times New Roman"/>
        </w:rPr>
        <w:t>根据</w:t>
      </w:r>
      <w:r>
        <w:rPr>
          <w:rFonts w:cs="Times New Roman"/>
        </w:rPr>
        <w:t>初步设计报告</w:t>
      </w:r>
      <w:r>
        <w:rPr>
          <w:rFonts w:cs="Times New Roman"/>
        </w:rPr>
        <w:t>，本次拟</w:t>
      </w:r>
      <w:r>
        <w:rPr>
          <w:rFonts w:cs="Times New Roman"/>
          <w:kern w:val="0"/>
          <w:szCs w:val="24"/>
          <w:lang w:bidi="ar"/>
        </w:rPr>
        <w:t>在路线桩号</w:t>
      </w:r>
      <w:r>
        <w:rPr>
          <w:rFonts w:cs="Times New Roman"/>
          <w:kern w:val="0"/>
          <w:szCs w:val="24"/>
          <w:lang w:bidi="ar"/>
        </w:rPr>
        <w:t>K14+300</w:t>
      </w:r>
      <w:r>
        <w:rPr>
          <w:rFonts w:cs="Times New Roman"/>
          <w:kern w:val="0"/>
          <w:szCs w:val="24"/>
          <w:lang w:bidi="ar"/>
        </w:rPr>
        <w:t>处附近</w:t>
      </w:r>
      <w:r>
        <w:rPr>
          <w:rFonts w:cs="Times New Roman"/>
          <w:kern w:val="0"/>
          <w:szCs w:val="24"/>
          <w:lang w:bidi="ar"/>
        </w:rPr>
        <w:t>0.5km</w:t>
      </w:r>
      <w:r>
        <w:rPr>
          <w:rFonts w:cs="Times New Roman"/>
          <w:kern w:val="0"/>
          <w:szCs w:val="24"/>
          <w:lang w:bidi="ar"/>
        </w:rPr>
        <w:t>新建沥青拌合站、水稳拌合站及构件预制场各一处，在路线桩号</w:t>
      </w:r>
      <w:r>
        <w:rPr>
          <w:rFonts w:cs="Times New Roman"/>
          <w:kern w:val="0"/>
          <w:szCs w:val="24"/>
          <w:lang w:bidi="ar"/>
        </w:rPr>
        <w:t>K28+500</w:t>
      </w:r>
      <w:r>
        <w:rPr>
          <w:rFonts w:cs="Times New Roman"/>
          <w:kern w:val="0"/>
          <w:szCs w:val="24"/>
          <w:lang w:bidi="ar"/>
        </w:rPr>
        <w:t>处附近</w:t>
      </w:r>
      <w:r>
        <w:rPr>
          <w:rFonts w:cs="Times New Roman"/>
          <w:kern w:val="0"/>
          <w:szCs w:val="24"/>
          <w:lang w:bidi="ar"/>
        </w:rPr>
        <w:t>0.5km</w:t>
      </w:r>
      <w:r>
        <w:rPr>
          <w:rFonts w:cs="Times New Roman"/>
          <w:kern w:val="0"/>
          <w:szCs w:val="24"/>
          <w:lang w:bidi="ar"/>
        </w:rPr>
        <w:t>新建沥青拌合站、水稳拌合站及构件预制场各一处，在路线桩号</w:t>
      </w:r>
      <w:r>
        <w:rPr>
          <w:rFonts w:cs="Times New Roman"/>
          <w:kern w:val="0"/>
          <w:szCs w:val="24"/>
          <w:lang w:bidi="ar"/>
        </w:rPr>
        <w:t>K78+600</w:t>
      </w:r>
      <w:r>
        <w:rPr>
          <w:rFonts w:cs="Times New Roman"/>
          <w:kern w:val="0"/>
          <w:szCs w:val="24"/>
          <w:lang w:bidi="ar"/>
        </w:rPr>
        <w:t>处附近</w:t>
      </w:r>
      <w:r>
        <w:rPr>
          <w:rFonts w:cs="Times New Roman"/>
          <w:kern w:val="0"/>
          <w:szCs w:val="24"/>
          <w:lang w:bidi="ar"/>
        </w:rPr>
        <w:t>0.5km</w:t>
      </w:r>
      <w:r>
        <w:rPr>
          <w:rFonts w:cs="Times New Roman"/>
          <w:kern w:val="0"/>
          <w:szCs w:val="24"/>
          <w:lang w:bidi="ar"/>
        </w:rPr>
        <w:t>新建沥青拌合站、水稳拌合站及构件预制场各一处</w:t>
      </w:r>
      <w:r>
        <w:rPr>
          <w:rFonts w:cs="Times New Roman"/>
        </w:rPr>
        <w:t>，各站场占地类型</w:t>
      </w:r>
      <w:r>
        <w:rPr>
          <w:rFonts w:cs="Times New Roman"/>
        </w:rPr>
        <w:t>主要</w:t>
      </w:r>
      <w:r>
        <w:rPr>
          <w:rFonts w:cs="Times New Roman"/>
        </w:rPr>
        <w:t>为</w:t>
      </w:r>
      <w:r>
        <w:rPr>
          <w:rFonts w:cs="Times New Roman"/>
        </w:rPr>
        <w:t>灌木林地</w:t>
      </w:r>
      <w:r>
        <w:rPr>
          <w:rFonts w:cs="Times New Roman"/>
        </w:rPr>
        <w:t>，新增临时占地</w:t>
      </w:r>
      <w:r>
        <w:rPr>
          <w:rFonts w:cs="Times New Roman"/>
        </w:rPr>
        <w:t>8.85</w:t>
      </w:r>
      <w:r>
        <w:rPr>
          <w:rFonts w:cs="Times New Roman"/>
        </w:rPr>
        <w:t>hm²</w:t>
      </w:r>
      <w:r>
        <w:rPr>
          <w:rFonts w:cs="Times New Roman"/>
        </w:rPr>
        <w:t>。</w:t>
      </w:r>
    </w:p>
    <w:p w:rsidR="00A46452" w:rsidRDefault="009A3928">
      <w:pPr>
        <w:wordWrap w:val="0"/>
        <w:topLinePunct/>
        <w:adjustRightInd w:val="0"/>
        <w:snapToGrid w:val="0"/>
        <w:spacing w:line="240" w:lineRule="auto"/>
        <w:ind w:firstLineChars="0" w:firstLine="0"/>
        <w:jc w:val="left"/>
        <w:rPr>
          <w:rFonts w:cs="Times New Roman"/>
        </w:rPr>
      </w:pPr>
      <w:r>
        <w:rPr>
          <w:rFonts w:eastAsia="黑体" w:cs="Times New Roman"/>
        </w:rPr>
        <w:t>表</w:t>
      </w:r>
      <w:r>
        <w:rPr>
          <w:rFonts w:eastAsia="黑体" w:cs="Times New Roman"/>
        </w:rPr>
        <w:t>4.2</w:t>
      </w:r>
      <w:r>
        <w:rPr>
          <w:rFonts w:eastAsia="黑体" w:cs="Times New Roman"/>
        </w:rPr>
        <w:t>-1</w:t>
      </w:r>
      <w:r>
        <w:rPr>
          <w:rFonts w:eastAsia="黑体" w:cs="Times New Roman" w:hint="eastAsia"/>
        </w:rPr>
        <w:t>4</w:t>
      </w:r>
      <w:r>
        <w:rPr>
          <w:rFonts w:eastAsia="黑体" w:cs="Times New Roman"/>
        </w:rPr>
        <w:t xml:space="preserve">               </w:t>
      </w:r>
      <w:r>
        <w:rPr>
          <w:rFonts w:eastAsia="黑体" w:cs="Times New Roman"/>
        </w:rPr>
        <w:t>施工综合站场设置情况表</w:t>
      </w:r>
    </w:p>
    <w:tbl>
      <w:tblPr>
        <w:tblW w:w="4998"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628"/>
        <w:gridCol w:w="1944"/>
        <w:gridCol w:w="1503"/>
        <w:gridCol w:w="1081"/>
        <w:gridCol w:w="925"/>
        <w:gridCol w:w="1216"/>
        <w:gridCol w:w="1216"/>
      </w:tblGrid>
      <w:tr w:rsidR="00A46452">
        <w:trPr>
          <w:trHeight w:val="758"/>
        </w:trPr>
        <w:tc>
          <w:tcPr>
            <w:tcW w:w="368"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工程名称</w:t>
            </w:r>
          </w:p>
        </w:tc>
        <w:tc>
          <w:tcPr>
            <w:tcW w:w="88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位置或桩号</w:t>
            </w: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kern w:val="0"/>
                <w:sz w:val="18"/>
                <w:szCs w:val="18"/>
                <w:lang w:bidi="ar"/>
              </w:rPr>
            </w:pPr>
            <w:r>
              <w:rPr>
                <w:rFonts w:cs="Times New Roman"/>
                <w:kern w:val="0"/>
                <w:sz w:val="18"/>
                <w:szCs w:val="18"/>
                <w:lang w:bidi="ar"/>
              </w:rPr>
              <w:t>长度</w:t>
            </w:r>
          </w:p>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w:t>
            </w:r>
            <w:r>
              <w:rPr>
                <w:rFonts w:cs="Times New Roman"/>
                <w:kern w:val="0"/>
                <w:sz w:val="18"/>
                <w:szCs w:val="18"/>
                <w:lang w:bidi="ar"/>
              </w:rPr>
              <w:t>米</w:t>
            </w:r>
            <w:r>
              <w:rPr>
                <w:rFonts w:cs="Times New Roman"/>
                <w:kern w:val="0"/>
                <w:sz w:val="18"/>
                <w:szCs w:val="18"/>
                <w:lang w:bidi="ar"/>
              </w:rPr>
              <w:t>)</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平均用地宽度</w:t>
            </w:r>
            <w:r>
              <w:rPr>
                <w:rFonts w:cs="Times New Roman"/>
                <w:kern w:val="0"/>
                <w:sz w:val="18"/>
                <w:szCs w:val="18"/>
                <w:lang w:bidi="ar"/>
              </w:rPr>
              <w:t>(m</w:t>
            </w:r>
            <w:r>
              <w:rPr>
                <w:rFonts w:cs="Times New Roman"/>
                <w:kern w:val="0"/>
                <w:sz w:val="18"/>
                <w:szCs w:val="18"/>
                <w:lang w:bidi="ar"/>
              </w:rPr>
              <w:t>）</w:t>
            </w:r>
          </w:p>
        </w:tc>
        <w:tc>
          <w:tcPr>
            <w:tcW w:w="714"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kern w:val="0"/>
                <w:sz w:val="18"/>
                <w:szCs w:val="18"/>
                <w:lang w:bidi="ar"/>
              </w:rPr>
            </w:pPr>
            <w:r>
              <w:rPr>
                <w:rFonts w:cs="Times New Roman"/>
                <w:kern w:val="0"/>
                <w:sz w:val="18"/>
                <w:szCs w:val="18"/>
                <w:lang w:bidi="ar"/>
              </w:rPr>
              <w:t>占地类型</w:t>
            </w: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占地面积（亩）</w:t>
            </w:r>
          </w:p>
        </w:tc>
      </w:tr>
      <w:tr w:rsidR="00A46452">
        <w:trPr>
          <w:trHeight w:val="220"/>
        </w:trPr>
        <w:tc>
          <w:tcPr>
            <w:tcW w:w="368"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 xml:space="preserve">1 </w:t>
            </w: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BI</w:t>
            </w:r>
            <w:r>
              <w:rPr>
                <w:rFonts w:cs="Times New Roman"/>
                <w:kern w:val="0"/>
                <w:sz w:val="18"/>
                <w:szCs w:val="18"/>
                <w:lang w:bidi="ar"/>
              </w:rPr>
              <w:t>拌合站、预制场</w:t>
            </w:r>
          </w:p>
        </w:tc>
        <w:tc>
          <w:tcPr>
            <w:tcW w:w="883"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K14+300</w:t>
            </w: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250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100</w:t>
            </w:r>
          </w:p>
        </w:tc>
        <w:tc>
          <w:tcPr>
            <w:tcW w:w="714"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kern w:val="0"/>
                <w:sz w:val="18"/>
                <w:szCs w:val="18"/>
                <w:lang w:bidi="ar"/>
              </w:rPr>
            </w:pPr>
            <w:r>
              <w:rPr>
                <w:rFonts w:cs="Times New Roman"/>
                <w:kern w:val="0"/>
                <w:sz w:val="18"/>
                <w:szCs w:val="18"/>
                <w:lang w:bidi="ar"/>
              </w:rPr>
              <w:t>林地</w:t>
            </w: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37.50</w:t>
            </w:r>
          </w:p>
        </w:tc>
      </w:tr>
      <w:tr w:rsidR="00A46452">
        <w:trPr>
          <w:trHeight w:val="90"/>
        </w:trPr>
        <w:tc>
          <w:tcPr>
            <w:tcW w:w="368"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rPr>
                <w:rFonts w:cs="Times New Roman"/>
                <w:sz w:val="18"/>
                <w:szCs w:val="18"/>
              </w:rPr>
            </w:pP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施工</w:t>
            </w:r>
            <w:r>
              <w:rPr>
                <w:rFonts w:cs="Times New Roman"/>
                <w:kern w:val="0"/>
                <w:sz w:val="18"/>
                <w:szCs w:val="18"/>
                <w:lang w:bidi="ar"/>
              </w:rPr>
              <w:t>营</w:t>
            </w:r>
            <w:r>
              <w:rPr>
                <w:rFonts w:cs="Times New Roman"/>
                <w:kern w:val="0"/>
                <w:sz w:val="18"/>
                <w:szCs w:val="18"/>
                <w:lang w:bidi="ar"/>
              </w:rPr>
              <w:t>地</w:t>
            </w:r>
            <w:r>
              <w:rPr>
                <w:rFonts w:cs="Times New Roman"/>
                <w:kern w:val="0"/>
                <w:sz w:val="18"/>
                <w:szCs w:val="18"/>
                <w:lang w:bidi="ar"/>
              </w:rPr>
              <w:t>1</w:t>
            </w:r>
          </w:p>
        </w:tc>
        <w:tc>
          <w:tcPr>
            <w:tcW w:w="883"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sz w:val="18"/>
                <w:szCs w:val="18"/>
              </w:rPr>
            </w:pP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100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45</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6.75</w:t>
            </w:r>
          </w:p>
        </w:tc>
      </w:tr>
      <w:tr w:rsidR="00A46452">
        <w:trPr>
          <w:trHeight w:val="210"/>
        </w:trPr>
        <w:tc>
          <w:tcPr>
            <w:tcW w:w="368"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 xml:space="preserve">2 </w:t>
            </w: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B2</w:t>
            </w:r>
            <w:r>
              <w:rPr>
                <w:rFonts w:cs="Times New Roman"/>
                <w:kern w:val="0"/>
                <w:sz w:val="18"/>
                <w:szCs w:val="18"/>
                <w:lang w:bidi="ar"/>
              </w:rPr>
              <w:t>拌合站、预制场</w:t>
            </w:r>
          </w:p>
        </w:tc>
        <w:tc>
          <w:tcPr>
            <w:tcW w:w="883"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bottom"/>
              <w:rPr>
                <w:rFonts w:cs="Times New Roman"/>
                <w:sz w:val="18"/>
                <w:szCs w:val="18"/>
              </w:rPr>
            </w:pPr>
            <w:r>
              <w:rPr>
                <w:rFonts w:cs="Times New Roman"/>
                <w:kern w:val="0"/>
                <w:sz w:val="18"/>
                <w:szCs w:val="18"/>
                <w:lang w:bidi="ar"/>
              </w:rPr>
              <w:t>K</w:t>
            </w:r>
            <w:r>
              <w:rPr>
                <w:rFonts w:cs="Times New Roman"/>
                <w:kern w:val="0"/>
                <w:sz w:val="18"/>
                <w:szCs w:val="18"/>
                <w:lang w:bidi="ar"/>
              </w:rPr>
              <w:t>79</w:t>
            </w:r>
            <w:r>
              <w:rPr>
                <w:rFonts w:cs="Times New Roman"/>
                <w:kern w:val="0"/>
                <w:sz w:val="18"/>
                <w:szCs w:val="18"/>
                <w:lang w:bidi="ar"/>
              </w:rPr>
              <w:t>+</w:t>
            </w:r>
            <w:r>
              <w:rPr>
                <w:rFonts w:cs="Times New Roman"/>
                <w:kern w:val="0"/>
                <w:sz w:val="18"/>
                <w:szCs w:val="18"/>
                <w:lang w:bidi="ar"/>
              </w:rPr>
              <w:t>0</w:t>
            </w:r>
            <w:r>
              <w:rPr>
                <w:rFonts w:cs="Times New Roman"/>
                <w:kern w:val="0"/>
                <w:sz w:val="18"/>
                <w:szCs w:val="18"/>
                <w:lang w:bidi="ar"/>
              </w:rPr>
              <w:t>00</w:t>
            </w: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250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 xml:space="preserve">100 </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top"/>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top"/>
              <w:rPr>
                <w:rFonts w:cs="Times New Roman"/>
                <w:sz w:val="18"/>
                <w:szCs w:val="18"/>
              </w:rPr>
            </w:pPr>
            <w:r>
              <w:rPr>
                <w:rFonts w:cs="Times New Roman"/>
                <w:kern w:val="0"/>
                <w:sz w:val="18"/>
                <w:szCs w:val="18"/>
                <w:lang w:bidi="ar"/>
              </w:rPr>
              <w:t>37.50</w:t>
            </w:r>
          </w:p>
        </w:tc>
      </w:tr>
      <w:tr w:rsidR="00A46452">
        <w:trPr>
          <w:trHeight w:val="220"/>
        </w:trPr>
        <w:tc>
          <w:tcPr>
            <w:tcW w:w="368"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rPr>
                <w:rFonts w:cs="Times New Roman"/>
                <w:sz w:val="18"/>
                <w:szCs w:val="18"/>
              </w:rPr>
            </w:pP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施工</w:t>
            </w:r>
            <w:r>
              <w:rPr>
                <w:rFonts w:cs="Times New Roman"/>
                <w:kern w:val="0"/>
                <w:sz w:val="18"/>
                <w:szCs w:val="18"/>
                <w:lang w:bidi="ar"/>
              </w:rPr>
              <w:t>营</w:t>
            </w:r>
            <w:r>
              <w:rPr>
                <w:rFonts w:cs="Times New Roman"/>
                <w:kern w:val="0"/>
                <w:sz w:val="18"/>
                <w:szCs w:val="18"/>
                <w:lang w:bidi="ar"/>
              </w:rPr>
              <w:t>地</w:t>
            </w:r>
            <w:r>
              <w:rPr>
                <w:rFonts w:cs="Times New Roman"/>
                <w:kern w:val="0"/>
                <w:sz w:val="18"/>
                <w:szCs w:val="18"/>
                <w:lang w:bidi="ar"/>
              </w:rPr>
              <w:t>2</w:t>
            </w:r>
          </w:p>
        </w:tc>
        <w:tc>
          <w:tcPr>
            <w:tcW w:w="883"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sz w:val="18"/>
                <w:szCs w:val="18"/>
              </w:rPr>
            </w:pP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100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45</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6.75</w:t>
            </w:r>
          </w:p>
        </w:tc>
      </w:tr>
      <w:tr w:rsidR="00A46452">
        <w:trPr>
          <w:trHeight w:val="200"/>
        </w:trPr>
        <w:tc>
          <w:tcPr>
            <w:tcW w:w="368"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3</w:t>
            </w: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B3</w:t>
            </w:r>
            <w:r>
              <w:rPr>
                <w:rFonts w:cs="Times New Roman"/>
                <w:kern w:val="0"/>
                <w:sz w:val="18"/>
                <w:szCs w:val="18"/>
                <w:lang w:bidi="ar"/>
              </w:rPr>
              <w:t>拌合站、预制场</w:t>
            </w:r>
          </w:p>
        </w:tc>
        <w:tc>
          <w:tcPr>
            <w:tcW w:w="883" w:type="pct"/>
            <w:vMerge w:val="restar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K</w:t>
            </w:r>
            <w:r>
              <w:rPr>
                <w:rFonts w:cs="Times New Roman"/>
                <w:kern w:val="0"/>
                <w:sz w:val="18"/>
                <w:szCs w:val="18"/>
                <w:lang w:bidi="ar"/>
              </w:rPr>
              <w:t>85</w:t>
            </w:r>
            <w:r>
              <w:rPr>
                <w:rFonts w:cs="Times New Roman"/>
                <w:kern w:val="0"/>
                <w:sz w:val="18"/>
                <w:szCs w:val="18"/>
                <w:lang w:bidi="ar"/>
              </w:rPr>
              <w:t>+</w:t>
            </w:r>
            <w:r>
              <w:rPr>
                <w:rFonts w:cs="Times New Roman"/>
                <w:kern w:val="0"/>
                <w:sz w:val="18"/>
                <w:szCs w:val="18"/>
                <w:lang w:bidi="ar"/>
              </w:rPr>
              <w:t>0</w:t>
            </w:r>
            <w:r>
              <w:rPr>
                <w:rFonts w:cs="Times New Roman"/>
                <w:kern w:val="0"/>
                <w:sz w:val="18"/>
                <w:szCs w:val="18"/>
                <w:lang w:bidi="ar"/>
              </w:rPr>
              <w:t>00</w:t>
            </w: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250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100</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37.50</w:t>
            </w:r>
          </w:p>
        </w:tc>
      </w:tr>
      <w:tr w:rsidR="00A46452">
        <w:trPr>
          <w:trHeight w:val="200"/>
        </w:trPr>
        <w:tc>
          <w:tcPr>
            <w:tcW w:w="368"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rPr>
                <w:rFonts w:cs="Times New Roman"/>
                <w:sz w:val="18"/>
                <w:szCs w:val="18"/>
              </w:rPr>
            </w:pPr>
          </w:p>
        </w:tc>
        <w:tc>
          <w:tcPr>
            <w:tcW w:w="1142"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施工</w:t>
            </w:r>
            <w:r>
              <w:rPr>
                <w:rFonts w:cs="Times New Roman"/>
                <w:kern w:val="0"/>
                <w:sz w:val="18"/>
                <w:szCs w:val="18"/>
                <w:lang w:bidi="ar"/>
              </w:rPr>
              <w:t>营</w:t>
            </w:r>
            <w:r>
              <w:rPr>
                <w:rFonts w:cs="Times New Roman"/>
                <w:kern w:val="0"/>
                <w:sz w:val="18"/>
                <w:szCs w:val="18"/>
                <w:lang w:bidi="ar"/>
              </w:rPr>
              <w:t>地</w:t>
            </w:r>
            <w:r>
              <w:rPr>
                <w:rFonts w:cs="Times New Roman"/>
                <w:kern w:val="0"/>
                <w:sz w:val="18"/>
                <w:szCs w:val="18"/>
                <w:lang w:bidi="ar"/>
              </w:rPr>
              <w:t>3</w:t>
            </w:r>
          </w:p>
        </w:tc>
        <w:tc>
          <w:tcPr>
            <w:tcW w:w="883"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sz w:val="18"/>
                <w:szCs w:val="18"/>
              </w:rPr>
            </w:pPr>
          </w:p>
        </w:tc>
        <w:tc>
          <w:tcPr>
            <w:tcW w:w="63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100</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45</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6.75</w:t>
            </w:r>
          </w:p>
        </w:tc>
      </w:tr>
      <w:tr w:rsidR="00A46452">
        <w:trPr>
          <w:trHeight w:val="200"/>
        </w:trPr>
        <w:tc>
          <w:tcPr>
            <w:tcW w:w="3028" w:type="pct"/>
            <w:gridSpan w:val="4"/>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lang w:bidi="ar"/>
              </w:rPr>
              <w:t>合计</w:t>
            </w:r>
          </w:p>
        </w:tc>
        <w:tc>
          <w:tcPr>
            <w:tcW w:w="543"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sz w:val="18"/>
                <w:szCs w:val="18"/>
              </w:rPr>
              <w:t>435</w:t>
            </w:r>
          </w:p>
        </w:tc>
        <w:tc>
          <w:tcPr>
            <w:tcW w:w="714" w:type="pct"/>
            <w:vMerge/>
            <w:tcBorders>
              <w:tl2br w:val="nil"/>
              <w:tr2bl w:val="nil"/>
            </w:tcBorders>
            <w:shd w:val="clear" w:color="auto" w:fill="auto"/>
            <w:vAlign w:val="center"/>
          </w:tcPr>
          <w:p w:rsidR="00A46452" w:rsidRDefault="00A46452">
            <w:pPr>
              <w:wordWrap w:val="0"/>
              <w:topLinePunct/>
              <w:adjustRightInd w:val="0"/>
              <w:snapToGrid w:val="0"/>
              <w:spacing w:line="320" w:lineRule="exact"/>
              <w:ind w:firstLineChars="0" w:firstLine="0"/>
              <w:jc w:val="center"/>
              <w:textAlignment w:val="center"/>
              <w:rPr>
                <w:rFonts w:cs="Times New Roman"/>
                <w:kern w:val="0"/>
                <w:sz w:val="18"/>
                <w:szCs w:val="18"/>
                <w:lang w:bidi="ar"/>
              </w:rPr>
            </w:pPr>
          </w:p>
        </w:tc>
        <w:tc>
          <w:tcPr>
            <w:tcW w:w="71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textAlignment w:val="center"/>
              <w:rPr>
                <w:rFonts w:cs="Times New Roman"/>
                <w:sz w:val="18"/>
                <w:szCs w:val="18"/>
              </w:rPr>
            </w:pPr>
            <w:r>
              <w:rPr>
                <w:rFonts w:cs="Times New Roman"/>
                <w:kern w:val="0"/>
                <w:sz w:val="18"/>
                <w:szCs w:val="18"/>
                <w:lang w:bidi="ar"/>
              </w:rPr>
              <w:t>132.75</w:t>
            </w:r>
          </w:p>
        </w:tc>
      </w:tr>
    </w:tbl>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）施工便道</w:t>
      </w:r>
    </w:p>
    <w:p w:rsidR="00A46452" w:rsidRDefault="009A3928">
      <w:pPr>
        <w:wordWrap w:val="0"/>
        <w:topLinePunct/>
        <w:ind w:firstLine="480"/>
        <w:rPr>
          <w:rFonts w:cs="Times New Roman"/>
        </w:rPr>
      </w:pPr>
      <w:r>
        <w:rPr>
          <w:rFonts w:cs="Times New Roman"/>
        </w:rPr>
        <w:t>根据设计单位提供的资料可知，本项目在主线、在通往取（弃）土场、拌和站等处设置施工便道</w:t>
      </w:r>
      <w:r>
        <w:rPr>
          <w:rFonts w:cs="Times New Roman"/>
        </w:rPr>
        <w:t>，</w:t>
      </w:r>
      <w:r>
        <w:rPr>
          <w:rFonts w:cs="Times New Roman"/>
          <w:szCs w:val="24"/>
        </w:rPr>
        <w:t>本次拟建施工便道占地约</w:t>
      </w:r>
      <w:r>
        <w:rPr>
          <w:rFonts w:cs="Times New Roman"/>
        </w:rPr>
        <w:t>2.64</w:t>
      </w:r>
      <w:r>
        <w:rPr>
          <w:rFonts w:cs="Times New Roman"/>
          <w:szCs w:val="24"/>
        </w:rPr>
        <w:t>hm²</w:t>
      </w:r>
      <w:r>
        <w:rPr>
          <w:rFonts w:cs="Times New Roman"/>
        </w:rPr>
        <w:t>。</w:t>
      </w:r>
      <w:r>
        <w:rPr>
          <w:rFonts w:cs="Times New Roman"/>
        </w:rPr>
        <w:t>本项目施工便道统计见表</w:t>
      </w:r>
      <w:r>
        <w:rPr>
          <w:rFonts w:cs="Times New Roman"/>
        </w:rPr>
        <w:t>4</w:t>
      </w:r>
      <w:r>
        <w:rPr>
          <w:rFonts w:cs="Times New Roman"/>
        </w:rPr>
        <w:t>.</w:t>
      </w:r>
      <w:r>
        <w:rPr>
          <w:rFonts w:cs="Times New Roman"/>
        </w:rPr>
        <w:t>2</w:t>
      </w:r>
      <w:r>
        <w:rPr>
          <w:rFonts w:cs="Times New Roman"/>
        </w:rPr>
        <w:t>-1</w:t>
      </w:r>
      <w:r>
        <w:rPr>
          <w:rFonts w:cs="Times New Roman" w:hint="eastAsia"/>
        </w:rPr>
        <w:t>5</w:t>
      </w:r>
      <w:r>
        <w:rPr>
          <w:rFonts w:cs="Times New Roman"/>
        </w:rPr>
        <w:t>-4.2-1</w:t>
      </w:r>
      <w:r>
        <w:rPr>
          <w:rFonts w:cs="Times New Roman" w:hint="eastAsia"/>
        </w:rPr>
        <w:t>6</w:t>
      </w:r>
      <w:r>
        <w:rPr>
          <w:rFonts w:cs="Times New Roman"/>
        </w:rPr>
        <w:t>。</w:t>
      </w:r>
    </w:p>
    <w:p w:rsidR="00A46452" w:rsidRDefault="009A3928">
      <w:pPr>
        <w:wordWrap w:val="0"/>
        <w:topLinePunct/>
        <w:adjustRightInd w:val="0"/>
        <w:snapToGrid w:val="0"/>
        <w:spacing w:line="240" w:lineRule="auto"/>
        <w:ind w:firstLineChars="0" w:firstLine="0"/>
        <w:rPr>
          <w:rFonts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-1</w:t>
      </w:r>
      <w:r>
        <w:rPr>
          <w:rFonts w:eastAsia="黑体" w:cs="Times New Roman" w:hint="eastAsia"/>
        </w:rPr>
        <w:t>5</w:t>
      </w:r>
      <w:r>
        <w:rPr>
          <w:rFonts w:eastAsia="黑体" w:cs="Times New Roman"/>
        </w:rPr>
        <w:t xml:space="preserve">       </w:t>
      </w:r>
      <w:r>
        <w:rPr>
          <w:rFonts w:eastAsia="黑体" w:cs="Times New Roman"/>
        </w:rPr>
        <w:t xml:space="preserve">            </w:t>
      </w:r>
      <w:r>
        <w:rPr>
          <w:rFonts w:eastAsia="黑体" w:cs="Times New Roman"/>
        </w:rPr>
        <w:t>本项目施工便道统计</w:t>
      </w:r>
      <w:r>
        <w:rPr>
          <w:rFonts w:eastAsia="黑体" w:cs="Times New Roman"/>
        </w:rPr>
        <w:t>一览表</w:t>
      </w:r>
    </w:p>
    <w:tbl>
      <w:tblPr>
        <w:tblW w:w="8418" w:type="dxa"/>
        <w:tblInd w:w="9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96"/>
        <w:gridCol w:w="1639"/>
        <w:gridCol w:w="1004"/>
        <w:gridCol w:w="1424"/>
        <w:gridCol w:w="766"/>
        <w:gridCol w:w="641"/>
        <w:gridCol w:w="739"/>
        <w:gridCol w:w="723"/>
        <w:gridCol w:w="1086"/>
      </w:tblGrid>
      <w:tr w:rsidR="00A46452">
        <w:trPr>
          <w:trHeight w:val="195"/>
        </w:trPr>
        <w:tc>
          <w:tcPr>
            <w:tcW w:w="396"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1639"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设置地点或桩号</w:t>
            </w:r>
          </w:p>
        </w:tc>
        <w:tc>
          <w:tcPr>
            <w:tcW w:w="1004"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工程名称</w:t>
            </w:r>
          </w:p>
        </w:tc>
        <w:tc>
          <w:tcPr>
            <w:tcW w:w="1424"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工程说明</w:t>
            </w:r>
          </w:p>
        </w:tc>
        <w:tc>
          <w:tcPr>
            <w:tcW w:w="1407" w:type="dxa"/>
            <w:gridSpan w:val="2"/>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施工便道</w:t>
            </w:r>
          </w:p>
        </w:tc>
        <w:tc>
          <w:tcPr>
            <w:tcW w:w="7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临时便桥</w:t>
            </w:r>
          </w:p>
        </w:tc>
        <w:tc>
          <w:tcPr>
            <w:tcW w:w="723"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便涵</w:t>
            </w:r>
          </w:p>
        </w:tc>
        <w:tc>
          <w:tcPr>
            <w:tcW w:w="1086"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备注</w:t>
            </w:r>
          </w:p>
        </w:tc>
      </w:tr>
      <w:tr w:rsidR="00A46452">
        <w:trPr>
          <w:trHeight w:val="390"/>
        </w:trPr>
        <w:tc>
          <w:tcPr>
            <w:tcW w:w="396"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639"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04"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424"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临时新建长度</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宽度</w:t>
            </w:r>
          </w:p>
        </w:tc>
        <w:tc>
          <w:tcPr>
            <w:tcW w:w="739"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(m/</w:t>
            </w:r>
            <w:r>
              <w:rPr>
                <w:rFonts w:cs="Times New Roman"/>
                <w:kern w:val="0"/>
                <w:sz w:val="18"/>
                <w:szCs w:val="18"/>
                <w:lang w:bidi="ar"/>
              </w:rPr>
              <w:t>座</w:t>
            </w:r>
            <w:r>
              <w:rPr>
                <w:rFonts w:cs="Times New Roman"/>
                <w:kern w:val="0"/>
                <w:sz w:val="18"/>
                <w:szCs w:val="18"/>
                <w:lang w:bidi="ar"/>
              </w:rPr>
              <w:t>)</w:t>
            </w:r>
          </w:p>
        </w:tc>
        <w:tc>
          <w:tcPr>
            <w:tcW w:w="723" w:type="dxa"/>
            <w:vMerge w:val="restart"/>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(m/</w:t>
            </w:r>
            <w:r>
              <w:rPr>
                <w:rFonts w:cs="Times New Roman"/>
                <w:kern w:val="0"/>
                <w:sz w:val="18"/>
                <w:szCs w:val="18"/>
                <w:lang w:bidi="ar"/>
              </w:rPr>
              <w:t>道</w:t>
            </w:r>
            <w:r>
              <w:rPr>
                <w:rFonts w:cs="Times New Roman"/>
                <w:kern w:val="0"/>
                <w:sz w:val="18"/>
                <w:szCs w:val="18"/>
                <w:lang w:bidi="ar"/>
              </w:rPr>
              <w:t>)</w:t>
            </w:r>
          </w:p>
        </w:tc>
        <w:tc>
          <w:tcPr>
            <w:tcW w:w="1086"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r>
      <w:tr w:rsidR="00A46452">
        <w:trPr>
          <w:trHeight w:val="195"/>
        </w:trPr>
        <w:tc>
          <w:tcPr>
            <w:tcW w:w="396"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639"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04"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424"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(m)</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top"/>
              <w:rPr>
                <w:rFonts w:cs="Times New Roman"/>
                <w:sz w:val="18"/>
                <w:szCs w:val="18"/>
              </w:rPr>
            </w:pPr>
            <w:r>
              <w:rPr>
                <w:rFonts w:cs="Times New Roman"/>
                <w:kern w:val="0"/>
                <w:sz w:val="18"/>
                <w:szCs w:val="18"/>
                <w:lang w:bidi="ar"/>
              </w:rPr>
              <w:t>(m)</w:t>
            </w:r>
          </w:p>
        </w:tc>
        <w:tc>
          <w:tcPr>
            <w:tcW w:w="739"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textAlignment w:val="top"/>
              <w:rPr>
                <w:rFonts w:cs="Times New Roman"/>
                <w:sz w:val="18"/>
                <w:szCs w:val="18"/>
              </w:rPr>
            </w:pPr>
          </w:p>
        </w:tc>
        <w:tc>
          <w:tcPr>
            <w:tcW w:w="723"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textAlignment w:val="top"/>
              <w:rPr>
                <w:rFonts w:cs="Times New Roman"/>
                <w:sz w:val="18"/>
                <w:szCs w:val="18"/>
              </w:rPr>
            </w:pPr>
          </w:p>
        </w:tc>
        <w:tc>
          <w:tcPr>
            <w:tcW w:w="1086" w:type="dxa"/>
            <w:vMerge/>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r>
      <w:tr w:rsidR="00A46452">
        <w:trPr>
          <w:trHeight w:val="220"/>
        </w:trPr>
        <w:tc>
          <w:tcPr>
            <w:tcW w:w="8418" w:type="dxa"/>
            <w:gridSpan w:val="9"/>
            <w:tcBorders>
              <w:tl2br w:val="nil"/>
              <w:tr2bl w:val="nil"/>
            </w:tcBorders>
            <w:shd w:val="clear" w:color="auto" w:fill="auto"/>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b/>
                <w:bCs/>
                <w:kern w:val="0"/>
                <w:sz w:val="18"/>
                <w:szCs w:val="18"/>
                <w:lang w:bidi="ar"/>
              </w:rPr>
              <w:t>一、涵洞施工便道</w:t>
            </w:r>
          </w:p>
        </w:tc>
      </w:tr>
      <w:tr w:rsidR="00A46452">
        <w:trPr>
          <w:trHeight w:val="37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沿线涵洞</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2190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r>
      <w:tr w:rsidR="00A46452">
        <w:trPr>
          <w:trHeight w:val="220"/>
        </w:trPr>
        <w:tc>
          <w:tcPr>
            <w:tcW w:w="8418" w:type="dxa"/>
            <w:gridSpan w:val="9"/>
            <w:tcBorders>
              <w:tl2br w:val="nil"/>
              <w:tr2bl w:val="nil"/>
            </w:tcBorders>
            <w:shd w:val="clear" w:color="auto" w:fill="auto"/>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b/>
                <w:bCs/>
                <w:kern w:val="0"/>
                <w:sz w:val="18"/>
                <w:szCs w:val="18"/>
                <w:lang w:bidi="ar"/>
              </w:rPr>
              <w:t>二、桥梁施工便道、便桥、便涵</w:t>
            </w:r>
          </w:p>
        </w:tc>
      </w:tr>
      <w:tr w:rsidR="00A46452">
        <w:trPr>
          <w:trHeight w:val="38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K14+760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构造物便道、便桥</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施工便道、便桥</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20/1</w:t>
            </w: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跨二支干渠</w:t>
            </w:r>
          </w:p>
        </w:tc>
      </w:tr>
      <w:tr w:rsidR="00A46452">
        <w:trPr>
          <w:trHeight w:val="35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3</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K22+480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构造物便道、便涵</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施工便道、便涵</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60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30/3</w:t>
            </w: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跨突来买提河</w:t>
            </w:r>
          </w:p>
        </w:tc>
      </w:tr>
      <w:tr w:rsidR="00A46452">
        <w:trPr>
          <w:trHeight w:val="38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K23+700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构造物便道、便桥</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施工便道、便桥</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16/1</w:t>
            </w: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跨六支干渠</w:t>
            </w:r>
          </w:p>
        </w:tc>
      </w:tr>
      <w:tr w:rsidR="00A46452">
        <w:trPr>
          <w:trHeight w:val="37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5</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K28+020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构造物便道、便涵</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施工便道、便涵</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20/2</w:t>
            </w: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跨喀什噶尔河</w:t>
            </w:r>
          </w:p>
        </w:tc>
      </w:tr>
      <w:tr w:rsidR="00A46452">
        <w:trPr>
          <w:trHeight w:val="37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K30+620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构造物便道、便涵</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施工便道、便涵</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60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20/2</w:t>
            </w: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跨喀什噶尔河</w:t>
            </w:r>
          </w:p>
        </w:tc>
      </w:tr>
      <w:tr w:rsidR="00A46452">
        <w:trPr>
          <w:trHeight w:val="35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bottom"/>
              <w:rPr>
                <w:rFonts w:cs="Times New Roman"/>
                <w:sz w:val="18"/>
                <w:szCs w:val="18"/>
              </w:rPr>
            </w:pPr>
            <w:r>
              <w:rPr>
                <w:rFonts w:cs="Times New Roman"/>
                <w:kern w:val="0"/>
                <w:sz w:val="18"/>
                <w:szCs w:val="18"/>
                <w:lang w:bidi="ar"/>
              </w:rPr>
              <w:t>K81+120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构造物便道、便桥</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施工便道、便桥</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80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20/1</w:t>
            </w: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跨</w:t>
            </w:r>
            <w:r>
              <w:rPr>
                <w:rFonts w:cs="Times New Roman"/>
                <w:kern w:val="0"/>
                <w:sz w:val="18"/>
                <w:szCs w:val="18"/>
                <w:lang w:bidi="ar"/>
              </w:rPr>
              <w:t>柯坪河</w:t>
            </w:r>
          </w:p>
        </w:tc>
      </w:tr>
      <w:tr w:rsidR="00A46452">
        <w:trPr>
          <w:trHeight w:val="230"/>
        </w:trPr>
        <w:tc>
          <w:tcPr>
            <w:tcW w:w="8418" w:type="dxa"/>
            <w:gridSpan w:val="9"/>
            <w:tcBorders>
              <w:tl2br w:val="nil"/>
              <w:tr2bl w:val="nil"/>
            </w:tcBorders>
            <w:shd w:val="clear" w:color="auto" w:fill="auto"/>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b/>
                <w:bCs/>
                <w:kern w:val="0"/>
                <w:sz w:val="18"/>
                <w:szCs w:val="18"/>
                <w:lang w:bidi="ar"/>
              </w:rPr>
              <w:t>三、料场及场站运输便道</w:t>
            </w:r>
          </w:p>
        </w:tc>
      </w:tr>
      <w:tr w:rsidR="00A46452">
        <w:trPr>
          <w:trHeight w:val="37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8</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K35+000-K36+400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F1</w:t>
            </w:r>
            <w:r>
              <w:rPr>
                <w:rFonts w:cs="Times New Roman"/>
                <w:kern w:val="0"/>
                <w:sz w:val="18"/>
                <w:szCs w:val="18"/>
                <w:lang w:bidi="ar"/>
              </w:rPr>
              <w:t>风积沙料场便道</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施工便道</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10000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napToGrid w:val="0"/>
                <w:kern w:val="0"/>
                <w:sz w:val="18"/>
                <w:szCs w:val="18"/>
              </w:rPr>
              <w:t>新</w:t>
            </w:r>
            <w:r>
              <w:rPr>
                <w:rFonts w:cs="Times New Roman"/>
                <w:snapToGrid w:val="0"/>
                <w:kern w:val="0"/>
                <w:sz w:val="18"/>
                <w:szCs w:val="18"/>
              </w:rPr>
              <w:t>建</w:t>
            </w:r>
            <w:r>
              <w:rPr>
                <w:rFonts w:cs="Times New Roman"/>
                <w:snapToGrid w:val="0"/>
                <w:kern w:val="0"/>
                <w:sz w:val="18"/>
                <w:szCs w:val="18"/>
              </w:rPr>
              <w:t>施工便道，施工结束后恢复原貌</w:t>
            </w:r>
          </w:p>
        </w:tc>
      </w:tr>
      <w:tr w:rsidR="00A46452">
        <w:trPr>
          <w:trHeight w:val="37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K14+300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B1</w:t>
            </w:r>
            <w:r>
              <w:rPr>
                <w:rFonts w:cs="Times New Roman"/>
                <w:kern w:val="0"/>
                <w:sz w:val="18"/>
                <w:szCs w:val="18"/>
                <w:lang w:bidi="ar"/>
              </w:rPr>
              <w:t>拌合站</w:t>
            </w:r>
            <w:r>
              <w:rPr>
                <w:rFonts w:cs="Times New Roman"/>
                <w:kern w:val="0"/>
                <w:sz w:val="18"/>
                <w:szCs w:val="18"/>
                <w:lang w:bidi="ar"/>
              </w:rPr>
              <w:t>（（沥青拌合、水稳拌合）</w:t>
            </w:r>
          </w:p>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、预制场</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机械进出场便道</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napToGrid w:val="0"/>
                <w:kern w:val="0"/>
                <w:sz w:val="18"/>
                <w:szCs w:val="18"/>
              </w:rPr>
              <w:t>新</w:t>
            </w:r>
            <w:r>
              <w:rPr>
                <w:rFonts w:cs="Times New Roman"/>
                <w:snapToGrid w:val="0"/>
                <w:kern w:val="0"/>
                <w:sz w:val="18"/>
                <w:szCs w:val="18"/>
              </w:rPr>
              <w:t>建</w:t>
            </w:r>
            <w:r>
              <w:rPr>
                <w:rFonts w:cs="Times New Roman"/>
                <w:snapToGrid w:val="0"/>
                <w:kern w:val="0"/>
                <w:sz w:val="18"/>
                <w:szCs w:val="18"/>
              </w:rPr>
              <w:t>施工便道，施工结束后恢复原貌</w:t>
            </w:r>
          </w:p>
        </w:tc>
      </w:tr>
      <w:tr w:rsidR="00A46452">
        <w:trPr>
          <w:trHeight w:val="38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10</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K28+500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B</w:t>
            </w:r>
            <w:r>
              <w:rPr>
                <w:rFonts w:cs="Times New Roman"/>
                <w:kern w:val="0"/>
                <w:sz w:val="18"/>
                <w:szCs w:val="18"/>
                <w:lang w:bidi="ar"/>
              </w:rPr>
              <w:t>2</w:t>
            </w:r>
            <w:r>
              <w:rPr>
                <w:rFonts w:cs="Times New Roman"/>
                <w:kern w:val="0"/>
                <w:sz w:val="18"/>
                <w:szCs w:val="18"/>
                <w:lang w:bidi="ar"/>
              </w:rPr>
              <w:t>拌合站</w:t>
            </w:r>
            <w:r>
              <w:rPr>
                <w:rFonts w:cs="Times New Roman"/>
                <w:kern w:val="0"/>
                <w:sz w:val="18"/>
                <w:szCs w:val="18"/>
                <w:lang w:bidi="ar"/>
              </w:rPr>
              <w:t>（沥青拌合、水稳拌合）</w:t>
            </w:r>
          </w:p>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、预制场</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机械进出场便道</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napToGrid w:val="0"/>
                <w:kern w:val="0"/>
                <w:sz w:val="18"/>
                <w:szCs w:val="18"/>
              </w:rPr>
              <w:t>新</w:t>
            </w:r>
            <w:r>
              <w:rPr>
                <w:rFonts w:cs="Times New Roman"/>
                <w:snapToGrid w:val="0"/>
                <w:kern w:val="0"/>
                <w:sz w:val="18"/>
                <w:szCs w:val="18"/>
              </w:rPr>
              <w:t>建</w:t>
            </w:r>
            <w:r>
              <w:rPr>
                <w:rFonts w:cs="Times New Roman"/>
                <w:snapToGrid w:val="0"/>
                <w:kern w:val="0"/>
                <w:sz w:val="18"/>
                <w:szCs w:val="18"/>
              </w:rPr>
              <w:t>施工便道，施工结束后恢复原貌</w:t>
            </w:r>
          </w:p>
        </w:tc>
      </w:tr>
      <w:tr w:rsidR="00A46452">
        <w:trPr>
          <w:trHeight w:val="350"/>
        </w:trPr>
        <w:tc>
          <w:tcPr>
            <w:tcW w:w="39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11</w:t>
            </w:r>
          </w:p>
        </w:tc>
        <w:tc>
          <w:tcPr>
            <w:tcW w:w="16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K78+600</w:t>
            </w:r>
          </w:p>
        </w:tc>
        <w:tc>
          <w:tcPr>
            <w:tcW w:w="100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B</w:t>
            </w:r>
            <w:r>
              <w:rPr>
                <w:rFonts w:cs="Times New Roman"/>
                <w:kern w:val="0"/>
                <w:sz w:val="18"/>
                <w:szCs w:val="18"/>
                <w:lang w:bidi="ar"/>
              </w:rPr>
              <w:t>3</w:t>
            </w:r>
            <w:r>
              <w:rPr>
                <w:rFonts w:cs="Times New Roman"/>
                <w:kern w:val="0"/>
                <w:sz w:val="18"/>
                <w:szCs w:val="18"/>
                <w:lang w:bidi="ar"/>
              </w:rPr>
              <w:t>拌合站（沥青拌合、水稳拌合）</w:t>
            </w:r>
          </w:p>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、预制场</w:t>
            </w:r>
          </w:p>
        </w:tc>
        <w:tc>
          <w:tcPr>
            <w:tcW w:w="1424"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机械进出场便道</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200</w:t>
            </w:r>
          </w:p>
        </w:tc>
        <w:tc>
          <w:tcPr>
            <w:tcW w:w="641"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739"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23"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1086" w:type="dxa"/>
            <w:tcBorders>
              <w:tl2br w:val="nil"/>
              <w:tr2bl w:val="nil"/>
            </w:tcBorders>
            <w:shd w:val="clear" w:color="auto" w:fill="auto"/>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napToGrid w:val="0"/>
                <w:kern w:val="0"/>
                <w:sz w:val="18"/>
                <w:szCs w:val="18"/>
              </w:rPr>
              <w:t>新</w:t>
            </w:r>
            <w:r>
              <w:rPr>
                <w:rFonts w:cs="Times New Roman"/>
                <w:snapToGrid w:val="0"/>
                <w:kern w:val="0"/>
                <w:sz w:val="18"/>
                <w:szCs w:val="18"/>
              </w:rPr>
              <w:t>建</w:t>
            </w:r>
            <w:r>
              <w:rPr>
                <w:rFonts w:cs="Times New Roman"/>
                <w:snapToGrid w:val="0"/>
                <w:kern w:val="0"/>
                <w:sz w:val="18"/>
                <w:szCs w:val="18"/>
              </w:rPr>
              <w:t>施工便道，施工结束后恢复原貌</w:t>
            </w:r>
          </w:p>
        </w:tc>
      </w:tr>
      <w:tr w:rsidR="00A46452">
        <w:trPr>
          <w:trHeight w:val="365"/>
        </w:trPr>
        <w:tc>
          <w:tcPr>
            <w:tcW w:w="4463" w:type="dxa"/>
            <w:gridSpan w:val="4"/>
            <w:tcBorders>
              <w:tl2br w:val="nil"/>
              <w:tr2bl w:val="nil"/>
            </w:tcBorders>
            <w:shd w:val="clear" w:color="auto" w:fill="auto"/>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kern w:val="0"/>
                <w:sz w:val="18"/>
                <w:szCs w:val="18"/>
                <w:lang w:bidi="ar"/>
              </w:rPr>
              <w:t>合</w:t>
            </w:r>
            <w:r>
              <w:rPr>
                <w:rFonts w:cs="Times New Roman"/>
                <w:kern w:val="0"/>
                <w:sz w:val="18"/>
                <w:szCs w:val="18"/>
                <w:lang w:bidi="ar"/>
              </w:rPr>
              <w:t xml:space="preserve"> </w:t>
            </w:r>
            <w:r>
              <w:rPr>
                <w:rFonts w:cs="Times New Roman"/>
                <w:kern w:val="0"/>
                <w:sz w:val="18"/>
                <w:szCs w:val="18"/>
                <w:lang w:bidi="ar"/>
              </w:rPr>
              <w:t>计：</w:t>
            </w:r>
          </w:p>
        </w:tc>
        <w:tc>
          <w:tcPr>
            <w:tcW w:w="766"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13170</w:t>
            </w:r>
          </w:p>
        </w:tc>
        <w:tc>
          <w:tcPr>
            <w:tcW w:w="641"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c>
          <w:tcPr>
            <w:tcW w:w="739"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56/3</w:t>
            </w:r>
          </w:p>
        </w:tc>
        <w:tc>
          <w:tcPr>
            <w:tcW w:w="723" w:type="dxa"/>
            <w:tcBorders>
              <w:tl2br w:val="nil"/>
              <w:tr2bl w:val="nil"/>
            </w:tcBorders>
            <w:shd w:val="clear" w:color="auto" w:fill="auto"/>
            <w:vAlign w:val="center"/>
          </w:tcPr>
          <w:p w:rsidR="00A46452" w:rsidRDefault="009A3928">
            <w:pPr>
              <w:wordWrap w:val="0"/>
              <w:topLinePunct/>
              <w:spacing w:line="240" w:lineRule="exact"/>
              <w:ind w:firstLineChars="0" w:firstLine="0"/>
              <w:jc w:val="center"/>
              <w:textAlignment w:val="center"/>
              <w:rPr>
                <w:rFonts w:cs="Times New Roman"/>
                <w:sz w:val="18"/>
                <w:szCs w:val="18"/>
              </w:rPr>
            </w:pPr>
            <w:r>
              <w:rPr>
                <w:rFonts w:cs="Times New Roman"/>
                <w:kern w:val="0"/>
                <w:sz w:val="18"/>
                <w:szCs w:val="18"/>
                <w:lang w:bidi="ar"/>
              </w:rPr>
              <w:t>70/5</w:t>
            </w:r>
          </w:p>
        </w:tc>
        <w:tc>
          <w:tcPr>
            <w:tcW w:w="1086" w:type="dxa"/>
            <w:tcBorders>
              <w:tl2br w:val="nil"/>
              <w:tr2bl w:val="nil"/>
            </w:tcBorders>
            <w:shd w:val="clear" w:color="auto" w:fill="auto"/>
            <w:vAlign w:val="center"/>
          </w:tcPr>
          <w:p w:rsidR="00A46452" w:rsidRDefault="00A46452">
            <w:pPr>
              <w:wordWrap w:val="0"/>
              <w:topLinePunct/>
              <w:spacing w:line="240" w:lineRule="exact"/>
              <w:ind w:firstLineChars="0" w:firstLine="0"/>
              <w:jc w:val="center"/>
              <w:rPr>
                <w:rFonts w:cs="Times New Roman"/>
                <w:sz w:val="18"/>
                <w:szCs w:val="18"/>
              </w:rPr>
            </w:pPr>
          </w:p>
        </w:tc>
      </w:tr>
    </w:tbl>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-1</w:t>
      </w:r>
      <w:r>
        <w:rPr>
          <w:rFonts w:eastAsia="黑体" w:cs="Times New Roman" w:hint="eastAsia"/>
        </w:rPr>
        <w:t>6</w:t>
      </w:r>
      <w:r>
        <w:rPr>
          <w:rFonts w:eastAsia="黑体" w:cs="Times New Roman"/>
        </w:rPr>
        <w:t xml:space="preserve">       </w:t>
      </w:r>
      <w:r>
        <w:rPr>
          <w:rFonts w:eastAsia="黑体" w:cs="Times New Roman"/>
        </w:rPr>
        <w:t xml:space="preserve">          </w:t>
      </w:r>
      <w:r>
        <w:rPr>
          <w:rFonts w:eastAsia="黑体" w:cs="Times New Roman"/>
        </w:rPr>
        <w:t>本项目施工便道统计</w:t>
      </w:r>
      <w:r>
        <w:rPr>
          <w:rFonts w:eastAsia="黑体" w:cs="Times New Roman"/>
        </w:rPr>
        <w:t>一览表</w:t>
      </w:r>
    </w:p>
    <w:tbl>
      <w:tblPr>
        <w:tblW w:w="4934" w:type="pct"/>
        <w:tblInd w:w="1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97"/>
        <w:gridCol w:w="949"/>
        <w:gridCol w:w="1309"/>
        <w:gridCol w:w="896"/>
        <w:gridCol w:w="802"/>
        <w:gridCol w:w="592"/>
        <w:gridCol w:w="661"/>
        <w:gridCol w:w="857"/>
        <w:gridCol w:w="845"/>
        <w:gridCol w:w="1096"/>
      </w:tblGrid>
      <w:tr w:rsidR="00A46452">
        <w:trPr>
          <w:trHeight w:val="303"/>
        </w:trPr>
        <w:tc>
          <w:tcPr>
            <w:tcW w:w="235"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564"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工程名称</w:t>
            </w:r>
          </w:p>
        </w:tc>
        <w:tc>
          <w:tcPr>
            <w:tcW w:w="778"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位置或桩号</w:t>
            </w:r>
          </w:p>
        </w:tc>
        <w:tc>
          <w:tcPr>
            <w:tcW w:w="533"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长度</w:t>
            </w:r>
            <w:r>
              <w:rPr>
                <w:rFonts w:cs="Times New Roman"/>
                <w:kern w:val="0"/>
                <w:sz w:val="18"/>
                <w:szCs w:val="18"/>
                <w:lang w:bidi="ar"/>
              </w:rPr>
              <w:t>(</w:t>
            </w:r>
            <w:r>
              <w:rPr>
                <w:rFonts w:cs="Times New Roman"/>
                <w:kern w:val="0"/>
                <w:sz w:val="18"/>
                <w:szCs w:val="18"/>
                <w:lang w:bidi="ar"/>
              </w:rPr>
              <w:t>米</w:t>
            </w:r>
            <w:r>
              <w:rPr>
                <w:rFonts w:cs="Times New Roman"/>
                <w:kern w:val="0"/>
                <w:sz w:val="18"/>
                <w:szCs w:val="18"/>
                <w:lang w:bidi="ar"/>
              </w:rPr>
              <w:t>)</w:t>
            </w:r>
          </w:p>
        </w:tc>
        <w:tc>
          <w:tcPr>
            <w:tcW w:w="477"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平均用地宽度</w:t>
            </w:r>
            <w:r>
              <w:rPr>
                <w:rFonts w:cs="Times New Roman"/>
                <w:kern w:val="0"/>
                <w:sz w:val="18"/>
                <w:szCs w:val="18"/>
                <w:lang w:bidi="ar"/>
              </w:rPr>
              <w:t>(m</w:t>
            </w:r>
            <w:r>
              <w:rPr>
                <w:rFonts w:cs="Times New Roman"/>
                <w:kern w:val="0"/>
                <w:sz w:val="18"/>
                <w:szCs w:val="18"/>
                <w:lang w:bidi="ar"/>
              </w:rPr>
              <w:t>)</w:t>
            </w:r>
          </w:p>
        </w:tc>
        <w:tc>
          <w:tcPr>
            <w:tcW w:w="1255" w:type="pct"/>
            <w:gridSpan w:val="3"/>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sz w:val="18"/>
                <w:szCs w:val="18"/>
              </w:rPr>
              <w:t>占地类型</w:t>
            </w:r>
          </w:p>
        </w:tc>
        <w:tc>
          <w:tcPr>
            <w:tcW w:w="503"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sz w:val="18"/>
                <w:szCs w:val="18"/>
              </w:rPr>
              <w:t>面积</w:t>
            </w:r>
          </w:p>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sz w:val="18"/>
                <w:szCs w:val="18"/>
              </w:rPr>
              <w:t>（亩）</w:t>
            </w:r>
          </w:p>
        </w:tc>
        <w:tc>
          <w:tcPr>
            <w:tcW w:w="651" w:type="pct"/>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备注</w:t>
            </w:r>
          </w:p>
        </w:tc>
      </w:tr>
      <w:tr w:rsidR="00A46452">
        <w:trPr>
          <w:trHeight w:val="365"/>
        </w:trPr>
        <w:tc>
          <w:tcPr>
            <w:tcW w:w="235"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564"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778"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533"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477"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35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河道</w:t>
            </w:r>
          </w:p>
        </w:tc>
        <w:tc>
          <w:tcPr>
            <w:tcW w:w="39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耕地</w:t>
            </w:r>
          </w:p>
        </w:tc>
        <w:tc>
          <w:tcPr>
            <w:tcW w:w="51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top"/>
              <w:rPr>
                <w:rFonts w:cs="Times New Roman"/>
                <w:sz w:val="18"/>
                <w:szCs w:val="18"/>
              </w:rPr>
            </w:pPr>
            <w:r>
              <w:rPr>
                <w:rFonts w:cs="Times New Roman"/>
                <w:kern w:val="0"/>
                <w:sz w:val="18"/>
                <w:szCs w:val="18"/>
                <w:lang w:bidi="ar"/>
              </w:rPr>
              <w:t>林地</w:t>
            </w:r>
          </w:p>
        </w:tc>
        <w:tc>
          <w:tcPr>
            <w:tcW w:w="503"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textAlignment w:val="top"/>
              <w:rPr>
                <w:rFonts w:cs="Times New Roman"/>
                <w:sz w:val="18"/>
                <w:szCs w:val="18"/>
              </w:rPr>
            </w:pPr>
          </w:p>
        </w:tc>
        <w:tc>
          <w:tcPr>
            <w:tcW w:w="651" w:type="pct"/>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trHeight w:val="495"/>
        </w:trPr>
        <w:tc>
          <w:tcPr>
            <w:tcW w:w="235"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56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便道</w:t>
            </w:r>
          </w:p>
        </w:tc>
        <w:tc>
          <w:tcPr>
            <w:tcW w:w="778"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全线构造物施工便道，料场、临时场站机械运输便道</w:t>
            </w:r>
          </w:p>
        </w:tc>
        <w:tc>
          <w:tcPr>
            <w:tcW w:w="53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13170</w:t>
            </w:r>
          </w:p>
        </w:tc>
        <w:tc>
          <w:tcPr>
            <w:tcW w:w="47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8.25</w:t>
            </w:r>
          </w:p>
        </w:tc>
        <w:tc>
          <w:tcPr>
            <w:tcW w:w="352" w:type="pct"/>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39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12.25</w:t>
            </w:r>
          </w:p>
        </w:tc>
        <w:tc>
          <w:tcPr>
            <w:tcW w:w="510"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26.98</w:t>
            </w:r>
          </w:p>
        </w:tc>
        <w:tc>
          <w:tcPr>
            <w:tcW w:w="50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39.23</w:t>
            </w:r>
          </w:p>
        </w:tc>
        <w:tc>
          <w:tcPr>
            <w:tcW w:w="65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w:t>
            </w:r>
            <w:r>
              <w:rPr>
                <w:rFonts w:cs="Times New Roman"/>
                <w:kern w:val="0"/>
                <w:sz w:val="18"/>
                <w:szCs w:val="18"/>
                <w:lang w:bidi="ar"/>
              </w:rPr>
              <w:t>便道中已包含便涵用地</w:t>
            </w:r>
            <w:r>
              <w:rPr>
                <w:rFonts w:cs="Times New Roman"/>
                <w:kern w:val="0"/>
                <w:sz w:val="18"/>
                <w:szCs w:val="18"/>
                <w:lang w:bidi="ar"/>
              </w:rPr>
              <w:t>)</w:t>
            </w:r>
          </w:p>
        </w:tc>
      </w:tr>
      <w:tr w:rsidR="00A46452">
        <w:trPr>
          <w:trHeight w:val="938"/>
        </w:trPr>
        <w:tc>
          <w:tcPr>
            <w:tcW w:w="235"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564"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便桥</w:t>
            </w:r>
          </w:p>
        </w:tc>
        <w:tc>
          <w:tcPr>
            <w:tcW w:w="778"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K81+120</w:t>
            </w:r>
          </w:p>
        </w:tc>
        <w:tc>
          <w:tcPr>
            <w:tcW w:w="53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20</w:t>
            </w:r>
          </w:p>
        </w:tc>
        <w:tc>
          <w:tcPr>
            <w:tcW w:w="477"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10</w:t>
            </w:r>
          </w:p>
        </w:tc>
        <w:tc>
          <w:tcPr>
            <w:tcW w:w="352"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0.30</w:t>
            </w:r>
          </w:p>
        </w:tc>
        <w:tc>
          <w:tcPr>
            <w:tcW w:w="393" w:type="pct"/>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510" w:type="pct"/>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503"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0.30</w:t>
            </w:r>
          </w:p>
        </w:tc>
        <w:tc>
          <w:tcPr>
            <w:tcW w:w="651" w:type="pc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其余便桥占地均为跨渠道的建设用地</w:t>
            </w:r>
          </w:p>
        </w:tc>
      </w:tr>
    </w:tbl>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）取土料场及弃土场</w:t>
      </w:r>
    </w:p>
    <w:p w:rsidR="00A46452" w:rsidRDefault="009A3928">
      <w:pPr>
        <w:wordWrap w:val="0"/>
        <w:topLinePunct/>
        <w:adjustRightInd w:val="0"/>
        <w:snapToGrid w:val="0"/>
        <w:ind w:firstLine="480"/>
        <w:rPr>
          <w:rFonts w:cs="Times New Roman"/>
        </w:rPr>
      </w:pPr>
      <w:r>
        <w:rPr>
          <w:rFonts w:cs="Times New Roman"/>
        </w:rPr>
        <w:t>1</w:t>
      </w:r>
      <w:r>
        <w:rPr>
          <w:rFonts w:cs="Times New Roman"/>
        </w:rPr>
        <w:t>）砂砾石料场</w:t>
      </w:r>
    </w:p>
    <w:p w:rsidR="00A46452" w:rsidRDefault="009A3928" w:rsidP="00182EED">
      <w:pPr>
        <w:wordWrap w:val="0"/>
        <w:topLinePunct/>
        <w:ind w:firstLine="480"/>
        <w:rPr>
          <w:rFonts w:cs="Times New Roman"/>
        </w:rPr>
      </w:pPr>
      <w:r>
        <w:rPr>
          <w:rFonts w:cs="Times New Roman"/>
        </w:rPr>
        <w:t>本项目选取砂砾石料场两处</w:t>
      </w:r>
      <w:r>
        <w:rPr>
          <w:rFonts w:cs="Times New Roman"/>
        </w:rPr>
        <w:t>，为社会商业料场</w:t>
      </w:r>
      <w:r>
        <w:rPr>
          <w:rFonts w:cs="Times New Roman"/>
        </w:rPr>
        <w:t>。</w:t>
      </w:r>
      <w:r>
        <w:rPr>
          <w:rFonts w:cs="Times New Roman"/>
        </w:rPr>
        <w:t>SL1</w:t>
      </w:r>
      <w:r>
        <w:rPr>
          <w:rFonts w:cs="Times New Roman"/>
        </w:rPr>
        <w:t>为图木舒克市永安湖调节闸专业砂砾石料场，</w:t>
      </w:r>
      <w:r>
        <w:rPr>
          <w:rFonts w:cs="Times New Roman"/>
          <w:kern w:val="0"/>
          <w:szCs w:val="24"/>
          <w:lang w:bidi="ar"/>
        </w:rPr>
        <w:t>位于永安坝水库东侧、马蹄山中部山前，为商业料场，储量丰富。商品料场进出场均为沥青路面，交通便利，坐标：</w:t>
      </w:r>
      <w:r>
        <w:rPr>
          <w:rFonts w:cs="Times New Roman"/>
          <w:kern w:val="0"/>
          <w:szCs w:val="24"/>
          <w:lang w:bidi="ar"/>
        </w:rPr>
        <w:t>E79°03'58.25"</w:t>
      </w:r>
      <w:r>
        <w:rPr>
          <w:rFonts w:cs="Times New Roman"/>
          <w:kern w:val="0"/>
          <w:szCs w:val="24"/>
          <w:lang w:bidi="ar"/>
        </w:rPr>
        <w:t>，</w:t>
      </w:r>
      <w:r>
        <w:rPr>
          <w:rFonts w:cs="Times New Roman"/>
          <w:kern w:val="0"/>
          <w:szCs w:val="24"/>
          <w:lang w:bidi="ar"/>
        </w:rPr>
        <w:t>N39°45'39.81"</w:t>
      </w:r>
      <w:r>
        <w:rPr>
          <w:rFonts w:cs="Times New Roman"/>
          <w:kern w:val="0"/>
          <w:szCs w:val="24"/>
          <w:lang w:bidi="ar"/>
        </w:rPr>
        <w:t>。该料场位于低山丘陵山前，地形较平坦开阔，地势由北向南倾斜，</w:t>
      </w:r>
      <w:r>
        <w:rPr>
          <w:rFonts w:cs="Times New Roman"/>
        </w:rPr>
        <w:t>提供</w:t>
      </w:r>
      <w:r>
        <w:rPr>
          <w:rFonts w:cs="Times New Roman"/>
        </w:rPr>
        <w:t>K0+000-K40+000</w:t>
      </w:r>
      <w:r>
        <w:rPr>
          <w:rFonts w:cs="Times New Roman"/>
        </w:rPr>
        <w:t>段路基工程所需的砾类土、路面结构层用砂、砾石、碎石、破口砾石、天然级配砾石等材料，上路桩号为</w:t>
      </w:r>
      <w:r>
        <w:rPr>
          <w:rFonts w:cs="Times New Roman"/>
        </w:rPr>
        <w:t>K0+000</w:t>
      </w:r>
      <w:r>
        <w:rPr>
          <w:rFonts w:cs="Times New Roman"/>
        </w:rPr>
        <w:t>，上路运距</w:t>
      </w:r>
      <w:r>
        <w:rPr>
          <w:rFonts w:cs="Times New Roman"/>
        </w:rPr>
        <w:t>30.0km</w:t>
      </w:r>
      <w:r>
        <w:rPr>
          <w:rFonts w:cs="Times New Roman"/>
        </w:rPr>
        <w:t>，该段砾类土、碎石、天然级配砾石平均运距为</w:t>
      </w:r>
      <w:r>
        <w:rPr>
          <w:rFonts w:cs="Times New Roman"/>
        </w:rPr>
        <w:t>50m</w:t>
      </w:r>
      <w:r>
        <w:rPr>
          <w:rFonts w:cs="Times New Roman"/>
        </w:rPr>
        <w:t>；</w:t>
      </w:r>
    </w:p>
    <w:p w:rsidR="00A46452" w:rsidRDefault="009A3928" w:rsidP="00182EED">
      <w:pPr>
        <w:wordWrap w:val="0"/>
        <w:topLinePunct/>
        <w:ind w:firstLine="480"/>
        <w:rPr>
          <w:rFonts w:cs="Times New Roman"/>
        </w:rPr>
      </w:pPr>
      <w:r>
        <w:rPr>
          <w:rFonts w:cs="Times New Roman"/>
        </w:rPr>
        <w:t>SL2</w:t>
      </w:r>
      <w:r>
        <w:rPr>
          <w:rFonts w:cs="Times New Roman"/>
        </w:rPr>
        <w:t>为柯坪县柯小驼砂砾石专业料场，</w:t>
      </w:r>
      <w:r>
        <w:rPr>
          <w:rFonts w:cs="Times New Roman"/>
          <w:kern w:val="0"/>
          <w:szCs w:val="24"/>
          <w:lang w:bidi="ar"/>
        </w:rPr>
        <w:t>位于山前冲洪积扇区，为商业料场，储量丰富。沿线交通便利，坐标：</w:t>
      </w:r>
      <w:r>
        <w:rPr>
          <w:rFonts w:cs="Times New Roman"/>
          <w:kern w:val="0"/>
          <w:szCs w:val="24"/>
          <w:lang w:bidi="ar"/>
        </w:rPr>
        <w:t>E79°22'03.80"</w:t>
      </w:r>
      <w:r>
        <w:rPr>
          <w:rFonts w:cs="Times New Roman"/>
          <w:kern w:val="0"/>
          <w:szCs w:val="24"/>
          <w:lang w:bidi="ar"/>
        </w:rPr>
        <w:t>，</w:t>
      </w:r>
      <w:r>
        <w:rPr>
          <w:rFonts w:cs="Times New Roman"/>
          <w:kern w:val="0"/>
          <w:szCs w:val="24"/>
          <w:lang w:bidi="ar"/>
        </w:rPr>
        <w:t>N40°37'41.57"</w:t>
      </w:r>
      <w:r>
        <w:rPr>
          <w:rFonts w:cs="Times New Roman"/>
          <w:kern w:val="0"/>
          <w:szCs w:val="24"/>
          <w:lang w:bidi="ar"/>
        </w:rPr>
        <w:t>。该料场地形较平坦开阔，地势由北向南倾斜，</w:t>
      </w:r>
      <w:r>
        <w:rPr>
          <w:rFonts w:cs="Times New Roman"/>
        </w:rPr>
        <w:t>供应</w:t>
      </w:r>
      <w:r>
        <w:rPr>
          <w:rFonts w:cs="Times New Roman"/>
        </w:rPr>
        <w:t>K40+000</w:t>
      </w:r>
      <w:r>
        <w:rPr>
          <w:rFonts w:cs="Times New Roman"/>
        </w:rPr>
        <w:t>~</w:t>
      </w:r>
      <w:r>
        <w:rPr>
          <w:rFonts w:cs="Times New Roman"/>
        </w:rPr>
        <w:t>K107+177</w:t>
      </w:r>
      <w:r>
        <w:rPr>
          <w:rFonts w:cs="Times New Roman"/>
        </w:rPr>
        <w:t>段路基工程所需的砾类土、路面结构层用砂、砾石、碎石、破口砾石、天然级配砾石等材料。该段上路桩号为</w:t>
      </w:r>
      <w:r>
        <w:rPr>
          <w:rFonts w:cs="Times New Roman"/>
        </w:rPr>
        <w:t>K82+000</w:t>
      </w:r>
      <w:r>
        <w:rPr>
          <w:rFonts w:cs="Times New Roman"/>
        </w:rPr>
        <w:t>，上路运距</w:t>
      </w:r>
      <w:r>
        <w:rPr>
          <w:rFonts w:cs="Times New Roman"/>
        </w:rPr>
        <w:t>25km</w:t>
      </w:r>
      <w:r>
        <w:rPr>
          <w:rFonts w:cs="Times New Roman"/>
        </w:rPr>
        <w:t>，该段砾类土、碎石、天然级配砾石平均运距为</w:t>
      </w:r>
      <w:r>
        <w:rPr>
          <w:rFonts w:cs="Times New Roman"/>
        </w:rPr>
        <w:t>42.9km</w:t>
      </w:r>
      <w:r>
        <w:rPr>
          <w:rFonts w:cs="Times New Roman"/>
        </w:rPr>
        <w:t>；项目全线砾类土、碎石、天然级配砾石的平均运距为</w:t>
      </w:r>
      <w:r>
        <w:rPr>
          <w:rFonts w:cs="Times New Roman"/>
        </w:rPr>
        <w:t>45.6km</w:t>
      </w:r>
      <w:r>
        <w:rPr>
          <w:rFonts w:cs="Times New Roman"/>
        </w:rPr>
        <w:t>。</w:t>
      </w:r>
    </w:p>
    <w:p w:rsidR="00A46452" w:rsidRDefault="009A3928" w:rsidP="00182EED">
      <w:pPr>
        <w:widowControl/>
        <w:ind w:firstLine="480"/>
        <w:jc w:val="left"/>
        <w:rPr>
          <w:rFonts w:cs="Times New Roman"/>
        </w:rPr>
      </w:pPr>
      <w:r>
        <w:rPr>
          <w:rFonts w:cs="Times New Roman"/>
        </w:rPr>
        <w:t>2</w:t>
      </w:r>
      <w:r>
        <w:rPr>
          <w:rFonts w:cs="Times New Roman"/>
        </w:rPr>
        <w:t>）风积沙</w:t>
      </w:r>
      <w:r>
        <w:rPr>
          <w:rFonts w:cs="Times New Roman"/>
          <w:kern w:val="0"/>
          <w:szCs w:val="24"/>
          <w:lang w:bidi="ar"/>
        </w:rPr>
        <w:t>料场</w:t>
      </w:r>
    </w:p>
    <w:p w:rsidR="00A46452" w:rsidRDefault="009A3928" w:rsidP="00182EED">
      <w:pPr>
        <w:wordWrap w:val="0"/>
        <w:topLinePunct/>
        <w:adjustRightInd w:val="0"/>
        <w:snapToGrid w:val="0"/>
        <w:ind w:firstLine="480"/>
        <w:jc w:val="left"/>
        <w:rPr>
          <w:rFonts w:cs="Times New Roman"/>
        </w:rPr>
      </w:pPr>
      <w:r>
        <w:rPr>
          <w:rFonts w:cs="Times New Roman"/>
        </w:rPr>
        <w:t>本项目选取风积沙料场</w:t>
      </w:r>
      <w:r>
        <w:rPr>
          <w:rFonts w:cs="Times New Roman"/>
        </w:rPr>
        <w:t>1</w:t>
      </w:r>
      <w:r>
        <w:rPr>
          <w:rFonts w:cs="Times New Roman"/>
        </w:rPr>
        <w:t>处</w:t>
      </w:r>
      <w:r>
        <w:rPr>
          <w:rFonts w:cs="Times New Roman"/>
        </w:rPr>
        <w:t>，为自采料场，</w:t>
      </w:r>
      <w:r>
        <w:rPr>
          <w:rFonts w:cs="Times New Roman"/>
        </w:rPr>
        <w:t>位</w:t>
      </w:r>
      <w:r>
        <w:rPr>
          <w:rFonts w:cs="Times New Roman"/>
        </w:rPr>
        <w:t>于</w:t>
      </w:r>
      <w:r>
        <w:rPr>
          <w:rFonts w:cs="Times New Roman"/>
        </w:rPr>
        <w:t>53</w:t>
      </w:r>
      <w:r>
        <w:rPr>
          <w:rFonts w:cs="Times New Roman"/>
        </w:rPr>
        <w:t>团北侧约</w:t>
      </w:r>
      <w:r>
        <w:rPr>
          <w:rFonts w:cs="Times New Roman"/>
        </w:rPr>
        <w:t>11km</w:t>
      </w:r>
      <w:r>
        <w:rPr>
          <w:rFonts w:cs="Times New Roman"/>
        </w:rPr>
        <w:t>处，供应</w:t>
      </w:r>
      <w:r>
        <w:rPr>
          <w:rFonts w:cs="Times New Roman"/>
        </w:rPr>
        <w:t>K0+000</w:t>
      </w:r>
      <w:r>
        <w:rPr>
          <w:rFonts w:cs="Times New Roman"/>
        </w:rPr>
        <w:t>~</w:t>
      </w:r>
      <w:r>
        <w:rPr>
          <w:rFonts w:cs="Times New Roman"/>
        </w:rPr>
        <w:t>K81+940</w:t>
      </w:r>
      <w:r>
        <w:rPr>
          <w:rFonts w:cs="Times New Roman"/>
        </w:rPr>
        <w:t>段路基工程所需的风积沙材料，上路桩号为</w:t>
      </w:r>
      <w:r>
        <w:rPr>
          <w:rFonts w:cs="Times New Roman"/>
        </w:rPr>
        <w:t>K35+000</w:t>
      </w:r>
      <w:r>
        <w:rPr>
          <w:rFonts w:cs="Times New Roman"/>
        </w:rPr>
        <w:t>~</w:t>
      </w:r>
      <w:r>
        <w:rPr>
          <w:rFonts w:cs="Times New Roman"/>
        </w:rPr>
        <w:t>K36+400</w:t>
      </w:r>
      <w:r>
        <w:rPr>
          <w:rFonts w:cs="Times New Roman"/>
        </w:rPr>
        <w:t>，上路运距</w:t>
      </w:r>
      <w:r>
        <w:rPr>
          <w:rFonts w:cs="Times New Roman"/>
        </w:rPr>
        <w:t>0.5km</w:t>
      </w:r>
      <w:r>
        <w:rPr>
          <w:rFonts w:cs="Times New Roman"/>
        </w:rPr>
        <w:t>；项目全线风积沙的平均运距为</w:t>
      </w:r>
      <w:r>
        <w:rPr>
          <w:rFonts w:cs="Times New Roman"/>
        </w:rPr>
        <w:t>29.9km</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）弃土（渣）场</w:t>
      </w:r>
    </w:p>
    <w:p w:rsidR="00A46452" w:rsidRDefault="009A3928" w:rsidP="00182EED">
      <w:pPr>
        <w:wordWrap w:val="0"/>
        <w:topLinePunct/>
        <w:adjustRightInd w:val="0"/>
        <w:snapToGrid w:val="0"/>
        <w:ind w:firstLine="480"/>
        <w:jc w:val="left"/>
        <w:rPr>
          <w:rFonts w:cs="Times New Roman"/>
        </w:rPr>
      </w:pPr>
      <w:r>
        <w:rPr>
          <w:rFonts w:cs="Times New Roman"/>
        </w:rPr>
        <w:t>本项目拟设置</w:t>
      </w:r>
      <w:r>
        <w:rPr>
          <w:rFonts w:cs="Times New Roman"/>
        </w:rPr>
        <w:t>2</w:t>
      </w:r>
      <w:r>
        <w:rPr>
          <w:rFonts w:cs="Times New Roman"/>
        </w:rPr>
        <w:t>处弃土场，均为沿线两侧未利用的荒地、沙地。其中，图木舒克弃土场位于图木舒克市，永安坝水库东侧、马蹄山北部山前，料场坐标为：</w:t>
      </w:r>
      <w:r>
        <w:rPr>
          <w:rFonts w:cs="Times New Roman"/>
        </w:rPr>
        <w:t>E</w:t>
      </w:r>
      <w:r>
        <w:rPr>
          <w:rFonts w:cs="Times New Roman"/>
        </w:rPr>
        <w:t>79°02′24″</w:t>
      </w:r>
      <w:r>
        <w:rPr>
          <w:rFonts w:cs="Times New Roman"/>
        </w:rPr>
        <w:t>，</w:t>
      </w:r>
      <w:r>
        <w:rPr>
          <w:rFonts w:cs="Times New Roman"/>
        </w:rPr>
        <w:t>N</w:t>
      </w:r>
      <w:r>
        <w:rPr>
          <w:rFonts w:cs="Times New Roman"/>
        </w:rPr>
        <w:t>39°48′21″</w:t>
      </w:r>
      <w:r>
        <w:rPr>
          <w:rFonts w:cs="Times New Roman"/>
        </w:rPr>
        <w:t>。料场地形平坦，长</w:t>
      </w:r>
      <w:r>
        <w:rPr>
          <w:rFonts w:cs="Times New Roman"/>
        </w:rPr>
        <w:t>900m</w:t>
      </w:r>
      <w:r>
        <w:rPr>
          <w:rFonts w:cs="Times New Roman"/>
        </w:rPr>
        <w:t>，宽</w:t>
      </w:r>
      <w:r>
        <w:rPr>
          <w:rFonts w:cs="Times New Roman"/>
        </w:rPr>
        <w:t>400m</w:t>
      </w:r>
      <w:r>
        <w:rPr>
          <w:rFonts w:cs="Times New Roman"/>
        </w:rPr>
        <w:t>，面积约</w:t>
      </w:r>
      <w:r>
        <w:rPr>
          <w:rFonts w:cs="Times New Roman"/>
        </w:rPr>
        <w:t>36</w:t>
      </w:r>
      <w:r>
        <w:rPr>
          <w:rFonts w:cs="Times New Roman"/>
        </w:rPr>
        <w:t>万</w:t>
      </w:r>
      <w:r>
        <w:rPr>
          <w:rFonts w:cs="Times New Roman"/>
        </w:rPr>
        <w:t>m</w:t>
      </w:r>
      <w:r>
        <w:rPr>
          <w:rFonts w:cs="Times New Roman"/>
          <w:vertAlign w:val="superscript"/>
        </w:rPr>
        <w:t>2</w:t>
      </w:r>
      <w:r>
        <w:rPr>
          <w:rFonts w:cs="Times New Roman"/>
        </w:rPr>
        <w:t>。上路桩号</w:t>
      </w:r>
      <w:r>
        <w:rPr>
          <w:rFonts w:cs="Times New Roman"/>
        </w:rPr>
        <w:t>K0+000</w:t>
      </w:r>
      <w:r>
        <w:rPr>
          <w:rFonts w:cs="Times New Roman"/>
        </w:rPr>
        <w:t>，上路运距</w:t>
      </w:r>
      <w:r>
        <w:rPr>
          <w:rFonts w:cs="Times New Roman"/>
        </w:rPr>
        <w:t>22.7km</w:t>
      </w:r>
      <w:r>
        <w:rPr>
          <w:rFonts w:cs="Times New Roman"/>
        </w:rPr>
        <w:t>。柯坪弃土场位于柯坪县阿恰勒镇北部吐和公路两侧，料场坐标为：</w:t>
      </w:r>
      <w:r>
        <w:rPr>
          <w:rFonts w:cs="Times New Roman"/>
        </w:rPr>
        <w:t>E</w:t>
      </w:r>
      <w:r>
        <w:rPr>
          <w:rFonts w:cs="Times New Roman"/>
        </w:rPr>
        <w:t>79°23′33.1″</w:t>
      </w:r>
      <w:r>
        <w:rPr>
          <w:rFonts w:cs="Times New Roman"/>
        </w:rPr>
        <w:t>，</w:t>
      </w:r>
      <w:r>
        <w:rPr>
          <w:rFonts w:cs="Times New Roman"/>
        </w:rPr>
        <w:t>N</w:t>
      </w:r>
      <w:r>
        <w:rPr>
          <w:rFonts w:cs="Times New Roman"/>
        </w:rPr>
        <w:t>40°33′09.9″</w:t>
      </w:r>
      <w:r>
        <w:rPr>
          <w:rFonts w:cs="Times New Roman"/>
        </w:rPr>
        <w:t>。料场地形平坦，吐和公路南侧长</w:t>
      </w:r>
      <w:r>
        <w:rPr>
          <w:rFonts w:cs="Times New Roman"/>
        </w:rPr>
        <w:t>600m</w:t>
      </w:r>
      <w:r>
        <w:rPr>
          <w:rFonts w:cs="Times New Roman"/>
        </w:rPr>
        <w:t>，宽</w:t>
      </w:r>
      <w:r>
        <w:rPr>
          <w:rFonts w:cs="Times New Roman"/>
        </w:rPr>
        <w:t>100m</w:t>
      </w:r>
      <w:r>
        <w:rPr>
          <w:rFonts w:cs="Times New Roman"/>
        </w:rPr>
        <w:t>，面积约</w:t>
      </w:r>
      <w:r>
        <w:rPr>
          <w:rFonts w:cs="Times New Roman"/>
        </w:rPr>
        <w:t>6</w:t>
      </w:r>
      <w:r>
        <w:rPr>
          <w:rFonts w:cs="Times New Roman"/>
        </w:rPr>
        <w:t>万</w:t>
      </w:r>
      <w:r>
        <w:rPr>
          <w:rFonts w:cs="Times New Roman"/>
        </w:rPr>
        <w:t>m</w:t>
      </w:r>
      <w:r>
        <w:rPr>
          <w:rFonts w:cs="Times New Roman"/>
          <w:vertAlign w:val="superscript"/>
        </w:rPr>
        <w:t>2</w:t>
      </w:r>
      <w:r>
        <w:rPr>
          <w:rFonts w:cs="Times New Roman"/>
        </w:rPr>
        <w:t>。吐和公路北侧长</w:t>
      </w:r>
      <w:r>
        <w:rPr>
          <w:rFonts w:cs="Times New Roman"/>
        </w:rPr>
        <w:t>700m</w:t>
      </w:r>
      <w:r>
        <w:rPr>
          <w:rFonts w:cs="Times New Roman"/>
        </w:rPr>
        <w:t>，宽</w:t>
      </w:r>
      <w:r>
        <w:rPr>
          <w:rFonts w:cs="Times New Roman"/>
        </w:rPr>
        <w:t>300m</w:t>
      </w:r>
      <w:r>
        <w:rPr>
          <w:rFonts w:cs="Times New Roman"/>
        </w:rPr>
        <w:t>，面积约</w:t>
      </w:r>
      <w:r>
        <w:rPr>
          <w:rFonts w:cs="Times New Roman"/>
        </w:rPr>
        <w:t>21</w:t>
      </w:r>
      <w:r>
        <w:rPr>
          <w:rFonts w:cs="Times New Roman"/>
        </w:rPr>
        <w:t>万</w:t>
      </w:r>
      <w:r>
        <w:rPr>
          <w:rFonts w:cs="Times New Roman"/>
        </w:rPr>
        <w:t>m</w:t>
      </w:r>
      <w:r>
        <w:rPr>
          <w:rFonts w:cs="Times New Roman"/>
          <w:vertAlign w:val="superscript"/>
        </w:rPr>
        <w:t>2</w:t>
      </w:r>
      <w:r>
        <w:rPr>
          <w:rFonts w:cs="Times New Roman"/>
        </w:rPr>
        <w:t>。上路桩号</w:t>
      </w:r>
      <w:r>
        <w:rPr>
          <w:rFonts w:cs="Times New Roman"/>
        </w:rPr>
        <w:t>K81+940</w:t>
      </w:r>
      <w:r>
        <w:rPr>
          <w:rFonts w:cs="Times New Roman"/>
        </w:rPr>
        <w:t>，上路运距</w:t>
      </w:r>
      <w:r>
        <w:rPr>
          <w:rFonts w:cs="Times New Roman"/>
        </w:rPr>
        <w:t>8.8km</w:t>
      </w:r>
      <w:r>
        <w:rPr>
          <w:rFonts w:cs="Times New Roman"/>
        </w:rPr>
        <w:t>。路基应采用低路基，尽量减少弃土产生量。为减缓营运期弃土场对公路景观的影响，环评建议弃土场宜设置在近景带以外，即设置在距离公路中心线</w:t>
      </w:r>
      <w:r>
        <w:rPr>
          <w:rFonts w:cs="Times New Roman"/>
        </w:rPr>
        <w:t>300m</w:t>
      </w:r>
      <w:r>
        <w:rPr>
          <w:rFonts w:cs="Times New Roman"/>
        </w:rPr>
        <w:t>以外。项目弃渣为一般固体废物。</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rPr>
        <w:t>4</w:t>
      </w:r>
      <w:r>
        <w:rPr>
          <w:rFonts w:eastAsia="黑体" w:cs="Times New Roman"/>
        </w:rPr>
        <w:t>.</w:t>
      </w:r>
      <w:r>
        <w:rPr>
          <w:rFonts w:eastAsia="黑体" w:cs="Times New Roman"/>
        </w:rPr>
        <w:t>2</w:t>
      </w:r>
      <w:r>
        <w:rPr>
          <w:rFonts w:eastAsia="黑体" w:cs="Times New Roman"/>
        </w:rPr>
        <w:t>-1</w:t>
      </w:r>
      <w:r>
        <w:rPr>
          <w:rFonts w:eastAsia="黑体" w:cs="Times New Roman" w:hint="eastAsia"/>
        </w:rPr>
        <w:t>7</w:t>
      </w:r>
      <w:r>
        <w:rPr>
          <w:rFonts w:eastAsia="黑体" w:cs="Times New Roman"/>
        </w:rPr>
        <w:t xml:space="preserve">    </w:t>
      </w:r>
      <w:r>
        <w:rPr>
          <w:rFonts w:eastAsia="黑体" w:cs="Times New Roman"/>
        </w:rPr>
        <w:t xml:space="preserve">            </w:t>
      </w:r>
      <w:r>
        <w:rPr>
          <w:rFonts w:eastAsia="黑体" w:cs="Times New Roman"/>
        </w:rPr>
        <w:t xml:space="preserve">    </w:t>
      </w:r>
      <w:r>
        <w:rPr>
          <w:rFonts w:eastAsia="黑体" w:cs="Times New Roman"/>
        </w:rPr>
        <w:t>弃土场区设置情况表</w:t>
      </w:r>
    </w:p>
    <w:tbl>
      <w:tblPr>
        <w:tblStyle w:val="affff7"/>
        <w:tblW w:w="4998" w:type="pct"/>
        <w:jc w:val="center"/>
        <w:tblBorders>
          <w:insideH w:val="single" w:sz="2" w:space="0" w:color="auto"/>
          <w:insideV w:val="single" w:sz="2" w:space="0" w:color="auto"/>
        </w:tblBorders>
        <w:tblLook w:val="04A0" w:firstRow="1" w:lastRow="0" w:firstColumn="1" w:lastColumn="0" w:noHBand="0" w:noVBand="1"/>
      </w:tblPr>
      <w:tblGrid>
        <w:gridCol w:w="483"/>
        <w:gridCol w:w="1673"/>
        <w:gridCol w:w="2138"/>
        <w:gridCol w:w="1348"/>
        <w:gridCol w:w="1425"/>
        <w:gridCol w:w="1446"/>
      </w:tblGrid>
      <w:tr w:rsidR="00A46452">
        <w:trPr>
          <w:jc w:val="center"/>
        </w:trPr>
        <w:tc>
          <w:tcPr>
            <w:tcW w:w="284"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序号</w:t>
            </w:r>
          </w:p>
        </w:tc>
        <w:tc>
          <w:tcPr>
            <w:tcW w:w="982"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名称</w:t>
            </w:r>
          </w:p>
        </w:tc>
        <w:tc>
          <w:tcPr>
            <w:tcW w:w="1255"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位置</w:t>
            </w:r>
          </w:p>
        </w:tc>
        <w:tc>
          <w:tcPr>
            <w:tcW w:w="792"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占地类型</w:t>
            </w:r>
          </w:p>
        </w:tc>
        <w:tc>
          <w:tcPr>
            <w:tcW w:w="836"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napToGrid w:val="0"/>
                <w:kern w:val="0"/>
                <w:sz w:val="18"/>
                <w:szCs w:val="18"/>
              </w:rPr>
              <w:t>占地面积（</w:t>
            </w:r>
            <w:r>
              <w:rPr>
                <w:rFonts w:cs="Times New Roman"/>
                <w:snapToGrid w:val="0"/>
                <w:kern w:val="0"/>
                <w:sz w:val="18"/>
                <w:szCs w:val="18"/>
              </w:rPr>
              <w:t>hm</w:t>
            </w:r>
            <w:r>
              <w:rPr>
                <w:rFonts w:cs="Times New Roman"/>
                <w:snapToGrid w:val="0"/>
                <w:kern w:val="0"/>
                <w:sz w:val="18"/>
                <w:szCs w:val="18"/>
                <w:vertAlign w:val="superscript"/>
              </w:rPr>
              <w:t>2</w:t>
            </w:r>
            <w:r>
              <w:rPr>
                <w:rFonts w:cs="Times New Roman"/>
                <w:snapToGrid w:val="0"/>
                <w:kern w:val="0"/>
                <w:sz w:val="18"/>
                <w:szCs w:val="18"/>
              </w:rPr>
              <w:t>）</w:t>
            </w:r>
          </w:p>
        </w:tc>
        <w:tc>
          <w:tcPr>
            <w:tcW w:w="848"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备注</w:t>
            </w:r>
          </w:p>
        </w:tc>
      </w:tr>
      <w:tr w:rsidR="00A46452">
        <w:trPr>
          <w:trHeight w:val="90"/>
          <w:jc w:val="center"/>
        </w:trPr>
        <w:tc>
          <w:tcPr>
            <w:tcW w:w="284"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1</w:t>
            </w:r>
          </w:p>
        </w:tc>
        <w:tc>
          <w:tcPr>
            <w:tcW w:w="982" w:type="pct"/>
            <w:tcBorders>
              <w:tl2br w:val="nil"/>
              <w:tr2bl w:val="nil"/>
            </w:tcBorders>
          </w:tcPr>
          <w:p w:rsidR="00A46452" w:rsidRDefault="009A3928">
            <w:pPr>
              <w:wordWrap w:val="0"/>
              <w:topLinePunct/>
              <w:spacing w:line="240" w:lineRule="auto"/>
              <w:ind w:firstLineChars="0" w:firstLine="0"/>
              <w:jc w:val="center"/>
              <w:rPr>
                <w:rFonts w:cs="Times New Roman"/>
              </w:rPr>
            </w:pPr>
            <w:r>
              <w:rPr>
                <w:rFonts w:cs="Times New Roman"/>
                <w:snapToGrid w:val="0"/>
                <w:kern w:val="0"/>
                <w:sz w:val="18"/>
                <w:szCs w:val="18"/>
              </w:rPr>
              <w:t>图木舒克市</w:t>
            </w:r>
            <w:r>
              <w:rPr>
                <w:rFonts w:cs="Times New Roman"/>
                <w:snapToGrid w:val="0"/>
                <w:kern w:val="0"/>
                <w:sz w:val="18"/>
                <w:szCs w:val="18"/>
              </w:rPr>
              <w:t>弃土场</w:t>
            </w:r>
          </w:p>
        </w:tc>
        <w:tc>
          <w:tcPr>
            <w:tcW w:w="1255" w:type="pct"/>
            <w:tcBorders>
              <w:tl2br w:val="nil"/>
              <w:tr2bl w:val="nil"/>
            </w:tcBorders>
          </w:tcPr>
          <w:p w:rsidR="00A46452" w:rsidRDefault="009A3928">
            <w:pPr>
              <w:wordWrap w:val="0"/>
              <w:topLinePunct/>
              <w:adjustRightInd w:val="0"/>
              <w:snapToGrid w:val="0"/>
              <w:spacing w:line="240" w:lineRule="auto"/>
              <w:ind w:firstLineChars="0" w:firstLine="0"/>
              <w:rPr>
                <w:rFonts w:cs="Times New Roman"/>
                <w:snapToGrid w:val="0"/>
                <w:kern w:val="0"/>
                <w:sz w:val="18"/>
                <w:szCs w:val="18"/>
              </w:rPr>
            </w:pPr>
            <w:r>
              <w:rPr>
                <w:rFonts w:cs="Times New Roman"/>
                <w:snapToGrid w:val="0"/>
                <w:kern w:val="0"/>
                <w:sz w:val="18"/>
                <w:szCs w:val="18"/>
              </w:rPr>
              <w:t>图木舒克市永安坝水库东侧、马蹄山北部山前</w:t>
            </w:r>
          </w:p>
        </w:tc>
        <w:tc>
          <w:tcPr>
            <w:tcW w:w="792"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盐碱地</w:t>
            </w:r>
          </w:p>
        </w:tc>
        <w:tc>
          <w:tcPr>
            <w:tcW w:w="836" w:type="pct"/>
            <w:tcBorders>
              <w:tl2br w:val="nil"/>
              <w:tr2bl w:val="nil"/>
            </w:tcBorders>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36</w:t>
            </w:r>
          </w:p>
        </w:tc>
        <w:tc>
          <w:tcPr>
            <w:tcW w:w="848"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距离机场大道</w:t>
            </w:r>
            <w:r>
              <w:rPr>
                <w:rFonts w:cs="Times New Roman"/>
                <w:snapToGrid w:val="0"/>
                <w:kern w:val="0"/>
                <w:sz w:val="18"/>
                <w:szCs w:val="18"/>
              </w:rPr>
              <w:t>17km</w:t>
            </w:r>
          </w:p>
        </w:tc>
      </w:tr>
      <w:tr w:rsidR="00A46452">
        <w:trPr>
          <w:jc w:val="center"/>
        </w:trPr>
        <w:tc>
          <w:tcPr>
            <w:tcW w:w="284"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2</w:t>
            </w:r>
          </w:p>
        </w:tc>
        <w:tc>
          <w:tcPr>
            <w:tcW w:w="982"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snapToGrid w:val="0"/>
                <w:kern w:val="0"/>
                <w:sz w:val="18"/>
                <w:szCs w:val="18"/>
              </w:rPr>
            </w:pPr>
            <w:r>
              <w:rPr>
                <w:rFonts w:cs="Times New Roman"/>
                <w:snapToGrid w:val="0"/>
                <w:kern w:val="0"/>
                <w:sz w:val="18"/>
                <w:szCs w:val="18"/>
              </w:rPr>
              <w:t>柯坪县</w:t>
            </w:r>
            <w:r>
              <w:rPr>
                <w:rFonts w:cs="Times New Roman"/>
                <w:snapToGrid w:val="0"/>
                <w:kern w:val="0"/>
                <w:sz w:val="18"/>
                <w:szCs w:val="18"/>
              </w:rPr>
              <w:t>弃土场</w:t>
            </w:r>
          </w:p>
        </w:tc>
        <w:tc>
          <w:tcPr>
            <w:tcW w:w="1255" w:type="pct"/>
            <w:tcBorders>
              <w:tl2br w:val="nil"/>
              <w:tr2bl w:val="nil"/>
            </w:tcBorders>
          </w:tcPr>
          <w:p w:rsidR="00A46452" w:rsidRDefault="009A3928">
            <w:pPr>
              <w:wordWrap w:val="0"/>
              <w:topLinePunct/>
              <w:adjustRightInd w:val="0"/>
              <w:snapToGrid w:val="0"/>
              <w:spacing w:line="240" w:lineRule="auto"/>
              <w:ind w:firstLineChars="0" w:firstLine="0"/>
              <w:rPr>
                <w:rFonts w:cs="Times New Roman"/>
                <w:snapToGrid w:val="0"/>
                <w:kern w:val="0"/>
                <w:sz w:val="18"/>
                <w:szCs w:val="18"/>
              </w:rPr>
            </w:pPr>
            <w:r>
              <w:rPr>
                <w:rFonts w:cs="Times New Roman"/>
                <w:snapToGrid w:val="0"/>
                <w:kern w:val="0"/>
                <w:sz w:val="18"/>
                <w:szCs w:val="18"/>
              </w:rPr>
              <w:t>柯坪县阿恰勒镇北部吐和公路两侧</w:t>
            </w:r>
          </w:p>
        </w:tc>
        <w:tc>
          <w:tcPr>
            <w:tcW w:w="792" w:type="pct"/>
            <w:tcBorders>
              <w:tl2br w:val="nil"/>
              <w:tr2bl w:val="nil"/>
            </w:tcBorders>
          </w:tcPr>
          <w:p w:rsidR="00A46452" w:rsidRDefault="009A3928">
            <w:pPr>
              <w:wordWrap w:val="0"/>
              <w:topLinePunct/>
              <w:adjustRightInd w:val="0"/>
              <w:snapToGrid w:val="0"/>
              <w:spacing w:line="240" w:lineRule="auto"/>
              <w:ind w:firstLineChars="0" w:firstLine="0"/>
              <w:jc w:val="center"/>
              <w:rPr>
                <w:rFonts w:cs="Times New Roman"/>
              </w:rPr>
            </w:pPr>
            <w:r>
              <w:rPr>
                <w:rFonts w:cs="Times New Roman"/>
                <w:snapToGrid w:val="0"/>
                <w:kern w:val="0"/>
                <w:sz w:val="18"/>
                <w:szCs w:val="18"/>
              </w:rPr>
              <w:t>沙地</w:t>
            </w:r>
          </w:p>
        </w:tc>
        <w:tc>
          <w:tcPr>
            <w:tcW w:w="836" w:type="pct"/>
            <w:tcBorders>
              <w:tl2br w:val="nil"/>
              <w:tr2bl w:val="nil"/>
            </w:tcBorders>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27</w:t>
            </w:r>
          </w:p>
        </w:tc>
        <w:tc>
          <w:tcPr>
            <w:tcW w:w="848" w:type="pct"/>
            <w:tcBorders>
              <w:tl2br w:val="nil"/>
              <w:tr2bl w:val="nil"/>
            </w:tcBorders>
          </w:tcPr>
          <w:p w:rsidR="00A46452" w:rsidRDefault="009A3928">
            <w:pPr>
              <w:wordWrap w:val="0"/>
              <w:topLinePunct/>
              <w:spacing w:line="240" w:lineRule="auto"/>
              <w:ind w:firstLineChars="0" w:firstLine="0"/>
              <w:jc w:val="center"/>
              <w:rPr>
                <w:rFonts w:cs="Times New Roman"/>
              </w:rPr>
            </w:pPr>
            <w:r>
              <w:rPr>
                <w:rFonts w:cs="Times New Roman"/>
                <w:snapToGrid w:val="0"/>
                <w:kern w:val="0"/>
                <w:sz w:val="18"/>
                <w:szCs w:val="18"/>
              </w:rPr>
              <w:t>吐和高速南侧</w:t>
            </w:r>
            <w:r>
              <w:rPr>
                <w:rFonts w:cs="Times New Roman"/>
                <w:snapToGrid w:val="0"/>
                <w:kern w:val="0"/>
                <w:sz w:val="18"/>
                <w:szCs w:val="18"/>
              </w:rPr>
              <w:t>400m</w:t>
            </w:r>
            <w:r>
              <w:rPr>
                <w:rFonts w:cs="Times New Roman"/>
                <w:snapToGrid w:val="0"/>
                <w:kern w:val="0"/>
                <w:sz w:val="18"/>
                <w:szCs w:val="18"/>
              </w:rPr>
              <w:t>处。</w:t>
            </w: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4.2.7.2</w:t>
      </w:r>
      <w:r>
        <w:rPr>
          <w:rFonts w:cs="Times New Roman" w:hint="default"/>
          <w:iCs/>
        </w:rPr>
        <w:t>施工工艺及方法</w:t>
      </w:r>
    </w:p>
    <w:p w:rsidR="00A46452" w:rsidRDefault="009A3928">
      <w:pPr>
        <w:wordWrap w:val="0"/>
        <w:topLinePunct/>
        <w:adjustRightInd w:val="0"/>
        <w:snapToGrid w:val="0"/>
        <w:ind w:firstLine="480"/>
        <w:rPr>
          <w:rFonts w:cs="Times New Roman"/>
        </w:rPr>
      </w:pPr>
      <w:r>
        <w:rPr>
          <w:rFonts w:cs="Times New Roman"/>
        </w:rPr>
        <w:t>公路工程主要包括路基工程、路面工程，各部分工程施工工艺如下：</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）路基工程</w:t>
      </w:r>
    </w:p>
    <w:p w:rsidR="00A46452" w:rsidRDefault="009A3928">
      <w:pPr>
        <w:wordWrap w:val="0"/>
        <w:topLinePunct/>
        <w:adjustRightInd w:val="0"/>
        <w:snapToGrid w:val="0"/>
        <w:ind w:firstLine="480"/>
        <w:rPr>
          <w:rFonts w:cs="Times New Roman"/>
        </w:rPr>
      </w:pPr>
      <w:r>
        <w:rPr>
          <w:rFonts w:cs="Times New Roman"/>
        </w:rPr>
        <w:t>既有路段路基工程施工时，需对现有老路及边坡清除面层与表土，然后再按扩建后的路基进行统一建设。改扩建段路基填筑首先需进行清淤、清表、过湿土壤翻松晾晒及填前碾压等基底处理后，然后根据不同的填料，不同的碾压机械选择填料的适宜厚度，确定达到规定压实度的碾压遍数；用推土机推平填料，用压路机静压后用平地机平整，再振动碾压成型；填筑时，留出横向坡度，以防路基积水；根据设计断面，分层填筑，分层压实，路堤填土宽度、压实宽度不小于设计宽度，最后削坡。路基压实以机械压实为主，一般采用水平分层填筑施工，即按照横断面全宽分成水平层次</w:t>
      </w:r>
      <w:r>
        <w:rPr>
          <w:rFonts w:cs="Times New Roman"/>
        </w:rPr>
        <w:t>逐层向上填筑。如原地面不平，应由最低处分层填起，每填一层，经过压实并符合压实度规定要求后，再填上一层。填筑过程中，每层完成后应形成倾斜的横坡以便排水。</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）路面工程</w:t>
      </w:r>
    </w:p>
    <w:p w:rsidR="00A46452" w:rsidRDefault="009A3928">
      <w:pPr>
        <w:wordWrap w:val="0"/>
        <w:topLinePunct/>
        <w:adjustRightInd w:val="0"/>
        <w:snapToGrid w:val="0"/>
        <w:ind w:firstLine="480"/>
        <w:rPr>
          <w:rFonts w:cs="Times New Roman"/>
        </w:rPr>
      </w:pPr>
      <w:r>
        <w:rPr>
          <w:rFonts w:cs="Times New Roman"/>
        </w:rPr>
        <w:t>路面工程应在路基和构造物工程完成后立即开工。本项目采用沥青混凝土路面，基层（水稳层）和面层均采用集中</w:t>
      </w:r>
      <w:r>
        <w:rPr>
          <w:rFonts w:cs="Times New Roman"/>
        </w:rPr>
        <w:t>拌和</w:t>
      </w:r>
      <w:r>
        <w:rPr>
          <w:rFonts w:cs="Times New Roman"/>
        </w:rPr>
        <w:t>、汽车运输，然后摊铺碾压，摊铺工作一旦开始不得中断，路面全宽一次摊铺完成。</w:t>
      </w:r>
    </w:p>
    <w:p w:rsidR="00A46452" w:rsidRDefault="009A3928">
      <w:pPr>
        <w:wordWrap w:val="0"/>
        <w:topLinePunct/>
        <w:adjustRightInd w:val="0"/>
        <w:snapToGrid w:val="0"/>
        <w:ind w:firstLine="480"/>
        <w:rPr>
          <w:rFonts w:cs="Times New Roman"/>
        </w:rPr>
      </w:pPr>
      <w:r>
        <w:rPr>
          <w:rFonts w:cs="Times New Roman"/>
        </w:rPr>
        <w:t>道路施工工艺及产污环节见图</w:t>
      </w:r>
      <w:r>
        <w:rPr>
          <w:rFonts w:cs="Times New Roman"/>
        </w:rPr>
        <w:t>4.2</w:t>
      </w:r>
      <w:r>
        <w:rPr>
          <w:rFonts w:cs="Times New Roman"/>
        </w:rPr>
        <w:t>-</w:t>
      </w:r>
      <w:r>
        <w:rPr>
          <w:rFonts w:cs="Times New Roman"/>
        </w:rPr>
        <w:t>6</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）桥梁工程</w:t>
      </w:r>
    </w:p>
    <w:p w:rsidR="00A46452" w:rsidRDefault="009A3928">
      <w:pPr>
        <w:wordWrap w:val="0"/>
        <w:topLinePunct/>
        <w:adjustRightInd w:val="0"/>
        <w:snapToGrid w:val="0"/>
        <w:ind w:firstLine="480"/>
        <w:rPr>
          <w:rFonts w:cs="Times New Roman"/>
        </w:rPr>
      </w:pPr>
      <w:r>
        <w:rPr>
          <w:rFonts w:cs="Times New Roman"/>
        </w:rPr>
        <w:t>桥梁施工主要工序分述如下：</w:t>
      </w:r>
    </w:p>
    <w:p w:rsidR="00A46452" w:rsidRDefault="009A3928">
      <w:pPr>
        <w:wordWrap w:val="0"/>
        <w:topLinePunct/>
        <w:adjustRightInd w:val="0"/>
        <w:snapToGrid w:val="0"/>
        <w:ind w:firstLine="480"/>
        <w:rPr>
          <w:rFonts w:cs="Times New Roman"/>
        </w:rPr>
      </w:pPr>
      <w:r>
        <w:rPr>
          <w:rFonts w:cs="Times New Roman"/>
        </w:rPr>
        <w:t>①</w:t>
      </w:r>
      <w:r>
        <w:rPr>
          <w:rFonts w:cs="Times New Roman"/>
        </w:rPr>
        <w:t>钢板桩围堰施工（涉水桥墩）</w:t>
      </w:r>
    </w:p>
    <w:p w:rsidR="00A46452" w:rsidRDefault="009A3928">
      <w:pPr>
        <w:wordWrap w:val="0"/>
        <w:topLinePunct/>
        <w:adjustRightInd w:val="0"/>
        <w:snapToGrid w:val="0"/>
        <w:ind w:firstLine="480"/>
        <w:rPr>
          <w:rFonts w:cs="Times New Roman"/>
        </w:rPr>
      </w:pPr>
      <w:r>
        <w:rPr>
          <w:rFonts w:cs="Times New Roman"/>
        </w:rPr>
        <w:t>桥梁下部结构施工应安排在枯水期进行，为减轻对地表水</w:t>
      </w:r>
      <w:r>
        <w:rPr>
          <w:rFonts w:cs="Times New Roman"/>
        </w:rPr>
        <w:t>体的影响，涉水部位均采用钢板围堰法进行施工，桩基钻孔及承台施工均在围堰内进行，桩基、承台和桥墩等下部结构施工完毕后，将围堰拆除。钢板桩围堰施工流程见图</w:t>
      </w:r>
      <w:r>
        <w:rPr>
          <w:rFonts w:cs="Times New Roman"/>
        </w:rPr>
        <w:t>4.2</w:t>
      </w:r>
      <w:r>
        <w:rPr>
          <w:rFonts w:cs="Times New Roman"/>
        </w:rPr>
        <w:t>-</w:t>
      </w:r>
      <w:r>
        <w:rPr>
          <w:rFonts w:cs="Times New Roman"/>
        </w:rPr>
        <w:t>7</w:t>
      </w:r>
      <w:r>
        <w:rPr>
          <w:rFonts w:cs="Times New Roman"/>
        </w:rPr>
        <w:t>。</w:t>
      </w:r>
    </w:p>
    <w:p w:rsidR="00A46452" w:rsidRDefault="009A3928">
      <w:pPr>
        <w:wordWrap w:val="0"/>
        <w:topLinePunct/>
        <w:adjustRightInd w:val="0"/>
        <w:snapToGrid w:val="0"/>
        <w:ind w:firstLine="480"/>
        <w:rPr>
          <w:rFonts w:cs="Times New Roman"/>
        </w:rPr>
      </w:pPr>
      <w:r>
        <w:rPr>
          <w:rFonts w:cs="Times New Roman"/>
        </w:rPr>
        <w:t>②</w:t>
      </w:r>
      <w:r>
        <w:rPr>
          <w:rFonts w:cs="Times New Roman"/>
        </w:rPr>
        <w:t>桩基础施工</w:t>
      </w:r>
    </w:p>
    <w:p w:rsidR="00A46452" w:rsidRDefault="009A3928">
      <w:pPr>
        <w:wordWrap w:val="0"/>
        <w:topLinePunct/>
        <w:adjustRightInd w:val="0"/>
        <w:snapToGrid w:val="0"/>
        <w:ind w:firstLine="480"/>
        <w:rPr>
          <w:rFonts w:cs="Times New Roman"/>
        </w:rPr>
      </w:pPr>
      <w:r>
        <w:rPr>
          <w:rFonts w:cs="Times New Roman"/>
        </w:rPr>
        <w:t>该桥梁涉水桥墩基础周围设置钢板桩围堰后，将施工区域与周围水体隔离，其余工序均与旱桥相同，施工流程见图</w:t>
      </w:r>
      <w:r>
        <w:rPr>
          <w:rFonts w:cs="Times New Roman"/>
        </w:rPr>
        <w:t>4.2</w:t>
      </w:r>
      <w:r>
        <w:rPr>
          <w:rFonts w:cs="Times New Roman"/>
        </w:rPr>
        <w:t>-</w:t>
      </w:r>
      <w:r>
        <w:rPr>
          <w:rFonts w:cs="Times New Roman"/>
        </w:rPr>
        <w:t>8</w:t>
      </w:r>
      <w:r>
        <w:rPr>
          <w:rFonts w:cs="Times New Roman"/>
        </w:rPr>
        <w:t>。</w:t>
      </w:r>
    </w:p>
    <w:p w:rsidR="00A46452" w:rsidRDefault="009A3928">
      <w:pPr>
        <w:wordWrap w:val="0"/>
        <w:topLinePunct/>
        <w:adjustRightInd w:val="0"/>
        <w:snapToGrid w:val="0"/>
        <w:ind w:firstLine="480"/>
        <w:rPr>
          <w:rFonts w:cs="Times New Roman"/>
        </w:rPr>
      </w:pPr>
      <w:r>
        <w:rPr>
          <w:rFonts w:cs="Times New Roman"/>
        </w:rPr>
        <w:t>在钻孔灌注桩基础施工过程中，为防止钻孔泥浆对周围环境带来不利影响，本评价要求在每处桥墩桩基施工处，均应设置沉淀池等钻孔泥浆处理设施，钻渣经处理、晾干后，应及时清运，送至弃渣场处置。</w:t>
      </w:r>
    </w:p>
    <w:p w:rsidR="00A46452" w:rsidRDefault="009A3928">
      <w:pPr>
        <w:wordWrap w:val="0"/>
        <w:topLinePunct/>
        <w:adjustRightInd w:val="0"/>
        <w:snapToGrid w:val="0"/>
        <w:ind w:firstLine="480"/>
        <w:rPr>
          <w:rFonts w:cs="Times New Roman"/>
        </w:rPr>
      </w:pPr>
      <w:r>
        <w:rPr>
          <w:rFonts w:cs="Times New Roman"/>
        </w:rPr>
        <w:t>钻孔泥浆处理可采用沉淀池进行沉淀处理，定期进行人工清理。</w:t>
      </w:r>
    </w:p>
    <w:p w:rsidR="00A46452" w:rsidRDefault="009A3928">
      <w:pPr>
        <w:wordWrap w:val="0"/>
        <w:topLinePunct/>
        <w:adjustRightInd w:val="0"/>
        <w:snapToGrid w:val="0"/>
        <w:ind w:firstLine="480"/>
        <w:rPr>
          <w:rFonts w:cs="Times New Roman"/>
        </w:rPr>
      </w:pPr>
      <w:r>
        <w:rPr>
          <w:rFonts w:cs="Times New Roman"/>
        </w:rPr>
        <w:t>③</w:t>
      </w:r>
      <w:r>
        <w:rPr>
          <w:rFonts w:cs="Times New Roman"/>
        </w:rPr>
        <w:t>桥墩施工</w:t>
      </w:r>
    </w:p>
    <w:p w:rsidR="00A46452" w:rsidRDefault="009A3928">
      <w:pPr>
        <w:wordWrap w:val="0"/>
        <w:topLinePunct/>
        <w:adjustRightInd w:val="0"/>
        <w:snapToGrid w:val="0"/>
        <w:ind w:firstLine="480"/>
        <w:rPr>
          <w:rFonts w:cs="Times New Roman"/>
        </w:rPr>
      </w:pPr>
      <w:r>
        <w:rPr>
          <w:rFonts w:cs="Times New Roman"/>
        </w:rPr>
        <w:t>该桥梁桥墩采用翻板模板法分段施工，砼混凝土由就近公路砼拌合站供给，桥梁现场不设拌合设施。施工工序如下：</w:t>
      </w:r>
    </w:p>
    <w:p w:rsidR="00A46452" w:rsidRDefault="009A3928">
      <w:pPr>
        <w:wordWrap w:val="0"/>
        <w:topLinePunct/>
        <w:adjustRightInd w:val="0"/>
        <w:snapToGrid w:val="0"/>
        <w:ind w:firstLine="480"/>
        <w:rPr>
          <w:rFonts w:cs="Times New Roman"/>
        </w:rPr>
      </w:pPr>
      <w:r>
        <w:rPr>
          <w:rFonts w:cs="Times New Roman"/>
        </w:rPr>
        <w:t>准备工作</w:t>
      </w:r>
      <w:r>
        <w:rPr>
          <w:rFonts w:cs="Times New Roman"/>
        </w:rPr>
        <w:t>→</w:t>
      </w:r>
      <w:r>
        <w:rPr>
          <w:rFonts w:cs="Times New Roman"/>
        </w:rPr>
        <w:t>测量放样</w:t>
      </w:r>
      <w:r>
        <w:rPr>
          <w:rFonts w:cs="Times New Roman"/>
        </w:rPr>
        <w:t>→</w:t>
      </w:r>
      <w:r>
        <w:rPr>
          <w:rFonts w:cs="Times New Roman"/>
        </w:rPr>
        <w:t>承台顶面凿毛</w:t>
      </w:r>
      <w:r>
        <w:rPr>
          <w:rFonts w:cs="Times New Roman"/>
        </w:rPr>
        <w:t>→</w:t>
      </w:r>
      <w:r>
        <w:rPr>
          <w:rFonts w:cs="Times New Roman"/>
        </w:rPr>
        <w:t>搭设脚手架</w:t>
      </w:r>
      <w:r>
        <w:rPr>
          <w:rFonts w:cs="Times New Roman"/>
        </w:rPr>
        <w:t>→</w:t>
      </w:r>
      <w:r>
        <w:rPr>
          <w:rFonts w:cs="Times New Roman"/>
        </w:rPr>
        <w:t>绑扎钢筋</w:t>
      </w:r>
      <w:r>
        <w:rPr>
          <w:rFonts w:cs="Times New Roman"/>
        </w:rPr>
        <w:t>→</w:t>
      </w:r>
      <w:r>
        <w:rPr>
          <w:rFonts w:cs="Times New Roman"/>
        </w:rPr>
        <w:t>安装第一节模板</w:t>
      </w:r>
      <w:r>
        <w:rPr>
          <w:rFonts w:cs="Times New Roman"/>
        </w:rPr>
        <w:t>→</w:t>
      </w:r>
      <w:r>
        <w:rPr>
          <w:rFonts w:cs="Times New Roman"/>
        </w:rPr>
        <w:t>砼浇筑</w:t>
      </w:r>
      <w:r>
        <w:rPr>
          <w:rFonts w:cs="Times New Roman"/>
        </w:rPr>
        <w:t>→</w:t>
      </w:r>
      <w:r>
        <w:rPr>
          <w:rFonts w:cs="Times New Roman"/>
        </w:rPr>
        <w:t>安装施工平台</w:t>
      </w:r>
      <w:r>
        <w:rPr>
          <w:rFonts w:cs="Times New Roman"/>
        </w:rPr>
        <w:t>→</w:t>
      </w:r>
      <w:r>
        <w:rPr>
          <w:rFonts w:cs="Times New Roman"/>
        </w:rPr>
        <w:t>绑扎钢筋</w:t>
      </w:r>
      <w:r>
        <w:rPr>
          <w:rFonts w:cs="Times New Roman"/>
        </w:rPr>
        <w:t>→</w:t>
      </w:r>
      <w:r>
        <w:rPr>
          <w:rFonts w:cs="Times New Roman"/>
        </w:rPr>
        <w:t>安装第二节模板</w:t>
      </w:r>
      <w:r>
        <w:rPr>
          <w:rFonts w:cs="Times New Roman"/>
        </w:rPr>
        <w:t>→</w:t>
      </w:r>
      <w:r>
        <w:rPr>
          <w:rFonts w:cs="Times New Roman"/>
        </w:rPr>
        <w:t>砼浇筑</w:t>
      </w:r>
      <w:r>
        <w:rPr>
          <w:rFonts w:cs="Times New Roman"/>
        </w:rPr>
        <w:t>→</w:t>
      </w:r>
      <w:r>
        <w:rPr>
          <w:rFonts w:cs="Times New Roman"/>
        </w:rPr>
        <w:t>施工平台提升</w:t>
      </w:r>
      <w:r>
        <w:rPr>
          <w:rFonts w:cs="Times New Roman"/>
        </w:rPr>
        <w:t>→</w:t>
      </w:r>
      <w:r>
        <w:rPr>
          <w:rFonts w:cs="Times New Roman"/>
        </w:rPr>
        <w:t>桥墩成型</w:t>
      </w:r>
      <w:r>
        <w:rPr>
          <w:rFonts w:cs="Times New Roman"/>
        </w:rPr>
        <w:t>→</w:t>
      </w:r>
      <w:r>
        <w:rPr>
          <w:rFonts w:cs="Times New Roman"/>
        </w:rPr>
        <w:t>砼养生</w:t>
      </w:r>
      <w:r>
        <w:rPr>
          <w:rFonts w:cs="Times New Roman"/>
        </w:rPr>
        <w:t>→</w:t>
      </w:r>
      <w:r>
        <w:rPr>
          <w:rFonts w:cs="Times New Roman"/>
        </w:rPr>
        <w:t>模板、脚手架拆除。</w:t>
      </w:r>
    </w:p>
    <w:p w:rsidR="00A46452" w:rsidRDefault="009A3928">
      <w:pPr>
        <w:wordWrap w:val="0"/>
        <w:topLinePunct/>
        <w:adjustRightInd w:val="0"/>
        <w:snapToGrid w:val="0"/>
        <w:ind w:firstLine="480"/>
        <w:rPr>
          <w:rFonts w:cs="Times New Roman"/>
        </w:rPr>
      </w:pPr>
      <w:r>
        <w:rPr>
          <w:rFonts w:cs="Times New Roman"/>
        </w:rPr>
        <w:t>④</w:t>
      </w:r>
      <w:r>
        <w:rPr>
          <w:rFonts w:cs="Times New Roman"/>
        </w:rPr>
        <w:t>桥梁构件预制</w:t>
      </w:r>
    </w:p>
    <w:p w:rsidR="00A46452" w:rsidRDefault="009A3928">
      <w:pPr>
        <w:wordWrap w:val="0"/>
        <w:topLinePunct/>
        <w:adjustRightInd w:val="0"/>
        <w:snapToGrid w:val="0"/>
        <w:ind w:firstLine="480"/>
        <w:rPr>
          <w:rFonts w:cs="Times New Roman"/>
        </w:rPr>
      </w:pPr>
      <w:r>
        <w:rPr>
          <w:rFonts w:cs="Times New Roman"/>
        </w:rPr>
        <w:t>桥梁混凝土构件预制场可设在桥梁前后路基路段用地范围内，预制所用砼混凝土由拟建公路集中砼拌合站提供。预制步骤如下：</w:t>
      </w:r>
    </w:p>
    <w:p w:rsidR="00A46452" w:rsidRDefault="009A3928">
      <w:pPr>
        <w:wordWrap w:val="0"/>
        <w:topLinePunct/>
        <w:adjustRightInd w:val="0"/>
        <w:snapToGrid w:val="0"/>
        <w:ind w:firstLine="480"/>
        <w:rPr>
          <w:rFonts w:cs="Times New Roman"/>
        </w:rPr>
      </w:pPr>
      <w:r>
        <w:rPr>
          <w:rFonts w:cs="Times New Roman"/>
        </w:rPr>
        <w:t>平整场地</w:t>
      </w:r>
      <w:r>
        <w:rPr>
          <w:rFonts w:cs="Times New Roman"/>
        </w:rPr>
        <w:t>→</w:t>
      </w:r>
      <w:r>
        <w:rPr>
          <w:rFonts w:cs="Times New Roman"/>
        </w:rPr>
        <w:t>安装模板</w:t>
      </w:r>
      <w:r>
        <w:rPr>
          <w:rFonts w:cs="Times New Roman"/>
        </w:rPr>
        <w:t>→</w:t>
      </w:r>
      <w:r>
        <w:rPr>
          <w:rFonts w:cs="Times New Roman"/>
        </w:rPr>
        <w:t>绑扎钢筋</w:t>
      </w:r>
      <w:r>
        <w:rPr>
          <w:rFonts w:cs="Times New Roman"/>
        </w:rPr>
        <w:t>架笼</w:t>
      </w:r>
      <w:r>
        <w:rPr>
          <w:rFonts w:cs="Times New Roman"/>
        </w:rPr>
        <w:t>→</w:t>
      </w:r>
      <w:r>
        <w:rPr>
          <w:rFonts w:cs="Times New Roman"/>
        </w:rPr>
        <w:t>预埋波纹管道</w:t>
      </w:r>
      <w:r>
        <w:rPr>
          <w:rFonts w:cs="Times New Roman"/>
        </w:rPr>
        <w:t>→</w:t>
      </w:r>
      <w:r>
        <w:rPr>
          <w:rFonts w:cs="Times New Roman"/>
        </w:rPr>
        <w:t>砼浇筑</w:t>
      </w:r>
      <w:r>
        <w:rPr>
          <w:rFonts w:cs="Times New Roman"/>
        </w:rPr>
        <w:t>→</w:t>
      </w:r>
      <w:r>
        <w:rPr>
          <w:rFonts w:cs="Times New Roman"/>
        </w:rPr>
        <w:t>砼体养护。</w:t>
      </w:r>
    </w:p>
    <w:p w:rsidR="00A46452" w:rsidRDefault="009A3928">
      <w:pPr>
        <w:wordWrap w:val="0"/>
        <w:topLinePunct/>
        <w:adjustRightInd w:val="0"/>
        <w:snapToGrid w:val="0"/>
        <w:ind w:firstLine="480"/>
        <w:rPr>
          <w:rFonts w:cs="Times New Roman"/>
        </w:rPr>
      </w:pPr>
      <w:r>
        <w:rPr>
          <w:rFonts w:cs="Times New Roman"/>
        </w:rPr>
        <w:t>⑤</w:t>
      </w:r>
      <w:r>
        <w:rPr>
          <w:rFonts w:cs="Times New Roman"/>
        </w:rPr>
        <w:t>桥梁构件安装</w:t>
      </w:r>
    </w:p>
    <w:p w:rsidR="00A46452" w:rsidRDefault="009A3928">
      <w:pPr>
        <w:wordWrap w:val="0"/>
        <w:topLinePunct/>
        <w:adjustRightInd w:val="0"/>
        <w:snapToGrid w:val="0"/>
        <w:ind w:firstLine="480"/>
        <w:rPr>
          <w:rFonts w:cs="Times New Roman"/>
        </w:rPr>
      </w:pPr>
      <w:r>
        <w:rPr>
          <w:rFonts w:cs="Times New Roman"/>
        </w:rPr>
        <w:t>预制构件制作完成后，空心板可直接用汽车运输，汽吊安装；预制箱梁可采用龙门吊将预制梁吊装在自行式运梁平车上，运至跨墩架桥机机腹下，由运梁天车将梁提起，运到待架梁跨，通过横移，使梁达到预定位置，并下落就位。桥梁外侧梁无法一次就位，需将梁横移到中梁位置后，落位于墩帽上，并设置临时支撑，用吊梁千斤顶将梁提起后，横移就位。桥梁吊装基本工序如下：</w:t>
      </w:r>
    </w:p>
    <w:p w:rsidR="00A46452" w:rsidRDefault="009A3928">
      <w:pPr>
        <w:wordWrap w:val="0"/>
        <w:topLinePunct/>
        <w:adjustRightInd w:val="0"/>
        <w:snapToGrid w:val="0"/>
        <w:ind w:firstLine="480"/>
        <w:rPr>
          <w:rFonts w:cs="Times New Roman"/>
          <w:snapToGrid w:val="0"/>
        </w:rPr>
      </w:pPr>
      <w:r>
        <w:rPr>
          <w:rFonts w:cs="Times New Roman"/>
        </w:rPr>
        <w:t>施工准备</w:t>
      </w:r>
      <w:r>
        <w:rPr>
          <w:rFonts w:cs="Times New Roman"/>
        </w:rPr>
        <w:t>→</w:t>
      </w:r>
      <w:r>
        <w:rPr>
          <w:rFonts w:cs="Times New Roman"/>
        </w:rPr>
        <w:t>支座安装</w:t>
      </w:r>
      <w:r>
        <w:rPr>
          <w:rFonts w:cs="Times New Roman"/>
        </w:rPr>
        <w:t>→</w:t>
      </w:r>
      <w:r>
        <w:rPr>
          <w:rFonts w:cs="Times New Roman"/>
        </w:rPr>
        <w:t>架桥机拼装、调试、就位</w:t>
      </w:r>
      <w:r>
        <w:rPr>
          <w:rFonts w:cs="Times New Roman"/>
        </w:rPr>
        <w:t>→</w:t>
      </w:r>
      <w:r>
        <w:rPr>
          <w:rFonts w:cs="Times New Roman"/>
        </w:rPr>
        <w:t>预制梁移运至桥头</w:t>
      </w:r>
      <w:r>
        <w:rPr>
          <w:rFonts w:cs="Times New Roman"/>
        </w:rPr>
        <w:t>→</w:t>
      </w:r>
      <w:r>
        <w:rPr>
          <w:rFonts w:cs="Times New Roman"/>
        </w:rPr>
        <w:t>提梁</w:t>
      </w:r>
      <w:r>
        <w:rPr>
          <w:rFonts w:cs="Times New Roman"/>
        </w:rPr>
        <w:t>→</w:t>
      </w:r>
      <w:r>
        <w:rPr>
          <w:rFonts w:cs="Times New Roman"/>
        </w:rPr>
        <w:t>预制梁过孔</w:t>
      </w:r>
      <w:r>
        <w:rPr>
          <w:rFonts w:cs="Times New Roman"/>
        </w:rPr>
        <w:t>→</w:t>
      </w:r>
      <w:r>
        <w:rPr>
          <w:rFonts w:cs="Times New Roman"/>
        </w:rPr>
        <w:t>横向移梁</w:t>
      </w:r>
      <w:r>
        <w:rPr>
          <w:rFonts w:cs="Times New Roman"/>
        </w:rPr>
        <w:t>→</w:t>
      </w:r>
      <w:r>
        <w:rPr>
          <w:rFonts w:cs="Times New Roman"/>
        </w:rPr>
        <w:t>落梁就位</w:t>
      </w:r>
      <w:r>
        <w:rPr>
          <w:rFonts w:cs="Times New Roman"/>
        </w:rPr>
        <w:t>→</w:t>
      </w:r>
      <w:r>
        <w:rPr>
          <w:rFonts w:cs="Times New Roman"/>
        </w:rPr>
        <w:t>架桥机复位</w:t>
      </w:r>
      <w:r>
        <w:rPr>
          <w:rFonts w:cs="Times New Roman"/>
        </w:rPr>
        <w:t>→</w:t>
      </w:r>
      <w:r>
        <w:rPr>
          <w:rFonts w:cs="Times New Roman"/>
        </w:rPr>
        <w:t>梁板检查验收。</w:t>
      </w:r>
      <w:r>
        <w:rPr>
          <w:rFonts w:cs="Times New Roman"/>
          <w:snapToGrid w:val="0"/>
        </w:rPr>
        <w:t>桥梁</w:t>
      </w:r>
      <w:r>
        <w:rPr>
          <w:rFonts w:cs="Times New Roman"/>
          <w:snapToGrid w:val="0"/>
        </w:rPr>
        <w:t>施工工艺见图</w:t>
      </w:r>
      <w:r>
        <w:rPr>
          <w:rFonts w:cs="Times New Roman"/>
          <w:snapToGrid w:val="0"/>
        </w:rPr>
        <w:t>4.2</w:t>
      </w:r>
      <w:r>
        <w:rPr>
          <w:rFonts w:cs="Times New Roman"/>
          <w:snapToGrid w:val="0"/>
        </w:rPr>
        <w:t>-</w:t>
      </w:r>
      <w:r>
        <w:rPr>
          <w:rFonts w:cs="Times New Roman"/>
          <w:snapToGrid w:val="0"/>
        </w:rPr>
        <w:t>9</w:t>
      </w:r>
      <w:r>
        <w:rPr>
          <w:rFonts w:cs="Times New Roman"/>
          <w:snapToGrid w:val="0"/>
        </w:rPr>
        <w:t>。</w:t>
      </w:r>
    </w:p>
    <w:p w:rsidR="00A46452" w:rsidRDefault="009A3928">
      <w:pPr>
        <w:wordWrap w:val="0"/>
        <w:topLinePunct/>
        <w:adjustRightInd w:val="0"/>
        <w:snapToGrid w:val="0"/>
        <w:ind w:firstLine="480"/>
        <w:rPr>
          <w:rFonts w:cs="Times New Roman"/>
          <w:spacing w:val="-1"/>
          <w:szCs w:val="24"/>
        </w:rPr>
      </w:pPr>
      <w:r>
        <w:rPr>
          <w:rFonts w:cs="Times New Roman"/>
        </w:rPr>
        <w:t>本项目</w:t>
      </w:r>
      <w:r>
        <w:rPr>
          <w:rFonts w:cs="Times New Roman"/>
        </w:rPr>
        <w:t>跨越的水体主要为喀什噶尔河、突来买提河、柯坪河、苏贝希沟</w:t>
      </w:r>
      <w:r>
        <w:rPr>
          <w:rFonts w:cs="Times New Roman"/>
        </w:rPr>
        <w:t>-</w:t>
      </w:r>
      <w:r>
        <w:rPr>
          <w:rFonts w:cs="Times New Roman"/>
        </w:rPr>
        <w:t>加依洛萨依河，跨越河流、干渠设计有涉水桥墩。柯坪河、苏贝希沟</w:t>
      </w:r>
      <w:r>
        <w:rPr>
          <w:rFonts w:cs="Times New Roman"/>
        </w:rPr>
        <w:t>-</w:t>
      </w:r>
      <w:r>
        <w:rPr>
          <w:rFonts w:cs="Times New Roman"/>
        </w:rPr>
        <w:t>加依洛萨依河的丰水期在</w:t>
      </w:r>
      <w:r>
        <w:rPr>
          <w:rFonts w:cs="Times New Roman"/>
        </w:rPr>
        <w:t>6</w:t>
      </w:r>
      <w:r>
        <w:rPr>
          <w:rFonts w:cs="Times New Roman"/>
        </w:rPr>
        <w:t>月</w:t>
      </w:r>
      <w:r>
        <w:rPr>
          <w:rFonts w:cs="Times New Roman"/>
        </w:rPr>
        <w:t>-9</w:t>
      </w:r>
      <w:r>
        <w:rPr>
          <w:rFonts w:cs="Times New Roman"/>
        </w:rPr>
        <w:t>月，桥梁施工期的枯水期（每年</w:t>
      </w:r>
      <w:r>
        <w:rPr>
          <w:rFonts w:cs="Times New Roman"/>
        </w:rPr>
        <w:t>10</w:t>
      </w:r>
      <w:r>
        <w:rPr>
          <w:rFonts w:cs="Times New Roman"/>
        </w:rPr>
        <w:t>月至下一年度的</w:t>
      </w:r>
      <w:r>
        <w:rPr>
          <w:rFonts w:cs="Times New Roman"/>
        </w:rPr>
        <w:t>5</w:t>
      </w:r>
      <w:r>
        <w:rPr>
          <w:rFonts w:cs="Times New Roman"/>
        </w:rPr>
        <w:t>月），施工周期约为</w:t>
      </w:r>
      <w:r>
        <w:rPr>
          <w:rFonts w:cs="Times New Roman"/>
        </w:rPr>
        <w:t>150d</w:t>
      </w:r>
      <w:r>
        <w:rPr>
          <w:rFonts w:cs="Times New Roman"/>
        </w:rPr>
        <w:t>。</w:t>
      </w:r>
      <w:r>
        <w:rPr>
          <w:rFonts w:cs="Times New Roman"/>
          <w:kern w:val="0"/>
          <w:szCs w:val="24"/>
          <w:lang w:bidi="ar"/>
        </w:rPr>
        <w:t>经现状调查，</w:t>
      </w:r>
      <w:r>
        <w:rPr>
          <w:rFonts w:cs="Times New Roman"/>
        </w:rPr>
        <w:t>喀什噶尔河及突来买提河</w:t>
      </w:r>
      <w:r>
        <w:rPr>
          <w:rFonts w:cs="Times New Roman"/>
          <w:kern w:val="0"/>
          <w:szCs w:val="24"/>
          <w:lang w:bidi="ar"/>
        </w:rPr>
        <w:t>工程涉及河段目前属于干涸状态，仅在洪水期有洪水能够抵达，因此建议喀什噶尔河及突来买提河干涸</w:t>
      </w:r>
      <w:r>
        <w:rPr>
          <w:rFonts w:cs="Times New Roman"/>
          <w:kern w:val="0"/>
          <w:szCs w:val="24"/>
          <w:lang w:bidi="ar"/>
        </w:rPr>
        <w:t>时进行施工。</w:t>
      </w:r>
    </w:p>
    <w:p w:rsidR="00A46452" w:rsidRDefault="009A3928">
      <w:pPr>
        <w:wordWrap w:val="0"/>
        <w:topLinePunct/>
        <w:adjustRightInd w:val="0"/>
        <w:snapToGrid w:val="0"/>
        <w:ind w:firstLine="480"/>
        <w:rPr>
          <w:rFonts w:cs="Times New Roman"/>
          <w:snapToGrid w:val="0"/>
        </w:rPr>
      </w:pPr>
      <w:r>
        <w:rPr>
          <w:rFonts w:cs="Times New Roman"/>
          <w:snapToGrid w:val="0"/>
        </w:rPr>
        <w:t>（</w:t>
      </w:r>
      <w:r>
        <w:rPr>
          <w:rFonts w:cs="Times New Roman"/>
          <w:snapToGrid w:val="0"/>
        </w:rPr>
        <w:t>4</w:t>
      </w:r>
      <w:r>
        <w:rPr>
          <w:rFonts w:cs="Times New Roman"/>
          <w:snapToGrid w:val="0"/>
        </w:rPr>
        <w:t>）涵洞工程</w:t>
      </w:r>
    </w:p>
    <w:p w:rsidR="00A46452" w:rsidRDefault="009A3928">
      <w:pPr>
        <w:wordWrap w:val="0"/>
        <w:topLinePunct/>
        <w:adjustRightInd w:val="0"/>
        <w:snapToGrid w:val="0"/>
        <w:ind w:firstLine="480"/>
        <w:rPr>
          <w:rFonts w:cs="Times New Roman"/>
          <w:snapToGrid w:val="0"/>
        </w:rPr>
      </w:pPr>
      <w:r>
        <w:rPr>
          <w:rFonts w:cs="Times New Roman"/>
          <w:snapToGrid w:val="0"/>
        </w:rPr>
        <w:t>本项目根据涵洞过水断面选择涵洞跨径，全线涵洞跨径采用</w:t>
      </w:r>
      <w:r>
        <w:rPr>
          <w:rFonts w:cs="Times New Roman"/>
          <w:snapToGrid w:val="0"/>
        </w:rPr>
        <w:t>1m</w:t>
      </w:r>
      <w:r>
        <w:rPr>
          <w:rFonts w:cs="Times New Roman"/>
          <w:snapToGrid w:val="0"/>
        </w:rPr>
        <w:t>～</w:t>
      </w:r>
      <w:r>
        <w:rPr>
          <w:rFonts w:cs="Times New Roman"/>
          <w:snapToGrid w:val="0"/>
        </w:rPr>
        <w:t>1.5m</w:t>
      </w:r>
      <w:r>
        <w:rPr>
          <w:rFonts w:cs="Times New Roman"/>
          <w:snapToGrid w:val="0"/>
        </w:rPr>
        <w:t>、</w:t>
      </w:r>
      <w:r>
        <w:rPr>
          <w:rFonts w:cs="Times New Roman"/>
          <w:snapToGrid w:val="0"/>
        </w:rPr>
        <w:t>1m</w:t>
      </w:r>
      <w:r>
        <w:rPr>
          <w:rFonts w:cs="Times New Roman"/>
          <w:snapToGrid w:val="0"/>
        </w:rPr>
        <w:t>～</w:t>
      </w:r>
      <w:r>
        <w:rPr>
          <w:rFonts w:cs="Times New Roman"/>
          <w:snapToGrid w:val="0"/>
        </w:rPr>
        <w:t>2m</w:t>
      </w:r>
      <w:r>
        <w:rPr>
          <w:rFonts w:cs="Times New Roman"/>
          <w:snapToGrid w:val="0"/>
        </w:rPr>
        <w:t>、</w:t>
      </w:r>
      <w:r>
        <w:rPr>
          <w:rFonts w:cs="Times New Roman"/>
          <w:snapToGrid w:val="0"/>
        </w:rPr>
        <w:t>1m</w:t>
      </w:r>
      <w:r>
        <w:rPr>
          <w:rFonts w:cs="Times New Roman"/>
          <w:snapToGrid w:val="0"/>
        </w:rPr>
        <w:t>～</w:t>
      </w:r>
      <w:r>
        <w:rPr>
          <w:rFonts w:cs="Times New Roman"/>
          <w:snapToGrid w:val="0"/>
        </w:rPr>
        <w:t>3m</w:t>
      </w:r>
      <w:r>
        <w:rPr>
          <w:rFonts w:cs="Times New Roman"/>
          <w:snapToGrid w:val="0"/>
        </w:rPr>
        <w:t>、</w:t>
      </w:r>
      <w:r>
        <w:rPr>
          <w:rFonts w:cs="Times New Roman"/>
          <w:snapToGrid w:val="0"/>
        </w:rPr>
        <w:t>1m</w:t>
      </w:r>
      <w:r>
        <w:rPr>
          <w:rFonts w:cs="Times New Roman"/>
          <w:snapToGrid w:val="0"/>
        </w:rPr>
        <w:t>～</w:t>
      </w:r>
      <w:r>
        <w:rPr>
          <w:rFonts w:cs="Times New Roman"/>
          <w:snapToGrid w:val="0"/>
        </w:rPr>
        <w:t>4m</w:t>
      </w:r>
      <w:r>
        <w:rPr>
          <w:rFonts w:cs="Times New Roman"/>
          <w:snapToGrid w:val="0"/>
        </w:rPr>
        <w:t>。管涵施工时采用涵洞预制构件安装，不需要进行施工截流或排水；箱涵施工采用现浇钢筋混凝土。</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4.2.8.3</w:t>
      </w:r>
      <w:r>
        <w:rPr>
          <w:rFonts w:cs="Times New Roman" w:hint="default"/>
          <w:iCs/>
        </w:rPr>
        <w:t>施工建设周期</w:t>
      </w:r>
    </w:p>
    <w:p w:rsidR="00A46452" w:rsidRDefault="009A3928">
      <w:pPr>
        <w:wordWrap w:val="0"/>
        <w:topLinePunct/>
        <w:adjustRightInd w:val="0"/>
        <w:snapToGrid w:val="0"/>
        <w:ind w:firstLine="480"/>
        <w:rPr>
          <w:rFonts w:cs="Times New Roman"/>
        </w:rPr>
      </w:pPr>
      <w:r>
        <w:rPr>
          <w:rFonts w:cs="Times New Roman"/>
        </w:rPr>
        <w:t>建设单位初步拟定本项目施工工期为</w:t>
      </w:r>
      <w:r>
        <w:rPr>
          <w:rFonts w:cs="Times New Roman"/>
        </w:rPr>
        <w:t>24</w:t>
      </w:r>
      <w:r>
        <w:rPr>
          <w:rFonts w:cs="Times New Roman"/>
        </w:rPr>
        <w:t>个月，从</w:t>
      </w:r>
      <w:r>
        <w:rPr>
          <w:rFonts w:cs="Times New Roman"/>
        </w:rPr>
        <w:t>202</w:t>
      </w:r>
      <w:r>
        <w:rPr>
          <w:rFonts w:cs="Times New Roman"/>
        </w:rPr>
        <w:t>5</w:t>
      </w:r>
      <w:r>
        <w:rPr>
          <w:rFonts w:cs="Times New Roman"/>
        </w:rPr>
        <w:t>年</w:t>
      </w:r>
      <w:r>
        <w:rPr>
          <w:rFonts w:cs="Times New Roman"/>
        </w:rPr>
        <w:t>7</w:t>
      </w:r>
      <w:r>
        <w:rPr>
          <w:rFonts w:cs="Times New Roman"/>
        </w:rPr>
        <w:t>月开始建设至</w:t>
      </w:r>
      <w:r>
        <w:rPr>
          <w:rFonts w:cs="Times New Roman"/>
        </w:rPr>
        <w:t>202</w:t>
      </w:r>
      <w:r>
        <w:rPr>
          <w:rFonts w:cs="Times New Roman"/>
        </w:rPr>
        <w:t>7</w:t>
      </w:r>
      <w:r>
        <w:rPr>
          <w:rFonts w:cs="Times New Roman"/>
        </w:rPr>
        <w:t>年</w:t>
      </w:r>
      <w:r>
        <w:rPr>
          <w:rFonts w:cs="Times New Roman"/>
        </w:rPr>
        <w:t>6</w:t>
      </w:r>
      <w:r>
        <w:rPr>
          <w:rFonts w:cs="Times New Roman"/>
        </w:rPr>
        <w:t>月完工。工程竣工后，须通过检查验收后移交给业主，投入正常运营。</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4.2.8.4</w:t>
      </w:r>
      <w:r>
        <w:rPr>
          <w:rFonts w:cs="Times New Roman" w:hint="default"/>
          <w:iCs/>
        </w:rPr>
        <w:t>施工工序与时序</w:t>
      </w:r>
    </w:p>
    <w:p w:rsidR="00A46452" w:rsidRDefault="009A3928">
      <w:pPr>
        <w:wordWrap w:val="0"/>
        <w:topLinePunct/>
        <w:adjustRightInd w:val="0"/>
        <w:snapToGrid w:val="0"/>
        <w:ind w:firstLine="480"/>
        <w:rPr>
          <w:rFonts w:cs="Times New Roman"/>
        </w:rPr>
      </w:pPr>
      <w:r>
        <w:rPr>
          <w:rFonts w:cs="Times New Roman"/>
        </w:rPr>
        <w:t>公路在施工建设过程中，应根据工程的特点和工程所在地的地形地貌特征的不同，制定不同的工序和时序。本项目区属暖温带极端干旱的荒漠气候，干燥少雨，昼夜温差大。为避免恶劣气候条件对施工工期造成影响，必须充分利用施工有利季节，投入充足的人、料、机资源，精心组织、精心施工，以确保工期。同时还要采取各种防范措施，做好材料保存，尤其是要采取防冻措施确保寒冷期施工混凝土的质量。项目区生态环境脆弱，环保要求高，环境脆弱而敏感，破坏后极难恢复，需加强建设中环保措施。</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4.2.8.5</w:t>
      </w:r>
      <w:r>
        <w:rPr>
          <w:rFonts w:cs="Times New Roman" w:hint="default"/>
          <w:iCs/>
        </w:rPr>
        <w:t>主要外购材料来源及运距</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本工程施工所需筑路材料主</w:t>
      </w:r>
      <w:r>
        <w:rPr>
          <w:rFonts w:cs="Times New Roman"/>
          <w:kern w:val="0"/>
          <w:szCs w:val="24"/>
          <w:lang w:bidi="ar"/>
        </w:rPr>
        <w:t>要包括钢材、燃油、煤炭、沥青、水泥等。其中主要材料运距有：</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a</w:t>
      </w:r>
      <w:r>
        <w:rPr>
          <w:rFonts w:cs="Times New Roman"/>
          <w:kern w:val="0"/>
          <w:szCs w:val="24"/>
          <w:lang w:bidi="ar"/>
        </w:rPr>
        <w:t>．沥青由克拉玛依购买，平均运距</w:t>
      </w:r>
      <w:r>
        <w:rPr>
          <w:rFonts w:cs="Times New Roman"/>
          <w:kern w:val="0"/>
          <w:szCs w:val="24"/>
          <w:lang w:bidi="ar"/>
        </w:rPr>
        <w:t>1710km</w:t>
      </w:r>
      <w:r>
        <w:rPr>
          <w:rFonts w:cs="Times New Roman"/>
          <w:kern w:val="0"/>
          <w:szCs w:val="24"/>
          <w:lang w:bidi="ar"/>
        </w:rPr>
        <w:t>；</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b</w:t>
      </w:r>
      <w:r>
        <w:rPr>
          <w:rFonts w:cs="Times New Roman"/>
          <w:kern w:val="0"/>
          <w:szCs w:val="24"/>
          <w:lang w:bidi="ar"/>
        </w:rPr>
        <w:t>．水泥由阿克苏青松水泥厂购买，平均运距</w:t>
      </w:r>
      <w:r>
        <w:rPr>
          <w:rFonts w:cs="Times New Roman"/>
          <w:kern w:val="0"/>
          <w:szCs w:val="24"/>
          <w:lang w:bidi="ar"/>
        </w:rPr>
        <w:t>175km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c</w:t>
      </w:r>
      <w:r>
        <w:rPr>
          <w:rFonts w:cs="Times New Roman"/>
          <w:kern w:val="0"/>
          <w:szCs w:val="24"/>
          <w:lang w:bidi="ar"/>
        </w:rPr>
        <w:t>．煤炭由图木舒克市及柯坪县购买，平均运距</w:t>
      </w:r>
      <w:r>
        <w:rPr>
          <w:rFonts w:cs="Times New Roman"/>
          <w:kern w:val="0"/>
          <w:szCs w:val="24"/>
          <w:lang w:bidi="ar"/>
        </w:rPr>
        <w:t>40km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d</w:t>
      </w:r>
      <w:r>
        <w:rPr>
          <w:rFonts w:cs="Times New Roman"/>
          <w:kern w:val="0"/>
          <w:szCs w:val="24"/>
          <w:lang w:bidi="ar"/>
        </w:rPr>
        <w:t>．燃油由图木舒克市及柯坪县购买，平均运距</w:t>
      </w:r>
      <w:r>
        <w:rPr>
          <w:rFonts w:cs="Times New Roman"/>
          <w:kern w:val="0"/>
          <w:szCs w:val="24"/>
          <w:lang w:bidi="ar"/>
        </w:rPr>
        <w:t>40km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e</w:t>
      </w:r>
      <w:r>
        <w:rPr>
          <w:rFonts w:cs="Times New Roman"/>
          <w:kern w:val="0"/>
          <w:szCs w:val="24"/>
          <w:lang w:bidi="ar"/>
        </w:rPr>
        <w:t>．钢材由八钢购买，平均运距</w:t>
      </w:r>
      <w:r>
        <w:rPr>
          <w:rFonts w:cs="Times New Roman"/>
          <w:kern w:val="0"/>
          <w:szCs w:val="24"/>
          <w:lang w:bidi="ar"/>
        </w:rPr>
        <w:t>1260km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f.</w:t>
      </w:r>
      <w:r>
        <w:rPr>
          <w:rFonts w:cs="Times New Roman"/>
          <w:kern w:val="0"/>
          <w:szCs w:val="24"/>
          <w:lang w:bidi="ar"/>
        </w:rPr>
        <w:t>木材由图木舒克市及柯坪县购买，平均运距</w:t>
      </w:r>
      <w:r>
        <w:rPr>
          <w:rFonts w:cs="Times New Roman"/>
          <w:kern w:val="0"/>
          <w:szCs w:val="24"/>
          <w:lang w:bidi="ar"/>
        </w:rPr>
        <w:t>40km</w:t>
      </w:r>
      <w:r>
        <w:rPr>
          <w:rFonts w:cs="Times New Roman"/>
          <w:kern w:val="0"/>
          <w:szCs w:val="24"/>
          <w:lang w:bidi="ar"/>
        </w:rPr>
        <w:t>；</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4.2.8.6</w:t>
      </w:r>
      <w:r>
        <w:rPr>
          <w:rFonts w:cs="Times New Roman" w:hint="default"/>
          <w:iCs/>
        </w:rPr>
        <w:t>工程用水用电</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施工用水：</w:t>
      </w:r>
      <w:r>
        <w:rPr>
          <w:rFonts w:cs="Times New Roman"/>
          <w:kern w:val="0"/>
          <w:szCs w:val="24"/>
          <w:lang w:bidi="ar"/>
        </w:rPr>
        <w:t>本项目施工用水可从柯坪县、阿恰勒镇及图木舒克拉运，施工用水全线平均运距</w:t>
      </w:r>
      <w:r>
        <w:rPr>
          <w:rFonts w:cs="Times New Roman"/>
          <w:kern w:val="0"/>
          <w:szCs w:val="24"/>
          <w:lang w:bidi="ar"/>
        </w:rPr>
        <w:t>12km</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施工用电：</w:t>
      </w:r>
      <w:r>
        <w:rPr>
          <w:rFonts w:cs="Times New Roman"/>
          <w:kern w:val="0"/>
          <w:szCs w:val="24"/>
          <w:lang w:bidi="ar"/>
        </w:rPr>
        <w:t>沿线电网较发达，施工</w:t>
      </w:r>
      <w:r>
        <w:rPr>
          <w:rFonts w:cs="Times New Roman"/>
          <w:kern w:val="0"/>
          <w:szCs w:val="24"/>
          <w:lang w:bidi="ar"/>
        </w:rPr>
        <w:t>营</w:t>
      </w:r>
      <w:r>
        <w:rPr>
          <w:rFonts w:cs="Times New Roman"/>
          <w:kern w:val="0"/>
          <w:szCs w:val="24"/>
          <w:lang w:bidi="ar"/>
        </w:rPr>
        <w:t>地生活用电与电力供应部门联系，施工用电拟采用工地自发电。</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4.2.9</w:t>
      </w:r>
      <w:r>
        <w:rPr>
          <w:rFonts w:cs="Times New Roman" w:hint="default"/>
          <w:sz w:val="28"/>
          <w:szCs w:val="28"/>
        </w:rPr>
        <w:t>交通量预测</w:t>
      </w:r>
      <w:bookmarkEnd w:id="226"/>
      <w:bookmarkEnd w:id="227"/>
    </w:p>
    <w:bookmarkEnd w:id="228"/>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）项目工可预测交通量</w:t>
      </w:r>
    </w:p>
    <w:p w:rsidR="00A46452" w:rsidRDefault="009A3928">
      <w:pPr>
        <w:wordWrap w:val="0"/>
        <w:topLinePunct/>
        <w:adjustRightInd w:val="0"/>
        <w:snapToGrid w:val="0"/>
        <w:ind w:firstLine="480"/>
        <w:rPr>
          <w:rFonts w:cs="Times New Roman"/>
        </w:rPr>
      </w:pPr>
      <w:r>
        <w:rPr>
          <w:rFonts w:cs="Times New Roman"/>
        </w:rPr>
        <w:t>根据本项目可研设计资料，本项目预计</w:t>
      </w:r>
      <w:r>
        <w:rPr>
          <w:rFonts w:cs="Times New Roman"/>
        </w:rPr>
        <w:t>202</w:t>
      </w:r>
      <w:r>
        <w:rPr>
          <w:rFonts w:cs="Times New Roman"/>
        </w:rPr>
        <w:t>8</w:t>
      </w:r>
      <w:r>
        <w:rPr>
          <w:rFonts w:cs="Times New Roman"/>
        </w:rPr>
        <w:t>年可投入使用，</w:t>
      </w:r>
      <w:r>
        <w:rPr>
          <w:rFonts w:cs="Times New Roman"/>
          <w:bCs/>
        </w:rPr>
        <w:t>交通量预测结果</w:t>
      </w:r>
      <w:r>
        <w:rPr>
          <w:rFonts w:cs="Times New Roman"/>
        </w:rPr>
        <w:t>4.2</w:t>
      </w:r>
      <w:r>
        <w:rPr>
          <w:rFonts w:cs="Times New Roman"/>
        </w:rPr>
        <w:t>-</w:t>
      </w:r>
      <w:r>
        <w:rPr>
          <w:rFonts w:cs="Times New Roman"/>
        </w:rPr>
        <w:t>1</w:t>
      </w:r>
      <w:r>
        <w:rPr>
          <w:rFonts w:cs="Times New Roman" w:hint="eastAsia"/>
        </w:rPr>
        <w:t>8</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4.2</w:t>
      </w:r>
      <w:r>
        <w:rPr>
          <w:rFonts w:eastAsia="黑体" w:cs="Times New Roman"/>
        </w:rPr>
        <w:t>-</w:t>
      </w:r>
      <w:r>
        <w:rPr>
          <w:rFonts w:eastAsia="黑体" w:cs="Times New Roman"/>
        </w:rPr>
        <w:t>1</w:t>
      </w:r>
      <w:r>
        <w:rPr>
          <w:rFonts w:eastAsia="黑体" w:cs="Times New Roman" w:hint="eastAsia"/>
        </w:rPr>
        <w:t>8</w:t>
      </w:r>
      <w:r>
        <w:rPr>
          <w:rFonts w:eastAsia="黑体" w:cs="Times New Roman"/>
        </w:rPr>
        <w:t xml:space="preserve">             </w:t>
      </w:r>
      <w:r>
        <w:rPr>
          <w:rFonts w:eastAsia="黑体" w:cs="Times New Roman"/>
        </w:rPr>
        <w:t>交通量预测结果表（单位：折合小客车，辆</w:t>
      </w:r>
      <w:r>
        <w:rPr>
          <w:rFonts w:eastAsia="黑体" w:cs="Times New Roman"/>
        </w:rPr>
        <w:t>/</w:t>
      </w:r>
      <w:r>
        <w:rPr>
          <w:rFonts w:eastAsia="黑体" w:cs="Times New Roman"/>
        </w:rPr>
        <w:t>日）</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4" w:space="0" w:color="000000"/>
        </w:tblBorders>
        <w:tblLook w:val="04A0" w:firstRow="1" w:lastRow="0" w:firstColumn="1" w:lastColumn="0" w:noHBand="0" w:noVBand="1"/>
      </w:tblPr>
      <w:tblGrid>
        <w:gridCol w:w="3323"/>
        <w:gridCol w:w="1395"/>
        <w:gridCol w:w="1098"/>
        <w:gridCol w:w="1227"/>
        <w:gridCol w:w="1284"/>
      </w:tblGrid>
      <w:tr w:rsidR="00A46452">
        <w:trPr>
          <w:trHeight w:val="291"/>
        </w:trPr>
        <w:tc>
          <w:tcPr>
            <w:tcW w:w="1995" w:type="pct"/>
            <w:tcBorders>
              <w:bottom w:val="single" w:sz="4" w:space="0" w:color="auto"/>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rFonts w:eastAsia="宋体"/>
                <w:sz w:val="18"/>
                <w:szCs w:val="18"/>
                <w:lang w:eastAsia="zh-CN"/>
              </w:rPr>
              <w:t>路段</w:t>
            </w:r>
          </w:p>
        </w:tc>
        <w:tc>
          <w:tcPr>
            <w:tcW w:w="837" w:type="pct"/>
            <w:tcBorders>
              <w:bottom w:val="single" w:sz="4" w:space="0" w:color="auto"/>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3"/>
                <w:sz w:val="18"/>
                <w:szCs w:val="18"/>
              </w:rPr>
              <w:t>年份</w:t>
            </w:r>
          </w:p>
        </w:tc>
        <w:tc>
          <w:tcPr>
            <w:tcW w:w="659"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spacing w:val="-3"/>
                <w:sz w:val="18"/>
                <w:szCs w:val="18"/>
              </w:rPr>
              <w:t>2028</w:t>
            </w:r>
            <w:r>
              <w:rPr>
                <w:rFonts w:eastAsia="宋体"/>
                <w:spacing w:val="-3"/>
                <w:sz w:val="18"/>
                <w:szCs w:val="18"/>
                <w:lang w:eastAsia="zh-CN"/>
              </w:rPr>
              <w:t>年</w:t>
            </w:r>
          </w:p>
        </w:tc>
        <w:tc>
          <w:tcPr>
            <w:tcW w:w="737"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spacing w:val="-3"/>
                <w:sz w:val="18"/>
                <w:szCs w:val="18"/>
              </w:rPr>
              <w:t>203</w:t>
            </w:r>
            <w:r>
              <w:rPr>
                <w:rFonts w:eastAsia="宋体"/>
                <w:spacing w:val="-3"/>
                <w:sz w:val="18"/>
                <w:szCs w:val="18"/>
                <w:lang w:eastAsia="zh-CN"/>
              </w:rPr>
              <w:t>5</w:t>
            </w:r>
            <w:r>
              <w:rPr>
                <w:rFonts w:eastAsia="宋体"/>
                <w:spacing w:val="-3"/>
                <w:sz w:val="18"/>
                <w:szCs w:val="18"/>
                <w:lang w:eastAsia="zh-CN"/>
              </w:rPr>
              <w:t>年</w:t>
            </w:r>
          </w:p>
        </w:tc>
        <w:tc>
          <w:tcPr>
            <w:tcW w:w="771"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spacing w:val="-3"/>
                <w:sz w:val="18"/>
                <w:szCs w:val="18"/>
              </w:rPr>
              <w:t>204</w:t>
            </w:r>
            <w:r>
              <w:rPr>
                <w:rFonts w:eastAsia="宋体"/>
                <w:spacing w:val="-3"/>
                <w:sz w:val="18"/>
                <w:szCs w:val="18"/>
                <w:lang w:eastAsia="zh-CN"/>
              </w:rPr>
              <w:t>2</w:t>
            </w:r>
            <w:r>
              <w:rPr>
                <w:rFonts w:eastAsia="宋体"/>
                <w:spacing w:val="-3"/>
                <w:sz w:val="18"/>
                <w:szCs w:val="18"/>
                <w:lang w:eastAsia="zh-CN"/>
              </w:rPr>
              <w:t>年</w:t>
            </w:r>
          </w:p>
        </w:tc>
      </w:tr>
      <w:tr w:rsidR="00A46452">
        <w:trPr>
          <w:trHeight w:val="324"/>
        </w:trPr>
        <w:tc>
          <w:tcPr>
            <w:tcW w:w="1995" w:type="pct"/>
            <w:tcBorders>
              <w:top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第三师图木舒克市</w:t>
            </w:r>
            <w:r>
              <w:rPr>
                <w:rFonts w:cs="Times New Roman"/>
                <w:sz w:val="18"/>
                <w:szCs w:val="18"/>
              </w:rPr>
              <w:t>-</w:t>
            </w:r>
            <w:r>
              <w:rPr>
                <w:rFonts w:cs="Times New Roman"/>
                <w:sz w:val="18"/>
                <w:szCs w:val="18"/>
              </w:rPr>
              <w:t>柯坪段</w:t>
            </w:r>
          </w:p>
        </w:tc>
        <w:tc>
          <w:tcPr>
            <w:tcW w:w="837" w:type="pct"/>
            <w:tcBorders>
              <w:top w:val="single" w:sz="4" w:space="0" w:color="auto"/>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2"/>
                <w:sz w:val="18"/>
                <w:szCs w:val="18"/>
              </w:rPr>
              <w:t>辆/日</w:t>
            </w:r>
          </w:p>
        </w:tc>
        <w:tc>
          <w:tcPr>
            <w:tcW w:w="659"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18"/>
                <w:szCs w:val="18"/>
              </w:rPr>
            </w:pPr>
            <w:r>
              <w:rPr>
                <w:rFonts w:eastAsia="Times New Roman" w:cs="Times New Roman"/>
                <w:spacing w:val="2"/>
                <w:sz w:val="18"/>
                <w:szCs w:val="18"/>
              </w:rPr>
              <w:t>3574</w:t>
            </w:r>
          </w:p>
        </w:tc>
        <w:tc>
          <w:tcPr>
            <w:tcW w:w="737"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18"/>
                <w:szCs w:val="18"/>
              </w:rPr>
            </w:pPr>
            <w:r>
              <w:rPr>
                <w:rFonts w:eastAsia="Times New Roman" w:cs="Times New Roman"/>
                <w:spacing w:val="2"/>
                <w:sz w:val="18"/>
                <w:szCs w:val="18"/>
              </w:rPr>
              <w:t>5095</w:t>
            </w:r>
          </w:p>
        </w:tc>
        <w:tc>
          <w:tcPr>
            <w:tcW w:w="77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pacing w:val="1"/>
                <w:sz w:val="18"/>
                <w:szCs w:val="18"/>
              </w:rPr>
              <w:t>7170</w:t>
            </w:r>
          </w:p>
        </w:tc>
      </w:tr>
    </w:tbl>
    <w:p w:rsidR="00A46452" w:rsidRDefault="009A3928">
      <w:pPr>
        <w:wordWrap w:val="0"/>
        <w:topLinePunct/>
        <w:adjustRightInd w:val="0"/>
        <w:snapToGrid w:val="0"/>
        <w:ind w:firstLine="480"/>
        <w:rPr>
          <w:rFonts w:cs="Times New Roman"/>
        </w:rPr>
      </w:pPr>
      <w:r>
        <w:rPr>
          <w:rFonts w:cs="Times New Roman"/>
        </w:rPr>
        <w:t>根据拟建公路的车型构成比例，结合当地的车辆构成现状，经过定性分析得出未来拟建公路特征年的车型组成比例，见表</w:t>
      </w:r>
      <w:r>
        <w:rPr>
          <w:rFonts w:cs="Times New Roman"/>
        </w:rPr>
        <w:t>4.2</w:t>
      </w:r>
      <w:r>
        <w:rPr>
          <w:rFonts w:cs="Times New Roman"/>
        </w:rPr>
        <w:t>-</w:t>
      </w:r>
      <w:r>
        <w:rPr>
          <w:rFonts w:cs="Times New Roman"/>
        </w:rPr>
        <w:t>1</w:t>
      </w:r>
      <w:r>
        <w:rPr>
          <w:rFonts w:cs="Times New Roman" w:hint="eastAsia"/>
        </w:rPr>
        <w:t>9</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4.2</w:t>
      </w:r>
      <w:r>
        <w:rPr>
          <w:rFonts w:eastAsia="黑体" w:cs="Times New Roman"/>
        </w:rPr>
        <w:t>-</w:t>
      </w:r>
      <w:r>
        <w:rPr>
          <w:rFonts w:eastAsia="黑体" w:cs="Times New Roman"/>
        </w:rPr>
        <w:t>1</w:t>
      </w:r>
      <w:r>
        <w:rPr>
          <w:rFonts w:eastAsia="黑体" w:cs="Times New Roman" w:hint="eastAsia"/>
        </w:rPr>
        <w:t>9</w:t>
      </w:r>
      <w:r>
        <w:rPr>
          <w:rFonts w:eastAsia="黑体" w:cs="Times New Roman"/>
        </w:rPr>
        <w:t xml:space="preserve">             </w:t>
      </w:r>
      <w:r>
        <w:rPr>
          <w:rFonts w:eastAsia="黑体" w:cs="Times New Roman"/>
        </w:rPr>
        <w:t>工可预测交通量车型比例（全路段）</w:t>
      </w:r>
    </w:p>
    <w:tbl>
      <w:tblPr>
        <w:tblStyle w:val="1a"/>
        <w:tblW w:w="4923" w:type="pct"/>
        <w:tblInd w:w="134" w:type="dxa"/>
        <w:tblBorders>
          <w:insideH w:val="single" w:sz="6" w:space="0" w:color="auto"/>
          <w:insideV w:val="single" w:sz="6" w:space="0" w:color="auto"/>
        </w:tblBorders>
        <w:tblLayout w:type="fixed"/>
        <w:tblLook w:val="04A0" w:firstRow="1" w:lastRow="0" w:firstColumn="1" w:lastColumn="0" w:noHBand="0" w:noVBand="1"/>
      </w:tblPr>
      <w:tblGrid>
        <w:gridCol w:w="863"/>
        <w:gridCol w:w="1156"/>
        <w:gridCol w:w="1006"/>
        <w:gridCol w:w="1432"/>
        <w:gridCol w:w="1030"/>
        <w:gridCol w:w="942"/>
        <w:gridCol w:w="1072"/>
        <w:gridCol w:w="884"/>
      </w:tblGrid>
      <w:tr w:rsidR="00A46452">
        <w:trPr>
          <w:trHeight w:val="302"/>
        </w:trPr>
        <w:tc>
          <w:tcPr>
            <w:tcW w:w="514" w:type="pct"/>
            <w:noWrap/>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年份</w:t>
            </w:r>
          </w:p>
        </w:tc>
        <w:tc>
          <w:tcPr>
            <w:tcW w:w="688"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小型客车</w:t>
            </w:r>
          </w:p>
        </w:tc>
        <w:tc>
          <w:tcPr>
            <w:tcW w:w="600"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大型客车</w:t>
            </w:r>
          </w:p>
        </w:tc>
        <w:tc>
          <w:tcPr>
            <w:tcW w:w="853"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小型货车</w:t>
            </w:r>
          </w:p>
        </w:tc>
        <w:tc>
          <w:tcPr>
            <w:tcW w:w="614"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中型货车</w:t>
            </w:r>
          </w:p>
        </w:tc>
        <w:tc>
          <w:tcPr>
            <w:tcW w:w="562"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大型货车</w:t>
            </w:r>
          </w:p>
        </w:tc>
        <w:tc>
          <w:tcPr>
            <w:tcW w:w="638"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汽车列车</w:t>
            </w:r>
          </w:p>
        </w:tc>
        <w:tc>
          <w:tcPr>
            <w:tcW w:w="527" w:type="pct"/>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合计</w:t>
            </w:r>
          </w:p>
        </w:tc>
      </w:tr>
      <w:tr w:rsidR="00A46452">
        <w:trPr>
          <w:trHeight w:val="285"/>
        </w:trPr>
        <w:tc>
          <w:tcPr>
            <w:tcW w:w="514" w:type="pct"/>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202</w:t>
            </w:r>
            <w:r>
              <w:rPr>
                <w:rFonts w:cs="Times New Roman"/>
                <w:kern w:val="0"/>
                <w:sz w:val="18"/>
                <w:szCs w:val="18"/>
              </w:rPr>
              <w:t>8</w:t>
            </w:r>
          </w:p>
        </w:tc>
        <w:tc>
          <w:tcPr>
            <w:tcW w:w="688" w:type="pct"/>
            <w:noWrap/>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lang w:bidi="ar"/>
              </w:rPr>
              <w:t>61.39%</w:t>
            </w:r>
          </w:p>
        </w:tc>
        <w:tc>
          <w:tcPr>
            <w:tcW w:w="600"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16.44%</w:t>
            </w:r>
          </w:p>
        </w:tc>
        <w:tc>
          <w:tcPr>
            <w:tcW w:w="853"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8.63%</w:t>
            </w:r>
          </w:p>
        </w:tc>
        <w:tc>
          <w:tcPr>
            <w:tcW w:w="614"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3.74%</w:t>
            </w:r>
          </w:p>
        </w:tc>
        <w:tc>
          <w:tcPr>
            <w:tcW w:w="562" w:type="pct"/>
            <w:noWrap/>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3.29%</w:t>
            </w:r>
          </w:p>
        </w:tc>
        <w:tc>
          <w:tcPr>
            <w:tcW w:w="638"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6.51%</w:t>
            </w:r>
          </w:p>
        </w:tc>
        <w:tc>
          <w:tcPr>
            <w:tcW w:w="527"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w:t>
            </w:r>
          </w:p>
        </w:tc>
      </w:tr>
      <w:tr w:rsidR="00A46452">
        <w:trPr>
          <w:trHeight w:val="285"/>
        </w:trPr>
        <w:tc>
          <w:tcPr>
            <w:tcW w:w="514" w:type="pct"/>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203</w:t>
            </w:r>
            <w:r>
              <w:rPr>
                <w:rFonts w:cs="Times New Roman"/>
                <w:kern w:val="0"/>
                <w:sz w:val="18"/>
                <w:szCs w:val="18"/>
              </w:rPr>
              <w:t>5</w:t>
            </w:r>
          </w:p>
        </w:tc>
        <w:tc>
          <w:tcPr>
            <w:tcW w:w="688" w:type="pct"/>
            <w:noWrap/>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61.40%</w:t>
            </w:r>
          </w:p>
        </w:tc>
        <w:tc>
          <w:tcPr>
            <w:tcW w:w="600"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16.45%</w:t>
            </w:r>
          </w:p>
        </w:tc>
        <w:tc>
          <w:tcPr>
            <w:tcW w:w="853"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8.61%</w:t>
            </w:r>
          </w:p>
        </w:tc>
        <w:tc>
          <w:tcPr>
            <w:tcW w:w="614"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3.73%</w:t>
            </w:r>
          </w:p>
        </w:tc>
        <w:tc>
          <w:tcPr>
            <w:tcW w:w="562" w:type="pct"/>
            <w:noWrap/>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3.31%</w:t>
            </w:r>
          </w:p>
        </w:tc>
        <w:tc>
          <w:tcPr>
            <w:tcW w:w="638"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6.50%</w:t>
            </w:r>
          </w:p>
        </w:tc>
        <w:tc>
          <w:tcPr>
            <w:tcW w:w="527"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w:t>
            </w:r>
          </w:p>
        </w:tc>
      </w:tr>
      <w:tr w:rsidR="00A46452">
        <w:trPr>
          <w:trHeight w:val="285"/>
        </w:trPr>
        <w:tc>
          <w:tcPr>
            <w:tcW w:w="514" w:type="pct"/>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20</w:t>
            </w:r>
            <w:r>
              <w:rPr>
                <w:rFonts w:cs="Times New Roman"/>
                <w:kern w:val="0"/>
                <w:sz w:val="18"/>
                <w:szCs w:val="18"/>
              </w:rPr>
              <w:t>42</w:t>
            </w:r>
          </w:p>
        </w:tc>
        <w:tc>
          <w:tcPr>
            <w:tcW w:w="688" w:type="pct"/>
            <w:noWrap/>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61.38%</w:t>
            </w:r>
          </w:p>
        </w:tc>
        <w:tc>
          <w:tcPr>
            <w:tcW w:w="600"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16.43%</w:t>
            </w:r>
          </w:p>
        </w:tc>
        <w:tc>
          <w:tcPr>
            <w:tcW w:w="853"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8.65%</w:t>
            </w:r>
          </w:p>
        </w:tc>
        <w:tc>
          <w:tcPr>
            <w:tcW w:w="614"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3.72%</w:t>
            </w:r>
          </w:p>
        </w:tc>
        <w:tc>
          <w:tcPr>
            <w:tcW w:w="562" w:type="pct"/>
            <w:noWrap/>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3.30%</w:t>
            </w:r>
          </w:p>
        </w:tc>
        <w:tc>
          <w:tcPr>
            <w:tcW w:w="638" w:type="pct"/>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6.52%</w:t>
            </w:r>
          </w:p>
        </w:tc>
        <w:tc>
          <w:tcPr>
            <w:tcW w:w="527"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w:t>
            </w:r>
          </w:p>
        </w:tc>
      </w:tr>
    </w:tbl>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）项目环评交通量</w:t>
      </w:r>
    </w:p>
    <w:tbl>
      <w:tblPr>
        <w:tblStyle w:val="aff8"/>
        <w:tblpPr w:leftFromText="180" w:rightFromText="180" w:vertAnchor="text" w:tblpX="10214" w:tblpY="1066"/>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48"/>
      </w:tblGrid>
      <w:tr w:rsidR="00A46452">
        <w:trPr>
          <w:trHeight w:val="30"/>
        </w:trPr>
        <w:tc>
          <w:tcPr>
            <w:tcW w:w="1348" w:type="dxa"/>
          </w:tcPr>
          <w:p w:rsidR="00A46452" w:rsidRDefault="00A46452" w:rsidP="00182EED">
            <w:pPr>
              <w:wordWrap w:val="0"/>
              <w:topLinePunct/>
              <w:adjustRightInd w:val="0"/>
              <w:snapToGrid w:val="0"/>
              <w:ind w:firstLine="480"/>
              <w:rPr>
                <w:rFonts w:cs="Times New Roman"/>
              </w:rPr>
            </w:pPr>
          </w:p>
        </w:tc>
      </w:tr>
    </w:tbl>
    <w:p w:rsidR="00A46452" w:rsidRDefault="009A3928">
      <w:pPr>
        <w:wordWrap w:val="0"/>
        <w:topLinePunct/>
        <w:adjustRightInd w:val="0"/>
        <w:snapToGrid w:val="0"/>
        <w:ind w:firstLine="480"/>
        <w:rPr>
          <w:rFonts w:cs="Times New Roman"/>
        </w:rPr>
      </w:pPr>
      <w:r>
        <w:rPr>
          <w:rFonts w:cs="Times New Roman"/>
        </w:rPr>
        <w:t>本项目预计</w:t>
      </w:r>
      <w:r>
        <w:rPr>
          <w:rFonts w:cs="Times New Roman"/>
        </w:rPr>
        <w:t>202</w:t>
      </w:r>
      <w:r>
        <w:rPr>
          <w:rFonts w:cs="Times New Roman"/>
        </w:rPr>
        <w:t>7</w:t>
      </w:r>
      <w:r>
        <w:rPr>
          <w:rFonts w:cs="Times New Roman"/>
        </w:rPr>
        <w:t>年</w:t>
      </w:r>
      <w:r>
        <w:rPr>
          <w:rFonts w:cs="Times New Roman"/>
        </w:rPr>
        <w:t>6</w:t>
      </w:r>
      <w:r>
        <w:rPr>
          <w:rFonts w:cs="Times New Roman"/>
        </w:rPr>
        <w:t>月</w:t>
      </w:r>
      <w:r>
        <w:rPr>
          <w:rFonts w:cs="Times New Roman"/>
        </w:rPr>
        <w:t>完工，本环评报告书选取投入运营第</w:t>
      </w:r>
      <w:r>
        <w:rPr>
          <w:rFonts w:cs="Times New Roman"/>
        </w:rPr>
        <w:t>1</w:t>
      </w:r>
      <w:r>
        <w:rPr>
          <w:rFonts w:cs="Times New Roman"/>
        </w:rPr>
        <w:t>年（</w:t>
      </w:r>
      <w:r>
        <w:rPr>
          <w:rFonts w:cs="Times New Roman"/>
        </w:rPr>
        <w:t>202</w:t>
      </w:r>
      <w:r>
        <w:rPr>
          <w:rFonts w:cs="Times New Roman"/>
        </w:rPr>
        <w:t>8</w:t>
      </w:r>
      <w:r>
        <w:rPr>
          <w:rFonts w:cs="Times New Roman"/>
        </w:rPr>
        <w:t>年）为近期、第</w:t>
      </w:r>
      <w:r>
        <w:rPr>
          <w:rFonts w:cs="Times New Roman"/>
        </w:rPr>
        <w:t>7</w:t>
      </w:r>
      <w:r>
        <w:rPr>
          <w:rFonts w:cs="Times New Roman"/>
        </w:rPr>
        <w:t>年（</w:t>
      </w:r>
      <w:r>
        <w:rPr>
          <w:rFonts w:cs="Times New Roman"/>
        </w:rPr>
        <w:t>203</w:t>
      </w:r>
      <w:r>
        <w:rPr>
          <w:rFonts w:cs="Times New Roman"/>
        </w:rPr>
        <w:t>5</w:t>
      </w:r>
      <w:r>
        <w:rPr>
          <w:rFonts w:cs="Times New Roman"/>
        </w:rPr>
        <w:t>年）为中期、第</w:t>
      </w:r>
      <w:r>
        <w:rPr>
          <w:rFonts w:cs="Times New Roman"/>
        </w:rPr>
        <w:t>15</w:t>
      </w:r>
      <w:r>
        <w:rPr>
          <w:rFonts w:cs="Times New Roman"/>
        </w:rPr>
        <w:t>年（</w:t>
      </w:r>
      <w:r>
        <w:rPr>
          <w:rFonts w:cs="Times New Roman"/>
        </w:rPr>
        <w:t>20</w:t>
      </w:r>
      <w:r>
        <w:rPr>
          <w:rFonts w:cs="Times New Roman"/>
        </w:rPr>
        <w:t>42</w:t>
      </w:r>
      <w:r>
        <w:rPr>
          <w:rFonts w:cs="Times New Roman"/>
        </w:rPr>
        <w:t>年）为远期，对本工程运营期进行</w:t>
      </w:r>
      <w:r>
        <w:rPr>
          <w:rFonts w:cs="Times New Roman"/>
        </w:rPr>
        <w:t>噪声</w:t>
      </w:r>
      <w:r>
        <w:rPr>
          <w:rFonts w:cs="Times New Roman"/>
        </w:rPr>
        <w:t>预测评价。根据项目</w:t>
      </w:r>
      <w:r>
        <w:rPr>
          <w:rFonts w:cs="Times New Roman"/>
        </w:rPr>
        <w:t>“</w:t>
      </w:r>
      <w:r>
        <w:rPr>
          <w:rFonts w:cs="Times New Roman"/>
        </w:rPr>
        <w:t>工可</w:t>
      </w:r>
      <w:r>
        <w:rPr>
          <w:rFonts w:cs="Times New Roman"/>
        </w:rPr>
        <w:t>”</w:t>
      </w:r>
      <w:r>
        <w:rPr>
          <w:rFonts w:cs="Times New Roman"/>
        </w:rPr>
        <w:t>交通量预测结论，本项目运营期环评交通量计算结果见表</w:t>
      </w:r>
      <w:r>
        <w:rPr>
          <w:rFonts w:cs="Times New Roman"/>
        </w:rPr>
        <w:t>4.2</w:t>
      </w:r>
      <w:r>
        <w:rPr>
          <w:rFonts w:cs="Times New Roman"/>
        </w:rPr>
        <w:t>-</w:t>
      </w:r>
      <w:r>
        <w:rPr>
          <w:rFonts w:cs="Times New Roman" w:hint="eastAsia"/>
        </w:rPr>
        <w:t>20</w:t>
      </w:r>
      <w:r>
        <w:rPr>
          <w:rFonts w:cs="Times New Roman"/>
        </w:rPr>
        <w:t>。</w:t>
      </w:r>
    </w:p>
    <w:tbl>
      <w:tblPr>
        <w:tblStyle w:val="aff8"/>
        <w:tblpPr w:leftFromText="180" w:rightFromText="180" w:vertAnchor="text" w:tblpX="10214" w:tblpY="424"/>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48"/>
      </w:tblGrid>
      <w:tr w:rsidR="00A46452">
        <w:trPr>
          <w:trHeight w:val="30"/>
        </w:trPr>
        <w:tc>
          <w:tcPr>
            <w:tcW w:w="648" w:type="dxa"/>
          </w:tcPr>
          <w:p w:rsidR="00A46452" w:rsidRDefault="00A46452" w:rsidP="00182EED">
            <w:pPr>
              <w:wordWrap w:val="0"/>
              <w:topLinePunct/>
              <w:adjustRightInd w:val="0"/>
              <w:snapToGrid w:val="0"/>
              <w:ind w:firstLine="480"/>
              <w:rPr>
                <w:rFonts w:eastAsia="黑体" w:cs="Times New Roman"/>
              </w:rPr>
            </w:pPr>
          </w:p>
        </w:tc>
      </w:tr>
    </w:tbl>
    <w:p w:rsidR="00A46452" w:rsidRDefault="009A3928">
      <w:pPr>
        <w:wordWrap w:val="0"/>
        <w:topLinePunct/>
        <w:adjustRightInd w:val="0"/>
        <w:snapToGrid w:val="0"/>
        <w:ind w:firstLineChars="0" w:firstLine="0"/>
        <w:rPr>
          <w:rFonts w:eastAsia="黑体" w:cs="Times New Roman"/>
        </w:rPr>
      </w:pPr>
      <w:r>
        <w:rPr>
          <w:rFonts w:eastAsia="黑体" w:cs="Times New Roman"/>
        </w:rPr>
        <w:t>表</w:t>
      </w:r>
      <w:r>
        <w:rPr>
          <w:rFonts w:eastAsia="黑体" w:cs="Times New Roman"/>
        </w:rPr>
        <w:t>4.2</w:t>
      </w:r>
      <w:r>
        <w:rPr>
          <w:rFonts w:eastAsia="黑体" w:cs="Times New Roman"/>
        </w:rPr>
        <w:t>-</w:t>
      </w:r>
      <w:r>
        <w:rPr>
          <w:rFonts w:eastAsia="黑体" w:cs="Times New Roman" w:hint="eastAsia"/>
        </w:rPr>
        <w:t>20</w:t>
      </w:r>
      <w:r>
        <w:rPr>
          <w:rFonts w:eastAsia="黑体" w:cs="Times New Roman"/>
        </w:rPr>
        <w:t xml:space="preserve">              </w:t>
      </w:r>
      <w:r>
        <w:rPr>
          <w:rFonts w:eastAsia="黑体" w:cs="Times New Roman"/>
        </w:rPr>
        <w:t>环评各特征年交通量车型比例（全路段）</w:t>
      </w:r>
    </w:p>
    <w:tbl>
      <w:tblPr>
        <w:tblStyle w:val="1a"/>
        <w:tblW w:w="0" w:type="auto"/>
        <w:jc w:val="center"/>
        <w:tblLayout w:type="fixed"/>
        <w:tblLook w:val="04A0" w:firstRow="1" w:lastRow="0" w:firstColumn="1" w:lastColumn="0" w:noHBand="0" w:noVBand="1"/>
      </w:tblPr>
      <w:tblGrid>
        <w:gridCol w:w="1443"/>
        <w:gridCol w:w="756"/>
        <w:gridCol w:w="771"/>
        <w:gridCol w:w="771"/>
        <w:gridCol w:w="681"/>
        <w:gridCol w:w="771"/>
        <w:gridCol w:w="705"/>
        <w:gridCol w:w="757"/>
        <w:gridCol w:w="936"/>
        <w:gridCol w:w="936"/>
      </w:tblGrid>
      <w:tr w:rsidR="00A46452">
        <w:trPr>
          <w:trHeight w:val="291"/>
          <w:jc w:val="center"/>
        </w:trPr>
        <w:tc>
          <w:tcPr>
            <w:tcW w:w="1443" w:type="dxa"/>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车型分类</w:t>
            </w:r>
          </w:p>
        </w:tc>
        <w:tc>
          <w:tcPr>
            <w:tcW w:w="2298" w:type="dxa"/>
            <w:gridSpan w:val="3"/>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小型车</w:t>
            </w:r>
          </w:p>
        </w:tc>
        <w:tc>
          <w:tcPr>
            <w:tcW w:w="2157" w:type="dxa"/>
            <w:gridSpan w:val="3"/>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中型车</w:t>
            </w:r>
          </w:p>
        </w:tc>
        <w:tc>
          <w:tcPr>
            <w:tcW w:w="2629" w:type="dxa"/>
            <w:gridSpan w:val="3"/>
            <w:tcBorders>
              <w:bottom w:val="single" w:sz="4" w:space="0" w:color="auto"/>
            </w:tcBorders>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大型车</w:t>
            </w:r>
          </w:p>
        </w:tc>
      </w:tr>
      <w:tr w:rsidR="00A46452">
        <w:trPr>
          <w:trHeight w:val="291"/>
          <w:jc w:val="center"/>
        </w:trPr>
        <w:tc>
          <w:tcPr>
            <w:tcW w:w="1443" w:type="dxa"/>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可研统计车型</w:t>
            </w:r>
          </w:p>
        </w:tc>
        <w:tc>
          <w:tcPr>
            <w:tcW w:w="756" w:type="dxa"/>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小货车</w:t>
            </w:r>
          </w:p>
        </w:tc>
        <w:tc>
          <w:tcPr>
            <w:tcW w:w="771" w:type="dxa"/>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小客车</w:t>
            </w:r>
          </w:p>
        </w:tc>
        <w:tc>
          <w:tcPr>
            <w:tcW w:w="771" w:type="dxa"/>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合计</w:t>
            </w:r>
          </w:p>
        </w:tc>
        <w:tc>
          <w:tcPr>
            <w:tcW w:w="681" w:type="dxa"/>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中货</w:t>
            </w:r>
          </w:p>
        </w:tc>
        <w:tc>
          <w:tcPr>
            <w:tcW w:w="771" w:type="dxa"/>
            <w:tcBorders>
              <w:right w:val="single" w:sz="6" w:space="0" w:color="000000"/>
            </w:tcBorders>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中客</w:t>
            </w:r>
          </w:p>
        </w:tc>
        <w:tc>
          <w:tcPr>
            <w:tcW w:w="705" w:type="dxa"/>
            <w:tcBorders>
              <w:left w:val="single" w:sz="6" w:space="0" w:color="000000"/>
            </w:tcBorders>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合计</w:t>
            </w:r>
          </w:p>
        </w:tc>
        <w:tc>
          <w:tcPr>
            <w:tcW w:w="757" w:type="dxa"/>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大货车</w:t>
            </w:r>
          </w:p>
        </w:tc>
        <w:tc>
          <w:tcPr>
            <w:tcW w:w="936" w:type="dxa"/>
            <w:tcBorders>
              <w:right w:val="single" w:sz="6" w:space="0" w:color="000000"/>
            </w:tcBorders>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汽车列车</w:t>
            </w:r>
          </w:p>
        </w:tc>
        <w:tc>
          <w:tcPr>
            <w:tcW w:w="936" w:type="dxa"/>
            <w:tcBorders>
              <w:left w:val="single" w:sz="6" w:space="0" w:color="000000"/>
            </w:tcBorders>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合计</w:t>
            </w:r>
          </w:p>
        </w:tc>
      </w:tr>
      <w:tr w:rsidR="00A46452">
        <w:trPr>
          <w:trHeight w:val="285"/>
          <w:jc w:val="center"/>
        </w:trPr>
        <w:tc>
          <w:tcPr>
            <w:tcW w:w="1443"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202</w:t>
            </w:r>
            <w:r>
              <w:rPr>
                <w:rFonts w:cs="Times New Roman"/>
                <w:kern w:val="0"/>
                <w:sz w:val="18"/>
                <w:szCs w:val="18"/>
              </w:rPr>
              <w:t>8</w:t>
            </w:r>
          </w:p>
        </w:tc>
        <w:tc>
          <w:tcPr>
            <w:tcW w:w="756" w:type="dxa"/>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sz w:val="18"/>
                <w:szCs w:val="18"/>
              </w:rPr>
              <w:t>8.63</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61.39</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70.02</w:t>
            </w:r>
            <w:r>
              <w:rPr>
                <w:rFonts w:cs="Times New Roman"/>
                <w:sz w:val="18"/>
                <w:szCs w:val="18"/>
              </w:rPr>
              <w:t>%</w:t>
            </w:r>
          </w:p>
        </w:tc>
        <w:tc>
          <w:tcPr>
            <w:tcW w:w="681"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3.74</w:t>
            </w:r>
            <w:r>
              <w:rPr>
                <w:rFonts w:cs="Times New Roman"/>
                <w:sz w:val="18"/>
                <w:szCs w:val="18"/>
              </w:rPr>
              <w:t>%</w:t>
            </w:r>
          </w:p>
        </w:tc>
        <w:tc>
          <w:tcPr>
            <w:tcW w:w="771" w:type="dxa"/>
            <w:tcBorders>
              <w:righ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16.44%</w:t>
            </w:r>
          </w:p>
        </w:tc>
        <w:tc>
          <w:tcPr>
            <w:tcW w:w="705" w:type="dxa"/>
            <w:tcBorders>
              <w:left w:val="single" w:sz="6" w:space="0" w:color="000000"/>
            </w:tcBorders>
            <w:vAlign w:val="top"/>
          </w:tcPr>
          <w:p w:rsidR="00A46452" w:rsidRDefault="009A3928">
            <w:pPr>
              <w:wordWrap w:val="0"/>
              <w:topLinePunct/>
              <w:adjustRightInd w:val="0"/>
              <w:snapToGrid w:val="0"/>
              <w:spacing w:line="240" w:lineRule="auto"/>
              <w:ind w:firstLineChars="0" w:firstLine="0"/>
              <w:jc w:val="left"/>
              <w:textAlignment w:val="top"/>
              <w:rPr>
                <w:rFonts w:cs="Times New Roman"/>
                <w:sz w:val="18"/>
                <w:szCs w:val="18"/>
              </w:rPr>
            </w:pPr>
            <w:r>
              <w:rPr>
                <w:rFonts w:cs="Times New Roman"/>
                <w:kern w:val="0"/>
                <w:sz w:val="18"/>
                <w:szCs w:val="18"/>
                <w:lang w:bidi="ar"/>
              </w:rPr>
              <w:t>20.18</w:t>
            </w:r>
          </w:p>
        </w:tc>
        <w:tc>
          <w:tcPr>
            <w:tcW w:w="757"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3.29</w:t>
            </w:r>
            <w:r>
              <w:rPr>
                <w:rFonts w:cs="Times New Roman"/>
                <w:sz w:val="18"/>
                <w:szCs w:val="18"/>
              </w:rPr>
              <w:t>%</w:t>
            </w:r>
          </w:p>
        </w:tc>
        <w:tc>
          <w:tcPr>
            <w:tcW w:w="936" w:type="dxa"/>
            <w:tcBorders>
              <w:right w:val="single" w:sz="6" w:space="0" w:color="000000"/>
            </w:tcBorders>
            <w:shd w:val="clear" w:color="auto" w:fill="auto"/>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6.51%</w:t>
            </w:r>
          </w:p>
        </w:tc>
        <w:tc>
          <w:tcPr>
            <w:tcW w:w="936" w:type="dxa"/>
            <w:tcBorders>
              <w:left w:val="single" w:sz="6" w:space="0" w:color="000000"/>
            </w:tcBorders>
          </w:tcPr>
          <w:p w:rsidR="00A46452" w:rsidRDefault="009A3928">
            <w:pPr>
              <w:wordWrap w:val="0"/>
              <w:topLinePunct/>
              <w:adjustRightInd w:val="0"/>
              <w:snapToGrid w:val="0"/>
              <w:spacing w:line="240" w:lineRule="auto"/>
              <w:ind w:firstLineChars="0" w:firstLine="0"/>
              <w:jc w:val="right"/>
              <w:textAlignment w:val="center"/>
              <w:rPr>
                <w:rFonts w:cs="Times New Roman"/>
                <w:sz w:val="18"/>
                <w:szCs w:val="18"/>
              </w:rPr>
            </w:pPr>
            <w:r>
              <w:rPr>
                <w:rFonts w:cs="Times New Roman"/>
                <w:kern w:val="0"/>
                <w:sz w:val="18"/>
                <w:szCs w:val="18"/>
                <w:lang w:bidi="ar"/>
              </w:rPr>
              <w:t>9.8</w:t>
            </w:r>
            <w:r>
              <w:rPr>
                <w:rFonts w:cs="Times New Roman"/>
                <w:kern w:val="0"/>
                <w:sz w:val="18"/>
                <w:szCs w:val="18"/>
                <w:lang w:bidi="ar"/>
              </w:rPr>
              <w:t>0</w:t>
            </w:r>
            <w:r>
              <w:rPr>
                <w:rFonts w:cs="Times New Roman"/>
                <w:kern w:val="0"/>
                <w:sz w:val="18"/>
                <w:szCs w:val="18"/>
                <w:lang w:bidi="ar"/>
              </w:rPr>
              <w:t>%</w:t>
            </w:r>
          </w:p>
        </w:tc>
      </w:tr>
      <w:tr w:rsidR="00A46452">
        <w:trPr>
          <w:trHeight w:val="285"/>
          <w:jc w:val="center"/>
        </w:trPr>
        <w:tc>
          <w:tcPr>
            <w:tcW w:w="1443"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203</w:t>
            </w:r>
            <w:r>
              <w:rPr>
                <w:rFonts w:cs="Times New Roman"/>
                <w:kern w:val="0"/>
                <w:sz w:val="18"/>
                <w:szCs w:val="18"/>
              </w:rPr>
              <w:t>5</w:t>
            </w:r>
          </w:p>
        </w:tc>
        <w:tc>
          <w:tcPr>
            <w:tcW w:w="756"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8.61</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61.40</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70.01</w:t>
            </w:r>
            <w:r>
              <w:rPr>
                <w:rFonts w:cs="Times New Roman"/>
                <w:sz w:val="18"/>
                <w:szCs w:val="18"/>
              </w:rPr>
              <w:t>%</w:t>
            </w:r>
          </w:p>
        </w:tc>
        <w:tc>
          <w:tcPr>
            <w:tcW w:w="681"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3.73</w:t>
            </w:r>
            <w:r>
              <w:rPr>
                <w:rFonts w:cs="Times New Roman"/>
                <w:sz w:val="18"/>
                <w:szCs w:val="18"/>
              </w:rPr>
              <w:t>%</w:t>
            </w:r>
          </w:p>
        </w:tc>
        <w:tc>
          <w:tcPr>
            <w:tcW w:w="771" w:type="dxa"/>
            <w:tcBorders>
              <w:righ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16.45%</w:t>
            </w:r>
          </w:p>
        </w:tc>
        <w:tc>
          <w:tcPr>
            <w:tcW w:w="705" w:type="dxa"/>
            <w:tcBorders>
              <w:left w:val="single" w:sz="6" w:space="0" w:color="000000"/>
            </w:tcBorders>
            <w:vAlign w:val="top"/>
          </w:tcPr>
          <w:p w:rsidR="00A46452" w:rsidRDefault="009A3928">
            <w:pPr>
              <w:wordWrap w:val="0"/>
              <w:topLinePunct/>
              <w:adjustRightInd w:val="0"/>
              <w:snapToGrid w:val="0"/>
              <w:spacing w:line="240" w:lineRule="auto"/>
              <w:ind w:firstLineChars="0" w:firstLine="0"/>
              <w:jc w:val="left"/>
              <w:textAlignment w:val="top"/>
              <w:rPr>
                <w:rFonts w:cs="Times New Roman"/>
                <w:sz w:val="18"/>
                <w:szCs w:val="18"/>
              </w:rPr>
            </w:pPr>
            <w:r>
              <w:rPr>
                <w:rFonts w:cs="Times New Roman"/>
                <w:kern w:val="0"/>
                <w:sz w:val="18"/>
                <w:szCs w:val="18"/>
                <w:lang w:bidi="ar"/>
              </w:rPr>
              <w:t>20.18</w:t>
            </w:r>
          </w:p>
        </w:tc>
        <w:tc>
          <w:tcPr>
            <w:tcW w:w="757"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3.31</w:t>
            </w:r>
            <w:r>
              <w:rPr>
                <w:rFonts w:cs="Times New Roman"/>
                <w:sz w:val="18"/>
                <w:szCs w:val="18"/>
              </w:rPr>
              <w:t>%</w:t>
            </w:r>
          </w:p>
        </w:tc>
        <w:tc>
          <w:tcPr>
            <w:tcW w:w="936" w:type="dxa"/>
            <w:tcBorders>
              <w:right w:val="single" w:sz="6" w:space="0" w:color="000000"/>
            </w:tcBorders>
            <w:shd w:val="clear" w:color="auto" w:fill="auto"/>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6.50%</w:t>
            </w:r>
          </w:p>
        </w:tc>
        <w:tc>
          <w:tcPr>
            <w:tcW w:w="936" w:type="dxa"/>
            <w:tcBorders>
              <w:left w:val="single" w:sz="6" w:space="0" w:color="000000"/>
            </w:tcBorders>
          </w:tcPr>
          <w:p w:rsidR="00A46452" w:rsidRDefault="009A3928">
            <w:pPr>
              <w:wordWrap w:val="0"/>
              <w:topLinePunct/>
              <w:adjustRightInd w:val="0"/>
              <w:snapToGrid w:val="0"/>
              <w:spacing w:line="240" w:lineRule="auto"/>
              <w:ind w:firstLineChars="0" w:firstLine="0"/>
              <w:jc w:val="right"/>
              <w:textAlignment w:val="center"/>
              <w:rPr>
                <w:rFonts w:cs="Times New Roman"/>
                <w:sz w:val="18"/>
                <w:szCs w:val="18"/>
              </w:rPr>
            </w:pPr>
            <w:r>
              <w:rPr>
                <w:rFonts w:cs="Times New Roman"/>
                <w:kern w:val="0"/>
                <w:sz w:val="18"/>
                <w:szCs w:val="18"/>
                <w:lang w:bidi="ar"/>
              </w:rPr>
              <w:t>9.81%</w:t>
            </w:r>
          </w:p>
        </w:tc>
      </w:tr>
      <w:tr w:rsidR="00A46452">
        <w:trPr>
          <w:trHeight w:val="285"/>
          <w:jc w:val="center"/>
        </w:trPr>
        <w:tc>
          <w:tcPr>
            <w:tcW w:w="1443" w:type="dxa"/>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204</w:t>
            </w:r>
            <w:r>
              <w:rPr>
                <w:rFonts w:cs="Times New Roman"/>
                <w:kern w:val="0"/>
                <w:sz w:val="18"/>
                <w:szCs w:val="18"/>
              </w:rPr>
              <w:t>2</w:t>
            </w:r>
          </w:p>
        </w:tc>
        <w:tc>
          <w:tcPr>
            <w:tcW w:w="756"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8.65</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61.38</w:t>
            </w:r>
            <w:r>
              <w:rPr>
                <w:rFonts w:cs="Times New Roman"/>
                <w:sz w:val="18"/>
                <w:szCs w:val="18"/>
              </w:rPr>
              <w:t>%</w:t>
            </w:r>
          </w:p>
        </w:tc>
        <w:tc>
          <w:tcPr>
            <w:tcW w:w="771" w:type="dxa"/>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70.03</w:t>
            </w:r>
            <w:r>
              <w:rPr>
                <w:rFonts w:cs="Times New Roman"/>
                <w:sz w:val="18"/>
                <w:szCs w:val="18"/>
              </w:rPr>
              <w:t>%</w:t>
            </w:r>
          </w:p>
        </w:tc>
        <w:tc>
          <w:tcPr>
            <w:tcW w:w="681"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3.72</w:t>
            </w:r>
            <w:r>
              <w:rPr>
                <w:rFonts w:cs="Times New Roman"/>
                <w:sz w:val="18"/>
                <w:szCs w:val="18"/>
              </w:rPr>
              <w:t>%</w:t>
            </w:r>
          </w:p>
        </w:tc>
        <w:tc>
          <w:tcPr>
            <w:tcW w:w="771" w:type="dxa"/>
            <w:tcBorders>
              <w:righ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16.43%</w:t>
            </w:r>
          </w:p>
        </w:tc>
        <w:tc>
          <w:tcPr>
            <w:tcW w:w="705" w:type="dxa"/>
            <w:tcBorders>
              <w:left w:val="single" w:sz="6" w:space="0" w:color="000000"/>
            </w:tcBorders>
            <w:vAlign w:val="top"/>
          </w:tcPr>
          <w:p w:rsidR="00A46452" w:rsidRDefault="009A3928">
            <w:pPr>
              <w:wordWrap w:val="0"/>
              <w:topLinePunct/>
              <w:adjustRightInd w:val="0"/>
              <w:snapToGrid w:val="0"/>
              <w:spacing w:line="240" w:lineRule="auto"/>
              <w:ind w:firstLineChars="0" w:firstLine="0"/>
              <w:jc w:val="left"/>
              <w:textAlignment w:val="top"/>
              <w:rPr>
                <w:rFonts w:cs="Times New Roman"/>
                <w:sz w:val="18"/>
                <w:szCs w:val="18"/>
              </w:rPr>
            </w:pPr>
            <w:r>
              <w:rPr>
                <w:rFonts w:cs="Times New Roman"/>
                <w:kern w:val="0"/>
                <w:sz w:val="18"/>
                <w:szCs w:val="18"/>
                <w:lang w:bidi="ar"/>
              </w:rPr>
              <w:t>20.15</w:t>
            </w:r>
          </w:p>
        </w:tc>
        <w:tc>
          <w:tcPr>
            <w:tcW w:w="757" w:type="dxa"/>
            <w:noWra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3.30</w:t>
            </w:r>
            <w:r>
              <w:rPr>
                <w:rFonts w:cs="Times New Roman"/>
                <w:sz w:val="18"/>
                <w:szCs w:val="18"/>
              </w:rPr>
              <w:t>%</w:t>
            </w:r>
          </w:p>
        </w:tc>
        <w:tc>
          <w:tcPr>
            <w:tcW w:w="936" w:type="dxa"/>
            <w:tcBorders>
              <w:right w:val="single" w:sz="6" w:space="0" w:color="000000"/>
            </w:tcBorders>
            <w:shd w:val="clear" w:color="auto" w:fill="auto"/>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6.52%</w:t>
            </w:r>
          </w:p>
        </w:tc>
        <w:tc>
          <w:tcPr>
            <w:tcW w:w="936" w:type="dxa"/>
            <w:tcBorders>
              <w:left w:val="single" w:sz="6" w:space="0" w:color="000000"/>
            </w:tcBorders>
          </w:tcPr>
          <w:p w:rsidR="00A46452" w:rsidRDefault="009A3928">
            <w:pPr>
              <w:wordWrap w:val="0"/>
              <w:topLinePunct/>
              <w:adjustRightInd w:val="0"/>
              <w:snapToGrid w:val="0"/>
              <w:spacing w:line="240" w:lineRule="auto"/>
              <w:ind w:firstLineChars="0" w:firstLine="0"/>
              <w:jc w:val="right"/>
              <w:textAlignment w:val="center"/>
              <w:rPr>
                <w:rFonts w:cs="Times New Roman"/>
                <w:sz w:val="18"/>
                <w:szCs w:val="18"/>
              </w:rPr>
            </w:pPr>
            <w:r>
              <w:rPr>
                <w:rFonts w:cs="Times New Roman"/>
                <w:kern w:val="0"/>
                <w:sz w:val="18"/>
                <w:szCs w:val="18"/>
                <w:lang w:bidi="ar"/>
              </w:rPr>
              <w:t>9.82%</w:t>
            </w:r>
          </w:p>
        </w:tc>
      </w:tr>
    </w:tbl>
    <w:p w:rsidR="00A46452" w:rsidRDefault="009A3928">
      <w:pPr>
        <w:wordWrap w:val="0"/>
        <w:topLinePunct/>
        <w:ind w:firstLine="480"/>
        <w:rPr>
          <w:rFonts w:cs="Times New Roman"/>
        </w:rPr>
      </w:pPr>
      <w:r>
        <w:rPr>
          <w:rFonts w:cs="Times New Roman"/>
        </w:rPr>
        <w:t>（</w:t>
      </w:r>
      <w:r>
        <w:rPr>
          <w:rFonts w:cs="Times New Roman"/>
        </w:rPr>
        <w:t>3</w:t>
      </w:r>
      <w:r>
        <w:rPr>
          <w:rFonts w:cs="Times New Roman"/>
        </w:rPr>
        <w:t>）项目交通量昼夜分配</w:t>
      </w:r>
    </w:p>
    <w:p w:rsidR="00A46452" w:rsidRDefault="009A3928">
      <w:pPr>
        <w:wordWrap w:val="0"/>
        <w:topLinePunct/>
        <w:ind w:firstLine="480"/>
        <w:rPr>
          <w:rFonts w:cs="Times New Roman"/>
        </w:rPr>
      </w:pPr>
      <w:r>
        <w:rPr>
          <w:rFonts w:cs="Times New Roman"/>
        </w:rPr>
        <w:t>根据项目工可提供数据，本项目昼间交通量占日交通量的</w:t>
      </w:r>
      <w:r>
        <w:rPr>
          <w:rFonts w:cs="Times New Roman"/>
        </w:rPr>
        <w:t>80.0%</w:t>
      </w:r>
      <w:r>
        <w:rPr>
          <w:rFonts w:cs="Times New Roman"/>
        </w:rPr>
        <w:t>，夜间交通量占日交通量的</w:t>
      </w:r>
      <w:r>
        <w:rPr>
          <w:rFonts w:cs="Times New Roman"/>
        </w:rPr>
        <w:t>20.0%</w:t>
      </w:r>
      <w:r>
        <w:rPr>
          <w:rFonts w:cs="Times New Roman"/>
        </w:rPr>
        <w:t>，昼间为</w:t>
      </w:r>
      <w:r>
        <w:rPr>
          <w:rFonts w:cs="Times New Roman"/>
        </w:rPr>
        <w:t>8:00</w:t>
      </w:r>
      <w:r>
        <w:rPr>
          <w:rFonts w:cs="Times New Roman"/>
        </w:rPr>
        <w:t>～</w:t>
      </w:r>
      <w:r>
        <w:rPr>
          <w:rFonts w:cs="Times New Roman"/>
        </w:rPr>
        <w:t>24:00</w:t>
      </w:r>
      <w:r>
        <w:rPr>
          <w:rFonts w:cs="Times New Roman"/>
        </w:rPr>
        <w:t>共</w:t>
      </w:r>
      <w:r>
        <w:rPr>
          <w:rFonts w:cs="Times New Roman"/>
        </w:rPr>
        <w:t>16</w:t>
      </w:r>
      <w:r>
        <w:rPr>
          <w:rFonts w:cs="Times New Roman"/>
        </w:rPr>
        <w:t>个小时，夜间为</w:t>
      </w:r>
      <w:r>
        <w:rPr>
          <w:rFonts w:cs="Times New Roman"/>
        </w:rPr>
        <w:t>24:00~ 8:00</w:t>
      </w:r>
      <w:r>
        <w:rPr>
          <w:rFonts w:cs="Times New Roman"/>
        </w:rPr>
        <w:t>共</w:t>
      </w:r>
      <w:r>
        <w:rPr>
          <w:rFonts w:cs="Times New Roman"/>
        </w:rPr>
        <w:t>8</w:t>
      </w:r>
      <w:r>
        <w:rPr>
          <w:rFonts w:cs="Times New Roman"/>
        </w:rPr>
        <w:t>个小时。</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）车型比</w:t>
      </w:r>
    </w:p>
    <w:p w:rsidR="00A46452" w:rsidRDefault="009A3928">
      <w:pPr>
        <w:wordWrap w:val="0"/>
        <w:topLinePunct/>
        <w:adjustRightInd w:val="0"/>
        <w:snapToGrid w:val="0"/>
        <w:ind w:firstLine="480"/>
        <w:rPr>
          <w:rFonts w:cs="Times New Roman"/>
        </w:rPr>
      </w:pPr>
      <w:r>
        <w:rPr>
          <w:rFonts w:cs="Times New Roman"/>
        </w:rPr>
        <w:t>根据《环境影响评价技术导则公路建设项目》（</w:t>
      </w:r>
      <w:r>
        <w:rPr>
          <w:rFonts w:cs="Times New Roman"/>
        </w:rPr>
        <w:t>HJ1358-2024</w:t>
      </w:r>
      <w:r>
        <w:rPr>
          <w:rFonts w:cs="Times New Roman"/>
        </w:rPr>
        <w:t>）附录</w:t>
      </w:r>
      <w:r>
        <w:rPr>
          <w:rFonts w:cs="Times New Roman"/>
        </w:rPr>
        <w:t>B.1.1.1</w:t>
      </w:r>
      <w:r>
        <w:rPr>
          <w:rFonts w:cs="Times New Roman"/>
        </w:rPr>
        <w:t>中的</w:t>
      </w:r>
      <w:r>
        <w:rPr>
          <w:rFonts w:cs="Times New Roman"/>
        </w:rPr>
        <w:t>“</w:t>
      </w:r>
      <w:r>
        <w:rPr>
          <w:rFonts w:cs="Times New Roman"/>
        </w:rPr>
        <w:t>b</w:t>
      </w:r>
      <w:r>
        <w:rPr>
          <w:rFonts w:cs="Times New Roman"/>
        </w:rPr>
        <w:t>）车型分类及车辆折算系数</w:t>
      </w:r>
      <w:r>
        <w:rPr>
          <w:rFonts w:cs="Times New Roman"/>
        </w:rPr>
        <w:t>”</w:t>
      </w:r>
      <w:r>
        <w:rPr>
          <w:rFonts w:cs="Times New Roman"/>
        </w:rPr>
        <w:t>，本次车型分类方法按照</w:t>
      </w:r>
      <w:r>
        <w:rPr>
          <w:rFonts w:cs="Times New Roman"/>
        </w:rPr>
        <w:t>JTGB01</w:t>
      </w:r>
      <w:r>
        <w:rPr>
          <w:rFonts w:cs="Times New Roman"/>
        </w:rPr>
        <w:t>中有关车型划分的标准进行，按照不同折算系数分别将上表中的相对交通量折算成绝对交通量。各种类型车辆划分如下：各种类型车辆划分如下：通常将汽车按照总质量分为小型、中型、大型</w:t>
      </w:r>
      <w:r>
        <w:rPr>
          <w:rFonts w:cs="Times New Roman"/>
        </w:rPr>
        <w:t>三种，小型车汽车总质量</w:t>
      </w:r>
      <w:r>
        <w:rPr>
          <w:rFonts w:cs="Times New Roman"/>
        </w:rPr>
        <w:t>2t</w:t>
      </w:r>
      <w:r>
        <w:rPr>
          <w:rFonts w:cs="Times New Roman"/>
        </w:rPr>
        <w:t>以下（含</w:t>
      </w:r>
      <w:r>
        <w:rPr>
          <w:rFonts w:cs="Times New Roman"/>
        </w:rPr>
        <w:t>2t</w:t>
      </w:r>
      <w:r>
        <w:rPr>
          <w:rFonts w:cs="Times New Roman"/>
        </w:rPr>
        <w:t>）或座位小于</w:t>
      </w:r>
      <w:r>
        <w:rPr>
          <w:rFonts w:cs="Times New Roman"/>
        </w:rPr>
        <w:t>19</w:t>
      </w:r>
      <w:r>
        <w:rPr>
          <w:rFonts w:cs="Times New Roman"/>
        </w:rPr>
        <w:t>座（含</w:t>
      </w:r>
      <w:r>
        <w:rPr>
          <w:rFonts w:cs="Times New Roman"/>
        </w:rPr>
        <w:t>19</w:t>
      </w:r>
      <w:r>
        <w:rPr>
          <w:rFonts w:cs="Times New Roman"/>
        </w:rPr>
        <w:t>座）的汽车（包括：小货车、轿车、小面包车、农用三轮、四轮等）；中型车汽车总质量</w:t>
      </w:r>
      <w:r>
        <w:rPr>
          <w:rFonts w:cs="Times New Roman"/>
        </w:rPr>
        <w:t>2</w:t>
      </w:r>
      <w:r>
        <w:rPr>
          <w:rFonts w:cs="Times New Roman"/>
        </w:rPr>
        <w:t>～</w:t>
      </w:r>
      <w:r>
        <w:rPr>
          <w:rFonts w:cs="Times New Roman"/>
        </w:rPr>
        <w:t>7t</w:t>
      </w:r>
      <w:r>
        <w:rPr>
          <w:rFonts w:cs="Times New Roman"/>
        </w:rPr>
        <w:t>（含</w:t>
      </w:r>
      <w:r>
        <w:rPr>
          <w:rFonts w:cs="Times New Roman"/>
        </w:rPr>
        <w:t>7t</w:t>
      </w:r>
      <w:r>
        <w:rPr>
          <w:rFonts w:cs="Times New Roman"/>
        </w:rPr>
        <w:t>）或座位大于</w:t>
      </w:r>
      <w:r>
        <w:rPr>
          <w:rFonts w:cs="Times New Roman"/>
        </w:rPr>
        <w:t>19</w:t>
      </w:r>
      <w:r>
        <w:rPr>
          <w:rFonts w:cs="Times New Roman"/>
        </w:rPr>
        <w:t>座的汽车（包括：中货车、中客车、大客车等），大型车汽车总质量</w:t>
      </w:r>
      <w:r>
        <w:rPr>
          <w:rFonts w:cs="Times New Roman"/>
        </w:rPr>
        <w:t>7</w:t>
      </w:r>
      <w:r>
        <w:rPr>
          <w:rFonts w:cs="Times New Roman"/>
        </w:rPr>
        <w:t>～</w:t>
      </w:r>
      <w:r>
        <w:rPr>
          <w:rFonts w:cs="Times New Roman"/>
        </w:rPr>
        <w:t>20t</w:t>
      </w:r>
      <w:r>
        <w:rPr>
          <w:rFonts w:cs="Times New Roman"/>
        </w:rPr>
        <w:t>（含</w:t>
      </w:r>
      <w:r>
        <w:rPr>
          <w:rFonts w:cs="Times New Roman"/>
        </w:rPr>
        <w:t>20t</w:t>
      </w:r>
      <w:r>
        <w:rPr>
          <w:rFonts w:cs="Times New Roman"/>
        </w:rPr>
        <w:t>）的汽车，包括：集装箱车、拖挂车、工程车、工程车等。车型换算系数大型车</w:t>
      </w:r>
      <w:r>
        <w:rPr>
          <w:rFonts w:cs="Times New Roman"/>
        </w:rPr>
        <w:t>2.5</w:t>
      </w:r>
      <w:r>
        <w:rPr>
          <w:rFonts w:cs="Times New Roman"/>
        </w:rPr>
        <w:t>，中型车</w:t>
      </w:r>
      <w:r>
        <w:rPr>
          <w:rFonts w:cs="Times New Roman"/>
        </w:rPr>
        <w:t>1.5</w:t>
      </w:r>
      <w:r>
        <w:rPr>
          <w:rFonts w:cs="Times New Roman"/>
        </w:rPr>
        <w:t>，小型车</w:t>
      </w:r>
      <w:r>
        <w:rPr>
          <w:rFonts w:cs="Times New Roman"/>
        </w:rPr>
        <w:t>1.0</w:t>
      </w:r>
      <w:r>
        <w:rPr>
          <w:rFonts w:cs="Times New Roman"/>
        </w:rPr>
        <w:t>。将可研交通量预测成果的当量车流量通过车型比和折算系数反算转换成自然车流量，拟建道路近期、中期、远期车流量预测结果详见表</w:t>
      </w:r>
      <w:r>
        <w:rPr>
          <w:rFonts w:cs="Times New Roman"/>
        </w:rPr>
        <w:t>4.2</w:t>
      </w:r>
      <w:r>
        <w:rPr>
          <w:rFonts w:cs="Times New Roman"/>
        </w:rPr>
        <w:t>-</w:t>
      </w:r>
      <w:r>
        <w:rPr>
          <w:rFonts w:cs="Times New Roman"/>
        </w:rPr>
        <w:t>19</w:t>
      </w:r>
      <w:r>
        <w:rPr>
          <w:rFonts w:cs="Times New Roman"/>
        </w:rPr>
        <w:t>。本次评价昼间、夜间车</w:t>
      </w:r>
      <w:r>
        <w:rPr>
          <w:rFonts w:cs="Times New Roman"/>
        </w:rPr>
        <w:t>型比例相同。</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4.2</w:t>
      </w:r>
      <w:r>
        <w:rPr>
          <w:rFonts w:eastAsia="黑体" w:cs="Times New Roman"/>
        </w:rPr>
        <w:t>-</w:t>
      </w:r>
      <w:r>
        <w:rPr>
          <w:rFonts w:eastAsia="黑体" w:cs="Times New Roman" w:hint="eastAsia"/>
        </w:rPr>
        <w:t>21</w:t>
      </w:r>
      <w:r>
        <w:rPr>
          <w:rFonts w:eastAsia="黑体" w:cs="Times New Roman"/>
        </w:rPr>
        <w:t xml:space="preserve">              </w:t>
      </w:r>
      <w:r>
        <w:rPr>
          <w:rFonts w:eastAsia="黑体" w:cs="Times New Roman"/>
        </w:rPr>
        <w:t>各车型交通量预测结果（单位：辆</w:t>
      </w:r>
      <w:r>
        <w:rPr>
          <w:rFonts w:eastAsia="黑体" w:cs="Times New Roman"/>
        </w:rPr>
        <w:t>/h</w:t>
      </w:r>
      <w:r>
        <w:rPr>
          <w:rFonts w:eastAsia="黑体" w:cs="Times New Roman"/>
        </w:rPr>
        <w:t>）</w:t>
      </w:r>
    </w:p>
    <w:tbl>
      <w:tblPr>
        <w:tblStyle w:val="affff7"/>
        <w:tblW w:w="5000" w:type="pct"/>
        <w:jc w:val="center"/>
        <w:tblLook w:val="04A0" w:firstRow="1" w:lastRow="0" w:firstColumn="1" w:lastColumn="0" w:noHBand="0" w:noVBand="1"/>
      </w:tblPr>
      <w:tblGrid>
        <w:gridCol w:w="1070"/>
        <w:gridCol w:w="602"/>
        <w:gridCol w:w="1328"/>
        <w:gridCol w:w="742"/>
        <w:gridCol w:w="1851"/>
        <w:gridCol w:w="854"/>
        <w:gridCol w:w="1277"/>
        <w:gridCol w:w="396"/>
        <w:gridCol w:w="396"/>
      </w:tblGrid>
      <w:tr w:rsidR="00A46452">
        <w:trPr>
          <w:trHeight w:val="284"/>
          <w:jc w:val="center"/>
        </w:trPr>
        <w:tc>
          <w:tcPr>
            <w:tcW w:w="695"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路段</w:t>
            </w:r>
          </w:p>
        </w:tc>
        <w:tc>
          <w:tcPr>
            <w:tcW w:w="420"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车型</w:t>
            </w:r>
          </w:p>
        </w:tc>
        <w:tc>
          <w:tcPr>
            <w:tcW w:w="846" w:type="pct"/>
            <w:vMerge w:val="restart"/>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车流量</w:t>
            </w:r>
          </w:p>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（量</w:t>
            </w:r>
            <w:r>
              <w:rPr>
                <w:rFonts w:cs="Times New Roman"/>
                <w:sz w:val="18"/>
                <w:szCs w:val="18"/>
              </w:rPr>
              <w:t>/</w:t>
            </w:r>
            <w:r>
              <w:rPr>
                <w:rFonts w:cs="Times New Roman"/>
                <w:sz w:val="18"/>
                <w:szCs w:val="18"/>
              </w:rPr>
              <w:t>日）</w:t>
            </w:r>
          </w:p>
        </w:tc>
        <w:tc>
          <w:tcPr>
            <w:tcW w:w="1655" w:type="dxa"/>
            <w:gridSpan w:val="2"/>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spacing w:val="-3"/>
                <w:sz w:val="18"/>
                <w:szCs w:val="18"/>
              </w:rPr>
              <w:t>2028</w:t>
            </w:r>
            <w:r>
              <w:rPr>
                <w:rFonts w:eastAsia="宋体"/>
                <w:spacing w:val="-3"/>
                <w:sz w:val="18"/>
                <w:szCs w:val="18"/>
                <w:lang w:eastAsia="zh-CN"/>
              </w:rPr>
              <w:t>（</w:t>
            </w:r>
            <w:r>
              <w:rPr>
                <w:rFonts w:eastAsia="宋体"/>
                <w:spacing w:val="-3"/>
                <w:sz w:val="18"/>
                <w:szCs w:val="18"/>
                <w:lang w:eastAsia="zh-CN"/>
              </w:rPr>
              <w:t>近期</w:t>
            </w:r>
            <w:r>
              <w:rPr>
                <w:rFonts w:eastAsia="宋体"/>
                <w:spacing w:val="-3"/>
                <w:sz w:val="18"/>
                <w:szCs w:val="18"/>
                <w:lang w:eastAsia="zh-CN"/>
              </w:rPr>
              <w:t>）</w:t>
            </w:r>
          </w:p>
        </w:tc>
        <w:tc>
          <w:tcPr>
            <w:tcW w:w="1764" w:type="dxa"/>
            <w:gridSpan w:val="2"/>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3"/>
                <w:sz w:val="18"/>
                <w:szCs w:val="18"/>
              </w:rPr>
              <w:t>203</w:t>
            </w:r>
            <w:r>
              <w:rPr>
                <w:rFonts w:eastAsia="宋体"/>
                <w:spacing w:val="-3"/>
                <w:sz w:val="18"/>
                <w:szCs w:val="18"/>
                <w:lang w:eastAsia="zh-CN"/>
              </w:rPr>
              <w:t>4</w:t>
            </w:r>
            <w:r>
              <w:rPr>
                <w:rFonts w:eastAsia="宋体"/>
                <w:spacing w:val="-3"/>
                <w:sz w:val="18"/>
                <w:szCs w:val="18"/>
                <w:lang w:eastAsia="zh-CN"/>
              </w:rPr>
              <w:t>（</w:t>
            </w:r>
            <w:r>
              <w:rPr>
                <w:rFonts w:eastAsia="宋体"/>
                <w:spacing w:val="-3"/>
                <w:sz w:val="18"/>
                <w:szCs w:val="18"/>
                <w:lang w:eastAsia="zh-CN"/>
              </w:rPr>
              <w:t>中期</w:t>
            </w:r>
            <w:r>
              <w:rPr>
                <w:rFonts w:eastAsia="宋体"/>
                <w:spacing w:val="-3"/>
                <w:sz w:val="18"/>
                <w:szCs w:val="18"/>
                <w:lang w:eastAsia="zh-CN"/>
              </w:rPr>
              <w:t>）</w:t>
            </w:r>
          </w:p>
        </w:tc>
        <w:tc>
          <w:tcPr>
            <w:tcW w:w="1761" w:type="dxa"/>
            <w:gridSpan w:val="2"/>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3"/>
                <w:sz w:val="18"/>
                <w:szCs w:val="18"/>
              </w:rPr>
              <w:t>204</w:t>
            </w:r>
            <w:r>
              <w:rPr>
                <w:rFonts w:eastAsia="宋体"/>
                <w:spacing w:val="-3"/>
                <w:sz w:val="18"/>
                <w:szCs w:val="18"/>
                <w:lang w:eastAsia="zh-CN"/>
              </w:rPr>
              <w:t>2</w:t>
            </w:r>
            <w:r>
              <w:rPr>
                <w:rFonts w:eastAsia="宋体"/>
                <w:spacing w:val="-3"/>
                <w:sz w:val="18"/>
                <w:szCs w:val="18"/>
                <w:lang w:eastAsia="zh-CN"/>
              </w:rPr>
              <w:t>（</w:t>
            </w:r>
            <w:r>
              <w:rPr>
                <w:rFonts w:eastAsia="宋体"/>
                <w:spacing w:val="-3"/>
                <w:sz w:val="18"/>
                <w:szCs w:val="18"/>
                <w:lang w:eastAsia="zh-CN"/>
              </w:rPr>
              <w:t>远期</w:t>
            </w:r>
            <w:r>
              <w:rPr>
                <w:rFonts w:eastAsia="宋体"/>
                <w:spacing w:val="-3"/>
                <w:sz w:val="18"/>
                <w:szCs w:val="18"/>
                <w:lang w:eastAsia="zh-CN"/>
              </w:rPr>
              <w:t>）</w:t>
            </w:r>
          </w:p>
        </w:tc>
      </w:tr>
      <w:tr w:rsidR="00A46452">
        <w:trPr>
          <w:trHeight w:val="284"/>
          <w:jc w:val="center"/>
        </w:trPr>
        <w:tc>
          <w:tcPr>
            <w:tcW w:w="695"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20"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846"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50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46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5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467"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5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465"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r>
      <w:tr w:rsidR="00A46452">
        <w:trPr>
          <w:trHeight w:val="284"/>
          <w:jc w:val="center"/>
        </w:trPr>
        <w:tc>
          <w:tcPr>
            <w:tcW w:w="695"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cs="Times New Roman"/>
                <w:sz w:val="18"/>
                <w:szCs w:val="18"/>
              </w:rPr>
              <w:t>图木舒克市</w:t>
            </w:r>
            <w:r>
              <w:rPr>
                <w:rFonts w:cs="Times New Roman"/>
                <w:sz w:val="18"/>
                <w:szCs w:val="18"/>
              </w:rPr>
              <w:t>—</w:t>
            </w:r>
            <w:r>
              <w:rPr>
                <w:rFonts w:cs="Times New Roman"/>
                <w:sz w:val="18"/>
                <w:szCs w:val="18"/>
              </w:rPr>
              <w:t>柯坪县</w:t>
            </w:r>
            <w:r>
              <w:rPr>
                <w:rFonts w:cs="Times New Roman"/>
                <w:sz w:val="18"/>
                <w:szCs w:val="18"/>
              </w:rPr>
              <w:t>项目</w:t>
            </w:r>
          </w:p>
        </w:tc>
        <w:tc>
          <w:tcPr>
            <w:tcW w:w="4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小车</w:t>
            </w:r>
          </w:p>
        </w:tc>
        <w:tc>
          <w:tcPr>
            <w:tcW w:w="84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eastAsia="Times New Roman" w:cs="Times New Roman"/>
                <w:spacing w:val="2"/>
                <w:sz w:val="18"/>
                <w:szCs w:val="18"/>
              </w:rPr>
              <w:t>3574</w:t>
            </w:r>
          </w:p>
        </w:tc>
        <w:tc>
          <w:tcPr>
            <w:tcW w:w="855" w:type="dxa"/>
            <w:vAlign w:val="bottom"/>
          </w:tcPr>
          <w:p w:rsidR="00A46452" w:rsidRDefault="009A3928">
            <w:pPr>
              <w:wordWrap w:val="0"/>
              <w:topLinePunct/>
              <w:ind w:firstLineChars="0" w:firstLine="0"/>
              <w:jc w:val="center"/>
              <w:textAlignment w:val="bottom"/>
              <w:rPr>
                <w:rFonts w:cs="Times New Roman"/>
                <w:kern w:val="0"/>
                <w:sz w:val="18"/>
                <w:szCs w:val="18"/>
              </w:rPr>
            </w:pPr>
            <w:r>
              <w:rPr>
                <w:rFonts w:cs="Times New Roman"/>
                <w:kern w:val="0"/>
                <w:sz w:val="18"/>
                <w:szCs w:val="18"/>
                <w:lang w:bidi="ar"/>
              </w:rPr>
              <w:t>125</w:t>
            </w:r>
          </w:p>
        </w:tc>
        <w:tc>
          <w:tcPr>
            <w:tcW w:w="799"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63</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178</w:t>
            </w:r>
          </w:p>
        </w:tc>
        <w:tc>
          <w:tcPr>
            <w:tcW w:w="795"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89</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251</w:t>
            </w:r>
          </w:p>
        </w:tc>
        <w:tc>
          <w:tcPr>
            <w:tcW w:w="793"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126</w:t>
            </w:r>
          </w:p>
        </w:tc>
      </w:tr>
      <w:tr w:rsidR="00A46452">
        <w:trPr>
          <w:trHeight w:val="284"/>
          <w:jc w:val="center"/>
        </w:trPr>
        <w:tc>
          <w:tcPr>
            <w:tcW w:w="695"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中车</w:t>
            </w:r>
          </w:p>
        </w:tc>
        <w:tc>
          <w:tcPr>
            <w:tcW w:w="84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eastAsia="Times New Roman" w:cs="Times New Roman"/>
                <w:spacing w:val="2"/>
                <w:sz w:val="18"/>
                <w:szCs w:val="18"/>
              </w:rPr>
              <w:t>5095</w:t>
            </w:r>
          </w:p>
        </w:tc>
        <w:tc>
          <w:tcPr>
            <w:tcW w:w="855"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36</w:t>
            </w:r>
          </w:p>
        </w:tc>
        <w:tc>
          <w:tcPr>
            <w:tcW w:w="799"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18</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51</w:t>
            </w:r>
          </w:p>
        </w:tc>
        <w:tc>
          <w:tcPr>
            <w:tcW w:w="795"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29</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72</w:t>
            </w:r>
          </w:p>
        </w:tc>
        <w:tc>
          <w:tcPr>
            <w:tcW w:w="793"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41</w:t>
            </w:r>
          </w:p>
        </w:tc>
      </w:tr>
      <w:tr w:rsidR="00A46452">
        <w:trPr>
          <w:trHeight w:val="284"/>
          <w:jc w:val="center"/>
        </w:trPr>
        <w:tc>
          <w:tcPr>
            <w:tcW w:w="695"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大车</w:t>
            </w:r>
          </w:p>
        </w:tc>
        <w:tc>
          <w:tcPr>
            <w:tcW w:w="84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pacing w:val="1"/>
                <w:sz w:val="18"/>
                <w:szCs w:val="18"/>
              </w:rPr>
              <w:t>7170</w:t>
            </w:r>
          </w:p>
        </w:tc>
        <w:tc>
          <w:tcPr>
            <w:tcW w:w="855"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18</w:t>
            </w:r>
          </w:p>
        </w:tc>
        <w:tc>
          <w:tcPr>
            <w:tcW w:w="799"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9</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25</w:t>
            </w:r>
          </w:p>
        </w:tc>
        <w:tc>
          <w:tcPr>
            <w:tcW w:w="795"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12</w:t>
            </w:r>
          </w:p>
        </w:tc>
        <w:tc>
          <w:tcPr>
            <w:tcW w:w="967"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35</w:t>
            </w:r>
          </w:p>
        </w:tc>
        <w:tc>
          <w:tcPr>
            <w:tcW w:w="793" w:type="dxa"/>
            <w:vAlign w:val="bottom"/>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18</w:t>
            </w:r>
          </w:p>
        </w:tc>
      </w:tr>
      <w:tr w:rsidR="00A46452">
        <w:trPr>
          <w:trHeight w:val="284"/>
          <w:jc w:val="center"/>
        </w:trPr>
        <w:tc>
          <w:tcPr>
            <w:tcW w:w="695"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1266" w:type="pct"/>
            <w:gridSpan w:val="2"/>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eastAsiaTheme="minorEastAsia" w:cs="Times New Roman"/>
                <w:sz w:val="18"/>
                <w:szCs w:val="18"/>
              </w:rPr>
              <w:t>合计</w:t>
            </w:r>
          </w:p>
        </w:tc>
        <w:tc>
          <w:tcPr>
            <w:tcW w:w="856" w:type="dxa"/>
            <w:vAlign w:val="top"/>
          </w:tcPr>
          <w:p w:rsidR="00A46452" w:rsidRDefault="009A3928">
            <w:pPr>
              <w:wordWrap w:val="0"/>
              <w:topLinePunct/>
              <w:ind w:firstLineChars="0" w:firstLine="0"/>
              <w:jc w:val="center"/>
              <w:textAlignment w:val="top"/>
              <w:rPr>
                <w:rFonts w:cs="Times New Roman"/>
                <w:kern w:val="0"/>
                <w:sz w:val="18"/>
                <w:szCs w:val="18"/>
              </w:rPr>
            </w:pPr>
            <w:r>
              <w:rPr>
                <w:rFonts w:cs="Times New Roman"/>
                <w:kern w:val="0"/>
                <w:sz w:val="18"/>
                <w:szCs w:val="18"/>
                <w:lang w:bidi="ar"/>
              </w:rPr>
              <w:t>179</w:t>
            </w:r>
          </w:p>
        </w:tc>
        <w:tc>
          <w:tcPr>
            <w:tcW w:w="799" w:type="dxa"/>
            <w:vAlign w:val="top"/>
          </w:tcPr>
          <w:p w:rsidR="00A46452" w:rsidRDefault="009A3928">
            <w:pPr>
              <w:wordWrap w:val="0"/>
              <w:topLinePunct/>
              <w:ind w:firstLineChars="0" w:firstLine="0"/>
              <w:jc w:val="center"/>
              <w:textAlignment w:val="top"/>
              <w:rPr>
                <w:rFonts w:cs="Times New Roman"/>
                <w:sz w:val="18"/>
                <w:szCs w:val="18"/>
              </w:rPr>
            </w:pPr>
            <w:r>
              <w:rPr>
                <w:rFonts w:cs="Times New Roman"/>
                <w:kern w:val="0"/>
                <w:sz w:val="18"/>
                <w:szCs w:val="18"/>
                <w:lang w:bidi="ar"/>
              </w:rPr>
              <w:t>90</w:t>
            </w:r>
          </w:p>
        </w:tc>
        <w:tc>
          <w:tcPr>
            <w:tcW w:w="968" w:type="dxa"/>
            <w:vAlign w:val="top"/>
          </w:tcPr>
          <w:p w:rsidR="00A46452" w:rsidRDefault="009A3928">
            <w:pPr>
              <w:wordWrap w:val="0"/>
              <w:topLinePunct/>
              <w:ind w:firstLineChars="0" w:firstLine="0"/>
              <w:jc w:val="center"/>
              <w:textAlignment w:val="top"/>
              <w:rPr>
                <w:rFonts w:cs="Times New Roman"/>
                <w:sz w:val="18"/>
                <w:szCs w:val="18"/>
              </w:rPr>
            </w:pPr>
            <w:r>
              <w:rPr>
                <w:rFonts w:cs="Times New Roman"/>
                <w:kern w:val="0"/>
                <w:sz w:val="18"/>
                <w:szCs w:val="18"/>
                <w:lang w:bidi="ar"/>
              </w:rPr>
              <w:t>254</w:t>
            </w:r>
          </w:p>
        </w:tc>
        <w:tc>
          <w:tcPr>
            <w:tcW w:w="796" w:type="dxa"/>
            <w:vAlign w:val="top"/>
          </w:tcPr>
          <w:p w:rsidR="00A46452" w:rsidRDefault="009A3928">
            <w:pPr>
              <w:wordWrap w:val="0"/>
              <w:topLinePunct/>
              <w:ind w:firstLineChars="0" w:firstLine="0"/>
              <w:jc w:val="center"/>
              <w:textAlignment w:val="top"/>
              <w:rPr>
                <w:rFonts w:cs="Times New Roman"/>
                <w:sz w:val="18"/>
                <w:szCs w:val="18"/>
              </w:rPr>
            </w:pPr>
            <w:r>
              <w:rPr>
                <w:rFonts w:cs="Times New Roman"/>
                <w:kern w:val="0"/>
                <w:sz w:val="18"/>
                <w:szCs w:val="18"/>
                <w:lang w:bidi="ar"/>
              </w:rPr>
              <w:t>130</w:t>
            </w:r>
          </w:p>
        </w:tc>
        <w:tc>
          <w:tcPr>
            <w:tcW w:w="968" w:type="dxa"/>
            <w:vAlign w:val="top"/>
          </w:tcPr>
          <w:p w:rsidR="00A46452" w:rsidRDefault="009A3928">
            <w:pPr>
              <w:wordWrap w:val="0"/>
              <w:topLinePunct/>
              <w:ind w:firstLineChars="0" w:firstLine="0"/>
              <w:jc w:val="center"/>
              <w:textAlignment w:val="top"/>
              <w:rPr>
                <w:rFonts w:cs="Times New Roman"/>
                <w:sz w:val="18"/>
                <w:szCs w:val="18"/>
              </w:rPr>
            </w:pPr>
            <w:r>
              <w:rPr>
                <w:rFonts w:cs="Times New Roman"/>
                <w:kern w:val="0"/>
                <w:sz w:val="18"/>
                <w:szCs w:val="18"/>
                <w:lang w:bidi="ar"/>
              </w:rPr>
              <w:t>358</w:t>
            </w:r>
          </w:p>
        </w:tc>
        <w:tc>
          <w:tcPr>
            <w:tcW w:w="793" w:type="dxa"/>
            <w:vAlign w:val="top"/>
          </w:tcPr>
          <w:p w:rsidR="00A46452" w:rsidRDefault="009A3928">
            <w:pPr>
              <w:wordWrap w:val="0"/>
              <w:topLinePunct/>
              <w:ind w:firstLineChars="0" w:firstLine="0"/>
              <w:jc w:val="center"/>
              <w:textAlignment w:val="top"/>
              <w:rPr>
                <w:rFonts w:cs="Times New Roman"/>
                <w:sz w:val="18"/>
                <w:szCs w:val="18"/>
              </w:rPr>
            </w:pPr>
            <w:r>
              <w:rPr>
                <w:rFonts w:cs="Times New Roman"/>
                <w:kern w:val="0"/>
                <w:sz w:val="18"/>
                <w:szCs w:val="18"/>
                <w:lang w:bidi="ar"/>
              </w:rPr>
              <w:t>185</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39" w:name="_Toc26123"/>
      <w:bookmarkStart w:id="240" w:name="_Toc4507847"/>
      <w:r>
        <w:rPr>
          <w:rFonts w:cs="Times New Roman" w:hint="default"/>
          <w:sz w:val="28"/>
          <w:szCs w:val="28"/>
        </w:rPr>
        <w:t>4.2.10</w:t>
      </w:r>
      <w:r>
        <w:rPr>
          <w:rFonts w:cs="Times New Roman" w:hint="default"/>
          <w:sz w:val="28"/>
          <w:szCs w:val="28"/>
        </w:rPr>
        <w:t>工程投资及资金筹措</w:t>
      </w:r>
    </w:p>
    <w:p w:rsidR="00A46452" w:rsidRDefault="009A3928" w:rsidP="00182EED">
      <w:pPr>
        <w:wordWrap w:val="0"/>
        <w:topLinePunct/>
        <w:adjustRightInd w:val="0"/>
        <w:snapToGrid w:val="0"/>
        <w:spacing w:beforeLines="50" w:before="156"/>
        <w:ind w:firstLine="480"/>
        <w:rPr>
          <w:rFonts w:cs="Times New Roman"/>
        </w:rPr>
      </w:pPr>
      <w:bookmarkStart w:id="241" w:name="_Hlk41873282"/>
      <w:r>
        <w:rPr>
          <w:rFonts w:cs="Times New Roman"/>
        </w:rPr>
        <w:t>本项目概算总金额为</w:t>
      </w:r>
      <w:r>
        <w:rPr>
          <w:rFonts w:cs="Times New Roman"/>
        </w:rPr>
        <w:t>117218.67</w:t>
      </w:r>
      <w:r>
        <w:rPr>
          <w:rFonts w:cs="Times New Roman"/>
        </w:rPr>
        <w:t>万元，路线全长</w:t>
      </w:r>
      <w:r>
        <w:rPr>
          <w:rFonts w:cs="Times New Roman"/>
        </w:rPr>
        <w:t>107.379km</w:t>
      </w:r>
      <w:r>
        <w:rPr>
          <w:rFonts w:cs="Times New Roman"/>
        </w:rPr>
        <w:t>，平均每公里造价</w:t>
      </w:r>
      <w:r>
        <w:rPr>
          <w:rFonts w:cs="Times New Roman"/>
        </w:rPr>
        <w:t>1091.63</w:t>
      </w:r>
      <w:r>
        <w:rPr>
          <w:rFonts w:cs="Times New Roman"/>
        </w:rPr>
        <w:t>万元。</w:t>
      </w:r>
    </w:p>
    <w:p w:rsidR="00A46452" w:rsidRDefault="009A3928" w:rsidP="00182EED">
      <w:pPr>
        <w:ind w:firstLine="480"/>
        <w:rPr>
          <w:rFonts w:cs="Times New Roman"/>
        </w:rPr>
      </w:pPr>
      <w:r>
        <w:rPr>
          <w:rFonts w:cs="Times New Roman"/>
        </w:rPr>
        <w:br w:type="page"/>
      </w:r>
    </w:p>
    <w:p w:rsidR="00A46452" w:rsidRDefault="00A46452" w:rsidP="00182EED">
      <w:pPr>
        <w:wordWrap w:val="0"/>
        <w:topLinePunct/>
        <w:adjustRightInd w:val="0"/>
        <w:snapToGrid w:val="0"/>
        <w:spacing w:beforeLines="50" w:before="156"/>
        <w:ind w:firstLine="480"/>
        <w:rPr>
          <w:rFonts w:cs="Times New Roman"/>
        </w:rPr>
        <w:sectPr w:rsidR="00A46452">
          <w:headerReference w:type="default" r:id="rId21"/>
          <w:footerReference w:type="default" r:id="rId22"/>
          <w:pgSz w:w="11906" w:h="16838"/>
          <w:pgMar w:top="1383" w:right="1803" w:bottom="1383" w:left="1803" w:header="680" w:footer="567" w:gutter="0"/>
          <w:cols w:space="425"/>
          <w:docGrid w:type="lines" w:linePitch="312"/>
        </w:sectPr>
      </w:pP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242" w:name="_Toc23502"/>
      <w:bookmarkEnd w:id="241"/>
      <w:r>
        <w:rPr>
          <w:rFonts w:cs="Times New Roman" w:hint="default"/>
          <w:sz w:val="30"/>
          <w:szCs w:val="30"/>
        </w:rPr>
        <w:t>5</w:t>
      </w:r>
      <w:r>
        <w:rPr>
          <w:rFonts w:cs="Times New Roman" w:hint="default"/>
          <w:sz w:val="30"/>
          <w:szCs w:val="30"/>
        </w:rPr>
        <w:t>工程分析</w:t>
      </w:r>
      <w:bookmarkEnd w:id="239"/>
      <w:bookmarkEnd w:id="242"/>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243" w:name="_Toc12432"/>
      <w:r>
        <w:rPr>
          <w:rFonts w:cs="Times New Roman" w:hint="default"/>
          <w:sz w:val="30"/>
          <w:szCs w:val="30"/>
        </w:rPr>
        <w:t>5.1</w:t>
      </w:r>
      <w:r>
        <w:rPr>
          <w:rFonts w:cs="Times New Roman" w:hint="default"/>
          <w:sz w:val="30"/>
          <w:szCs w:val="30"/>
        </w:rPr>
        <w:t>环境影响源识别</w:t>
      </w:r>
      <w:bookmarkEnd w:id="243"/>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5.1.1</w:t>
      </w:r>
      <w:r>
        <w:rPr>
          <w:rFonts w:cs="Times New Roman" w:hint="default"/>
          <w:sz w:val="28"/>
          <w:szCs w:val="28"/>
        </w:rPr>
        <w:t>生态影响因素分析</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hyperlink r:id="rId23" w:history="1">
        <w:r>
          <w:rPr>
            <w:rFonts w:cs="Times New Roman" w:hint="default"/>
            <w:iCs/>
          </w:rPr>
          <w:t>5.1.1.1</w:t>
        </w:r>
      </w:hyperlink>
      <w:r>
        <w:rPr>
          <w:rFonts w:cs="Times New Roman" w:hint="default"/>
          <w:iCs/>
        </w:rPr>
        <w:t>施工期</w:t>
      </w:r>
    </w:p>
    <w:p w:rsidR="00A46452" w:rsidRDefault="009A3928" w:rsidP="00182EED">
      <w:pPr>
        <w:wordWrap w:val="0"/>
        <w:topLinePunct/>
        <w:adjustRightInd w:val="0"/>
        <w:snapToGrid w:val="0"/>
        <w:spacing w:beforeLines="50" w:before="156"/>
        <w:ind w:firstLine="480"/>
        <w:rPr>
          <w:rFonts w:cs="Times New Roman"/>
        </w:rPr>
      </w:pPr>
      <w:r>
        <w:rPr>
          <w:rFonts w:cs="Times New Roman"/>
        </w:rPr>
        <w:t>施工对生态环境的影响包括以下几个方面：</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）道路工程</w:t>
      </w:r>
    </w:p>
    <w:p w:rsidR="00A46452" w:rsidRDefault="009A3928">
      <w:pPr>
        <w:wordWrap w:val="0"/>
        <w:topLinePunct/>
        <w:adjustRightInd w:val="0"/>
        <w:snapToGrid w:val="0"/>
        <w:ind w:firstLine="480"/>
        <w:rPr>
          <w:rFonts w:cs="Times New Roman"/>
        </w:rPr>
      </w:pPr>
      <w:r>
        <w:rPr>
          <w:rFonts w:cs="Times New Roman"/>
        </w:rPr>
        <w:t>道路工程的路基、路面、路线交叉等施工期间路基填方、挖方使沿线征地范围的植被遭到破坏，地表裸露，从而使沿线地区的局部生态结构发生一定的变化。路基地面裸露时被雨水冲刷将造成水土流失，进而降低土壤肥力，影响陆地生态系统的稳定性，工程施工期生态环境影响源详见表</w:t>
      </w:r>
      <w:r>
        <w:rPr>
          <w:rFonts w:cs="Times New Roman" w:hint="eastAsia"/>
        </w:rPr>
        <w:t>5</w:t>
      </w:r>
      <w:r>
        <w:rPr>
          <w:rFonts w:cs="Times New Roman"/>
        </w:rPr>
        <w:t>.</w:t>
      </w:r>
      <w:r>
        <w:rPr>
          <w:rFonts w:cs="Times New Roman" w:hint="eastAsia"/>
        </w:rPr>
        <w:t>1</w:t>
      </w:r>
      <w:r>
        <w:rPr>
          <w:rFonts w:cs="Times New Roman"/>
        </w:rPr>
        <w:t>-</w:t>
      </w:r>
      <w:r>
        <w:rPr>
          <w:rFonts w:cs="Times New Roman"/>
        </w:rPr>
        <w:t>1</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w:t>
      </w:r>
      <w:r>
        <w:rPr>
          <w:rFonts w:eastAsia="黑体" w:cs="Times New Roman" w:hint="eastAsia"/>
        </w:rPr>
        <w:t>1</w:t>
      </w:r>
      <w:r>
        <w:rPr>
          <w:rFonts w:eastAsia="黑体" w:cs="Times New Roman"/>
        </w:rPr>
        <w:t>-</w:t>
      </w:r>
      <w:r>
        <w:rPr>
          <w:rFonts w:eastAsia="黑体" w:cs="Times New Roman"/>
        </w:rPr>
        <w:t>1</w:t>
      </w:r>
      <w:r>
        <w:rPr>
          <w:rFonts w:eastAsia="黑体" w:cs="Times New Roman"/>
        </w:rPr>
        <w:t xml:space="preserve">           </w:t>
      </w:r>
      <w:r>
        <w:rPr>
          <w:rFonts w:eastAsia="黑体" w:cs="Times New Roman"/>
        </w:rPr>
        <w:t xml:space="preserve">   </w:t>
      </w:r>
      <w:r>
        <w:rPr>
          <w:rFonts w:eastAsia="黑体" w:cs="Times New Roman"/>
        </w:rPr>
        <w:t>主体工程施工期生态影响源分析表</w:t>
      </w:r>
    </w:p>
    <w:tbl>
      <w:tblPr>
        <w:tblStyle w:val="affff7"/>
        <w:tblW w:w="5000" w:type="pct"/>
        <w:tblBorders>
          <w:insideH w:val="single" w:sz="6" w:space="0" w:color="auto"/>
          <w:insideV w:val="single" w:sz="6" w:space="0" w:color="auto"/>
        </w:tblBorders>
        <w:tblLook w:val="04A0" w:firstRow="1" w:lastRow="0" w:firstColumn="1" w:lastColumn="0" w:noHBand="0" w:noVBand="1"/>
      </w:tblPr>
      <w:tblGrid>
        <w:gridCol w:w="702"/>
        <w:gridCol w:w="1138"/>
        <w:gridCol w:w="4140"/>
        <w:gridCol w:w="2536"/>
      </w:tblGrid>
      <w:tr w:rsidR="00A46452">
        <w:trPr>
          <w:trHeight w:hRule="exact" w:val="454"/>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序号</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工程项目</w:t>
            </w:r>
          </w:p>
        </w:tc>
        <w:tc>
          <w:tcPr>
            <w:tcW w:w="243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生态环境影响分析</w:t>
            </w:r>
          </w:p>
        </w:tc>
        <w:tc>
          <w:tcPr>
            <w:tcW w:w="148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影响性质和程度</w:t>
            </w:r>
          </w:p>
        </w:tc>
      </w:tr>
      <w:tr w:rsidR="00A46452">
        <w:trPr>
          <w:trHeight w:hRule="exact" w:val="1016"/>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路基</w:t>
            </w:r>
          </w:p>
        </w:tc>
        <w:tc>
          <w:tcPr>
            <w:tcW w:w="2431"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工程</w:t>
            </w:r>
            <w:r>
              <w:rPr>
                <w:rFonts w:eastAsiaTheme="minorEastAsia" w:cs="Times New Roman"/>
                <w:sz w:val="18"/>
                <w:szCs w:val="18"/>
                <w:lang w:val="zh-CN"/>
              </w:rPr>
              <w:t>永久占地面积</w:t>
            </w:r>
            <w:r>
              <w:rPr>
                <w:rFonts w:eastAsiaTheme="minorEastAsia" w:cs="Times New Roman"/>
                <w:sz w:val="18"/>
                <w:szCs w:val="18"/>
              </w:rPr>
              <w:t>300.80h</w:t>
            </w:r>
            <w:r>
              <w:rPr>
                <w:rFonts w:eastAsiaTheme="minorEastAsia" w:cs="Times New Roman"/>
                <w:sz w:val="18"/>
                <w:szCs w:val="18"/>
                <w:lang w:val="zh-CN"/>
              </w:rPr>
              <w:t>m²</w:t>
            </w:r>
            <w:r>
              <w:rPr>
                <w:rFonts w:eastAsiaTheme="minorEastAsia" w:cs="Times New Roman"/>
                <w:sz w:val="18"/>
                <w:szCs w:val="18"/>
                <w:lang w:val="zh-CN"/>
              </w:rPr>
              <w:t>，占地</w:t>
            </w:r>
            <w:r>
              <w:rPr>
                <w:rFonts w:eastAsiaTheme="minorEastAsia" w:cs="Times New Roman"/>
                <w:sz w:val="18"/>
                <w:szCs w:val="18"/>
              </w:rPr>
              <w:t>对耕地、林地、的破坏</w:t>
            </w:r>
            <w:r>
              <w:rPr>
                <w:rFonts w:eastAsiaTheme="minorEastAsia" w:cs="Times New Roman"/>
                <w:sz w:val="18"/>
                <w:szCs w:val="18"/>
              </w:rPr>
              <w:t>，</w:t>
            </w:r>
            <w:r>
              <w:rPr>
                <w:rFonts w:eastAsiaTheme="minorEastAsia" w:cs="Times New Roman"/>
                <w:sz w:val="18"/>
                <w:szCs w:val="18"/>
              </w:rPr>
              <w:t>生物量降低，使农业减产，</w:t>
            </w:r>
            <w:r>
              <w:rPr>
                <w:rFonts w:eastAsiaTheme="minorEastAsia" w:cs="Times New Roman"/>
                <w:sz w:val="18"/>
                <w:szCs w:val="18"/>
              </w:rPr>
              <w:t>导致原有的自然景观和生态环境的破坏，导致地表裸露，并且在一定范围内造成一定量的水土流失</w:t>
            </w:r>
          </w:p>
        </w:tc>
        <w:tc>
          <w:tcPr>
            <w:tcW w:w="1489"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一般不可逆，影响较大</w:t>
            </w:r>
          </w:p>
        </w:tc>
      </w:tr>
      <w:tr w:rsidR="00A46452">
        <w:trPr>
          <w:trHeight w:hRule="exact" w:val="617"/>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填方</w:t>
            </w:r>
          </w:p>
        </w:tc>
        <w:tc>
          <w:tcPr>
            <w:tcW w:w="2431"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填压植被和植物，易产生水土流失，对一些自然径流产生阻隔影响</w:t>
            </w:r>
          </w:p>
        </w:tc>
        <w:tc>
          <w:tcPr>
            <w:tcW w:w="1489"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产生的边坡可恢复植被，水土流失可控制</w:t>
            </w:r>
          </w:p>
        </w:tc>
      </w:tr>
      <w:tr w:rsidR="00A46452">
        <w:trPr>
          <w:trHeight w:hRule="exact" w:val="586"/>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挖方</w:t>
            </w:r>
          </w:p>
        </w:tc>
        <w:tc>
          <w:tcPr>
            <w:tcW w:w="2431"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挖方破坏地貌和植被，易产生水土流失及地质灾害</w:t>
            </w:r>
          </w:p>
        </w:tc>
        <w:tc>
          <w:tcPr>
            <w:tcW w:w="1489"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产生的石质边坡不易恢复植被，深挖路段影响较大</w:t>
            </w:r>
          </w:p>
        </w:tc>
      </w:tr>
      <w:tr w:rsidR="00A46452">
        <w:trPr>
          <w:trHeight w:hRule="exact" w:val="379"/>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4</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路面</w:t>
            </w:r>
          </w:p>
        </w:tc>
        <w:tc>
          <w:tcPr>
            <w:tcW w:w="2431"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主要是易产生水土流失</w:t>
            </w:r>
          </w:p>
        </w:tc>
        <w:tc>
          <w:tcPr>
            <w:tcW w:w="1489"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不可逆，影响较大</w:t>
            </w:r>
          </w:p>
        </w:tc>
      </w:tr>
      <w:tr w:rsidR="00A46452">
        <w:trPr>
          <w:trHeight w:hRule="exact" w:val="649"/>
        </w:trPr>
        <w:tc>
          <w:tcPr>
            <w:tcW w:w="41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66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桥梁</w:t>
            </w:r>
          </w:p>
        </w:tc>
        <w:tc>
          <w:tcPr>
            <w:tcW w:w="2431"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本项目新建大桥</w:t>
            </w:r>
            <w:r>
              <w:rPr>
                <w:rFonts w:eastAsiaTheme="minorEastAsia" w:cs="Times New Roman"/>
                <w:sz w:val="18"/>
                <w:szCs w:val="18"/>
              </w:rPr>
              <w:t>4</w:t>
            </w:r>
            <w:r>
              <w:rPr>
                <w:rFonts w:eastAsiaTheme="minorEastAsia" w:cs="Times New Roman"/>
                <w:sz w:val="18"/>
                <w:szCs w:val="18"/>
              </w:rPr>
              <w:t>座，中桥</w:t>
            </w:r>
            <w:r>
              <w:rPr>
                <w:rFonts w:eastAsiaTheme="minorEastAsia" w:cs="Times New Roman"/>
                <w:sz w:val="18"/>
                <w:szCs w:val="18"/>
              </w:rPr>
              <w:t>6</w:t>
            </w:r>
            <w:r>
              <w:rPr>
                <w:rFonts w:eastAsiaTheme="minorEastAsia" w:cs="Times New Roman"/>
                <w:sz w:val="18"/>
                <w:szCs w:val="18"/>
              </w:rPr>
              <w:t>座，小桥</w:t>
            </w:r>
            <w:r>
              <w:rPr>
                <w:rFonts w:eastAsiaTheme="minorEastAsia" w:cs="Times New Roman"/>
                <w:sz w:val="18"/>
                <w:szCs w:val="18"/>
              </w:rPr>
              <w:t>4</w:t>
            </w:r>
            <w:r>
              <w:rPr>
                <w:rFonts w:eastAsiaTheme="minorEastAsia" w:cs="Times New Roman"/>
                <w:sz w:val="18"/>
                <w:szCs w:val="18"/>
              </w:rPr>
              <w:t>座；桥梁施工对水质、水生生物影响</w:t>
            </w:r>
          </w:p>
        </w:tc>
        <w:tc>
          <w:tcPr>
            <w:tcW w:w="1489"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可逆，影响中等</w:t>
            </w:r>
          </w:p>
        </w:tc>
      </w:tr>
    </w:tbl>
    <w:p w:rsidR="00A46452" w:rsidRDefault="009A3928" w:rsidP="00182EED">
      <w:pPr>
        <w:wordWrap w:val="0"/>
        <w:topLinePunct/>
        <w:adjustRightInd w:val="0"/>
        <w:snapToGrid w:val="0"/>
        <w:spacing w:beforeLines="50" w:before="156"/>
        <w:ind w:firstLine="480"/>
        <w:rPr>
          <w:rFonts w:cs="Times New Roman"/>
        </w:rPr>
      </w:pPr>
      <w:r>
        <w:rPr>
          <w:rFonts w:cs="Times New Roman"/>
        </w:rPr>
        <w:t>（</w:t>
      </w:r>
      <w:r>
        <w:rPr>
          <w:rFonts w:cs="Times New Roman"/>
        </w:rPr>
        <w:t>2</w:t>
      </w:r>
      <w:r>
        <w:rPr>
          <w:rFonts w:cs="Times New Roman"/>
        </w:rPr>
        <w:t>）临时工程</w:t>
      </w:r>
    </w:p>
    <w:p w:rsidR="00A46452" w:rsidRDefault="009A3928">
      <w:pPr>
        <w:wordWrap w:val="0"/>
        <w:topLinePunct/>
        <w:adjustRightInd w:val="0"/>
        <w:snapToGrid w:val="0"/>
        <w:ind w:firstLine="480"/>
        <w:rPr>
          <w:rFonts w:cs="Times New Roman"/>
        </w:rPr>
      </w:pPr>
      <w:r>
        <w:rPr>
          <w:rFonts w:cs="Times New Roman"/>
        </w:rPr>
        <w:t>道路辅助工程包括施工道路、弃</w:t>
      </w:r>
      <w:r>
        <w:rPr>
          <w:rFonts w:cs="Times New Roman"/>
        </w:rPr>
        <w:t>土</w:t>
      </w:r>
      <w:r>
        <w:rPr>
          <w:rFonts w:cs="Times New Roman"/>
        </w:rPr>
        <w:t>场等内容，辅助工程施工期生态环境影响源详见表</w:t>
      </w:r>
      <w:r>
        <w:rPr>
          <w:rFonts w:cs="Times New Roman" w:hint="eastAsia"/>
        </w:rPr>
        <w:t>5</w:t>
      </w:r>
      <w:r>
        <w:rPr>
          <w:rFonts w:cs="Times New Roman"/>
        </w:rPr>
        <w:t>.</w:t>
      </w:r>
      <w:r>
        <w:rPr>
          <w:rFonts w:cs="Times New Roman" w:hint="eastAsia"/>
        </w:rPr>
        <w:t>1</w:t>
      </w:r>
      <w:r>
        <w:rPr>
          <w:rFonts w:cs="Times New Roman"/>
        </w:rPr>
        <w:t>-</w:t>
      </w:r>
      <w:r>
        <w:rPr>
          <w:rFonts w:cs="Times New Roman"/>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w:t>
      </w:r>
      <w:r>
        <w:rPr>
          <w:rFonts w:eastAsia="黑体" w:cs="Times New Roman" w:hint="eastAsia"/>
        </w:rPr>
        <w:t>1</w:t>
      </w:r>
      <w:r>
        <w:rPr>
          <w:rFonts w:eastAsia="黑体" w:cs="Times New Roman"/>
        </w:rPr>
        <w:t>-</w:t>
      </w:r>
      <w:r>
        <w:rPr>
          <w:rFonts w:eastAsia="黑体" w:cs="Times New Roman"/>
        </w:rPr>
        <w:t>2</w:t>
      </w:r>
      <w:r>
        <w:rPr>
          <w:rFonts w:eastAsia="黑体" w:cs="Times New Roman"/>
        </w:rPr>
        <w:t xml:space="preserve">        </w:t>
      </w:r>
      <w:r>
        <w:rPr>
          <w:rFonts w:eastAsia="黑体" w:cs="Times New Roman"/>
        </w:rPr>
        <w:t xml:space="preserve">      </w:t>
      </w:r>
      <w:r>
        <w:rPr>
          <w:rFonts w:eastAsia="黑体" w:cs="Times New Roman"/>
        </w:rPr>
        <w:t>辅助工程施工期生态影响源分析表</w:t>
      </w:r>
    </w:p>
    <w:tbl>
      <w:tblPr>
        <w:tblStyle w:val="affff7"/>
        <w:tblW w:w="0" w:type="auto"/>
        <w:jc w:val="center"/>
        <w:tblBorders>
          <w:insideH w:val="single" w:sz="6" w:space="0" w:color="auto"/>
          <w:insideV w:val="single" w:sz="6" w:space="0" w:color="auto"/>
        </w:tblBorders>
        <w:tblLook w:val="04A0" w:firstRow="1" w:lastRow="0" w:firstColumn="1" w:lastColumn="0" w:noHBand="0" w:noVBand="1"/>
      </w:tblPr>
      <w:tblGrid>
        <w:gridCol w:w="703"/>
        <w:gridCol w:w="1261"/>
        <w:gridCol w:w="4016"/>
        <w:gridCol w:w="2536"/>
      </w:tblGrid>
      <w:tr w:rsidR="00A46452">
        <w:trPr>
          <w:jc w:val="center"/>
        </w:trPr>
        <w:tc>
          <w:tcPr>
            <w:tcW w:w="412"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序号</w:t>
            </w:r>
          </w:p>
        </w:tc>
        <w:tc>
          <w:tcPr>
            <w:tcW w:w="740"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工程项目</w:t>
            </w:r>
          </w:p>
        </w:tc>
        <w:tc>
          <w:tcPr>
            <w:tcW w:w="2358"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生态环境影响分析</w:t>
            </w:r>
          </w:p>
        </w:tc>
        <w:tc>
          <w:tcPr>
            <w:tcW w:w="1489"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影响性质和程度</w:t>
            </w:r>
          </w:p>
        </w:tc>
      </w:tr>
      <w:tr w:rsidR="00A46452">
        <w:trPr>
          <w:jc w:val="center"/>
        </w:trPr>
        <w:tc>
          <w:tcPr>
            <w:tcW w:w="412"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1</w:t>
            </w:r>
          </w:p>
        </w:tc>
        <w:tc>
          <w:tcPr>
            <w:tcW w:w="740"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施工道路</w:t>
            </w:r>
          </w:p>
        </w:tc>
        <w:tc>
          <w:tcPr>
            <w:tcW w:w="2358"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施工道路范围的植被和植物遭到破坏，路基裸露时被雨水冲刷将造成水土流失</w:t>
            </w:r>
          </w:p>
        </w:tc>
        <w:tc>
          <w:tcPr>
            <w:tcW w:w="1489"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一般可逆，影响中等</w:t>
            </w:r>
          </w:p>
        </w:tc>
      </w:tr>
      <w:tr w:rsidR="00A46452">
        <w:trPr>
          <w:jc w:val="center"/>
        </w:trPr>
        <w:tc>
          <w:tcPr>
            <w:tcW w:w="412"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2</w:t>
            </w:r>
          </w:p>
        </w:tc>
        <w:tc>
          <w:tcPr>
            <w:tcW w:w="740"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综合站场</w:t>
            </w:r>
          </w:p>
        </w:tc>
        <w:tc>
          <w:tcPr>
            <w:tcW w:w="2358"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施工营地范围的植被和植物遭到破坏，场地裸露时被雨水冲刷将造成水土流失</w:t>
            </w:r>
          </w:p>
        </w:tc>
        <w:tc>
          <w:tcPr>
            <w:tcW w:w="1489"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结束后可恢复植被，水土流失可控制，影响不大</w:t>
            </w:r>
          </w:p>
        </w:tc>
      </w:tr>
      <w:tr w:rsidR="00A46452">
        <w:trPr>
          <w:jc w:val="center"/>
        </w:trPr>
        <w:tc>
          <w:tcPr>
            <w:tcW w:w="412"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3</w:t>
            </w:r>
          </w:p>
        </w:tc>
        <w:tc>
          <w:tcPr>
            <w:tcW w:w="740" w:type="pct"/>
          </w:tcPr>
          <w:p w:rsidR="00A46452" w:rsidRDefault="009A3928">
            <w:pPr>
              <w:wordWrap w:val="0"/>
              <w:topLinePunct/>
              <w:adjustRightInd w:val="0"/>
              <w:snapToGrid w:val="0"/>
              <w:spacing w:line="300" w:lineRule="exact"/>
              <w:ind w:firstLineChars="0" w:firstLine="0"/>
              <w:jc w:val="center"/>
              <w:rPr>
                <w:rFonts w:eastAsiaTheme="minorEastAsia" w:cs="Times New Roman"/>
                <w:sz w:val="18"/>
                <w:szCs w:val="18"/>
              </w:rPr>
            </w:pPr>
            <w:r>
              <w:rPr>
                <w:rFonts w:eastAsiaTheme="minorEastAsia" w:cs="Times New Roman"/>
                <w:sz w:val="18"/>
                <w:szCs w:val="18"/>
              </w:rPr>
              <w:t>弃土场</w:t>
            </w:r>
          </w:p>
        </w:tc>
        <w:tc>
          <w:tcPr>
            <w:tcW w:w="2358"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填压植被，易产生水土流失，对一些自然径</w:t>
            </w:r>
          </w:p>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流产生阻隔影响</w:t>
            </w:r>
          </w:p>
        </w:tc>
        <w:tc>
          <w:tcPr>
            <w:tcW w:w="1489" w:type="pct"/>
          </w:tcPr>
          <w:p w:rsidR="00A46452" w:rsidRDefault="009A3928">
            <w:pPr>
              <w:wordWrap w:val="0"/>
              <w:topLinePunct/>
              <w:adjustRightInd w:val="0"/>
              <w:snapToGrid w:val="0"/>
              <w:spacing w:line="300" w:lineRule="exact"/>
              <w:ind w:firstLineChars="0" w:firstLine="0"/>
              <w:rPr>
                <w:rFonts w:eastAsiaTheme="minorEastAsia" w:cs="Times New Roman"/>
                <w:sz w:val="18"/>
                <w:szCs w:val="18"/>
              </w:rPr>
            </w:pPr>
            <w:r>
              <w:rPr>
                <w:rFonts w:eastAsiaTheme="minorEastAsia" w:cs="Times New Roman"/>
                <w:sz w:val="18"/>
                <w:szCs w:val="18"/>
              </w:rPr>
              <w:t>结束后可恢复植被，水土流失可控制，影响不大</w:t>
            </w: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hyperlink r:id="rId24" w:history="1">
        <w:r>
          <w:rPr>
            <w:rFonts w:cs="Times New Roman" w:hint="default"/>
            <w:iCs/>
          </w:rPr>
          <w:t>5.1.1.2</w:t>
        </w:r>
      </w:hyperlink>
      <w:r>
        <w:rPr>
          <w:rFonts w:cs="Times New Roman" w:hint="default"/>
          <w:iCs/>
        </w:rPr>
        <w:t>运营期</w:t>
      </w:r>
    </w:p>
    <w:p w:rsidR="00A46452" w:rsidRDefault="009A3928">
      <w:pPr>
        <w:wordWrap w:val="0"/>
        <w:topLinePunct/>
        <w:adjustRightInd w:val="0"/>
        <w:snapToGrid w:val="0"/>
        <w:ind w:firstLine="480"/>
        <w:rPr>
          <w:rFonts w:cs="Times New Roman"/>
        </w:rPr>
      </w:pPr>
      <w:r>
        <w:rPr>
          <w:rFonts w:cs="Times New Roman"/>
        </w:rPr>
        <w:t>营运期对生态环境的影响主要表现在生物、水土流失、景观生态等方面：</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）进入营运期，项目两侧种植部分树木、花卉，故在施工期损失的</w:t>
      </w:r>
      <w:r>
        <w:rPr>
          <w:rFonts w:cs="Times New Roman"/>
        </w:rPr>
        <w:t>生物</w:t>
      </w:r>
      <w:r>
        <w:rPr>
          <w:rFonts w:cs="Times New Roman"/>
        </w:rPr>
        <w:t>量会有所补偿；</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）公路沿线设置</w:t>
      </w:r>
      <w:r>
        <w:rPr>
          <w:rFonts w:cs="Times New Roman"/>
        </w:rPr>
        <w:t>了</w:t>
      </w:r>
      <w:r>
        <w:rPr>
          <w:rFonts w:cs="Times New Roman"/>
        </w:rPr>
        <w:t>桥涵，基本能够满足蛇、蜥蜴、鼠、野兔等动物对跨越公路的需求，不会对其迁移产生明显的影响。因此不存在对沿线</w:t>
      </w:r>
      <w:r>
        <w:rPr>
          <w:rFonts w:cs="Times New Roman"/>
        </w:rPr>
        <w:t>小</w:t>
      </w:r>
      <w:r>
        <w:rPr>
          <w:rFonts w:cs="Times New Roman"/>
        </w:rPr>
        <w:t>型陆生野生动物生存产生影响的问题；</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）进入营运期，随着植被逐渐恢复、地面的硬化等，水土流失量将逐渐</w:t>
      </w:r>
      <w:r>
        <w:rPr>
          <w:rFonts w:cs="Times New Roman"/>
        </w:rPr>
        <w:t>减少</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）项目作为沥青混凝土结构的人文景观，呈带状蜿蜒在农田、果园和村镇之间，由于本项目</w:t>
      </w:r>
      <w:r>
        <w:rPr>
          <w:rFonts w:cs="Times New Roman"/>
        </w:rPr>
        <w:t>部分为原有道路的改建</w:t>
      </w:r>
      <w:r>
        <w:rPr>
          <w:rFonts w:cs="Times New Roman"/>
        </w:rPr>
        <w:t>，原公路形成了独特的公路景观，道路建成后对现有</w:t>
      </w:r>
      <w:r>
        <w:rPr>
          <w:rFonts w:cs="Times New Roman"/>
        </w:rPr>
        <w:t>公路的</w:t>
      </w:r>
      <w:r>
        <w:rPr>
          <w:rFonts w:cs="Times New Roman"/>
        </w:rPr>
        <w:t>景观分割较小。</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 xml:space="preserve">5.1.2 </w:t>
      </w:r>
      <w:r>
        <w:rPr>
          <w:rFonts w:cs="Times New Roman" w:hint="default"/>
          <w:sz w:val="28"/>
          <w:szCs w:val="28"/>
        </w:rPr>
        <w:t>污染影响因素分析</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hyperlink r:id="rId25" w:history="1">
        <w:r>
          <w:rPr>
            <w:rFonts w:cs="Times New Roman" w:hint="default"/>
            <w:iCs/>
          </w:rPr>
          <w:t>5.1.2.1</w:t>
        </w:r>
      </w:hyperlink>
      <w:r>
        <w:rPr>
          <w:rFonts w:cs="Times New Roman" w:hint="default"/>
          <w:iCs/>
        </w:rPr>
        <w:t>施工期</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沥青混凝土</w:t>
      </w:r>
      <w:r>
        <w:rPr>
          <w:rFonts w:cs="Times New Roman"/>
        </w:rPr>
        <w:t>拌和站</w:t>
      </w:r>
    </w:p>
    <w:p w:rsidR="00A46452" w:rsidRDefault="009A3928">
      <w:pPr>
        <w:wordWrap w:val="0"/>
        <w:topLinePunct/>
        <w:adjustRightInd w:val="0"/>
        <w:snapToGrid w:val="0"/>
        <w:ind w:firstLine="480"/>
        <w:rPr>
          <w:rFonts w:cs="Times New Roman"/>
        </w:rPr>
      </w:pPr>
      <w:r>
        <w:rPr>
          <w:rFonts w:cs="Times New Roman"/>
        </w:rPr>
        <w:t>沥青混凝土</w:t>
      </w:r>
      <w:r>
        <w:rPr>
          <w:rFonts w:cs="Times New Roman"/>
        </w:rPr>
        <w:t>拌和站</w:t>
      </w:r>
      <w:r>
        <w:rPr>
          <w:rFonts w:cs="Times New Roman"/>
        </w:rPr>
        <w:t>主要原料为沥青、石料、机制砂和矿粉等。沥青混凝土拌合站生产工艺流程：</w:t>
      </w:r>
    </w:p>
    <w:p w:rsidR="00A46452" w:rsidRDefault="009A3928">
      <w:pPr>
        <w:wordWrap w:val="0"/>
        <w:topLinePunct/>
        <w:adjustRightInd w:val="0"/>
        <w:snapToGrid w:val="0"/>
        <w:ind w:firstLine="480"/>
        <w:rPr>
          <w:rFonts w:cs="Times New Roman"/>
        </w:rPr>
      </w:pPr>
      <w:r>
        <w:rPr>
          <w:rFonts w:cs="Times New Roman"/>
        </w:rPr>
        <w:t>①</w:t>
      </w:r>
      <w:r>
        <w:rPr>
          <w:rFonts w:cs="Times New Roman"/>
        </w:rPr>
        <w:t>原料进厂：沥青混凝土的主要原料为热沥青、石子、机制砂、矿粉、其中热沥青由罐车运输入厂后储存到沥青保温罐内，利用导热油炉加热沥青保温罐保温；石子、机制砂进厂后储存在密闭式</w:t>
      </w:r>
      <w:r>
        <w:rPr>
          <w:rFonts w:cs="Times New Roman"/>
        </w:rPr>
        <w:t>料场内</w:t>
      </w:r>
      <w:r>
        <w:rPr>
          <w:rFonts w:cs="Times New Roman"/>
        </w:rPr>
        <w:t>；矿粉由罐车运输入厂后储存在筒仓内。该过程主要产生车辆运输扬尘、卸料粉尘、交通噪声。</w:t>
      </w:r>
    </w:p>
    <w:p w:rsidR="00A46452" w:rsidRDefault="009A3928">
      <w:pPr>
        <w:wordWrap w:val="0"/>
        <w:topLinePunct/>
        <w:adjustRightInd w:val="0"/>
        <w:snapToGrid w:val="0"/>
        <w:ind w:firstLine="480"/>
        <w:rPr>
          <w:rFonts w:cs="Times New Roman"/>
        </w:rPr>
      </w:pPr>
      <w:r>
        <w:rPr>
          <w:rFonts w:cs="Times New Roman"/>
        </w:rPr>
        <w:t>②</w:t>
      </w:r>
      <w:r>
        <w:rPr>
          <w:rFonts w:cs="Times New Roman"/>
        </w:rPr>
        <w:t>石子上料：石子、机制砂（称为</w:t>
      </w:r>
      <w:r>
        <w:rPr>
          <w:rFonts w:cs="Times New Roman"/>
        </w:rPr>
        <w:t>“</w:t>
      </w:r>
      <w:r>
        <w:rPr>
          <w:rFonts w:cs="Times New Roman"/>
        </w:rPr>
        <w:t>骨料</w:t>
      </w:r>
      <w:r>
        <w:rPr>
          <w:rFonts w:cs="Times New Roman"/>
        </w:rPr>
        <w:t>”</w:t>
      </w:r>
      <w:r>
        <w:rPr>
          <w:rFonts w:cs="Times New Roman"/>
        </w:rPr>
        <w:t>）由铲车装入上料斗内，通过料斗下方的皮带给料机自动计量后落入输送皮带，传送到烘干滚筒内。该过程主要产生上料粉尘、铲车及输送设备运输噪声。</w:t>
      </w:r>
    </w:p>
    <w:p w:rsidR="00A46452" w:rsidRDefault="009A3928">
      <w:pPr>
        <w:wordWrap w:val="0"/>
        <w:topLinePunct/>
        <w:adjustRightInd w:val="0"/>
        <w:snapToGrid w:val="0"/>
        <w:ind w:firstLine="480"/>
        <w:rPr>
          <w:rFonts w:cs="Times New Roman"/>
        </w:rPr>
      </w:pPr>
      <w:r>
        <w:rPr>
          <w:rFonts w:cs="Times New Roman"/>
        </w:rPr>
        <w:t>③</w:t>
      </w:r>
      <w:r>
        <w:rPr>
          <w:rFonts w:cs="Times New Roman"/>
        </w:rPr>
        <w:t>矿粉输送：矿粉由筒仓下料口的计量螺旋输送机计量、输送至搅拌机内。该过程主要产生矿粉筒仓呼吸粉尘、螺旋输送设备噪声。</w:t>
      </w:r>
    </w:p>
    <w:p w:rsidR="00A46452" w:rsidRDefault="009A3928">
      <w:pPr>
        <w:wordWrap w:val="0"/>
        <w:topLinePunct/>
        <w:adjustRightInd w:val="0"/>
        <w:snapToGrid w:val="0"/>
        <w:ind w:firstLine="480"/>
        <w:rPr>
          <w:rFonts w:cs="Times New Roman"/>
        </w:rPr>
      </w:pPr>
      <w:r>
        <w:rPr>
          <w:rFonts w:cs="Times New Roman"/>
        </w:rPr>
        <w:t>④</w:t>
      </w:r>
      <w:r>
        <w:rPr>
          <w:rFonts w:cs="Times New Roman"/>
        </w:rPr>
        <w:t>沥青加热：沥青在保温罐内由燃气导热油炉加热至</w:t>
      </w:r>
      <w:r>
        <w:rPr>
          <w:rFonts w:cs="Times New Roman"/>
        </w:rPr>
        <w:t>120℃</w:t>
      </w:r>
      <w:r>
        <w:rPr>
          <w:rFonts w:cs="Times New Roman"/>
        </w:rPr>
        <w:t>左右，通过流量泵计量输送至搅拌机内与骨料混合。石子、机制砂、矿粉、沥青的配料比为</w:t>
      </w:r>
      <w:r>
        <w:rPr>
          <w:rFonts w:cs="Times New Roman"/>
        </w:rPr>
        <w:t>5.5:3.5</w:t>
      </w:r>
      <w:r>
        <w:rPr>
          <w:rFonts w:cs="Times New Roman"/>
        </w:rPr>
        <w:t>:</w:t>
      </w:r>
      <w:r>
        <w:rPr>
          <w:rFonts w:cs="Times New Roman"/>
        </w:rPr>
        <w:t>0.5:0.5</w:t>
      </w:r>
      <w:r>
        <w:rPr>
          <w:rFonts w:cs="Times New Roman"/>
        </w:rPr>
        <w:t>。该过程主要产生导热油炉天然气燃烧废气（</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X</w:t>
      </w:r>
      <w:r>
        <w:rPr>
          <w:rFonts w:cs="Times New Roman"/>
        </w:rPr>
        <w:t>、烟尘）、沥青罐呼吸废气（沥青烟、苯并芘）、沥青泵运行噪声。</w:t>
      </w:r>
    </w:p>
    <w:p w:rsidR="00A46452" w:rsidRDefault="009A3928">
      <w:pPr>
        <w:wordWrap w:val="0"/>
        <w:topLinePunct/>
        <w:adjustRightInd w:val="0"/>
        <w:snapToGrid w:val="0"/>
        <w:ind w:firstLine="480"/>
        <w:rPr>
          <w:rFonts w:cs="Times New Roman"/>
        </w:rPr>
      </w:pPr>
      <w:r>
        <w:rPr>
          <w:rFonts w:cs="Times New Roman"/>
        </w:rPr>
        <w:t>⑤</w:t>
      </w:r>
      <w:r>
        <w:rPr>
          <w:rFonts w:cs="Times New Roman"/>
        </w:rPr>
        <w:t>烘干加热：骨料进入密闭烘干滚筒后，由天然气直接燃烧烘干骨料，温度控制在</w:t>
      </w:r>
      <w:r>
        <w:rPr>
          <w:rFonts w:cs="Times New Roman"/>
        </w:rPr>
        <w:t>200℃</w:t>
      </w:r>
      <w:r>
        <w:rPr>
          <w:rFonts w:cs="Times New Roman"/>
        </w:rPr>
        <w:t>左右，烘干滚筒不停转动，使骨料受热</w:t>
      </w:r>
      <w:r>
        <w:rPr>
          <w:rFonts w:cs="Times New Roman"/>
        </w:rPr>
        <w:t>均匀。该过程主要产生天然气燃烧废气（</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X</w:t>
      </w:r>
      <w:r>
        <w:rPr>
          <w:rFonts w:cs="Times New Roman"/>
        </w:rPr>
        <w:t>、烟尘）、烘干粉尘及烘干滚筒运行噪声。</w:t>
      </w:r>
    </w:p>
    <w:p w:rsidR="00A46452" w:rsidRDefault="009A3928">
      <w:pPr>
        <w:wordWrap w:val="0"/>
        <w:topLinePunct/>
        <w:adjustRightInd w:val="0"/>
        <w:snapToGrid w:val="0"/>
        <w:ind w:firstLine="480"/>
        <w:rPr>
          <w:rFonts w:cs="Times New Roman"/>
        </w:rPr>
      </w:pPr>
      <w:r>
        <w:rPr>
          <w:rFonts w:cs="Times New Roman"/>
        </w:rPr>
        <w:t>⑥</w:t>
      </w:r>
      <w:r>
        <w:rPr>
          <w:rFonts w:cs="Times New Roman"/>
        </w:rPr>
        <w:t>热料提升：烘干滚筒出料口与提升机密闭连接，热骨料由滚筒出料口落入全密闭式提升机内，提升至搅拌楼上方的振动筛内。</w:t>
      </w:r>
    </w:p>
    <w:p w:rsidR="00A46452" w:rsidRDefault="009A3928">
      <w:pPr>
        <w:wordWrap w:val="0"/>
        <w:topLinePunct/>
        <w:adjustRightInd w:val="0"/>
        <w:snapToGrid w:val="0"/>
        <w:ind w:firstLine="480"/>
        <w:rPr>
          <w:rFonts w:cs="Times New Roman"/>
        </w:rPr>
      </w:pPr>
      <w:r>
        <w:rPr>
          <w:rFonts w:cs="Times New Roman"/>
        </w:rPr>
        <w:t>⑦</w:t>
      </w:r>
      <w:r>
        <w:rPr>
          <w:rFonts w:cs="Times New Roman"/>
        </w:rPr>
        <w:t>搅拌：热骨料在自动计量系统的控制下落入封闭式搅拌机内，与沥青、矿粉充分搅拌，使其混合均匀后即为沥青混凝土成品。此过程主要产生搅拌废气（沥青烟、苯并芘）及搅拌机运行噪声。</w:t>
      </w:r>
    </w:p>
    <w:p w:rsidR="00A46452" w:rsidRDefault="009A3928">
      <w:pPr>
        <w:wordWrap w:val="0"/>
        <w:topLinePunct/>
        <w:adjustRightInd w:val="0"/>
        <w:snapToGrid w:val="0"/>
        <w:ind w:firstLine="480"/>
        <w:rPr>
          <w:rFonts w:cs="Times New Roman"/>
        </w:rPr>
      </w:pPr>
      <w:r>
        <w:rPr>
          <w:rFonts w:cs="Times New Roman"/>
        </w:rPr>
        <w:t>⑧</w:t>
      </w:r>
      <w:r>
        <w:rPr>
          <w:rFonts w:cs="Times New Roman"/>
        </w:rPr>
        <w:t>出料：沥青混凝土成品由搅拌机出料口落入成品料仓内，料仓下料口直接落入运输车辆外运至工地。成品出料时沥青烟废气会随物料由出料口逸散。</w:t>
      </w:r>
    </w:p>
    <w:p w:rsidR="00A46452" w:rsidRDefault="009A3928">
      <w:pPr>
        <w:wordWrap w:val="0"/>
        <w:topLinePunct/>
        <w:adjustRightInd w:val="0"/>
        <w:snapToGrid w:val="0"/>
        <w:ind w:firstLine="480"/>
        <w:rPr>
          <w:rFonts w:cs="Times New Roman"/>
        </w:rPr>
      </w:pPr>
      <w:r>
        <w:rPr>
          <w:rFonts w:cs="Times New Roman"/>
        </w:rPr>
        <w:t>沥</w:t>
      </w:r>
      <w:r>
        <w:rPr>
          <w:rFonts w:cs="Times New Roman"/>
        </w:rPr>
        <w:t>青混凝土</w:t>
      </w:r>
      <w:r>
        <w:rPr>
          <w:rFonts w:cs="Times New Roman"/>
        </w:rPr>
        <w:t>拌和站</w:t>
      </w:r>
      <w:r>
        <w:rPr>
          <w:rFonts w:cs="Times New Roman"/>
        </w:rPr>
        <w:t>采取的环保措施如下：</w:t>
      </w:r>
    </w:p>
    <w:p w:rsidR="00A46452" w:rsidRDefault="009A3928">
      <w:pPr>
        <w:wordWrap w:val="0"/>
        <w:topLinePunct/>
        <w:adjustRightInd w:val="0"/>
        <w:snapToGrid w:val="0"/>
        <w:ind w:firstLine="480"/>
        <w:rPr>
          <w:rFonts w:cs="Times New Roman"/>
        </w:rPr>
      </w:pPr>
      <w:r>
        <w:rPr>
          <w:rFonts w:cs="Times New Roman"/>
        </w:rPr>
        <w:t>①</w:t>
      </w:r>
      <w:r>
        <w:rPr>
          <w:rFonts w:cs="Times New Roman"/>
        </w:rPr>
        <w:t>废气：沥青储罐、搅拌过程产生的废气，出料过程经出料口收集系统产生的沥青烟废气，经</w:t>
      </w:r>
      <w:r>
        <w:rPr>
          <w:rFonts w:cs="Times New Roman"/>
        </w:rPr>
        <w:t>“</w:t>
      </w:r>
      <w:r>
        <w:rPr>
          <w:rFonts w:cs="Times New Roman"/>
        </w:rPr>
        <w:t>布袋除尘器</w:t>
      </w:r>
      <w:r>
        <w:rPr>
          <w:rFonts w:cs="Times New Roman"/>
        </w:rPr>
        <w:t>+</w:t>
      </w:r>
      <w:r>
        <w:rPr>
          <w:rFonts w:cs="Times New Roman"/>
        </w:rPr>
        <w:t>沥青烟气处理装置（活性炭吸附）</w:t>
      </w:r>
      <w:r>
        <w:rPr>
          <w:rFonts w:cs="Times New Roman"/>
        </w:rPr>
        <w:t>”</w:t>
      </w:r>
      <w:r>
        <w:rPr>
          <w:rFonts w:cs="Times New Roman"/>
        </w:rPr>
        <w:t>装置处理后，经</w:t>
      </w:r>
      <w:r>
        <w:rPr>
          <w:rFonts w:cs="Times New Roman"/>
        </w:rPr>
        <w:t>15m</w:t>
      </w:r>
      <w:r>
        <w:rPr>
          <w:rFonts w:cs="Times New Roman"/>
        </w:rPr>
        <w:t>高排气筒排放；上料过程采用自动化配料，上料口设置集气罩并配备垂帘，收集粉尘经布袋除尘器收集后，经</w:t>
      </w:r>
      <w:r>
        <w:rPr>
          <w:rFonts w:cs="Times New Roman"/>
        </w:rPr>
        <w:t>15m</w:t>
      </w:r>
      <w:r>
        <w:rPr>
          <w:rFonts w:cs="Times New Roman"/>
        </w:rPr>
        <w:t>高排气筒排放；粉状物料筒仓仓顶设置脉冲布袋除尘器，经筒仓顶部排气筒排放；沥青加热设置导热油炉采用天然气加热，采用国际领先低氮燃烧器，经</w:t>
      </w:r>
      <w:r>
        <w:rPr>
          <w:rFonts w:cs="Times New Roman"/>
        </w:rPr>
        <w:t>15m</w:t>
      </w:r>
      <w:r>
        <w:rPr>
          <w:rFonts w:cs="Times New Roman"/>
        </w:rPr>
        <w:t>高排气筒排放。</w:t>
      </w:r>
    </w:p>
    <w:p w:rsidR="00A46452" w:rsidRDefault="009A3928">
      <w:pPr>
        <w:wordWrap w:val="0"/>
        <w:topLinePunct/>
        <w:adjustRightInd w:val="0"/>
        <w:snapToGrid w:val="0"/>
        <w:ind w:firstLine="480"/>
        <w:rPr>
          <w:rFonts w:cs="Times New Roman"/>
        </w:rPr>
      </w:pPr>
      <w:r>
        <w:rPr>
          <w:rFonts w:cs="Times New Roman"/>
        </w:rPr>
        <w:t>②</w:t>
      </w:r>
      <w:r>
        <w:rPr>
          <w:rFonts w:cs="Times New Roman"/>
        </w:rPr>
        <w:t>废水：沥青</w:t>
      </w:r>
      <w:r>
        <w:rPr>
          <w:rFonts w:cs="Times New Roman"/>
        </w:rPr>
        <w:t>拌和站</w:t>
      </w:r>
      <w:r>
        <w:rPr>
          <w:rFonts w:cs="Times New Roman"/>
        </w:rPr>
        <w:t>产生的生活污水经化粪池处理后，由当地环卫部门处置；生</w:t>
      </w:r>
      <w:r>
        <w:rPr>
          <w:rFonts w:cs="Times New Roman"/>
        </w:rPr>
        <w:t>产废水主要是清洗废水、料场防尘喷淋水和环保设施水喷淋系统产生废水，经沉淀处理后回用生产，不外排。</w:t>
      </w:r>
    </w:p>
    <w:p w:rsidR="00A46452" w:rsidRDefault="009A3928">
      <w:pPr>
        <w:wordWrap w:val="0"/>
        <w:topLinePunct/>
        <w:adjustRightInd w:val="0"/>
        <w:snapToGrid w:val="0"/>
        <w:ind w:firstLine="480"/>
        <w:rPr>
          <w:rFonts w:cs="Times New Roman"/>
        </w:rPr>
      </w:pPr>
      <w:r>
        <w:rPr>
          <w:rFonts w:cs="Times New Roman"/>
        </w:rPr>
        <w:t>③</w:t>
      </w:r>
      <w:r>
        <w:rPr>
          <w:rFonts w:cs="Times New Roman"/>
        </w:rPr>
        <w:t>噪声：本项目的主要噪声为搅拌机、风机及泵类设备运行产生的机械噪声。</w:t>
      </w:r>
    </w:p>
    <w:p w:rsidR="00A46452" w:rsidRDefault="009A3928">
      <w:pPr>
        <w:wordWrap w:val="0"/>
        <w:topLinePunct/>
        <w:adjustRightInd w:val="0"/>
        <w:snapToGrid w:val="0"/>
        <w:ind w:firstLine="480"/>
        <w:rPr>
          <w:rFonts w:cs="Times New Roman"/>
        </w:rPr>
      </w:pPr>
      <w:r>
        <w:rPr>
          <w:rFonts w:cs="Times New Roman"/>
        </w:rPr>
        <w:t>④</w:t>
      </w:r>
      <w:r>
        <w:rPr>
          <w:rFonts w:cs="Times New Roman"/>
        </w:rPr>
        <w:t>固体废物：主要为沥青烟气处理装置产生的废活性炭、导热油炉产生的废导热油等，属于危险废物，委托有资质单位进行处理；除尘系统收集的粉尘、废沥青拌合料、沉淀池池渣、废石料渣等回用于生产；沥青</w:t>
      </w:r>
      <w:r>
        <w:rPr>
          <w:rFonts w:cs="Times New Roman"/>
        </w:rPr>
        <w:t>拌和站</w:t>
      </w:r>
      <w:r>
        <w:rPr>
          <w:rFonts w:cs="Times New Roman"/>
        </w:rPr>
        <w:t>电捕集产生的沥青回用；生活垃圾</w:t>
      </w:r>
      <w:r>
        <w:rPr>
          <w:rFonts w:cs="Times New Roman"/>
        </w:rPr>
        <w:t>由</w:t>
      </w:r>
      <w:r>
        <w:rPr>
          <w:rFonts w:cs="Times New Roman"/>
        </w:rPr>
        <w:t>当地环卫部门定期清运。</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w:t>
      </w:r>
      <w:r>
        <w:rPr>
          <w:rFonts w:cs="Times New Roman"/>
        </w:rPr>
        <w:t>水泥和水稳混凝土</w:t>
      </w:r>
      <w:r>
        <w:rPr>
          <w:rFonts w:cs="Times New Roman"/>
        </w:rPr>
        <w:t>拌和站</w:t>
      </w:r>
    </w:p>
    <w:p w:rsidR="00A46452" w:rsidRDefault="009A3928">
      <w:pPr>
        <w:wordWrap w:val="0"/>
        <w:topLinePunct/>
        <w:adjustRightInd w:val="0"/>
        <w:snapToGrid w:val="0"/>
        <w:ind w:firstLine="480"/>
        <w:rPr>
          <w:rFonts w:cs="Times New Roman"/>
        </w:rPr>
      </w:pPr>
      <w:r>
        <w:rPr>
          <w:rFonts w:cs="Times New Roman"/>
        </w:rPr>
        <w:t>水泥</w:t>
      </w:r>
      <w:r>
        <w:rPr>
          <w:rFonts w:cs="Times New Roman"/>
        </w:rPr>
        <w:t>/</w:t>
      </w:r>
      <w:r>
        <w:rPr>
          <w:rFonts w:cs="Times New Roman"/>
        </w:rPr>
        <w:t>水稳混凝土</w:t>
      </w:r>
      <w:r>
        <w:rPr>
          <w:rFonts w:cs="Times New Roman"/>
        </w:rPr>
        <w:t>拌和站</w:t>
      </w:r>
      <w:r>
        <w:rPr>
          <w:rFonts w:cs="Times New Roman"/>
        </w:rPr>
        <w:t>生产工艺流程如下：</w:t>
      </w:r>
    </w:p>
    <w:p w:rsidR="00A46452" w:rsidRDefault="009A3928">
      <w:pPr>
        <w:wordWrap w:val="0"/>
        <w:topLinePunct/>
        <w:adjustRightInd w:val="0"/>
        <w:snapToGrid w:val="0"/>
        <w:ind w:firstLine="480"/>
        <w:rPr>
          <w:rFonts w:cs="Times New Roman"/>
        </w:rPr>
      </w:pPr>
      <w:r>
        <w:rPr>
          <w:rFonts w:cs="Times New Roman"/>
        </w:rPr>
        <w:t>①</w:t>
      </w:r>
      <w:r>
        <w:rPr>
          <w:rFonts w:cs="Times New Roman"/>
        </w:rPr>
        <w:t>上料、输送：石料、砂料</w:t>
      </w:r>
      <w:r>
        <w:rPr>
          <w:rFonts w:cs="Times New Roman"/>
        </w:rPr>
        <w:t>通过铲车运至投料斗内，计量后通过封闭的输送带</w:t>
      </w:r>
      <w:r>
        <w:rPr>
          <w:rFonts w:cs="Times New Roman"/>
        </w:rPr>
        <w:t>加入</w:t>
      </w:r>
      <w:r>
        <w:rPr>
          <w:rFonts w:cs="Times New Roman"/>
        </w:rPr>
        <w:t>搅拌机中；筒仓中的水泥、矿粉和粉煤灰通过电脑控制计量后由螺旋输送机</w:t>
      </w:r>
      <w:r>
        <w:rPr>
          <w:rFonts w:cs="Times New Roman"/>
        </w:rPr>
        <w:t>加入</w:t>
      </w:r>
      <w:r>
        <w:rPr>
          <w:rFonts w:cs="Times New Roman"/>
        </w:rPr>
        <w:t>搅拌主机中，然后按照比例加入适量的水。此过程主要产生上料粉尘、筒仓呼吸粉尘、铲车及输送设备运行噪声。</w:t>
      </w:r>
    </w:p>
    <w:p w:rsidR="00A46452" w:rsidRDefault="009A3928">
      <w:pPr>
        <w:wordWrap w:val="0"/>
        <w:topLinePunct/>
        <w:adjustRightInd w:val="0"/>
        <w:snapToGrid w:val="0"/>
        <w:ind w:firstLine="480"/>
        <w:rPr>
          <w:rFonts w:cs="Times New Roman"/>
        </w:rPr>
      </w:pPr>
      <w:r>
        <w:rPr>
          <w:rFonts w:cs="Times New Roman"/>
        </w:rPr>
        <w:t>②</w:t>
      </w:r>
      <w:r>
        <w:rPr>
          <w:rFonts w:cs="Times New Roman"/>
        </w:rPr>
        <w:t>搅拌：石子、砂料、矿粉、粉煤灰、水泥、水采用计算机自动配料，进入全密封式搅拌机后充分搅拌均匀。搅拌机采用自动盖料，密闭搅拌，外部为彩钢板密封，此过程不会产生搅拌粉尘，主要为搅拌机运行噪声。</w:t>
      </w:r>
    </w:p>
    <w:p w:rsidR="00A46452" w:rsidRDefault="009A3928">
      <w:pPr>
        <w:wordWrap w:val="0"/>
        <w:topLinePunct/>
        <w:adjustRightInd w:val="0"/>
        <w:snapToGrid w:val="0"/>
        <w:ind w:firstLine="480"/>
        <w:rPr>
          <w:rFonts w:cs="Times New Roman"/>
        </w:rPr>
      </w:pPr>
      <w:r>
        <w:rPr>
          <w:rFonts w:cs="Times New Roman"/>
        </w:rPr>
        <w:t>③</w:t>
      </w:r>
      <w:r>
        <w:rPr>
          <w:rFonts w:cs="Times New Roman"/>
        </w:rPr>
        <w:t>成品：物料搅拌均匀后由搅拌机下方落料口落入密闭传送带输送至成品料仓内，由成品料仓下料口落入运输车辆</w:t>
      </w:r>
      <w:r>
        <w:rPr>
          <w:rFonts w:cs="Times New Roman"/>
        </w:rPr>
        <w:t>，外运至工地。</w:t>
      </w:r>
    </w:p>
    <w:p w:rsidR="00A46452" w:rsidRDefault="009A3928">
      <w:pPr>
        <w:wordWrap w:val="0"/>
        <w:topLinePunct/>
        <w:adjustRightInd w:val="0"/>
        <w:snapToGrid w:val="0"/>
        <w:ind w:firstLine="480"/>
        <w:rPr>
          <w:rFonts w:cs="Times New Roman"/>
        </w:rPr>
      </w:pPr>
      <w:r>
        <w:rPr>
          <w:rFonts w:cs="Times New Roman"/>
        </w:rPr>
        <w:t>混凝土生产工艺流程图见图</w:t>
      </w:r>
      <w:r>
        <w:rPr>
          <w:rFonts w:cs="Times New Roman" w:hint="eastAsia"/>
        </w:rPr>
        <w:t>5</w:t>
      </w:r>
      <w:r>
        <w:rPr>
          <w:rFonts w:cs="Times New Roman"/>
        </w:rPr>
        <w:t>.</w:t>
      </w:r>
      <w:r>
        <w:rPr>
          <w:rFonts w:cs="Times New Roman" w:hint="eastAsia"/>
        </w:rPr>
        <w:t>1</w:t>
      </w:r>
      <w:r>
        <w:rPr>
          <w:rFonts w:cs="Times New Roman"/>
        </w:rPr>
        <w:t>-</w:t>
      </w:r>
      <w:r>
        <w:rPr>
          <w:rFonts w:cs="Times New Roman"/>
        </w:rPr>
        <w:t>2</w:t>
      </w:r>
      <w:r>
        <w:rPr>
          <w:rFonts w:cs="Times New Roman"/>
        </w:rPr>
        <w:t>。</w:t>
      </w:r>
    </w:p>
    <w:p w:rsidR="00A46452" w:rsidRDefault="009A3928">
      <w:pPr>
        <w:wordWrap w:val="0"/>
        <w:topLinePunct/>
        <w:adjustRightInd w:val="0"/>
        <w:snapToGrid w:val="0"/>
        <w:ind w:firstLine="480"/>
        <w:rPr>
          <w:rFonts w:cs="Times New Roman"/>
        </w:rPr>
      </w:pPr>
      <w:r>
        <w:rPr>
          <w:rFonts w:cs="Times New Roman"/>
        </w:rPr>
        <w:t>水泥</w:t>
      </w:r>
      <w:r>
        <w:rPr>
          <w:rFonts w:cs="Times New Roman"/>
        </w:rPr>
        <w:t>/</w:t>
      </w:r>
      <w:r>
        <w:rPr>
          <w:rFonts w:cs="Times New Roman"/>
        </w:rPr>
        <w:t>水稳混凝土</w:t>
      </w:r>
      <w:r>
        <w:rPr>
          <w:rFonts w:cs="Times New Roman"/>
        </w:rPr>
        <w:t>拌和站</w:t>
      </w:r>
      <w:r>
        <w:rPr>
          <w:rFonts w:cs="Times New Roman"/>
        </w:rPr>
        <w:t>采取的环保措施如下：</w:t>
      </w:r>
    </w:p>
    <w:p w:rsidR="00A46452" w:rsidRDefault="009A3928">
      <w:pPr>
        <w:wordWrap w:val="0"/>
        <w:topLinePunct/>
        <w:adjustRightInd w:val="0"/>
        <w:snapToGrid w:val="0"/>
        <w:ind w:firstLine="480"/>
        <w:rPr>
          <w:rFonts w:cs="Times New Roman"/>
        </w:rPr>
      </w:pPr>
      <w:r>
        <w:rPr>
          <w:rFonts w:cs="Times New Roman"/>
        </w:rPr>
        <w:t>①</w:t>
      </w:r>
      <w:r>
        <w:rPr>
          <w:rFonts w:cs="Times New Roman"/>
        </w:rPr>
        <w:t>废气：上料过程采用自动化配料，上料口设置集气罩并配备垂帘，收集粉尘经布袋除尘器收集后，经</w:t>
      </w:r>
      <w:r>
        <w:rPr>
          <w:rFonts w:cs="Times New Roman"/>
        </w:rPr>
        <w:t>15m</w:t>
      </w:r>
      <w:r>
        <w:rPr>
          <w:rFonts w:cs="Times New Roman"/>
        </w:rPr>
        <w:t>高排气筒排放；粉状物料筒仓仓顶设置脉冲布袋除尘器，经筒仓顶部排气筒排放。</w:t>
      </w:r>
    </w:p>
    <w:p w:rsidR="00A46452" w:rsidRDefault="009A3928">
      <w:pPr>
        <w:wordWrap w:val="0"/>
        <w:topLinePunct/>
        <w:adjustRightInd w:val="0"/>
        <w:snapToGrid w:val="0"/>
        <w:ind w:firstLine="480"/>
        <w:rPr>
          <w:rFonts w:cs="Times New Roman"/>
        </w:rPr>
      </w:pPr>
      <w:r>
        <w:rPr>
          <w:rFonts w:cs="Times New Roman"/>
        </w:rPr>
        <w:t>②</w:t>
      </w:r>
      <w:r>
        <w:rPr>
          <w:rFonts w:cs="Times New Roman"/>
        </w:rPr>
        <w:t>废水：生活污水经化粪池处理后，由当地环卫部门处置；生产废水主要是清洗废水和料场防尘喷淋水，经沉淀处理后回用生产，不外排。</w:t>
      </w:r>
    </w:p>
    <w:p w:rsidR="00A46452" w:rsidRDefault="009A3928">
      <w:pPr>
        <w:wordWrap w:val="0"/>
        <w:topLinePunct/>
        <w:adjustRightInd w:val="0"/>
        <w:snapToGrid w:val="0"/>
        <w:ind w:firstLine="480"/>
        <w:rPr>
          <w:rFonts w:cs="Times New Roman"/>
        </w:rPr>
      </w:pPr>
      <w:r>
        <w:rPr>
          <w:rFonts w:cs="Times New Roman"/>
        </w:rPr>
        <w:t>③</w:t>
      </w:r>
      <w:r>
        <w:rPr>
          <w:rFonts w:cs="Times New Roman"/>
        </w:rPr>
        <w:t>噪声：本项目的主要噪声为搅拌机、风机及泵类设备运行产生的机械噪声。</w:t>
      </w:r>
    </w:p>
    <w:p w:rsidR="00A46452" w:rsidRDefault="009A3928">
      <w:pPr>
        <w:wordWrap w:val="0"/>
        <w:topLinePunct/>
        <w:adjustRightInd w:val="0"/>
        <w:snapToGrid w:val="0"/>
        <w:ind w:firstLine="480"/>
        <w:rPr>
          <w:rFonts w:cs="Times New Roman"/>
        </w:rPr>
      </w:pPr>
      <w:r>
        <w:rPr>
          <w:rFonts w:cs="Times New Roman"/>
        </w:rPr>
        <w:t>④</w:t>
      </w:r>
      <w:r>
        <w:rPr>
          <w:rFonts w:cs="Times New Roman"/>
        </w:rPr>
        <w:t>固体废物：主要为生产废料、布袋除尘器收尘、循环水池沉渣等，回用于生产，不外排；生活垃圾</w:t>
      </w:r>
      <w:r>
        <w:rPr>
          <w:rFonts w:cs="Times New Roman"/>
        </w:rPr>
        <w:t>由</w:t>
      </w:r>
      <w:r>
        <w:rPr>
          <w:rFonts w:cs="Times New Roman"/>
        </w:rPr>
        <w:t>当地环卫部门定期清运。</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hyperlink r:id="rId26" w:history="1">
        <w:r>
          <w:rPr>
            <w:rFonts w:cs="Times New Roman" w:hint="default"/>
            <w:iCs/>
          </w:rPr>
          <w:t>5.1.2.2</w:t>
        </w:r>
      </w:hyperlink>
      <w:r>
        <w:rPr>
          <w:rFonts w:cs="Times New Roman" w:hint="default"/>
          <w:iCs/>
        </w:rPr>
        <w:t xml:space="preserve"> </w:t>
      </w:r>
      <w:r>
        <w:rPr>
          <w:rFonts w:cs="Times New Roman" w:hint="default"/>
          <w:iCs/>
        </w:rPr>
        <w:t>运营期</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环境空气</w:t>
      </w:r>
    </w:p>
    <w:p w:rsidR="00A46452" w:rsidRDefault="009A3928">
      <w:pPr>
        <w:wordWrap w:val="0"/>
        <w:topLinePunct/>
        <w:adjustRightInd w:val="0"/>
        <w:snapToGrid w:val="0"/>
        <w:ind w:firstLine="480"/>
        <w:rPr>
          <w:rFonts w:cs="Times New Roman"/>
        </w:rPr>
      </w:pPr>
      <w:r>
        <w:rPr>
          <w:rFonts w:cs="Times New Roman"/>
        </w:rPr>
        <w:t>营运期对环境空气的影响主要</w:t>
      </w:r>
      <w:r>
        <w:rPr>
          <w:rFonts w:cs="Times New Roman"/>
        </w:rPr>
        <w:t>来自</w:t>
      </w:r>
      <w:r>
        <w:rPr>
          <w:rFonts w:cs="Times New Roman"/>
        </w:rPr>
        <w:t>汽车尾气污染物；公路上行驶汽车的轮胎接触路面使得路面的积尘扬起，从而产生二次扬尘污染；</w:t>
      </w:r>
      <w:r>
        <w:rPr>
          <w:rFonts w:cs="Times New Roman"/>
        </w:rPr>
        <w:t>服务区</w:t>
      </w:r>
      <w:r>
        <w:rPr>
          <w:rFonts w:cs="Times New Roman"/>
        </w:rPr>
        <w:t>餐饮油烟等。</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w:t>
      </w:r>
      <w:r>
        <w:rPr>
          <w:rFonts w:cs="Times New Roman"/>
        </w:rPr>
        <w:t>水环境</w:t>
      </w:r>
    </w:p>
    <w:p w:rsidR="00A46452" w:rsidRDefault="009A3928">
      <w:pPr>
        <w:wordWrap w:val="0"/>
        <w:topLinePunct/>
        <w:adjustRightInd w:val="0"/>
        <w:snapToGrid w:val="0"/>
        <w:ind w:firstLine="480"/>
        <w:rPr>
          <w:rFonts w:cs="Times New Roman"/>
        </w:rPr>
      </w:pPr>
      <w:r>
        <w:rPr>
          <w:rFonts w:cs="Times New Roman"/>
        </w:rPr>
        <w:t>服务设施产生的生活污水和含油污水如不加以处理，随意排放，会对受纳水体水质造成污染。危险品运输车辆发生泄漏事故时可能对沿线水体水质造成污染，尤其是对</w:t>
      </w:r>
      <w:r>
        <w:rPr>
          <w:rFonts w:cs="Times New Roman"/>
        </w:rPr>
        <w:t>柯坪河、喀什噶尔河等地表水体</w:t>
      </w:r>
      <w:r>
        <w:rPr>
          <w:rFonts w:cs="Times New Roman"/>
        </w:rPr>
        <w:t>的影响。</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w:t>
      </w:r>
      <w:r>
        <w:rPr>
          <w:rFonts w:cs="Times New Roman"/>
        </w:rPr>
        <w:t>交通噪声</w:t>
      </w:r>
    </w:p>
    <w:p w:rsidR="00A46452" w:rsidRDefault="009A3928">
      <w:pPr>
        <w:wordWrap w:val="0"/>
        <w:topLinePunct/>
        <w:adjustRightInd w:val="0"/>
        <w:snapToGrid w:val="0"/>
        <w:ind w:firstLine="480"/>
        <w:rPr>
          <w:rFonts w:cs="Times New Roman"/>
        </w:rPr>
      </w:pPr>
      <w:r>
        <w:rPr>
          <w:rFonts w:cs="Times New Roman"/>
        </w:rPr>
        <w:t>在公路上行驶的机动车辆噪声源为非稳态源。</w:t>
      </w:r>
      <w:r>
        <w:rPr>
          <w:rFonts w:cs="Times New Roman"/>
        </w:rPr>
        <w:t>拟建公路</w:t>
      </w:r>
      <w:r>
        <w:rPr>
          <w:rFonts w:cs="Times New Roman"/>
        </w:rPr>
        <w:t>运营后，车辆的发动机、冷却系统、传动系统等部件均会产生噪声。另外，汽车行驶中引起的气流湍动、排气系统、轮胎与路面接触时压迫空气等也会产生噪声。交通噪声对沿线居民的正常生产、生活会产生一定的影响。且随着营运期交通量的增大，公路交通噪声的影响也随之增大。</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w:t>
      </w:r>
      <w:r>
        <w:rPr>
          <w:rFonts w:cs="Times New Roman"/>
        </w:rPr>
        <w:t>社会环境</w:t>
      </w:r>
    </w:p>
    <w:p w:rsidR="00A46452" w:rsidRDefault="009A3928">
      <w:pPr>
        <w:wordWrap w:val="0"/>
        <w:topLinePunct/>
        <w:adjustRightInd w:val="0"/>
        <w:snapToGrid w:val="0"/>
        <w:ind w:firstLine="480"/>
        <w:rPr>
          <w:rFonts w:cs="Times New Roman"/>
        </w:rPr>
      </w:pPr>
      <w:r>
        <w:rPr>
          <w:rFonts w:cs="Times New Roman"/>
        </w:rPr>
        <w:t>公路营运的便利性能促进沿线区域社会经济发展、带动沿线旅游资源的开发和发展。工程占用土地对涉及区域的农业生产有一定影响。因此，在工程拆迁、安置方案中要统筹考虑，将负面影响尽可能降至最低。</w:t>
      </w:r>
    </w:p>
    <w:p w:rsidR="00A46452" w:rsidRDefault="009A3928">
      <w:pPr>
        <w:wordWrap w:val="0"/>
        <w:topLinePunct/>
        <w:adjustRightInd w:val="0"/>
        <w:snapToGrid w:val="0"/>
        <w:ind w:firstLine="480"/>
        <w:rPr>
          <w:rFonts w:cs="Times New Roman"/>
        </w:rPr>
      </w:pPr>
      <w:r>
        <w:rPr>
          <w:rFonts w:cs="Times New Roman"/>
        </w:rPr>
        <w:t>（</w:t>
      </w:r>
      <w:r>
        <w:rPr>
          <w:rFonts w:cs="Times New Roman"/>
        </w:rPr>
        <w:t>5</w:t>
      </w:r>
      <w:r>
        <w:rPr>
          <w:rFonts w:cs="Times New Roman"/>
        </w:rPr>
        <w:t>）</w:t>
      </w:r>
      <w:r>
        <w:rPr>
          <w:rFonts w:cs="Times New Roman"/>
        </w:rPr>
        <w:t>危险品运输环境风险</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5.1.3</w:t>
      </w:r>
      <w:r>
        <w:rPr>
          <w:rFonts w:cs="Times New Roman" w:hint="default"/>
          <w:sz w:val="28"/>
          <w:szCs w:val="28"/>
        </w:rPr>
        <w:t>环境风险源</w:t>
      </w:r>
    </w:p>
    <w:p w:rsidR="00A46452" w:rsidRDefault="009A3928">
      <w:pPr>
        <w:wordWrap w:val="0"/>
        <w:topLinePunct/>
        <w:adjustRightInd w:val="0"/>
        <w:snapToGrid w:val="0"/>
        <w:ind w:firstLine="480"/>
        <w:rPr>
          <w:rFonts w:cs="Times New Roman"/>
        </w:rPr>
      </w:pPr>
      <w:r>
        <w:rPr>
          <w:rFonts w:cs="Times New Roman"/>
        </w:rPr>
        <w:t>公路建成运营后，不可避免地会有运输危险品的车辆经过，比如运送石油制品、农药、危险化学品等的罐车。事故风险主要来自危险品运输车辆在跨越水体桥梁等敏感路段发生交通事故后，对水环境产生的影响。</w:t>
      </w:r>
    </w:p>
    <w:p w:rsidR="00A46452" w:rsidRDefault="009A3928" w:rsidP="00182EED">
      <w:pPr>
        <w:pStyle w:val="21"/>
        <w:keepNext w:val="0"/>
        <w:keepLines w:val="0"/>
        <w:wordWrap w:val="0"/>
        <w:topLinePunct/>
        <w:adjustRightInd w:val="0"/>
        <w:snapToGrid w:val="0"/>
        <w:spacing w:beforeLines="50" w:before="156" w:afterLines="50" w:after="156"/>
        <w:rPr>
          <w:rFonts w:cs="Times New Roman" w:hint="default"/>
          <w:sz w:val="30"/>
          <w:szCs w:val="30"/>
        </w:rPr>
      </w:pPr>
      <w:bookmarkStart w:id="244" w:name="_Toc10519"/>
      <w:r>
        <w:rPr>
          <w:rFonts w:cs="Times New Roman" w:hint="default"/>
          <w:sz w:val="30"/>
          <w:szCs w:val="30"/>
        </w:rPr>
        <w:t>5.2.</w:t>
      </w:r>
      <w:r>
        <w:rPr>
          <w:rFonts w:cs="Times New Roman" w:hint="default"/>
          <w:sz w:val="30"/>
          <w:szCs w:val="30"/>
        </w:rPr>
        <w:t>污染源源强核算</w:t>
      </w:r>
      <w:bookmarkEnd w:id="240"/>
      <w:bookmarkEnd w:id="244"/>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45" w:name="_Toc34989562"/>
      <w:bookmarkStart w:id="246" w:name="_Toc57826727"/>
      <w:r>
        <w:rPr>
          <w:rFonts w:cs="Times New Roman" w:hint="default"/>
          <w:sz w:val="28"/>
          <w:szCs w:val="28"/>
        </w:rPr>
        <w:t>5.2.1</w:t>
      </w:r>
      <w:r>
        <w:rPr>
          <w:rFonts w:cs="Times New Roman" w:hint="default"/>
          <w:sz w:val="28"/>
          <w:szCs w:val="28"/>
        </w:rPr>
        <w:t>施工期污染源分析</w:t>
      </w:r>
      <w:bookmarkEnd w:id="245"/>
      <w:bookmarkEnd w:id="246"/>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5.2.1.1</w:t>
      </w:r>
      <w:r>
        <w:rPr>
          <w:rFonts w:cs="Times New Roman" w:hint="default"/>
          <w:iCs/>
        </w:rPr>
        <w:t>施工期大气污染源</w:t>
      </w:r>
    </w:p>
    <w:p w:rsidR="00A46452" w:rsidRDefault="009A3928">
      <w:pPr>
        <w:wordWrap w:val="0"/>
        <w:topLinePunct/>
        <w:adjustRightInd w:val="0"/>
        <w:snapToGrid w:val="0"/>
        <w:ind w:firstLine="480"/>
        <w:rPr>
          <w:rFonts w:cs="Times New Roman"/>
        </w:rPr>
      </w:pPr>
      <w:r>
        <w:rPr>
          <w:rFonts w:cs="Times New Roman"/>
        </w:rPr>
        <w:t>公路施</w:t>
      </w:r>
      <w:r>
        <w:rPr>
          <w:rFonts w:cs="Times New Roman"/>
        </w:rPr>
        <w:t>工过程大气污染源主要为扬尘污染、沥青烟气污染及机械废气污染。其中，扬尘污染主要来源于筑路材料运输、装卸、堆放过程、物料拌合过程、土石方开发及回填扬尘；沥青烟气主要来源于沥青混凝土</w:t>
      </w:r>
      <w:r>
        <w:rPr>
          <w:rFonts w:cs="Times New Roman"/>
        </w:rPr>
        <w:t>拌合过程以及</w:t>
      </w:r>
      <w:r>
        <w:rPr>
          <w:rFonts w:cs="Times New Roman"/>
        </w:rPr>
        <w:t>路面的摊铺过程，主要产生以</w:t>
      </w:r>
      <w:r>
        <w:rPr>
          <w:rFonts w:cs="Times New Roman"/>
        </w:rPr>
        <w:t>THC</w:t>
      </w:r>
      <w:r>
        <w:rPr>
          <w:rFonts w:cs="Times New Roman"/>
        </w:rPr>
        <w:t>、</w:t>
      </w:r>
      <w:r>
        <w:rPr>
          <w:rFonts w:cs="Times New Roman"/>
        </w:rPr>
        <w:t>TSP</w:t>
      </w:r>
      <w:r>
        <w:rPr>
          <w:rFonts w:cs="Times New Roman"/>
        </w:rPr>
        <w:t>和</w:t>
      </w:r>
      <w:r>
        <w:rPr>
          <w:rFonts w:cs="Times New Roman"/>
        </w:rPr>
        <w:t>BaP</w:t>
      </w:r>
      <w:r>
        <w:rPr>
          <w:rFonts w:cs="Times New Roman"/>
        </w:rPr>
        <w:t>为主的污染物。施工机械会产生一定量的燃油废气。</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施工</w:t>
      </w:r>
      <w:r>
        <w:rPr>
          <w:rFonts w:cs="Times New Roman"/>
        </w:rPr>
        <w:t>扬</w:t>
      </w:r>
      <w:r>
        <w:rPr>
          <w:rFonts w:cs="Times New Roman"/>
        </w:rPr>
        <w:t>尘</w:t>
      </w:r>
    </w:p>
    <w:p w:rsidR="00A46452" w:rsidRDefault="009A3928">
      <w:pPr>
        <w:wordWrap w:val="0"/>
        <w:topLinePunct/>
        <w:adjustRightInd w:val="0"/>
        <w:snapToGrid w:val="0"/>
        <w:ind w:firstLine="480"/>
        <w:rPr>
          <w:rFonts w:cs="Times New Roman"/>
        </w:rPr>
      </w:pPr>
      <w:r>
        <w:rPr>
          <w:rFonts w:cs="Times New Roman"/>
        </w:rPr>
        <w:t>①</w:t>
      </w:r>
      <w:r>
        <w:rPr>
          <w:rFonts w:cs="Times New Roman"/>
        </w:rPr>
        <w:t>道路运输扬尘</w:t>
      </w:r>
    </w:p>
    <w:p w:rsidR="00A46452" w:rsidRDefault="009A3928">
      <w:pPr>
        <w:wordWrap w:val="0"/>
        <w:topLinePunct/>
        <w:adjustRightInd w:val="0"/>
        <w:snapToGrid w:val="0"/>
        <w:ind w:firstLine="480"/>
        <w:rPr>
          <w:rFonts w:cs="Times New Roman"/>
          <w:szCs w:val="24"/>
        </w:rPr>
      </w:pPr>
      <w:r>
        <w:rPr>
          <w:rFonts w:cs="Times New Roman"/>
        </w:rPr>
        <w:t>在施工过程中，车辆行驶产生的扬尘占扬尘总量的</w:t>
      </w:r>
      <w:r>
        <w:rPr>
          <w:rFonts w:cs="Times New Roman"/>
        </w:rPr>
        <w:t>60%</w:t>
      </w:r>
      <w:r>
        <w:rPr>
          <w:rFonts w:cs="Times New Roman"/>
        </w:rPr>
        <w:t>以上。车辆在行驶过程中产生的扬尘，在完全干燥的情况下，可按下列经验公式计算：</w:t>
      </w:r>
    </w:p>
    <w:p w:rsidR="00A46452" w:rsidRDefault="009A3928" w:rsidP="00182EED">
      <w:pPr>
        <w:wordWrap w:val="0"/>
        <w:topLinePunct/>
        <w:adjustRightInd w:val="0"/>
        <w:snapToGrid w:val="0"/>
        <w:spacing w:before="3" w:line="2530" w:lineRule="exact"/>
        <w:ind w:firstLine="480"/>
        <w:jc w:val="center"/>
        <w:rPr>
          <w:rFonts w:cs="Times New Roman"/>
        </w:rPr>
      </w:pPr>
      <w:r>
        <w:rPr>
          <w:rFonts w:cs="Times New Roman"/>
          <w:noProof/>
          <w:position w:val="-50"/>
        </w:rPr>
        <w:drawing>
          <wp:inline distT="0" distB="0" distL="0" distR="0">
            <wp:extent cx="4292600" cy="1605915"/>
            <wp:effectExtent l="0" t="0" r="0" b="698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7"/>
                    <a:stretch>
                      <a:fillRect/>
                    </a:stretch>
                  </pic:blipFill>
                  <pic:spPr>
                    <a:xfrm>
                      <a:off x="0" y="0"/>
                      <a:ext cx="4293108" cy="1606296"/>
                    </a:xfrm>
                    <a:prstGeom prst="rect">
                      <a:avLst/>
                    </a:prstGeom>
                  </pic:spPr>
                </pic:pic>
              </a:graphicData>
            </a:graphic>
          </wp:inline>
        </w:drawing>
      </w:r>
    </w:p>
    <w:p w:rsidR="00A46452" w:rsidRDefault="009A3928" w:rsidP="00182EED">
      <w:pPr>
        <w:wordWrap w:val="0"/>
        <w:topLinePunct/>
        <w:adjustRightInd w:val="0"/>
        <w:snapToGrid w:val="0"/>
        <w:spacing w:before="191" w:line="352" w:lineRule="auto"/>
        <w:ind w:left="117" w:right="50" w:firstLine="480"/>
        <w:rPr>
          <w:rFonts w:cs="Times New Roman"/>
        </w:rPr>
      </w:pPr>
      <w:r>
        <w:rPr>
          <w:rFonts w:cs="Times New Roman"/>
        </w:rPr>
        <w:t>下表为一辆</w:t>
      </w:r>
      <w:r>
        <w:rPr>
          <w:rFonts w:cs="Times New Roman"/>
        </w:rPr>
        <w:t>10t</w:t>
      </w:r>
      <w:r>
        <w:rPr>
          <w:rFonts w:cs="Times New Roman"/>
        </w:rPr>
        <w:t>卡车在通过一段长度为</w:t>
      </w:r>
      <w:r>
        <w:rPr>
          <w:rFonts w:cs="Times New Roman"/>
        </w:rPr>
        <w:t>1</w:t>
      </w:r>
      <w:r>
        <w:rPr>
          <w:rFonts w:cs="Times New Roman"/>
        </w:rPr>
        <w:t>km</w:t>
      </w:r>
      <w:r>
        <w:rPr>
          <w:rFonts w:cs="Times New Roman"/>
        </w:rPr>
        <w:t>的路面时，不同路面清洁程度、不同行驶速度情况下的扬尘量。由此可见，在同样路面清洁程度条件下车速越快，扬尘量越大；而在同样车速情况下，路面越脏，则扬尘量越大。因此限制车辆行驶速度及保持路面的清洁是减少汽车扬尘的有效手段。</w:t>
      </w:r>
    </w:p>
    <w:p w:rsidR="00A46452" w:rsidRDefault="009A3928">
      <w:pPr>
        <w:wordWrap w:val="0"/>
        <w:topLinePunct/>
        <w:adjustRightInd w:val="0"/>
        <w:snapToGrid w:val="0"/>
        <w:spacing w:line="240" w:lineRule="auto"/>
        <w:ind w:firstLineChars="0" w:firstLine="0"/>
        <w:rPr>
          <w:rFonts w:eastAsia="黑体" w:cs="Times New Roman"/>
          <w:szCs w:val="22"/>
        </w:rPr>
      </w:pPr>
      <w:r>
        <w:rPr>
          <w:rFonts w:eastAsia="黑体" w:cs="Times New Roman"/>
          <w:szCs w:val="22"/>
        </w:rPr>
        <w:t>表</w:t>
      </w:r>
      <w:r>
        <w:rPr>
          <w:rFonts w:eastAsia="黑体" w:cs="Times New Roman" w:hint="eastAsia"/>
          <w:szCs w:val="22"/>
        </w:rPr>
        <w:t>5</w:t>
      </w:r>
      <w:r>
        <w:rPr>
          <w:rFonts w:eastAsia="黑体" w:cs="Times New Roman"/>
          <w:szCs w:val="22"/>
        </w:rPr>
        <w:t>.2-</w:t>
      </w:r>
      <w:r>
        <w:rPr>
          <w:rFonts w:eastAsia="黑体" w:cs="Times New Roman" w:hint="eastAsia"/>
          <w:szCs w:val="22"/>
        </w:rPr>
        <w:t>1</w:t>
      </w:r>
      <w:r>
        <w:rPr>
          <w:rFonts w:eastAsia="黑体" w:cs="Times New Roman"/>
          <w:szCs w:val="22"/>
        </w:rPr>
        <w:t xml:space="preserve">         </w:t>
      </w:r>
      <w:r>
        <w:rPr>
          <w:rFonts w:eastAsia="黑体" w:cs="Times New Roman"/>
          <w:szCs w:val="22"/>
        </w:rPr>
        <w:t>在不同车速和地面清洁程度的汽车扬尘</w:t>
      </w:r>
      <w:r>
        <w:rPr>
          <w:rFonts w:eastAsia="黑体" w:cs="Times New Roman"/>
          <w:szCs w:val="22"/>
        </w:rPr>
        <w:t xml:space="preserve">     </w:t>
      </w:r>
      <w:r>
        <w:rPr>
          <w:rFonts w:eastAsia="黑体" w:cs="Times New Roman"/>
          <w:szCs w:val="22"/>
        </w:rPr>
        <w:t>单位：</w:t>
      </w:r>
      <w:r>
        <w:rPr>
          <w:rFonts w:eastAsia="黑体" w:cs="Times New Roman"/>
          <w:szCs w:val="22"/>
        </w:rPr>
        <w:t>kg/</w:t>
      </w:r>
      <w:r>
        <w:rPr>
          <w:rFonts w:eastAsia="黑体" w:cs="Times New Roman"/>
          <w:szCs w:val="22"/>
        </w:rPr>
        <w:t>辆</w:t>
      </w:r>
      <w:r>
        <w:rPr>
          <w:rFonts w:eastAsia="黑体" w:cs="Times New Roman"/>
          <w:szCs w:val="22"/>
        </w:rPr>
        <w:t>.km</w:t>
      </w:r>
    </w:p>
    <w:tbl>
      <w:tblPr>
        <w:tblStyle w:val="TableNormal"/>
        <w:tblW w:w="5013"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325"/>
        <w:gridCol w:w="1115"/>
        <w:gridCol w:w="984"/>
        <w:gridCol w:w="981"/>
        <w:gridCol w:w="984"/>
        <w:gridCol w:w="984"/>
        <w:gridCol w:w="979"/>
      </w:tblGrid>
      <w:tr w:rsidR="00A46452">
        <w:trPr>
          <w:trHeight w:val="528"/>
        </w:trPr>
        <w:tc>
          <w:tcPr>
            <w:tcW w:w="139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 xml:space="preserve"> </w:t>
            </w:r>
            <w:r>
              <w:rPr>
                <w:rFonts w:cs="Times New Roman"/>
                <w:sz w:val="18"/>
                <w:szCs w:val="18"/>
              </w:rPr>
              <w:t>车速</w:t>
            </w:r>
          </w:p>
          <w:p w:rsidR="00A46452" w:rsidRDefault="009A3928">
            <w:pPr>
              <w:pStyle w:val="TableParagraph"/>
              <w:wordWrap w:val="0"/>
              <w:topLinePunct/>
              <w:adjustRightInd w:val="0"/>
              <w:snapToGrid w:val="0"/>
              <w:spacing w:line="240" w:lineRule="auto"/>
              <w:ind w:firstLineChars="0" w:firstLine="0"/>
              <w:rPr>
                <w:rFonts w:cs="Times New Roman"/>
                <w:sz w:val="18"/>
                <w:szCs w:val="18"/>
              </w:rPr>
            </w:pPr>
            <w:r>
              <w:rPr>
                <w:rFonts w:cs="Times New Roman"/>
                <w:sz w:val="18"/>
                <w:szCs w:val="18"/>
              </w:rPr>
              <w:t>地面清洁程度</w:t>
            </w:r>
          </w:p>
        </w:tc>
        <w:tc>
          <w:tcPr>
            <w:tcW w:w="66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0.1kg/m</w:t>
            </w:r>
            <w:r>
              <w:rPr>
                <w:rFonts w:cs="Times New Roman"/>
                <w:sz w:val="18"/>
                <w:szCs w:val="18"/>
                <w:vertAlign w:val="superscript"/>
              </w:rPr>
              <w:t>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0.2kg/m</w:t>
            </w:r>
            <w:r>
              <w:rPr>
                <w:rFonts w:cs="Times New Roman"/>
                <w:sz w:val="18"/>
                <w:szCs w:val="18"/>
                <w:vertAlign w:val="superscript"/>
              </w:rPr>
              <w:t>2</w:t>
            </w:r>
          </w:p>
        </w:tc>
        <w:tc>
          <w:tcPr>
            <w:tcW w:w="587"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0.3kg/m</w:t>
            </w:r>
            <w:r>
              <w:rPr>
                <w:rFonts w:cs="Times New Roman"/>
                <w:sz w:val="18"/>
                <w:szCs w:val="18"/>
                <w:vertAlign w:val="superscript"/>
              </w:rPr>
              <w:t>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0.4kg/m</w:t>
            </w:r>
            <w:r>
              <w:rPr>
                <w:rFonts w:cs="Times New Roman"/>
                <w:sz w:val="18"/>
                <w:szCs w:val="18"/>
                <w:vertAlign w:val="superscript"/>
              </w:rPr>
              <w:t>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0.5kg/m</w:t>
            </w:r>
            <w:r>
              <w:rPr>
                <w:rFonts w:cs="Times New Roman"/>
                <w:sz w:val="18"/>
                <w:szCs w:val="18"/>
                <w:vertAlign w:val="superscript"/>
              </w:rPr>
              <w:t>2</w:t>
            </w:r>
          </w:p>
        </w:tc>
        <w:tc>
          <w:tcPr>
            <w:tcW w:w="58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1kg/m</w:t>
            </w:r>
            <w:r>
              <w:rPr>
                <w:rFonts w:cs="Times New Roman"/>
                <w:sz w:val="18"/>
                <w:szCs w:val="18"/>
                <w:vertAlign w:val="superscript"/>
              </w:rPr>
              <w:t>2</w:t>
            </w:r>
          </w:p>
        </w:tc>
      </w:tr>
      <w:tr w:rsidR="00A46452">
        <w:trPr>
          <w:trHeight w:val="397"/>
        </w:trPr>
        <w:tc>
          <w:tcPr>
            <w:tcW w:w="139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w:t>
            </w:r>
            <w:r>
              <w:rPr>
                <w:rFonts w:cs="Times New Roman"/>
                <w:sz w:val="18"/>
                <w:szCs w:val="18"/>
              </w:rPr>
              <w:t>（</w:t>
            </w:r>
            <w:r>
              <w:rPr>
                <w:rFonts w:cs="Times New Roman"/>
                <w:sz w:val="18"/>
                <w:szCs w:val="18"/>
              </w:rPr>
              <w:t>km/h</w:t>
            </w:r>
            <w:r>
              <w:rPr>
                <w:rFonts w:cs="Times New Roman"/>
                <w:sz w:val="18"/>
                <w:szCs w:val="18"/>
              </w:rPr>
              <w:t>）</w:t>
            </w:r>
          </w:p>
        </w:tc>
        <w:tc>
          <w:tcPr>
            <w:tcW w:w="66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0.051</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0.086</w:t>
            </w:r>
          </w:p>
        </w:tc>
        <w:tc>
          <w:tcPr>
            <w:tcW w:w="587"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0.116</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0.144</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0.171</w:t>
            </w:r>
          </w:p>
        </w:tc>
        <w:tc>
          <w:tcPr>
            <w:tcW w:w="58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0.287</w:t>
            </w:r>
          </w:p>
        </w:tc>
      </w:tr>
      <w:tr w:rsidR="00A46452">
        <w:trPr>
          <w:trHeight w:val="398"/>
        </w:trPr>
        <w:tc>
          <w:tcPr>
            <w:tcW w:w="139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w:t>
            </w:r>
            <w:r>
              <w:rPr>
                <w:rFonts w:cs="Times New Roman"/>
                <w:sz w:val="18"/>
                <w:szCs w:val="18"/>
              </w:rPr>
              <w:t>（</w:t>
            </w:r>
            <w:r>
              <w:rPr>
                <w:rFonts w:cs="Times New Roman"/>
                <w:sz w:val="18"/>
                <w:szCs w:val="18"/>
              </w:rPr>
              <w:t>km/h</w:t>
            </w:r>
            <w:r>
              <w:rPr>
                <w:rFonts w:cs="Times New Roman"/>
                <w:sz w:val="18"/>
                <w:szCs w:val="18"/>
              </w:rPr>
              <w:t>）</w:t>
            </w:r>
          </w:p>
        </w:tc>
        <w:tc>
          <w:tcPr>
            <w:tcW w:w="66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0.102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0.171</w:t>
            </w:r>
          </w:p>
        </w:tc>
        <w:tc>
          <w:tcPr>
            <w:tcW w:w="587"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0.232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0.289</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0.341</w:t>
            </w:r>
          </w:p>
        </w:tc>
        <w:tc>
          <w:tcPr>
            <w:tcW w:w="58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0.574</w:t>
            </w:r>
          </w:p>
        </w:tc>
      </w:tr>
      <w:tr w:rsidR="00A46452">
        <w:trPr>
          <w:trHeight w:val="397"/>
        </w:trPr>
        <w:tc>
          <w:tcPr>
            <w:tcW w:w="139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15</w:t>
            </w:r>
            <w:r>
              <w:rPr>
                <w:rFonts w:cs="Times New Roman"/>
                <w:sz w:val="18"/>
                <w:szCs w:val="18"/>
              </w:rPr>
              <w:t>（</w:t>
            </w:r>
            <w:r>
              <w:rPr>
                <w:rFonts w:cs="Times New Roman"/>
                <w:sz w:val="18"/>
                <w:szCs w:val="18"/>
              </w:rPr>
              <w:t>km/h</w:t>
            </w:r>
            <w:r>
              <w:rPr>
                <w:rFonts w:cs="Times New Roman"/>
                <w:sz w:val="18"/>
                <w:szCs w:val="18"/>
              </w:rPr>
              <w:t>）</w:t>
            </w:r>
          </w:p>
        </w:tc>
        <w:tc>
          <w:tcPr>
            <w:tcW w:w="66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0.15</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0.257</w:t>
            </w:r>
          </w:p>
        </w:tc>
        <w:tc>
          <w:tcPr>
            <w:tcW w:w="587"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0.349</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0.433</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0.512</w:t>
            </w:r>
          </w:p>
        </w:tc>
        <w:tc>
          <w:tcPr>
            <w:tcW w:w="58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0.861</w:t>
            </w:r>
          </w:p>
        </w:tc>
      </w:tr>
      <w:tr w:rsidR="00A46452">
        <w:trPr>
          <w:trHeight w:val="421"/>
        </w:trPr>
        <w:tc>
          <w:tcPr>
            <w:tcW w:w="139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w:t>
            </w:r>
            <w:r>
              <w:rPr>
                <w:rFonts w:cs="Times New Roman"/>
                <w:sz w:val="18"/>
                <w:szCs w:val="18"/>
              </w:rPr>
              <w:t>（</w:t>
            </w:r>
            <w:r>
              <w:rPr>
                <w:rFonts w:cs="Times New Roman"/>
                <w:sz w:val="18"/>
                <w:szCs w:val="18"/>
              </w:rPr>
              <w:t>km/h</w:t>
            </w:r>
            <w:r>
              <w:rPr>
                <w:rFonts w:cs="Times New Roman"/>
                <w:sz w:val="18"/>
                <w:szCs w:val="18"/>
              </w:rPr>
              <w:t>）</w:t>
            </w:r>
          </w:p>
        </w:tc>
        <w:tc>
          <w:tcPr>
            <w:tcW w:w="66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0.255</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0.429</w:t>
            </w:r>
          </w:p>
        </w:tc>
        <w:tc>
          <w:tcPr>
            <w:tcW w:w="587"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0.582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0.722</w:t>
            </w:r>
          </w:p>
        </w:tc>
        <w:tc>
          <w:tcPr>
            <w:tcW w:w="589"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0.853</w:t>
            </w:r>
          </w:p>
        </w:tc>
        <w:tc>
          <w:tcPr>
            <w:tcW w:w="58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1.435</w:t>
            </w:r>
          </w:p>
        </w:tc>
      </w:tr>
    </w:tbl>
    <w:p w:rsidR="00A46452" w:rsidRDefault="009A3928">
      <w:pPr>
        <w:wordWrap w:val="0"/>
        <w:topLinePunct/>
        <w:adjustRightInd w:val="0"/>
        <w:snapToGrid w:val="0"/>
        <w:ind w:firstLine="480"/>
        <w:rPr>
          <w:rFonts w:cs="Times New Roman"/>
        </w:rPr>
      </w:pPr>
      <w:r>
        <w:rPr>
          <w:rFonts w:cs="Times New Roman"/>
        </w:rPr>
        <w:t>一般情况下，施工工地、施工道路在自然风作用下产生的扬尘所影响的范围在</w:t>
      </w:r>
      <w:r>
        <w:rPr>
          <w:rFonts w:cs="Times New Roman"/>
        </w:rPr>
        <w:t>100m</w:t>
      </w:r>
      <w:r>
        <w:rPr>
          <w:rFonts w:cs="Times New Roman"/>
        </w:rPr>
        <w:t>以内。如果在施工期间对车辆行驶的路面实施洒水抑尘，每天洒水</w:t>
      </w:r>
      <w:r>
        <w:rPr>
          <w:rFonts w:cs="Times New Roman"/>
        </w:rPr>
        <w:t>4~5</w:t>
      </w:r>
      <w:r>
        <w:rPr>
          <w:rFonts w:cs="Times New Roman"/>
        </w:rPr>
        <w:t>次，可使扬尘减少</w:t>
      </w:r>
      <w:r>
        <w:rPr>
          <w:rFonts w:cs="Times New Roman"/>
        </w:rPr>
        <w:t>70%</w:t>
      </w:r>
      <w:r>
        <w:rPr>
          <w:rFonts w:cs="Times New Roman"/>
        </w:rPr>
        <w:t>左右。可见，每天洒水</w:t>
      </w:r>
      <w:r>
        <w:rPr>
          <w:rFonts w:cs="Times New Roman"/>
        </w:rPr>
        <w:t>4~5</w:t>
      </w:r>
      <w:r>
        <w:rPr>
          <w:rFonts w:cs="Times New Roman"/>
        </w:rPr>
        <w:t>次进行抑尘，可有效地控制施工扬尘，可将</w:t>
      </w:r>
      <w:r>
        <w:rPr>
          <w:rFonts w:cs="Times New Roman"/>
        </w:rPr>
        <w:t>TSP</w:t>
      </w:r>
      <w:r>
        <w:rPr>
          <w:rFonts w:cs="Times New Roman"/>
        </w:rPr>
        <w:t>的污染距离缩小到</w:t>
      </w:r>
      <w:r>
        <w:rPr>
          <w:rFonts w:cs="Times New Roman"/>
        </w:rPr>
        <w:t>20</w:t>
      </w:r>
      <w:r>
        <w:rPr>
          <w:rFonts w:cs="Times New Roman"/>
        </w:rPr>
        <w:t>m</w:t>
      </w:r>
      <w:r>
        <w:rPr>
          <w:rFonts w:cs="Times New Roman"/>
        </w:rPr>
        <w:t>~50m</w:t>
      </w:r>
      <w:r>
        <w:rPr>
          <w:rFonts w:cs="Times New Roman"/>
        </w:rPr>
        <w:t>范围。</w:t>
      </w:r>
    </w:p>
    <w:p w:rsidR="00A46452" w:rsidRDefault="009A3928">
      <w:pPr>
        <w:wordWrap w:val="0"/>
        <w:topLinePunct/>
        <w:adjustRightInd w:val="0"/>
        <w:snapToGrid w:val="0"/>
        <w:ind w:firstLine="480"/>
        <w:rPr>
          <w:rFonts w:cs="Times New Roman"/>
        </w:rPr>
      </w:pPr>
      <w:r>
        <w:rPr>
          <w:rFonts w:cs="Times New Roman"/>
        </w:rPr>
        <w:t>②</w:t>
      </w:r>
      <w:r>
        <w:rPr>
          <w:rFonts w:cs="Times New Roman"/>
        </w:rPr>
        <w:t>裸露地面和堆场扬尘</w:t>
      </w:r>
    </w:p>
    <w:p w:rsidR="00A46452" w:rsidRDefault="009A3928">
      <w:pPr>
        <w:wordWrap w:val="0"/>
        <w:topLinePunct/>
        <w:adjustRightInd w:val="0"/>
        <w:snapToGrid w:val="0"/>
        <w:ind w:firstLine="480"/>
        <w:rPr>
          <w:rFonts w:cs="Times New Roman"/>
          <w:szCs w:val="24"/>
        </w:rPr>
      </w:pPr>
      <w:r>
        <w:rPr>
          <w:rFonts w:cs="Times New Roman"/>
        </w:rPr>
        <w:t>施工阶段扬尘的另一个主要来源是露天堆场和裸露场地的风力扬尘。由于施工需要，一些建筑材料需要露天堆放，一些施工作业点的表层土壤在经过人工开挖后，临时堆放于露天，在气候干燥且有风的情况下，会产生大量的扬尘，扬尘量可按堆场扬尘</w:t>
      </w:r>
      <w:r>
        <w:rPr>
          <w:rFonts w:cs="Times New Roman"/>
        </w:rPr>
        <w:t>的经验公式计算：</w:t>
      </w:r>
    </w:p>
    <w:p w:rsidR="00A46452" w:rsidRDefault="009A3928" w:rsidP="00182EED">
      <w:pPr>
        <w:wordWrap w:val="0"/>
        <w:topLinePunct/>
        <w:adjustRightInd w:val="0"/>
        <w:snapToGrid w:val="0"/>
        <w:spacing w:before="145" w:line="528" w:lineRule="exact"/>
        <w:ind w:firstLine="480"/>
        <w:jc w:val="center"/>
        <w:rPr>
          <w:rFonts w:cs="Times New Roman"/>
        </w:rPr>
      </w:pPr>
      <w:r>
        <w:rPr>
          <w:rFonts w:cs="Times New Roman"/>
          <w:noProof/>
          <w:position w:val="-10"/>
        </w:rPr>
        <w:drawing>
          <wp:inline distT="0" distB="0" distL="0" distR="0">
            <wp:extent cx="1706245" cy="335280"/>
            <wp:effectExtent l="0" t="0" r="8255" b="762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8"/>
                    <a:stretch>
                      <a:fillRect/>
                    </a:stretch>
                  </pic:blipFill>
                  <pic:spPr>
                    <a:xfrm>
                      <a:off x="0" y="0"/>
                      <a:ext cx="1706879" cy="335280"/>
                    </a:xfrm>
                    <a:prstGeom prst="rect">
                      <a:avLst/>
                    </a:prstGeom>
                  </pic:spPr>
                </pic:pic>
              </a:graphicData>
            </a:graphic>
          </wp:inline>
        </w:drawing>
      </w:r>
    </w:p>
    <w:p w:rsidR="00A46452" w:rsidRDefault="009A3928">
      <w:pPr>
        <w:wordWrap w:val="0"/>
        <w:topLinePunct/>
        <w:adjustRightInd w:val="0"/>
        <w:snapToGrid w:val="0"/>
        <w:ind w:firstLine="480"/>
        <w:rPr>
          <w:rFonts w:cs="Times New Roman"/>
        </w:rPr>
      </w:pPr>
      <w:r>
        <w:rPr>
          <w:rFonts w:cs="Times New Roman"/>
        </w:rPr>
        <w:t>式中：</w:t>
      </w:r>
      <w:r>
        <w:rPr>
          <w:rFonts w:cs="Times New Roman"/>
        </w:rPr>
        <w:t>Q—</w:t>
      </w:r>
      <w:r>
        <w:rPr>
          <w:rFonts w:cs="Times New Roman"/>
        </w:rPr>
        <w:t>起尘量，</w:t>
      </w:r>
      <w:r>
        <w:rPr>
          <w:rFonts w:cs="Times New Roman"/>
        </w:rPr>
        <w:t>kg/t·a</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V</w:t>
      </w:r>
      <w:r>
        <w:rPr>
          <w:rFonts w:cs="Times New Roman"/>
          <w:vertAlign w:val="subscript"/>
        </w:rPr>
        <w:t>50</w:t>
      </w:r>
      <w:r>
        <w:rPr>
          <w:rFonts w:cs="Times New Roman"/>
        </w:rPr>
        <w:t>—</w:t>
      </w:r>
      <w:r>
        <w:rPr>
          <w:rFonts w:cs="Times New Roman"/>
        </w:rPr>
        <w:t>距地面</w:t>
      </w:r>
      <w:r>
        <w:rPr>
          <w:rFonts w:cs="Times New Roman"/>
        </w:rPr>
        <w:t>50m</w:t>
      </w:r>
      <w:r>
        <w:rPr>
          <w:rFonts w:cs="Times New Roman"/>
        </w:rPr>
        <w:t>处风速，</w:t>
      </w:r>
      <w:r>
        <w:rPr>
          <w:rFonts w:cs="Times New Roman"/>
        </w:rPr>
        <w:t>m/s</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V</w:t>
      </w:r>
      <w:r>
        <w:rPr>
          <w:rFonts w:cs="Times New Roman"/>
          <w:vertAlign w:val="subscript"/>
        </w:rPr>
        <w:t>0</w:t>
      </w:r>
      <w:r>
        <w:rPr>
          <w:rFonts w:cs="Times New Roman"/>
        </w:rPr>
        <w:t>—</w:t>
      </w:r>
      <w:r>
        <w:rPr>
          <w:rFonts w:cs="Times New Roman"/>
        </w:rPr>
        <w:t>起尘风速，</w:t>
      </w:r>
      <w:r>
        <w:rPr>
          <w:rFonts w:cs="Times New Roman"/>
        </w:rPr>
        <w:t>m/s</w:t>
      </w:r>
      <w:r>
        <w:rPr>
          <w:rFonts w:cs="Times New Roman"/>
        </w:rPr>
        <w:t>；</w:t>
      </w:r>
    </w:p>
    <w:p w:rsidR="00A46452" w:rsidRDefault="009A3928">
      <w:pPr>
        <w:wordWrap w:val="0"/>
        <w:topLinePunct/>
        <w:adjustRightInd w:val="0"/>
        <w:snapToGrid w:val="0"/>
        <w:ind w:firstLineChars="500" w:firstLine="1200"/>
        <w:rPr>
          <w:rFonts w:cs="Times New Roman"/>
          <w:szCs w:val="24"/>
        </w:rPr>
      </w:pPr>
      <w:r>
        <w:rPr>
          <w:rFonts w:cs="Times New Roman"/>
        </w:rPr>
        <w:t>W—</w:t>
      </w:r>
      <w:r>
        <w:rPr>
          <w:rFonts w:cs="Times New Roman"/>
        </w:rPr>
        <w:t>尘粒的含水量，</w:t>
      </w:r>
      <w:r>
        <w:rPr>
          <w:rFonts w:cs="Times New Roman"/>
        </w:rPr>
        <w:t>%</w:t>
      </w:r>
      <w:r>
        <w:rPr>
          <w:rFonts w:cs="Times New Roman"/>
        </w:rPr>
        <w:t>。</w:t>
      </w:r>
    </w:p>
    <w:p w:rsidR="00A46452" w:rsidRDefault="009A3928">
      <w:pPr>
        <w:wordWrap w:val="0"/>
        <w:topLinePunct/>
        <w:adjustRightInd w:val="0"/>
        <w:snapToGrid w:val="0"/>
        <w:ind w:firstLine="480"/>
        <w:rPr>
          <w:rFonts w:cs="Times New Roman"/>
          <w:szCs w:val="24"/>
        </w:rPr>
      </w:pPr>
      <w:r>
        <w:rPr>
          <w:rFonts w:cs="Times New Roman"/>
        </w:rPr>
        <w:t>扬尘风速与粒径和含水量有关，因此，减少露天堆放和保证一定的含水量及减少裸露地面是减少风力起尘的有效手段。粉尘在空气中的扩散稀释与风速等气象条件有关，也与粉尘本身的沉降速度有关。不同粒径粉尘的沉降速度见表</w:t>
      </w:r>
      <w:r>
        <w:rPr>
          <w:rFonts w:cs="Times New Roman" w:hint="eastAsia"/>
        </w:rPr>
        <w:t>5</w:t>
      </w:r>
      <w:r>
        <w:rPr>
          <w:rFonts w:cs="Times New Roman"/>
        </w:rPr>
        <w:t>.</w:t>
      </w:r>
      <w:r>
        <w:rPr>
          <w:rFonts w:cs="Times New Roman"/>
        </w:rPr>
        <w:t>2-</w:t>
      </w:r>
      <w:r>
        <w:rPr>
          <w:rFonts w:cs="Times New Roman" w:hint="eastAsia"/>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szCs w:val="22"/>
        </w:rPr>
      </w:pPr>
      <w:r>
        <w:rPr>
          <w:rFonts w:eastAsia="黑体" w:cs="Times New Roman"/>
          <w:szCs w:val="22"/>
        </w:rPr>
        <w:t>表</w:t>
      </w:r>
      <w:r>
        <w:rPr>
          <w:rFonts w:eastAsia="黑体" w:cs="Times New Roman" w:hint="eastAsia"/>
          <w:szCs w:val="22"/>
        </w:rPr>
        <w:t>5</w:t>
      </w:r>
      <w:r>
        <w:rPr>
          <w:rFonts w:eastAsia="黑体" w:cs="Times New Roman"/>
          <w:szCs w:val="22"/>
        </w:rPr>
        <w:t>.2-</w:t>
      </w:r>
      <w:r>
        <w:rPr>
          <w:rFonts w:eastAsia="黑体" w:cs="Times New Roman" w:hint="eastAsia"/>
          <w:szCs w:val="22"/>
        </w:rPr>
        <w:t>2</w:t>
      </w:r>
      <w:r>
        <w:rPr>
          <w:rFonts w:eastAsia="黑体" w:cs="Times New Roman"/>
          <w:szCs w:val="22"/>
        </w:rPr>
        <w:t xml:space="preserve">                  </w:t>
      </w:r>
      <w:r>
        <w:rPr>
          <w:rFonts w:eastAsia="黑体" w:cs="Times New Roman"/>
          <w:szCs w:val="22"/>
        </w:rPr>
        <w:t>不同粒径粉尘的沉降速度</w:t>
      </w:r>
    </w:p>
    <w:tbl>
      <w:tblPr>
        <w:tblStyle w:val="TableNormal"/>
        <w:tblW w:w="4997"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08"/>
        <w:gridCol w:w="958"/>
        <w:gridCol w:w="958"/>
        <w:gridCol w:w="1017"/>
        <w:gridCol w:w="960"/>
        <w:gridCol w:w="963"/>
        <w:gridCol w:w="929"/>
        <w:gridCol w:w="932"/>
      </w:tblGrid>
      <w:tr w:rsidR="00A46452">
        <w:trPr>
          <w:trHeight w:val="402"/>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粉尘粒径（</w:t>
            </w:r>
            <w:r>
              <w:rPr>
                <w:rFonts w:cs="Times New Roman"/>
                <w:sz w:val="18"/>
                <w:szCs w:val="18"/>
              </w:rPr>
              <w:t>μm</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30</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40</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50</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60</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70</w:t>
            </w:r>
          </w:p>
        </w:tc>
      </w:tr>
      <w:tr w:rsidR="00A46452">
        <w:trPr>
          <w:trHeight w:val="398"/>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沉降速度（</w:t>
            </w:r>
            <w:r>
              <w:rPr>
                <w:rFonts w:cs="Times New Roman"/>
                <w:sz w:val="18"/>
                <w:szCs w:val="18"/>
              </w:rPr>
              <w:t>m/s</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0.003</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0.012</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0.027</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0.048</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0.075</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0.108</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0.147</w:t>
            </w:r>
          </w:p>
        </w:tc>
      </w:tr>
      <w:tr w:rsidR="00A46452">
        <w:trPr>
          <w:trHeight w:val="398"/>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粉尘粒径（</w:t>
            </w:r>
            <w:r>
              <w:rPr>
                <w:rFonts w:cs="Times New Roman"/>
                <w:sz w:val="18"/>
                <w:szCs w:val="18"/>
              </w:rPr>
              <w:t>μm</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80</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90</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150</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200</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250</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350</w:t>
            </w:r>
          </w:p>
        </w:tc>
      </w:tr>
      <w:tr w:rsidR="00A46452">
        <w:trPr>
          <w:trHeight w:val="398"/>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沉降速度（</w:t>
            </w:r>
            <w:r>
              <w:rPr>
                <w:rFonts w:cs="Times New Roman"/>
                <w:sz w:val="18"/>
                <w:szCs w:val="18"/>
              </w:rPr>
              <w:t>m/s</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0.158</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0.170</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0.182</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0.239</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0.804</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1.005</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1.829</w:t>
            </w:r>
          </w:p>
        </w:tc>
      </w:tr>
      <w:tr w:rsidR="00A46452">
        <w:trPr>
          <w:trHeight w:val="398"/>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粉尘粒径（</w:t>
            </w:r>
            <w:r>
              <w:rPr>
                <w:rFonts w:cs="Times New Roman"/>
                <w:sz w:val="18"/>
                <w:szCs w:val="18"/>
              </w:rPr>
              <w:t>μm</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450</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550</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650</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750</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850</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950</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1050</w:t>
            </w:r>
          </w:p>
        </w:tc>
      </w:tr>
      <w:tr w:rsidR="00A46452">
        <w:trPr>
          <w:trHeight w:val="421"/>
        </w:trPr>
        <w:tc>
          <w:tcPr>
            <w:tcW w:w="964"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沉降速度（</w:t>
            </w:r>
            <w:r>
              <w:rPr>
                <w:rFonts w:cs="Times New Roman"/>
                <w:sz w:val="18"/>
                <w:szCs w:val="18"/>
              </w:rPr>
              <w:t>m/s</w:t>
            </w:r>
            <w:r>
              <w:rPr>
                <w:rFonts w:cs="Times New Roman"/>
                <w:sz w:val="18"/>
                <w:szCs w:val="18"/>
              </w:rPr>
              <w:t>）</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2.211</w:t>
            </w:r>
          </w:p>
        </w:tc>
        <w:tc>
          <w:tcPr>
            <w:tcW w:w="575"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2.614</w:t>
            </w:r>
          </w:p>
        </w:tc>
        <w:tc>
          <w:tcPr>
            <w:tcW w:w="61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3.016</w:t>
            </w:r>
          </w:p>
        </w:tc>
        <w:tc>
          <w:tcPr>
            <w:tcW w:w="576"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3.418</w:t>
            </w:r>
          </w:p>
        </w:tc>
        <w:tc>
          <w:tcPr>
            <w:tcW w:w="57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3.820</w:t>
            </w:r>
          </w:p>
        </w:tc>
        <w:tc>
          <w:tcPr>
            <w:tcW w:w="558"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4.222</w:t>
            </w:r>
          </w:p>
        </w:tc>
        <w:tc>
          <w:tcPr>
            <w:tcW w:w="560" w:type="pct"/>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4.624</w:t>
            </w:r>
          </w:p>
        </w:tc>
      </w:tr>
    </w:tbl>
    <w:p w:rsidR="00A46452" w:rsidRDefault="009A3928">
      <w:pPr>
        <w:wordWrap w:val="0"/>
        <w:topLinePunct/>
        <w:adjustRightInd w:val="0"/>
        <w:snapToGrid w:val="0"/>
        <w:ind w:firstLine="480"/>
        <w:rPr>
          <w:rFonts w:cs="Times New Roman"/>
          <w:spacing w:val="-1"/>
          <w:szCs w:val="24"/>
        </w:rPr>
      </w:pPr>
      <w:r>
        <w:rPr>
          <w:rFonts w:cs="Times New Roman"/>
        </w:rPr>
        <w:t>由表</w:t>
      </w:r>
      <w:r>
        <w:rPr>
          <w:rFonts w:cs="Times New Roman"/>
        </w:rPr>
        <w:t>3.</w:t>
      </w:r>
      <w:r>
        <w:rPr>
          <w:rFonts w:cs="Times New Roman"/>
        </w:rPr>
        <w:t>2-4</w:t>
      </w:r>
      <w:r>
        <w:rPr>
          <w:rFonts w:cs="Times New Roman"/>
        </w:rPr>
        <w:t>可知，粉尘的沉降速度随粒径的增大而迅速增大。当粒径为</w:t>
      </w:r>
      <w:r>
        <w:rPr>
          <w:rFonts w:cs="Times New Roman"/>
        </w:rPr>
        <w:t>250</w:t>
      </w:r>
      <w:r>
        <w:rPr>
          <w:rFonts w:cs="Times New Roman"/>
          <w:snapToGrid w:val="0"/>
          <w:lang w:val="zh-CN"/>
        </w:rPr>
        <w:t>μm</w:t>
      </w:r>
      <w:r>
        <w:rPr>
          <w:rFonts w:cs="Times New Roman"/>
        </w:rPr>
        <w:t>时，沉降速度为</w:t>
      </w:r>
      <w:r>
        <w:rPr>
          <w:rFonts w:cs="Times New Roman"/>
        </w:rPr>
        <w:t>1.005m/s</w:t>
      </w:r>
      <w:r>
        <w:rPr>
          <w:rFonts w:cs="Times New Roman"/>
        </w:rPr>
        <w:t>，因此可以认为当粒径大于</w:t>
      </w:r>
      <w:r>
        <w:rPr>
          <w:rFonts w:cs="Times New Roman"/>
        </w:rPr>
        <w:t>250</w:t>
      </w:r>
      <w:r>
        <w:rPr>
          <w:rFonts w:cs="Times New Roman"/>
          <w:snapToGrid w:val="0"/>
          <w:lang w:val="zh-CN"/>
        </w:rPr>
        <w:t>μm</w:t>
      </w:r>
      <w:r>
        <w:rPr>
          <w:rFonts w:cs="Times New Roman"/>
        </w:rPr>
        <w:t>时，主要影响范围在扬尘点下风向近距离范围，而真正对外环境产生影响的是一些微小粒径的粉尘。</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）拆迁扬尘</w:t>
      </w:r>
    </w:p>
    <w:p w:rsidR="00A46452" w:rsidRDefault="009A3928">
      <w:pPr>
        <w:wordWrap w:val="0"/>
        <w:topLinePunct/>
        <w:adjustRightInd w:val="0"/>
        <w:snapToGrid w:val="0"/>
        <w:spacing w:line="520" w:lineRule="exact"/>
        <w:ind w:firstLine="480"/>
        <w:rPr>
          <w:rFonts w:eastAsiaTheme="minorEastAsia" w:cs="Times New Roman"/>
        </w:rPr>
      </w:pPr>
      <w:r>
        <w:rPr>
          <w:rFonts w:cs="Times New Roman"/>
        </w:rPr>
        <w:t>施工期建筑拆迁时会产生扬尘颗粒物，当在没有风力的作用下，粒径小于</w:t>
      </w:r>
      <w:r>
        <w:rPr>
          <w:rFonts w:cs="Times New Roman"/>
        </w:rPr>
        <w:t>0.015mm</w:t>
      </w:r>
      <w:r>
        <w:rPr>
          <w:rFonts w:cs="Times New Roman"/>
        </w:rPr>
        <w:t>的颗粒能够飞扬；当风速为</w:t>
      </w:r>
      <w:r>
        <w:rPr>
          <w:rFonts w:cs="Times New Roman"/>
        </w:rPr>
        <w:t>3m/s~5m/s</w:t>
      </w:r>
      <w:r>
        <w:rPr>
          <w:rFonts w:cs="Times New Roman"/>
        </w:rPr>
        <w:t>时，粒径为</w:t>
      </w:r>
      <w:r>
        <w:rPr>
          <w:rFonts w:cs="Times New Roman"/>
        </w:rPr>
        <w:t>0.015mm~0.030mm</w:t>
      </w:r>
      <w:r>
        <w:rPr>
          <w:rFonts w:cs="Times New Roman"/>
        </w:rPr>
        <w:t>的颗粒也会被风吹扬。因此应在拆迁时设置围挡，同时进行洒水喷淋，控制灰尘飞扬，尽量缩短拆迁时间，及时通报施工进度。</w:t>
      </w:r>
    </w:p>
    <w:p w:rsidR="00A46452" w:rsidRDefault="009A3928">
      <w:pPr>
        <w:wordWrap w:val="0"/>
        <w:topLinePunct/>
        <w:adjustRightInd w:val="0"/>
        <w:snapToGrid w:val="0"/>
        <w:spacing w:line="520" w:lineRule="exact"/>
        <w:ind w:firstLine="480"/>
        <w:rPr>
          <w:rFonts w:cs="Times New Roman"/>
        </w:rPr>
      </w:pPr>
      <w:r>
        <w:rPr>
          <w:rFonts w:cs="Times New Roman"/>
        </w:rPr>
        <w:t>（</w:t>
      </w:r>
      <w:r>
        <w:rPr>
          <w:rFonts w:cs="Times New Roman"/>
        </w:rPr>
        <w:t>4</w:t>
      </w:r>
      <w:r>
        <w:rPr>
          <w:rFonts w:cs="Times New Roman"/>
        </w:rPr>
        <w:t>）</w:t>
      </w:r>
      <w:r>
        <w:rPr>
          <w:rFonts w:cs="Times New Roman"/>
        </w:rPr>
        <w:t>拌和站</w:t>
      </w:r>
      <w:r>
        <w:rPr>
          <w:rFonts w:cs="Times New Roman"/>
        </w:rPr>
        <w:t>粉尘</w:t>
      </w:r>
    </w:p>
    <w:p w:rsidR="00A46452" w:rsidRDefault="009A3928">
      <w:pPr>
        <w:wordWrap w:val="0"/>
        <w:topLinePunct/>
        <w:adjustRightInd w:val="0"/>
        <w:snapToGrid w:val="0"/>
        <w:spacing w:line="520" w:lineRule="exact"/>
        <w:ind w:firstLine="480"/>
        <w:rPr>
          <w:rFonts w:cs="Times New Roman"/>
        </w:rPr>
      </w:pPr>
      <w:r>
        <w:rPr>
          <w:rFonts w:cs="Times New Roman"/>
        </w:rPr>
        <w:t>本项目设置有混凝土</w:t>
      </w:r>
      <w:r>
        <w:rPr>
          <w:rFonts w:cs="Times New Roman"/>
        </w:rPr>
        <w:t>拌和站</w:t>
      </w:r>
      <w:r>
        <w:rPr>
          <w:rFonts w:cs="Times New Roman"/>
        </w:rPr>
        <w:t>，混凝土等在</w:t>
      </w:r>
      <w:r>
        <w:rPr>
          <w:rFonts w:cs="Times New Roman"/>
        </w:rPr>
        <w:t>拌和</w:t>
      </w:r>
      <w:r>
        <w:rPr>
          <w:rFonts w:cs="Times New Roman"/>
        </w:rPr>
        <w:t>过程中均易起尘。根据类似道路施工灰土</w:t>
      </w:r>
      <w:r>
        <w:rPr>
          <w:rFonts w:cs="Times New Roman"/>
        </w:rPr>
        <w:t>拌和</w:t>
      </w:r>
      <w:r>
        <w:rPr>
          <w:rFonts w:cs="Times New Roman"/>
        </w:rPr>
        <w:t>现场的扬尘监测资料作类比分析，当采用站拌施工工艺时，</w:t>
      </w:r>
      <w:r>
        <w:rPr>
          <w:rFonts w:cs="Times New Roman"/>
        </w:rPr>
        <w:t>拌和站</w:t>
      </w:r>
      <w:r>
        <w:rPr>
          <w:rFonts w:cs="Times New Roman"/>
        </w:rPr>
        <w:t>附近相距</w:t>
      </w:r>
      <w:r>
        <w:rPr>
          <w:rFonts w:cs="Times New Roman"/>
        </w:rPr>
        <w:t>50m</w:t>
      </w:r>
      <w:r>
        <w:rPr>
          <w:rFonts w:cs="Times New Roman"/>
        </w:rPr>
        <w:t>下风向</w:t>
      </w:r>
      <w:r>
        <w:rPr>
          <w:rFonts w:cs="Times New Roman"/>
        </w:rPr>
        <w:t>TSP</w:t>
      </w:r>
      <w:r>
        <w:rPr>
          <w:rFonts w:cs="Times New Roman"/>
        </w:rPr>
        <w:t>小时浓度为</w:t>
      </w:r>
      <w:r>
        <w:rPr>
          <w:rFonts w:cs="Times New Roman"/>
        </w:rPr>
        <w:t>8.9mg/m</w:t>
      </w:r>
      <w:r>
        <w:rPr>
          <w:rFonts w:cs="Times New Roman"/>
          <w:vertAlign w:val="superscript"/>
        </w:rPr>
        <w:t>3</w:t>
      </w:r>
      <w:r>
        <w:rPr>
          <w:rFonts w:cs="Times New Roman"/>
        </w:rPr>
        <w:t>，相距</w:t>
      </w:r>
      <w:r>
        <w:rPr>
          <w:rFonts w:cs="Times New Roman"/>
        </w:rPr>
        <w:t>100m</w:t>
      </w:r>
      <w:r>
        <w:rPr>
          <w:rFonts w:cs="Times New Roman"/>
        </w:rPr>
        <w:t>处，浓度为</w:t>
      </w:r>
      <w:r>
        <w:rPr>
          <w:rFonts w:cs="Times New Roman"/>
        </w:rPr>
        <w:t>1.65mg/m</w:t>
      </w:r>
      <w:r>
        <w:rPr>
          <w:rFonts w:cs="Times New Roman"/>
          <w:vertAlign w:val="superscript"/>
        </w:rPr>
        <w:t>3</w:t>
      </w:r>
      <w:r>
        <w:rPr>
          <w:rFonts w:cs="Times New Roman"/>
        </w:rPr>
        <w:t>；</w:t>
      </w:r>
      <w:r>
        <w:rPr>
          <w:rFonts w:cs="Times New Roman"/>
        </w:rPr>
        <w:t>相距</w:t>
      </w:r>
      <w:r>
        <w:rPr>
          <w:rFonts w:cs="Times New Roman"/>
        </w:rPr>
        <w:t>150m</w:t>
      </w:r>
      <w:r>
        <w:rPr>
          <w:rFonts w:cs="Times New Roman"/>
        </w:rPr>
        <w:t>处已基本无影响。</w:t>
      </w:r>
    </w:p>
    <w:p w:rsidR="00A46452" w:rsidRDefault="009A3928">
      <w:pPr>
        <w:wordWrap w:val="0"/>
        <w:topLinePunct/>
        <w:adjustRightInd w:val="0"/>
        <w:snapToGrid w:val="0"/>
        <w:spacing w:line="520" w:lineRule="exact"/>
        <w:ind w:firstLine="480"/>
        <w:rPr>
          <w:rFonts w:eastAsiaTheme="minorEastAsia" w:cs="Times New Roman"/>
        </w:rPr>
      </w:pPr>
      <w:r>
        <w:rPr>
          <w:rFonts w:cs="Times New Roman"/>
        </w:rPr>
        <w:t>目前施工中一般用湿法搅拌混凝土，采用全封闭</w:t>
      </w:r>
      <w:r>
        <w:rPr>
          <w:rFonts w:cs="Times New Roman"/>
        </w:rPr>
        <w:t>搅拌</w:t>
      </w:r>
      <w:r>
        <w:rPr>
          <w:rFonts w:cs="Times New Roman"/>
        </w:rPr>
        <w:t>方式，选用具有二次除尘含密封装置的搅拌机，可有效</w:t>
      </w:r>
      <w:r>
        <w:rPr>
          <w:rFonts w:cs="Times New Roman"/>
        </w:rPr>
        <w:t>减少</w:t>
      </w:r>
      <w:r>
        <w:rPr>
          <w:rFonts w:cs="Times New Roman"/>
        </w:rPr>
        <w:t>混凝土搅拌过程中的扬尘。水泥、石灰和粉煤灰等散体材料采取罐装存储，可避免风起扬尘。</w:t>
      </w:r>
    </w:p>
    <w:p w:rsidR="00A46452" w:rsidRDefault="009A3928">
      <w:pPr>
        <w:wordWrap w:val="0"/>
        <w:topLinePunct/>
        <w:adjustRightInd w:val="0"/>
        <w:snapToGrid w:val="0"/>
        <w:spacing w:line="520" w:lineRule="exact"/>
        <w:ind w:firstLine="480"/>
        <w:rPr>
          <w:rFonts w:cs="Times New Roman"/>
        </w:rPr>
      </w:pPr>
      <w:r>
        <w:rPr>
          <w:rFonts w:cs="Times New Roman"/>
        </w:rPr>
        <w:t>（</w:t>
      </w:r>
      <w:r>
        <w:rPr>
          <w:rFonts w:cs="Times New Roman"/>
        </w:rPr>
        <w:t>5</w:t>
      </w:r>
      <w:r>
        <w:rPr>
          <w:rFonts w:cs="Times New Roman"/>
        </w:rPr>
        <w:t>）沥青烟气</w:t>
      </w:r>
    </w:p>
    <w:p w:rsidR="00A46452" w:rsidRDefault="009A3928">
      <w:pPr>
        <w:wordWrap w:val="0"/>
        <w:topLinePunct/>
        <w:adjustRightInd w:val="0"/>
        <w:snapToGrid w:val="0"/>
        <w:spacing w:line="520" w:lineRule="exact"/>
        <w:ind w:firstLine="480"/>
        <w:rPr>
          <w:rFonts w:cs="Times New Roman"/>
        </w:rPr>
      </w:pPr>
      <w:r>
        <w:rPr>
          <w:rFonts w:cs="Times New Roman"/>
        </w:rPr>
        <w:t>施工阶段的沥青烟气主要出现在沥青</w:t>
      </w:r>
      <w:r>
        <w:rPr>
          <w:rFonts w:cs="Times New Roman"/>
        </w:rPr>
        <w:t>拌和</w:t>
      </w:r>
      <w:r>
        <w:rPr>
          <w:rFonts w:cs="Times New Roman"/>
        </w:rPr>
        <w:t>过程和路面铺设中。沥青</w:t>
      </w:r>
      <w:r>
        <w:rPr>
          <w:rFonts w:cs="Times New Roman"/>
        </w:rPr>
        <w:t>拌和站</w:t>
      </w:r>
      <w:r>
        <w:rPr>
          <w:rFonts w:cs="Times New Roman"/>
        </w:rPr>
        <w:t>设在施工生产区内。在沥青加热搅拌和路面铺设过程中会产生沥青烟气，主要的有毒有害物质是</w:t>
      </w:r>
      <w:r>
        <w:rPr>
          <w:rFonts w:cs="Times New Roman"/>
        </w:rPr>
        <w:t>THC</w:t>
      </w:r>
      <w:r>
        <w:rPr>
          <w:rFonts w:cs="Times New Roman"/>
        </w:rPr>
        <w:t>、酚和苯并芘。目前公路建设采用设有除尘设备的封闭式场拌工艺，沥青</w:t>
      </w:r>
      <w:r>
        <w:rPr>
          <w:rFonts w:cs="Times New Roman"/>
        </w:rPr>
        <w:t>拌和</w:t>
      </w:r>
      <w:r>
        <w:rPr>
          <w:rFonts w:cs="Times New Roman"/>
        </w:rPr>
        <w:t>过程中采用布袋除尘器和沥青烟处理装置（</w:t>
      </w:r>
      <w:r>
        <w:rPr>
          <w:rFonts w:cs="Times New Roman"/>
        </w:rPr>
        <w:t>“</w:t>
      </w:r>
      <w:r>
        <w:rPr>
          <w:rFonts w:cs="Times New Roman"/>
        </w:rPr>
        <w:t>冷凝</w:t>
      </w:r>
      <w:r>
        <w:rPr>
          <w:rFonts w:cs="Times New Roman"/>
        </w:rPr>
        <w:t>+</w:t>
      </w:r>
      <w:r>
        <w:rPr>
          <w:rFonts w:cs="Times New Roman"/>
        </w:rPr>
        <w:t>电捕集</w:t>
      </w:r>
      <w:r>
        <w:rPr>
          <w:rFonts w:cs="Times New Roman"/>
        </w:rPr>
        <w:t>+</w:t>
      </w:r>
      <w:r>
        <w:rPr>
          <w:rFonts w:cs="Times New Roman"/>
        </w:rPr>
        <w:t>活性炭吸附</w:t>
      </w:r>
      <w:r>
        <w:rPr>
          <w:rFonts w:cs="Times New Roman"/>
        </w:rPr>
        <w:t>”</w:t>
      </w:r>
      <w:r>
        <w:rPr>
          <w:rFonts w:cs="Times New Roman"/>
        </w:rPr>
        <w:t>），可使沥青烟、苯并</w:t>
      </w:r>
      <w:r>
        <w:rPr>
          <w:rFonts w:cs="Times New Roman"/>
        </w:rPr>
        <w:t>[a]</w:t>
      </w:r>
      <w:r>
        <w:rPr>
          <w:rFonts w:cs="Times New Roman"/>
        </w:rPr>
        <w:t>芘、粉尘达标排放，用无热源或高温容器将沥青运至铺浇工地，沥青烟气的排放浓度较低，类比现在公路施工中常用沥青</w:t>
      </w:r>
      <w:r>
        <w:rPr>
          <w:rFonts w:cs="Times New Roman"/>
        </w:rPr>
        <w:t>拌和</w:t>
      </w:r>
      <w:r>
        <w:rPr>
          <w:rFonts w:cs="Times New Roman"/>
        </w:rPr>
        <w:t>设备的排放源强：封闭式站拌工艺周围污染物浓度在下风向</w:t>
      </w:r>
      <w:r>
        <w:rPr>
          <w:rFonts w:cs="Times New Roman"/>
        </w:rPr>
        <w:t>100m</w:t>
      </w:r>
      <w:r>
        <w:rPr>
          <w:rFonts w:cs="Times New Roman"/>
        </w:rPr>
        <w:t>分别为：</w:t>
      </w:r>
      <w:r>
        <w:rPr>
          <w:rFonts w:cs="Times New Roman"/>
        </w:rPr>
        <w:t>THC</w:t>
      </w:r>
      <w:r>
        <w:rPr>
          <w:rFonts w:cs="Times New Roman"/>
        </w:rPr>
        <w:t>浓度为</w:t>
      </w:r>
      <w:r>
        <w:rPr>
          <w:rFonts w:cs="Times New Roman"/>
        </w:rPr>
        <w:t>0.057mg/m</w:t>
      </w:r>
      <w:r>
        <w:rPr>
          <w:rFonts w:cs="Times New Roman"/>
          <w:vertAlign w:val="superscript"/>
        </w:rPr>
        <w:t>3</w:t>
      </w:r>
      <w:r>
        <w:rPr>
          <w:rFonts w:cs="Times New Roman"/>
        </w:rPr>
        <w:t>（低于《大气污染综合排放</w:t>
      </w:r>
      <w:r>
        <w:rPr>
          <w:rFonts w:cs="Times New Roman"/>
        </w:rPr>
        <w:t>标准》标准值</w:t>
      </w:r>
      <w:r>
        <w:rPr>
          <w:rFonts w:cs="Times New Roman"/>
        </w:rPr>
        <w:t>4mg/m</w:t>
      </w:r>
      <w:r>
        <w:rPr>
          <w:rFonts w:cs="Times New Roman"/>
          <w:vertAlign w:val="superscript"/>
        </w:rPr>
        <w:t>3</w:t>
      </w:r>
      <w:r>
        <w:rPr>
          <w:rFonts w:cs="Times New Roman"/>
        </w:rPr>
        <w:t>）；</w:t>
      </w:r>
      <w:r>
        <w:rPr>
          <w:rFonts w:cs="Times New Roman"/>
        </w:rPr>
        <w:t>3</w:t>
      </w:r>
      <w:r>
        <w:rPr>
          <w:rFonts w:cs="Times New Roman"/>
        </w:rPr>
        <w:t>，</w:t>
      </w:r>
      <w:r>
        <w:rPr>
          <w:rFonts w:cs="Times New Roman"/>
        </w:rPr>
        <w:t>4-</w:t>
      </w:r>
      <w:r>
        <w:rPr>
          <w:rFonts w:cs="Times New Roman"/>
        </w:rPr>
        <w:t>苯并芘的平均值</w:t>
      </w:r>
      <w:r>
        <w:rPr>
          <w:rFonts w:cs="Times New Roman"/>
        </w:rPr>
        <w:t>0.15×10</w:t>
      </w:r>
      <w:r>
        <w:rPr>
          <w:rFonts w:cs="Times New Roman"/>
          <w:vertAlign w:val="superscript"/>
        </w:rPr>
        <w:t>-2</w:t>
      </w:r>
      <w:r>
        <w:rPr>
          <w:rFonts w:cs="Times New Roman"/>
        </w:rPr>
        <w:t>mg/m</w:t>
      </w:r>
      <w:r>
        <w:rPr>
          <w:rFonts w:cs="Times New Roman"/>
          <w:vertAlign w:val="superscript"/>
        </w:rPr>
        <w:t>3</w:t>
      </w:r>
      <w:r>
        <w:rPr>
          <w:rFonts w:cs="Times New Roman"/>
        </w:rPr>
        <w:t>（低于《大气污染物综合排放标准》标准值</w:t>
      </w:r>
      <w:r>
        <w:rPr>
          <w:rFonts w:cs="Times New Roman"/>
        </w:rPr>
        <w:t>0.8×10</w:t>
      </w:r>
      <w:r>
        <w:rPr>
          <w:rFonts w:cs="Times New Roman"/>
          <w:vertAlign w:val="superscript"/>
        </w:rPr>
        <w:t>-2</w:t>
      </w:r>
      <w:r>
        <w:rPr>
          <w:rFonts w:cs="Times New Roman"/>
        </w:rPr>
        <w:t>mg/m</w:t>
      </w:r>
      <w:r>
        <w:rPr>
          <w:rFonts w:cs="Times New Roman"/>
          <w:vertAlign w:val="superscript"/>
        </w:rPr>
        <w:t>3</w:t>
      </w:r>
      <w:r>
        <w:rPr>
          <w:rFonts w:cs="Times New Roman"/>
        </w:rPr>
        <w:t>）；酚</w:t>
      </w:r>
      <w:r>
        <w:rPr>
          <w:rFonts w:cs="Times New Roman"/>
        </w:rPr>
        <w:t>&lt;0.01mg/m</w:t>
      </w:r>
      <w:r>
        <w:rPr>
          <w:rFonts w:cs="Times New Roman"/>
          <w:vertAlign w:val="superscript"/>
        </w:rPr>
        <w:t>3</w:t>
      </w:r>
      <w:r>
        <w:rPr>
          <w:rFonts w:cs="Times New Roman"/>
        </w:rPr>
        <w:t>（低于《大气污染物综合排放标准》标准值</w:t>
      </w:r>
      <w:r>
        <w:rPr>
          <w:rFonts w:cs="Times New Roman"/>
        </w:rPr>
        <w:t>0.08mg/m</w:t>
      </w:r>
      <w:r>
        <w:rPr>
          <w:rFonts w:cs="Times New Roman"/>
          <w:vertAlign w:val="superscript"/>
        </w:rPr>
        <w:t>3</w:t>
      </w:r>
      <w:r>
        <w:rPr>
          <w:rFonts w:cs="Times New Roman"/>
        </w:rPr>
        <w:t>）。随着沥青路面</w:t>
      </w:r>
      <w:r>
        <w:rPr>
          <w:rFonts w:cs="Times New Roman"/>
        </w:rPr>
        <w:t>摊铺</w:t>
      </w:r>
      <w:r>
        <w:rPr>
          <w:rFonts w:cs="Times New Roman"/>
        </w:rPr>
        <w:t>施工结束，施工摊铺沥青烟气影响将不再存在，因此路面沥青烟气对环境的不利影响是暂时的和短期的。</w:t>
      </w:r>
    </w:p>
    <w:p w:rsidR="00A46452" w:rsidRDefault="009A3928">
      <w:pPr>
        <w:wordWrap w:val="0"/>
        <w:topLinePunct/>
        <w:adjustRightInd w:val="0"/>
        <w:snapToGrid w:val="0"/>
        <w:spacing w:line="520" w:lineRule="exact"/>
        <w:ind w:firstLine="480"/>
        <w:rPr>
          <w:rFonts w:cs="Times New Roman"/>
        </w:rPr>
      </w:pPr>
      <w:r>
        <w:rPr>
          <w:rFonts w:cs="Times New Roman"/>
        </w:rPr>
        <w:t>（</w:t>
      </w:r>
      <w:r>
        <w:rPr>
          <w:rFonts w:cs="Times New Roman"/>
        </w:rPr>
        <w:t>6</w:t>
      </w:r>
      <w:r>
        <w:rPr>
          <w:rFonts w:cs="Times New Roman"/>
        </w:rPr>
        <w:t>）施工期汽车尾气</w:t>
      </w:r>
    </w:p>
    <w:p w:rsidR="00A46452" w:rsidRDefault="009A3928">
      <w:pPr>
        <w:wordWrap w:val="0"/>
        <w:topLinePunct/>
        <w:adjustRightInd w:val="0"/>
        <w:snapToGrid w:val="0"/>
        <w:spacing w:line="520" w:lineRule="exact"/>
        <w:ind w:firstLine="480"/>
        <w:rPr>
          <w:rFonts w:cs="Times New Roman"/>
        </w:rPr>
      </w:pPr>
      <w:r>
        <w:rPr>
          <w:rFonts w:cs="Times New Roman"/>
        </w:rPr>
        <w:t>施工机械、载重车辆的发动机一般采用柴油发动机，其排放的废气主要污染物为</w:t>
      </w:r>
      <w:r>
        <w:rPr>
          <w:rFonts w:cs="Times New Roman"/>
        </w:rPr>
        <w:t>NO</w:t>
      </w:r>
      <w:r>
        <w:rPr>
          <w:rFonts w:cs="Times New Roman"/>
          <w:vertAlign w:val="subscript"/>
        </w:rPr>
        <w:t>X</w:t>
      </w:r>
      <w:r>
        <w:rPr>
          <w:rFonts w:cs="Times New Roman"/>
        </w:rPr>
        <w:t>、</w:t>
      </w:r>
      <w:r>
        <w:rPr>
          <w:rFonts w:cs="Times New Roman"/>
        </w:rPr>
        <w:t>CO</w:t>
      </w:r>
      <w:r>
        <w:rPr>
          <w:rFonts w:cs="Times New Roman"/>
        </w:rPr>
        <w:t>、</w:t>
      </w:r>
      <w:r>
        <w:rPr>
          <w:rFonts w:cs="Times New Roman"/>
        </w:rPr>
        <w:t>THC</w:t>
      </w:r>
      <w:r>
        <w:rPr>
          <w:rFonts w:cs="Times New Roman"/>
        </w:rPr>
        <w:t>等；污染物的发生系数如表</w:t>
      </w:r>
      <w:r>
        <w:rPr>
          <w:rFonts w:cs="Times New Roman" w:hint="eastAsia"/>
        </w:rPr>
        <w:t>5</w:t>
      </w:r>
      <w:r>
        <w:rPr>
          <w:rFonts w:cs="Times New Roman"/>
        </w:rPr>
        <w:t>.2</w:t>
      </w:r>
      <w:r>
        <w:rPr>
          <w:rFonts w:cs="Times New Roman"/>
        </w:rPr>
        <w:t>-</w:t>
      </w:r>
      <w:r>
        <w:rPr>
          <w:rFonts w:cs="Times New Roman" w:hint="eastAsia"/>
        </w:rPr>
        <w:t>3</w:t>
      </w:r>
      <w:r>
        <w:rPr>
          <w:rFonts w:cs="Times New Roman"/>
        </w:rPr>
        <w:t>所示。</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w:t>
      </w:r>
      <w:r>
        <w:rPr>
          <w:rFonts w:eastAsia="黑体" w:cs="Times New Roman"/>
        </w:rPr>
        <w:t>-</w:t>
      </w:r>
      <w:r>
        <w:rPr>
          <w:rFonts w:eastAsia="黑体" w:cs="Times New Roman" w:hint="eastAsia"/>
        </w:rPr>
        <w:t>3</w:t>
      </w:r>
      <w:r>
        <w:rPr>
          <w:rFonts w:eastAsia="黑体" w:cs="Times New Roman"/>
        </w:rPr>
        <w:t xml:space="preserve">            </w:t>
      </w:r>
      <w:r>
        <w:rPr>
          <w:rFonts w:eastAsia="黑体" w:cs="Times New Roman"/>
        </w:rPr>
        <w:t xml:space="preserve">        </w:t>
      </w:r>
      <w:r>
        <w:rPr>
          <w:rFonts w:eastAsia="黑体" w:cs="Times New Roman"/>
        </w:rPr>
        <w:t>柴油发动机污染物排放系数</w:t>
      </w:r>
    </w:p>
    <w:tbl>
      <w:tblPr>
        <w:tblStyle w:val="affff7"/>
        <w:tblW w:w="5000" w:type="pct"/>
        <w:tblLook w:val="04A0" w:firstRow="1" w:lastRow="0" w:firstColumn="1" w:lastColumn="0" w:noHBand="0" w:noVBand="1"/>
      </w:tblPr>
      <w:tblGrid>
        <w:gridCol w:w="1242"/>
        <w:gridCol w:w="1027"/>
        <w:gridCol w:w="777"/>
        <w:gridCol w:w="729"/>
        <w:gridCol w:w="1020"/>
        <w:gridCol w:w="3721"/>
      </w:tblGrid>
      <w:tr w:rsidR="00A46452">
        <w:trPr>
          <w:trHeight w:hRule="exact" w:val="370"/>
        </w:trPr>
        <w:tc>
          <w:tcPr>
            <w:tcW w:w="729"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柴油机类别</w:t>
            </w:r>
          </w:p>
        </w:tc>
        <w:tc>
          <w:tcPr>
            <w:tcW w:w="603"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单位</w:t>
            </w:r>
          </w:p>
        </w:tc>
        <w:tc>
          <w:tcPr>
            <w:tcW w:w="1483" w:type="pct"/>
            <w:gridSpan w:val="3"/>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污染物</w:t>
            </w:r>
          </w:p>
        </w:tc>
        <w:tc>
          <w:tcPr>
            <w:tcW w:w="2185"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数据来源</w:t>
            </w:r>
          </w:p>
        </w:tc>
      </w:tr>
      <w:tr w:rsidR="00A46452">
        <w:trPr>
          <w:trHeight w:val="356"/>
        </w:trPr>
        <w:tc>
          <w:tcPr>
            <w:tcW w:w="729"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603"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56"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NO</w:t>
            </w:r>
            <w:r>
              <w:rPr>
                <w:rFonts w:eastAsiaTheme="minorEastAsia" w:cs="Times New Roman"/>
                <w:sz w:val="18"/>
                <w:szCs w:val="18"/>
                <w:vertAlign w:val="subscript"/>
              </w:rPr>
              <w:t>X</w:t>
            </w:r>
          </w:p>
        </w:tc>
        <w:tc>
          <w:tcPr>
            <w:tcW w:w="42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CO</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THC</w:t>
            </w:r>
          </w:p>
        </w:tc>
        <w:tc>
          <w:tcPr>
            <w:tcW w:w="2185"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729"/>
        </w:trPr>
        <w:tc>
          <w:tcPr>
            <w:tcW w:w="72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载重汽车</w:t>
            </w:r>
          </w:p>
        </w:tc>
        <w:tc>
          <w:tcPr>
            <w:tcW w:w="6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 xml:space="preserve">g/L </w:t>
            </w:r>
            <w:r>
              <w:rPr>
                <w:rFonts w:eastAsiaTheme="minorEastAsia" w:cs="Times New Roman"/>
                <w:sz w:val="18"/>
                <w:szCs w:val="18"/>
              </w:rPr>
              <w:t>燃油</w:t>
            </w:r>
          </w:p>
        </w:tc>
        <w:tc>
          <w:tcPr>
            <w:tcW w:w="456"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44.4</w:t>
            </w:r>
          </w:p>
        </w:tc>
        <w:tc>
          <w:tcPr>
            <w:tcW w:w="42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27.0</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4.44</w:t>
            </w:r>
          </w:p>
        </w:tc>
        <w:tc>
          <w:tcPr>
            <w:tcW w:w="2185"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《环境统计手册》，四川科学出版社，</w:t>
            </w:r>
            <w:r>
              <w:rPr>
                <w:rFonts w:eastAsiaTheme="minorEastAsia" w:cs="Times New Roman"/>
                <w:sz w:val="18"/>
                <w:szCs w:val="18"/>
              </w:rPr>
              <w:t>1985</w:t>
            </w:r>
          </w:p>
        </w:tc>
      </w:tr>
      <w:tr w:rsidR="00A46452">
        <w:trPr>
          <w:trHeight w:val="199"/>
        </w:trPr>
        <w:tc>
          <w:tcPr>
            <w:tcW w:w="72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施工机械</w:t>
            </w:r>
          </w:p>
        </w:tc>
        <w:tc>
          <w:tcPr>
            <w:tcW w:w="6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g/(kwh)</w:t>
            </w:r>
          </w:p>
        </w:tc>
        <w:tc>
          <w:tcPr>
            <w:tcW w:w="456"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3.3</w:t>
            </w:r>
          </w:p>
        </w:tc>
        <w:tc>
          <w:tcPr>
            <w:tcW w:w="42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5.0</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0.19</w:t>
            </w:r>
          </w:p>
        </w:tc>
        <w:tc>
          <w:tcPr>
            <w:tcW w:w="2185" w:type="pct"/>
          </w:tcPr>
          <w:p w:rsidR="00A46452" w:rsidRDefault="009A3928">
            <w:pPr>
              <w:wordWrap w:val="0"/>
              <w:topLinePunct/>
              <w:adjustRightInd w:val="0"/>
              <w:snapToGrid w:val="0"/>
              <w:spacing w:line="240" w:lineRule="auto"/>
              <w:ind w:firstLineChars="0" w:firstLine="0"/>
              <w:rPr>
                <w:rFonts w:eastAsiaTheme="minorEastAsia" w:cs="Times New Roman"/>
                <w:sz w:val="18"/>
                <w:szCs w:val="18"/>
              </w:rPr>
            </w:pPr>
            <w:r>
              <w:rPr>
                <w:rFonts w:eastAsiaTheme="minorEastAsia" w:cs="Times New Roman"/>
                <w:sz w:val="18"/>
                <w:szCs w:val="18"/>
              </w:rPr>
              <w:t>《非道路移动机械用柴油机排气污染物</w:t>
            </w:r>
            <w:r>
              <w:rPr>
                <w:rFonts w:eastAsiaTheme="minorEastAsia" w:cs="Times New Roman"/>
                <w:sz w:val="18"/>
                <w:szCs w:val="18"/>
              </w:rPr>
              <w:t>排放限值</w:t>
            </w:r>
            <w:r>
              <w:rPr>
                <w:rFonts w:eastAsiaTheme="minorEastAsia" w:cs="Times New Roman"/>
                <w:sz w:val="18"/>
                <w:szCs w:val="18"/>
              </w:rPr>
              <w:t>及测量方法》（中国第三、四阶段）（</w:t>
            </w:r>
            <w:r>
              <w:rPr>
                <w:rFonts w:eastAsiaTheme="minorEastAsia" w:cs="Times New Roman"/>
                <w:sz w:val="18"/>
                <w:szCs w:val="18"/>
              </w:rPr>
              <w:t>GB20891-2014</w:t>
            </w:r>
            <w:r>
              <w:rPr>
                <w:rFonts w:eastAsiaTheme="minorEastAsia" w:cs="Times New Roman"/>
                <w:sz w:val="18"/>
                <w:szCs w:val="18"/>
              </w:rPr>
              <w:t>）及其修改单</w:t>
            </w:r>
          </w:p>
        </w:tc>
      </w:tr>
    </w:tbl>
    <w:p w:rsidR="00A46452" w:rsidRDefault="009A3928" w:rsidP="00182EED">
      <w:pPr>
        <w:wordWrap w:val="0"/>
        <w:topLinePunct/>
        <w:adjustRightInd w:val="0"/>
        <w:snapToGrid w:val="0"/>
        <w:spacing w:afterLines="50" w:after="156" w:line="240" w:lineRule="auto"/>
        <w:ind w:firstLineChars="0" w:firstLine="0"/>
        <w:rPr>
          <w:rFonts w:cs="Times New Roman"/>
        </w:rPr>
      </w:pPr>
      <w:r>
        <w:rPr>
          <w:rFonts w:eastAsiaTheme="minorEastAsia" w:cs="Times New Roman"/>
          <w:sz w:val="18"/>
          <w:szCs w:val="18"/>
        </w:rPr>
        <w:t>注：本次选用《非道路移动机械用柴油机排气污染物</w:t>
      </w:r>
      <w:r>
        <w:rPr>
          <w:rFonts w:eastAsiaTheme="minorEastAsia" w:cs="Times New Roman"/>
          <w:sz w:val="18"/>
          <w:szCs w:val="18"/>
        </w:rPr>
        <w:t>排放限值</w:t>
      </w:r>
      <w:r>
        <w:rPr>
          <w:rFonts w:eastAsiaTheme="minorEastAsia" w:cs="Times New Roman"/>
          <w:sz w:val="18"/>
          <w:szCs w:val="18"/>
        </w:rPr>
        <w:t>及测量方法》（中国第三、四阶段）（</w:t>
      </w:r>
      <w:r>
        <w:rPr>
          <w:rFonts w:eastAsiaTheme="minorEastAsia" w:cs="Times New Roman"/>
          <w:sz w:val="18"/>
          <w:szCs w:val="18"/>
        </w:rPr>
        <w:t>GB20891-2014</w:t>
      </w:r>
      <w:r>
        <w:rPr>
          <w:rFonts w:eastAsiaTheme="minorEastAsia" w:cs="Times New Roman"/>
          <w:sz w:val="18"/>
          <w:szCs w:val="18"/>
        </w:rPr>
        <w:t>）及其修改单中表</w:t>
      </w:r>
      <w:r>
        <w:rPr>
          <w:rFonts w:eastAsiaTheme="minorEastAsia" w:cs="Times New Roman"/>
          <w:sz w:val="18"/>
          <w:szCs w:val="18"/>
        </w:rPr>
        <w:t>2</w:t>
      </w:r>
      <w:r>
        <w:rPr>
          <w:rFonts w:eastAsiaTheme="minorEastAsia" w:cs="Times New Roman"/>
          <w:sz w:val="18"/>
          <w:szCs w:val="18"/>
        </w:rPr>
        <w:t>第四阶段污染物排放限值。</w:t>
      </w:r>
    </w:p>
    <w:p w:rsidR="00A46452" w:rsidRDefault="009A3928">
      <w:pPr>
        <w:wordWrap w:val="0"/>
        <w:topLinePunct/>
        <w:adjustRightInd w:val="0"/>
        <w:snapToGrid w:val="0"/>
        <w:ind w:firstLine="480"/>
        <w:rPr>
          <w:rFonts w:cs="Times New Roman"/>
        </w:rPr>
      </w:pPr>
      <w:r>
        <w:rPr>
          <w:rFonts w:cs="Times New Roman"/>
        </w:rPr>
        <w:t>根据类比调研，施工用载重汽车一般为</w:t>
      </w:r>
      <w:r>
        <w:rPr>
          <w:rFonts w:cs="Times New Roman"/>
        </w:rPr>
        <w:t>10t</w:t>
      </w:r>
      <w:r>
        <w:rPr>
          <w:rFonts w:cs="Times New Roman"/>
        </w:rPr>
        <w:t>～</w:t>
      </w:r>
      <w:r>
        <w:rPr>
          <w:rFonts w:cs="Times New Roman"/>
        </w:rPr>
        <w:t>20t</w:t>
      </w:r>
      <w:r>
        <w:rPr>
          <w:rFonts w:cs="Times New Roman"/>
        </w:rPr>
        <w:t>，其百公里油耗约为</w:t>
      </w:r>
      <w:r>
        <w:rPr>
          <w:rFonts w:cs="Times New Roman"/>
        </w:rPr>
        <w:t>30L/100</w:t>
      </w:r>
      <w:r>
        <w:rPr>
          <w:rFonts w:cs="Times New Roman"/>
        </w:rPr>
        <w:t>km</w:t>
      </w:r>
      <w:r>
        <w:rPr>
          <w:rFonts w:cs="Times New Roman"/>
        </w:rPr>
        <w:t>，施工车辆平均行驶距离为</w:t>
      </w:r>
      <w:r>
        <w:rPr>
          <w:rFonts w:cs="Times New Roman"/>
        </w:rPr>
        <w:t>100</w:t>
      </w:r>
      <w:r>
        <w:rPr>
          <w:rFonts w:cs="Times New Roman"/>
        </w:rPr>
        <w:t>km</w:t>
      </w:r>
      <w:r>
        <w:rPr>
          <w:rFonts w:cs="Times New Roman"/>
        </w:rPr>
        <w:t>，平均车流量为</w:t>
      </w:r>
      <w:r>
        <w:rPr>
          <w:rFonts w:cs="Times New Roman"/>
        </w:rPr>
        <w:t>30</w:t>
      </w:r>
      <w:r>
        <w:rPr>
          <w:rFonts w:cs="Times New Roman"/>
        </w:rPr>
        <w:t>辆</w:t>
      </w:r>
      <w:r>
        <w:rPr>
          <w:rFonts w:cs="Times New Roman"/>
        </w:rPr>
        <w:t>/d</w:t>
      </w:r>
      <w:r>
        <w:rPr>
          <w:rFonts w:cs="Times New Roman"/>
        </w:rPr>
        <w:t>。施工机械（挖掘机、装载机等）的功率按</w:t>
      </w:r>
      <w:r>
        <w:rPr>
          <w:rFonts w:cs="Times New Roman"/>
        </w:rPr>
        <w:t>100</w:t>
      </w:r>
      <w:r>
        <w:rPr>
          <w:rFonts w:cs="Times New Roman"/>
        </w:rPr>
        <w:t>kW</w:t>
      </w:r>
      <w:r>
        <w:rPr>
          <w:rFonts w:cs="Times New Roman"/>
        </w:rPr>
        <w:t>计，数量约</w:t>
      </w:r>
      <w:r>
        <w:rPr>
          <w:rFonts w:cs="Times New Roman"/>
        </w:rPr>
        <w:t>5</w:t>
      </w:r>
      <w:r>
        <w:rPr>
          <w:rFonts w:cs="Times New Roman"/>
        </w:rPr>
        <w:t>部。</w:t>
      </w:r>
    </w:p>
    <w:p w:rsidR="00A46452" w:rsidRDefault="009A3928">
      <w:pPr>
        <w:wordWrap w:val="0"/>
        <w:topLinePunct/>
        <w:adjustRightInd w:val="0"/>
        <w:snapToGrid w:val="0"/>
        <w:ind w:firstLine="480"/>
        <w:rPr>
          <w:rFonts w:cs="Times New Roman"/>
        </w:rPr>
      </w:pPr>
      <w:r>
        <w:rPr>
          <w:rFonts w:cs="Times New Roman"/>
        </w:rPr>
        <w:t>施工作业时间按照</w:t>
      </w:r>
      <w:r>
        <w:rPr>
          <w:rFonts w:cs="Times New Roman"/>
        </w:rPr>
        <w:t>8h/d</w:t>
      </w:r>
      <w:r>
        <w:rPr>
          <w:rFonts w:cs="Times New Roman"/>
        </w:rPr>
        <w:t>，施工机械、载重车辆的作业期取</w:t>
      </w:r>
      <w:r>
        <w:rPr>
          <w:rFonts w:cs="Times New Roman"/>
        </w:rPr>
        <w:t>540</w:t>
      </w:r>
      <w:r>
        <w:rPr>
          <w:rFonts w:cs="Times New Roman"/>
        </w:rPr>
        <w:t>d</w:t>
      </w:r>
      <w:r>
        <w:rPr>
          <w:rFonts w:cs="Times New Roman"/>
        </w:rPr>
        <w:t>计。按上述参数，计算施工期机械燃油排放的大气污染物总量约为</w:t>
      </w:r>
      <w:r>
        <w:rPr>
          <w:rFonts w:cs="Times New Roman"/>
        </w:rPr>
        <w:t>NO</w:t>
      </w:r>
      <w:r>
        <w:rPr>
          <w:rFonts w:cs="Times New Roman"/>
          <w:vertAlign w:val="subscript"/>
        </w:rPr>
        <w:t>X</w:t>
      </w:r>
      <w:r>
        <w:rPr>
          <w:rFonts w:cs="Times New Roman"/>
        </w:rPr>
        <w:t>28.70</w:t>
      </w:r>
      <w:r>
        <w:rPr>
          <w:rFonts w:cs="Times New Roman"/>
        </w:rPr>
        <w:t>t</w:t>
      </w:r>
      <w:r>
        <w:rPr>
          <w:rFonts w:cs="Times New Roman"/>
        </w:rPr>
        <w:t>、</w:t>
      </w:r>
      <w:r>
        <w:rPr>
          <w:rFonts w:cs="Times New Roman"/>
        </w:rPr>
        <w:t>CO</w:t>
      </w:r>
      <w:r>
        <w:rPr>
          <w:rFonts w:cs="Times New Roman"/>
        </w:rPr>
        <w:t>23.92</w:t>
      </w:r>
      <w:r>
        <w:rPr>
          <w:rFonts w:cs="Times New Roman"/>
        </w:rPr>
        <w:t>t</w:t>
      </w:r>
      <w:r>
        <w:rPr>
          <w:rFonts w:cs="Times New Roman"/>
        </w:rPr>
        <w:t>，</w:t>
      </w:r>
      <w:r>
        <w:rPr>
          <w:rFonts w:cs="Times New Roman"/>
        </w:rPr>
        <w:t>THC</w:t>
      </w:r>
      <w:r>
        <w:rPr>
          <w:rFonts w:cs="Times New Roman"/>
        </w:rPr>
        <w:t>2.57</w:t>
      </w:r>
      <w:r>
        <w:rPr>
          <w:rFonts w:cs="Times New Roman"/>
        </w:rPr>
        <w:t>t</w:t>
      </w:r>
      <w:r>
        <w:rPr>
          <w:rFonts w:cs="Times New Roman"/>
        </w:rPr>
        <w:t>，如表</w:t>
      </w:r>
      <w:r>
        <w:rPr>
          <w:rFonts w:cs="Times New Roman"/>
        </w:rPr>
        <w:t>3.</w:t>
      </w:r>
      <w:r>
        <w:rPr>
          <w:rFonts w:cs="Times New Roman"/>
        </w:rPr>
        <w:t>2</w:t>
      </w:r>
      <w:r>
        <w:rPr>
          <w:rFonts w:cs="Times New Roman"/>
        </w:rPr>
        <w:t>-</w:t>
      </w:r>
      <w:r>
        <w:rPr>
          <w:rFonts w:cs="Times New Roman"/>
        </w:rPr>
        <w:t>6</w:t>
      </w:r>
      <w:r>
        <w:rPr>
          <w:rFonts w:cs="Times New Roman"/>
        </w:rPr>
        <w:t>所示。</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w:t>
      </w:r>
      <w:r>
        <w:rPr>
          <w:rFonts w:eastAsia="黑体" w:cs="Times New Roman"/>
        </w:rPr>
        <w:t>2</w:t>
      </w:r>
      <w:r>
        <w:rPr>
          <w:rFonts w:eastAsia="黑体" w:cs="Times New Roman"/>
        </w:rPr>
        <w:t>-</w:t>
      </w:r>
      <w:r>
        <w:rPr>
          <w:rFonts w:eastAsia="黑体" w:cs="Times New Roman" w:hint="eastAsia"/>
        </w:rPr>
        <w:t>4</w:t>
      </w:r>
      <w:r>
        <w:rPr>
          <w:rFonts w:eastAsia="黑体" w:cs="Times New Roman"/>
        </w:rPr>
        <w:t xml:space="preserve">            </w:t>
      </w:r>
      <w:r>
        <w:rPr>
          <w:rFonts w:eastAsia="黑体" w:cs="Times New Roman"/>
        </w:rPr>
        <w:t xml:space="preserve">         </w:t>
      </w:r>
      <w:r>
        <w:rPr>
          <w:rFonts w:eastAsia="黑体" w:cs="Times New Roman"/>
        </w:rPr>
        <w:t>施工期燃油污染物排放量</w:t>
      </w:r>
    </w:p>
    <w:tbl>
      <w:tblPr>
        <w:tblStyle w:val="affff7"/>
        <w:tblW w:w="5000" w:type="pct"/>
        <w:tblLook w:val="04A0" w:firstRow="1" w:lastRow="0" w:firstColumn="1" w:lastColumn="0" w:noHBand="0" w:noVBand="1"/>
      </w:tblPr>
      <w:tblGrid>
        <w:gridCol w:w="1154"/>
        <w:gridCol w:w="1227"/>
        <w:gridCol w:w="1225"/>
        <w:gridCol w:w="1226"/>
        <w:gridCol w:w="1228"/>
        <w:gridCol w:w="1226"/>
        <w:gridCol w:w="1230"/>
      </w:tblGrid>
      <w:tr w:rsidR="00A46452">
        <w:trPr>
          <w:trHeight w:hRule="exact" w:val="350"/>
        </w:trPr>
        <w:tc>
          <w:tcPr>
            <w:tcW w:w="677"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种类</w:t>
            </w:r>
          </w:p>
        </w:tc>
        <w:tc>
          <w:tcPr>
            <w:tcW w:w="1439" w:type="pct"/>
            <w:gridSpan w:val="2"/>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NO</w:t>
            </w:r>
            <w:r>
              <w:rPr>
                <w:rFonts w:eastAsiaTheme="minorEastAsia" w:cs="Times New Roman"/>
                <w:sz w:val="18"/>
                <w:szCs w:val="18"/>
                <w:vertAlign w:val="subscript"/>
              </w:rPr>
              <w:t>X</w:t>
            </w:r>
          </w:p>
        </w:tc>
        <w:tc>
          <w:tcPr>
            <w:tcW w:w="1441" w:type="pct"/>
            <w:gridSpan w:val="2"/>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CO</w:t>
            </w:r>
          </w:p>
        </w:tc>
        <w:tc>
          <w:tcPr>
            <w:tcW w:w="1442" w:type="pct"/>
            <w:gridSpan w:val="2"/>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THC</w:t>
            </w:r>
          </w:p>
        </w:tc>
      </w:tr>
      <w:tr w:rsidR="00A46452">
        <w:trPr>
          <w:trHeight w:hRule="exact" w:val="555"/>
        </w:trPr>
        <w:tc>
          <w:tcPr>
            <w:tcW w:w="677"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720"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日排放量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kg/d</w:t>
            </w:r>
            <w:r>
              <w:rPr>
                <w:rFonts w:eastAsiaTheme="minorEastAsia" w:cs="Times New Roman"/>
                <w:sz w:val="18"/>
                <w:szCs w:val="18"/>
              </w:rPr>
              <w:t>）</w:t>
            </w:r>
          </w:p>
        </w:tc>
        <w:tc>
          <w:tcPr>
            <w:tcW w:w="719"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总排放量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t</w:t>
            </w:r>
            <w:r>
              <w:rPr>
                <w:rFonts w:eastAsiaTheme="minorEastAsia" w:cs="Times New Roman"/>
                <w:sz w:val="18"/>
                <w:szCs w:val="18"/>
              </w:rPr>
              <w:t>）</w:t>
            </w:r>
          </w:p>
        </w:tc>
        <w:tc>
          <w:tcPr>
            <w:tcW w:w="720"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日排放量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kg/d</w:t>
            </w:r>
            <w:r>
              <w:rPr>
                <w:rFonts w:eastAsiaTheme="minorEastAsia" w:cs="Times New Roman"/>
                <w:sz w:val="18"/>
                <w:szCs w:val="18"/>
              </w:rPr>
              <w:t>）</w:t>
            </w:r>
          </w:p>
        </w:tc>
        <w:tc>
          <w:tcPr>
            <w:tcW w:w="721"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总排放量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t</w:t>
            </w:r>
            <w:r>
              <w:rPr>
                <w:rFonts w:eastAsiaTheme="minorEastAsia" w:cs="Times New Roman"/>
                <w:sz w:val="18"/>
                <w:szCs w:val="18"/>
              </w:rPr>
              <w:t>）</w:t>
            </w:r>
          </w:p>
        </w:tc>
        <w:tc>
          <w:tcPr>
            <w:tcW w:w="720"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日排放量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kg/d</w:t>
            </w:r>
            <w:r>
              <w:rPr>
                <w:rFonts w:eastAsiaTheme="minorEastAsia" w:cs="Times New Roman"/>
                <w:sz w:val="18"/>
                <w:szCs w:val="18"/>
              </w:rPr>
              <w:t>）</w:t>
            </w:r>
          </w:p>
        </w:tc>
        <w:tc>
          <w:tcPr>
            <w:tcW w:w="722" w:type="pct"/>
          </w:tcPr>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总排放量</w:t>
            </w:r>
          </w:p>
          <w:p w:rsidR="00A46452" w:rsidRDefault="009A3928">
            <w:pPr>
              <w:wordWrap w:val="0"/>
              <w:topLinePunct/>
              <w:adjustRightInd w:val="0"/>
              <w:snapToGrid w:val="0"/>
              <w:spacing w:line="260" w:lineRule="exact"/>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t</w:t>
            </w:r>
            <w:r>
              <w:rPr>
                <w:rFonts w:eastAsiaTheme="minorEastAsia" w:cs="Times New Roman"/>
                <w:sz w:val="18"/>
                <w:szCs w:val="18"/>
              </w:rPr>
              <w:t>）</w:t>
            </w:r>
          </w:p>
        </w:tc>
      </w:tr>
      <w:tr w:rsidR="00A46452">
        <w:trPr>
          <w:trHeight w:hRule="exact" w:val="463"/>
        </w:trPr>
        <w:tc>
          <w:tcPr>
            <w:tcW w:w="677"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载重车辆</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39.96</w:t>
            </w:r>
          </w:p>
        </w:tc>
        <w:tc>
          <w:tcPr>
            <w:tcW w:w="71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21.58</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24.3</w:t>
            </w:r>
          </w:p>
        </w:tc>
        <w:tc>
          <w:tcPr>
            <w:tcW w:w="72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13.12</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3.99</w:t>
            </w:r>
          </w:p>
        </w:tc>
        <w:tc>
          <w:tcPr>
            <w:tcW w:w="72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16</w:t>
            </w:r>
          </w:p>
        </w:tc>
      </w:tr>
      <w:tr w:rsidR="00A46452">
        <w:trPr>
          <w:trHeight w:hRule="exact" w:val="466"/>
        </w:trPr>
        <w:tc>
          <w:tcPr>
            <w:tcW w:w="677"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施工机械</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6.6</w:t>
            </w:r>
          </w:p>
        </w:tc>
        <w:tc>
          <w:tcPr>
            <w:tcW w:w="71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7.12</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20</w:t>
            </w:r>
          </w:p>
        </w:tc>
        <w:tc>
          <w:tcPr>
            <w:tcW w:w="72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10.8</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0.76</w:t>
            </w:r>
          </w:p>
        </w:tc>
        <w:tc>
          <w:tcPr>
            <w:tcW w:w="72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0.41</w:t>
            </w:r>
          </w:p>
        </w:tc>
      </w:tr>
      <w:tr w:rsidR="00A46452">
        <w:trPr>
          <w:trHeight w:hRule="exact" w:val="509"/>
        </w:trPr>
        <w:tc>
          <w:tcPr>
            <w:tcW w:w="677"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合计</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71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28.70</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72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23.92</w:t>
            </w:r>
          </w:p>
        </w:tc>
        <w:tc>
          <w:tcPr>
            <w:tcW w:w="72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72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2.57</w:t>
            </w: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5.2.1.2</w:t>
      </w:r>
      <w:r>
        <w:rPr>
          <w:rFonts w:cs="Times New Roman" w:hint="default"/>
          <w:iCs/>
        </w:rPr>
        <w:t>施工期水环境污染源</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）施工人员生活污水排放源强</w:t>
      </w:r>
    </w:p>
    <w:p w:rsidR="00A46452" w:rsidRDefault="009A3928">
      <w:pPr>
        <w:wordWrap w:val="0"/>
        <w:topLinePunct/>
        <w:adjustRightInd w:val="0"/>
        <w:snapToGrid w:val="0"/>
        <w:ind w:firstLine="480"/>
        <w:rPr>
          <w:rFonts w:cs="Times New Roman"/>
        </w:rPr>
      </w:pPr>
      <w:r>
        <w:rPr>
          <w:rFonts w:cs="Times New Roman"/>
        </w:rPr>
        <w:t>施工期施工营地生活污水产生量按下述公式预测：</w:t>
      </w:r>
      <w:r>
        <w:rPr>
          <w:rFonts w:cs="Times New Roman"/>
        </w:rPr>
        <w:t>Q</w:t>
      </w:r>
      <w:r>
        <w:rPr>
          <w:rFonts w:cs="Times New Roman"/>
          <w:vertAlign w:val="subscript"/>
        </w:rPr>
        <w:t>S</w:t>
      </w:r>
      <w:r>
        <w:rPr>
          <w:rFonts w:cs="Times New Roman"/>
        </w:rPr>
        <w:t>=</w:t>
      </w:r>
      <w:r>
        <w:rPr>
          <w:rFonts w:cs="Times New Roman"/>
        </w:rPr>
        <w:t>（</w:t>
      </w:r>
      <w:r>
        <w:rPr>
          <w:rFonts w:cs="Times New Roman"/>
        </w:rPr>
        <w:t>k·q·n</w:t>
      </w:r>
      <w:r>
        <w:rPr>
          <w:rFonts w:cs="Times New Roman"/>
        </w:rPr>
        <w:t>）</w:t>
      </w:r>
      <w:r>
        <w:rPr>
          <w:rFonts w:cs="Times New Roman"/>
        </w:rPr>
        <w:t>/1000</w:t>
      </w:r>
    </w:p>
    <w:p w:rsidR="00A46452" w:rsidRDefault="009A3928">
      <w:pPr>
        <w:wordWrap w:val="0"/>
        <w:topLinePunct/>
        <w:adjustRightInd w:val="0"/>
        <w:snapToGrid w:val="0"/>
        <w:ind w:firstLine="480"/>
        <w:rPr>
          <w:rFonts w:cs="Times New Roman"/>
        </w:rPr>
      </w:pPr>
      <w:r>
        <w:rPr>
          <w:rFonts w:cs="Times New Roman"/>
        </w:rPr>
        <w:t>式中：</w:t>
      </w:r>
      <w:r>
        <w:rPr>
          <w:rFonts w:cs="Times New Roman"/>
        </w:rPr>
        <w:t>Q</w:t>
      </w:r>
      <w:r>
        <w:rPr>
          <w:rFonts w:cs="Times New Roman"/>
          <w:vertAlign w:val="subscript"/>
        </w:rPr>
        <w:t>S</w:t>
      </w:r>
      <w:r>
        <w:rPr>
          <w:rFonts w:cs="Times New Roman"/>
        </w:rPr>
        <w:t>—</w:t>
      </w:r>
      <w:r>
        <w:rPr>
          <w:rFonts w:cs="Times New Roman"/>
        </w:rPr>
        <w:t>生活污水排放量（</w:t>
      </w:r>
      <w:r>
        <w:rPr>
          <w:rFonts w:cs="Times New Roman"/>
        </w:rPr>
        <w:t>t/d</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k—</w:t>
      </w:r>
      <w:r>
        <w:rPr>
          <w:rFonts w:cs="Times New Roman"/>
        </w:rPr>
        <w:t>污水排放系数（</w:t>
      </w:r>
      <w:r>
        <w:rPr>
          <w:rFonts w:cs="Times New Roman"/>
        </w:rPr>
        <w:t>0.6</w:t>
      </w:r>
      <w:r>
        <w:rPr>
          <w:rFonts w:cs="Times New Roman"/>
        </w:rPr>
        <w:t>～</w:t>
      </w:r>
      <w:r>
        <w:rPr>
          <w:rFonts w:cs="Times New Roman"/>
        </w:rPr>
        <w:t>0.9</w:t>
      </w:r>
      <w:r>
        <w:rPr>
          <w:rFonts w:cs="Times New Roman"/>
        </w:rPr>
        <w:t>），取</w:t>
      </w:r>
      <w:r>
        <w:rPr>
          <w:rFonts w:cs="Times New Roman"/>
        </w:rPr>
        <w:t>0.</w:t>
      </w:r>
      <w:r>
        <w:rPr>
          <w:rFonts w:cs="Times New Roman"/>
        </w:rPr>
        <w:t>9</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q—</w:t>
      </w:r>
      <w:r>
        <w:rPr>
          <w:rFonts w:cs="Times New Roman"/>
        </w:rPr>
        <w:t>每人每天生活污水量定额（</w:t>
      </w:r>
      <w:r>
        <w:rPr>
          <w:rFonts w:cs="Times New Roman"/>
        </w:rPr>
        <w:t>L/</w:t>
      </w:r>
      <w:r>
        <w:rPr>
          <w:rFonts w:cs="Times New Roman"/>
        </w:rPr>
        <w:t>人</w:t>
      </w:r>
      <w:r>
        <w:rPr>
          <w:rFonts w:cs="Times New Roman"/>
        </w:rPr>
        <w:t>•d</w:t>
      </w:r>
      <w:r>
        <w:rPr>
          <w:rFonts w:cs="Times New Roman"/>
        </w:rPr>
        <w:t>），取</w:t>
      </w:r>
      <w:r>
        <w:rPr>
          <w:rFonts w:cs="Times New Roman"/>
        </w:rPr>
        <w:t>8</w:t>
      </w:r>
      <w:r>
        <w:rPr>
          <w:rFonts w:cs="Times New Roman"/>
        </w:rPr>
        <w:t>0L/</w:t>
      </w:r>
      <w:r>
        <w:rPr>
          <w:rFonts w:cs="Times New Roman"/>
        </w:rPr>
        <w:t>人</w:t>
      </w:r>
      <w:r>
        <w:rPr>
          <w:rFonts w:cs="Times New Roman"/>
        </w:rPr>
        <w:t>•d</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n—</w:t>
      </w:r>
      <w:r>
        <w:rPr>
          <w:rFonts w:cs="Times New Roman"/>
        </w:rPr>
        <w:t>每天施工营地人数。</w:t>
      </w:r>
    </w:p>
    <w:p w:rsidR="00A46452" w:rsidRDefault="009A3928">
      <w:pPr>
        <w:wordWrap w:val="0"/>
        <w:topLinePunct/>
        <w:adjustRightInd w:val="0"/>
        <w:snapToGrid w:val="0"/>
        <w:ind w:firstLine="480"/>
        <w:rPr>
          <w:rFonts w:cs="Times New Roman"/>
        </w:rPr>
      </w:pPr>
      <w:r>
        <w:rPr>
          <w:rFonts w:cs="Times New Roman"/>
        </w:rPr>
        <w:t>本项目拟设</w:t>
      </w:r>
      <w:r>
        <w:rPr>
          <w:rFonts w:cs="Times New Roman"/>
        </w:rPr>
        <w:t>3</w:t>
      </w:r>
      <w:r>
        <w:rPr>
          <w:rFonts w:cs="Times New Roman"/>
        </w:rPr>
        <w:t>处施工</w:t>
      </w:r>
      <w:r>
        <w:rPr>
          <w:rFonts w:cs="Times New Roman"/>
        </w:rPr>
        <w:t>驻</w:t>
      </w:r>
      <w:r>
        <w:rPr>
          <w:rFonts w:cs="Times New Roman"/>
        </w:rPr>
        <w:t>地。每个施工营地常驻施工人员约为</w:t>
      </w:r>
      <w:r>
        <w:rPr>
          <w:rFonts w:cs="Times New Roman"/>
        </w:rPr>
        <w:t>3</w:t>
      </w:r>
      <w:r>
        <w:rPr>
          <w:rFonts w:cs="Times New Roman"/>
        </w:rPr>
        <w:t>0</w:t>
      </w:r>
      <w:r>
        <w:rPr>
          <w:rFonts w:cs="Times New Roman"/>
        </w:rPr>
        <w:t>人</w:t>
      </w:r>
      <w:r>
        <w:rPr>
          <w:rFonts w:cs="Times New Roman"/>
        </w:rPr>
        <w:t>/d</w:t>
      </w:r>
      <w:r>
        <w:rPr>
          <w:rFonts w:cs="Times New Roman"/>
        </w:rPr>
        <w:t>，本项目施工人员共</w:t>
      </w:r>
      <w:r>
        <w:rPr>
          <w:rFonts w:cs="Times New Roman"/>
        </w:rPr>
        <w:t>90</w:t>
      </w:r>
      <w:r>
        <w:rPr>
          <w:rFonts w:cs="Times New Roman"/>
        </w:rPr>
        <w:t>人</w:t>
      </w:r>
      <w:r>
        <w:rPr>
          <w:rFonts w:cs="Times New Roman"/>
        </w:rPr>
        <w:t>/d</w:t>
      </w:r>
      <w:r>
        <w:rPr>
          <w:rFonts w:cs="Times New Roman"/>
        </w:rPr>
        <w:t>，则施工营地每天产生生活污水约为</w:t>
      </w:r>
      <w:r>
        <w:rPr>
          <w:rFonts w:cs="Times New Roman"/>
        </w:rPr>
        <w:t>6.48</w:t>
      </w:r>
      <w:r>
        <w:rPr>
          <w:rFonts w:cs="Times New Roman"/>
        </w:rPr>
        <w:t>t/d</w:t>
      </w:r>
      <w:r>
        <w:rPr>
          <w:rFonts w:cs="Times New Roman"/>
        </w:rPr>
        <w:t>。项目拟定施工时间</w:t>
      </w:r>
      <w:r>
        <w:rPr>
          <w:rFonts w:cs="Times New Roman"/>
        </w:rPr>
        <w:t>24</w:t>
      </w:r>
      <w:r>
        <w:rPr>
          <w:rFonts w:cs="Times New Roman"/>
        </w:rPr>
        <w:t>个月，共产生生活污水约</w:t>
      </w:r>
      <w:r>
        <w:rPr>
          <w:rFonts w:cs="Times New Roman"/>
        </w:rPr>
        <w:t>4665.60</w:t>
      </w:r>
      <w:r>
        <w:rPr>
          <w:rFonts w:cs="Times New Roman"/>
        </w:rPr>
        <w:t>t</w:t>
      </w:r>
      <w:r>
        <w:rPr>
          <w:rFonts w:cs="Times New Roman"/>
        </w:rPr>
        <w:t>。施工营地生活污水主要为施工人员就餐和洗涤产生的污水及粪便水，主要含动植物油脂、食物残渣、洗涤剂等多种有机物，根据《环境影响评价技术导则</w:t>
      </w:r>
      <w:r>
        <w:rPr>
          <w:rFonts w:cs="Times New Roman"/>
        </w:rPr>
        <w:t xml:space="preserve"> </w:t>
      </w:r>
      <w:r>
        <w:rPr>
          <w:rFonts w:cs="Times New Roman"/>
        </w:rPr>
        <w:t>公路建设项目》（</w:t>
      </w:r>
      <w:r>
        <w:rPr>
          <w:rFonts w:cs="Times New Roman"/>
        </w:rPr>
        <w:t>HJ1358-2024</w:t>
      </w:r>
      <w:r>
        <w:rPr>
          <w:rFonts w:cs="Times New Roman"/>
        </w:rPr>
        <w:t>）和当地类似项目经验，施工人员生活污水主要污染物及其浓度分别为</w:t>
      </w:r>
      <w:r>
        <w:rPr>
          <w:rFonts w:cs="Times New Roman"/>
        </w:rPr>
        <w:t>COD350mg/L</w:t>
      </w:r>
      <w:r>
        <w:rPr>
          <w:rFonts w:cs="Times New Roman"/>
        </w:rPr>
        <w:t>，</w:t>
      </w:r>
      <w:r>
        <w:rPr>
          <w:rFonts w:cs="Times New Roman"/>
        </w:rPr>
        <w:t>BOD</w:t>
      </w:r>
      <w:r>
        <w:rPr>
          <w:rFonts w:cs="Times New Roman"/>
          <w:vertAlign w:val="subscript"/>
        </w:rPr>
        <w:t>5</w:t>
      </w:r>
      <w:r>
        <w:rPr>
          <w:rFonts w:cs="Times New Roman"/>
        </w:rPr>
        <w:t>250mg/L</w:t>
      </w:r>
      <w:r>
        <w:rPr>
          <w:rFonts w:cs="Times New Roman"/>
        </w:rPr>
        <w:t>，</w:t>
      </w:r>
      <w:r>
        <w:rPr>
          <w:rFonts w:cs="Times New Roman"/>
        </w:rPr>
        <w:t>SS250mg/L</w:t>
      </w:r>
      <w:r>
        <w:rPr>
          <w:rFonts w:cs="Times New Roman"/>
        </w:rPr>
        <w:t>，氨氮</w:t>
      </w:r>
      <w:r>
        <w:rPr>
          <w:rFonts w:cs="Times New Roman"/>
        </w:rPr>
        <w:t>30mg/L</w:t>
      </w:r>
      <w:r>
        <w:rPr>
          <w:rFonts w:cs="Times New Roman"/>
        </w:rPr>
        <w:t>，动植物油</w:t>
      </w:r>
      <w:r>
        <w:rPr>
          <w:rFonts w:cs="Times New Roman"/>
        </w:rPr>
        <w:t>30mg/L</w:t>
      </w:r>
      <w:r>
        <w:rPr>
          <w:rFonts w:cs="Times New Roman"/>
        </w:rPr>
        <w:t>。施工期生活污水</w:t>
      </w:r>
      <w:r>
        <w:rPr>
          <w:rFonts w:cs="Times New Roman"/>
        </w:rPr>
        <w:t>的主要成分</w:t>
      </w:r>
      <w:r>
        <w:rPr>
          <w:rFonts w:cs="Times New Roman"/>
        </w:rPr>
        <w:t>、浓度及产生量见表</w:t>
      </w:r>
      <w:r>
        <w:rPr>
          <w:rFonts w:cs="Times New Roman" w:hint="eastAsia"/>
        </w:rPr>
        <w:t>5</w:t>
      </w:r>
      <w:r>
        <w:rPr>
          <w:rFonts w:cs="Times New Roman"/>
        </w:rPr>
        <w:t>.</w:t>
      </w:r>
      <w:r>
        <w:rPr>
          <w:rFonts w:cs="Times New Roman"/>
        </w:rPr>
        <w:t>2</w:t>
      </w:r>
      <w:r>
        <w:rPr>
          <w:rFonts w:cs="Times New Roman"/>
        </w:rPr>
        <w:t>-</w:t>
      </w:r>
      <w:r>
        <w:rPr>
          <w:rFonts w:cs="Times New Roman" w:hint="eastAsia"/>
        </w:rPr>
        <w:t>5</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w:t>
      </w:r>
      <w:r>
        <w:rPr>
          <w:rFonts w:eastAsia="黑体" w:cs="Times New Roman"/>
        </w:rPr>
        <w:t>2</w:t>
      </w:r>
      <w:r>
        <w:rPr>
          <w:rFonts w:eastAsia="黑体" w:cs="Times New Roman"/>
        </w:rPr>
        <w:t>-</w:t>
      </w:r>
      <w:r>
        <w:rPr>
          <w:rFonts w:eastAsia="黑体" w:cs="Times New Roman" w:hint="eastAsia"/>
        </w:rPr>
        <w:t>5</w:t>
      </w:r>
      <w:r>
        <w:rPr>
          <w:rFonts w:eastAsia="黑体" w:cs="Times New Roman"/>
        </w:rPr>
        <w:t xml:space="preserve">            </w:t>
      </w:r>
      <w:r>
        <w:rPr>
          <w:rFonts w:eastAsia="黑体" w:cs="Times New Roman"/>
        </w:rPr>
        <w:t xml:space="preserve">      </w:t>
      </w:r>
      <w:r>
        <w:rPr>
          <w:rFonts w:eastAsia="黑体" w:cs="Times New Roman"/>
        </w:rPr>
        <w:t>施工营地生活污水成分及浓度</w:t>
      </w:r>
    </w:p>
    <w:tbl>
      <w:tblPr>
        <w:tblStyle w:val="affff7"/>
        <w:tblW w:w="5000" w:type="pct"/>
        <w:tblLook w:val="04A0" w:firstRow="1" w:lastRow="0" w:firstColumn="1" w:lastColumn="0" w:noHBand="0" w:noVBand="1"/>
      </w:tblPr>
      <w:tblGrid>
        <w:gridCol w:w="2319"/>
        <w:gridCol w:w="876"/>
        <w:gridCol w:w="1019"/>
        <w:gridCol w:w="1019"/>
        <w:gridCol w:w="1020"/>
        <w:gridCol w:w="1020"/>
        <w:gridCol w:w="1243"/>
      </w:tblGrid>
      <w:tr w:rsidR="00A46452">
        <w:trPr>
          <w:trHeight w:hRule="exact" w:val="521"/>
        </w:trPr>
        <w:tc>
          <w:tcPr>
            <w:tcW w:w="136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主要污染物</w:t>
            </w:r>
          </w:p>
        </w:tc>
        <w:tc>
          <w:tcPr>
            <w:tcW w:w="514"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污水量</w:t>
            </w:r>
          </w:p>
        </w:tc>
        <w:tc>
          <w:tcPr>
            <w:tcW w:w="59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BOD</w:t>
            </w:r>
            <w:r>
              <w:rPr>
                <w:rFonts w:eastAsiaTheme="minorEastAsia" w:cs="Times New Roman"/>
                <w:sz w:val="18"/>
                <w:szCs w:val="18"/>
                <w:vertAlign w:val="subscript"/>
              </w:rPr>
              <w:t>5</w:t>
            </w:r>
          </w:p>
        </w:tc>
        <w:tc>
          <w:tcPr>
            <w:tcW w:w="59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COD</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NH</w:t>
            </w:r>
            <w:r>
              <w:rPr>
                <w:rFonts w:eastAsiaTheme="minorEastAsia" w:cs="Times New Roman"/>
                <w:sz w:val="18"/>
                <w:szCs w:val="18"/>
                <w:vertAlign w:val="subscript"/>
              </w:rPr>
              <w:t>3</w:t>
            </w:r>
            <w:r>
              <w:rPr>
                <w:rFonts w:eastAsiaTheme="minorEastAsia" w:cs="Times New Roman"/>
                <w:sz w:val="18"/>
                <w:szCs w:val="18"/>
              </w:rPr>
              <w:t>-N</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SS</w:t>
            </w:r>
          </w:p>
        </w:tc>
        <w:tc>
          <w:tcPr>
            <w:tcW w:w="73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动植物油</w:t>
            </w:r>
          </w:p>
        </w:tc>
      </w:tr>
      <w:tr w:rsidR="00A46452">
        <w:trPr>
          <w:trHeight w:hRule="exact" w:val="317"/>
        </w:trPr>
        <w:tc>
          <w:tcPr>
            <w:tcW w:w="136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浓度</w:t>
            </w:r>
            <w:r>
              <w:rPr>
                <w:rFonts w:eastAsiaTheme="minorEastAsia" w:cs="Times New Roman"/>
                <w:sz w:val="18"/>
                <w:szCs w:val="18"/>
              </w:rPr>
              <w:t>（</w:t>
            </w:r>
            <w:r>
              <w:rPr>
                <w:rFonts w:eastAsiaTheme="minorEastAsia" w:cs="Times New Roman"/>
                <w:sz w:val="18"/>
                <w:szCs w:val="18"/>
              </w:rPr>
              <w:t>mg/L</w:t>
            </w:r>
            <w:r>
              <w:rPr>
                <w:rFonts w:eastAsiaTheme="minorEastAsia" w:cs="Times New Roman"/>
                <w:sz w:val="18"/>
                <w:szCs w:val="18"/>
              </w:rPr>
              <w:t>）</w:t>
            </w:r>
          </w:p>
        </w:tc>
        <w:tc>
          <w:tcPr>
            <w:tcW w:w="514"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59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250</w:t>
            </w:r>
          </w:p>
        </w:tc>
        <w:tc>
          <w:tcPr>
            <w:tcW w:w="598"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350</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30</w:t>
            </w:r>
          </w:p>
        </w:tc>
        <w:tc>
          <w:tcPr>
            <w:tcW w:w="599"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250</w:t>
            </w:r>
          </w:p>
        </w:tc>
        <w:tc>
          <w:tcPr>
            <w:tcW w:w="730"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30</w:t>
            </w:r>
          </w:p>
        </w:tc>
      </w:tr>
      <w:tr w:rsidR="00A46452">
        <w:trPr>
          <w:trHeight w:hRule="exact" w:val="317"/>
        </w:trPr>
        <w:tc>
          <w:tcPr>
            <w:tcW w:w="136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污染物产生量</w:t>
            </w:r>
            <w:r>
              <w:rPr>
                <w:rFonts w:eastAsiaTheme="minorEastAsia" w:cs="Times New Roman"/>
                <w:sz w:val="18"/>
                <w:szCs w:val="18"/>
              </w:rPr>
              <w:t>kg</w:t>
            </w:r>
            <w:r>
              <w:rPr>
                <w:rFonts w:eastAsiaTheme="minorEastAsia" w:cs="Times New Roman"/>
                <w:sz w:val="18"/>
                <w:szCs w:val="18"/>
              </w:rPr>
              <w:t>/d</w:t>
            </w:r>
          </w:p>
        </w:tc>
        <w:tc>
          <w:tcPr>
            <w:tcW w:w="876"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cs="Times New Roman"/>
                <w:kern w:val="0"/>
                <w:sz w:val="18"/>
                <w:szCs w:val="18"/>
                <w:lang w:bidi="ar"/>
              </w:rPr>
              <w:t>6480</w:t>
            </w:r>
          </w:p>
        </w:tc>
        <w:tc>
          <w:tcPr>
            <w:tcW w:w="1019"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cs="Times New Roman"/>
                <w:kern w:val="0"/>
                <w:sz w:val="18"/>
                <w:szCs w:val="18"/>
                <w:lang w:bidi="ar"/>
              </w:rPr>
              <w:t>1.62</w:t>
            </w:r>
          </w:p>
        </w:tc>
        <w:tc>
          <w:tcPr>
            <w:tcW w:w="1019"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2.27</w:t>
            </w:r>
          </w:p>
        </w:tc>
        <w:tc>
          <w:tcPr>
            <w:tcW w:w="1021"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0.19</w:t>
            </w:r>
          </w:p>
        </w:tc>
        <w:tc>
          <w:tcPr>
            <w:tcW w:w="1021"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1.62</w:t>
            </w:r>
          </w:p>
        </w:tc>
        <w:tc>
          <w:tcPr>
            <w:tcW w:w="1246"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0.19</w:t>
            </w:r>
          </w:p>
        </w:tc>
      </w:tr>
      <w:tr w:rsidR="00A46452">
        <w:trPr>
          <w:trHeight w:hRule="exact" w:val="317"/>
        </w:trPr>
        <w:tc>
          <w:tcPr>
            <w:tcW w:w="1361"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污染物总产生量</w:t>
            </w:r>
            <w:r>
              <w:rPr>
                <w:rFonts w:eastAsiaTheme="minorEastAsia" w:cs="Times New Roman"/>
                <w:sz w:val="18"/>
                <w:szCs w:val="18"/>
              </w:rPr>
              <w:t>t/</w:t>
            </w:r>
            <w:r>
              <w:rPr>
                <w:rFonts w:eastAsiaTheme="minorEastAsia" w:cs="Times New Roman"/>
                <w:sz w:val="18"/>
                <w:szCs w:val="18"/>
              </w:rPr>
              <w:t>24</w:t>
            </w:r>
            <w:r>
              <w:rPr>
                <w:rFonts w:eastAsiaTheme="minorEastAsia" w:cs="Times New Roman"/>
                <w:sz w:val="18"/>
                <w:szCs w:val="18"/>
              </w:rPr>
              <w:t>个月</w:t>
            </w:r>
          </w:p>
        </w:tc>
        <w:tc>
          <w:tcPr>
            <w:tcW w:w="876"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cs="Times New Roman"/>
                <w:kern w:val="0"/>
                <w:sz w:val="18"/>
                <w:szCs w:val="18"/>
                <w:lang w:bidi="ar"/>
              </w:rPr>
              <w:t>4.25</w:t>
            </w:r>
          </w:p>
        </w:tc>
        <w:tc>
          <w:tcPr>
            <w:tcW w:w="1019"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1.17</w:t>
            </w:r>
          </w:p>
        </w:tc>
        <w:tc>
          <w:tcPr>
            <w:tcW w:w="1019"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1.63</w:t>
            </w:r>
          </w:p>
        </w:tc>
        <w:tc>
          <w:tcPr>
            <w:tcW w:w="1021"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0.14</w:t>
            </w:r>
          </w:p>
        </w:tc>
        <w:tc>
          <w:tcPr>
            <w:tcW w:w="1021"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1.17</w:t>
            </w:r>
          </w:p>
        </w:tc>
        <w:tc>
          <w:tcPr>
            <w:tcW w:w="1246" w:type="dxa"/>
          </w:tcPr>
          <w:p w:rsidR="00A46452" w:rsidRDefault="009A3928">
            <w:pPr>
              <w:wordWrap w:val="0"/>
              <w:topLinePunct/>
              <w:adjustRightInd w:val="0"/>
              <w:snapToGrid w:val="0"/>
              <w:spacing w:line="240" w:lineRule="auto"/>
              <w:ind w:firstLineChars="0" w:firstLine="0"/>
              <w:jc w:val="center"/>
              <w:textAlignment w:val="center"/>
              <w:rPr>
                <w:rFonts w:eastAsiaTheme="minorEastAsia" w:cs="Times New Roman"/>
                <w:sz w:val="18"/>
                <w:szCs w:val="18"/>
              </w:rPr>
            </w:pPr>
            <w:r>
              <w:rPr>
                <w:rFonts w:eastAsiaTheme="minorEastAsia" w:cs="Times New Roman"/>
                <w:sz w:val="18"/>
                <w:szCs w:val="18"/>
              </w:rPr>
              <w:t>0.14</w:t>
            </w:r>
          </w:p>
        </w:tc>
      </w:tr>
    </w:tbl>
    <w:p w:rsidR="00A46452" w:rsidRDefault="009A3928" w:rsidP="00182EED">
      <w:pPr>
        <w:wordWrap w:val="0"/>
        <w:topLinePunct/>
        <w:adjustRightInd w:val="0"/>
        <w:snapToGrid w:val="0"/>
        <w:spacing w:beforeLines="50" w:before="156"/>
        <w:ind w:firstLine="480"/>
        <w:rPr>
          <w:rFonts w:cs="Times New Roman"/>
        </w:rPr>
      </w:pPr>
      <w:r>
        <w:rPr>
          <w:rFonts w:cs="Times New Roman"/>
        </w:rPr>
        <w:t>自建的施工营地均处于</w:t>
      </w:r>
      <w:r>
        <w:rPr>
          <w:rFonts w:cs="Times New Roman"/>
        </w:rPr>
        <w:t>林地，</w:t>
      </w:r>
      <w:r>
        <w:rPr>
          <w:rFonts w:cs="Times New Roman"/>
        </w:rPr>
        <w:t>且水量不大，施工营地内设置采取一体化污水处理设施处理达到新疆维吾尔自治区地方标准《农村生活污水处理排放标准》（</w:t>
      </w:r>
      <w:r>
        <w:rPr>
          <w:rFonts w:cs="Times New Roman"/>
        </w:rPr>
        <w:t>DB654275-2019</w:t>
      </w:r>
      <w:r>
        <w:rPr>
          <w:rFonts w:cs="Times New Roman"/>
        </w:rPr>
        <w:t>）表</w:t>
      </w:r>
      <w:r>
        <w:rPr>
          <w:rFonts w:cs="Times New Roman"/>
        </w:rPr>
        <w:t>2</w:t>
      </w:r>
      <w:r>
        <w:rPr>
          <w:rFonts w:cs="Times New Roman"/>
        </w:rPr>
        <w:t>中</w:t>
      </w:r>
      <w:r>
        <w:rPr>
          <w:rFonts w:cs="Times New Roman"/>
        </w:rPr>
        <w:t>B</w:t>
      </w:r>
      <w:r>
        <w:rPr>
          <w:rFonts w:cs="Times New Roman"/>
        </w:rPr>
        <w:t>级限值，出水满足</w:t>
      </w:r>
      <w:r>
        <w:rPr>
          <w:rFonts w:cs="Times New Roman"/>
        </w:rPr>
        <w:t>B</w:t>
      </w:r>
      <w:r>
        <w:rPr>
          <w:rFonts w:cs="Times New Roman"/>
        </w:rPr>
        <w:t>级限值后可用于植被的绿化。</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w:t>
      </w:r>
      <w:r>
        <w:rPr>
          <w:rFonts w:cs="Times New Roman"/>
        </w:rPr>
        <w:t>施工生产废水</w:t>
      </w:r>
    </w:p>
    <w:p w:rsidR="00A46452" w:rsidRDefault="009A3928">
      <w:pPr>
        <w:wordWrap w:val="0"/>
        <w:topLinePunct/>
        <w:adjustRightInd w:val="0"/>
        <w:snapToGrid w:val="0"/>
        <w:ind w:firstLine="480"/>
        <w:rPr>
          <w:rFonts w:cs="Times New Roman"/>
        </w:rPr>
      </w:pPr>
      <w:r>
        <w:rPr>
          <w:rFonts w:cs="Times New Roman"/>
        </w:rPr>
        <w:t>本项目施工期施工生产废水主要有车辆、机械设备维修冲洗废水，砂石料冲洗废水及混凝土拌合、养护废水，桥梁施工废水，物料流失产生的废水等。</w:t>
      </w:r>
    </w:p>
    <w:p w:rsidR="00A46452" w:rsidRDefault="009A3928">
      <w:pPr>
        <w:wordWrap w:val="0"/>
        <w:topLinePunct/>
        <w:adjustRightInd w:val="0"/>
        <w:snapToGrid w:val="0"/>
        <w:ind w:firstLine="480"/>
        <w:rPr>
          <w:rFonts w:cs="Times New Roman"/>
        </w:rPr>
      </w:pPr>
      <w:r>
        <w:rPr>
          <w:rFonts w:cs="Times New Roman"/>
        </w:rPr>
        <w:t>①</w:t>
      </w:r>
      <w:r>
        <w:rPr>
          <w:rFonts w:cs="Times New Roman"/>
        </w:rPr>
        <w:t>车辆、机械设备维修冲洗废水</w:t>
      </w:r>
    </w:p>
    <w:p w:rsidR="00A46452" w:rsidRDefault="009A3928">
      <w:pPr>
        <w:wordWrap w:val="0"/>
        <w:topLinePunct/>
        <w:adjustRightInd w:val="0"/>
        <w:snapToGrid w:val="0"/>
        <w:ind w:firstLine="480"/>
        <w:rPr>
          <w:rFonts w:cs="Times New Roman"/>
        </w:rPr>
      </w:pPr>
      <w:r>
        <w:rPr>
          <w:rFonts w:cs="Times New Roman"/>
        </w:rPr>
        <w:t>车辆、机械设备冲洗，施工机械跑、冒、滴、漏的污油及露天机械受雨水冲刷等将产生少量含油污水。本项目施工期同时作业的施工机械按</w:t>
      </w:r>
      <w:r>
        <w:rPr>
          <w:rFonts w:cs="Times New Roman"/>
        </w:rPr>
        <w:t>100</w:t>
      </w:r>
      <w:r>
        <w:rPr>
          <w:rFonts w:cs="Times New Roman"/>
        </w:rPr>
        <w:t>部计，每部冲洗水量按</w:t>
      </w:r>
      <w:r>
        <w:rPr>
          <w:rFonts w:cs="Times New Roman"/>
        </w:rPr>
        <w:t>500L/</w:t>
      </w:r>
      <w:r>
        <w:rPr>
          <w:rFonts w:cs="Times New Roman"/>
        </w:rPr>
        <w:t>部计，每天冲洗</w:t>
      </w:r>
      <w:r>
        <w:rPr>
          <w:rFonts w:cs="Times New Roman"/>
        </w:rPr>
        <w:t>1</w:t>
      </w:r>
      <w:r>
        <w:rPr>
          <w:rFonts w:cs="Times New Roman"/>
        </w:rPr>
        <w:t>次，则施工机械冲洗废水发生量为</w:t>
      </w:r>
      <w:r>
        <w:rPr>
          <w:rFonts w:cs="Times New Roman"/>
        </w:rPr>
        <w:t>50m</w:t>
      </w:r>
      <w:r>
        <w:rPr>
          <w:rFonts w:cs="Times New Roman"/>
          <w:vertAlign w:val="superscript"/>
        </w:rPr>
        <w:t>3</w:t>
      </w:r>
      <w:r>
        <w:rPr>
          <w:rFonts w:cs="Times New Roman"/>
        </w:rPr>
        <w:t>/d</w:t>
      </w:r>
      <w:r>
        <w:rPr>
          <w:rFonts w:cs="Times New Roman"/>
        </w:rPr>
        <w:t>，整个施工期发生总量为</w:t>
      </w:r>
      <w:r>
        <w:rPr>
          <w:rFonts w:cs="Times New Roman"/>
        </w:rPr>
        <w:t>36000</w:t>
      </w:r>
      <w:r>
        <w:rPr>
          <w:rFonts w:cs="Times New Roman"/>
        </w:rPr>
        <w:t>m</w:t>
      </w:r>
      <w:r>
        <w:rPr>
          <w:rFonts w:cs="Times New Roman"/>
          <w:vertAlign w:val="superscript"/>
        </w:rPr>
        <w:t>3</w:t>
      </w: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）和当地公路项目经验，施工机械冲洗废水的主要污染物浓度为</w:t>
      </w:r>
      <w:r>
        <w:rPr>
          <w:rFonts w:cs="Times New Roman"/>
        </w:rPr>
        <w:t>COD200mg/L</w:t>
      </w:r>
      <w:r>
        <w:rPr>
          <w:rFonts w:cs="Times New Roman"/>
        </w:rPr>
        <w:t>、</w:t>
      </w:r>
      <w:r>
        <w:rPr>
          <w:rFonts w:cs="Times New Roman"/>
        </w:rPr>
        <w:t>SS4000mgL</w:t>
      </w:r>
      <w:r>
        <w:rPr>
          <w:rFonts w:cs="Times New Roman"/>
        </w:rPr>
        <w:t>、石油类</w:t>
      </w:r>
      <w:r>
        <w:rPr>
          <w:rFonts w:cs="Times New Roman"/>
        </w:rPr>
        <w:t>30mg/L</w:t>
      </w:r>
      <w:r>
        <w:rPr>
          <w:rFonts w:cs="Times New Roman"/>
        </w:rPr>
        <w:t>。采用隔油池、沉淀池处理施工机械冲洗废水，处理水储存于清水池中回用于再次机械冲洗，不外排。</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搅拌站、预制场生产废水</w:t>
      </w:r>
    </w:p>
    <w:p w:rsidR="00A46452" w:rsidRDefault="009A3928">
      <w:pPr>
        <w:wordWrap w:val="0"/>
        <w:topLinePunct/>
        <w:adjustRightInd w:val="0"/>
        <w:snapToGrid w:val="0"/>
        <w:ind w:firstLine="480"/>
        <w:rPr>
          <w:rFonts w:cs="Times New Roman"/>
        </w:rPr>
      </w:pPr>
      <w:r>
        <w:rPr>
          <w:rFonts w:cs="Times New Roman"/>
        </w:rPr>
        <w:t>综合站场内的生产废水主要有混凝土搅拌站设备和砼罐车清洗废水、预制场的混凝土养护废水。根据自治区道路施工统计资料，一般每处场地的生产废水量均低于</w:t>
      </w:r>
      <w:r>
        <w:rPr>
          <w:rFonts w:cs="Times New Roman"/>
        </w:rPr>
        <w:t>1t/d</w:t>
      </w:r>
      <w:r>
        <w:rPr>
          <w:rFonts w:cs="Times New Roman"/>
        </w:rPr>
        <w:t>，主要污染物为</w:t>
      </w:r>
      <w:r>
        <w:rPr>
          <w:rFonts w:cs="Times New Roman"/>
        </w:rPr>
        <w:t>SS</w:t>
      </w:r>
      <w:r>
        <w:rPr>
          <w:rFonts w:cs="Times New Roman"/>
        </w:rPr>
        <w:t>，浓度可达到</w:t>
      </w:r>
      <w:r>
        <w:rPr>
          <w:rFonts w:cs="Times New Roman"/>
        </w:rPr>
        <w:t>3000mg/L</w:t>
      </w:r>
      <w:r>
        <w:rPr>
          <w:rFonts w:cs="Times New Roman"/>
        </w:rPr>
        <w:t>～</w:t>
      </w:r>
      <w:r>
        <w:rPr>
          <w:rFonts w:cs="Times New Roman"/>
        </w:rPr>
        <w:t>5000mg</w:t>
      </w:r>
      <w:r>
        <w:rPr>
          <w:rFonts w:cs="Times New Roman"/>
        </w:rPr>
        <w:t>/L</w:t>
      </w:r>
      <w:r>
        <w:rPr>
          <w:rFonts w:cs="Times New Roman"/>
        </w:rPr>
        <w:t>。</w:t>
      </w:r>
      <w:r>
        <w:rPr>
          <w:rFonts w:cs="Times New Roman"/>
        </w:rPr>
        <w:t xml:space="preserve"> </w:t>
      </w:r>
    </w:p>
    <w:p w:rsidR="00A46452" w:rsidRDefault="009A3928">
      <w:pPr>
        <w:wordWrap w:val="0"/>
        <w:topLinePunct/>
        <w:adjustRightInd w:val="0"/>
        <w:snapToGrid w:val="0"/>
        <w:ind w:firstLine="480"/>
        <w:rPr>
          <w:rFonts w:cs="Times New Roman"/>
        </w:rPr>
      </w:pPr>
      <w:r>
        <w:rPr>
          <w:rFonts w:cs="Times New Roman"/>
        </w:rPr>
        <w:t>本项目拟在施工营地、综合站场内设隔油沉淀池，废水集中收集，经隔油沉淀处理后回用</w:t>
      </w:r>
      <w:r>
        <w:rPr>
          <w:rFonts w:cs="Times New Roman"/>
        </w:rPr>
        <w:t>作</w:t>
      </w:r>
      <w:r>
        <w:rPr>
          <w:rFonts w:cs="Times New Roman"/>
        </w:rPr>
        <w:t>降尘用水，不外排，施工结束后将沉淀池覆土掩埋。</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）桥墩施工废水</w:t>
      </w:r>
    </w:p>
    <w:p w:rsidR="00A46452" w:rsidRDefault="009A3928">
      <w:pPr>
        <w:wordWrap w:val="0"/>
        <w:topLinePunct/>
        <w:adjustRightInd w:val="0"/>
        <w:snapToGrid w:val="0"/>
        <w:ind w:firstLine="480"/>
        <w:rPr>
          <w:rFonts w:cs="Times New Roman"/>
        </w:rPr>
      </w:pPr>
      <w:r>
        <w:rPr>
          <w:rFonts w:cs="Times New Roman"/>
        </w:rPr>
        <w:t>本项目桥梁桩基的水域施工会对水体进行扰动，造成施工区域附近水中</w:t>
      </w:r>
      <w:r>
        <w:rPr>
          <w:rFonts w:cs="Times New Roman"/>
        </w:rPr>
        <w:t>SS</w:t>
      </w:r>
      <w:r>
        <w:rPr>
          <w:rFonts w:cs="Times New Roman"/>
        </w:rPr>
        <w:t>浓度增高，影响水体水质。本项目桥梁桩基的水域施工采取围堰法，桩基施工过程在围堰内完成，对围堰外水域的影响较小，对水体的扰动仅发生在安装和拆除围堰的过程。根据同类型桥梁工程施工类比分析，围堰施工时，局部水域的</w:t>
      </w:r>
      <w:r>
        <w:rPr>
          <w:rFonts w:cs="Times New Roman"/>
        </w:rPr>
        <w:t>SS</w:t>
      </w:r>
      <w:r>
        <w:rPr>
          <w:rFonts w:cs="Times New Roman"/>
        </w:rPr>
        <w:t>浓度在</w:t>
      </w:r>
      <w:r>
        <w:rPr>
          <w:rFonts w:cs="Times New Roman"/>
        </w:rPr>
        <w:t>80mg/L</w:t>
      </w:r>
      <w:r>
        <w:rPr>
          <w:rFonts w:cs="Times New Roman"/>
        </w:rPr>
        <w:t>~</w:t>
      </w:r>
      <w:r>
        <w:rPr>
          <w:rFonts w:cs="Times New Roman"/>
        </w:rPr>
        <w:t>160mg/L</w:t>
      </w:r>
      <w:r>
        <w:rPr>
          <w:rFonts w:cs="Times New Roman"/>
        </w:rPr>
        <w:t>之间，但施工点下游</w:t>
      </w:r>
      <w:r>
        <w:rPr>
          <w:rFonts w:cs="Times New Roman"/>
        </w:rPr>
        <w:t>100m</w:t>
      </w:r>
      <w:r>
        <w:rPr>
          <w:rFonts w:cs="Times New Roman"/>
        </w:rPr>
        <w:t>范围外</w:t>
      </w:r>
      <w:r>
        <w:rPr>
          <w:rFonts w:cs="Times New Roman"/>
        </w:rPr>
        <w:t>SS</w:t>
      </w:r>
      <w:r>
        <w:rPr>
          <w:rFonts w:cs="Times New Roman"/>
        </w:rPr>
        <w:t>增量不超</w:t>
      </w:r>
      <w:r>
        <w:rPr>
          <w:rFonts w:cs="Times New Roman"/>
        </w:rPr>
        <w:t>过</w:t>
      </w:r>
      <w:r>
        <w:rPr>
          <w:rFonts w:cs="Times New Roman"/>
        </w:rPr>
        <w:t>50mg/L</w:t>
      </w:r>
      <w:r>
        <w:rPr>
          <w:rFonts w:cs="Times New Roman"/>
        </w:rPr>
        <w:t>。陆域桥梁基础施工对水环境的影响主要表现在桩基泥浆水的泄漏，根据相关研究结论，桩基泥浆水比重</w:t>
      </w:r>
      <w:r>
        <w:rPr>
          <w:rFonts w:cs="Times New Roman"/>
        </w:rPr>
        <w:t>1.20</w:t>
      </w:r>
      <w:r>
        <w:rPr>
          <w:rFonts w:cs="Times New Roman"/>
        </w:rPr>
        <w:t>~</w:t>
      </w:r>
      <w:r>
        <w:rPr>
          <w:rFonts w:cs="Times New Roman"/>
        </w:rPr>
        <w:t>1.46</w:t>
      </w:r>
      <w:r>
        <w:rPr>
          <w:rFonts w:cs="Times New Roman"/>
        </w:rPr>
        <w:t>，含泥量</w:t>
      </w:r>
      <w:r>
        <w:rPr>
          <w:rFonts w:cs="Times New Roman"/>
        </w:rPr>
        <w:t>32%</w:t>
      </w:r>
      <w:r>
        <w:rPr>
          <w:rFonts w:cs="Times New Roman"/>
        </w:rPr>
        <w:t>~</w:t>
      </w:r>
      <w:r>
        <w:rPr>
          <w:rFonts w:cs="Times New Roman"/>
        </w:rPr>
        <w:t>50%</w:t>
      </w:r>
      <w:r>
        <w:rPr>
          <w:rFonts w:cs="Times New Roman"/>
        </w:rPr>
        <w:t>，</w:t>
      </w:r>
      <w:r>
        <w:rPr>
          <w:rFonts w:cs="Times New Roman"/>
        </w:rPr>
        <w:t>pH</w:t>
      </w:r>
      <w:r>
        <w:rPr>
          <w:rFonts w:cs="Times New Roman"/>
        </w:rPr>
        <w:t>值</w:t>
      </w:r>
      <w:r>
        <w:rPr>
          <w:rFonts w:cs="Times New Roman"/>
        </w:rPr>
        <w:t>6</w:t>
      </w:r>
      <w:r>
        <w:rPr>
          <w:rFonts w:cs="Times New Roman"/>
        </w:rPr>
        <w:t>~</w:t>
      </w:r>
      <w:r>
        <w:rPr>
          <w:rFonts w:cs="Times New Roman"/>
        </w:rPr>
        <w:t>7</w:t>
      </w:r>
      <w:r>
        <w:rPr>
          <w:rFonts w:cs="Times New Roman"/>
        </w:rPr>
        <w:t>。</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5.2.1.3</w:t>
      </w:r>
      <w:r>
        <w:rPr>
          <w:rFonts w:cs="Times New Roman" w:hint="default"/>
          <w:iCs/>
        </w:rPr>
        <w:t>施工期噪声污染源</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）施工机械噪声</w:t>
      </w:r>
    </w:p>
    <w:p w:rsidR="00A46452" w:rsidRDefault="009A3928">
      <w:pPr>
        <w:wordWrap w:val="0"/>
        <w:topLinePunct/>
        <w:adjustRightInd w:val="0"/>
        <w:snapToGrid w:val="0"/>
        <w:ind w:firstLine="480"/>
        <w:rPr>
          <w:rFonts w:cs="Times New Roman"/>
        </w:rPr>
      </w:pPr>
      <w:r>
        <w:rPr>
          <w:rFonts w:cs="Times New Roman"/>
        </w:rPr>
        <w:t>公路施工期噪声主要来自施工开挖、钻孔、砂石料粉碎、混凝土浇筑等施工活动中的施工机械运行、车辆运输和机械加工修配等</w:t>
      </w:r>
      <w:r>
        <w:rPr>
          <w:rFonts w:cs="Times New Roman"/>
        </w:rPr>
        <w:t>。</w:t>
      </w:r>
    </w:p>
    <w:p w:rsidR="00A46452" w:rsidRDefault="009A3928">
      <w:pPr>
        <w:wordWrap w:val="0"/>
        <w:topLinePunct/>
        <w:adjustRightInd w:val="0"/>
        <w:snapToGrid w:val="0"/>
        <w:ind w:firstLine="480"/>
        <w:rPr>
          <w:rFonts w:cs="Times New Roman"/>
        </w:rPr>
      </w:pPr>
      <w:r>
        <w:rPr>
          <w:rFonts w:cs="Times New Roman"/>
        </w:rPr>
        <w:t>施工作业机械品种较多，路基填筑有推土机、压路机、装载机、平地机等；公路面层施工时有平地机、</w:t>
      </w:r>
      <w:r>
        <w:rPr>
          <w:rFonts w:cs="Times New Roman"/>
        </w:rPr>
        <w:t>摊铺机</w:t>
      </w:r>
      <w:r>
        <w:rPr>
          <w:rFonts w:cs="Times New Roman"/>
        </w:rPr>
        <w:t>等。</w:t>
      </w:r>
    </w:p>
    <w:p w:rsidR="00A46452" w:rsidRDefault="009A3928">
      <w:pPr>
        <w:wordWrap w:val="0"/>
        <w:topLinePunct/>
        <w:adjustRightInd w:val="0"/>
        <w:snapToGrid w:val="0"/>
        <w:ind w:firstLine="480"/>
        <w:rPr>
          <w:rFonts w:cs="Times New Roman"/>
        </w:rPr>
      </w:pPr>
      <w:r>
        <w:rPr>
          <w:rFonts w:cs="Times New Roman"/>
        </w:rPr>
        <w:t>这些机械运行时在距离声源</w:t>
      </w:r>
      <w:r>
        <w:rPr>
          <w:rFonts w:cs="Times New Roman"/>
        </w:rPr>
        <w:t>5m</w:t>
      </w:r>
      <w:r>
        <w:rPr>
          <w:rFonts w:cs="Times New Roman"/>
        </w:rPr>
        <w:t>处的噪声可高达</w:t>
      </w:r>
      <w:r>
        <w:rPr>
          <w:rFonts w:cs="Times New Roman"/>
        </w:rPr>
        <w:t>72~98dB</w:t>
      </w:r>
      <w:r>
        <w:rPr>
          <w:rFonts w:cs="Times New Roman"/>
        </w:rPr>
        <w:t>（</w:t>
      </w:r>
      <w:r>
        <w:rPr>
          <w:rFonts w:cs="Times New Roman"/>
        </w:rPr>
        <w:t>A</w:t>
      </w:r>
      <w:r>
        <w:rPr>
          <w:rFonts w:cs="Times New Roman"/>
        </w:rPr>
        <w:t>），联合作业时叠加</w:t>
      </w:r>
      <w:r>
        <w:rPr>
          <w:rFonts w:cs="Times New Roman"/>
        </w:rPr>
        <w:t>影响更加突出。这些突发性非稳态噪声源将对施工人员和周围居民生活产生不利影响。</w:t>
      </w:r>
    </w:p>
    <w:p w:rsidR="00A46452" w:rsidRDefault="009A3928">
      <w:pPr>
        <w:wordWrap w:val="0"/>
        <w:topLinePunct/>
        <w:adjustRightInd w:val="0"/>
        <w:snapToGrid w:val="0"/>
        <w:ind w:firstLine="480"/>
        <w:rPr>
          <w:rFonts w:cs="Times New Roman"/>
          <w:szCs w:val="24"/>
        </w:rPr>
      </w:pPr>
      <w:r>
        <w:rPr>
          <w:rFonts w:cs="Times New Roman"/>
        </w:rPr>
        <w:t>参考《环境影响评价技术导则</w:t>
      </w:r>
      <w:r>
        <w:rPr>
          <w:rFonts w:cs="Times New Roman"/>
        </w:rPr>
        <w:t xml:space="preserve"> </w:t>
      </w:r>
      <w:r>
        <w:rPr>
          <w:rFonts w:cs="Times New Roman"/>
        </w:rPr>
        <w:t>公路建设项目》（</w:t>
      </w:r>
      <w:r>
        <w:rPr>
          <w:rFonts w:cs="Times New Roman"/>
        </w:rPr>
        <w:t>HJ1358-2024</w:t>
      </w:r>
      <w:r>
        <w:rPr>
          <w:rFonts w:cs="Times New Roman"/>
        </w:rPr>
        <w:t>）附录</w:t>
      </w:r>
      <w:r>
        <w:rPr>
          <w:rFonts w:cs="Times New Roman"/>
        </w:rPr>
        <w:t>D</w:t>
      </w:r>
      <w:r>
        <w:rPr>
          <w:rFonts w:cs="Times New Roman"/>
        </w:rPr>
        <w:t>，各施工设备噪声源强详见表</w:t>
      </w:r>
      <w:r>
        <w:rPr>
          <w:rFonts w:cs="Times New Roman" w:hint="eastAsia"/>
        </w:rPr>
        <w:t>5</w:t>
      </w:r>
      <w:r>
        <w:rPr>
          <w:rFonts w:cs="Times New Roman"/>
        </w:rPr>
        <w:t>.</w:t>
      </w:r>
      <w:r>
        <w:rPr>
          <w:rFonts w:cs="Times New Roman"/>
        </w:rPr>
        <w:t>2</w:t>
      </w:r>
      <w:r>
        <w:rPr>
          <w:rFonts w:cs="Times New Roman"/>
        </w:rPr>
        <w:t>-</w:t>
      </w:r>
      <w:r>
        <w:rPr>
          <w:rFonts w:cs="Times New Roman" w:hint="eastAsia"/>
        </w:rPr>
        <w:t>6</w:t>
      </w:r>
      <w:r>
        <w:rPr>
          <w:rFonts w:cs="Times New Roman"/>
        </w:rPr>
        <w:t>。</w:t>
      </w:r>
    </w:p>
    <w:p w:rsidR="00A46452" w:rsidRDefault="009A3928">
      <w:pPr>
        <w:wordWrap w:val="0"/>
        <w:topLinePunct/>
        <w:adjustRightInd w:val="0"/>
        <w:snapToGrid w:val="0"/>
        <w:spacing w:line="240" w:lineRule="auto"/>
        <w:ind w:firstLineChars="0" w:firstLine="0"/>
        <w:rPr>
          <w:rFonts w:cs="Times New Roman"/>
          <w:sz w:val="20"/>
          <w:szCs w:val="20"/>
        </w:rPr>
      </w:pPr>
      <w:r>
        <w:rPr>
          <w:rFonts w:eastAsia="黑体" w:cs="Times New Roman"/>
          <w:szCs w:val="22"/>
        </w:rPr>
        <w:t>表</w:t>
      </w:r>
      <w:r>
        <w:rPr>
          <w:rFonts w:eastAsia="黑体" w:cs="Times New Roman" w:hint="eastAsia"/>
          <w:szCs w:val="22"/>
        </w:rPr>
        <w:t>5</w:t>
      </w:r>
      <w:r>
        <w:rPr>
          <w:rFonts w:eastAsia="黑体" w:cs="Times New Roman"/>
          <w:szCs w:val="22"/>
        </w:rPr>
        <w:t>.2-</w:t>
      </w:r>
      <w:r>
        <w:rPr>
          <w:rFonts w:eastAsia="黑体" w:cs="Times New Roman" w:hint="eastAsia"/>
          <w:szCs w:val="22"/>
        </w:rPr>
        <w:t>6</w:t>
      </w:r>
      <w:r>
        <w:rPr>
          <w:rFonts w:eastAsia="黑体" w:cs="Times New Roman"/>
          <w:szCs w:val="22"/>
        </w:rPr>
        <w:t xml:space="preserve">            </w:t>
      </w:r>
      <w:r>
        <w:rPr>
          <w:rFonts w:eastAsia="黑体" w:cs="Times New Roman"/>
          <w:szCs w:val="22"/>
        </w:rPr>
        <w:t>常见施工设备噪声源不同距离声压级</w:t>
      </w:r>
    </w:p>
    <w:tbl>
      <w:tblPr>
        <w:tblStyle w:val="TableNormal"/>
        <w:tblW w:w="5054"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30"/>
        <w:gridCol w:w="1771"/>
        <w:gridCol w:w="1584"/>
        <w:gridCol w:w="1410"/>
        <w:gridCol w:w="1182"/>
        <w:gridCol w:w="1231"/>
        <w:gridCol w:w="812"/>
      </w:tblGrid>
      <w:tr w:rsidR="00A46452">
        <w:trPr>
          <w:trHeight w:val="555"/>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序号</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机械名称</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型号</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测点到机械距离</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单台最大声级</w:t>
            </w:r>
          </w:p>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r>
              <w:rPr>
                <w:rFonts w:eastAsiaTheme="minorEastAsia" w:cs="Times New Roman"/>
                <w:sz w:val="18"/>
                <w:szCs w:val="18"/>
              </w:rPr>
              <w:t>dB</w:t>
            </w:r>
            <w:r>
              <w:rPr>
                <w:rFonts w:eastAsiaTheme="minorEastAsia" w:cs="Times New Roman"/>
                <w:sz w:val="18"/>
                <w:szCs w:val="18"/>
              </w:rPr>
              <w:t>）</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声源特征</w:t>
            </w:r>
          </w:p>
        </w:tc>
        <w:tc>
          <w:tcPr>
            <w:tcW w:w="482"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备注</w:t>
            </w: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吊车</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85</w:t>
            </w:r>
          </w:p>
        </w:tc>
        <w:tc>
          <w:tcPr>
            <w:tcW w:w="730" w:type="pct"/>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类比、参照《环境影响评价技术导</w:t>
            </w:r>
          </w:p>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则</w:t>
            </w:r>
            <w:r>
              <w:rPr>
                <w:rFonts w:eastAsiaTheme="minorEastAsia" w:cs="Times New Roman"/>
                <w:sz w:val="18"/>
                <w:szCs w:val="18"/>
              </w:rPr>
              <w:t xml:space="preserve"> </w:t>
            </w:r>
            <w:r>
              <w:rPr>
                <w:rFonts w:eastAsiaTheme="minorEastAsia" w:cs="Times New Roman"/>
                <w:sz w:val="18"/>
                <w:szCs w:val="18"/>
              </w:rPr>
              <w:t>公路建设项目》附录</w:t>
            </w:r>
            <w:r>
              <w:rPr>
                <w:rFonts w:eastAsiaTheme="minorEastAsia" w:cs="Times New Roman"/>
                <w:sz w:val="18"/>
                <w:szCs w:val="18"/>
              </w:rPr>
              <w:t>D</w:t>
            </w:r>
          </w:p>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工程机械噪声源强</w:t>
            </w: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钻机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架桥机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86</w:t>
            </w:r>
          </w:p>
        </w:tc>
        <w:tc>
          <w:tcPr>
            <w:tcW w:w="730"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4</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冲击打桩机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液压打桩机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70</w:t>
            </w:r>
          </w:p>
        </w:tc>
        <w:tc>
          <w:tcPr>
            <w:tcW w:w="730"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钢筋弯曲机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钢筋切断机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数控弯曲中心</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滚焊机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10</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滚笼机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11</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空压机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10m</w:t>
            </w:r>
            <w:r>
              <w:rPr>
                <w:rFonts w:eastAsiaTheme="minorEastAsia" w:cs="Times New Roman"/>
                <w:sz w:val="18"/>
                <w:szCs w:val="18"/>
                <w:vertAlign w:val="superscript"/>
              </w:rPr>
              <w:t>3</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85</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12</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颚破机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800×1060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13</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圆锥破</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RC65</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14</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冲击破</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1263</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15</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振动筛</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2668</w:t>
            </w:r>
            <w:r>
              <w:rPr>
                <w:rFonts w:eastAsiaTheme="minorEastAsia" w:cs="Times New Roman"/>
                <w:sz w:val="18"/>
                <w:szCs w:val="18"/>
              </w:rPr>
              <w:t>型、</w:t>
            </w:r>
            <w:r>
              <w:rPr>
                <w:rFonts w:eastAsiaTheme="minorEastAsia" w:cs="Times New Roman"/>
                <w:sz w:val="18"/>
                <w:szCs w:val="18"/>
              </w:rPr>
              <w:t>3080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84</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16</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洗砂机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3030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76</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17</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对辊机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2269</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76</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18</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压滤机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500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79</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19</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给料机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SJ9638</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79</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20</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除尘机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BSMC300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81</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21</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加湿机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BSS80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22</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分离机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BSSF30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60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23</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轮式装载机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ZL40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24</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轮式装载机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ZL50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25</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平地机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PY160A</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26</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振动式压路机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YZJ10B</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86</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27</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双轮双振压路机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CC21</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81</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28</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三轮压路机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81</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29</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轮胎压路机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ZL16</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76</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30</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推土机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T140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86</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2"/>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31</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轮胎式液压挖掘机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W4</w:t>
            </w:r>
            <w:r>
              <w:rPr>
                <w:rFonts w:eastAsiaTheme="minorEastAsia" w:cs="Times New Roman"/>
                <w:sz w:val="18"/>
                <w:szCs w:val="18"/>
              </w:rPr>
              <w:t>－</w:t>
            </w:r>
            <w:r>
              <w:rPr>
                <w:rFonts w:eastAsiaTheme="minorEastAsia" w:cs="Times New Roman"/>
                <w:sz w:val="18"/>
                <w:szCs w:val="18"/>
              </w:rPr>
              <w:t>60C</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84</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81"/>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32</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摊铺机（英国）</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fifond311 ABGCO</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82</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07"/>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3</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摊铺机（德国）</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VOGELE</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397"/>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34</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发电机组（</w:t>
            </w:r>
            <w:r>
              <w:rPr>
                <w:rFonts w:eastAsiaTheme="minorEastAsia" w:cs="Times New Roman"/>
                <w:sz w:val="18"/>
                <w:szCs w:val="18"/>
              </w:rPr>
              <w:t>2</w:t>
            </w:r>
            <w:r>
              <w:rPr>
                <w:rFonts w:eastAsiaTheme="minorEastAsia" w:cs="Times New Roman"/>
                <w:sz w:val="18"/>
                <w:szCs w:val="18"/>
              </w:rPr>
              <w:t>台）</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FKV</w:t>
            </w:r>
            <w:r>
              <w:rPr>
                <w:rFonts w:eastAsiaTheme="minorEastAsia" w:cs="Times New Roman"/>
                <w:sz w:val="18"/>
                <w:szCs w:val="18"/>
              </w:rPr>
              <w:t>-</w:t>
            </w:r>
            <w:r>
              <w:rPr>
                <w:rFonts w:eastAsiaTheme="minorEastAsia" w:cs="Times New Roman"/>
                <w:sz w:val="18"/>
                <w:szCs w:val="18"/>
              </w:rPr>
              <w:t>75</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98</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397"/>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35</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冲击式钻井机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22</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87</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397"/>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36</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自卸式运输车</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5</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90</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流动不稳定源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r w:rsidR="00A46452">
        <w:trPr>
          <w:trHeight w:val="488"/>
        </w:trPr>
        <w:tc>
          <w:tcPr>
            <w:tcW w:w="25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37</w:t>
            </w:r>
          </w:p>
        </w:tc>
        <w:tc>
          <w:tcPr>
            <w:tcW w:w="105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锥形反转出料混凝土搅拌机</w:t>
            </w:r>
          </w:p>
        </w:tc>
        <w:tc>
          <w:tcPr>
            <w:tcW w:w="94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JZC350</w:t>
            </w:r>
            <w:r>
              <w:rPr>
                <w:rFonts w:eastAsiaTheme="minorEastAsia" w:cs="Times New Roman"/>
                <w:sz w:val="18"/>
                <w:szCs w:val="18"/>
              </w:rPr>
              <w:t>型</w:t>
            </w:r>
          </w:p>
        </w:tc>
        <w:tc>
          <w:tcPr>
            <w:tcW w:w="836"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70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79</w:t>
            </w:r>
          </w:p>
        </w:tc>
        <w:tc>
          <w:tcPr>
            <w:tcW w:w="73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固定源</w:t>
            </w:r>
          </w:p>
        </w:tc>
        <w:tc>
          <w:tcPr>
            <w:tcW w:w="482"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rPr>
            </w:pP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bookmarkStart w:id="247" w:name="_Toc34989563"/>
      <w:bookmarkStart w:id="248" w:name="_Toc57826728"/>
      <w:r>
        <w:rPr>
          <w:rFonts w:cs="Times New Roman" w:hint="default"/>
          <w:iCs/>
        </w:rPr>
        <w:t>5.2.1.4</w:t>
      </w:r>
      <w:r>
        <w:rPr>
          <w:rFonts w:cs="Times New Roman" w:hint="default"/>
          <w:iCs/>
        </w:rPr>
        <w:t>施工期固体废物</w:t>
      </w:r>
    </w:p>
    <w:p w:rsidR="00A46452" w:rsidRDefault="009A3928">
      <w:pPr>
        <w:wordWrap w:val="0"/>
        <w:topLinePunct/>
        <w:adjustRightInd w:val="0"/>
        <w:snapToGrid w:val="0"/>
        <w:ind w:firstLine="464"/>
        <w:rPr>
          <w:rFonts w:cs="Times New Roman"/>
          <w:spacing w:val="-4"/>
        </w:rPr>
      </w:pPr>
      <w:r>
        <w:rPr>
          <w:rFonts w:cs="Times New Roman"/>
          <w:spacing w:val="-4"/>
        </w:rPr>
        <w:t>施工过程中固体废物主要是改扩建路段的废沥青、废弃土石方及施工人员的生活垃圾。</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）建筑垃圾</w:t>
      </w:r>
    </w:p>
    <w:p w:rsidR="00A46452" w:rsidRDefault="009A3928">
      <w:pPr>
        <w:wordWrap w:val="0"/>
        <w:topLinePunct/>
        <w:adjustRightInd w:val="0"/>
        <w:snapToGrid w:val="0"/>
        <w:ind w:firstLine="480"/>
        <w:rPr>
          <w:rFonts w:cs="Times New Roman"/>
        </w:rPr>
      </w:pPr>
      <w:r>
        <w:rPr>
          <w:rFonts w:cs="Times New Roman"/>
        </w:rPr>
        <w:t>本项目拆除建筑物面积</w:t>
      </w:r>
      <w:r>
        <w:rPr>
          <w:rFonts w:cs="Times New Roman"/>
        </w:rPr>
        <w:t>20011.6</w:t>
      </w:r>
      <w:r>
        <w:rPr>
          <w:rFonts w:cs="Times New Roman"/>
        </w:rPr>
        <w:t>m</w:t>
      </w:r>
      <w:r>
        <w:rPr>
          <w:rFonts w:cs="Times New Roman"/>
          <w:vertAlign w:val="superscript"/>
        </w:rPr>
        <w:t>2</w:t>
      </w:r>
      <w:r>
        <w:rPr>
          <w:rFonts w:cs="Times New Roman"/>
        </w:rPr>
        <w:t>，拆迁系数取</w:t>
      </w:r>
      <w:r>
        <w:rPr>
          <w:rFonts w:cs="Times New Roman"/>
        </w:rPr>
        <w:t>0.3m</w:t>
      </w:r>
      <w:r>
        <w:rPr>
          <w:rFonts w:cs="Times New Roman"/>
          <w:vertAlign w:val="superscript"/>
        </w:rPr>
        <w:t>3</w:t>
      </w:r>
      <w:r>
        <w:rPr>
          <w:rFonts w:cs="Times New Roman"/>
        </w:rPr>
        <w:t>/m</w:t>
      </w:r>
      <w:r>
        <w:rPr>
          <w:rFonts w:cs="Times New Roman"/>
          <w:vertAlign w:val="superscript"/>
        </w:rPr>
        <w:t>2</w:t>
      </w:r>
      <w:r>
        <w:rPr>
          <w:rFonts w:cs="Times New Roman"/>
        </w:rPr>
        <w:t>~</w:t>
      </w:r>
      <w:r>
        <w:rPr>
          <w:rFonts w:cs="Times New Roman"/>
        </w:rPr>
        <w:t>0.4m</w:t>
      </w:r>
      <w:r>
        <w:rPr>
          <w:rFonts w:cs="Times New Roman"/>
          <w:vertAlign w:val="superscript"/>
        </w:rPr>
        <w:t>3</w:t>
      </w:r>
      <w:r>
        <w:rPr>
          <w:rFonts w:cs="Times New Roman"/>
        </w:rPr>
        <w:t>/m</w:t>
      </w:r>
      <w:r>
        <w:rPr>
          <w:rFonts w:cs="Times New Roman"/>
          <w:vertAlign w:val="superscript"/>
        </w:rPr>
        <w:t>2</w:t>
      </w:r>
      <w:r>
        <w:rPr>
          <w:rFonts w:cs="Times New Roman"/>
        </w:rPr>
        <w:t>，经计算拆除产生的建筑垃圾约为</w:t>
      </w:r>
      <w:r>
        <w:rPr>
          <w:rFonts w:cs="Times New Roman"/>
        </w:rPr>
        <w:t>6003.48</w:t>
      </w:r>
      <w:r>
        <w:rPr>
          <w:rFonts w:cs="Times New Roman"/>
        </w:rPr>
        <w:t>m</w:t>
      </w:r>
      <w:r>
        <w:rPr>
          <w:rFonts w:cs="Times New Roman"/>
          <w:vertAlign w:val="superscript"/>
        </w:rPr>
        <w:t>3</w:t>
      </w:r>
      <w:r>
        <w:rPr>
          <w:rFonts w:cs="Times New Roman"/>
        </w:rPr>
        <w:t>。项目建筑垃圾按要求运送至</w:t>
      </w:r>
      <w:r>
        <w:rPr>
          <w:rFonts w:cs="Times New Roman"/>
        </w:rPr>
        <w:t>附近县市</w:t>
      </w:r>
      <w:r>
        <w:rPr>
          <w:rFonts w:cs="Times New Roman"/>
        </w:rPr>
        <w:t>建筑垃圾处理填埋场处置。</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）废弃土石方</w:t>
      </w:r>
    </w:p>
    <w:p w:rsidR="00A46452" w:rsidRDefault="009A3928">
      <w:pPr>
        <w:wordWrap w:val="0"/>
        <w:topLinePunct/>
        <w:adjustRightInd w:val="0"/>
        <w:snapToGrid w:val="0"/>
        <w:ind w:firstLine="480"/>
        <w:rPr>
          <w:rFonts w:cs="Times New Roman"/>
        </w:rPr>
      </w:pPr>
      <w:r>
        <w:rPr>
          <w:rFonts w:cs="Times New Roman"/>
        </w:rPr>
        <w:t>本次废弃土方约</w:t>
      </w:r>
      <w:r>
        <w:rPr>
          <w:rFonts w:cs="Times New Roman"/>
        </w:rPr>
        <w:t>29.3665</w:t>
      </w:r>
      <w:r>
        <w:rPr>
          <w:rFonts w:cs="Times New Roman"/>
        </w:rPr>
        <w:t>×</w:t>
      </w:r>
      <w:r>
        <w:rPr>
          <w:rFonts w:cs="Times New Roman"/>
        </w:rPr>
        <w:t>10</w:t>
      </w:r>
      <w:r>
        <w:rPr>
          <w:rFonts w:cs="Times New Roman"/>
          <w:vertAlign w:val="superscript"/>
        </w:rPr>
        <w:t>4</w:t>
      </w:r>
      <w:r>
        <w:rPr>
          <w:rFonts w:cs="Times New Roman"/>
        </w:rPr>
        <w:t>m</w:t>
      </w:r>
      <w:r>
        <w:rPr>
          <w:rFonts w:cs="Times New Roman"/>
          <w:vertAlign w:val="superscript"/>
        </w:rPr>
        <w:t>3</w:t>
      </w:r>
      <w:r>
        <w:rPr>
          <w:rFonts w:cs="Times New Roman"/>
        </w:rPr>
        <w:t>。</w:t>
      </w:r>
      <w:r>
        <w:rPr>
          <w:rFonts w:cs="Times New Roman"/>
        </w:rPr>
        <w:t>废弃土石方全部运至弃土场。现有道路改建路段的</w:t>
      </w:r>
      <w:r>
        <w:rPr>
          <w:rFonts w:cs="Times New Roman"/>
        </w:rPr>
        <w:t>废沥青</w:t>
      </w:r>
      <w:r>
        <w:rPr>
          <w:rFonts w:cs="Times New Roman"/>
        </w:rPr>
        <w:t>全部拉运至第</w:t>
      </w:r>
      <w:r>
        <w:rPr>
          <w:rFonts w:cs="Times New Roman"/>
        </w:rPr>
        <w:t>三</w:t>
      </w:r>
      <w:r>
        <w:rPr>
          <w:rFonts w:cs="Times New Roman"/>
        </w:rPr>
        <w:t>师</w:t>
      </w:r>
      <w:r>
        <w:rPr>
          <w:rFonts w:cs="Times New Roman"/>
        </w:rPr>
        <w:t>51</w:t>
      </w:r>
      <w:r>
        <w:rPr>
          <w:rFonts w:cs="Times New Roman"/>
        </w:rPr>
        <w:t>团</w:t>
      </w:r>
      <w:r>
        <w:rPr>
          <w:rFonts w:cs="Times New Roman"/>
        </w:rPr>
        <w:t>养护所所属的</w:t>
      </w:r>
      <w:r>
        <w:rPr>
          <w:rFonts w:cs="Times New Roman"/>
        </w:rPr>
        <w:t>沥青</w:t>
      </w:r>
      <w:r>
        <w:rPr>
          <w:rFonts w:cs="Times New Roman"/>
        </w:rPr>
        <w:t>拌</w:t>
      </w:r>
      <w:r>
        <w:rPr>
          <w:rFonts w:cs="Times New Roman"/>
        </w:rPr>
        <w:t>合</w:t>
      </w:r>
      <w:r>
        <w:rPr>
          <w:rFonts w:cs="Times New Roman"/>
        </w:rPr>
        <w:t>站</w:t>
      </w:r>
      <w:r>
        <w:rPr>
          <w:rFonts w:cs="Times New Roman"/>
        </w:rPr>
        <w:t>进行破碎搅拌后</w:t>
      </w:r>
      <w:r>
        <w:rPr>
          <w:rFonts w:cs="Times New Roman"/>
        </w:rPr>
        <w:t>回收利用</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）桥梁桩基钻渣</w:t>
      </w:r>
    </w:p>
    <w:p w:rsidR="00A46452" w:rsidRDefault="009A3928">
      <w:pPr>
        <w:wordWrap w:val="0"/>
        <w:topLinePunct/>
        <w:adjustRightInd w:val="0"/>
        <w:snapToGrid w:val="0"/>
        <w:ind w:firstLine="480"/>
        <w:rPr>
          <w:rFonts w:cs="Times New Roman"/>
        </w:rPr>
      </w:pPr>
      <w:r>
        <w:rPr>
          <w:rFonts w:cs="Times New Roman"/>
        </w:rPr>
        <w:t>本项目的桥梁桩基出渣量约为</w:t>
      </w:r>
      <w:r>
        <w:rPr>
          <w:rFonts w:cs="Times New Roman"/>
        </w:rPr>
        <w:t>7.2</w:t>
      </w:r>
      <w:r>
        <w:rPr>
          <w:rFonts w:cs="Times New Roman"/>
        </w:rPr>
        <w:t>×</w:t>
      </w:r>
      <w:r>
        <w:rPr>
          <w:rFonts w:cs="Times New Roman"/>
        </w:rPr>
        <w:t>10</w:t>
      </w:r>
      <w:r>
        <w:rPr>
          <w:rFonts w:cs="Times New Roman"/>
          <w:vertAlign w:val="superscript"/>
        </w:rPr>
        <w:t>4</w:t>
      </w:r>
      <w:r>
        <w:rPr>
          <w:rFonts w:cs="Times New Roman"/>
        </w:rPr>
        <w:t>m</w:t>
      </w:r>
      <w:r>
        <w:rPr>
          <w:rFonts w:cs="Times New Roman"/>
          <w:vertAlign w:val="superscript"/>
        </w:rPr>
        <w:t>3</w:t>
      </w:r>
      <w:r>
        <w:rPr>
          <w:rFonts w:cs="Times New Roman"/>
        </w:rPr>
        <w:t>。</w:t>
      </w:r>
    </w:p>
    <w:p w:rsidR="00A46452" w:rsidRDefault="009A3928">
      <w:pPr>
        <w:wordWrap w:val="0"/>
        <w:topLinePunct/>
        <w:adjustRightInd w:val="0"/>
        <w:snapToGrid w:val="0"/>
        <w:ind w:firstLine="480"/>
        <w:rPr>
          <w:rFonts w:cs="Times New Roman"/>
        </w:rPr>
      </w:pPr>
      <w:r>
        <w:rPr>
          <w:rFonts w:cs="Times New Roman"/>
        </w:rPr>
        <w:t>（</w:t>
      </w:r>
      <w:r>
        <w:rPr>
          <w:rFonts w:cs="Times New Roman"/>
        </w:rPr>
        <w:t>3</w:t>
      </w:r>
      <w:r>
        <w:rPr>
          <w:rFonts w:cs="Times New Roman"/>
        </w:rPr>
        <w:t>）施工人员生活垃圾</w:t>
      </w:r>
    </w:p>
    <w:p w:rsidR="00A46452" w:rsidRDefault="009A3928">
      <w:pPr>
        <w:wordWrap w:val="0"/>
        <w:topLinePunct/>
        <w:adjustRightInd w:val="0"/>
        <w:snapToGrid w:val="0"/>
        <w:ind w:firstLine="480"/>
        <w:rPr>
          <w:rFonts w:cs="Times New Roman"/>
        </w:rPr>
      </w:pPr>
      <w:r>
        <w:rPr>
          <w:rFonts w:cs="Times New Roman"/>
        </w:rPr>
        <w:t>常驻施工人员按</w:t>
      </w:r>
      <w:r>
        <w:rPr>
          <w:rFonts w:cs="Times New Roman"/>
        </w:rPr>
        <w:t>90</w:t>
      </w:r>
      <w:r>
        <w:rPr>
          <w:rFonts w:cs="Times New Roman"/>
        </w:rPr>
        <w:t>人计，生活垃圾产生量按</w:t>
      </w:r>
      <w:r>
        <w:rPr>
          <w:rFonts w:cs="Times New Roman"/>
        </w:rPr>
        <w:t>0.8kg/</w:t>
      </w:r>
      <w:r>
        <w:rPr>
          <w:rFonts w:cs="Times New Roman"/>
        </w:rPr>
        <w:t>人</w:t>
      </w:r>
      <w:r>
        <w:rPr>
          <w:rFonts w:cs="Times New Roman"/>
        </w:rPr>
        <w:t>d</w:t>
      </w:r>
      <w:r>
        <w:rPr>
          <w:rFonts w:cs="Times New Roman"/>
        </w:rPr>
        <w:t>计，则施工期间产生的生活垃圾为</w:t>
      </w:r>
      <w:r>
        <w:rPr>
          <w:rFonts w:cs="Times New Roman"/>
        </w:rPr>
        <w:t>8</w:t>
      </w:r>
      <w:r>
        <w:rPr>
          <w:rFonts w:cs="Times New Roman"/>
        </w:rPr>
        <w:t>0kg/d</w:t>
      </w:r>
      <w:r>
        <w:rPr>
          <w:rFonts w:cs="Times New Roman"/>
        </w:rPr>
        <w:t>，集中收集，送至</w:t>
      </w:r>
      <w:r>
        <w:rPr>
          <w:rFonts w:cs="Times New Roman"/>
        </w:rPr>
        <w:t>附近城镇</w:t>
      </w:r>
      <w:r>
        <w:rPr>
          <w:rFonts w:cs="Times New Roman"/>
        </w:rPr>
        <w:t>生活垃圾填埋场处置。</w:t>
      </w:r>
    </w:p>
    <w:p w:rsidR="00A46452" w:rsidRDefault="009A3928">
      <w:pPr>
        <w:wordWrap w:val="0"/>
        <w:topLinePunct/>
        <w:adjustRightInd w:val="0"/>
        <w:snapToGrid w:val="0"/>
        <w:ind w:firstLine="480"/>
        <w:rPr>
          <w:rFonts w:cs="Times New Roman"/>
        </w:rPr>
      </w:pPr>
      <w:r>
        <w:rPr>
          <w:rFonts w:cs="Times New Roman"/>
        </w:rPr>
        <w:t>（</w:t>
      </w:r>
      <w:r>
        <w:rPr>
          <w:rFonts w:cs="Times New Roman"/>
        </w:rPr>
        <w:t>4</w:t>
      </w:r>
      <w:r>
        <w:rPr>
          <w:rFonts w:cs="Times New Roman"/>
        </w:rPr>
        <w:t>）除尘废布袋</w:t>
      </w:r>
    </w:p>
    <w:p w:rsidR="00A46452" w:rsidRDefault="009A3928">
      <w:pPr>
        <w:wordWrap w:val="0"/>
        <w:topLinePunct/>
        <w:adjustRightInd w:val="0"/>
        <w:snapToGrid w:val="0"/>
        <w:ind w:firstLine="480"/>
        <w:rPr>
          <w:rFonts w:cs="Times New Roman"/>
        </w:rPr>
      </w:pPr>
      <w:r>
        <w:rPr>
          <w:rFonts w:cs="Times New Roman"/>
        </w:rPr>
        <w:t>本项目设置的水泥混凝土拌和站和沥青混凝土拌和站采用袋式除尘器进行除尘，施工期</w:t>
      </w:r>
      <w:r>
        <w:rPr>
          <w:rFonts w:cs="Times New Roman"/>
        </w:rPr>
        <w:t>2a</w:t>
      </w:r>
      <w:r>
        <w:rPr>
          <w:rFonts w:cs="Times New Roman"/>
        </w:rPr>
        <w:t>，根据类比分析资料，项目袋式除尘布袋</w:t>
      </w:r>
      <w:r>
        <w:rPr>
          <w:rFonts w:cs="Times New Roman"/>
        </w:rPr>
        <w:t>1a~2a</w:t>
      </w:r>
      <w:r>
        <w:rPr>
          <w:rFonts w:cs="Times New Roman"/>
        </w:rPr>
        <w:t>更换一次，属于一般固废，更换后的废旧布袋交由环卫部门处置。</w:t>
      </w:r>
    </w:p>
    <w:p w:rsidR="00A46452" w:rsidRDefault="009A3928">
      <w:pPr>
        <w:wordWrap w:val="0"/>
        <w:topLinePunct/>
        <w:adjustRightInd w:val="0"/>
        <w:snapToGrid w:val="0"/>
        <w:ind w:firstLine="480"/>
        <w:rPr>
          <w:rFonts w:cs="Times New Roman"/>
        </w:rPr>
      </w:pPr>
      <w:r>
        <w:rPr>
          <w:rFonts w:cs="Times New Roman"/>
          <w:szCs w:val="24"/>
        </w:rPr>
        <w:t>（</w:t>
      </w:r>
      <w:r>
        <w:rPr>
          <w:rFonts w:cs="Times New Roman"/>
          <w:szCs w:val="24"/>
        </w:rPr>
        <w:t>4</w:t>
      </w:r>
      <w:r>
        <w:rPr>
          <w:rFonts w:cs="Times New Roman"/>
          <w:szCs w:val="24"/>
        </w:rPr>
        <w:t>）</w:t>
      </w:r>
      <w:r>
        <w:rPr>
          <w:rFonts w:cs="Times New Roman"/>
        </w:rPr>
        <w:t>危险废物</w:t>
      </w:r>
    </w:p>
    <w:p w:rsidR="00A46452" w:rsidRDefault="009A3928">
      <w:pPr>
        <w:wordWrap w:val="0"/>
        <w:topLinePunct/>
        <w:adjustRightInd w:val="0"/>
        <w:snapToGrid w:val="0"/>
        <w:ind w:firstLine="480"/>
        <w:rPr>
          <w:rFonts w:cs="Times New Roman"/>
        </w:rPr>
      </w:pPr>
      <w:r>
        <w:rPr>
          <w:rFonts w:cs="Times New Roman"/>
        </w:rPr>
        <w:t>本项目沥青拌合装置的沥青烟气采用</w:t>
      </w:r>
      <w:r>
        <w:rPr>
          <w:rFonts w:cs="Times New Roman"/>
        </w:rPr>
        <w:t>“</w:t>
      </w:r>
      <w:r>
        <w:rPr>
          <w:rFonts w:cs="Times New Roman"/>
        </w:rPr>
        <w:t>冷凝</w:t>
      </w:r>
      <w:r>
        <w:rPr>
          <w:rFonts w:cs="Times New Roman"/>
        </w:rPr>
        <w:t>+</w:t>
      </w:r>
      <w:r>
        <w:rPr>
          <w:rFonts w:cs="Times New Roman"/>
        </w:rPr>
        <w:t>活性炭吸附</w:t>
      </w:r>
      <w:r>
        <w:rPr>
          <w:rFonts w:cs="Times New Roman"/>
        </w:rPr>
        <w:t>”</w:t>
      </w:r>
      <w:r>
        <w:rPr>
          <w:rFonts w:cs="Times New Roman"/>
        </w:rPr>
        <w:t>净化工艺处置，活性炭吸附装置每半年更换一次，</w:t>
      </w:r>
      <w:r>
        <w:rPr>
          <w:rFonts w:cs="Times New Roman"/>
        </w:rPr>
        <w:t>1</w:t>
      </w:r>
      <w:r>
        <w:rPr>
          <w:rFonts w:cs="Times New Roman"/>
        </w:rPr>
        <w:t>处站场每次产生废活性炭约</w:t>
      </w:r>
      <w:r>
        <w:rPr>
          <w:rFonts w:cs="Times New Roman"/>
        </w:rPr>
        <w:t>0.25t</w:t>
      </w:r>
      <w:r>
        <w:rPr>
          <w:rFonts w:cs="Times New Roman"/>
        </w:rPr>
        <w:t>，施工期</w:t>
      </w:r>
      <w:r>
        <w:rPr>
          <w:rFonts w:cs="Times New Roman"/>
        </w:rPr>
        <w:t>3</w:t>
      </w:r>
      <w:r>
        <w:rPr>
          <w:rFonts w:cs="Times New Roman"/>
        </w:rPr>
        <w:t>处</w:t>
      </w:r>
      <w:r>
        <w:rPr>
          <w:rFonts w:cs="Times New Roman"/>
        </w:rPr>
        <w:t>拌和站</w:t>
      </w:r>
      <w:r>
        <w:rPr>
          <w:rFonts w:cs="Times New Roman"/>
        </w:rPr>
        <w:t>约产生量</w:t>
      </w:r>
      <w:r>
        <w:rPr>
          <w:rFonts w:cs="Times New Roman"/>
        </w:rPr>
        <w:t>0.75</w:t>
      </w:r>
      <w:r>
        <w:rPr>
          <w:rFonts w:cs="Times New Roman"/>
        </w:rPr>
        <w:t>t</w:t>
      </w:r>
      <w:r>
        <w:rPr>
          <w:rFonts w:cs="Times New Roman"/>
        </w:rPr>
        <w:t>。废活性炭属于危险废物（</w:t>
      </w:r>
      <w:r>
        <w:rPr>
          <w:rFonts w:cs="Times New Roman"/>
        </w:rPr>
        <w:t>HW49</w:t>
      </w:r>
      <w:r>
        <w:rPr>
          <w:rFonts w:cs="Times New Roman"/>
        </w:rPr>
        <w:t>，</w:t>
      </w:r>
      <w:r>
        <w:rPr>
          <w:rFonts w:cs="Times New Roman"/>
        </w:rPr>
        <w:t>900-039-49</w:t>
      </w:r>
      <w:r>
        <w:rPr>
          <w:rFonts w:cs="Times New Roman"/>
        </w:rPr>
        <w:t>），应该按国家《危险废物贮存污染控制标准》（</w:t>
      </w:r>
      <w:r>
        <w:rPr>
          <w:rFonts w:cs="Times New Roman"/>
        </w:rPr>
        <w:t>GB18597-2023</w:t>
      </w:r>
      <w:r>
        <w:rPr>
          <w:rFonts w:cs="Times New Roman"/>
        </w:rPr>
        <w:t>）的要求设置贮存场所，可在沥青</w:t>
      </w:r>
      <w:r>
        <w:rPr>
          <w:rFonts w:cs="Times New Roman"/>
        </w:rPr>
        <w:t>拌和站</w:t>
      </w:r>
      <w:r>
        <w:rPr>
          <w:rFonts w:cs="Times New Roman"/>
        </w:rPr>
        <w:t>内设置专门可密闭的储罐或收集箱暂存</w:t>
      </w:r>
      <w:r>
        <w:rPr>
          <w:rFonts w:cs="Times New Roman"/>
        </w:rPr>
        <w:t>废</w:t>
      </w:r>
      <w:r>
        <w:rPr>
          <w:rFonts w:cs="Times New Roman"/>
        </w:rPr>
        <w:t>活性炭，并及时交有危险废物处置资质单位处理。</w:t>
      </w:r>
    </w:p>
    <w:p w:rsidR="00A46452" w:rsidRDefault="009A3928">
      <w:pPr>
        <w:wordWrap w:val="0"/>
        <w:topLinePunct/>
        <w:adjustRightInd w:val="0"/>
        <w:snapToGrid w:val="0"/>
        <w:ind w:firstLine="480"/>
        <w:rPr>
          <w:rFonts w:cs="Times New Roman"/>
        </w:rPr>
      </w:pPr>
      <w:r>
        <w:rPr>
          <w:rFonts w:cs="Times New Roman"/>
        </w:rPr>
        <w:t>（</w:t>
      </w:r>
      <w:r>
        <w:rPr>
          <w:rFonts w:cs="Times New Roman"/>
        </w:rPr>
        <w:t>5</w:t>
      </w:r>
      <w:r>
        <w:rPr>
          <w:rFonts w:cs="Times New Roman"/>
        </w:rPr>
        <w:t>）施工期废油泥</w:t>
      </w:r>
    </w:p>
    <w:p w:rsidR="00A46452" w:rsidRDefault="009A3928">
      <w:pPr>
        <w:wordWrap w:val="0"/>
        <w:topLinePunct/>
        <w:adjustRightInd w:val="0"/>
        <w:snapToGrid w:val="0"/>
        <w:ind w:firstLine="480"/>
        <w:rPr>
          <w:rFonts w:cs="Times New Roman"/>
        </w:rPr>
      </w:pPr>
      <w:r>
        <w:rPr>
          <w:rFonts w:cs="Times New Roman"/>
        </w:rPr>
        <w:t>施工期废油泥主要是由车辆、机械设备冲洗隔油沉淀处理产生的，属于危险固废，委托有资质单位处理。</w:t>
      </w:r>
    </w:p>
    <w:p w:rsidR="00A46452" w:rsidRDefault="009A3928">
      <w:pPr>
        <w:wordWrap w:val="0"/>
        <w:topLinePunct/>
        <w:adjustRightInd w:val="0"/>
        <w:snapToGrid w:val="0"/>
        <w:ind w:firstLine="480"/>
        <w:rPr>
          <w:rFonts w:cs="Times New Roman"/>
        </w:rPr>
      </w:pPr>
      <w:r>
        <w:rPr>
          <w:rFonts w:cs="Times New Roman"/>
        </w:rPr>
        <w:t>根据施工期</w:t>
      </w:r>
      <w:r>
        <w:rPr>
          <w:rFonts w:cs="Times New Roman"/>
        </w:rPr>
        <w:t>含油</w:t>
      </w:r>
      <w:r>
        <w:rPr>
          <w:rFonts w:cs="Times New Roman"/>
        </w:rPr>
        <w:t>废水发生总量及石油类浓度，考虑隔油池的去除效率为</w:t>
      </w:r>
      <w:r>
        <w:rPr>
          <w:rFonts w:cs="Times New Roman"/>
        </w:rPr>
        <w:t>50%</w:t>
      </w:r>
      <w:r>
        <w:rPr>
          <w:rFonts w:cs="Times New Roman"/>
        </w:rPr>
        <w:t>，废油泥的含水率为</w:t>
      </w:r>
      <w:r>
        <w:rPr>
          <w:rFonts w:cs="Times New Roman"/>
        </w:rPr>
        <w:t>90%</w:t>
      </w:r>
      <w:r>
        <w:rPr>
          <w:rFonts w:cs="Times New Roman"/>
        </w:rPr>
        <w:t>，则本项目施工期废油泥的产生量为</w:t>
      </w:r>
      <w:r>
        <w:rPr>
          <w:rFonts w:cs="Times New Roman"/>
        </w:rPr>
        <w:t>16</w:t>
      </w:r>
      <w:r>
        <w:rPr>
          <w:rFonts w:cs="Times New Roman"/>
        </w:rPr>
        <w:t>t</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szCs w:val="22"/>
        </w:rPr>
      </w:pPr>
      <w:r>
        <w:rPr>
          <w:rFonts w:eastAsia="黑体" w:cs="Times New Roman"/>
          <w:szCs w:val="22"/>
        </w:rPr>
        <w:t>表</w:t>
      </w:r>
      <w:r>
        <w:rPr>
          <w:rFonts w:eastAsia="黑体" w:cs="Times New Roman" w:hint="eastAsia"/>
          <w:szCs w:val="22"/>
        </w:rPr>
        <w:t>5</w:t>
      </w:r>
      <w:r>
        <w:rPr>
          <w:rFonts w:eastAsia="黑体" w:cs="Times New Roman"/>
          <w:szCs w:val="22"/>
        </w:rPr>
        <w:t>.2-</w:t>
      </w:r>
      <w:r>
        <w:rPr>
          <w:rFonts w:eastAsia="黑体" w:cs="Times New Roman" w:hint="eastAsia"/>
          <w:szCs w:val="22"/>
        </w:rPr>
        <w:t>7</w:t>
      </w:r>
      <w:r>
        <w:rPr>
          <w:rFonts w:eastAsia="黑体" w:cs="Times New Roman"/>
          <w:szCs w:val="22"/>
        </w:rPr>
        <w:t xml:space="preserve">                 </w:t>
      </w:r>
      <w:r>
        <w:rPr>
          <w:rFonts w:eastAsia="黑体" w:cs="Times New Roman"/>
          <w:szCs w:val="22"/>
        </w:rPr>
        <w:t>工程涉及的危险废物名录</w:t>
      </w:r>
    </w:p>
    <w:p w:rsidR="00A46452" w:rsidRDefault="00A46452" w:rsidP="00182EED">
      <w:pPr>
        <w:wordWrap w:val="0"/>
        <w:topLinePunct/>
        <w:adjustRightInd w:val="0"/>
        <w:snapToGrid w:val="0"/>
        <w:spacing w:line="18" w:lineRule="exact"/>
        <w:ind w:firstLine="480"/>
        <w:rPr>
          <w:rFonts w:cs="Times New Roman"/>
        </w:rPr>
      </w:pPr>
    </w:p>
    <w:tbl>
      <w:tblPr>
        <w:tblStyle w:val="TableNormal"/>
        <w:tblW w:w="8361" w:type="dxa"/>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18"/>
        <w:gridCol w:w="1314"/>
        <w:gridCol w:w="720"/>
        <w:gridCol w:w="1269"/>
        <w:gridCol w:w="917"/>
        <w:gridCol w:w="1418"/>
        <w:gridCol w:w="751"/>
        <w:gridCol w:w="1454"/>
      </w:tblGrid>
      <w:tr w:rsidR="00A46452">
        <w:trPr>
          <w:trHeight w:val="529"/>
        </w:trPr>
        <w:tc>
          <w:tcPr>
            <w:tcW w:w="5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序号</w:t>
            </w:r>
          </w:p>
        </w:tc>
        <w:tc>
          <w:tcPr>
            <w:tcW w:w="1314"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危废名称</w:t>
            </w:r>
          </w:p>
        </w:tc>
        <w:tc>
          <w:tcPr>
            <w:tcW w:w="72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危废类别</w:t>
            </w:r>
          </w:p>
        </w:tc>
        <w:tc>
          <w:tcPr>
            <w:tcW w:w="1269"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危废代码</w:t>
            </w:r>
          </w:p>
        </w:tc>
        <w:tc>
          <w:tcPr>
            <w:tcW w:w="917"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产生工序</w:t>
            </w:r>
          </w:p>
        </w:tc>
        <w:tc>
          <w:tcPr>
            <w:tcW w:w="14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主要有害成分</w:t>
            </w:r>
          </w:p>
        </w:tc>
        <w:tc>
          <w:tcPr>
            <w:tcW w:w="75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危险</w:t>
            </w:r>
            <w:r>
              <w:rPr>
                <w:rFonts w:eastAsiaTheme="minorEastAsia" w:cs="Times New Roman"/>
                <w:sz w:val="18"/>
                <w:szCs w:val="18"/>
              </w:rPr>
              <w:t xml:space="preserve"> </w:t>
            </w:r>
            <w:r>
              <w:rPr>
                <w:rFonts w:eastAsiaTheme="minorEastAsia" w:cs="Times New Roman"/>
                <w:sz w:val="18"/>
                <w:szCs w:val="18"/>
              </w:rPr>
              <w:t>特性</w:t>
            </w:r>
          </w:p>
        </w:tc>
        <w:tc>
          <w:tcPr>
            <w:tcW w:w="1454"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污染防治措施</w:t>
            </w:r>
          </w:p>
        </w:tc>
      </w:tr>
      <w:tr w:rsidR="00A46452">
        <w:trPr>
          <w:trHeight w:val="524"/>
        </w:trPr>
        <w:tc>
          <w:tcPr>
            <w:tcW w:w="5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1</w:t>
            </w:r>
          </w:p>
        </w:tc>
        <w:tc>
          <w:tcPr>
            <w:tcW w:w="1314"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含油废水处理后浮油</w:t>
            </w:r>
          </w:p>
        </w:tc>
        <w:tc>
          <w:tcPr>
            <w:tcW w:w="72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HW08</w:t>
            </w:r>
          </w:p>
        </w:tc>
        <w:tc>
          <w:tcPr>
            <w:tcW w:w="1269"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910-210-08</w:t>
            </w:r>
          </w:p>
        </w:tc>
        <w:tc>
          <w:tcPr>
            <w:tcW w:w="917"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废水处理</w:t>
            </w:r>
          </w:p>
        </w:tc>
        <w:tc>
          <w:tcPr>
            <w:tcW w:w="14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有机酸、重金属、芳烃类</w:t>
            </w:r>
          </w:p>
        </w:tc>
        <w:tc>
          <w:tcPr>
            <w:tcW w:w="75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T</w:t>
            </w:r>
            <w:r>
              <w:rPr>
                <w:rFonts w:eastAsiaTheme="minorEastAsia" w:cs="Times New Roman"/>
                <w:sz w:val="18"/>
                <w:szCs w:val="18"/>
              </w:rPr>
              <w:t>,</w:t>
            </w:r>
            <w:r>
              <w:rPr>
                <w:rFonts w:eastAsiaTheme="minorEastAsia" w:cs="Times New Roman"/>
                <w:sz w:val="18"/>
                <w:szCs w:val="18"/>
              </w:rPr>
              <w:t>I</w:t>
            </w:r>
          </w:p>
        </w:tc>
        <w:tc>
          <w:tcPr>
            <w:tcW w:w="1454"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委托有危废处</w:t>
            </w:r>
          </w:p>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置资质的单位</w:t>
            </w:r>
          </w:p>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处置</w:t>
            </w:r>
          </w:p>
        </w:tc>
      </w:tr>
      <w:tr w:rsidR="00A46452">
        <w:trPr>
          <w:trHeight w:val="524"/>
        </w:trPr>
        <w:tc>
          <w:tcPr>
            <w:tcW w:w="5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w:t>
            </w:r>
          </w:p>
        </w:tc>
        <w:tc>
          <w:tcPr>
            <w:tcW w:w="1314"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废</w:t>
            </w:r>
            <w:r>
              <w:rPr>
                <w:rFonts w:eastAsiaTheme="minorEastAsia" w:cs="Times New Roman"/>
                <w:sz w:val="18"/>
                <w:szCs w:val="18"/>
              </w:rPr>
              <w:t>活性炭</w:t>
            </w:r>
          </w:p>
        </w:tc>
        <w:tc>
          <w:tcPr>
            <w:tcW w:w="72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HW49</w:t>
            </w:r>
          </w:p>
        </w:tc>
        <w:tc>
          <w:tcPr>
            <w:tcW w:w="1269"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9900-039-49</w:t>
            </w:r>
          </w:p>
        </w:tc>
        <w:tc>
          <w:tcPr>
            <w:tcW w:w="917"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废气处理</w:t>
            </w:r>
          </w:p>
        </w:tc>
        <w:tc>
          <w:tcPr>
            <w:tcW w:w="1418"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活性炭</w:t>
            </w:r>
          </w:p>
        </w:tc>
        <w:tc>
          <w:tcPr>
            <w:tcW w:w="75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T</w:t>
            </w:r>
            <w:r>
              <w:rPr>
                <w:rFonts w:eastAsiaTheme="minorEastAsia" w:cs="Times New Roman"/>
                <w:sz w:val="18"/>
                <w:szCs w:val="18"/>
              </w:rPr>
              <w:t>,</w:t>
            </w:r>
            <w:r>
              <w:rPr>
                <w:rFonts w:eastAsiaTheme="minorEastAsia" w:cs="Times New Roman"/>
                <w:sz w:val="18"/>
                <w:szCs w:val="18"/>
              </w:rPr>
              <w:t>I</w:t>
            </w:r>
          </w:p>
        </w:tc>
        <w:tc>
          <w:tcPr>
            <w:tcW w:w="1454"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r>
    </w:tbl>
    <w:p w:rsidR="00A46452" w:rsidRDefault="009A3928" w:rsidP="00182EED">
      <w:pPr>
        <w:wordWrap w:val="0"/>
        <w:topLinePunct/>
        <w:adjustRightInd w:val="0"/>
        <w:snapToGrid w:val="0"/>
        <w:spacing w:line="240" w:lineRule="auto"/>
        <w:ind w:firstLine="361"/>
        <w:rPr>
          <w:rFonts w:cs="Times New Roman"/>
          <w:spacing w:val="-2"/>
        </w:rPr>
      </w:pPr>
      <w:r>
        <w:rPr>
          <w:rFonts w:eastAsiaTheme="minorEastAsia" w:cs="Times New Roman"/>
          <w:b/>
          <w:bCs/>
          <w:sz w:val="18"/>
          <w:szCs w:val="18"/>
        </w:rPr>
        <w:t>注：危险特性：腐蚀性（</w:t>
      </w:r>
      <w:r>
        <w:rPr>
          <w:rFonts w:eastAsiaTheme="minorEastAsia" w:cs="Times New Roman"/>
          <w:b/>
          <w:bCs/>
          <w:sz w:val="18"/>
          <w:szCs w:val="18"/>
        </w:rPr>
        <w:t>Corrosivity</w:t>
      </w:r>
      <w:r>
        <w:rPr>
          <w:rFonts w:eastAsiaTheme="minorEastAsia" w:cs="Times New Roman"/>
          <w:b/>
          <w:bCs/>
          <w:sz w:val="18"/>
          <w:szCs w:val="18"/>
        </w:rPr>
        <w:t>，</w:t>
      </w:r>
      <w:r>
        <w:rPr>
          <w:rFonts w:eastAsiaTheme="minorEastAsia" w:cs="Times New Roman"/>
          <w:b/>
          <w:bCs/>
          <w:sz w:val="18"/>
          <w:szCs w:val="18"/>
        </w:rPr>
        <w:t>C</w:t>
      </w:r>
      <w:r>
        <w:rPr>
          <w:rFonts w:eastAsiaTheme="minorEastAsia" w:cs="Times New Roman"/>
          <w:b/>
          <w:bCs/>
          <w:sz w:val="18"/>
          <w:szCs w:val="18"/>
        </w:rPr>
        <w:t>）、毒性（</w:t>
      </w:r>
      <w:r>
        <w:rPr>
          <w:rFonts w:eastAsiaTheme="minorEastAsia" w:cs="Times New Roman"/>
          <w:b/>
          <w:bCs/>
          <w:sz w:val="18"/>
          <w:szCs w:val="18"/>
        </w:rPr>
        <w:t>Toxicity</w:t>
      </w:r>
      <w:r>
        <w:rPr>
          <w:rFonts w:eastAsiaTheme="minorEastAsia" w:cs="Times New Roman"/>
          <w:b/>
          <w:bCs/>
          <w:sz w:val="18"/>
          <w:szCs w:val="18"/>
        </w:rPr>
        <w:t>，</w:t>
      </w:r>
      <w:r>
        <w:rPr>
          <w:rFonts w:eastAsiaTheme="minorEastAsia" w:cs="Times New Roman"/>
          <w:b/>
          <w:bCs/>
          <w:sz w:val="18"/>
          <w:szCs w:val="18"/>
        </w:rPr>
        <w:t>T</w:t>
      </w:r>
      <w:r>
        <w:rPr>
          <w:rFonts w:eastAsiaTheme="minorEastAsia" w:cs="Times New Roman"/>
          <w:b/>
          <w:bCs/>
          <w:sz w:val="18"/>
          <w:szCs w:val="18"/>
        </w:rPr>
        <w:t>）、易燃性（</w:t>
      </w:r>
      <w:r>
        <w:rPr>
          <w:rFonts w:eastAsiaTheme="minorEastAsia" w:cs="Times New Roman"/>
          <w:b/>
          <w:bCs/>
          <w:sz w:val="18"/>
          <w:szCs w:val="18"/>
        </w:rPr>
        <w:t>Ignitability</w:t>
      </w:r>
      <w:r>
        <w:rPr>
          <w:rFonts w:eastAsiaTheme="minorEastAsia" w:cs="Times New Roman"/>
          <w:b/>
          <w:bCs/>
          <w:sz w:val="18"/>
          <w:szCs w:val="18"/>
        </w:rPr>
        <w:t>，</w:t>
      </w:r>
      <w:r>
        <w:rPr>
          <w:rFonts w:eastAsiaTheme="minorEastAsia" w:cs="Times New Roman"/>
          <w:b/>
          <w:bCs/>
          <w:sz w:val="18"/>
          <w:szCs w:val="18"/>
        </w:rPr>
        <w:t>I</w:t>
      </w:r>
      <w:r>
        <w:rPr>
          <w:rFonts w:eastAsiaTheme="minorEastAsia" w:cs="Times New Roman"/>
          <w:b/>
          <w:bCs/>
          <w:sz w:val="18"/>
          <w:szCs w:val="18"/>
        </w:rPr>
        <w:t>）、反应性（</w:t>
      </w:r>
      <w:r>
        <w:rPr>
          <w:rFonts w:eastAsiaTheme="minorEastAsia" w:cs="Times New Roman"/>
          <w:b/>
          <w:bCs/>
          <w:sz w:val="18"/>
          <w:szCs w:val="18"/>
        </w:rPr>
        <w:t>Reactivity</w:t>
      </w:r>
      <w:r>
        <w:rPr>
          <w:rFonts w:eastAsiaTheme="minorEastAsia" w:cs="Times New Roman"/>
          <w:b/>
          <w:bCs/>
          <w:sz w:val="18"/>
          <w:szCs w:val="18"/>
        </w:rPr>
        <w:t>，</w:t>
      </w:r>
      <w:r>
        <w:rPr>
          <w:rFonts w:eastAsiaTheme="minorEastAsia" w:cs="Times New Roman"/>
          <w:b/>
          <w:bCs/>
          <w:sz w:val="18"/>
          <w:szCs w:val="18"/>
        </w:rPr>
        <w:t>R</w:t>
      </w:r>
      <w:r>
        <w:rPr>
          <w:rFonts w:eastAsiaTheme="minorEastAsia" w:cs="Times New Roman"/>
          <w:b/>
          <w:bCs/>
          <w:sz w:val="18"/>
          <w:szCs w:val="18"/>
        </w:rPr>
        <w:t>）和感染性（</w:t>
      </w:r>
      <w:r>
        <w:rPr>
          <w:rFonts w:eastAsiaTheme="minorEastAsia" w:cs="Times New Roman"/>
          <w:b/>
          <w:bCs/>
          <w:sz w:val="18"/>
          <w:szCs w:val="18"/>
        </w:rPr>
        <w:t>Infectivity</w:t>
      </w:r>
      <w:r>
        <w:rPr>
          <w:rFonts w:eastAsiaTheme="minorEastAsia" w:cs="Times New Roman"/>
          <w:b/>
          <w:bCs/>
          <w:sz w:val="18"/>
          <w:szCs w:val="18"/>
        </w:rPr>
        <w:t>，</w:t>
      </w:r>
      <w:r>
        <w:rPr>
          <w:rFonts w:eastAsiaTheme="minorEastAsia" w:cs="Times New Roman"/>
          <w:b/>
          <w:bCs/>
          <w:sz w:val="18"/>
          <w:szCs w:val="18"/>
        </w:rPr>
        <w:t>In</w:t>
      </w:r>
      <w:r>
        <w:rPr>
          <w:rFonts w:eastAsiaTheme="minorEastAsia" w:cs="Times New Roman"/>
          <w:b/>
          <w:bCs/>
          <w:sz w:val="18"/>
          <w:szCs w:val="18"/>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5.2.2</w:t>
      </w:r>
      <w:r>
        <w:rPr>
          <w:rFonts w:cs="Times New Roman" w:hint="default"/>
          <w:sz w:val="28"/>
          <w:szCs w:val="28"/>
        </w:rPr>
        <w:t>运营期污染源分析</w:t>
      </w:r>
      <w:bookmarkEnd w:id="247"/>
      <w:bookmarkEnd w:id="248"/>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5.2.2.1</w:t>
      </w:r>
      <w:r>
        <w:rPr>
          <w:rFonts w:cs="Times New Roman" w:hint="default"/>
          <w:iCs/>
        </w:rPr>
        <w:t>营运期大气污染源</w:t>
      </w:r>
    </w:p>
    <w:p w:rsidR="00A46452" w:rsidRDefault="009A3928">
      <w:pPr>
        <w:ind w:firstLine="480"/>
        <w:rPr>
          <w:rFonts w:cs="Times New Roman"/>
          <w:szCs w:val="24"/>
        </w:rPr>
      </w:pPr>
      <w:r>
        <w:rPr>
          <w:rFonts w:cs="Times New Roman"/>
          <w:szCs w:val="24"/>
        </w:rPr>
        <w:t>本项目设</w:t>
      </w:r>
      <w:r>
        <w:rPr>
          <w:rFonts w:cs="Times New Roman"/>
          <w:szCs w:val="24"/>
        </w:rPr>
        <w:t>2</w:t>
      </w:r>
      <w:r>
        <w:rPr>
          <w:rFonts w:cs="Times New Roman"/>
          <w:szCs w:val="24"/>
        </w:rPr>
        <w:t>处服务区、</w:t>
      </w:r>
      <w:r>
        <w:rPr>
          <w:rFonts w:cs="Times New Roman"/>
          <w:szCs w:val="24"/>
        </w:rPr>
        <w:t>3</w:t>
      </w:r>
      <w:r>
        <w:rPr>
          <w:rFonts w:cs="Times New Roman"/>
          <w:szCs w:val="24"/>
        </w:rPr>
        <w:t>处停车场、</w:t>
      </w:r>
      <w:r>
        <w:rPr>
          <w:rFonts w:cs="Times New Roman"/>
          <w:szCs w:val="24"/>
        </w:rPr>
        <w:t>1</w:t>
      </w:r>
      <w:r>
        <w:rPr>
          <w:rFonts w:cs="Times New Roman"/>
          <w:szCs w:val="24"/>
        </w:rPr>
        <w:t>处</w:t>
      </w:r>
      <w:r>
        <w:rPr>
          <w:rFonts w:cs="Times New Roman"/>
          <w:szCs w:val="24"/>
        </w:rPr>
        <w:t>治超站</w:t>
      </w:r>
      <w:r>
        <w:rPr>
          <w:rFonts w:cs="Times New Roman"/>
          <w:szCs w:val="24"/>
        </w:rPr>
        <w:t>，上述服务设施采用</w:t>
      </w:r>
      <w:r>
        <w:rPr>
          <w:rFonts w:cs="Times New Roman"/>
          <w:szCs w:val="24"/>
        </w:rPr>
        <w:t>拟依托第三师图木舒克市</w:t>
      </w:r>
      <w:r>
        <w:rPr>
          <w:rFonts w:cs="Times New Roman"/>
          <w:szCs w:val="24"/>
        </w:rPr>
        <w:t>53</w:t>
      </w:r>
      <w:r>
        <w:rPr>
          <w:rFonts w:cs="Times New Roman"/>
          <w:szCs w:val="24"/>
        </w:rPr>
        <w:t>团集中供</w:t>
      </w:r>
      <w:r>
        <w:rPr>
          <w:rFonts w:cs="Times New Roman"/>
          <w:szCs w:val="24"/>
        </w:rPr>
        <w:t>暖，不建设锅炉等集中式大气污染源。因此，沿线服务设施大气污染物主要为行驶车辆排放的尾气。车辆尾气排放的主要污染物为</w:t>
      </w:r>
      <w:r>
        <w:rPr>
          <w:rFonts w:cs="Times New Roman"/>
          <w:szCs w:val="24"/>
        </w:rPr>
        <w:t>CO</w:t>
      </w:r>
      <w:r>
        <w:rPr>
          <w:rFonts w:cs="Times New Roman"/>
          <w:szCs w:val="24"/>
        </w:rPr>
        <w:t>、</w:t>
      </w:r>
      <w:r>
        <w:rPr>
          <w:rFonts w:cs="Times New Roman"/>
          <w:szCs w:val="24"/>
        </w:rPr>
        <w:t>NO</w:t>
      </w:r>
      <w:r>
        <w:rPr>
          <w:rFonts w:cs="Times New Roman"/>
          <w:szCs w:val="24"/>
          <w:vertAlign w:val="subscript"/>
        </w:rPr>
        <w:t>2</w:t>
      </w:r>
      <w:r>
        <w:rPr>
          <w:rFonts w:cs="Times New Roman"/>
          <w:szCs w:val="24"/>
        </w:rPr>
        <w:t>等。</w:t>
      </w:r>
    </w:p>
    <w:p w:rsidR="00A46452" w:rsidRDefault="009A3928">
      <w:pPr>
        <w:wordWrap w:val="0"/>
        <w:topLinePunct/>
        <w:adjustRightInd w:val="0"/>
        <w:snapToGrid w:val="0"/>
        <w:ind w:firstLine="480"/>
        <w:rPr>
          <w:rFonts w:cs="Times New Roman"/>
        </w:rPr>
      </w:pPr>
      <w:r>
        <w:rPr>
          <w:rFonts w:cs="Times New Roman"/>
        </w:rPr>
        <w:t>公路建成通车后，汽车尾气成为影响沿线环境空气质量的主要污染物。汽车尾气污染源可模拟为一条连续排放的线性污染源。污染物排放量的大小与交通量的大小密切相关，同时又取决于车辆类型和运行车辆车况。</w:t>
      </w:r>
    </w:p>
    <w:p w:rsidR="00A46452" w:rsidRDefault="009A3928">
      <w:pPr>
        <w:wordWrap w:val="0"/>
        <w:topLinePunct/>
        <w:adjustRightInd w:val="0"/>
        <w:snapToGrid w:val="0"/>
        <w:ind w:firstLine="480"/>
        <w:rPr>
          <w:rFonts w:cs="Times New Roman"/>
        </w:rPr>
      </w:pPr>
      <w:r>
        <w:rPr>
          <w:rFonts w:cs="Times New Roman"/>
        </w:rPr>
        <w:t>根据拟建项目预测交通量结果及各特征参数，计算车辆排放污染物线源源强。气态污染物排放源强按下式计算</w:t>
      </w:r>
      <w:r>
        <w:rPr>
          <w:rFonts w:cs="Times New Roman"/>
        </w:rPr>
        <w:t>：</w:t>
      </w:r>
    </w:p>
    <w:p w:rsidR="00A46452" w:rsidRDefault="009A3928">
      <w:pPr>
        <w:wordWrap w:val="0"/>
        <w:topLinePunct/>
        <w:adjustRightInd w:val="0"/>
        <w:snapToGrid w:val="0"/>
        <w:ind w:firstLineChars="700" w:firstLine="1680"/>
        <w:rPr>
          <w:rFonts w:cs="Times New Roman"/>
        </w:rPr>
      </w:pPr>
      <w:r>
        <w:rPr>
          <w:rFonts w:cs="Times New Roman"/>
        </w:rPr>
        <w:t xml:space="preserve">    </w:t>
      </w:r>
      <w:r>
        <w:rPr>
          <w:rFonts w:cs="Times New Roman"/>
          <w:noProof/>
        </w:rPr>
        <w:drawing>
          <wp:inline distT="0" distB="0" distL="0" distR="0">
            <wp:extent cx="2228850" cy="617855"/>
            <wp:effectExtent l="0" t="0" r="6350" b="444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9"/>
                    <a:srcRect l="7845" t="15606" r="6104" b="10682"/>
                    <a:stretch>
                      <a:fillRect/>
                    </a:stretch>
                  </pic:blipFill>
                  <pic:spPr>
                    <a:xfrm>
                      <a:off x="0" y="0"/>
                      <a:ext cx="2228850" cy="617855"/>
                    </a:xfrm>
                    <a:prstGeom prst="rect">
                      <a:avLst/>
                    </a:prstGeom>
                  </pic:spPr>
                </pic:pic>
              </a:graphicData>
            </a:graphic>
          </wp:inline>
        </w:drawing>
      </w:r>
    </w:p>
    <w:p w:rsidR="00A46452" w:rsidRDefault="009A3928">
      <w:pPr>
        <w:wordWrap w:val="0"/>
        <w:topLinePunct/>
        <w:adjustRightInd w:val="0"/>
        <w:snapToGrid w:val="0"/>
        <w:ind w:firstLine="480"/>
        <w:rPr>
          <w:rFonts w:cs="Times New Roman"/>
        </w:rPr>
      </w:pPr>
      <w:r>
        <w:rPr>
          <w:rFonts w:cs="Times New Roman"/>
        </w:rPr>
        <w:t>式中：</w:t>
      </w:r>
      <w:r>
        <w:rPr>
          <w:rFonts w:cs="Times New Roman"/>
        </w:rPr>
        <w:t>Q</w:t>
      </w:r>
      <w:r>
        <w:rPr>
          <w:rFonts w:cs="Times New Roman"/>
          <w:vertAlign w:val="subscript"/>
        </w:rPr>
        <w:t>j</w:t>
      </w:r>
      <w:r>
        <w:rPr>
          <w:rFonts w:cs="Times New Roman"/>
        </w:rPr>
        <w:t>—j</w:t>
      </w:r>
      <w:r>
        <w:rPr>
          <w:rFonts w:cs="Times New Roman"/>
        </w:rPr>
        <w:t>类气态污染物排放强度，</w:t>
      </w:r>
      <w:r>
        <w:rPr>
          <w:rFonts w:cs="Times New Roman"/>
        </w:rPr>
        <w:t>mg/s•m</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A</w:t>
      </w:r>
      <w:r>
        <w:rPr>
          <w:rFonts w:cs="Times New Roman"/>
          <w:vertAlign w:val="subscript"/>
        </w:rPr>
        <w:t>i</w:t>
      </w:r>
      <w:r>
        <w:rPr>
          <w:rFonts w:cs="Times New Roman"/>
        </w:rPr>
        <w:t>—i</w:t>
      </w:r>
      <w:r>
        <w:rPr>
          <w:rFonts w:cs="Times New Roman"/>
        </w:rPr>
        <w:t>型车预测年的小时交通量，辆</w:t>
      </w:r>
      <w:r>
        <w:rPr>
          <w:rFonts w:cs="Times New Roman"/>
        </w:rPr>
        <w:t>/h</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E</w:t>
      </w:r>
      <w:r>
        <w:rPr>
          <w:rFonts w:cs="Times New Roman"/>
          <w:vertAlign w:val="subscript"/>
        </w:rPr>
        <w:t>ij</w:t>
      </w:r>
      <w:r>
        <w:rPr>
          <w:rFonts w:cs="Times New Roman"/>
        </w:rPr>
        <w:t>—</w:t>
      </w:r>
      <w:r>
        <w:rPr>
          <w:rFonts w:cs="Times New Roman"/>
        </w:rPr>
        <w:t>汽车专用公路运行工况下，</w:t>
      </w:r>
      <w:r>
        <w:rPr>
          <w:rFonts w:cs="Times New Roman"/>
        </w:rPr>
        <w:t>i</w:t>
      </w:r>
      <w:r>
        <w:rPr>
          <w:rFonts w:cs="Times New Roman"/>
        </w:rPr>
        <w:t>型车</w:t>
      </w:r>
      <w:r>
        <w:rPr>
          <w:rFonts w:cs="Times New Roman"/>
        </w:rPr>
        <w:t>j</w:t>
      </w:r>
      <w:r>
        <w:rPr>
          <w:rFonts w:cs="Times New Roman"/>
        </w:rPr>
        <w:t>类排放物在预测年的单车排放因子采用《公路建设项目环境影响评价规范》推荐值，见表</w:t>
      </w:r>
      <w:r>
        <w:rPr>
          <w:rFonts w:cs="Times New Roman" w:hint="eastAsia"/>
        </w:rPr>
        <w:t>5</w:t>
      </w:r>
      <w:r>
        <w:rPr>
          <w:rFonts w:cs="Times New Roman"/>
        </w:rPr>
        <w:t>.2-</w:t>
      </w:r>
      <w:r>
        <w:rPr>
          <w:rFonts w:cs="Times New Roman" w:hint="eastAsia"/>
        </w:rPr>
        <w:t>8</w:t>
      </w:r>
      <w:r>
        <w:rPr>
          <w:rFonts w:cs="Times New Roman"/>
        </w:rPr>
        <w:t>。</w:t>
      </w:r>
    </w:p>
    <w:p w:rsidR="00A46452" w:rsidRDefault="00A46452">
      <w:pPr>
        <w:wordWrap w:val="0"/>
        <w:topLinePunct/>
        <w:adjustRightInd w:val="0"/>
        <w:snapToGrid w:val="0"/>
        <w:spacing w:line="240" w:lineRule="auto"/>
        <w:ind w:firstLineChars="0" w:firstLine="0"/>
        <w:rPr>
          <w:rFonts w:eastAsia="黑体" w:cs="Times New Roman"/>
        </w:rPr>
      </w:pP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w:t>
      </w:r>
      <w:r>
        <w:rPr>
          <w:rFonts w:eastAsia="黑体" w:cs="Times New Roman" w:hint="eastAsia"/>
        </w:rPr>
        <w:t>8</w:t>
      </w:r>
      <w:r>
        <w:rPr>
          <w:rFonts w:eastAsia="黑体" w:cs="Times New Roman"/>
        </w:rPr>
        <w:t xml:space="preserve">                 </w:t>
      </w:r>
      <w:r>
        <w:rPr>
          <w:rFonts w:eastAsia="黑体" w:cs="Times New Roman"/>
        </w:rPr>
        <w:t>车辆单车排放因子推荐值（单位：</w:t>
      </w:r>
      <w:r>
        <w:rPr>
          <w:rFonts w:eastAsia="黑体" w:cs="Times New Roman"/>
        </w:rPr>
        <w:t>g/</w:t>
      </w:r>
      <w:r>
        <w:rPr>
          <w:rFonts w:eastAsia="黑体" w:cs="Times New Roman"/>
        </w:rPr>
        <w:t>辆</w:t>
      </w:r>
      <w:r>
        <w:rPr>
          <w:rFonts w:eastAsia="等线" w:cs="Times New Roman"/>
        </w:rPr>
        <w:t>•</w:t>
      </w:r>
      <w:r>
        <w:rPr>
          <w:rFonts w:eastAsia="黑体" w:cs="Times New Roman"/>
        </w:rPr>
        <w:t>km</w:t>
      </w:r>
      <w:r>
        <w:rPr>
          <w:rFonts w:eastAsia="黑体" w:cs="Times New Roman"/>
        </w:rPr>
        <w:t>）</w:t>
      </w:r>
    </w:p>
    <w:tbl>
      <w:tblPr>
        <w:tblStyle w:val="affff7"/>
        <w:tblW w:w="5000" w:type="pct"/>
        <w:tblLook w:val="04A0" w:firstRow="1" w:lastRow="0" w:firstColumn="1" w:lastColumn="0" w:noHBand="0" w:noVBand="1"/>
      </w:tblPr>
      <w:tblGrid>
        <w:gridCol w:w="1192"/>
        <w:gridCol w:w="1008"/>
        <w:gridCol w:w="1003"/>
        <w:gridCol w:w="1001"/>
        <w:gridCol w:w="1003"/>
        <w:gridCol w:w="1003"/>
        <w:gridCol w:w="1003"/>
        <w:gridCol w:w="1303"/>
      </w:tblGrid>
      <w:tr w:rsidR="00A46452">
        <w:trPr>
          <w:trHeight w:hRule="exact" w:val="394"/>
        </w:trPr>
        <w:tc>
          <w:tcPr>
            <w:tcW w:w="1290" w:type="pct"/>
            <w:gridSpan w:val="2"/>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平均车速（</w:t>
            </w:r>
            <w:r>
              <w:rPr>
                <w:rFonts w:eastAsiaTheme="minorEastAsia" w:cs="Times New Roman"/>
                <w:sz w:val="18"/>
                <w:szCs w:val="18"/>
              </w:rPr>
              <w:t>km/h</w:t>
            </w:r>
            <w:r>
              <w:rPr>
                <w:rFonts w:eastAsiaTheme="minorEastAsia" w:cs="Times New Roman"/>
                <w:sz w:val="18"/>
                <w:szCs w:val="18"/>
              </w:rPr>
              <w:t>）</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50</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60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70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80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90</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100</w:t>
            </w:r>
          </w:p>
        </w:tc>
      </w:tr>
      <w:tr w:rsidR="00A46452">
        <w:trPr>
          <w:trHeight w:hRule="exact" w:val="252"/>
        </w:trPr>
        <w:tc>
          <w:tcPr>
            <w:tcW w:w="699" w:type="pct"/>
            <w:vMerge w:val="restar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小型车</w:t>
            </w: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CO</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31.34</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23.68</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17.90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14.76</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10.24</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7.72</w:t>
            </w:r>
          </w:p>
        </w:tc>
      </w:tr>
      <w:tr w:rsidR="00A46452">
        <w:trPr>
          <w:trHeight w:hRule="exact" w:val="252"/>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THC</w:t>
            </w:r>
          </w:p>
        </w:tc>
        <w:tc>
          <w:tcPr>
            <w:tcW w:w="589"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8.14</w:t>
            </w:r>
          </w:p>
        </w:tc>
        <w:tc>
          <w:tcPr>
            <w:tcW w:w="588"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6.70</w:t>
            </w:r>
          </w:p>
        </w:tc>
        <w:tc>
          <w:tcPr>
            <w:tcW w:w="589"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6.06</w:t>
            </w:r>
          </w:p>
        </w:tc>
        <w:tc>
          <w:tcPr>
            <w:tcW w:w="589"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5.30</w:t>
            </w:r>
          </w:p>
        </w:tc>
        <w:tc>
          <w:tcPr>
            <w:tcW w:w="589"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4.66</w:t>
            </w:r>
          </w:p>
        </w:tc>
        <w:tc>
          <w:tcPr>
            <w:tcW w:w="765" w:type="pct"/>
            <w:vAlign w:val="top"/>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4.02</w:t>
            </w:r>
          </w:p>
        </w:tc>
      </w:tr>
      <w:tr w:rsidR="00A46452">
        <w:trPr>
          <w:trHeight w:hRule="exact" w:val="252"/>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NOx</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1.77</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2.37</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2.96</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3.71</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3.85</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3.99</w:t>
            </w:r>
          </w:p>
        </w:tc>
      </w:tr>
      <w:tr w:rsidR="00A46452">
        <w:trPr>
          <w:trHeight w:hRule="exact" w:val="250"/>
        </w:trPr>
        <w:tc>
          <w:tcPr>
            <w:tcW w:w="699" w:type="pct"/>
            <w:vMerge w:val="restar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中型车</w:t>
            </w: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CO</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30.18</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26.19</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24.76</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25.47</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28.55</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34.78</w:t>
            </w:r>
          </w:p>
        </w:tc>
      </w:tr>
      <w:tr w:rsidR="00A46452">
        <w:trPr>
          <w:trHeight w:hRule="exact" w:val="250"/>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THC</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15.21</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12.42</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11.02</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10.10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9.42</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9.10</w:t>
            </w:r>
          </w:p>
        </w:tc>
      </w:tr>
      <w:tr w:rsidR="00A46452">
        <w:trPr>
          <w:trHeight w:hRule="exact" w:val="252"/>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NOx</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5.40</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6.30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7.20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8.30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8.80</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9.30</w:t>
            </w:r>
          </w:p>
        </w:tc>
      </w:tr>
      <w:tr w:rsidR="00A46452">
        <w:trPr>
          <w:trHeight w:hRule="exact" w:val="252"/>
        </w:trPr>
        <w:tc>
          <w:tcPr>
            <w:tcW w:w="699" w:type="pct"/>
            <w:vMerge w:val="restar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大型车</w:t>
            </w: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CO</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5.25</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4.48</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4.10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4.01</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4.23</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4.77</w:t>
            </w:r>
          </w:p>
        </w:tc>
      </w:tr>
      <w:tr w:rsidR="00A46452">
        <w:trPr>
          <w:trHeight w:hRule="exact" w:val="252"/>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THC</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2.08</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1.79</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1.58</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1.45</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1.38</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1.35</w:t>
            </w:r>
          </w:p>
        </w:tc>
      </w:tr>
      <w:tr w:rsidR="00A46452">
        <w:trPr>
          <w:trHeight w:hRule="exact" w:val="252"/>
        </w:trPr>
        <w:tc>
          <w:tcPr>
            <w:tcW w:w="699" w:type="pct"/>
            <w:vMerge/>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591"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NOx</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10.44</w:t>
            </w:r>
          </w:p>
        </w:tc>
        <w:tc>
          <w:tcPr>
            <w:tcW w:w="588"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10.48</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11.10</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14.71</w:t>
            </w:r>
          </w:p>
        </w:tc>
        <w:tc>
          <w:tcPr>
            <w:tcW w:w="589"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15.64</w:t>
            </w:r>
          </w:p>
        </w:tc>
        <w:tc>
          <w:tcPr>
            <w:tcW w:w="765" w:type="pct"/>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18.38</w:t>
            </w:r>
          </w:p>
        </w:tc>
      </w:tr>
    </w:tbl>
    <w:p w:rsidR="00A46452" w:rsidRDefault="009A3928">
      <w:pPr>
        <w:wordWrap w:val="0"/>
        <w:topLinePunct/>
        <w:adjustRightInd w:val="0"/>
        <w:snapToGrid w:val="0"/>
        <w:ind w:firstLine="480"/>
        <w:rPr>
          <w:rFonts w:cs="Times New Roman"/>
        </w:rPr>
      </w:pPr>
      <w:r>
        <w:rPr>
          <w:rFonts w:cs="Times New Roman"/>
        </w:rPr>
        <w:t>本项目大气污染物排放源源强值见表</w:t>
      </w:r>
      <w:r>
        <w:rPr>
          <w:rFonts w:cs="Times New Roman" w:hint="eastAsia"/>
        </w:rPr>
        <w:t>5</w:t>
      </w:r>
      <w:r>
        <w:rPr>
          <w:rFonts w:cs="Times New Roman"/>
        </w:rPr>
        <w:t>.2-</w:t>
      </w:r>
      <w:r>
        <w:rPr>
          <w:rFonts w:cs="Times New Roman" w:hint="eastAsia"/>
        </w:rPr>
        <w:t>9</w:t>
      </w:r>
      <w:r>
        <w:rPr>
          <w:rFonts w:cs="Times New Roman"/>
        </w:rPr>
        <w:t>~</w:t>
      </w:r>
      <w:r>
        <w:rPr>
          <w:rFonts w:cs="Times New Roman" w:hint="eastAsia"/>
        </w:rPr>
        <w:t>5</w:t>
      </w:r>
      <w:r>
        <w:rPr>
          <w:rFonts w:cs="Times New Roman"/>
        </w:rPr>
        <w:t>.2-1</w:t>
      </w:r>
      <w:r>
        <w:rPr>
          <w:rFonts w:cs="Times New Roman" w:hint="eastAsia"/>
        </w:rPr>
        <w:t>1</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w:t>
      </w:r>
      <w:r>
        <w:rPr>
          <w:rFonts w:eastAsia="黑体" w:cs="Times New Roman" w:hint="eastAsia"/>
        </w:rPr>
        <w:t>9</w:t>
      </w:r>
      <w:r>
        <w:rPr>
          <w:rFonts w:eastAsia="黑体" w:cs="Times New Roman"/>
        </w:rPr>
        <w:t xml:space="preserve">              </w:t>
      </w:r>
      <w:r>
        <w:rPr>
          <w:rFonts w:eastAsia="黑体" w:cs="Times New Roman"/>
        </w:rPr>
        <w:t>CO</w:t>
      </w:r>
      <w:r>
        <w:rPr>
          <w:rFonts w:eastAsia="黑体" w:cs="Times New Roman"/>
        </w:rPr>
        <w:t>排放源强（单位：</w:t>
      </w:r>
      <w:r>
        <w:rPr>
          <w:rFonts w:eastAsia="黑体" w:cs="Times New Roman"/>
        </w:rPr>
        <w:t>kg/</w:t>
      </w:r>
      <w:r>
        <w:rPr>
          <w:rFonts w:eastAsia="黑体" w:cs="Times New Roman"/>
        </w:rPr>
        <w:t>（</w:t>
      </w:r>
      <w:r>
        <w:rPr>
          <w:rFonts w:eastAsia="黑体" w:cs="Times New Roman"/>
        </w:rPr>
        <w:t>km•h</w:t>
      </w:r>
      <w:r>
        <w:rPr>
          <w:rFonts w:eastAsia="黑体"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8"/>
        <w:gridCol w:w="1429"/>
        <w:gridCol w:w="1269"/>
        <w:gridCol w:w="1114"/>
        <w:gridCol w:w="1110"/>
        <w:gridCol w:w="797"/>
        <w:gridCol w:w="1034"/>
        <w:gridCol w:w="795"/>
      </w:tblGrid>
      <w:tr w:rsidR="00A46452">
        <w:trPr>
          <w:trHeight w:val="270"/>
          <w:jc w:val="center"/>
        </w:trPr>
        <w:tc>
          <w:tcPr>
            <w:tcW w:w="568" w:type="pct"/>
            <w:vMerge w:val="restar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路段名称</w:t>
            </w:r>
          </w:p>
        </w:tc>
        <w:tc>
          <w:tcPr>
            <w:tcW w:w="839" w:type="pct"/>
            <w:vMerge w:val="restar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车型</w:t>
            </w:r>
          </w:p>
        </w:tc>
        <w:tc>
          <w:tcPr>
            <w:tcW w:w="1399" w:type="pct"/>
            <w:gridSpan w:val="2"/>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202</w:t>
            </w:r>
            <w:r>
              <w:rPr>
                <w:rFonts w:eastAsiaTheme="minorEastAsia" w:cs="Times New Roman"/>
                <w:sz w:val="18"/>
                <w:szCs w:val="18"/>
              </w:rPr>
              <w:t>8</w:t>
            </w:r>
            <w:r>
              <w:rPr>
                <w:rFonts w:eastAsiaTheme="minorEastAsia" w:cs="Times New Roman"/>
                <w:sz w:val="18"/>
                <w:szCs w:val="18"/>
              </w:rPr>
              <w:t>年（近期）</w:t>
            </w:r>
          </w:p>
        </w:tc>
        <w:tc>
          <w:tcPr>
            <w:tcW w:w="1120" w:type="pct"/>
            <w:gridSpan w:val="2"/>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203</w:t>
            </w:r>
            <w:r>
              <w:rPr>
                <w:rFonts w:eastAsiaTheme="minorEastAsia" w:cs="Times New Roman"/>
                <w:sz w:val="18"/>
                <w:szCs w:val="18"/>
              </w:rPr>
              <w:t>5</w:t>
            </w:r>
            <w:r>
              <w:rPr>
                <w:rFonts w:eastAsiaTheme="minorEastAsia" w:cs="Times New Roman"/>
                <w:sz w:val="18"/>
                <w:szCs w:val="18"/>
              </w:rPr>
              <w:t>年（中期）</w:t>
            </w:r>
          </w:p>
        </w:tc>
        <w:tc>
          <w:tcPr>
            <w:tcW w:w="1075" w:type="pct"/>
            <w:gridSpan w:val="2"/>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204</w:t>
            </w:r>
            <w:r>
              <w:rPr>
                <w:rFonts w:eastAsiaTheme="minorEastAsia" w:cs="Times New Roman"/>
                <w:sz w:val="18"/>
                <w:szCs w:val="18"/>
              </w:rPr>
              <w:t>2</w:t>
            </w:r>
            <w:r>
              <w:rPr>
                <w:rFonts w:eastAsiaTheme="minorEastAsia" w:cs="Times New Roman"/>
                <w:sz w:val="18"/>
                <w:szCs w:val="18"/>
              </w:rPr>
              <w:t>年（远期）</w:t>
            </w:r>
          </w:p>
        </w:tc>
      </w:tr>
      <w:tr w:rsidR="00A46452">
        <w:trPr>
          <w:trHeight w:val="270"/>
          <w:jc w:val="center"/>
        </w:trPr>
        <w:tc>
          <w:tcPr>
            <w:tcW w:w="568" w:type="pct"/>
            <w:vMerge/>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839" w:type="pct"/>
            <w:vMerge/>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745"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653"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652"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468"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607"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468"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r>
      <w:tr w:rsidR="00A46452">
        <w:trPr>
          <w:trHeight w:val="270"/>
          <w:jc w:val="center"/>
        </w:trPr>
        <w:tc>
          <w:tcPr>
            <w:tcW w:w="568" w:type="pct"/>
            <w:vMerge w:val="restar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拟建公路</w:t>
            </w:r>
          </w:p>
        </w:tc>
        <w:tc>
          <w:tcPr>
            <w:tcW w:w="839"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小型车</w:t>
            </w:r>
          </w:p>
        </w:tc>
        <w:tc>
          <w:tcPr>
            <w:tcW w:w="1269"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0.0472</w:t>
            </w:r>
          </w:p>
        </w:tc>
        <w:tc>
          <w:tcPr>
            <w:tcW w:w="111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0.0239</w:t>
            </w:r>
          </w:p>
        </w:tc>
        <w:tc>
          <w:tcPr>
            <w:tcW w:w="1110"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0.0670</w:t>
            </w:r>
          </w:p>
        </w:tc>
        <w:tc>
          <w:tcPr>
            <w:tcW w:w="79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0.0345</w:t>
            </w:r>
          </w:p>
        </w:tc>
        <w:tc>
          <w:tcPr>
            <w:tcW w:w="103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0.1090</w:t>
            </w:r>
          </w:p>
        </w:tc>
        <w:tc>
          <w:tcPr>
            <w:tcW w:w="796"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0.0560</w:t>
            </w:r>
          </w:p>
        </w:tc>
      </w:tr>
      <w:tr w:rsidR="00A46452">
        <w:trPr>
          <w:trHeight w:val="270"/>
          <w:jc w:val="center"/>
        </w:trPr>
        <w:tc>
          <w:tcPr>
            <w:tcW w:w="568" w:type="pct"/>
            <w:vMerge/>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839"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中型车</w:t>
            </w:r>
          </w:p>
        </w:tc>
        <w:tc>
          <w:tcPr>
            <w:tcW w:w="1269"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0.0230</w:t>
            </w:r>
          </w:p>
        </w:tc>
        <w:tc>
          <w:tcPr>
            <w:tcW w:w="111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0.0118</w:t>
            </w:r>
          </w:p>
        </w:tc>
        <w:tc>
          <w:tcPr>
            <w:tcW w:w="1110"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0.0330</w:t>
            </w:r>
          </w:p>
        </w:tc>
        <w:tc>
          <w:tcPr>
            <w:tcW w:w="79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0.0171</w:t>
            </w:r>
          </w:p>
        </w:tc>
        <w:tc>
          <w:tcPr>
            <w:tcW w:w="103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0.0537</w:t>
            </w:r>
          </w:p>
        </w:tc>
        <w:tc>
          <w:tcPr>
            <w:tcW w:w="796"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0.0277</w:t>
            </w:r>
          </w:p>
        </w:tc>
      </w:tr>
      <w:tr w:rsidR="00A46452">
        <w:trPr>
          <w:trHeight w:val="270"/>
          <w:jc w:val="center"/>
        </w:trPr>
        <w:tc>
          <w:tcPr>
            <w:tcW w:w="568" w:type="pct"/>
            <w:vMerge/>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839"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大型车</w:t>
            </w:r>
          </w:p>
        </w:tc>
        <w:tc>
          <w:tcPr>
            <w:tcW w:w="1269"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0.0018</w:t>
            </w:r>
          </w:p>
        </w:tc>
        <w:tc>
          <w:tcPr>
            <w:tcW w:w="111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0.0009</w:t>
            </w:r>
          </w:p>
        </w:tc>
        <w:tc>
          <w:tcPr>
            <w:tcW w:w="1110"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0.0025</w:t>
            </w:r>
          </w:p>
        </w:tc>
        <w:tc>
          <w:tcPr>
            <w:tcW w:w="79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0.0013</w:t>
            </w:r>
          </w:p>
        </w:tc>
        <w:tc>
          <w:tcPr>
            <w:tcW w:w="103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0.0041</w:t>
            </w:r>
          </w:p>
        </w:tc>
        <w:tc>
          <w:tcPr>
            <w:tcW w:w="796"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0.0021</w:t>
            </w:r>
          </w:p>
        </w:tc>
      </w:tr>
      <w:tr w:rsidR="00A46452">
        <w:trPr>
          <w:trHeight w:val="270"/>
          <w:jc w:val="center"/>
        </w:trPr>
        <w:tc>
          <w:tcPr>
            <w:tcW w:w="568" w:type="pct"/>
            <w:vMerge/>
            <w:vAlign w:val="center"/>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839" w:type="pct"/>
            <w:shd w:val="clear" w:color="auto" w:fill="auto"/>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合计</w:t>
            </w:r>
          </w:p>
        </w:tc>
        <w:tc>
          <w:tcPr>
            <w:tcW w:w="1269"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0.0719</w:t>
            </w:r>
          </w:p>
        </w:tc>
        <w:tc>
          <w:tcPr>
            <w:tcW w:w="111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0.0366</w:t>
            </w:r>
          </w:p>
        </w:tc>
        <w:tc>
          <w:tcPr>
            <w:tcW w:w="1110"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0.1025</w:t>
            </w:r>
          </w:p>
        </w:tc>
        <w:tc>
          <w:tcPr>
            <w:tcW w:w="79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0.0529</w:t>
            </w:r>
          </w:p>
        </w:tc>
        <w:tc>
          <w:tcPr>
            <w:tcW w:w="103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0.1667</w:t>
            </w:r>
          </w:p>
        </w:tc>
        <w:tc>
          <w:tcPr>
            <w:tcW w:w="796"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0.0859</w:t>
            </w:r>
          </w:p>
        </w:tc>
      </w:tr>
    </w:tbl>
    <w:p w:rsidR="00A46452" w:rsidRDefault="009A3928">
      <w:pPr>
        <w:wordWrap w:val="0"/>
        <w:topLinePunct/>
        <w:adjustRightInd w:val="0"/>
        <w:snapToGrid w:val="0"/>
        <w:spacing w:line="560" w:lineRule="exact"/>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.2-1</w:t>
      </w:r>
      <w:r>
        <w:rPr>
          <w:rFonts w:eastAsia="黑体" w:cs="Times New Roman" w:hint="eastAsia"/>
        </w:rPr>
        <w:t>0</w:t>
      </w:r>
      <w:r>
        <w:rPr>
          <w:rFonts w:eastAsia="黑体" w:cs="Times New Roman"/>
        </w:rPr>
        <w:t xml:space="preserve">             </w:t>
      </w:r>
      <w:r>
        <w:rPr>
          <w:rFonts w:eastAsia="黑体" w:cs="Times New Roman"/>
        </w:rPr>
        <w:t>THC</w:t>
      </w:r>
      <w:r>
        <w:rPr>
          <w:rFonts w:eastAsia="黑体" w:cs="Times New Roman"/>
        </w:rPr>
        <w:t>排放源强（单位：</w:t>
      </w:r>
      <w:r>
        <w:rPr>
          <w:rFonts w:eastAsia="黑体" w:cs="Times New Roman"/>
        </w:rPr>
        <w:t>kg/</w:t>
      </w:r>
      <w:r>
        <w:rPr>
          <w:rFonts w:eastAsia="黑体" w:cs="Times New Roman"/>
        </w:rPr>
        <w:t>（</w:t>
      </w:r>
      <w:r>
        <w:rPr>
          <w:rFonts w:eastAsia="黑体" w:cs="Times New Roman"/>
        </w:rPr>
        <w:t>km</w:t>
      </w:r>
      <w:r>
        <w:rPr>
          <w:rFonts w:eastAsia="等线" w:cs="Times New Roman"/>
        </w:rPr>
        <w:t>•</w:t>
      </w:r>
      <w:r>
        <w:rPr>
          <w:rFonts w:eastAsia="黑体" w:cs="Times New Roman"/>
        </w:rPr>
        <w:t>h</w:t>
      </w:r>
      <w:r>
        <w:rPr>
          <w:rFonts w:eastAsia="黑体" w:cs="Times New Roman"/>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3"/>
        <w:gridCol w:w="1179"/>
        <w:gridCol w:w="1179"/>
        <w:gridCol w:w="2777"/>
        <w:gridCol w:w="1031"/>
        <w:gridCol w:w="685"/>
        <w:gridCol w:w="396"/>
        <w:gridCol w:w="396"/>
      </w:tblGrid>
      <w:tr w:rsidR="00A46452">
        <w:trPr>
          <w:trHeight w:val="270"/>
        </w:trPr>
        <w:tc>
          <w:tcPr>
            <w:tcW w:w="59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路段名称</w:t>
            </w:r>
          </w:p>
        </w:tc>
        <w:tc>
          <w:tcPr>
            <w:tcW w:w="77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车型</w:t>
            </w:r>
          </w:p>
        </w:tc>
        <w:tc>
          <w:tcPr>
            <w:tcW w:w="2478"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202</w:t>
            </w:r>
            <w:r>
              <w:rPr>
                <w:rFonts w:eastAsiaTheme="minorEastAsia" w:cs="Times New Roman"/>
                <w:sz w:val="18"/>
                <w:szCs w:val="18"/>
              </w:rPr>
              <w:t>8</w:t>
            </w:r>
            <w:r>
              <w:rPr>
                <w:rFonts w:eastAsiaTheme="minorEastAsia" w:cs="Times New Roman"/>
                <w:sz w:val="18"/>
                <w:szCs w:val="18"/>
              </w:rPr>
              <w:t>年（近期）</w:t>
            </w:r>
          </w:p>
        </w:tc>
        <w:tc>
          <w:tcPr>
            <w:tcW w:w="1895"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203</w:t>
            </w:r>
            <w:r>
              <w:rPr>
                <w:rFonts w:eastAsiaTheme="minorEastAsia" w:cs="Times New Roman"/>
                <w:sz w:val="18"/>
                <w:szCs w:val="18"/>
              </w:rPr>
              <w:t>5</w:t>
            </w:r>
            <w:r>
              <w:rPr>
                <w:rFonts w:eastAsiaTheme="minorEastAsia" w:cs="Times New Roman"/>
                <w:sz w:val="18"/>
                <w:szCs w:val="18"/>
              </w:rPr>
              <w:t>年（中期）</w:t>
            </w:r>
          </w:p>
        </w:tc>
        <w:tc>
          <w:tcPr>
            <w:tcW w:w="1827"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204</w:t>
            </w:r>
            <w:r>
              <w:rPr>
                <w:rFonts w:eastAsiaTheme="minorEastAsia" w:cs="Times New Roman"/>
                <w:sz w:val="18"/>
                <w:szCs w:val="18"/>
              </w:rPr>
              <w:t>2</w:t>
            </w:r>
            <w:r>
              <w:rPr>
                <w:rFonts w:eastAsiaTheme="minorEastAsia" w:cs="Times New Roman"/>
                <w:sz w:val="18"/>
                <w:szCs w:val="18"/>
              </w:rPr>
              <w:t>年（远期）</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685"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c>
          <w:tcPr>
            <w:tcW w:w="683"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43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c>
          <w:tcPr>
            <w:tcW w:w="643"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429"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r>
      <w:tr w:rsidR="00A46452">
        <w:trPr>
          <w:trHeight w:val="270"/>
        </w:trPr>
        <w:tc>
          <w:tcPr>
            <w:tcW w:w="59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拟建公路</w:t>
            </w: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小型车</w:t>
            </w:r>
          </w:p>
        </w:tc>
        <w:tc>
          <w:tcPr>
            <w:tcW w:w="1311"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0.0169</w:t>
            </w:r>
          </w:p>
        </w:tc>
        <w:tc>
          <w:tcPr>
            <w:tcW w:w="1167"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0.0086</w:t>
            </w:r>
          </w:p>
        </w:tc>
        <w:tc>
          <w:tcPr>
            <w:tcW w:w="1163"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0.0240</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0.0124</w:t>
            </w:r>
          </w:p>
        </w:tc>
        <w:tc>
          <w:tcPr>
            <w:tcW w:w="1095"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0.0391</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0.0201</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中型车</w:t>
            </w:r>
          </w:p>
        </w:tc>
        <w:tc>
          <w:tcPr>
            <w:tcW w:w="1311"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0.0091</w:t>
            </w:r>
          </w:p>
        </w:tc>
        <w:tc>
          <w:tcPr>
            <w:tcW w:w="1167"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0.0047</w:t>
            </w:r>
          </w:p>
        </w:tc>
        <w:tc>
          <w:tcPr>
            <w:tcW w:w="1163"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0.0131</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0.0068</w:t>
            </w:r>
          </w:p>
        </w:tc>
        <w:tc>
          <w:tcPr>
            <w:tcW w:w="1095"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0.0213</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0.0110</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大型车</w:t>
            </w:r>
          </w:p>
        </w:tc>
        <w:tc>
          <w:tcPr>
            <w:tcW w:w="1311"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0.0020</w:t>
            </w:r>
          </w:p>
        </w:tc>
        <w:tc>
          <w:tcPr>
            <w:tcW w:w="1167"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0.0010</w:t>
            </w:r>
          </w:p>
        </w:tc>
        <w:tc>
          <w:tcPr>
            <w:tcW w:w="1163"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0.0028</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0.0014</w:t>
            </w:r>
          </w:p>
        </w:tc>
        <w:tc>
          <w:tcPr>
            <w:tcW w:w="1095"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0.0045</w:t>
            </w:r>
          </w:p>
        </w:tc>
        <w:tc>
          <w:tcPr>
            <w:tcW w:w="732" w:type="dxa"/>
            <w:shd w:val="clear" w:color="auto" w:fill="auto"/>
          </w:tcPr>
          <w:p w:rsidR="00A46452" w:rsidRDefault="009A3928">
            <w:pPr>
              <w:wordWrap w:val="0"/>
              <w:topLinePunct/>
              <w:adjustRightInd w:val="0"/>
              <w:snapToGrid w:val="0"/>
              <w:ind w:firstLineChars="0" w:firstLine="0"/>
              <w:jc w:val="center"/>
              <w:textAlignment w:val="top"/>
              <w:rPr>
                <w:rFonts w:eastAsiaTheme="minorEastAsia" w:cs="Times New Roman"/>
                <w:sz w:val="18"/>
                <w:szCs w:val="18"/>
              </w:rPr>
            </w:pPr>
            <w:r>
              <w:rPr>
                <w:rFonts w:cs="Times New Roman"/>
                <w:kern w:val="0"/>
                <w:sz w:val="18"/>
                <w:szCs w:val="18"/>
                <w:lang w:bidi="ar"/>
              </w:rPr>
              <w:t>0.0024</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合计</w:t>
            </w:r>
          </w:p>
        </w:tc>
        <w:tc>
          <w:tcPr>
            <w:tcW w:w="131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0.0280</w:t>
            </w:r>
          </w:p>
        </w:tc>
        <w:tc>
          <w:tcPr>
            <w:tcW w:w="116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0.0143</w:t>
            </w:r>
          </w:p>
        </w:tc>
        <w:tc>
          <w:tcPr>
            <w:tcW w:w="1163"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0.0399</w:t>
            </w:r>
          </w:p>
        </w:tc>
        <w:tc>
          <w:tcPr>
            <w:tcW w:w="73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0.0206</w:t>
            </w:r>
          </w:p>
        </w:tc>
        <w:tc>
          <w:tcPr>
            <w:tcW w:w="1095"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0.0649</w:t>
            </w:r>
          </w:p>
        </w:tc>
        <w:tc>
          <w:tcPr>
            <w:tcW w:w="73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0.0335</w:t>
            </w:r>
          </w:p>
        </w:tc>
      </w:tr>
    </w:tbl>
    <w:p w:rsidR="00A46452" w:rsidRDefault="009A3928">
      <w:pPr>
        <w:wordWrap w:val="0"/>
        <w:topLinePunct/>
        <w:adjustRightInd w:val="0"/>
        <w:snapToGrid w:val="0"/>
        <w:spacing w:line="560" w:lineRule="exact"/>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.2-1</w:t>
      </w:r>
      <w:r>
        <w:rPr>
          <w:rFonts w:eastAsia="黑体" w:cs="Times New Roman" w:hint="eastAsia"/>
        </w:rPr>
        <w:t>1</w:t>
      </w:r>
      <w:r>
        <w:rPr>
          <w:rFonts w:eastAsia="黑体" w:cs="Times New Roman"/>
        </w:rPr>
        <w:t xml:space="preserve">               </w:t>
      </w:r>
      <w:r>
        <w:rPr>
          <w:rFonts w:eastAsia="黑体" w:cs="Times New Roman"/>
        </w:rPr>
        <w:t>NOx</w:t>
      </w:r>
      <w:r>
        <w:rPr>
          <w:rFonts w:eastAsia="黑体" w:cs="Times New Roman"/>
        </w:rPr>
        <w:t>排放源强（单位：</w:t>
      </w:r>
      <w:r>
        <w:rPr>
          <w:rFonts w:eastAsia="黑体" w:cs="Times New Roman"/>
        </w:rPr>
        <w:t>kg/</w:t>
      </w:r>
      <w:r>
        <w:rPr>
          <w:rFonts w:eastAsia="黑体" w:cs="Times New Roman"/>
        </w:rPr>
        <w:t>（</w:t>
      </w:r>
      <w:r>
        <w:rPr>
          <w:rFonts w:eastAsia="黑体" w:cs="Times New Roman"/>
        </w:rPr>
        <w:t>km•h</w:t>
      </w:r>
      <w:r>
        <w:rPr>
          <w:rFonts w:eastAsia="黑体" w:cs="Times New Roman"/>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3"/>
        <w:gridCol w:w="1179"/>
        <w:gridCol w:w="1179"/>
        <w:gridCol w:w="2774"/>
        <w:gridCol w:w="1035"/>
        <w:gridCol w:w="684"/>
        <w:gridCol w:w="396"/>
        <w:gridCol w:w="396"/>
      </w:tblGrid>
      <w:tr w:rsidR="00A46452">
        <w:trPr>
          <w:trHeight w:val="270"/>
        </w:trPr>
        <w:tc>
          <w:tcPr>
            <w:tcW w:w="59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路段名称</w:t>
            </w:r>
          </w:p>
        </w:tc>
        <w:tc>
          <w:tcPr>
            <w:tcW w:w="77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车型</w:t>
            </w:r>
          </w:p>
        </w:tc>
        <w:tc>
          <w:tcPr>
            <w:tcW w:w="2476"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202</w:t>
            </w:r>
            <w:r>
              <w:rPr>
                <w:rFonts w:eastAsiaTheme="minorEastAsia" w:cs="Times New Roman"/>
                <w:sz w:val="18"/>
                <w:szCs w:val="18"/>
              </w:rPr>
              <w:t>8</w:t>
            </w:r>
            <w:r>
              <w:rPr>
                <w:rFonts w:eastAsiaTheme="minorEastAsia" w:cs="Times New Roman"/>
                <w:sz w:val="18"/>
                <w:szCs w:val="18"/>
              </w:rPr>
              <w:t>年（近期）</w:t>
            </w:r>
          </w:p>
        </w:tc>
        <w:tc>
          <w:tcPr>
            <w:tcW w:w="1898"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203</w:t>
            </w:r>
            <w:r>
              <w:rPr>
                <w:rFonts w:eastAsiaTheme="minorEastAsia" w:cs="Times New Roman"/>
                <w:sz w:val="18"/>
                <w:szCs w:val="18"/>
              </w:rPr>
              <w:t>5</w:t>
            </w:r>
            <w:r>
              <w:rPr>
                <w:rFonts w:eastAsiaTheme="minorEastAsia" w:cs="Times New Roman"/>
                <w:sz w:val="18"/>
                <w:szCs w:val="18"/>
              </w:rPr>
              <w:t>年（中期）</w:t>
            </w:r>
          </w:p>
        </w:tc>
        <w:tc>
          <w:tcPr>
            <w:tcW w:w="1826" w:type="dxa"/>
            <w:gridSpan w:val="2"/>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204</w:t>
            </w:r>
            <w:r>
              <w:rPr>
                <w:rFonts w:eastAsiaTheme="minorEastAsia" w:cs="Times New Roman"/>
                <w:sz w:val="18"/>
                <w:szCs w:val="18"/>
              </w:rPr>
              <w:t>2</w:t>
            </w:r>
            <w:r>
              <w:rPr>
                <w:rFonts w:eastAsiaTheme="minorEastAsia" w:cs="Times New Roman"/>
                <w:sz w:val="18"/>
                <w:szCs w:val="18"/>
              </w:rPr>
              <w:t>年（远期）</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683"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c>
          <w:tcPr>
            <w:tcW w:w="685"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429"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c>
          <w:tcPr>
            <w:tcW w:w="643"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昼间</w:t>
            </w:r>
          </w:p>
        </w:tc>
        <w:tc>
          <w:tcPr>
            <w:tcW w:w="429"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夜间</w:t>
            </w:r>
          </w:p>
        </w:tc>
      </w:tr>
      <w:tr w:rsidR="00A46452">
        <w:trPr>
          <w:trHeight w:val="270"/>
        </w:trPr>
        <w:tc>
          <w:tcPr>
            <w:tcW w:w="590" w:type="pct"/>
            <w:vMerge w:val="restar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拟建公路</w:t>
            </w: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小型车</w:t>
            </w:r>
          </w:p>
        </w:tc>
        <w:tc>
          <w:tcPr>
            <w:tcW w:w="131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0.0016</w:t>
            </w:r>
          </w:p>
        </w:tc>
        <w:tc>
          <w:tcPr>
            <w:tcW w:w="116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0.0009</w:t>
            </w:r>
          </w:p>
        </w:tc>
        <w:tc>
          <w:tcPr>
            <w:tcW w:w="116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0.0023</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0.0012</w:t>
            </w:r>
          </w:p>
        </w:tc>
        <w:tc>
          <w:tcPr>
            <w:tcW w:w="1095"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0.0038</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0.0020</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中型车</w:t>
            </w:r>
          </w:p>
        </w:tc>
        <w:tc>
          <w:tcPr>
            <w:tcW w:w="131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0.0075</w:t>
            </w:r>
          </w:p>
        </w:tc>
        <w:tc>
          <w:tcPr>
            <w:tcW w:w="116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0.0038</w:t>
            </w:r>
          </w:p>
        </w:tc>
        <w:tc>
          <w:tcPr>
            <w:tcW w:w="116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0.0108</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0.0056</w:t>
            </w:r>
          </w:p>
        </w:tc>
        <w:tc>
          <w:tcPr>
            <w:tcW w:w="1095"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0.0175</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0.0090</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大型车</w:t>
            </w:r>
          </w:p>
        </w:tc>
        <w:tc>
          <w:tcPr>
            <w:tcW w:w="131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0.0078</w:t>
            </w:r>
          </w:p>
        </w:tc>
        <w:tc>
          <w:tcPr>
            <w:tcW w:w="116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0.0041</w:t>
            </w:r>
          </w:p>
        </w:tc>
        <w:tc>
          <w:tcPr>
            <w:tcW w:w="116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0.0111</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0.0057</w:t>
            </w:r>
          </w:p>
        </w:tc>
        <w:tc>
          <w:tcPr>
            <w:tcW w:w="1095"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0.0180</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0.0094</w:t>
            </w:r>
          </w:p>
        </w:tc>
      </w:tr>
      <w:tr w:rsidR="00A46452">
        <w:trPr>
          <w:trHeight w:val="270"/>
        </w:trPr>
        <w:tc>
          <w:tcPr>
            <w:tcW w:w="590" w:type="pct"/>
            <w:vMerge/>
            <w:vAlign w:val="center"/>
          </w:tcPr>
          <w:p w:rsidR="00A46452" w:rsidRDefault="00A46452">
            <w:pPr>
              <w:wordWrap w:val="0"/>
              <w:topLinePunct/>
              <w:adjustRightInd w:val="0"/>
              <w:snapToGrid w:val="0"/>
              <w:spacing w:line="240" w:lineRule="exact"/>
              <w:ind w:firstLineChars="0" w:firstLine="0"/>
              <w:jc w:val="center"/>
              <w:rPr>
                <w:rFonts w:eastAsiaTheme="minorEastAsia" w:cs="Times New Roman"/>
                <w:sz w:val="18"/>
                <w:szCs w:val="18"/>
              </w:rPr>
            </w:pPr>
          </w:p>
        </w:tc>
        <w:tc>
          <w:tcPr>
            <w:tcW w:w="770" w:type="pct"/>
            <w:shd w:val="clear" w:color="auto" w:fill="auto"/>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合计</w:t>
            </w:r>
          </w:p>
        </w:tc>
        <w:tc>
          <w:tcPr>
            <w:tcW w:w="1312"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0.0169</w:t>
            </w:r>
          </w:p>
        </w:tc>
        <w:tc>
          <w:tcPr>
            <w:tcW w:w="1164"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0.0088</w:t>
            </w:r>
          </w:p>
        </w:tc>
        <w:tc>
          <w:tcPr>
            <w:tcW w:w="1167"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0.0241</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0.0125</w:t>
            </w:r>
          </w:p>
        </w:tc>
        <w:tc>
          <w:tcPr>
            <w:tcW w:w="1095"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0.0393</w:t>
            </w:r>
          </w:p>
        </w:tc>
        <w:tc>
          <w:tcPr>
            <w:tcW w:w="731" w:type="dxa"/>
            <w:shd w:val="clear" w:color="auto" w:fill="auto"/>
          </w:tcPr>
          <w:p w:rsidR="00A46452" w:rsidRDefault="009A3928">
            <w:pPr>
              <w:wordWrap w:val="0"/>
              <w:topLinePunct/>
              <w:adjustRightInd w:val="0"/>
              <w:snapToGrid w:val="0"/>
              <w:spacing w:line="240" w:lineRule="auto"/>
              <w:ind w:firstLineChars="0" w:firstLine="0"/>
              <w:jc w:val="center"/>
              <w:textAlignment w:val="top"/>
              <w:rPr>
                <w:rFonts w:eastAsiaTheme="minorEastAsia" w:cs="Times New Roman"/>
                <w:sz w:val="18"/>
                <w:szCs w:val="18"/>
              </w:rPr>
            </w:pPr>
            <w:r>
              <w:rPr>
                <w:rFonts w:cs="Times New Roman"/>
                <w:kern w:val="0"/>
                <w:sz w:val="18"/>
                <w:szCs w:val="18"/>
                <w:lang w:bidi="ar"/>
              </w:rPr>
              <w:t>0.0204</w:t>
            </w: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5.2.2.2</w:t>
      </w:r>
      <w:r>
        <w:rPr>
          <w:rFonts w:cs="Times New Roman" w:hint="default"/>
          <w:iCs/>
        </w:rPr>
        <w:t>营运期水污染源</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kern w:val="0"/>
        </w:rPr>
        <w:t>营运期路（桥）面径流污染物及源强分析</w:t>
      </w:r>
    </w:p>
    <w:p w:rsidR="00A46452" w:rsidRDefault="009A3928">
      <w:pPr>
        <w:wordWrap w:val="0"/>
        <w:topLinePunct/>
        <w:adjustRightInd w:val="0"/>
        <w:snapToGrid w:val="0"/>
        <w:ind w:firstLine="480"/>
        <w:rPr>
          <w:rFonts w:cs="Times New Roman"/>
        </w:rPr>
      </w:pPr>
      <w:r>
        <w:rPr>
          <w:rFonts w:cs="Times New Roman"/>
        </w:rPr>
        <w:t>本工程运行产生的水污染源主要来源于降雨冲刷路面产生的路面径流污水，公路路面径流污染物主要是悬浮物、油及有机物，污染物浓度多受限于多种因素，如车流量、车辆类型、降雨强度、灰尘沉降量和前期干旱时间等，因此具有一定程度的不确定性。</w:t>
      </w:r>
    </w:p>
    <w:p w:rsidR="00A46452" w:rsidRDefault="009A3928">
      <w:pPr>
        <w:wordWrap w:val="0"/>
        <w:topLinePunct/>
        <w:adjustRightInd w:val="0"/>
        <w:snapToGrid w:val="0"/>
        <w:ind w:firstLine="480"/>
        <w:rPr>
          <w:rFonts w:cs="Times New Roman"/>
        </w:rPr>
      </w:pPr>
      <w:r>
        <w:rPr>
          <w:rFonts w:cs="Times New Roman"/>
        </w:rPr>
        <w:t>国内一些公路的监测试验结果也相差较远，长安大学曾用人工降雨的方法在西安至三原公路上形成桥面径流，在车流量和降雨量已知的情况下，降雨历时一小时，降雨强度为</w:t>
      </w:r>
      <w:r>
        <w:rPr>
          <w:rFonts w:cs="Times New Roman"/>
        </w:rPr>
        <w:t>81.6mm</w:t>
      </w:r>
      <w:r>
        <w:rPr>
          <w:rFonts w:cs="Times New Roman"/>
        </w:rPr>
        <w:t>，在一小时内按不同时间采集水样，测定结果见表</w:t>
      </w:r>
      <w:r>
        <w:rPr>
          <w:rFonts w:cs="Times New Roman" w:hint="eastAsia"/>
        </w:rPr>
        <w:t>5</w:t>
      </w:r>
      <w:r>
        <w:rPr>
          <w:rFonts w:cs="Times New Roman"/>
        </w:rPr>
        <w:t>.</w:t>
      </w:r>
      <w:r>
        <w:rPr>
          <w:rFonts w:cs="Times New Roman"/>
        </w:rPr>
        <w:t>2</w:t>
      </w:r>
      <w:r>
        <w:rPr>
          <w:rFonts w:cs="Times New Roman"/>
        </w:rPr>
        <w:t>-1</w:t>
      </w:r>
      <w:r>
        <w:rPr>
          <w:rFonts w:cs="Times New Roman" w:hint="eastAsia"/>
        </w:rPr>
        <w:t>2</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5</w:t>
      </w:r>
      <w:r>
        <w:rPr>
          <w:rFonts w:eastAsia="黑体" w:cs="Times New Roman"/>
        </w:rPr>
        <w:t>.</w:t>
      </w:r>
      <w:r>
        <w:rPr>
          <w:rFonts w:eastAsia="黑体" w:cs="Times New Roman"/>
        </w:rPr>
        <w:t>2</w:t>
      </w:r>
      <w:r>
        <w:rPr>
          <w:rFonts w:eastAsia="黑体" w:cs="Times New Roman"/>
        </w:rPr>
        <w:t>-</w:t>
      </w:r>
      <w:r>
        <w:rPr>
          <w:rFonts w:eastAsia="黑体" w:cs="Times New Roman"/>
        </w:rPr>
        <w:t>12</w:t>
      </w:r>
      <w:r>
        <w:rPr>
          <w:rFonts w:eastAsia="黑体" w:cs="Times New Roman"/>
        </w:rPr>
        <w:t xml:space="preserve">    </w:t>
      </w:r>
      <w:r>
        <w:rPr>
          <w:rFonts w:eastAsia="黑体" w:cs="Times New Roman"/>
        </w:rPr>
        <w:t xml:space="preserve">    </w:t>
      </w:r>
      <w:r>
        <w:rPr>
          <w:rFonts w:eastAsia="黑体" w:cs="Times New Roman"/>
        </w:rPr>
        <w:t>西安至三原公路桥面径流中污染物浓度测定值</w:t>
      </w:r>
    </w:p>
    <w:tbl>
      <w:tblPr>
        <w:tblStyle w:val="affff7"/>
        <w:tblW w:w="5000" w:type="pct"/>
        <w:jc w:val="center"/>
        <w:tblBorders>
          <w:insideH w:val="single" w:sz="6" w:space="0" w:color="auto"/>
          <w:insideV w:val="single" w:sz="6" w:space="0" w:color="auto"/>
        </w:tblBorders>
        <w:tblLook w:val="04A0" w:firstRow="1" w:lastRow="0" w:firstColumn="1" w:lastColumn="0" w:noHBand="0" w:noVBand="1"/>
      </w:tblPr>
      <w:tblGrid>
        <w:gridCol w:w="2173"/>
        <w:gridCol w:w="1881"/>
        <w:gridCol w:w="1751"/>
        <w:gridCol w:w="1621"/>
        <w:gridCol w:w="1090"/>
      </w:tblGrid>
      <w:tr w:rsidR="00A46452">
        <w:trPr>
          <w:jc w:val="center"/>
        </w:trPr>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项目</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5</w:t>
            </w:r>
            <w:r>
              <w:rPr>
                <w:rFonts w:eastAsiaTheme="minorEastAsia" w:cs="Times New Roman"/>
                <w:sz w:val="18"/>
                <w:szCs w:val="18"/>
              </w:rPr>
              <w:t>～</w:t>
            </w:r>
            <w:r>
              <w:rPr>
                <w:rFonts w:eastAsiaTheme="minorEastAsia" w:cs="Times New Roman"/>
                <w:sz w:val="18"/>
                <w:szCs w:val="18"/>
              </w:rPr>
              <w:t>20</w:t>
            </w:r>
            <w:r>
              <w:rPr>
                <w:rFonts w:eastAsiaTheme="minorEastAsia" w:cs="Times New Roman"/>
                <w:sz w:val="18"/>
                <w:szCs w:val="18"/>
              </w:rPr>
              <w:t>min</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20</w:t>
            </w:r>
            <w:r>
              <w:rPr>
                <w:rFonts w:eastAsiaTheme="minorEastAsia" w:cs="Times New Roman"/>
                <w:sz w:val="18"/>
                <w:szCs w:val="18"/>
              </w:rPr>
              <w:t>～</w:t>
            </w:r>
            <w:r>
              <w:rPr>
                <w:rFonts w:eastAsiaTheme="minorEastAsia" w:cs="Times New Roman"/>
                <w:sz w:val="18"/>
                <w:szCs w:val="18"/>
              </w:rPr>
              <w:t>40</w:t>
            </w:r>
            <w:r>
              <w:rPr>
                <w:rFonts w:eastAsiaTheme="minorEastAsia" w:cs="Times New Roman"/>
                <w:sz w:val="18"/>
                <w:szCs w:val="18"/>
              </w:rPr>
              <w:t>min</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40</w:t>
            </w:r>
            <w:r>
              <w:rPr>
                <w:rFonts w:eastAsiaTheme="minorEastAsia" w:cs="Times New Roman"/>
                <w:sz w:val="18"/>
                <w:szCs w:val="18"/>
              </w:rPr>
              <w:t>～</w:t>
            </w:r>
            <w:r>
              <w:rPr>
                <w:rFonts w:eastAsiaTheme="minorEastAsia" w:cs="Times New Roman"/>
                <w:sz w:val="18"/>
                <w:szCs w:val="18"/>
              </w:rPr>
              <w:t>60</w:t>
            </w:r>
            <w:r>
              <w:rPr>
                <w:rFonts w:eastAsiaTheme="minorEastAsia" w:cs="Times New Roman"/>
                <w:sz w:val="18"/>
                <w:szCs w:val="18"/>
              </w:rPr>
              <w:t>min</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平均值</w:t>
            </w:r>
          </w:p>
        </w:tc>
      </w:tr>
      <w:tr w:rsidR="00A46452">
        <w:trPr>
          <w:jc w:val="center"/>
        </w:trPr>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pH</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7.0</w:t>
            </w:r>
            <w:r>
              <w:rPr>
                <w:rFonts w:eastAsiaTheme="minorEastAsia" w:cs="Times New Roman"/>
                <w:sz w:val="18"/>
                <w:szCs w:val="18"/>
              </w:rPr>
              <w:t>~</w:t>
            </w:r>
            <w:r>
              <w:rPr>
                <w:rFonts w:eastAsiaTheme="minorEastAsia" w:cs="Times New Roman"/>
                <w:sz w:val="18"/>
                <w:szCs w:val="18"/>
              </w:rPr>
              <w:t>7.8</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7.0</w:t>
            </w:r>
            <w:r>
              <w:rPr>
                <w:rFonts w:eastAsiaTheme="minorEastAsia" w:cs="Times New Roman"/>
                <w:sz w:val="18"/>
                <w:szCs w:val="18"/>
              </w:rPr>
              <w:t>~</w:t>
            </w:r>
            <w:r>
              <w:rPr>
                <w:rFonts w:eastAsiaTheme="minorEastAsia" w:cs="Times New Roman"/>
                <w:sz w:val="18"/>
                <w:szCs w:val="18"/>
              </w:rPr>
              <w:t>7.8</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7.0</w:t>
            </w:r>
            <w:r>
              <w:rPr>
                <w:rFonts w:eastAsiaTheme="minorEastAsia" w:cs="Times New Roman"/>
                <w:sz w:val="18"/>
                <w:szCs w:val="18"/>
              </w:rPr>
              <w:t>~</w:t>
            </w:r>
            <w:r>
              <w:rPr>
                <w:rFonts w:eastAsiaTheme="minorEastAsia" w:cs="Times New Roman"/>
                <w:sz w:val="18"/>
                <w:szCs w:val="18"/>
              </w:rPr>
              <w:t>7.8</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7.4</w:t>
            </w:r>
          </w:p>
        </w:tc>
      </w:tr>
      <w:tr w:rsidR="00A46452">
        <w:trPr>
          <w:jc w:val="center"/>
        </w:trPr>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SS</w:t>
            </w:r>
            <w:r>
              <w:rPr>
                <w:rFonts w:eastAsiaTheme="minorEastAsia" w:cs="Times New Roman"/>
                <w:sz w:val="18"/>
                <w:szCs w:val="18"/>
              </w:rPr>
              <w:t>（</w:t>
            </w:r>
            <w:r>
              <w:rPr>
                <w:rFonts w:eastAsiaTheme="minorEastAsia" w:cs="Times New Roman"/>
                <w:sz w:val="18"/>
                <w:szCs w:val="18"/>
              </w:rPr>
              <w:t>mg/L</w:t>
            </w:r>
            <w:r>
              <w:rPr>
                <w:rFonts w:eastAsiaTheme="minorEastAsia" w:cs="Times New Roman"/>
                <w:sz w:val="18"/>
                <w:szCs w:val="18"/>
              </w:rPr>
              <w:t>）</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231.42</w:t>
            </w:r>
            <w:r>
              <w:rPr>
                <w:rFonts w:eastAsiaTheme="minorEastAsia" w:cs="Times New Roman"/>
                <w:sz w:val="18"/>
                <w:szCs w:val="18"/>
              </w:rPr>
              <w:t>~</w:t>
            </w:r>
            <w:r>
              <w:rPr>
                <w:rFonts w:eastAsiaTheme="minorEastAsia" w:cs="Times New Roman"/>
                <w:sz w:val="18"/>
                <w:szCs w:val="18"/>
              </w:rPr>
              <w:t>158.22</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158.22</w:t>
            </w:r>
            <w:r>
              <w:rPr>
                <w:rFonts w:eastAsiaTheme="minorEastAsia" w:cs="Times New Roman"/>
                <w:sz w:val="18"/>
                <w:szCs w:val="18"/>
              </w:rPr>
              <w:t>~</w:t>
            </w:r>
            <w:r>
              <w:rPr>
                <w:rFonts w:eastAsiaTheme="minorEastAsia" w:cs="Times New Roman"/>
                <w:sz w:val="18"/>
                <w:szCs w:val="18"/>
              </w:rPr>
              <w:t>90.36</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90.36</w:t>
            </w:r>
            <w:r>
              <w:rPr>
                <w:rFonts w:eastAsiaTheme="minorEastAsia" w:cs="Times New Roman"/>
                <w:sz w:val="18"/>
                <w:szCs w:val="18"/>
              </w:rPr>
              <w:t>~</w:t>
            </w:r>
            <w:r>
              <w:rPr>
                <w:rFonts w:eastAsiaTheme="minorEastAsia" w:cs="Times New Roman"/>
                <w:sz w:val="18"/>
                <w:szCs w:val="18"/>
              </w:rPr>
              <w:t>18.71</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100</w:t>
            </w:r>
          </w:p>
        </w:tc>
      </w:tr>
      <w:tr w:rsidR="00A46452">
        <w:trPr>
          <w:jc w:val="center"/>
        </w:trPr>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BOD</w:t>
            </w:r>
            <w:r>
              <w:rPr>
                <w:rFonts w:eastAsiaTheme="minorEastAsia" w:cs="Times New Roman"/>
                <w:sz w:val="18"/>
                <w:szCs w:val="18"/>
                <w:vertAlign w:val="subscript"/>
              </w:rPr>
              <w:t>5</w:t>
            </w:r>
            <w:r>
              <w:rPr>
                <w:rFonts w:eastAsiaTheme="minorEastAsia" w:cs="Times New Roman"/>
                <w:sz w:val="18"/>
                <w:szCs w:val="18"/>
              </w:rPr>
              <w:t>（</w:t>
            </w:r>
            <w:r>
              <w:rPr>
                <w:rFonts w:eastAsiaTheme="minorEastAsia" w:cs="Times New Roman"/>
                <w:sz w:val="18"/>
                <w:szCs w:val="18"/>
              </w:rPr>
              <w:t>mg/L</w:t>
            </w:r>
            <w:r>
              <w:rPr>
                <w:rFonts w:eastAsiaTheme="minorEastAsia" w:cs="Times New Roman"/>
                <w:sz w:val="18"/>
                <w:szCs w:val="18"/>
              </w:rPr>
              <w:t>）</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7.34</w:t>
            </w:r>
            <w:r>
              <w:rPr>
                <w:rFonts w:eastAsiaTheme="minorEastAsia" w:cs="Times New Roman"/>
                <w:sz w:val="18"/>
                <w:szCs w:val="18"/>
              </w:rPr>
              <w:t>~</w:t>
            </w:r>
            <w:r>
              <w:rPr>
                <w:rFonts w:eastAsiaTheme="minorEastAsia" w:cs="Times New Roman"/>
                <w:sz w:val="18"/>
                <w:szCs w:val="18"/>
              </w:rPr>
              <w:t>7.30</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7.30</w:t>
            </w:r>
            <w:r>
              <w:rPr>
                <w:rFonts w:eastAsiaTheme="minorEastAsia" w:cs="Times New Roman"/>
                <w:sz w:val="18"/>
                <w:szCs w:val="18"/>
              </w:rPr>
              <w:t>~</w:t>
            </w:r>
            <w:r>
              <w:rPr>
                <w:rFonts w:eastAsiaTheme="minorEastAsia" w:cs="Times New Roman"/>
                <w:sz w:val="18"/>
                <w:szCs w:val="18"/>
              </w:rPr>
              <w:t>4.15</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4.15</w:t>
            </w:r>
            <w:r>
              <w:rPr>
                <w:rFonts w:eastAsiaTheme="minorEastAsia" w:cs="Times New Roman"/>
                <w:sz w:val="18"/>
                <w:szCs w:val="18"/>
              </w:rPr>
              <w:t>~</w:t>
            </w:r>
            <w:r>
              <w:rPr>
                <w:rFonts w:eastAsiaTheme="minorEastAsia" w:cs="Times New Roman"/>
                <w:sz w:val="18"/>
                <w:szCs w:val="18"/>
              </w:rPr>
              <w:t>1.26</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5.08</w:t>
            </w:r>
          </w:p>
        </w:tc>
      </w:tr>
      <w:tr w:rsidR="00A46452">
        <w:trPr>
          <w:jc w:val="center"/>
        </w:trPr>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石油类（</w:t>
            </w:r>
            <w:r>
              <w:rPr>
                <w:rFonts w:eastAsiaTheme="minorEastAsia" w:cs="Times New Roman"/>
                <w:sz w:val="18"/>
                <w:szCs w:val="18"/>
              </w:rPr>
              <w:t>mg/L</w:t>
            </w:r>
            <w:r>
              <w:rPr>
                <w:rFonts w:eastAsiaTheme="minorEastAsia" w:cs="Times New Roman"/>
                <w:sz w:val="18"/>
                <w:szCs w:val="18"/>
              </w:rPr>
              <w:t>）</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22.30</w:t>
            </w:r>
            <w:r>
              <w:rPr>
                <w:rFonts w:eastAsiaTheme="minorEastAsia" w:cs="Times New Roman"/>
                <w:sz w:val="18"/>
                <w:szCs w:val="18"/>
              </w:rPr>
              <w:t>~</w:t>
            </w:r>
            <w:r>
              <w:rPr>
                <w:rFonts w:eastAsiaTheme="minorEastAsia" w:cs="Times New Roman"/>
                <w:sz w:val="18"/>
                <w:szCs w:val="18"/>
              </w:rPr>
              <w:t>19.74</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19.74</w:t>
            </w:r>
            <w:r>
              <w:rPr>
                <w:rFonts w:eastAsiaTheme="minorEastAsia" w:cs="Times New Roman"/>
                <w:sz w:val="18"/>
                <w:szCs w:val="18"/>
              </w:rPr>
              <w:t>~</w:t>
            </w:r>
            <w:r>
              <w:rPr>
                <w:rFonts w:eastAsiaTheme="minorEastAsia" w:cs="Times New Roman"/>
                <w:sz w:val="18"/>
                <w:szCs w:val="18"/>
              </w:rPr>
              <w:t>3.12</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3.12</w:t>
            </w:r>
            <w:r>
              <w:rPr>
                <w:rFonts w:eastAsiaTheme="minorEastAsia" w:cs="Times New Roman"/>
                <w:sz w:val="18"/>
                <w:szCs w:val="18"/>
              </w:rPr>
              <w:t>~</w:t>
            </w:r>
            <w:r>
              <w:rPr>
                <w:rFonts w:eastAsiaTheme="minorEastAsia" w:cs="Times New Roman"/>
                <w:sz w:val="18"/>
                <w:szCs w:val="18"/>
              </w:rPr>
              <w:t>0.21</w:t>
            </w:r>
          </w:p>
        </w:tc>
        <w:tc>
          <w:tcPr>
            <w:tcW w:w="0" w:type="auto"/>
            <w:vAlign w:val="bottom"/>
          </w:tcPr>
          <w:p w:rsidR="00A46452" w:rsidRDefault="009A3928">
            <w:pPr>
              <w:wordWrap w:val="0"/>
              <w:topLinePunct/>
              <w:adjustRightInd w:val="0"/>
              <w:snapToGrid w:val="0"/>
              <w:ind w:firstLineChars="0" w:firstLine="0"/>
              <w:jc w:val="center"/>
              <w:rPr>
                <w:rFonts w:eastAsiaTheme="minorEastAsia" w:cs="Times New Roman"/>
                <w:sz w:val="18"/>
                <w:szCs w:val="18"/>
              </w:rPr>
            </w:pPr>
            <w:r>
              <w:rPr>
                <w:rFonts w:eastAsiaTheme="minorEastAsia" w:cs="Times New Roman"/>
                <w:sz w:val="18"/>
                <w:szCs w:val="18"/>
              </w:rPr>
              <w:t>11.25</w:t>
            </w:r>
          </w:p>
        </w:tc>
      </w:tr>
    </w:tbl>
    <w:p w:rsidR="00A46452" w:rsidRDefault="009A3928">
      <w:pPr>
        <w:wordWrap w:val="0"/>
        <w:topLinePunct/>
        <w:adjustRightInd w:val="0"/>
        <w:snapToGrid w:val="0"/>
        <w:ind w:firstLine="480"/>
        <w:rPr>
          <w:rFonts w:cs="Times New Roman"/>
        </w:rPr>
      </w:pPr>
      <w:r>
        <w:rPr>
          <w:rFonts w:cs="Times New Roman"/>
        </w:rPr>
        <w:t>由表</w:t>
      </w:r>
      <w:r>
        <w:rPr>
          <w:rFonts w:cs="Times New Roman"/>
        </w:rPr>
        <w:t>5</w:t>
      </w:r>
      <w:r>
        <w:rPr>
          <w:rFonts w:cs="Times New Roman"/>
        </w:rPr>
        <w:t>.</w:t>
      </w:r>
      <w:r>
        <w:rPr>
          <w:rFonts w:cs="Times New Roman"/>
        </w:rPr>
        <w:t>2</w:t>
      </w:r>
      <w:r>
        <w:rPr>
          <w:rFonts w:cs="Times New Roman"/>
        </w:rPr>
        <w:t>-1</w:t>
      </w:r>
      <w:r>
        <w:rPr>
          <w:rFonts w:cs="Times New Roman"/>
        </w:rPr>
        <w:t>2</w:t>
      </w:r>
      <w:r>
        <w:rPr>
          <w:rFonts w:cs="Times New Roman"/>
        </w:rPr>
        <w:t>测定结果可知，降雨对公路附近河流造成的影响主要是降雨初期</w:t>
      </w:r>
      <w:r>
        <w:rPr>
          <w:rFonts w:cs="Times New Roman"/>
        </w:rPr>
        <w:t>1h</w:t>
      </w:r>
      <w:r>
        <w:rPr>
          <w:rFonts w:cs="Times New Roman"/>
        </w:rPr>
        <w:t>内形成的路面径流。降雨初期到形成桥面径流的</w:t>
      </w:r>
      <w:r>
        <w:rPr>
          <w:rFonts w:cs="Times New Roman"/>
        </w:rPr>
        <w:t>30min</w:t>
      </w:r>
      <w:r>
        <w:rPr>
          <w:rFonts w:cs="Times New Roman"/>
        </w:rPr>
        <w:t>内，雨水中的悬浮物和石油类物质的浓度比较高，</w:t>
      </w:r>
      <w:r>
        <w:rPr>
          <w:rFonts w:cs="Times New Roman"/>
        </w:rPr>
        <w:t>30min</w:t>
      </w:r>
      <w:r>
        <w:rPr>
          <w:rFonts w:cs="Times New Roman"/>
        </w:rPr>
        <w:t>以后其浓度随降雨历时的延长下降较快，雨水中</w:t>
      </w:r>
      <w:r>
        <w:rPr>
          <w:rFonts w:cs="Times New Roman"/>
        </w:rPr>
        <w:t>BOD</w:t>
      </w:r>
      <w:r>
        <w:rPr>
          <w:rFonts w:cs="Times New Roman"/>
          <w:vertAlign w:val="subscript"/>
        </w:rPr>
        <w:t>5</w:t>
      </w:r>
      <w:r>
        <w:rPr>
          <w:rFonts w:cs="Times New Roman"/>
        </w:rPr>
        <w:t>随降雨历时的延长下降速度稍慢，</w:t>
      </w:r>
      <w:r>
        <w:rPr>
          <w:rFonts w:cs="Times New Roman"/>
        </w:rPr>
        <w:t>pH</w:t>
      </w:r>
      <w:r>
        <w:rPr>
          <w:rFonts w:cs="Times New Roman"/>
        </w:rPr>
        <w:t>值相对较稳定，</w:t>
      </w:r>
      <w:r>
        <w:rPr>
          <w:rFonts w:cs="Times New Roman"/>
        </w:rPr>
        <w:t>40min</w:t>
      </w:r>
      <w:r>
        <w:rPr>
          <w:rFonts w:cs="Times New Roman"/>
        </w:rPr>
        <w:t>以后桥面基本被冲洗干净。所以，降雨对公路附近河流造成影响的主要是降雨初期</w:t>
      </w:r>
      <w:r>
        <w:rPr>
          <w:rFonts w:cs="Times New Roman"/>
        </w:rPr>
        <w:t>1h</w:t>
      </w:r>
      <w:r>
        <w:rPr>
          <w:rFonts w:cs="Times New Roman"/>
        </w:rPr>
        <w:t>内形成的路面径流。</w:t>
      </w:r>
    </w:p>
    <w:p w:rsidR="00A46452" w:rsidRDefault="009A3928">
      <w:pPr>
        <w:wordWrap w:val="0"/>
        <w:topLinePunct/>
        <w:adjustRightInd w:val="0"/>
        <w:snapToGrid w:val="0"/>
        <w:ind w:firstLine="480"/>
        <w:rPr>
          <w:rFonts w:cs="Times New Roman"/>
        </w:rPr>
      </w:pPr>
      <w:r>
        <w:rPr>
          <w:rFonts w:cs="Times New Roman"/>
        </w:rPr>
        <w:t>基于</w:t>
      </w:r>
      <w:r>
        <w:rPr>
          <w:rFonts w:cs="Times New Roman"/>
        </w:rPr>
        <w:t>第三师图木舒克市、喀什地区巴楚县、阿克苏柯坪县</w:t>
      </w:r>
      <w:r>
        <w:rPr>
          <w:rFonts w:cs="Times New Roman"/>
        </w:rPr>
        <w:t>和西安市的降雨强度不同（根据阿克苏地区气象观测站统计数据，多年平均降雨量</w:t>
      </w:r>
      <w:r>
        <w:rPr>
          <w:rFonts w:cs="Times New Roman"/>
        </w:rPr>
        <w:t>56mm</w:t>
      </w:r>
      <w:r>
        <w:rPr>
          <w:rFonts w:cs="Times New Roman"/>
        </w:rPr>
        <w:t>，西安市</w:t>
      </w:r>
      <w:r>
        <w:rPr>
          <w:rFonts w:cs="Times New Roman"/>
        </w:rPr>
        <w:t>572mm</w:t>
      </w:r>
      <w:r>
        <w:rPr>
          <w:rFonts w:cs="Times New Roman"/>
        </w:rPr>
        <w:t>），所以本项目公路桥面径流中污染物浓度和表</w:t>
      </w:r>
      <w:r>
        <w:rPr>
          <w:rFonts w:cs="Times New Roman"/>
        </w:rPr>
        <w:t>5</w:t>
      </w:r>
      <w:r>
        <w:rPr>
          <w:rFonts w:cs="Times New Roman"/>
        </w:rPr>
        <w:t>.</w:t>
      </w:r>
      <w:r>
        <w:rPr>
          <w:rFonts w:cs="Times New Roman"/>
        </w:rPr>
        <w:t>2</w:t>
      </w:r>
      <w:r>
        <w:rPr>
          <w:rFonts w:cs="Times New Roman"/>
        </w:rPr>
        <w:t>-1</w:t>
      </w:r>
      <w:r>
        <w:rPr>
          <w:rFonts w:cs="Times New Roman"/>
        </w:rPr>
        <w:t>2</w:t>
      </w:r>
      <w:r>
        <w:rPr>
          <w:rFonts w:cs="Times New Roman"/>
        </w:rPr>
        <w:t>中的数据会有所不同，但是降雨对公路两侧土壤造成的影响仍然主要是降雨初期</w:t>
      </w:r>
      <w:r>
        <w:rPr>
          <w:rFonts w:cs="Times New Roman"/>
        </w:rPr>
        <w:t>1h</w:t>
      </w:r>
      <w:r>
        <w:rPr>
          <w:rFonts w:cs="Times New Roman"/>
        </w:rPr>
        <w:t>左右形成的路面径流，各污染因子浓度变化的规律也是基本一致的。</w:t>
      </w:r>
    </w:p>
    <w:p w:rsidR="00A46452" w:rsidRDefault="009A3928">
      <w:pPr>
        <w:wordWrap w:val="0"/>
        <w:topLinePunct/>
        <w:adjustRightInd w:val="0"/>
        <w:snapToGrid w:val="0"/>
        <w:ind w:firstLine="480"/>
        <w:rPr>
          <w:rFonts w:cs="Times New Roman"/>
        </w:rPr>
      </w:pPr>
      <w:r>
        <w:rPr>
          <w:rFonts w:cs="Times New Roman"/>
        </w:rPr>
        <w:t>根据项目区的实际情况，项目建设区域是一个气候干旱、多风少雨的地区，多年平均降水量低，因此，降雨冲刷路面产生的路面径流污水几乎可以忽略不计。</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w:t>
      </w:r>
      <w:r>
        <w:rPr>
          <w:rFonts w:cs="Times New Roman"/>
          <w:kern w:val="0"/>
        </w:rPr>
        <w:t>营运期沿线设施生活污水源强</w:t>
      </w:r>
    </w:p>
    <w:p w:rsidR="00A46452" w:rsidRDefault="009A3928">
      <w:pPr>
        <w:wordWrap w:val="0"/>
        <w:topLinePunct/>
        <w:adjustRightInd w:val="0"/>
        <w:snapToGrid w:val="0"/>
        <w:ind w:firstLine="480"/>
        <w:rPr>
          <w:rFonts w:cs="Times New Roman"/>
          <w:kern w:val="0"/>
        </w:rPr>
      </w:pPr>
      <w:r>
        <w:rPr>
          <w:rFonts w:cs="Times New Roman"/>
          <w:kern w:val="0"/>
        </w:rPr>
        <w:t>本项目设服务区</w:t>
      </w:r>
      <w:r>
        <w:rPr>
          <w:rFonts w:cs="Times New Roman"/>
          <w:kern w:val="0"/>
        </w:rPr>
        <w:t>2</w:t>
      </w:r>
      <w:r>
        <w:rPr>
          <w:rFonts w:cs="Times New Roman"/>
          <w:kern w:val="0"/>
        </w:rPr>
        <w:t>处、停车区</w:t>
      </w:r>
      <w:r>
        <w:rPr>
          <w:rFonts w:cs="Times New Roman"/>
          <w:kern w:val="0"/>
        </w:rPr>
        <w:t>3</w:t>
      </w:r>
      <w:r>
        <w:rPr>
          <w:rFonts w:cs="Times New Roman"/>
          <w:kern w:val="0"/>
        </w:rPr>
        <w:t>处</w:t>
      </w:r>
      <w:r>
        <w:rPr>
          <w:rFonts w:cs="Times New Roman"/>
          <w:kern w:val="0"/>
        </w:rPr>
        <w:t>、</w:t>
      </w:r>
      <w:r>
        <w:rPr>
          <w:rFonts w:cs="Times New Roman"/>
          <w:kern w:val="0"/>
        </w:rPr>
        <w:t>治超站</w:t>
      </w:r>
      <w:r>
        <w:rPr>
          <w:rFonts w:cs="Times New Roman"/>
          <w:kern w:val="0"/>
        </w:rPr>
        <w:t>1</w:t>
      </w:r>
      <w:r>
        <w:rPr>
          <w:rFonts w:cs="Times New Roman"/>
          <w:kern w:val="0"/>
        </w:rPr>
        <w:t>处</w:t>
      </w:r>
      <w:r>
        <w:rPr>
          <w:rFonts w:cs="Times New Roman"/>
          <w:kern w:val="0"/>
        </w:rPr>
        <w:t>。</w:t>
      </w:r>
      <w:r>
        <w:rPr>
          <w:rFonts w:cs="Times New Roman"/>
          <w:kern w:val="0"/>
        </w:rPr>
        <w:t>服务设施生活污水的主要污染因子为</w:t>
      </w:r>
      <w:r>
        <w:rPr>
          <w:rFonts w:cs="Times New Roman"/>
          <w:kern w:val="0"/>
        </w:rPr>
        <w:t>COD</w:t>
      </w:r>
      <w:r>
        <w:rPr>
          <w:rFonts w:cs="Times New Roman"/>
          <w:kern w:val="0"/>
        </w:rPr>
        <w:t>、</w:t>
      </w:r>
      <w:r>
        <w:rPr>
          <w:rFonts w:cs="Times New Roman"/>
          <w:kern w:val="0"/>
        </w:rPr>
        <w:t>BOD</w:t>
      </w:r>
      <w:r>
        <w:rPr>
          <w:rFonts w:cs="Times New Roman"/>
          <w:kern w:val="0"/>
          <w:vertAlign w:val="subscript"/>
        </w:rPr>
        <w:t>5</w:t>
      </w:r>
      <w:r>
        <w:rPr>
          <w:rFonts w:cs="Times New Roman"/>
          <w:kern w:val="0"/>
        </w:rPr>
        <w:t>、动植物油和氨氮。《环境影响评价技术导则</w:t>
      </w:r>
      <w:r>
        <w:rPr>
          <w:rFonts w:cs="Times New Roman"/>
          <w:kern w:val="0"/>
        </w:rPr>
        <w:t xml:space="preserve"> </w:t>
      </w:r>
      <w:r>
        <w:rPr>
          <w:rFonts w:cs="Times New Roman"/>
          <w:kern w:val="0"/>
        </w:rPr>
        <w:t>公路建设项目》（</w:t>
      </w:r>
      <w:r>
        <w:rPr>
          <w:rFonts w:cs="Times New Roman"/>
          <w:kern w:val="0"/>
        </w:rPr>
        <w:t>HJ1358-2024</w:t>
      </w:r>
      <w:r>
        <w:rPr>
          <w:rFonts w:cs="Times New Roman"/>
          <w:kern w:val="0"/>
        </w:rPr>
        <w:t>）</w:t>
      </w:r>
      <w:r>
        <w:rPr>
          <w:rFonts w:cs="Times New Roman"/>
          <w:kern w:val="0"/>
        </w:rPr>
        <w:t>附录</w:t>
      </w:r>
      <w:r>
        <w:rPr>
          <w:rFonts w:cs="Times New Roman"/>
          <w:kern w:val="0"/>
        </w:rPr>
        <w:t>E</w:t>
      </w:r>
      <w:r>
        <w:rPr>
          <w:rFonts w:cs="Times New Roman"/>
          <w:kern w:val="0"/>
        </w:rPr>
        <w:t>，服务设施未经处理的生活污水污染物成分及其浓度详见表</w:t>
      </w:r>
      <w:r>
        <w:rPr>
          <w:rFonts w:cs="Times New Roman"/>
          <w:kern w:val="0"/>
        </w:rPr>
        <w:t>5</w:t>
      </w:r>
      <w:r>
        <w:rPr>
          <w:rFonts w:cs="Times New Roman"/>
          <w:kern w:val="0"/>
        </w:rPr>
        <w:t>.</w:t>
      </w:r>
      <w:r>
        <w:rPr>
          <w:rFonts w:cs="Times New Roman"/>
          <w:kern w:val="0"/>
        </w:rPr>
        <w:t>2</w:t>
      </w:r>
      <w:r>
        <w:rPr>
          <w:rFonts w:cs="Times New Roman"/>
          <w:kern w:val="0"/>
        </w:rPr>
        <w:t>-</w:t>
      </w:r>
      <w:r>
        <w:rPr>
          <w:rFonts w:cs="Times New Roman"/>
          <w:kern w:val="0"/>
        </w:rPr>
        <w:t>13</w:t>
      </w:r>
      <w:r>
        <w:rPr>
          <w:rFonts w:cs="Times New Roman"/>
          <w:kern w:val="0"/>
        </w:rPr>
        <w:t>。</w:t>
      </w:r>
    </w:p>
    <w:p w:rsidR="00A46452" w:rsidRDefault="009A3928">
      <w:pPr>
        <w:wordWrap w:val="0"/>
        <w:topLinePunct/>
        <w:adjustRightInd w:val="0"/>
        <w:snapToGrid w:val="0"/>
        <w:ind w:firstLine="480"/>
        <w:rPr>
          <w:rFonts w:cs="Times New Roman"/>
          <w:kern w:val="0"/>
        </w:rPr>
      </w:pPr>
      <w:r>
        <w:rPr>
          <w:rFonts w:cs="Times New Roman"/>
          <w:kern w:val="0"/>
        </w:rPr>
        <w:t>根据《环境影响评价技术导则</w:t>
      </w:r>
      <w:r>
        <w:rPr>
          <w:rFonts w:cs="Times New Roman"/>
          <w:kern w:val="0"/>
        </w:rPr>
        <w:t xml:space="preserve"> </w:t>
      </w:r>
      <w:r>
        <w:rPr>
          <w:rFonts w:cs="Times New Roman"/>
          <w:kern w:val="0"/>
        </w:rPr>
        <w:t>公路建设项目》（</w:t>
      </w:r>
      <w:r>
        <w:rPr>
          <w:rFonts w:cs="Times New Roman"/>
          <w:kern w:val="0"/>
        </w:rPr>
        <w:t>HJ1358-2024</w:t>
      </w:r>
      <w:r>
        <w:rPr>
          <w:rFonts w:cs="Times New Roman"/>
          <w:kern w:val="0"/>
        </w:rPr>
        <w:t>）</w:t>
      </w:r>
      <w:r>
        <w:rPr>
          <w:rFonts w:cs="Times New Roman"/>
          <w:kern w:val="0"/>
        </w:rPr>
        <w:t>附录</w:t>
      </w:r>
      <w:r>
        <w:rPr>
          <w:rFonts w:cs="Times New Roman"/>
          <w:kern w:val="0"/>
        </w:rPr>
        <w:t>E</w:t>
      </w:r>
      <w:r>
        <w:rPr>
          <w:rFonts w:cs="Times New Roman"/>
          <w:kern w:val="0"/>
        </w:rPr>
        <w:t>，参考公路沿线设施生活污水量定额，本项目服务区</w:t>
      </w:r>
      <w:r>
        <w:rPr>
          <w:rFonts w:cs="Times New Roman"/>
          <w:kern w:val="0"/>
        </w:rPr>
        <w:t>及治超站</w:t>
      </w:r>
      <w:r>
        <w:rPr>
          <w:rFonts w:cs="Times New Roman"/>
          <w:kern w:val="0"/>
        </w:rPr>
        <w:t>工作人员生活污水量取</w:t>
      </w:r>
      <w:r>
        <w:rPr>
          <w:rFonts w:cs="Times New Roman"/>
          <w:kern w:val="0"/>
        </w:rPr>
        <w:t>100L/</w:t>
      </w:r>
      <w:r>
        <w:rPr>
          <w:rFonts w:cs="Times New Roman"/>
          <w:kern w:val="0"/>
        </w:rPr>
        <w:t>（人</w:t>
      </w:r>
      <w:r>
        <w:rPr>
          <w:rFonts w:cs="Times New Roman"/>
          <w:kern w:val="0"/>
        </w:rPr>
        <w:t>d</w:t>
      </w:r>
      <w:r>
        <w:rPr>
          <w:rFonts w:cs="Times New Roman"/>
          <w:kern w:val="0"/>
        </w:rPr>
        <w:t>）、服务区就餐人员生活污水量取</w:t>
      </w:r>
      <w:r>
        <w:rPr>
          <w:rFonts w:cs="Times New Roman"/>
          <w:kern w:val="0"/>
        </w:rPr>
        <w:t>10L/</w:t>
      </w:r>
      <w:r>
        <w:rPr>
          <w:rFonts w:cs="Times New Roman"/>
          <w:kern w:val="0"/>
        </w:rPr>
        <w:t>（人</w:t>
      </w:r>
      <w:r>
        <w:rPr>
          <w:rFonts w:cs="Times New Roman"/>
          <w:kern w:val="0"/>
        </w:rPr>
        <w:t>d</w:t>
      </w:r>
      <w:r>
        <w:rPr>
          <w:rFonts w:cs="Times New Roman"/>
          <w:kern w:val="0"/>
        </w:rPr>
        <w:t>）、服务区及停车区过往人员冲洗厕所污水量取</w:t>
      </w:r>
      <w:r>
        <w:rPr>
          <w:rFonts w:cs="Times New Roman"/>
          <w:kern w:val="0"/>
        </w:rPr>
        <w:t>10L/</w:t>
      </w:r>
      <w:r>
        <w:rPr>
          <w:rFonts w:cs="Times New Roman"/>
          <w:kern w:val="0"/>
        </w:rPr>
        <w:t>（人</w:t>
      </w:r>
      <w:r>
        <w:rPr>
          <w:rFonts w:cs="Times New Roman"/>
          <w:kern w:val="0"/>
        </w:rPr>
        <w:t>d</w:t>
      </w:r>
      <w:r>
        <w:rPr>
          <w:rFonts w:cs="Times New Roman"/>
          <w:kern w:val="0"/>
        </w:rPr>
        <w:t>）。估算沿线服务设施生活污水发生量情况见表</w:t>
      </w:r>
      <w:r>
        <w:rPr>
          <w:rFonts w:cs="Times New Roman"/>
          <w:kern w:val="0"/>
        </w:rPr>
        <w:t>5</w:t>
      </w:r>
      <w:r>
        <w:rPr>
          <w:rFonts w:cs="Times New Roman"/>
          <w:kern w:val="0"/>
        </w:rPr>
        <w:t>.</w:t>
      </w:r>
      <w:r>
        <w:rPr>
          <w:rFonts w:cs="Times New Roman"/>
          <w:kern w:val="0"/>
        </w:rPr>
        <w:t>2</w:t>
      </w:r>
      <w:r>
        <w:rPr>
          <w:rFonts w:cs="Times New Roman"/>
          <w:kern w:val="0"/>
        </w:rPr>
        <w:t>-1</w:t>
      </w:r>
      <w:r>
        <w:rPr>
          <w:rFonts w:cs="Times New Roman"/>
          <w:kern w:val="0"/>
        </w:rPr>
        <w:t>4</w:t>
      </w:r>
      <w:r>
        <w:rPr>
          <w:rFonts w:cs="Times New Roman"/>
          <w:kern w:val="0"/>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5</w:t>
      </w:r>
      <w:r>
        <w:rPr>
          <w:rFonts w:eastAsia="黑体" w:cs="Times New Roman"/>
        </w:rPr>
        <w:t>.</w:t>
      </w:r>
      <w:r>
        <w:rPr>
          <w:rFonts w:eastAsia="黑体" w:cs="Times New Roman"/>
        </w:rPr>
        <w:t>2</w:t>
      </w:r>
      <w:r>
        <w:rPr>
          <w:rFonts w:eastAsia="黑体" w:cs="Times New Roman"/>
        </w:rPr>
        <w:t>-1</w:t>
      </w:r>
      <w:r>
        <w:rPr>
          <w:rFonts w:eastAsia="黑体" w:cs="Times New Roman"/>
        </w:rPr>
        <w:t>3</w:t>
      </w:r>
      <w:r>
        <w:rPr>
          <w:rFonts w:eastAsia="黑体" w:cs="Times New Roman"/>
        </w:rPr>
        <w:t xml:space="preserve">   </w:t>
      </w:r>
      <w:r>
        <w:rPr>
          <w:rFonts w:eastAsia="黑体" w:cs="Times New Roman"/>
        </w:rPr>
        <w:t xml:space="preserve">       </w:t>
      </w:r>
      <w:r>
        <w:rPr>
          <w:rFonts w:eastAsia="黑体" w:cs="Times New Roman"/>
        </w:rPr>
        <w:t>本项目设施处理前的生活污水浓度</w:t>
      </w:r>
      <w:r>
        <w:rPr>
          <w:rFonts w:eastAsia="黑体" w:cs="Times New Roman"/>
        </w:rPr>
        <w:t xml:space="preserve">   </w:t>
      </w:r>
      <w:r>
        <w:rPr>
          <w:rFonts w:eastAsia="黑体" w:cs="Times New Roman"/>
        </w:rPr>
        <w:t xml:space="preserve">   </w:t>
      </w:r>
      <w:r>
        <w:rPr>
          <w:rFonts w:eastAsia="黑体" w:cs="Times New Roman"/>
        </w:rPr>
        <w:t>单位：</w:t>
      </w:r>
      <w:r>
        <w:rPr>
          <w:rFonts w:eastAsia="黑体" w:cs="Times New Roman"/>
        </w:rPr>
        <w:t>mg/L</w:t>
      </w:r>
    </w:p>
    <w:tbl>
      <w:tblPr>
        <w:tblStyle w:val="66"/>
        <w:tblW w:w="498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62"/>
        <w:gridCol w:w="1065"/>
        <w:gridCol w:w="1064"/>
        <w:gridCol w:w="1064"/>
        <w:gridCol w:w="1064"/>
        <w:gridCol w:w="1064"/>
        <w:gridCol w:w="1064"/>
        <w:gridCol w:w="1037"/>
      </w:tblGrid>
      <w:tr w:rsidR="00A46452">
        <w:tc>
          <w:tcPr>
            <w:tcW w:w="625" w:type="pct"/>
            <w:tcBorders>
              <w:tl2br w:val="single" w:sz="4" w:space="0" w:color="auto"/>
            </w:tcBorders>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 xml:space="preserve">     </w:t>
            </w:r>
            <w:r>
              <w:rPr>
                <w:rFonts w:eastAsiaTheme="minorEastAsia" w:cs="Times New Roman"/>
                <w:sz w:val="18"/>
                <w:szCs w:val="18"/>
              </w:rPr>
              <w:t>指标</w:t>
            </w:r>
          </w:p>
          <w:p w:rsidR="00A46452" w:rsidRDefault="009A3928">
            <w:pPr>
              <w:wordWrap w:val="0"/>
              <w:topLinePunct/>
              <w:adjustRightInd w:val="0"/>
              <w:snapToGrid w:val="0"/>
              <w:spacing w:line="240" w:lineRule="atLeast"/>
              <w:ind w:firstLineChars="0" w:firstLine="0"/>
              <w:rPr>
                <w:rFonts w:eastAsiaTheme="minorEastAsia" w:cs="Times New Roman"/>
                <w:sz w:val="18"/>
                <w:szCs w:val="18"/>
              </w:rPr>
            </w:pPr>
            <w:r>
              <w:rPr>
                <w:rFonts w:eastAsiaTheme="minorEastAsia" w:cs="Times New Roman"/>
                <w:sz w:val="18"/>
                <w:szCs w:val="18"/>
              </w:rPr>
              <w:t>设施</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pH</w:t>
            </w:r>
          </w:p>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（无纲量）</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BOD</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COD</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氨氮</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SS</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石油类</w:t>
            </w:r>
          </w:p>
        </w:tc>
        <w:tc>
          <w:tcPr>
            <w:tcW w:w="611"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动植物油</w:t>
            </w:r>
          </w:p>
        </w:tc>
      </w:tr>
      <w:tr w:rsidR="00A46452">
        <w:trPr>
          <w:trHeight w:val="470"/>
        </w:trPr>
        <w:tc>
          <w:tcPr>
            <w:tcW w:w="625"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服务区</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6.5-9.0</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400-650</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800-1200</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40-140</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500-600</w:t>
            </w:r>
          </w:p>
        </w:tc>
        <w:tc>
          <w:tcPr>
            <w:tcW w:w="627"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2-10</w:t>
            </w:r>
          </w:p>
        </w:tc>
        <w:tc>
          <w:tcPr>
            <w:tcW w:w="611" w:type="pct"/>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15-40</w:t>
            </w:r>
          </w:p>
        </w:tc>
      </w:tr>
    </w:tbl>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5</w:t>
      </w:r>
      <w:r>
        <w:rPr>
          <w:rFonts w:eastAsia="黑体" w:cs="Times New Roman"/>
        </w:rPr>
        <w:t>.</w:t>
      </w:r>
      <w:r>
        <w:rPr>
          <w:rFonts w:eastAsia="黑体" w:cs="Times New Roman"/>
        </w:rPr>
        <w:t>2</w:t>
      </w:r>
      <w:r>
        <w:rPr>
          <w:rFonts w:eastAsia="黑体" w:cs="Times New Roman"/>
        </w:rPr>
        <w:t>-1</w:t>
      </w:r>
      <w:r>
        <w:rPr>
          <w:rFonts w:eastAsia="黑体" w:cs="Times New Roman"/>
        </w:rPr>
        <w:t>4</w:t>
      </w:r>
      <w:r>
        <w:rPr>
          <w:rFonts w:eastAsia="黑体" w:cs="Times New Roman"/>
        </w:rPr>
        <w:t xml:space="preserve">    </w:t>
      </w:r>
      <w:r>
        <w:rPr>
          <w:rFonts w:eastAsia="黑体" w:cs="Times New Roman"/>
        </w:rPr>
        <w:t xml:space="preserve">  </w:t>
      </w:r>
      <w:r>
        <w:rPr>
          <w:rFonts w:eastAsia="黑体" w:cs="Times New Roman"/>
        </w:rPr>
        <w:t>项目沿线服务设施营运期生活污水产生量一览表</w:t>
      </w:r>
    </w:p>
    <w:tbl>
      <w:tblPr>
        <w:tblStyle w:val="6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3"/>
        <w:gridCol w:w="1313"/>
        <w:gridCol w:w="1677"/>
        <w:gridCol w:w="1261"/>
        <w:gridCol w:w="1801"/>
        <w:gridCol w:w="1801"/>
      </w:tblGrid>
      <w:tr w:rsidR="00A46452">
        <w:trPr>
          <w:trHeight w:val="450"/>
        </w:trPr>
        <w:tc>
          <w:tcPr>
            <w:tcW w:w="664"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序号</w:t>
            </w:r>
          </w:p>
        </w:tc>
        <w:tc>
          <w:tcPr>
            <w:tcW w:w="1314"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工程名称</w:t>
            </w:r>
          </w:p>
        </w:tc>
        <w:tc>
          <w:tcPr>
            <w:tcW w:w="1678"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设置位置</w:t>
            </w:r>
          </w:p>
        </w:tc>
        <w:tc>
          <w:tcPr>
            <w:tcW w:w="1262"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工作人员</w:t>
            </w:r>
          </w:p>
        </w:tc>
        <w:tc>
          <w:tcPr>
            <w:tcW w:w="1802"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停留人员</w:t>
            </w:r>
          </w:p>
        </w:tc>
        <w:tc>
          <w:tcPr>
            <w:tcW w:w="1802"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污水量（</w:t>
            </w:r>
            <w:r>
              <w:rPr>
                <w:rFonts w:eastAsiaTheme="minorEastAsia" w:cs="Times New Roman"/>
                <w:sz w:val="18"/>
                <w:szCs w:val="18"/>
              </w:rPr>
              <w:t>m</w:t>
            </w:r>
            <w:r>
              <w:rPr>
                <w:rFonts w:eastAsiaTheme="minorEastAsia" w:cs="Times New Roman"/>
                <w:sz w:val="18"/>
                <w:szCs w:val="18"/>
                <w:vertAlign w:val="superscript"/>
              </w:rPr>
              <w:t>3</w:t>
            </w:r>
            <w:r>
              <w:rPr>
                <w:rFonts w:eastAsiaTheme="minorEastAsia" w:cs="Times New Roman"/>
                <w:sz w:val="18"/>
                <w:szCs w:val="18"/>
              </w:rPr>
              <w:t>/d</w:t>
            </w:r>
            <w:r>
              <w:rPr>
                <w:rFonts w:eastAsiaTheme="minorEastAsia" w:cs="Times New Roman"/>
                <w:sz w:val="18"/>
                <w:szCs w:val="18"/>
              </w:rPr>
              <w:t>）</w:t>
            </w:r>
          </w:p>
        </w:tc>
      </w:tr>
      <w:tr w:rsidR="00A46452">
        <w:trPr>
          <w:trHeight w:val="933"/>
        </w:trPr>
        <w:tc>
          <w:tcPr>
            <w:tcW w:w="664"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1</w:t>
            </w:r>
          </w:p>
        </w:tc>
        <w:tc>
          <w:tcPr>
            <w:tcW w:w="1314"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服务区</w:t>
            </w:r>
          </w:p>
        </w:tc>
        <w:tc>
          <w:tcPr>
            <w:tcW w:w="1678"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K31+900~K32+100</w:t>
            </w:r>
          </w:p>
        </w:tc>
        <w:tc>
          <w:tcPr>
            <w:tcW w:w="1262"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20</w:t>
            </w:r>
            <w:r>
              <w:rPr>
                <w:rFonts w:eastAsiaTheme="minorEastAsia" w:cs="Times New Roman"/>
                <w:sz w:val="18"/>
                <w:szCs w:val="18"/>
              </w:rPr>
              <w:t>人</w:t>
            </w:r>
            <w:r>
              <w:rPr>
                <w:rFonts w:eastAsiaTheme="minorEastAsia" w:cs="Times New Roman"/>
                <w:sz w:val="18"/>
                <w:szCs w:val="18"/>
              </w:rPr>
              <w:t>/d</w:t>
            </w:r>
          </w:p>
        </w:tc>
        <w:tc>
          <w:tcPr>
            <w:tcW w:w="1802" w:type="dxa"/>
            <w:tcBorders>
              <w:bottom w:val="single" w:sz="4" w:space="0" w:color="auto"/>
            </w:tcBorders>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按车流量</w:t>
            </w:r>
            <w:r>
              <w:rPr>
                <w:rFonts w:eastAsiaTheme="minorEastAsia" w:cs="Times New Roman"/>
                <w:sz w:val="18"/>
                <w:szCs w:val="18"/>
              </w:rPr>
              <w:t>5%</w:t>
            </w:r>
            <w:r>
              <w:rPr>
                <w:rFonts w:eastAsiaTheme="minorEastAsia" w:cs="Times New Roman"/>
                <w:sz w:val="18"/>
                <w:szCs w:val="18"/>
              </w:rPr>
              <w:t>计停留人数，约</w:t>
            </w:r>
            <w:r>
              <w:rPr>
                <w:rFonts w:eastAsiaTheme="minorEastAsia" w:cs="Times New Roman"/>
                <w:sz w:val="18"/>
                <w:szCs w:val="18"/>
              </w:rPr>
              <w:t>173</w:t>
            </w:r>
            <w:r>
              <w:rPr>
                <w:rFonts w:eastAsiaTheme="minorEastAsia" w:cs="Times New Roman"/>
                <w:sz w:val="18"/>
                <w:szCs w:val="18"/>
              </w:rPr>
              <w:t>人；用餐人数按日间车流量</w:t>
            </w:r>
            <w:r>
              <w:rPr>
                <w:rFonts w:eastAsiaTheme="minorEastAsia" w:cs="Times New Roman"/>
                <w:sz w:val="18"/>
                <w:szCs w:val="18"/>
              </w:rPr>
              <w:t>2%</w:t>
            </w:r>
            <w:r>
              <w:rPr>
                <w:rFonts w:eastAsiaTheme="minorEastAsia" w:cs="Times New Roman"/>
                <w:sz w:val="18"/>
                <w:szCs w:val="18"/>
              </w:rPr>
              <w:t>计，约</w:t>
            </w:r>
            <w:r>
              <w:rPr>
                <w:rFonts w:eastAsiaTheme="minorEastAsia" w:cs="Times New Roman"/>
                <w:sz w:val="18"/>
                <w:szCs w:val="18"/>
              </w:rPr>
              <w:t>69</w:t>
            </w:r>
            <w:r>
              <w:rPr>
                <w:rFonts w:eastAsiaTheme="minorEastAsia" w:cs="Times New Roman"/>
                <w:sz w:val="18"/>
                <w:szCs w:val="18"/>
              </w:rPr>
              <w:t>人</w:t>
            </w:r>
          </w:p>
        </w:tc>
        <w:tc>
          <w:tcPr>
            <w:tcW w:w="1802" w:type="dxa"/>
            <w:tcBorders>
              <w:bottom w:val="single" w:sz="4" w:space="0" w:color="auto"/>
            </w:tcBorders>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4.42</w:t>
            </w:r>
          </w:p>
        </w:tc>
      </w:tr>
      <w:tr w:rsidR="00A46452">
        <w:trPr>
          <w:trHeight w:val="620"/>
        </w:trPr>
        <w:tc>
          <w:tcPr>
            <w:tcW w:w="664"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2</w:t>
            </w:r>
          </w:p>
        </w:tc>
        <w:tc>
          <w:tcPr>
            <w:tcW w:w="1314" w:type="dxa"/>
            <w:shd w:val="clear" w:color="auto" w:fill="auto"/>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治超站</w:t>
            </w:r>
          </w:p>
        </w:tc>
        <w:tc>
          <w:tcPr>
            <w:tcW w:w="1678" w:type="dxa"/>
            <w:shd w:val="clear" w:color="auto" w:fill="auto"/>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K31+900~K32+100</w:t>
            </w:r>
          </w:p>
        </w:tc>
        <w:tc>
          <w:tcPr>
            <w:tcW w:w="1262" w:type="dxa"/>
            <w:shd w:val="clear" w:color="auto" w:fill="auto"/>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5</w:t>
            </w:r>
            <w:r>
              <w:rPr>
                <w:rFonts w:eastAsiaTheme="minorEastAsia" w:cs="Times New Roman"/>
                <w:sz w:val="18"/>
                <w:szCs w:val="18"/>
              </w:rPr>
              <w:t>0</w:t>
            </w:r>
            <w:r>
              <w:rPr>
                <w:rFonts w:eastAsiaTheme="minorEastAsia" w:cs="Times New Roman"/>
                <w:sz w:val="18"/>
                <w:szCs w:val="18"/>
              </w:rPr>
              <w:t>人</w:t>
            </w:r>
            <w:r>
              <w:rPr>
                <w:rFonts w:eastAsiaTheme="minorEastAsia" w:cs="Times New Roman"/>
                <w:sz w:val="18"/>
                <w:szCs w:val="18"/>
              </w:rPr>
              <w:t>/d</w:t>
            </w:r>
          </w:p>
        </w:tc>
        <w:tc>
          <w:tcPr>
            <w:tcW w:w="1802" w:type="dxa"/>
            <w:tcBorders>
              <w:top w:val="single" w:sz="4" w:space="0" w:color="auto"/>
            </w:tcBorders>
            <w:shd w:val="clear" w:color="auto" w:fill="auto"/>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w:t>
            </w:r>
          </w:p>
        </w:tc>
        <w:tc>
          <w:tcPr>
            <w:tcW w:w="1802" w:type="dxa"/>
            <w:tcBorders>
              <w:top w:val="single" w:sz="4" w:space="0" w:color="auto"/>
            </w:tcBorders>
            <w:shd w:val="clear" w:color="auto" w:fill="auto"/>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5.00</w:t>
            </w:r>
          </w:p>
        </w:tc>
      </w:tr>
      <w:tr w:rsidR="00A46452">
        <w:trPr>
          <w:trHeight w:val="560"/>
        </w:trPr>
        <w:tc>
          <w:tcPr>
            <w:tcW w:w="6720" w:type="dxa"/>
            <w:gridSpan w:val="5"/>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合计</w:t>
            </w:r>
          </w:p>
        </w:tc>
        <w:tc>
          <w:tcPr>
            <w:tcW w:w="1802" w:type="dxa"/>
            <w:vAlign w:val="center"/>
          </w:tcPr>
          <w:p w:rsidR="00A46452" w:rsidRDefault="009A3928">
            <w:pPr>
              <w:wordWrap w:val="0"/>
              <w:topLinePunct/>
              <w:adjustRightInd w:val="0"/>
              <w:snapToGrid w:val="0"/>
              <w:spacing w:line="240" w:lineRule="atLeast"/>
              <w:ind w:firstLineChars="0" w:firstLine="0"/>
              <w:jc w:val="center"/>
              <w:rPr>
                <w:rFonts w:eastAsiaTheme="minorEastAsia" w:cs="Times New Roman"/>
                <w:sz w:val="18"/>
                <w:szCs w:val="18"/>
              </w:rPr>
            </w:pPr>
            <w:r>
              <w:rPr>
                <w:rFonts w:eastAsiaTheme="minorEastAsia" w:cs="Times New Roman"/>
                <w:sz w:val="18"/>
                <w:szCs w:val="18"/>
              </w:rPr>
              <w:t>9.42</w:t>
            </w:r>
          </w:p>
        </w:tc>
      </w:tr>
    </w:tbl>
    <w:p w:rsidR="00A46452" w:rsidRDefault="009A3928">
      <w:pPr>
        <w:wordWrap w:val="0"/>
        <w:topLinePunct/>
        <w:adjustRightInd w:val="0"/>
        <w:snapToGrid w:val="0"/>
        <w:ind w:firstLine="480"/>
        <w:rPr>
          <w:rFonts w:cs="Times New Roman"/>
          <w:kern w:val="0"/>
        </w:rPr>
      </w:pPr>
      <w:r>
        <w:rPr>
          <w:rFonts w:cs="Times New Roman"/>
        </w:rPr>
        <w:t>对服务区、停车区等服务设施的生活污水采取一体化污水处理设施处理达到新疆维吾尔自治区地方标准《农村生活污水处理排放标准》（</w:t>
      </w:r>
      <w:r>
        <w:rPr>
          <w:rFonts w:cs="Times New Roman"/>
        </w:rPr>
        <w:t>DB654275-2019</w:t>
      </w:r>
      <w:r>
        <w:rPr>
          <w:rFonts w:cs="Times New Roman"/>
        </w:rPr>
        <w:t>）表</w:t>
      </w:r>
      <w:r>
        <w:rPr>
          <w:rFonts w:cs="Times New Roman"/>
        </w:rPr>
        <w:t>2</w:t>
      </w:r>
      <w:r>
        <w:rPr>
          <w:rFonts w:cs="Times New Roman"/>
        </w:rPr>
        <w:t>中</w:t>
      </w:r>
      <w:r>
        <w:rPr>
          <w:rFonts w:cs="Times New Roman"/>
        </w:rPr>
        <w:t>A</w:t>
      </w:r>
      <w:r>
        <w:rPr>
          <w:rFonts w:cs="Times New Roman"/>
        </w:rPr>
        <w:t>级限值，出水满足</w:t>
      </w:r>
      <w:r>
        <w:rPr>
          <w:rFonts w:cs="Times New Roman"/>
        </w:rPr>
        <w:t>A</w:t>
      </w:r>
      <w:r>
        <w:rPr>
          <w:rFonts w:cs="Times New Roman"/>
        </w:rPr>
        <w:t>级限值后，夏季用于各服务区等设施的绿化，冬季</w:t>
      </w:r>
      <w:r>
        <w:rPr>
          <w:rFonts w:cs="Times New Roman"/>
        </w:rPr>
        <w:t>建设储存池贮存</w:t>
      </w:r>
      <w:r>
        <w:rPr>
          <w:rFonts w:cs="Times New Roman"/>
        </w:rPr>
        <w:t>。</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5.2.2.3</w:t>
      </w:r>
      <w:r>
        <w:rPr>
          <w:rFonts w:cs="Times New Roman" w:hint="default"/>
          <w:iCs/>
        </w:rPr>
        <w:t>营运期噪声污染源强</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）本项目源强计算方法</w:t>
      </w:r>
    </w:p>
    <w:p w:rsidR="00A46452" w:rsidRDefault="009A3928">
      <w:pPr>
        <w:wordWrap w:val="0"/>
        <w:topLinePunct/>
        <w:adjustRightInd w:val="0"/>
        <w:snapToGrid w:val="0"/>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）附录</w:t>
      </w:r>
      <w:r>
        <w:rPr>
          <w:rFonts w:cs="Times New Roman"/>
        </w:rPr>
        <w:t>B</w:t>
      </w:r>
      <w:r>
        <w:rPr>
          <w:rFonts w:cs="Times New Roman"/>
        </w:rPr>
        <w:t>，各类型车在参照点（</w:t>
      </w:r>
      <w:r>
        <w:rPr>
          <w:rFonts w:cs="Times New Roman"/>
        </w:rPr>
        <w:t>7.5m</w:t>
      </w:r>
      <w:r>
        <w:rPr>
          <w:rFonts w:cs="Times New Roman"/>
        </w:rPr>
        <w:t>处）的单车行驶辐射噪声级</w:t>
      </w:r>
      <w:r>
        <w:rPr>
          <w:rFonts w:cs="Times New Roman"/>
        </w:rPr>
        <w:t>L</w:t>
      </w:r>
      <w:r>
        <w:rPr>
          <w:rFonts w:cs="Times New Roman"/>
          <w:vertAlign w:val="subscript"/>
        </w:rPr>
        <w:t>oi</w:t>
      </w:r>
      <w:r>
        <w:rPr>
          <w:rFonts w:cs="Times New Roman"/>
        </w:rPr>
        <w:t>，应按下列公式计算：</w:t>
      </w:r>
    </w:p>
    <w:p w:rsidR="00A46452" w:rsidRDefault="009A3928">
      <w:pPr>
        <w:wordWrap w:val="0"/>
        <w:topLinePunct/>
        <w:adjustRightInd w:val="0"/>
        <w:snapToGrid w:val="0"/>
        <w:ind w:firstLine="480"/>
        <w:rPr>
          <w:rFonts w:cs="Times New Roman"/>
        </w:rPr>
      </w:pPr>
      <w:r>
        <w:rPr>
          <w:rFonts w:cs="Times New Roman"/>
        </w:rPr>
        <w:t>大型车</w:t>
      </w:r>
      <w:r>
        <w:rPr>
          <w:rFonts w:cs="Times New Roman"/>
          <w:noProof/>
        </w:rPr>
        <w:drawing>
          <wp:inline distT="0" distB="0" distL="0" distR="0">
            <wp:extent cx="438150" cy="203200"/>
            <wp:effectExtent l="0" t="0" r="635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cs="Times New Roman"/>
        </w:rPr>
        <w:t>l=22.0+36.32lgV</w:t>
      </w:r>
      <w:r>
        <w:rPr>
          <w:rFonts w:cs="Times New Roman"/>
          <w:vertAlign w:val="subscript"/>
        </w:rPr>
        <w:t>l</w:t>
      </w:r>
      <w:r>
        <w:rPr>
          <w:rFonts w:cs="Times New Roman"/>
        </w:rPr>
        <w:t>（适用车速范围：</w:t>
      </w:r>
      <w:r>
        <w:rPr>
          <w:rFonts w:cs="Times New Roman"/>
        </w:rPr>
        <w:t>48km/h</w:t>
      </w:r>
      <w:r>
        <w:rPr>
          <w:rFonts w:cs="Times New Roman"/>
        </w:rPr>
        <w:t>～</w:t>
      </w:r>
      <w:r>
        <w:rPr>
          <w:rFonts w:cs="Times New Roman"/>
        </w:rPr>
        <w:t>90km/h</w:t>
      </w:r>
      <w:r>
        <w:rPr>
          <w:rFonts w:cs="Times New Roman"/>
        </w:rPr>
        <w:t>）</w:t>
      </w:r>
    </w:p>
    <w:p w:rsidR="00A46452" w:rsidRDefault="009A3928">
      <w:pPr>
        <w:wordWrap w:val="0"/>
        <w:topLinePunct/>
        <w:adjustRightInd w:val="0"/>
        <w:snapToGrid w:val="0"/>
        <w:ind w:firstLine="480"/>
        <w:rPr>
          <w:rFonts w:cs="Times New Roman"/>
        </w:rPr>
      </w:pPr>
      <w:r>
        <w:rPr>
          <w:rFonts w:cs="Times New Roman"/>
        </w:rPr>
        <w:t>中型车</w:t>
      </w:r>
      <w:r>
        <w:rPr>
          <w:rFonts w:cs="Times New Roman"/>
          <w:noProof/>
        </w:rPr>
        <w:drawing>
          <wp:inline distT="0" distB="0" distL="0" distR="0">
            <wp:extent cx="438150" cy="203200"/>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cs="Times New Roman"/>
        </w:rPr>
        <w:t>m=8.8+40.48lgV</w:t>
      </w:r>
      <w:r>
        <w:rPr>
          <w:rFonts w:cs="Times New Roman"/>
          <w:vertAlign w:val="subscript"/>
        </w:rPr>
        <w:t>m</w:t>
      </w:r>
      <w:r>
        <w:rPr>
          <w:rFonts w:cs="Times New Roman"/>
        </w:rPr>
        <w:t>（适用车速范围：</w:t>
      </w:r>
      <w:r>
        <w:rPr>
          <w:rFonts w:cs="Times New Roman"/>
        </w:rPr>
        <w:t>53km/h</w:t>
      </w:r>
      <w:r>
        <w:rPr>
          <w:rFonts w:cs="Times New Roman"/>
        </w:rPr>
        <w:t>～</w:t>
      </w:r>
      <w:r>
        <w:rPr>
          <w:rFonts w:cs="Times New Roman"/>
        </w:rPr>
        <w:t>100km/h</w:t>
      </w:r>
      <w:r>
        <w:rPr>
          <w:rFonts w:cs="Times New Roman"/>
        </w:rPr>
        <w:t>）</w:t>
      </w:r>
    </w:p>
    <w:p w:rsidR="00A46452" w:rsidRDefault="009A3928">
      <w:pPr>
        <w:wordWrap w:val="0"/>
        <w:topLinePunct/>
        <w:adjustRightInd w:val="0"/>
        <w:snapToGrid w:val="0"/>
        <w:ind w:firstLine="480"/>
        <w:rPr>
          <w:rFonts w:cs="Times New Roman"/>
        </w:rPr>
      </w:pPr>
      <w:r>
        <w:rPr>
          <w:rFonts w:cs="Times New Roman"/>
        </w:rPr>
        <w:t>小型车</w:t>
      </w:r>
      <w:r>
        <w:rPr>
          <w:rFonts w:cs="Times New Roman"/>
          <w:noProof/>
        </w:rPr>
        <w:drawing>
          <wp:inline distT="0" distB="0" distL="0" distR="0">
            <wp:extent cx="438150" cy="203200"/>
            <wp:effectExtent l="0" t="0" r="635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cs="Times New Roman"/>
        </w:rPr>
        <w:t>s=12.6+34.73lgV</w:t>
      </w:r>
      <w:r>
        <w:rPr>
          <w:rFonts w:cs="Times New Roman"/>
          <w:vertAlign w:val="subscript"/>
        </w:rPr>
        <w:t>s</w:t>
      </w:r>
      <w:r>
        <w:rPr>
          <w:rFonts w:cs="Times New Roman"/>
        </w:rPr>
        <w:t>（适用车速范围：</w:t>
      </w:r>
      <w:r>
        <w:rPr>
          <w:rFonts w:cs="Times New Roman"/>
        </w:rPr>
        <w:t>63km/h</w:t>
      </w:r>
      <w:r>
        <w:rPr>
          <w:rFonts w:cs="Times New Roman"/>
        </w:rPr>
        <w:t>～</w:t>
      </w:r>
      <w:r>
        <w:rPr>
          <w:rFonts w:cs="Times New Roman"/>
        </w:rPr>
        <w:t>140km/h</w:t>
      </w:r>
      <w:r>
        <w:rPr>
          <w:rFonts w:cs="Times New Roman"/>
        </w:rPr>
        <w:t>）</w:t>
      </w:r>
    </w:p>
    <w:p w:rsidR="00A46452" w:rsidRDefault="009A3928">
      <w:pPr>
        <w:wordWrap w:val="0"/>
        <w:topLinePunct/>
        <w:adjustRightInd w:val="0"/>
        <w:snapToGrid w:val="0"/>
        <w:ind w:firstLine="480"/>
        <w:rPr>
          <w:rFonts w:cs="Times New Roman"/>
        </w:rPr>
      </w:pPr>
      <w:r>
        <w:rPr>
          <w:rFonts w:cs="Times New Roman"/>
        </w:rPr>
        <w:t>式中：</w:t>
      </w:r>
      <w:r>
        <w:rPr>
          <w:rFonts w:cs="Times New Roman"/>
          <w:noProof/>
        </w:rPr>
        <w:drawing>
          <wp:inline distT="0" distB="0" distL="0" distR="0">
            <wp:extent cx="438150" cy="203200"/>
            <wp:effectExtent l="0" t="0" r="635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cs="Times New Roman"/>
        </w:rPr>
        <w:t>l——</w:t>
      </w:r>
      <w:r>
        <w:rPr>
          <w:rFonts w:cs="Times New Roman"/>
        </w:rPr>
        <w:t>大型车在参照点处的平均辐射噪声级，</w:t>
      </w:r>
      <w:r>
        <w:rPr>
          <w:rFonts w:cs="Times New Roman"/>
        </w:rPr>
        <w:t>dB(A)</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noProof/>
        </w:rPr>
        <w:drawing>
          <wp:inline distT="0" distB="0" distL="114300" distR="114300">
            <wp:extent cx="441325" cy="189230"/>
            <wp:effectExtent l="0" t="0" r="3175" b="1270"/>
            <wp:docPr id="1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
                    <pic:cNvPicPr>
                      <a:picLocks noChangeAspect="1"/>
                    </pic:cNvPicPr>
                  </pic:nvPicPr>
                  <pic:blipFill>
                    <a:blip r:embed="rId30"/>
                    <a:stretch>
                      <a:fillRect/>
                    </a:stretch>
                  </pic:blipFill>
                  <pic:spPr>
                    <a:xfrm>
                      <a:off x="0" y="0"/>
                      <a:ext cx="441325" cy="189230"/>
                    </a:xfrm>
                    <a:prstGeom prst="rect">
                      <a:avLst/>
                    </a:prstGeom>
                    <a:noFill/>
                    <a:ln w="9525">
                      <a:noFill/>
                    </a:ln>
                  </pic:spPr>
                </pic:pic>
              </a:graphicData>
            </a:graphic>
          </wp:inline>
        </w:drawing>
      </w:r>
      <w:r>
        <w:rPr>
          <w:rFonts w:cs="Times New Roman"/>
        </w:rPr>
        <w:t>m——</w:t>
      </w:r>
      <w:r>
        <w:rPr>
          <w:rFonts w:cs="Times New Roman"/>
        </w:rPr>
        <w:t>中型车在参照点处的平均辐射噪声级，</w:t>
      </w:r>
      <w:r>
        <w:rPr>
          <w:rFonts w:cs="Times New Roman"/>
        </w:rPr>
        <w:t>dB(A)</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noProof/>
        </w:rPr>
        <w:drawing>
          <wp:inline distT="0" distB="0" distL="114300" distR="114300">
            <wp:extent cx="441325" cy="189230"/>
            <wp:effectExtent l="0" t="0" r="3175" b="1270"/>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30"/>
                    <a:stretch>
                      <a:fillRect/>
                    </a:stretch>
                  </pic:blipFill>
                  <pic:spPr>
                    <a:xfrm>
                      <a:off x="0" y="0"/>
                      <a:ext cx="441325" cy="189230"/>
                    </a:xfrm>
                    <a:prstGeom prst="rect">
                      <a:avLst/>
                    </a:prstGeom>
                    <a:noFill/>
                    <a:ln w="9525">
                      <a:noFill/>
                    </a:ln>
                  </pic:spPr>
                </pic:pic>
              </a:graphicData>
            </a:graphic>
          </wp:inline>
        </w:drawing>
      </w:r>
      <w:r>
        <w:rPr>
          <w:rFonts w:cs="Times New Roman"/>
        </w:rPr>
        <w:t>s——</w:t>
      </w:r>
      <w:r>
        <w:rPr>
          <w:rFonts w:cs="Times New Roman"/>
        </w:rPr>
        <w:t>小型车在参照点处的平均辐射噪声级，</w:t>
      </w:r>
      <w:r>
        <w:rPr>
          <w:rFonts w:cs="Times New Roman"/>
        </w:rPr>
        <w:t>dB(A)</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v</w:t>
      </w:r>
      <w:r>
        <w:rPr>
          <w:rFonts w:cs="Times New Roman"/>
          <w:vertAlign w:val="subscript"/>
        </w:rPr>
        <w:t>l</w:t>
      </w:r>
      <w:r>
        <w:rPr>
          <w:rFonts w:cs="Times New Roman"/>
        </w:rPr>
        <w:t>——</w:t>
      </w:r>
      <w:r>
        <w:rPr>
          <w:rFonts w:cs="Times New Roman"/>
        </w:rPr>
        <w:t>大型车的平均速度，</w:t>
      </w:r>
      <w:r>
        <w:rPr>
          <w:rFonts w:cs="Times New Roman"/>
        </w:rPr>
        <w:t>km/h</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v</w:t>
      </w:r>
      <w:r>
        <w:rPr>
          <w:rFonts w:cs="Times New Roman"/>
          <w:vertAlign w:val="subscript"/>
        </w:rPr>
        <w:t>m</w:t>
      </w:r>
      <w:r>
        <w:rPr>
          <w:rFonts w:cs="Times New Roman"/>
        </w:rPr>
        <w:t>——</w:t>
      </w:r>
      <w:r>
        <w:rPr>
          <w:rFonts w:cs="Times New Roman"/>
        </w:rPr>
        <w:t>中型车的平均速度，</w:t>
      </w:r>
      <w:r>
        <w:rPr>
          <w:rFonts w:cs="Times New Roman"/>
        </w:rPr>
        <w:t>km/h</w:t>
      </w:r>
      <w:r>
        <w:rPr>
          <w:rFonts w:cs="Times New Roman"/>
        </w:rPr>
        <w:t>；</w:t>
      </w:r>
    </w:p>
    <w:p w:rsidR="00A46452" w:rsidRDefault="009A3928">
      <w:pPr>
        <w:wordWrap w:val="0"/>
        <w:topLinePunct/>
        <w:adjustRightInd w:val="0"/>
        <w:snapToGrid w:val="0"/>
        <w:ind w:firstLineChars="500" w:firstLine="1200"/>
        <w:rPr>
          <w:rFonts w:cs="Times New Roman"/>
          <w:spacing w:val="-2"/>
          <w:position w:val="2"/>
          <w:szCs w:val="24"/>
        </w:rPr>
      </w:pPr>
      <w:r>
        <w:rPr>
          <w:rFonts w:cs="Times New Roman"/>
        </w:rPr>
        <w:t>v</w:t>
      </w:r>
      <w:r>
        <w:rPr>
          <w:rFonts w:cs="Times New Roman"/>
          <w:vertAlign w:val="subscript"/>
        </w:rPr>
        <w:t>s</w:t>
      </w:r>
      <w:r>
        <w:rPr>
          <w:rFonts w:cs="Times New Roman"/>
        </w:rPr>
        <w:t>——</w:t>
      </w:r>
      <w:r>
        <w:rPr>
          <w:rFonts w:cs="Times New Roman"/>
        </w:rPr>
        <w:t>小型车的平均速度，</w:t>
      </w:r>
      <w:r>
        <w:rPr>
          <w:rFonts w:cs="Times New Roman"/>
        </w:rPr>
        <w:t>km/h</w:t>
      </w:r>
      <w:r>
        <w:rPr>
          <w:rFonts w:cs="Times New Roman"/>
        </w:rPr>
        <w:t>。</w:t>
      </w:r>
    </w:p>
    <w:p w:rsidR="00A46452" w:rsidRDefault="009A3928">
      <w:pPr>
        <w:wordWrap w:val="0"/>
        <w:topLinePunct/>
        <w:adjustRightInd w:val="0"/>
        <w:snapToGrid w:val="0"/>
        <w:ind w:firstLine="480"/>
        <w:rPr>
          <w:rFonts w:cs="Times New Roman"/>
        </w:rPr>
      </w:pPr>
      <w:r>
        <w:rPr>
          <w:rFonts w:cs="Times New Roman"/>
        </w:rPr>
        <w:t>平均车速的确定与负荷系数（或饱和度）有关。负荷系数为服务交通量（</w:t>
      </w:r>
      <w:r>
        <w:rPr>
          <w:rFonts w:cs="Times New Roman"/>
        </w:rPr>
        <w:t>V</w:t>
      </w:r>
      <w:r>
        <w:rPr>
          <w:rFonts w:cs="Times New Roman"/>
        </w:rPr>
        <w:t>）（</w:t>
      </w:r>
      <w:r>
        <w:rPr>
          <w:rFonts w:cs="Times New Roman"/>
        </w:rPr>
        <w:t>V</w:t>
      </w:r>
      <w:r>
        <w:rPr>
          <w:rFonts w:cs="Times New Roman"/>
        </w:rPr>
        <w:t>取各代表年份的昼间、夜间相对交通量预测值，</w:t>
      </w:r>
      <w:r>
        <w:rPr>
          <w:rFonts w:cs="Times New Roman"/>
        </w:rPr>
        <w:t>pcu/h·ln</w:t>
      </w:r>
      <w:r>
        <w:rPr>
          <w:rFonts w:cs="Times New Roman"/>
        </w:rPr>
        <w:t>）或</w:t>
      </w:r>
      <w:r>
        <w:rPr>
          <w:rFonts w:cs="Times New Roman"/>
        </w:rPr>
        <w:t>pcu/h</w:t>
      </w:r>
      <w:r>
        <w:rPr>
          <w:rFonts w:cs="Times New Roman"/>
        </w:rPr>
        <w:t>，</w:t>
      </w:r>
      <w:r>
        <w:rPr>
          <w:rFonts w:cs="Times New Roman"/>
        </w:rPr>
        <w:t>pcu</w:t>
      </w:r>
      <w:r>
        <w:rPr>
          <w:rFonts w:cs="Times New Roman"/>
        </w:rPr>
        <w:t>为标准小客车当量数，</w:t>
      </w:r>
      <w:r>
        <w:rPr>
          <w:rFonts w:cs="Times New Roman"/>
        </w:rPr>
        <w:t>ln</w:t>
      </w:r>
      <w:r>
        <w:rPr>
          <w:rFonts w:cs="Times New Roman"/>
        </w:rPr>
        <w:t>为车道）与实际通行能力（</w:t>
      </w:r>
      <w:r>
        <w:rPr>
          <w:rFonts w:cs="Times New Roman"/>
        </w:rPr>
        <w:t>C</w:t>
      </w:r>
      <w:r>
        <w:rPr>
          <w:rFonts w:cs="Times New Roman"/>
        </w:rPr>
        <w:t>）的比值，反映了道路的实际负荷情况。</w:t>
      </w:r>
    </w:p>
    <w:p w:rsidR="00A46452" w:rsidRDefault="009A3928">
      <w:pPr>
        <w:wordWrap w:val="0"/>
        <w:topLinePunct/>
        <w:adjustRightInd w:val="0"/>
        <w:snapToGrid w:val="0"/>
        <w:ind w:firstLine="480"/>
        <w:rPr>
          <w:rFonts w:cs="Times New Roman"/>
        </w:rPr>
      </w:pPr>
      <w:r>
        <w:rPr>
          <w:rFonts w:cs="Times New Roman"/>
        </w:rPr>
        <w:t>当</w:t>
      </w:r>
      <w:r>
        <w:rPr>
          <w:rFonts w:cs="Times New Roman"/>
        </w:rPr>
        <w:t>V/C≤0.2</w:t>
      </w:r>
      <w:r>
        <w:rPr>
          <w:rFonts w:cs="Times New Roman"/>
        </w:rPr>
        <w:t>时，各类型车昼间平均车速按下列公式计算</w:t>
      </w:r>
      <w:r>
        <w:rPr>
          <w:rFonts w:cs="Times New Roman"/>
        </w:rPr>
        <w:t>:</w:t>
      </w:r>
    </w:p>
    <w:p w:rsidR="00A46452" w:rsidRDefault="009A3928" w:rsidP="00182EED">
      <w:pPr>
        <w:pStyle w:val="a5"/>
        <w:wordWrap w:val="0"/>
        <w:topLinePunct/>
        <w:adjustRightInd w:val="0"/>
        <w:snapToGrid w:val="0"/>
        <w:spacing w:before="184" w:line="217" w:lineRule="auto"/>
        <w:ind w:left="630" w:firstLine="480"/>
        <w:jc w:val="center"/>
        <w:rPr>
          <w:rFonts w:cs="Times New Roman" w:hint="default"/>
          <w:spacing w:val="-1"/>
        </w:rPr>
      </w:pPr>
      <w:r>
        <w:rPr>
          <w:rFonts w:cs="Times New Roman" w:hint="default"/>
          <w:noProof/>
          <w:position w:val="-34"/>
        </w:rPr>
        <w:drawing>
          <wp:inline distT="0" distB="0" distL="0" distR="0">
            <wp:extent cx="1162685" cy="1080135"/>
            <wp:effectExtent l="0" t="0" r="5715" b="12065"/>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1"/>
                    <a:stretch>
                      <a:fillRect/>
                    </a:stretch>
                  </pic:blipFill>
                  <pic:spPr>
                    <a:xfrm>
                      <a:off x="0" y="0"/>
                      <a:ext cx="1162811" cy="1080516"/>
                    </a:xfrm>
                    <a:prstGeom prst="rect">
                      <a:avLst/>
                    </a:prstGeom>
                  </pic:spPr>
                </pic:pic>
              </a:graphicData>
            </a:graphic>
          </wp:inline>
        </w:drawing>
      </w:r>
    </w:p>
    <w:p w:rsidR="00A46452" w:rsidRDefault="009A3928">
      <w:pPr>
        <w:wordWrap w:val="0"/>
        <w:topLinePunct/>
        <w:adjustRightInd w:val="0"/>
        <w:snapToGrid w:val="0"/>
        <w:ind w:firstLine="480"/>
        <w:rPr>
          <w:rFonts w:cs="Times New Roman"/>
        </w:rPr>
      </w:pPr>
      <w:r>
        <w:rPr>
          <w:rFonts w:cs="Times New Roman"/>
        </w:rPr>
        <w:t>式中：</w:t>
      </w:r>
      <w:r>
        <w:rPr>
          <w:rFonts w:cs="Times New Roman"/>
        </w:rPr>
        <w:t>V</w:t>
      </w:r>
      <w:r>
        <w:rPr>
          <w:rFonts w:cs="Times New Roman"/>
          <w:vertAlign w:val="subscript"/>
        </w:rPr>
        <w:t>1</w:t>
      </w:r>
      <w:r>
        <w:rPr>
          <w:rFonts w:cs="Times New Roman"/>
        </w:rPr>
        <w:t>、</w:t>
      </w:r>
      <w:r>
        <w:rPr>
          <w:rFonts w:cs="Times New Roman"/>
        </w:rPr>
        <w:t>V</w:t>
      </w:r>
      <w:r>
        <w:rPr>
          <w:rFonts w:cs="Times New Roman"/>
          <w:vertAlign w:val="subscript"/>
        </w:rPr>
        <w:t>m</w:t>
      </w:r>
      <w:r>
        <w:rPr>
          <w:rFonts w:cs="Times New Roman"/>
        </w:rPr>
        <w:t>、</w:t>
      </w:r>
      <w:r>
        <w:rPr>
          <w:rFonts w:cs="Times New Roman"/>
        </w:rPr>
        <w:t>V</w:t>
      </w:r>
      <w:r>
        <w:rPr>
          <w:rFonts w:cs="Times New Roman"/>
          <w:vertAlign w:val="subscript"/>
        </w:rPr>
        <w:t>s</w:t>
      </w:r>
      <w:r>
        <w:rPr>
          <w:rFonts w:cs="Times New Roman"/>
        </w:rPr>
        <w:t>分别为大、中小型车的平均速度，</w:t>
      </w:r>
      <w:r>
        <w:rPr>
          <w:rFonts w:cs="Times New Roman"/>
        </w:rPr>
        <w:t>km/h</w:t>
      </w:r>
      <w:r>
        <w:rPr>
          <w:rFonts w:cs="Times New Roman"/>
        </w:rPr>
        <w:t>；</w:t>
      </w:r>
    </w:p>
    <w:p w:rsidR="00A46452" w:rsidRDefault="009A3928">
      <w:pPr>
        <w:wordWrap w:val="0"/>
        <w:topLinePunct/>
        <w:adjustRightInd w:val="0"/>
        <w:snapToGrid w:val="0"/>
        <w:ind w:firstLineChars="500" w:firstLine="1200"/>
        <w:rPr>
          <w:rFonts w:cs="Times New Roman"/>
        </w:rPr>
      </w:pPr>
      <w:r>
        <w:rPr>
          <w:rFonts w:cs="Times New Roman"/>
        </w:rPr>
        <w:t>V</w:t>
      </w:r>
      <w:r>
        <w:rPr>
          <w:rFonts w:cs="Times New Roman"/>
          <w:vertAlign w:val="subscript"/>
        </w:rPr>
        <w:t>0</w:t>
      </w:r>
      <w:r>
        <w:rPr>
          <w:rFonts w:cs="Times New Roman"/>
        </w:rPr>
        <w:t>——</w:t>
      </w:r>
      <w:r>
        <w:rPr>
          <w:rFonts w:cs="Times New Roman"/>
        </w:rPr>
        <w:t>各类型车的初始运行车速，</w:t>
      </w:r>
      <w:r>
        <w:rPr>
          <w:rFonts w:cs="Times New Roman"/>
        </w:rPr>
        <w:t>km/h</w:t>
      </w:r>
      <w:r>
        <w:rPr>
          <w:rFonts w:cs="Times New Roman"/>
        </w:rPr>
        <w:t>，按表</w:t>
      </w:r>
      <w:r>
        <w:rPr>
          <w:rFonts w:cs="Times New Roman"/>
        </w:rPr>
        <w:t>5.2-15</w:t>
      </w:r>
      <w:r>
        <w:rPr>
          <w:rFonts w:cs="Times New Roman"/>
        </w:rPr>
        <w:t>取值。</w:t>
      </w:r>
    </w:p>
    <w:p w:rsidR="00A46452" w:rsidRDefault="009A3928">
      <w:pPr>
        <w:wordWrap w:val="0"/>
        <w:topLinePunct/>
        <w:adjustRightInd w:val="0"/>
        <w:snapToGrid w:val="0"/>
        <w:ind w:firstLine="480"/>
        <w:rPr>
          <w:rFonts w:cs="Times New Roman"/>
        </w:rPr>
      </w:pPr>
      <w:r>
        <w:rPr>
          <w:rFonts w:cs="Times New Roman"/>
        </w:rPr>
        <w:t>对应的夜间平均车速可按白天平均车速的</w:t>
      </w:r>
      <w:r>
        <w:rPr>
          <w:rFonts w:cs="Times New Roman"/>
        </w:rPr>
        <w:t>0.9</w:t>
      </w:r>
      <w:r>
        <w:rPr>
          <w:rFonts w:cs="Times New Roman"/>
        </w:rPr>
        <w:t>～</w:t>
      </w:r>
      <w:r>
        <w:rPr>
          <w:rFonts w:cs="Times New Roman"/>
        </w:rPr>
        <w:t>1.0</w:t>
      </w:r>
      <w:r>
        <w:rPr>
          <w:rFonts w:cs="Times New Roman"/>
        </w:rPr>
        <w:t>倍取值。夜间有照明的公路，取较高值；高速公路和全部控制出入的一级公路，可取</w:t>
      </w:r>
      <w:r>
        <w:rPr>
          <w:rFonts w:cs="Times New Roman"/>
        </w:rPr>
        <w:t>1.0</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pacing w:val="-1"/>
          <w:szCs w:val="24"/>
        </w:rPr>
        <w:t>表</w:t>
      </w:r>
      <w:r>
        <w:rPr>
          <w:rFonts w:eastAsia="黑体" w:cs="Times New Roman"/>
          <w:spacing w:val="-1"/>
          <w:szCs w:val="24"/>
        </w:rPr>
        <w:t>5.2-15</w:t>
      </w:r>
      <w:r>
        <w:rPr>
          <w:rFonts w:eastAsia="黑体" w:cs="Times New Roman"/>
          <w:spacing w:val="-1"/>
          <w:szCs w:val="24"/>
        </w:rPr>
        <w:t xml:space="preserve">    </w:t>
      </w:r>
      <w:r>
        <w:rPr>
          <w:rFonts w:eastAsia="黑体" w:cs="Times New Roman"/>
          <w:spacing w:val="-1"/>
          <w:szCs w:val="24"/>
        </w:rPr>
        <w:t xml:space="preserve">            </w:t>
      </w:r>
      <w:r>
        <w:rPr>
          <w:rFonts w:eastAsia="黑体" w:cs="Times New Roman"/>
          <w:spacing w:val="-1"/>
          <w:szCs w:val="24"/>
        </w:rPr>
        <w:t>初始运行车速</w:t>
      </w:r>
      <w:r>
        <w:rPr>
          <w:rFonts w:eastAsia="黑体" w:cs="Times New Roman"/>
          <w:spacing w:val="-1"/>
          <w:szCs w:val="24"/>
        </w:rPr>
        <w:t xml:space="preserve">              </w:t>
      </w:r>
      <w:r>
        <w:rPr>
          <w:rFonts w:eastAsia="黑体" w:cs="Times New Roman"/>
          <w:spacing w:val="-1"/>
          <w:szCs w:val="24"/>
        </w:rPr>
        <w:t>（</w:t>
      </w:r>
      <w:r>
        <w:rPr>
          <w:rFonts w:eastAsia="黑体" w:cs="Times New Roman"/>
          <w:spacing w:val="-1"/>
          <w:szCs w:val="24"/>
        </w:rPr>
        <w:t>km</w:t>
      </w:r>
      <w:r>
        <w:rPr>
          <w:rFonts w:eastAsia="黑体" w:cs="Times New Roman"/>
          <w:spacing w:val="-1"/>
          <w:szCs w:val="24"/>
        </w:rPr>
        <w:t>/h</w:t>
      </w:r>
      <w:r>
        <w:rPr>
          <w:rFonts w:eastAsia="黑体" w:cs="Times New Roman"/>
          <w:spacing w:val="-1"/>
          <w:szCs w:val="24"/>
        </w:rPr>
        <w:t>）</w:t>
      </w:r>
    </w:p>
    <w:p w:rsidR="00A46452" w:rsidRDefault="00A46452" w:rsidP="00182EED">
      <w:pPr>
        <w:wordWrap w:val="0"/>
        <w:topLinePunct/>
        <w:adjustRightInd w:val="0"/>
        <w:snapToGrid w:val="0"/>
        <w:spacing w:line="16" w:lineRule="exact"/>
        <w:ind w:firstLine="480"/>
        <w:rPr>
          <w:rFonts w:cs="Times New Roman"/>
        </w:rPr>
      </w:pPr>
    </w:p>
    <w:tbl>
      <w:tblPr>
        <w:tblStyle w:val="TableNormal"/>
        <w:tblW w:w="5019"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0"/>
        <w:gridCol w:w="1463"/>
        <w:gridCol w:w="1087"/>
        <w:gridCol w:w="1385"/>
        <w:gridCol w:w="1385"/>
        <w:gridCol w:w="1412"/>
      </w:tblGrid>
      <w:tr w:rsidR="00A46452">
        <w:trPr>
          <w:trHeight w:val="374"/>
        </w:trPr>
        <w:tc>
          <w:tcPr>
            <w:tcW w:w="1848" w:type="pct"/>
            <w:gridSpan w:val="2"/>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20"/>
                <w:szCs w:val="20"/>
              </w:rPr>
            </w:pPr>
            <w:r>
              <w:rPr>
                <w:spacing w:val="7"/>
                <w:sz w:val="20"/>
                <w:szCs w:val="20"/>
              </w:rPr>
              <w:t>公路设计车速</w:t>
            </w:r>
          </w:p>
        </w:tc>
        <w:tc>
          <w:tcPr>
            <w:tcW w:w="65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3"/>
                <w:sz w:val="20"/>
                <w:szCs w:val="20"/>
              </w:rPr>
              <w:t>120</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3"/>
                <w:sz w:val="20"/>
                <w:szCs w:val="20"/>
              </w:rPr>
              <w:t>100</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2"/>
                <w:sz w:val="20"/>
                <w:szCs w:val="20"/>
              </w:rPr>
              <w:t>80</w:t>
            </w:r>
          </w:p>
        </w:tc>
        <w:tc>
          <w:tcPr>
            <w:tcW w:w="843"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z w:val="20"/>
                <w:szCs w:val="20"/>
              </w:rPr>
              <w:t>60</w:t>
            </w:r>
          </w:p>
        </w:tc>
      </w:tr>
      <w:tr w:rsidR="00A46452">
        <w:trPr>
          <w:trHeight w:val="342"/>
        </w:trPr>
        <w:tc>
          <w:tcPr>
            <w:tcW w:w="974" w:type="pct"/>
            <w:vMerge w:val="restar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20"/>
                <w:szCs w:val="20"/>
              </w:rPr>
            </w:pPr>
            <w:r>
              <w:rPr>
                <w:spacing w:val="8"/>
                <w:sz w:val="20"/>
                <w:szCs w:val="20"/>
              </w:rPr>
              <w:t>初始运行车速</w:t>
            </w:r>
          </w:p>
        </w:tc>
        <w:tc>
          <w:tcPr>
            <w:tcW w:w="873"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20"/>
                <w:szCs w:val="20"/>
              </w:rPr>
            </w:pPr>
            <w:r>
              <w:rPr>
                <w:spacing w:val="5"/>
                <w:sz w:val="20"/>
                <w:szCs w:val="20"/>
              </w:rPr>
              <w:t>小型车</w:t>
            </w:r>
          </w:p>
        </w:tc>
        <w:tc>
          <w:tcPr>
            <w:tcW w:w="65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3"/>
                <w:sz w:val="20"/>
                <w:szCs w:val="20"/>
              </w:rPr>
              <w:t>120</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3"/>
                <w:sz w:val="20"/>
                <w:szCs w:val="20"/>
              </w:rPr>
              <w:t>100</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2"/>
                <w:sz w:val="20"/>
                <w:szCs w:val="20"/>
              </w:rPr>
              <w:t>80</w:t>
            </w:r>
          </w:p>
        </w:tc>
        <w:tc>
          <w:tcPr>
            <w:tcW w:w="843"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z w:val="20"/>
                <w:szCs w:val="20"/>
              </w:rPr>
              <w:t>60</w:t>
            </w:r>
          </w:p>
        </w:tc>
      </w:tr>
      <w:tr w:rsidR="00A46452">
        <w:trPr>
          <w:trHeight w:val="395"/>
        </w:trPr>
        <w:tc>
          <w:tcPr>
            <w:tcW w:w="974" w:type="pct"/>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21"/>
              </w:rPr>
            </w:pPr>
          </w:p>
        </w:tc>
        <w:tc>
          <w:tcPr>
            <w:tcW w:w="873"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sz w:val="20"/>
                <w:szCs w:val="20"/>
              </w:rPr>
            </w:pPr>
            <w:r>
              <w:rPr>
                <w:spacing w:val="7"/>
                <w:sz w:val="20"/>
                <w:szCs w:val="20"/>
              </w:rPr>
              <w:t>大、中型车</w:t>
            </w:r>
          </w:p>
        </w:tc>
        <w:tc>
          <w:tcPr>
            <w:tcW w:w="650"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2"/>
                <w:sz w:val="20"/>
                <w:szCs w:val="20"/>
              </w:rPr>
              <w:t>80</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pacing w:val="1"/>
                <w:sz w:val="20"/>
                <w:szCs w:val="20"/>
              </w:rPr>
              <w:t>75</w:t>
            </w:r>
          </w:p>
        </w:tc>
        <w:tc>
          <w:tcPr>
            <w:tcW w:w="82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z w:val="20"/>
                <w:szCs w:val="20"/>
              </w:rPr>
              <w:t>65</w:t>
            </w:r>
          </w:p>
        </w:tc>
        <w:tc>
          <w:tcPr>
            <w:tcW w:w="843"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imes New Roman" w:cs="Times New Roman"/>
                <w:sz w:val="20"/>
                <w:szCs w:val="20"/>
              </w:rPr>
            </w:pPr>
            <w:r>
              <w:rPr>
                <w:rFonts w:eastAsia="Times New Roman" w:cs="Times New Roman"/>
                <w:sz w:val="20"/>
                <w:szCs w:val="20"/>
              </w:rPr>
              <w:t>50</w:t>
            </w:r>
          </w:p>
        </w:tc>
      </w:tr>
    </w:tbl>
    <w:p w:rsidR="00A46452" w:rsidRDefault="009A3928">
      <w:pPr>
        <w:wordWrap w:val="0"/>
        <w:topLinePunct/>
        <w:adjustRightInd w:val="0"/>
        <w:snapToGrid w:val="0"/>
        <w:ind w:firstLine="480"/>
        <w:rPr>
          <w:rFonts w:cs="Times New Roman"/>
        </w:rPr>
      </w:pPr>
      <w:r>
        <w:rPr>
          <w:rFonts w:cs="Times New Roman"/>
        </w:rPr>
        <w:t>当</w:t>
      </w:r>
      <w:r>
        <w:rPr>
          <w:rFonts w:cs="Times New Roman"/>
        </w:rPr>
        <w:t>0.2&lt;</w:t>
      </w:r>
      <w:r>
        <w:rPr>
          <w:rFonts w:cs="Times New Roman"/>
        </w:rPr>
        <w:t>V/C≤0.7</w:t>
      </w:r>
      <w:r>
        <w:rPr>
          <w:rFonts w:cs="Times New Roman"/>
        </w:rPr>
        <w:t>时，平均车速按下列公式计算</w:t>
      </w:r>
      <w:r>
        <w:rPr>
          <w:rFonts w:cs="Times New Roman"/>
        </w:rPr>
        <w:t>:</w:t>
      </w:r>
    </w:p>
    <w:p w:rsidR="00A46452" w:rsidRDefault="009A3928" w:rsidP="00182EED">
      <w:pPr>
        <w:wordWrap w:val="0"/>
        <w:topLinePunct/>
        <w:adjustRightInd w:val="0"/>
        <w:snapToGrid w:val="0"/>
        <w:spacing w:line="300" w:lineRule="auto"/>
        <w:ind w:firstLine="600"/>
        <w:jc w:val="right"/>
        <w:rPr>
          <w:rFonts w:cs="Times New Roman"/>
          <w:sz w:val="30"/>
          <w:szCs w:val="30"/>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rPr>
                <m:t>ν</m:t>
              </m:r>
            </m:e>
            <m:sub>
              <m:r>
                <m:rPr>
                  <m:sty m:val="p"/>
                </m:rPr>
                <w:rPr>
                  <w:rFonts w:ascii="Cambria Math" w:hAnsi="Cambria Math" w:cs="Times New Roman"/>
                  <w:sz w:val="30"/>
                  <w:szCs w:val="30"/>
                </w:rPr>
                <m:t>i</m:t>
              </m:r>
            </m:sub>
          </m:sSub>
          <m:r>
            <m:rPr>
              <m:sty m:val="p"/>
            </m:rPr>
            <w:rPr>
              <w:rFonts w:ascii="Cambria Math" w:hAnsi="Cambria Math" w:cs="Times New Roman"/>
              <w:sz w:val="30"/>
              <w:szCs w:val="30"/>
            </w:rPr>
            <m:t>=</m:t>
          </m:r>
          <m:sSub>
            <m:sSubPr>
              <m:ctrlPr>
                <w:rPr>
                  <w:rFonts w:ascii="Cambria Math" w:hAnsi="Cambria Math" w:cs="Times New Roman"/>
                  <w:sz w:val="30"/>
                  <w:szCs w:val="30"/>
                </w:rPr>
              </m:ctrlPr>
            </m:sSubPr>
            <m:e>
              <m:r>
                <w:rPr>
                  <w:rFonts w:ascii="Cambria Math" w:hAnsi="Cambria Math" w:cs="Times New Roman"/>
                  <w:sz w:val="30"/>
                  <w:szCs w:val="30"/>
                </w:rPr>
                <m:t>（</m:t>
              </m:r>
              <m:r>
                <w:rPr>
                  <w:rFonts w:ascii="Cambria Math" w:hAnsi="Cambria Math" w:cs="Times New Roman"/>
                  <w:sz w:val="30"/>
                  <w:szCs w:val="30"/>
                </w:rPr>
                <m:t>k</m:t>
              </m:r>
            </m:e>
            <m:sub>
              <m:r>
                <w:rPr>
                  <w:rFonts w:ascii="Cambria Math" w:hAnsi="Cambria Math" w:cs="Times New Roman"/>
                  <w:sz w:val="30"/>
                  <w:szCs w:val="30"/>
                </w:rPr>
                <m:t>i</m:t>
              </m:r>
            </m:sub>
          </m:sSub>
          <m:sSub>
            <m:sSubPr>
              <m:ctrlPr>
                <w:rPr>
                  <w:rFonts w:ascii="Cambria Math" w:hAnsi="Cambria Math" w:cs="Times New Roman"/>
                  <w:i/>
                  <w:sz w:val="30"/>
                  <w:szCs w:val="30"/>
                </w:rPr>
              </m:ctrlPr>
            </m:sSubPr>
            <m:e>
              <m:r>
                <w:rPr>
                  <w:rFonts w:ascii="Cambria Math" w:hAnsi="Cambria Math" w:cs="Times New Roman"/>
                  <w:sz w:val="30"/>
                  <w:szCs w:val="30"/>
                </w:rPr>
                <m:t>u</m:t>
              </m:r>
            </m:e>
            <m:sub>
              <m:r>
                <w:rPr>
                  <w:rFonts w:ascii="Cambria Math" w:hAnsi="Cambria Math" w:cs="Times New Roman"/>
                  <w:sz w:val="30"/>
                  <w:szCs w:val="30"/>
                </w:rPr>
                <m:t>i</m:t>
              </m:r>
            </m:sub>
          </m:sSub>
          <m:r>
            <w:rPr>
              <w:rFonts w:ascii="Cambria Math" w:hAnsi="Cambria Math" w:cs="Times New Roman"/>
              <w:sz w:val="30"/>
              <w:szCs w:val="30"/>
            </w:rPr>
            <m:t>+</m:t>
          </m:r>
          <m:sSub>
            <m:sSubPr>
              <m:ctrlPr>
                <w:rPr>
                  <w:rFonts w:ascii="Cambria Math" w:hAnsi="Cambria Math" w:cs="Times New Roman"/>
                  <w:i/>
                  <w:sz w:val="30"/>
                  <w:szCs w:val="30"/>
                </w:rPr>
              </m:ctrlPr>
            </m:sSubPr>
            <m:e>
              <m:r>
                <w:rPr>
                  <w:rFonts w:ascii="Cambria Math" w:hAnsi="Cambria Math" w:cs="Times New Roman"/>
                  <w:sz w:val="30"/>
                  <w:szCs w:val="30"/>
                </w:rPr>
                <m:t>k</m:t>
              </m:r>
            </m:e>
            <m:sub>
              <m:r>
                <w:rPr>
                  <w:rFonts w:ascii="Cambria Math" w:hAnsi="Cambria Math" w:cs="Times New Roman"/>
                  <w:sz w:val="30"/>
                  <w:szCs w:val="30"/>
                </w:rPr>
                <m:t>2</m:t>
              </m:r>
            </m:sub>
          </m:sSub>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1</m:t>
              </m:r>
            </m:num>
            <m:den>
              <m:sSub>
                <m:sSubPr>
                  <m:ctrlPr>
                    <w:rPr>
                      <w:rFonts w:ascii="Cambria Math" w:hAnsi="Cambria Math" w:cs="Times New Roman"/>
                      <w:i/>
                      <w:sz w:val="30"/>
                      <w:szCs w:val="30"/>
                    </w:rPr>
                  </m:ctrlPr>
                </m:sSubPr>
                <m:e>
                  <m:r>
                    <w:rPr>
                      <w:rFonts w:ascii="Cambria Math" w:hAnsi="Cambria Math" w:cs="Times New Roman"/>
                      <w:sz w:val="30"/>
                      <w:szCs w:val="30"/>
                    </w:rPr>
                    <m:t>k</m:t>
                  </m:r>
                </m:e>
                <m:sub>
                  <m:r>
                    <w:rPr>
                      <w:rFonts w:ascii="Cambria Math" w:hAnsi="Cambria Math" w:cs="Times New Roman"/>
                      <w:sz w:val="30"/>
                      <w:szCs w:val="30"/>
                    </w:rPr>
                    <m:t>3</m:t>
                  </m:r>
                </m:sub>
              </m:sSub>
              <m:sSub>
                <m:sSubPr>
                  <m:ctrlPr>
                    <w:rPr>
                      <w:rFonts w:ascii="Cambria Math" w:hAnsi="Cambria Math" w:cs="Times New Roman"/>
                      <w:i/>
                      <w:sz w:val="30"/>
                      <w:szCs w:val="30"/>
                    </w:rPr>
                  </m:ctrlPr>
                </m:sSubPr>
                <m:e>
                  <m:r>
                    <w:rPr>
                      <w:rFonts w:ascii="Cambria Math" w:hAnsi="Cambria Math" w:cs="Times New Roman"/>
                      <w:sz w:val="30"/>
                      <w:szCs w:val="30"/>
                    </w:rPr>
                    <m:t>u</m:t>
                  </m:r>
                </m:e>
                <m:sub>
                  <m:r>
                    <w:rPr>
                      <w:rFonts w:ascii="Cambria Math" w:hAnsi="Cambria Math" w:cs="Times New Roman"/>
                      <w:sz w:val="30"/>
                      <w:szCs w:val="30"/>
                    </w:rPr>
                    <m:t>i</m:t>
                  </m:r>
                </m:sub>
              </m:sSub>
              <m:r>
                <w:rPr>
                  <w:rFonts w:ascii="Cambria Math" w:hAnsi="Cambria Math" w:cs="Times New Roman"/>
                  <w:sz w:val="30"/>
                  <w:szCs w:val="30"/>
                </w:rPr>
                <m:t>+</m:t>
              </m:r>
              <m:sSub>
                <m:sSubPr>
                  <m:ctrlPr>
                    <w:rPr>
                      <w:rFonts w:ascii="Cambria Math" w:hAnsi="Cambria Math" w:cs="Times New Roman"/>
                      <w:i/>
                      <w:sz w:val="30"/>
                      <w:szCs w:val="30"/>
                    </w:rPr>
                  </m:ctrlPr>
                </m:sSubPr>
                <m:e>
                  <m:r>
                    <w:rPr>
                      <w:rFonts w:ascii="Cambria Math" w:hAnsi="Cambria Math" w:cs="Times New Roman"/>
                      <w:sz w:val="30"/>
                      <w:szCs w:val="30"/>
                    </w:rPr>
                    <m:t>k</m:t>
                  </m:r>
                </m:e>
                <m:sub>
                  <m:r>
                    <w:rPr>
                      <w:rFonts w:ascii="Cambria Math" w:hAnsi="Cambria Math" w:cs="Times New Roman"/>
                      <w:sz w:val="30"/>
                      <w:szCs w:val="30"/>
                    </w:rPr>
                    <m:t>4</m:t>
                  </m:r>
                </m:sub>
              </m:sSub>
            </m:den>
          </m:f>
          <m:r>
            <w:rPr>
              <w:rFonts w:ascii="Cambria Math" w:hAnsi="Cambria Math" w:cs="Times New Roman"/>
              <w:sz w:val="30"/>
              <w:szCs w:val="30"/>
            </w:rPr>
            <m:t>)</m:t>
          </m:r>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V</m:t>
              </m:r>
            </m:num>
            <m:den>
              <m:r>
                <w:rPr>
                  <w:rFonts w:ascii="Cambria Math" w:hAnsi="Cambria Math" w:cs="Times New Roman"/>
                  <w:sz w:val="30"/>
                  <w:szCs w:val="30"/>
                </w:rPr>
                <m:t>120</m:t>
              </m:r>
            </m:den>
          </m:f>
        </m:oMath>
      </m:oMathPara>
    </w:p>
    <w:p w:rsidR="00A46452" w:rsidRDefault="009A3928" w:rsidP="00182EED">
      <w:pPr>
        <w:wordWrap w:val="0"/>
        <w:topLinePunct/>
        <w:adjustRightInd w:val="0"/>
        <w:snapToGrid w:val="0"/>
        <w:spacing w:line="300" w:lineRule="auto"/>
        <w:ind w:firstLine="600"/>
        <w:jc w:val="right"/>
        <w:rPr>
          <w:rFonts w:cs="Times New Roman"/>
          <w:i/>
          <w:sz w:val="30"/>
          <w:szCs w:val="30"/>
        </w:rPr>
      </w:pPr>
      <m:oMathPara>
        <m:oMath>
          <m:sSub>
            <m:sSubPr>
              <m:ctrlPr>
                <w:rPr>
                  <w:rFonts w:ascii="Cambria Math" w:hAnsi="Cambria Math" w:cs="Times New Roman"/>
                  <w:i/>
                  <w:sz w:val="30"/>
                  <w:szCs w:val="30"/>
                </w:rPr>
              </m:ctrlPr>
            </m:sSubPr>
            <m:e>
              <m:r>
                <w:rPr>
                  <w:rFonts w:ascii="Cambria Math" w:hAnsi="Cambria Math" w:cs="Times New Roman"/>
                  <w:sz w:val="30"/>
                  <w:szCs w:val="30"/>
                </w:rPr>
                <m:t xml:space="preserve">                  </m:t>
              </m:r>
              <m:r>
                <w:rPr>
                  <w:rFonts w:ascii="Cambria Math" w:hAnsi="Cambria Math" w:cs="Times New Roman"/>
                  <w:sz w:val="30"/>
                  <w:szCs w:val="30"/>
                </w:rPr>
                <m:t>u</m:t>
              </m:r>
            </m:e>
            <m:sub>
              <m:r>
                <w:rPr>
                  <w:rFonts w:ascii="Cambria Math" w:hAnsi="Cambria Math" w:cs="Times New Roman"/>
                  <w:sz w:val="30"/>
                  <w:szCs w:val="30"/>
                </w:rPr>
                <m:t>i</m:t>
              </m:r>
            </m:sub>
          </m:sSub>
          <m:r>
            <w:rPr>
              <w:rFonts w:ascii="Cambria Math" w:hAnsi="Cambria Math" w:cs="Times New Roman"/>
              <w:sz w:val="30"/>
              <w:szCs w:val="30"/>
            </w:rPr>
            <m:t>=</m:t>
          </m:r>
          <m:r>
            <w:rPr>
              <w:rFonts w:ascii="Cambria Math" w:hAnsi="Cambria Math" w:cs="Times New Roman"/>
              <w:sz w:val="30"/>
              <w:szCs w:val="30"/>
            </w:rPr>
            <m:t>vol</m:t>
          </m:r>
          <m:d>
            <m:dPr>
              <m:begChr m:val="["/>
              <m:endChr m:val="]"/>
              <m:ctrlPr>
                <w:rPr>
                  <w:rFonts w:ascii="Cambria Math" w:hAnsi="Cambria Math" w:cs="Times New Roman"/>
                  <w:i/>
                  <w:sz w:val="30"/>
                  <w:szCs w:val="30"/>
                </w:rPr>
              </m:ctrlPr>
            </m:dPr>
            <m:e>
              <m:sSub>
                <m:sSubPr>
                  <m:ctrlPr>
                    <w:rPr>
                      <w:rFonts w:ascii="Cambria Math" w:hAnsi="Cambria Math" w:cs="Times New Roman"/>
                      <w:i/>
                      <w:sz w:val="30"/>
                      <w:szCs w:val="30"/>
                    </w:rPr>
                  </m:ctrlPr>
                </m:sSubPr>
                <m:e>
                  <m:r>
                    <w:rPr>
                      <w:rFonts w:ascii="Cambria Math" w:hAnsi="Cambria Math" w:cs="Times New Roman"/>
                      <w:sz w:val="30"/>
                      <w:szCs w:val="30"/>
                    </w:rPr>
                    <m:t>η</m:t>
                  </m:r>
                </m:e>
                <m:sub>
                  <m:r>
                    <w:rPr>
                      <w:rFonts w:ascii="Cambria Math" w:hAnsi="Cambria Math" w:cs="Times New Roman"/>
                      <w:sz w:val="30"/>
                      <w:szCs w:val="30"/>
                    </w:rPr>
                    <m:t>i</m:t>
                  </m:r>
                </m:sub>
              </m:sSub>
              <m:r>
                <w:rPr>
                  <w:rFonts w:ascii="Cambria Math" w:hAnsi="Cambria Math" w:cs="Times New Roman"/>
                  <w:sz w:val="30"/>
                  <w:szCs w:val="30"/>
                </w:rPr>
                <m:t>+</m:t>
              </m:r>
              <m:sSub>
                <m:sSubPr>
                  <m:ctrlPr>
                    <w:rPr>
                      <w:rFonts w:ascii="Cambria Math" w:hAnsi="Cambria Math" w:cs="Times New Roman"/>
                      <w:i/>
                      <w:sz w:val="30"/>
                      <w:szCs w:val="30"/>
                    </w:rPr>
                  </m:ctrlPr>
                </m:sSubPr>
                <m:e>
                  <m:r>
                    <w:rPr>
                      <w:rFonts w:ascii="Cambria Math" w:hAnsi="Cambria Math" w:cs="Times New Roman"/>
                      <w:sz w:val="30"/>
                      <w:szCs w:val="30"/>
                    </w:rPr>
                    <m:t>m</m:t>
                  </m:r>
                </m:e>
                <m:sub>
                  <m:r>
                    <w:rPr>
                      <w:rFonts w:ascii="Cambria Math" w:hAnsi="Cambria Math" w:cs="Times New Roman"/>
                      <w:sz w:val="30"/>
                      <w:szCs w:val="30"/>
                    </w:rPr>
                    <m:t>i</m:t>
                  </m:r>
                </m:sub>
              </m:sSub>
              <m:d>
                <m:dPr>
                  <m:ctrlPr>
                    <w:rPr>
                      <w:rFonts w:ascii="Cambria Math" w:hAnsi="Cambria Math" w:cs="Times New Roman"/>
                      <w:i/>
                      <w:sz w:val="30"/>
                      <w:szCs w:val="30"/>
                    </w:rPr>
                  </m:ctrlPr>
                </m:dPr>
                <m:e>
                  <m:r>
                    <w:rPr>
                      <w:rFonts w:ascii="Cambria Math" w:hAnsi="Cambria Math" w:cs="Times New Roman"/>
                      <w:sz w:val="30"/>
                      <w:szCs w:val="30"/>
                    </w:rPr>
                    <m:t>1-</m:t>
                  </m:r>
                  <m:sSub>
                    <m:sSubPr>
                      <m:ctrlPr>
                        <w:rPr>
                          <w:rFonts w:ascii="Cambria Math" w:hAnsi="Cambria Math" w:cs="Times New Roman"/>
                          <w:i/>
                          <w:sz w:val="30"/>
                          <w:szCs w:val="30"/>
                        </w:rPr>
                      </m:ctrlPr>
                    </m:sSubPr>
                    <m:e>
                      <m:r>
                        <w:rPr>
                          <w:rFonts w:ascii="Cambria Math" w:hAnsi="Cambria Math" w:cs="Times New Roman"/>
                          <w:sz w:val="30"/>
                          <w:szCs w:val="30"/>
                        </w:rPr>
                        <m:t>η</m:t>
                      </m:r>
                    </m:e>
                    <m:sub>
                      <m:r>
                        <w:rPr>
                          <w:rFonts w:ascii="Cambria Math" w:hAnsi="Cambria Math" w:cs="Times New Roman"/>
                          <w:sz w:val="30"/>
                          <w:szCs w:val="30"/>
                        </w:rPr>
                        <m:t>i</m:t>
                      </m:r>
                    </m:sub>
                  </m:sSub>
                </m:e>
              </m:d>
            </m:e>
          </m:d>
        </m:oMath>
      </m:oMathPara>
    </w:p>
    <w:p w:rsidR="00A46452" w:rsidRDefault="009A3928">
      <w:pPr>
        <w:wordWrap w:val="0"/>
        <w:topLinePunct/>
        <w:adjustRightInd w:val="0"/>
        <w:snapToGrid w:val="0"/>
        <w:ind w:firstLine="480"/>
        <w:rPr>
          <w:rFonts w:cs="Times New Roman"/>
          <w:kern w:val="0"/>
        </w:rPr>
      </w:pPr>
      <w:r>
        <w:rPr>
          <w:rFonts w:cs="Times New Roman"/>
        </w:rPr>
        <w:t>式中：</w:t>
      </w:r>
      <m:oMath>
        <m:sSub>
          <m:sSubPr>
            <m:ctrlPr>
              <w:rPr>
                <w:rFonts w:ascii="Cambria Math" w:hAnsi="Cambria Math" w:cs="Times New Roman"/>
                <w:sz w:val="30"/>
                <w:szCs w:val="30"/>
              </w:rPr>
            </m:ctrlPr>
          </m:sSubPr>
          <m:e>
            <m:r>
              <m:rPr>
                <m:sty m:val="p"/>
              </m:rPr>
              <w:rPr>
                <w:rFonts w:ascii="Cambria Math" w:hAnsi="Cambria Math" w:cs="Times New Roman"/>
                <w:sz w:val="30"/>
                <w:szCs w:val="30"/>
              </w:rPr>
              <m:t>ν</m:t>
            </m:r>
          </m:e>
          <m:sub>
            <m:r>
              <m:rPr>
                <m:sty m:val="p"/>
              </m:rPr>
              <w:rPr>
                <w:rFonts w:ascii="Cambria Math" w:hAnsi="Cambria Math" w:cs="Times New Roman"/>
                <w:sz w:val="30"/>
                <w:szCs w:val="30"/>
              </w:rPr>
              <m:t>i</m:t>
            </m:r>
          </m:sub>
        </m:sSub>
      </m:oMath>
      <w:r>
        <w:rPr>
          <w:rFonts w:cs="Times New Roman"/>
        </w:rPr>
        <w:t>—</w:t>
      </w:r>
      <w:r>
        <w:rPr>
          <w:rFonts w:cs="Times New Roman"/>
          <w:kern w:val="0"/>
        </w:rPr>
        <w:t>第</w:t>
      </w:r>
      <w:r>
        <w:rPr>
          <w:rFonts w:cs="Times New Roman"/>
          <w:kern w:val="0"/>
        </w:rPr>
        <w:t>i</w:t>
      </w:r>
      <w:r>
        <w:rPr>
          <w:rFonts w:cs="Times New Roman"/>
          <w:kern w:val="0"/>
        </w:rPr>
        <w:t>种车型车辆的预测车速，</w:t>
      </w:r>
      <w:r>
        <w:rPr>
          <w:rFonts w:cs="Times New Roman"/>
          <w:kern w:val="0"/>
        </w:rPr>
        <w:t>km/h</w:t>
      </w:r>
      <w:r>
        <w:rPr>
          <w:rFonts w:cs="Times New Roman"/>
          <w:kern w:val="0"/>
        </w:rPr>
        <w:t>；当设计车速小于</w:t>
      </w:r>
      <w:r>
        <w:rPr>
          <w:rFonts w:cs="Times New Roman"/>
          <w:kern w:val="0"/>
        </w:rPr>
        <w:t>120km/h</w:t>
      </w:r>
      <w:r>
        <w:rPr>
          <w:rFonts w:cs="Times New Roman"/>
          <w:kern w:val="0"/>
        </w:rPr>
        <w:t>时，该</w:t>
      </w:r>
      <w:r>
        <w:rPr>
          <w:rFonts w:cs="Times New Roman"/>
          <w:kern w:val="0"/>
        </w:rPr>
        <w:t>车型</w:t>
      </w:r>
      <w:r>
        <w:rPr>
          <w:rFonts w:cs="Times New Roman"/>
          <w:kern w:val="0"/>
        </w:rPr>
        <w:t>预测车速按比例降低；</w:t>
      </w:r>
    </w:p>
    <w:p w:rsidR="00A46452" w:rsidRDefault="009A3928" w:rsidP="00182EED">
      <w:pPr>
        <w:wordWrap w:val="0"/>
        <w:topLinePunct/>
        <w:adjustRightInd w:val="0"/>
        <w:snapToGrid w:val="0"/>
        <w:ind w:firstLine="480"/>
        <w:jc w:val="left"/>
        <w:rPr>
          <w:rFonts w:cs="Times New Roman"/>
        </w:rPr>
      </w:pPr>
      <w:r>
        <w:rPr>
          <w:rFonts w:cs="Times New Roman"/>
          <w:spacing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pt;margin-top:19.6pt;width:12.5pt;height:23.15pt;z-index:251659264;mso-width-relative:page;mso-height-relative:page">
            <v:imagedata r:id="rId32" o:title=""/>
          </v:shape>
          <o:OLEObject Type="Embed" ProgID="Equation.3" ShapeID="_x0000_s1026" DrawAspect="Content" ObjectID="_1812464702" r:id="rId33"/>
        </w:pict>
      </w:r>
      <w:r>
        <w:rPr>
          <w:rFonts w:cs="Times New Roman"/>
          <w:i/>
          <w:iCs/>
          <w:spacing w:val="4"/>
        </w:rPr>
        <w:t>k</w:t>
      </w:r>
      <w:r>
        <w:rPr>
          <w:rFonts w:cs="Times New Roman"/>
          <w:i/>
          <w:iCs/>
          <w:spacing w:val="4"/>
          <w:vertAlign w:val="subscript"/>
        </w:rPr>
        <w:t>1</w:t>
      </w:r>
      <w:r>
        <w:rPr>
          <w:rFonts w:cs="Times New Roman"/>
          <w:i/>
          <w:iCs/>
          <w:spacing w:val="4"/>
        </w:rPr>
        <w:t>、</w:t>
      </w:r>
      <w:r>
        <w:rPr>
          <w:rFonts w:cs="Times New Roman"/>
          <w:i/>
          <w:iCs/>
          <w:spacing w:val="4"/>
        </w:rPr>
        <w:t>k</w:t>
      </w:r>
      <w:r>
        <w:rPr>
          <w:rFonts w:cs="Times New Roman"/>
          <w:i/>
          <w:iCs/>
          <w:spacing w:val="4"/>
          <w:vertAlign w:val="subscript"/>
        </w:rPr>
        <w:t>2</w:t>
      </w:r>
      <w:r>
        <w:rPr>
          <w:rFonts w:cs="Times New Roman"/>
          <w:i/>
          <w:iCs/>
          <w:spacing w:val="4"/>
        </w:rPr>
        <w:t>、</w:t>
      </w:r>
      <w:r>
        <w:rPr>
          <w:rFonts w:cs="Times New Roman"/>
          <w:i/>
          <w:iCs/>
          <w:spacing w:val="4"/>
        </w:rPr>
        <w:t>k</w:t>
      </w:r>
      <w:r>
        <w:rPr>
          <w:rFonts w:cs="Times New Roman"/>
          <w:i/>
          <w:iCs/>
          <w:spacing w:val="4"/>
          <w:vertAlign w:val="subscript"/>
        </w:rPr>
        <w:t>3</w:t>
      </w:r>
      <w:r>
        <w:rPr>
          <w:rFonts w:cs="Times New Roman"/>
          <w:i/>
          <w:iCs/>
          <w:spacing w:val="4"/>
        </w:rPr>
        <w:t>、</w:t>
      </w:r>
      <w:r>
        <w:rPr>
          <w:rFonts w:cs="Times New Roman"/>
          <w:i/>
          <w:iCs/>
          <w:spacing w:val="4"/>
        </w:rPr>
        <w:t>k</w:t>
      </w:r>
      <w:r>
        <w:rPr>
          <w:rFonts w:cs="Times New Roman"/>
          <w:i/>
          <w:iCs/>
          <w:spacing w:val="4"/>
          <w:vertAlign w:val="subscript"/>
        </w:rPr>
        <w:t>4</w:t>
      </w:r>
      <w:r>
        <w:rPr>
          <w:rFonts w:cs="Times New Roman"/>
        </w:rPr>
        <w:t>―</w:t>
      </w:r>
      <w:r>
        <w:rPr>
          <w:rFonts w:cs="Times New Roman"/>
        </w:rPr>
        <w:t>回归系数，按表</w:t>
      </w:r>
      <w:r>
        <w:rPr>
          <w:rFonts w:cs="Times New Roman"/>
        </w:rPr>
        <w:t>5</w:t>
      </w:r>
      <w:r>
        <w:rPr>
          <w:rFonts w:cs="Times New Roman"/>
        </w:rPr>
        <w:t>.</w:t>
      </w:r>
      <w:r>
        <w:rPr>
          <w:rFonts w:cs="Times New Roman"/>
        </w:rPr>
        <w:t>2</w:t>
      </w:r>
      <w:r>
        <w:rPr>
          <w:rFonts w:cs="Times New Roman"/>
        </w:rPr>
        <w:t>-1</w:t>
      </w:r>
      <w:r>
        <w:rPr>
          <w:rFonts w:cs="Times New Roman"/>
        </w:rPr>
        <w:t>6</w:t>
      </w:r>
      <w:r>
        <w:rPr>
          <w:rFonts w:cs="Times New Roman"/>
        </w:rPr>
        <w:t>取值；</w:t>
      </w:r>
    </w:p>
    <w:p w:rsidR="00A46452" w:rsidRDefault="009A3928" w:rsidP="00182EED">
      <w:pPr>
        <w:wordWrap w:val="0"/>
        <w:topLinePunct/>
        <w:adjustRightInd w:val="0"/>
        <w:snapToGrid w:val="0"/>
        <w:ind w:firstLine="480"/>
        <w:jc w:val="left"/>
        <w:rPr>
          <w:rFonts w:cs="Times New Roman"/>
          <w:spacing w:val="4"/>
        </w:rPr>
      </w:pPr>
      <w:r>
        <w:rPr>
          <w:rFonts w:cs="Times New Roman"/>
          <w:spacing w:val="6"/>
        </w:rPr>
        <w:pict>
          <v:shape id="_x0000_s1029" type="#_x0000_t75" style="position:absolute;left:0;text-align:left;margin-left:18.5pt;margin-top:18.35pt;width:12.5pt;height:23.15pt;z-index:251670528;mso-width-relative:page;mso-height-relative:page">
            <v:imagedata r:id="rId34" o:title=""/>
          </v:shape>
          <o:OLEObject Type="Embed" ProgID="Equation.3" ShapeID="_x0000_s1029" DrawAspect="Content" ObjectID="_1812464703" r:id="rId35"/>
        </w:pict>
      </w:r>
      <w:r>
        <w:rPr>
          <w:rFonts w:cs="Times New Roman"/>
        </w:rPr>
        <w:t xml:space="preserve">  </w:t>
      </w:r>
      <w:r>
        <w:rPr>
          <w:rFonts w:cs="Times New Roman"/>
        </w:rPr>
        <w:t>―</w:t>
      </w:r>
      <w:r>
        <w:rPr>
          <w:rFonts w:cs="Times New Roman"/>
          <w:spacing w:val="6"/>
        </w:rPr>
        <w:t>该车型当量车数；</w:t>
      </w:r>
    </w:p>
    <w:p w:rsidR="00A46452" w:rsidRDefault="009A3928">
      <w:pPr>
        <w:wordWrap w:val="0"/>
        <w:topLinePunct/>
        <w:adjustRightInd w:val="0"/>
        <w:snapToGrid w:val="0"/>
        <w:ind w:firstLine="496"/>
        <w:jc w:val="left"/>
        <w:rPr>
          <w:rFonts w:cs="Times New Roman"/>
          <w:spacing w:val="4"/>
        </w:rPr>
      </w:pPr>
      <w:r>
        <w:rPr>
          <w:rFonts w:cs="Times New Roman"/>
          <w:spacing w:val="4"/>
        </w:rPr>
        <w:t xml:space="preserve"> </w:t>
      </w:r>
      <w:r>
        <w:rPr>
          <w:rFonts w:cs="Times New Roman"/>
          <w:spacing w:val="4"/>
        </w:rPr>
        <w:t>—</w:t>
      </w:r>
      <w:r>
        <w:rPr>
          <w:rFonts w:cs="Times New Roman"/>
          <w:spacing w:val="6"/>
        </w:rPr>
        <w:t>该车型的车型比；</w:t>
      </w:r>
    </w:p>
    <w:p w:rsidR="00A46452" w:rsidRDefault="009A3928">
      <w:pPr>
        <w:wordWrap w:val="0"/>
        <w:topLinePunct/>
        <w:adjustRightInd w:val="0"/>
        <w:snapToGrid w:val="0"/>
        <w:ind w:firstLine="504"/>
        <w:jc w:val="left"/>
        <w:rPr>
          <w:rFonts w:cs="Times New Roman"/>
          <w:spacing w:val="6"/>
        </w:rPr>
      </w:pPr>
      <w:r>
        <w:rPr>
          <w:rFonts w:cs="Times New Roman"/>
          <w:i/>
          <w:iCs/>
          <w:spacing w:val="6"/>
        </w:rPr>
        <w:t>m</w:t>
      </w:r>
      <w:r>
        <w:rPr>
          <w:rFonts w:cs="Times New Roman"/>
          <w:i/>
          <w:iCs/>
          <w:spacing w:val="6"/>
          <w:vertAlign w:val="subscript"/>
        </w:rPr>
        <w:t>i</w:t>
      </w:r>
      <w:r>
        <w:rPr>
          <w:rFonts w:cs="Times New Roman"/>
          <w:spacing w:val="4"/>
        </w:rPr>
        <w:t>—</w:t>
      </w:r>
      <w:r>
        <w:rPr>
          <w:rFonts w:cs="Times New Roman"/>
          <w:spacing w:val="4"/>
        </w:rPr>
        <w:t>其他</w:t>
      </w:r>
      <w:r>
        <w:rPr>
          <w:rFonts w:cs="Times New Roman"/>
          <w:spacing w:val="6"/>
        </w:rPr>
        <w:t>车型的加权系数；</w:t>
      </w:r>
    </w:p>
    <w:p w:rsidR="00A46452" w:rsidRDefault="009A3928">
      <w:pPr>
        <w:wordWrap w:val="0"/>
        <w:topLinePunct/>
        <w:adjustRightInd w:val="0"/>
        <w:snapToGrid w:val="0"/>
        <w:ind w:firstLine="504"/>
        <w:jc w:val="left"/>
        <w:rPr>
          <w:rFonts w:cs="Times New Roman"/>
          <w:spacing w:val="4"/>
        </w:rPr>
      </w:pPr>
      <w:r>
        <w:rPr>
          <w:rFonts w:cs="Times New Roman"/>
          <w:i/>
          <w:spacing w:val="6"/>
        </w:rPr>
        <w:t>vol</w:t>
      </w:r>
      <w:r>
        <w:rPr>
          <w:rFonts w:cs="Times New Roman"/>
          <w:spacing w:val="4"/>
        </w:rPr>
        <w:t>—</w:t>
      </w:r>
      <w:r>
        <w:rPr>
          <w:rFonts w:cs="Times New Roman"/>
          <w:spacing w:val="4"/>
        </w:rPr>
        <w:t>单车道车流量。</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rPr>
        <w:t>5</w:t>
      </w:r>
      <w:r>
        <w:rPr>
          <w:rFonts w:eastAsia="黑体" w:cs="Times New Roman"/>
        </w:rPr>
        <w:t>.2-1</w:t>
      </w:r>
      <w:r>
        <w:rPr>
          <w:rFonts w:eastAsia="黑体" w:cs="Times New Roman"/>
        </w:rPr>
        <w:t xml:space="preserve">6              </w:t>
      </w:r>
      <w:r>
        <w:rPr>
          <w:rFonts w:eastAsia="黑体" w:cs="Times New Roman"/>
        </w:rPr>
        <w:t>预测车速计算公式系数取值表</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3"/>
        <w:gridCol w:w="1383"/>
        <w:gridCol w:w="1384"/>
        <w:gridCol w:w="1384"/>
        <w:gridCol w:w="1384"/>
        <w:gridCol w:w="1384"/>
      </w:tblGrid>
      <w:tr w:rsidR="00A46452">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车型</w:t>
            </w:r>
          </w:p>
        </w:tc>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k1</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k2</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k3</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k4</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mi</w:t>
            </w:r>
          </w:p>
        </w:tc>
      </w:tr>
      <w:tr w:rsidR="00A46452">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小型车</w:t>
            </w:r>
          </w:p>
        </w:tc>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-0.061748</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149.65</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-0.000023696</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-0.02099</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1.2102</w:t>
            </w:r>
          </w:p>
        </w:tc>
      </w:tr>
      <w:tr w:rsidR="00A46452">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中型车</w:t>
            </w:r>
          </w:p>
        </w:tc>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-0.057537</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149.38</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-0.000016390</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-0.01245</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0.8044</w:t>
            </w:r>
          </w:p>
        </w:tc>
      </w:tr>
      <w:tr w:rsidR="00A46452">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大型车</w:t>
            </w:r>
          </w:p>
        </w:tc>
        <w:tc>
          <w:tcPr>
            <w:tcW w:w="1383"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-0.051900</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149.39</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-0.000014202</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-0.01254</w:t>
            </w:r>
          </w:p>
        </w:tc>
        <w:tc>
          <w:tcPr>
            <w:tcW w:w="1384" w:type="dxa"/>
            <w:vAlign w:val="center"/>
          </w:tcPr>
          <w:p w:rsidR="00A46452" w:rsidRDefault="009A3928">
            <w:pPr>
              <w:wordWrap w:val="0"/>
              <w:topLinePunct/>
              <w:adjustRightInd w:val="0"/>
              <w:snapToGrid w:val="0"/>
              <w:spacing w:line="240" w:lineRule="exact"/>
              <w:ind w:firstLineChars="0" w:firstLine="0"/>
              <w:jc w:val="center"/>
              <w:rPr>
                <w:rFonts w:eastAsiaTheme="minorEastAsia" w:cs="Times New Roman"/>
                <w:sz w:val="18"/>
                <w:szCs w:val="18"/>
              </w:rPr>
            </w:pPr>
            <w:r>
              <w:rPr>
                <w:rFonts w:eastAsiaTheme="minorEastAsia" w:cs="Times New Roman"/>
                <w:sz w:val="18"/>
                <w:szCs w:val="18"/>
              </w:rPr>
              <w:t>0.70957</w:t>
            </w:r>
          </w:p>
        </w:tc>
      </w:tr>
    </w:tbl>
    <w:p w:rsidR="00A46452" w:rsidRDefault="009A3928">
      <w:pPr>
        <w:wordWrap w:val="0"/>
        <w:topLinePunct/>
        <w:adjustRightInd w:val="0"/>
        <w:snapToGrid w:val="0"/>
        <w:ind w:firstLine="480"/>
        <w:rPr>
          <w:rFonts w:cs="Times New Roman"/>
        </w:rPr>
      </w:pPr>
      <w:r>
        <w:rPr>
          <w:rFonts w:cs="Times New Roman"/>
        </w:rPr>
        <w:t>当</w:t>
      </w:r>
      <w:r>
        <w:rPr>
          <w:rFonts w:cs="Times New Roman"/>
        </w:rPr>
        <w:t>V/C&gt;0.7</w:t>
      </w:r>
      <w:r>
        <w:rPr>
          <w:rFonts w:cs="Times New Roman"/>
        </w:rPr>
        <w:t>时：</w:t>
      </w:r>
    </w:p>
    <w:p w:rsidR="00A46452" w:rsidRDefault="009A3928">
      <w:pPr>
        <w:wordWrap w:val="0"/>
        <w:topLinePunct/>
        <w:adjustRightInd w:val="0"/>
        <w:snapToGrid w:val="0"/>
        <w:ind w:firstLine="480"/>
        <w:rPr>
          <w:rFonts w:cs="Times New Roman"/>
        </w:rPr>
      </w:pPr>
      <w:r>
        <w:rPr>
          <w:rFonts w:cs="Times New Roman"/>
        </w:rPr>
        <w:t>各类型车车速取同一值，通常可按路段设计车速的</w:t>
      </w:r>
      <w:r>
        <w:rPr>
          <w:rFonts w:cs="Times New Roman"/>
        </w:rPr>
        <w:t>50</w:t>
      </w:r>
      <w:r>
        <w:rPr>
          <w:rFonts w:cs="Times New Roman"/>
        </w:rPr>
        <w:t>％取平均车速。</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w:t>
      </w:r>
      <w:r>
        <w:rPr>
          <w:rFonts w:cs="Times New Roman"/>
        </w:rPr>
        <w:t>噪声</w:t>
      </w:r>
      <w:r>
        <w:rPr>
          <w:rFonts w:cs="Times New Roman"/>
        </w:rPr>
        <w:t>源强</w:t>
      </w:r>
    </w:p>
    <w:p w:rsidR="00A46452" w:rsidRDefault="009A3928">
      <w:pPr>
        <w:wordWrap w:val="0"/>
        <w:topLinePunct/>
        <w:adjustRightInd w:val="0"/>
        <w:snapToGrid w:val="0"/>
        <w:ind w:firstLine="480"/>
        <w:rPr>
          <w:rFonts w:cs="Times New Roman"/>
        </w:rPr>
      </w:pPr>
      <w:r>
        <w:rPr>
          <w:rFonts w:cs="Times New Roman"/>
        </w:rPr>
        <w:t>本项目二级公路设计时速为</w:t>
      </w:r>
      <w:r>
        <w:rPr>
          <w:rFonts w:cs="Times New Roman"/>
        </w:rPr>
        <w:t>60</w:t>
      </w:r>
      <w:r>
        <w:rPr>
          <w:rFonts w:cs="Times New Roman"/>
        </w:rPr>
        <w:t>km/h</w:t>
      </w:r>
      <w:r>
        <w:rPr>
          <w:rFonts w:cs="Times New Roman"/>
        </w:rPr>
        <w:t>、</w:t>
      </w:r>
      <w:r>
        <w:rPr>
          <w:rFonts w:cs="Times New Roman"/>
        </w:rPr>
        <w:t>80km/h</w:t>
      </w:r>
      <w:r>
        <w:rPr>
          <w:rFonts w:cs="Times New Roman"/>
        </w:rPr>
        <w:t>。根据上面的内容，计算得到不同时期拟建道路大、小、中型车</w:t>
      </w:r>
      <w:r>
        <w:rPr>
          <w:rFonts w:cs="Times New Roman"/>
        </w:rPr>
        <w:t>7.5m</w:t>
      </w:r>
      <w:r>
        <w:rPr>
          <w:rFonts w:cs="Times New Roman"/>
        </w:rPr>
        <w:t>处平均辐射声级预测结果见表</w:t>
      </w:r>
      <w:r>
        <w:rPr>
          <w:rFonts w:cs="Times New Roman" w:hint="eastAsia"/>
        </w:rPr>
        <w:t>5</w:t>
      </w:r>
      <w:r>
        <w:rPr>
          <w:rFonts w:cs="Times New Roman"/>
        </w:rPr>
        <w:t>.2-1</w:t>
      </w:r>
      <w:r>
        <w:rPr>
          <w:rFonts w:cs="Times New Roman" w:hint="eastAsia"/>
        </w:rPr>
        <w:t>7</w:t>
      </w:r>
      <w:r>
        <w:rPr>
          <w:rFonts w:cs="Times New Roman"/>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.2-1</w:t>
      </w:r>
      <w:r>
        <w:rPr>
          <w:rFonts w:eastAsia="黑体" w:cs="Times New Roman" w:hint="eastAsia"/>
        </w:rPr>
        <w:t>7</w:t>
      </w:r>
      <w:r>
        <w:rPr>
          <w:rFonts w:eastAsia="黑体" w:cs="Times New Roman"/>
        </w:rPr>
        <w:t xml:space="preserve">         </w:t>
      </w:r>
      <w:r>
        <w:rPr>
          <w:rFonts w:eastAsia="黑体" w:cs="Times New Roman"/>
        </w:rPr>
        <w:t>营运各期各车型噪声排放源强（</w:t>
      </w:r>
      <w:r>
        <w:rPr>
          <w:rFonts w:eastAsia="黑体" w:cs="Times New Roman"/>
        </w:rPr>
        <w:t>7.5m</w:t>
      </w:r>
      <w:r>
        <w:rPr>
          <w:rFonts w:eastAsia="黑体" w:cs="Times New Roman"/>
        </w:rPr>
        <w:t>）（单位：</w:t>
      </w:r>
      <w:r>
        <w:rPr>
          <w:rFonts w:eastAsia="黑体" w:cs="Times New Roman"/>
        </w:rPr>
        <w:t>dB(A)</w:t>
      </w:r>
      <w:r>
        <w:rPr>
          <w:rFonts w:eastAsia="黑体" w:cs="Times New Roman"/>
        </w:rPr>
        <w:t>）</w:t>
      </w:r>
    </w:p>
    <w:tbl>
      <w:tblPr>
        <w:tblStyle w:val="TableNormal"/>
        <w:tblW w:w="512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54"/>
        <w:gridCol w:w="2531"/>
        <w:gridCol w:w="1342"/>
        <w:gridCol w:w="642"/>
        <w:gridCol w:w="642"/>
        <w:gridCol w:w="641"/>
        <w:gridCol w:w="642"/>
        <w:gridCol w:w="641"/>
        <w:gridCol w:w="808"/>
      </w:tblGrid>
      <w:tr w:rsidR="00A46452">
        <w:trPr>
          <w:trHeight w:val="314"/>
          <w:jc w:val="center"/>
        </w:trPr>
        <w:tc>
          <w:tcPr>
            <w:tcW w:w="382"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序号</w:t>
            </w:r>
          </w:p>
        </w:tc>
        <w:tc>
          <w:tcPr>
            <w:tcW w:w="1480"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路段</w:t>
            </w:r>
          </w:p>
        </w:tc>
        <w:tc>
          <w:tcPr>
            <w:tcW w:w="784"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车型</w:t>
            </w:r>
          </w:p>
        </w:tc>
        <w:tc>
          <w:tcPr>
            <w:tcW w:w="751" w:type="pct"/>
            <w:gridSpan w:val="2"/>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202</w:t>
            </w:r>
            <w:r>
              <w:rPr>
                <w:rFonts w:eastAsia="宋体"/>
                <w:spacing w:val="3"/>
                <w:sz w:val="21"/>
                <w:szCs w:val="21"/>
                <w:lang w:eastAsia="zh-CN"/>
              </w:rPr>
              <w:t>8</w:t>
            </w:r>
            <w:r>
              <w:rPr>
                <w:spacing w:val="3"/>
                <w:sz w:val="21"/>
                <w:szCs w:val="21"/>
              </w:rPr>
              <w:t>年</w:t>
            </w:r>
          </w:p>
        </w:tc>
        <w:tc>
          <w:tcPr>
            <w:tcW w:w="751" w:type="pct"/>
            <w:gridSpan w:val="2"/>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203</w:t>
            </w:r>
            <w:r>
              <w:rPr>
                <w:rFonts w:eastAsia="宋体"/>
                <w:spacing w:val="3"/>
                <w:sz w:val="21"/>
                <w:szCs w:val="21"/>
                <w:lang w:eastAsia="zh-CN"/>
              </w:rPr>
              <w:t>2</w:t>
            </w:r>
            <w:r>
              <w:rPr>
                <w:spacing w:val="3"/>
                <w:sz w:val="21"/>
                <w:szCs w:val="21"/>
              </w:rPr>
              <w:t>年</w:t>
            </w:r>
          </w:p>
        </w:tc>
        <w:tc>
          <w:tcPr>
            <w:tcW w:w="848" w:type="pct"/>
            <w:gridSpan w:val="2"/>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204</w:t>
            </w:r>
            <w:r>
              <w:rPr>
                <w:rFonts w:eastAsia="宋体"/>
                <w:spacing w:val="3"/>
                <w:sz w:val="21"/>
                <w:szCs w:val="21"/>
                <w:lang w:eastAsia="zh-CN"/>
              </w:rPr>
              <w:t>2</w:t>
            </w:r>
            <w:r>
              <w:rPr>
                <w:spacing w:val="3"/>
                <w:sz w:val="21"/>
                <w:szCs w:val="21"/>
              </w:rPr>
              <w:t>年</w:t>
            </w:r>
          </w:p>
        </w:tc>
      </w:tr>
      <w:tr w:rsidR="00A46452">
        <w:trPr>
          <w:trHeight w:val="346"/>
          <w:jc w:val="center"/>
        </w:trPr>
        <w:tc>
          <w:tcPr>
            <w:tcW w:w="382"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14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784"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375"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昼间</w:t>
            </w:r>
          </w:p>
        </w:tc>
        <w:tc>
          <w:tcPr>
            <w:tcW w:w="37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夜间</w:t>
            </w:r>
          </w:p>
        </w:tc>
        <w:tc>
          <w:tcPr>
            <w:tcW w:w="375"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昼间</w:t>
            </w:r>
          </w:p>
        </w:tc>
        <w:tc>
          <w:tcPr>
            <w:tcW w:w="37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夜间</w:t>
            </w:r>
          </w:p>
        </w:tc>
        <w:tc>
          <w:tcPr>
            <w:tcW w:w="375"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昼间</w:t>
            </w:r>
          </w:p>
        </w:tc>
        <w:tc>
          <w:tcPr>
            <w:tcW w:w="473"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夜间</w:t>
            </w:r>
          </w:p>
        </w:tc>
      </w:tr>
      <w:tr w:rsidR="00A46452">
        <w:trPr>
          <w:trHeight w:val="277"/>
          <w:jc w:val="center"/>
        </w:trPr>
        <w:tc>
          <w:tcPr>
            <w:tcW w:w="382" w:type="pct"/>
            <w:vMerge w:val="restar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eastAsia="Times New Roman" w:cs="Times New Roman"/>
                <w:sz w:val="21"/>
              </w:rPr>
              <w:t>1</w:t>
            </w:r>
          </w:p>
        </w:tc>
        <w:tc>
          <w:tcPr>
            <w:tcW w:w="1480" w:type="pct"/>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kern w:val="0"/>
                <w:sz w:val="21"/>
                <w:lang w:bidi="ar"/>
              </w:rPr>
              <w:t>K0+000-K107+177</w:t>
            </w:r>
          </w:p>
        </w:tc>
        <w:tc>
          <w:tcPr>
            <w:tcW w:w="784"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小型车</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76.06</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76.17</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75.94</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76.12</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75.74</w:t>
            </w:r>
          </w:p>
        </w:tc>
        <w:tc>
          <w:tcPr>
            <w:tcW w:w="473"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76.05</w:t>
            </w:r>
          </w:p>
        </w:tc>
      </w:tr>
      <w:tr w:rsidR="00A46452">
        <w:trPr>
          <w:trHeight w:val="277"/>
          <w:jc w:val="center"/>
        </w:trPr>
        <w:tc>
          <w:tcPr>
            <w:tcW w:w="382"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14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784"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中型车</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76.85</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76.54</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77.06</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76.69</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77.26</w:t>
            </w:r>
          </w:p>
        </w:tc>
        <w:tc>
          <w:tcPr>
            <w:tcW w:w="473"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76.87</w:t>
            </w:r>
          </w:p>
        </w:tc>
      </w:tr>
      <w:tr w:rsidR="00A46452">
        <w:trPr>
          <w:trHeight w:val="331"/>
          <w:jc w:val="center"/>
        </w:trPr>
        <w:tc>
          <w:tcPr>
            <w:tcW w:w="382"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14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1"/>
              </w:rPr>
            </w:pPr>
          </w:p>
        </w:tc>
        <w:tc>
          <w:tcPr>
            <w:tcW w:w="784"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6"/>
                <w:sz w:val="21"/>
                <w:szCs w:val="21"/>
              </w:rPr>
              <w:t>大型车</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83.01</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82.80</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83.16</w:t>
            </w:r>
          </w:p>
        </w:tc>
        <w:tc>
          <w:tcPr>
            <w:tcW w:w="376"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82.90</w:t>
            </w:r>
          </w:p>
        </w:tc>
        <w:tc>
          <w:tcPr>
            <w:tcW w:w="375"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83.32</w:t>
            </w:r>
          </w:p>
        </w:tc>
        <w:tc>
          <w:tcPr>
            <w:tcW w:w="473"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sz w:val="21"/>
              </w:rPr>
            </w:pPr>
            <w:r>
              <w:rPr>
                <w:rFonts w:cs="Times New Roman"/>
                <w:sz w:val="21"/>
              </w:rPr>
              <w:t>83.02</w:t>
            </w:r>
          </w:p>
        </w:tc>
      </w:tr>
    </w:tbl>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5.2.2.4</w:t>
      </w:r>
      <w:r>
        <w:rPr>
          <w:rFonts w:cs="Times New Roman" w:hint="default"/>
          <w:iCs/>
        </w:rPr>
        <w:t>营运期固体废物</w:t>
      </w:r>
    </w:p>
    <w:p w:rsidR="00A46452" w:rsidRDefault="009A3928">
      <w:pPr>
        <w:wordWrap w:val="0"/>
        <w:topLinePunct/>
        <w:adjustRightInd w:val="0"/>
        <w:snapToGrid w:val="0"/>
        <w:ind w:firstLine="480"/>
        <w:rPr>
          <w:rFonts w:cs="Times New Roman"/>
        </w:rPr>
      </w:pPr>
      <w:r>
        <w:rPr>
          <w:rFonts w:cs="Times New Roman"/>
        </w:rPr>
        <w:t>营运期固体废物主要为服务区的生活垃圾（含厨余垃圾）、生化污水处理污泥。</w:t>
      </w:r>
    </w:p>
    <w:p w:rsidR="00A46452" w:rsidRDefault="009A3928">
      <w:pPr>
        <w:wordWrap w:val="0"/>
        <w:topLinePunct/>
        <w:adjustRightInd w:val="0"/>
        <w:snapToGrid w:val="0"/>
        <w:ind w:firstLine="480"/>
        <w:rPr>
          <w:rFonts w:cs="Times New Roman"/>
        </w:rPr>
      </w:pPr>
      <w:r>
        <w:rPr>
          <w:rFonts w:cs="Times New Roman"/>
        </w:rPr>
        <w:t>1</w:t>
      </w:r>
      <w:r>
        <w:rPr>
          <w:rFonts w:cs="Times New Roman"/>
        </w:rPr>
        <w:t>、生活垃圾（含厨余垃圾）</w:t>
      </w:r>
    </w:p>
    <w:p w:rsidR="00A46452" w:rsidRDefault="009A3928">
      <w:pPr>
        <w:wordWrap w:val="0"/>
        <w:topLinePunct/>
        <w:adjustRightInd w:val="0"/>
        <w:snapToGrid w:val="0"/>
        <w:ind w:firstLine="480"/>
        <w:rPr>
          <w:rFonts w:cs="Times New Roman"/>
        </w:rPr>
      </w:pPr>
      <w:r>
        <w:rPr>
          <w:rFonts w:cs="Times New Roman"/>
        </w:rPr>
        <w:t>全线设置服务区</w:t>
      </w:r>
      <w:r>
        <w:rPr>
          <w:rFonts w:cs="Times New Roman"/>
        </w:rPr>
        <w:t>2</w:t>
      </w:r>
      <w:r>
        <w:rPr>
          <w:rFonts w:cs="Times New Roman"/>
        </w:rPr>
        <w:t>处，服务区工作人员按照</w:t>
      </w:r>
      <w:r>
        <w:rPr>
          <w:rFonts w:cs="Times New Roman"/>
        </w:rPr>
        <w:t>20</w:t>
      </w:r>
      <w:r>
        <w:rPr>
          <w:rFonts w:cs="Times New Roman"/>
        </w:rPr>
        <w:t>人计，治超站工作人员按照</w:t>
      </w:r>
      <w:r>
        <w:rPr>
          <w:rFonts w:cs="Times New Roman"/>
        </w:rPr>
        <w:t>50</w:t>
      </w:r>
      <w:r>
        <w:rPr>
          <w:rFonts w:cs="Times New Roman"/>
        </w:rPr>
        <w:t>人计，常驻人员人均生活垃圾（包括餐厨垃圾）产量按</w:t>
      </w:r>
      <w:r>
        <w:rPr>
          <w:rFonts w:cs="Times New Roman"/>
        </w:rPr>
        <w:t>1kg/</w:t>
      </w:r>
      <w:r>
        <w:rPr>
          <w:rFonts w:cs="Times New Roman"/>
        </w:rPr>
        <w:t>人</w:t>
      </w:r>
      <w:r>
        <w:rPr>
          <w:rFonts w:cs="Times New Roman"/>
        </w:rPr>
        <w:t>·d</w:t>
      </w:r>
      <w:r>
        <w:rPr>
          <w:rFonts w:cs="Times New Roman"/>
        </w:rPr>
        <w:t>计，流动人员按</w:t>
      </w:r>
      <w:r>
        <w:rPr>
          <w:rFonts w:cs="Times New Roman"/>
        </w:rPr>
        <w:t>242</w:t>
      </w:r>
      <w:r>
        <w:rPr>
          <w:rFonts w:cs="Times New Roman"/>
        </w:rPr>
        <w:t>人计，人均生活垃圾（包括餐厨垃圾）产量按</w:t>
      </w:r>
      <w:r>
        <w:rPr>
          <w:rFonts w:cs="Times New Roman"/>
        </w:rPr>
        <w:t>0.2kg/</w:t>
      </w:r>
      <w:r>
        <w:rPr>
          <w:rFonts w:cs="Times New Roman"/>
        </w:rPr>
        <w:t>人</w:t>
      </w:r>
      <w:r>
        <w:rPr>
          <w:rFonts w:cs="Times New Roman"/>
        </w:rPr>
        <w:t>·d</w:t>
      </w:r>
      <w:r>
        <w:rPr>
          <w:rFonts w:cs="Times New Roman"/>
        </w:rPr>
        <w:t>计，生活垃圾产生量</w:t>
      </w:r>
      <w:r>
        <w:rPr>
          <w:rFonts w:cs="Times New Roman"/>
        </w:rPr>
        <w:t>118.4t/a</w:t>
      </w:r>
      <w:r>
        <w:rPr>
          <w:rFonts w:cs="Times New Roman"/>
        </w:rPr>
        <w:t>。</w:t>
      </w:r>
    </w:p>
    <w:p w:rsidR="00A46452" w:rsidRDefault="009A3928">
      <w:pPr>
        <w:wordWrap w:val="0"/>
        <w:topLinePunct/>
        <w:adjustRightInd w:val="0"/>
        <w:snapToGrid w:val="0"/>
        <w:ind w:firstLine="480"/>
        <w:rPr>
          <w:rFonts w:cs="Times New Roman"/>
        </w:rPr>
      </w:pPr>
      <w:r>
        <w:rPr>
          <w:rFonts w:cs="Times New Roman"/>
        </w:rPr>
        <w:t>2</w:t>
      </w:r>
      <w:r>
        <w:rPr>
          <w:rFonts w:cs="Times New Roman"/>
        </w:rPr>
        <w:t>、生化处理污泥</w:t>
      </w:r>
    </w:p>
    <w:p w:rsidR="00A46452" w:rsidRDefault="009A3928">
      <w:pPr>
        <w:wordWrap w:val="0"/>
        <w:topLinePunct/>
        <w:adjustRightInd w:val="0"/>
        <w:snapToGrid w:val="0"/>
        <w:ind w:firstLine="480"/>
        <w:rPr>
          <w:rFonts w:cs="Times New Roman"/>
        </w:rPr>
      </w:pPr>
      <w:r>
        <w:rPr>
          <w:rFonts w:cs="Times New Roman"/>
        </w:rPr>
        <w:t>项目沿线各服务区的污水处理设施污泥主要为生化处理污泥，拟采用</w:t>
      </w:r>
      <w:r>
        <w:rPr>
          <w:rFonts w:cs="Times New Roman"/>
        </w:rPr>
        <w:t>A</w:t>
      </w:r>
      <w:r>
        <w:rPr>
          <w:rFonts w:cs="Times New Roman"/>
          <w:vertAlign w:val="subscript"/>
        </w:rPr>
        <w:t>2</w:t>
      </w:r>
      <w:r>
        <w:rPr>
          <w:rFonts w:cs="Times New Roman"/>
        </w:rPr>
        <w:t>O</w:t>
      </w:r>
      <w:r>
        <w:rPr>
          <w:rFonts w:cs="Times New Roman"/>
        </w:rPr>
        <w:t>处理工艺，根据调查，该工艺污水处理装置污泥产生量为</w:t>
      </w:r>
      <w:r>
        <w:rPr>
          <w:rFonts w:cs="Times New Roman"/>
        </w:rPr>
        <w:t>每</w:t>
      </w:r>
      <w:r>
        <w:rPr>
          <w:rFonts w:cs="Times New Roman"/>
        </w:rPr>
        <w:t>1000t</w:t>
      </w:r>
      <w:r>
        <w:rPr>
          <w:rFonts w:cs="Times New Roman"/>
        </w:rPr>
        <w:t>污水产生污泥（含水率</w:t>
      </w:r>
      <w:r>
        <w:rPr>
          <w:rFonts w:cs="Times New Roman"/>
        </w:rPr>
        <w:t>80%</w:t>
      </w:r>
      <w:r>
        <w:rPr>
          <w:rFonts w:cs="Times New Roman"/>
        </w:rPr>
        <w:t>）</w:t>
      </w:r>
      <w:r>
        <w:rPr>
          <w:rFonts w:cs="Times New Roman"/>
        </w:rPr>
        <w:t>7t~8t</w:t>
      </w:r>
      <w:r>
        <w:rPr>
          <w:rFonts w:cs="Times New Roman"/>
        </w:rPr>
        <w:t>（本次以</w:t>
      </w:r>
      <w:r>
        <w:rPr>
          <w:rFonts w:cs="Times New Roman"/>
        </w:rPr>
        <w:t>8t</w:t>
      </w:r>
      <w:r>
        <w:rPr>
          <w:rFonts w:cs="Times New Roman"/>
        </w:rPr>
        <w:t>计），本工程各服务区污水产生量为</w:t>
      </w:r>
      <w:r>
        <w:rPr>
          <w:rFonts w:cs="Times New Roman"/>
        </w:rPr>
        <w:t>2708.3t/a</w:t>
      </w:r>
      <w:r>
        <w:rPr>
          <w:rFonts w:cs="Times New Roman"/>
        </w:rPr>
        <w:t>，则生化处理污泥产生量约</w:t>
      </w:r>
      <w:r>
        <w:rPr>
          <w:rFonts w:cs="Times New Roman"/>
        </w:rPr>
        <w:t>21.67t/a</w:t>
      </w:r>
      <w:r>
        <w:rPr>
          <w:rFonts w:cs="Times New Roman"/>
        </w:rPr>
        <w:t>。</w:t>
      </w:r>
    </w:p>
    <w:p w:rsidR="00A46452" w:rsidRDefault="009A3928" w:rsidP="00182EED">
      <w:pPr>
        <w:pStyle w:val="42"/>
        <w:keepNext w:val="0"/>
        <w:keepLines w:val="0"/>
        <w:wordWrap w:val="0"/>
        <w:topLinePunct/>
        <w:adjustRightInd w:val="0"/>
        <w:snapToGrid w:val="0"/>
        <w:spacing w:beforeLines="50" w:before="156" w:afterLines="50" w:after="156" w:line="240" w:lineRule="auto"/>
        <w:rPr>
          <w:rFonts w:cs="Times New Roman" w:hint="default"/>
          <w:iCs/>
        </w:rPr>
      </w:pPr>
      <w:r>
        <w:rPr>
          <w:rFonts w:cs="Times New Roman" w:hint="default"/>
          <w:iCs/>
        </w:rPr>
        <w:t>5.2.2.5</w:t>
      </w:r>
      <w:r>
        <w:rPr>
          <w:rFonts w:cs="Times New Roman" w:hint="default"/>
          <w:iCs/>
        </w:rPr>
        <w:t>环境风险</w:t>
      </w:r>
    </w:p>
    <w:p w:rsidR="00A46452" w:rsidRDefault="009A3928">
      <w:pPr>
        <w:wordWrap w:val="0"/>
        <w:topLinePunct/>
        <w:adjustRightInd w:val="0"/>
        <w:snapToGrid w:val="0"/>
        <w:ind w:firstLine="480"/>
        <w:rPr>
          <w:rFonts w:cs="Times New Roman"/>
        </w:rPr>
      </w:pPr>
      <w:r>
        <w:rPr>
          <w:rFonts w:cs="Times New Roman"/>
        </w:rPr>
        <w:t>（</w:t>
      </w:r>
      <w:r>
        <w:rPr>
          <w:rFonts w:cs="Times New Roman"/>
        </w:rPr>
        <w:t>1</w:t>
      </w:r>
      <w:r>
        <w:rPr>
          <w:rFonts w:cs="Times New Roman"/>
        </w:rPr>
        <w:t>）环境风险调查</w:t>
      </w:r>
    </w:p>
    <w:p w:rsidR="00A46452" w:rsidRDefault="009A3928">
      <w:pPr>
        <w:wordWrap w:val="0"/>
        <w:topLinePunct/>
        <w:adjustRightInd w:val="0"/>
        <w:snapToGrid w:val="0"/>
        <w:ind w:firstLine="480"/>
        <w:rPr>
          <w:rFonts w:cs="Times New Roman"/>
        </w:rPr>
      </w:pPr>
      <w:r>
        <w:rPr>
          <w:rFonts w:cs="Times New Roman"/>
        </w:rPr>
        <w:t>本项目为公路建设项目，路线本身不涉及危险物质的生产、使用和储存（包括使用管线运输）。根据项目特点，考虑到公路上行驶的部分车辆承担运输油品、危险品等可能发生环境风险的物质，一旦危险品车辆在跨河桥梁段发生泄漏，有可能造成地表水污染。</w:t>
      </w:r>
    </w:p>
    <w:p w:rsidR="00A46452" w:rsidRDefault="009A3928">
      <w:pPr>
        <w:wordWrap w:val="0"/>
        <w:topLinePunct/>
        <w:adjustRightInd w:val="0"/>
        <w:snapToGrid w:val="0"/>
        <w:ind w:firstLine="480"/>
        <w:rPr>
          <w:rFonts w:cs="Times New Roman"/>
        </w:rPr>
      </w:pPr>
      <w:r>
        <w:rPr>
          <w:rFonts w:cs="Times New Roman"/>
        </w:rPr>
        <w:t>（</w:t>
      </w:r>
      <w:r>
        <w:rPr>
          <w:rFonts w:cs="Times New Roman"/>
        </w:rPr>
        <w:t>2</w:t>
      </w:r>
      <w:r>
        <w:rPr>
          <w:rFonts w:cs="Times New Roman"/>
        </w:rPr>
        <w:t>）主要危险物质及分布情况</w:t>
      </w:r>
    </w:p>
    <w:p w:rsidR="00A46452" w:rsidRDefault="009A3928" w:rsidP="00182EED">
      <w:pPr>
        <w:wordWrap w:val="0"/>
        <w:topLinePunct/>
        <w:adjustRightInd w:val="0"/>
        <w:snapToGrid w:val="0"/>
        <w:ind w:firstLine="480"/>
        <w:rPr>
          <w:rFonts w:cs="Times New Roman"/>
        </w:rPr>
      </w:pPr>
      <w:r>
        <w:rPr>
          <w:rFonts w:cs="Times New Roman"/>
        </w:rPr>
        <w:t>根据对项目沿线企业和途经区域危化品运输量较大的主要品种和运输频率进行调查，工程沿线危化品选择汽油、柴油为风险预测源具有较好的代表性</w:t>
      </w:r>
      <w:r>
        <w:rPr>
          <w:rFonts w:cs="Times New Roman" w:hint="eastAsia"/>
        </w:rPr>
        <w:t>，具体见表</w:t>
      </w:r>
      <w:r>
        <w:rPr>
          <w:rFonts w:cs="Times New Roman" w:hint="eastAsia"/>
        </w:rPr>
        <w:t>5.2-18</w:t>
      </w:r>
      <w:r>
        <w:rPr>
          <w:rFonts w:cs="Times New Roman"/>
        </w:rPr>
        <w:t>。</w:t>
      </w:r>
    </w:p>
    <w:p w:rsidR="00A46452" w:rsidRDefault="00A46452" w:rsidP="00182EED">
      <w:pPr>
        <w:wordWrap w:val="0"/>
        <w:topLinePunct/>
        <w:adjustRightInd w:val="0"/>
        <w:snapToGrid w:val="0"/>
        <w:ind w:firstLine="480"/>
        <w:rPr>
          <w:rFonts w:cs="Times New Roman"/>
        </w:rPr>
      </w:pPr>
    </w:p>
    <w:p w:rsidR="00A46452" w:rsidRDefault="00A46452" w:rsidP="00182EED">
      <w:pPr>
        <w:wordWrap w:val="0"/>
        <w:topLinePunct/>
        <w:adjustRightInd w:val="0"/>
        <w:snapToGrid w:val="0"/>
        <w:ind w:firstLine="480"/>
        <w:rPr>
          <w:rFonts w:cs="Times New Roman"/>
        </w:rPr>
        <w:sectPr w:rsidR="00A46452">
          <w:pgSz w:w="11906" w:h="16838"/>
          <w:pgMar w:top="1383" w:right="1803" w:bottom="1383" w:left="1803" w:header="680" w:footer="567" w:gutter="0"/>
          <w:cols w:space="425"/>
          <w:docGrid w:type="lines" w:linePitch="312"/>
        </w:sectPr>
      </w:pP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.2-</w:t>
      </w:r>
      <w:r>
        <w:rPr>
          <w:rFonts w:eastAsia="黑体" w:cs="Times New Roman" w:hint="eastAsia"/>
        </w:rPr>
        <w:t>18</w:t>
      </w:r>
      <w:r>
        <w:rPr>
          <w:rFonts w:eastAsia="黑体" w:cs="Times New Roman"/>
        </w:rPr>
        <w:t xml:space="preserve">    </w:t>
      </w:r>
      <w:r>
        <w:rPr>
          <w:rFonts w:eastAsia="黑体" w:cs="Times New Roman"/>
        </w:rPr>
        <w:t xml:space="preserve">                                      </w:t>
      </w:r>
      <w:r>
        <w:rPr>
          <w:rFonts w:eastAsia="黑体" w:cs="Times New Roman"/>
        </w:rPr>
        <w:t>危险物质特性一览表</w:t>
      </w:r>
    </w:p>
    <w:tbl>
      <w:tblPr>
        <w:tblStyle w:val="TableNormal"/>
        <w:tblW w:w="1408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43"/>
        <w:gridCol w:w="830"/>
        <w:gridCol w:w="842"/>
        <w:gridCol w:w="847"/>
        <w:gridCol w:w="896"/>
        <w:gridCol w:w="846"/>
        <w:gridCol w:w="884"/>
        <w:gridCol w:w="846"/>
        <w:gridCol w:w="846"/>
        <w:gridCol w:w="1613"/>
        <w:gridCol w:w="2877"/>
        <w:gridCol w:w="1917"/>
      </w:tblGrid>
      <w:tr w:rsidR="00A46452">
        <w:trPr>
          <w:trHeight w:val="552"/>
        </w:trPr>
        <w:tc>
          <w:tcPr>
            <w:tcW w:w="843"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rFonts w:eastAsia="宋体"/>
                <w:sz w:val="21"/>
                <w:szCs w:val="21"/>
                <w:lang w:eastAsia="zh-CN"/>
              </w:rPr>
            </w:pPr>
            <w:r>
              <w:rPr>
                <w:rFonts w:eastAsia="宋体"/>
                <w:sz w:val="21"/>
                <w:szCs w:val="21"/>
                <w:lang w:eastAsia="zh-CN"/>
              </w:rPr>
              <w:t>序号</w:t>
            </w:r>
          </w:p>
        </w:tc>
        <w:tc>
          <w:tcPr>
            <w:tcW w:w="830"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2"/>
                <w:sz w:val="21"/>
                <w:szCs w:val="21"/>
              </w:rPr>
              <w:t>货种</w:t>
            </w:r>
          </w:p>
        </w:tc>
        <w:tc>
          <w:tcPr>
            <w:tcW w:w="842"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rFonts w:eastAsia="宋体"/>
                <w:sz w:val="21"/>
                <w:szCs w:val="21"/>
                <w:lang w:eastAsia="zh-CN"/>
              </w:rPr>
            </w:pPr>
            <w:r>
              <w:rPr>
                <w:rFonts w:eastAsia="宋体"/>
                <w:spacing w:val="8"/>
                <w:sz w:val="21"/>
                <w:szCs w:val="21"/>
                <w:lang w:eastAsia="zh-CN"/>
              </w:rPr>
              <w:t>外观</w:t>
            </w:r>
          </w:p>
        </w:tc>
        <w:tc>
          <w:tcPr>
            <w:tcW w:w="847"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8"/>
                <w:sz w:val="21"/>
                <w:szCs w:val="21"/>
              </w:rPr>
              <w:t>分子量</w:t>
            </w:r>
          </w:p>
        </w:tc>
        <w:tc>
          <w:tcPr>
            <w:tcW w:w="896"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4"/>
                <w:sz w:val="21"/>
                <w:szCs w:val="21"/>
              </w:rPr>
              <w:t>密度</w:t>
            </w:r>
            <w:r>
              <w:rPr>
                <w:spacing w:val="4"/>
                <w:sz w:val="21"/>
                <w:szCs w:val="21"/>
                <w:lang w:eastAsia="zh-CN"/>
              </w:rPr>
              <w:t>（</w:t>
            </w:r>
            <w:r>
              <w:rPr>
                <w:spacing w:val="1"/>
                <w:sz w:val="21"/>
                <w:szCs w:val="21"/>
              </w:rPr>
              <w:t>g/c</w:t>
            </w:r>
            <w:r>
              <w:rPr>
                <w:spacing w:val="5"/>
                <w:position w:val="-1"/>
                <w:sz w:val="21"/>
                <w:szCs w:val="21"/>
              </w:rPr>
              <w:t>m</w:t>
            </w:r>
            <w:r>
              <w:rPr>
                <w:spacing w:val="5"/>
                <w:position w:val="5"/>
                <w:sz w:val="21"/>
                <w:szCs w:val="21"/>
              </w:rPr>
              <w:t>3</w:t>
            </w:r>
            <w:r>
              <w:rPr>
                <w:rFonts w:eastAsia="宋体"/>
                <w:spacing w:val="5"/>
                <w:position w:val="5"/>
                <w:sz w:val="21"/>
                <w:szCs w:val="21"/>
                <w:lang w:eastAsia="zh-CN"/>
              </w:rPr>
              <w:t>）</w:t>
            </w:r>
          </w:p>
        </w:tc>
        <w:tc>
          <w:tcPr>
            <w:tcW w:w="846"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5"/>
                <w:sz w:val="21"/>
                <w:szCs w:val="21"/>
              </w:rPr>
              <w:t>闪点</w:t>
            </w:r>
          </w:p>
        </w:tc>
        <w:tc>
          <w:tcPr>
            <w:tcW w:w="884"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8"/>
                <w:sz w:val="21"/>
                <w:szCs w:val="21"/>
              </w:rPr>
              <w:t>沸</w:t>
            </w:r>
            <w:r>
              <w:rPr>
                <w:spacing w:val="-38"/>
                <w:sz w:val="21"/>
                <w:szCs w:val="21"/>
              </w:rPr>
              <w:t xml:space="preserve"> </w:t>
            </w:r>
            <w:r>
              <w:rPr>
                <w:spacing w:val="8"/>
                <w:sz w:val="21"/>
                <w:szCs w:val="21"/>
              </w:rPr>
              <w:t>点</w:t>
            </w:r>
          </w:p>
        </w:tc>
        <w:tc>
          <w:tcPr>
            <w:tcW w:w="846"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8"/>
                <w:sz w:val="21"/>
                <w:szCs w:val="21"/>
              </w:rPr>
              <w:t>熔点</w:t>
            </w:r>
          </w:p>
        </w:tc>
        <w:tc>
          <w:tcPr>
            <w:tcW w:w="846"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8"/>
                <w:sz w:val="21"/>
                <w:szCs w:val="21"/>
              </w:rPr>
              <w:t>蒸</w:t>
            </w:r>
            <w:r>
              <w:rPr>
                <w:spacing w:val="-37"/>
                <w:sz w:val="21"/>
                <w:szCs w:val="21"/>
              </w:rPr>
              <w:t xml:space="preserve"> </w:t>
            </w:r>
            <w:r>
              <w:rPr>
                <w:spacing w:val="8"/>
                <w:sz w:val="21"/>
                <w:szCs w:val="21"/>
              </w:rPr>
              <w:t>汽</w:t>
            </w:r>
            <w:r>
              <w:rPr>
                <w:spacing w:val="-35"/>
                <w:sz w:val="21"/>
                <w:szCs w:val="21"/>
              </w:rPr>
              <w:t xml:space="preserve"> </w:t>
            </w:r>
            <w:r>
              <w:rPr>
                <w:spacing w:val="8"/>
                <w:sz w:val="21"/>
                <w:szCs w:val="21"/>
              </w:rPr>
              <w:t>压</w:t>
            </w:r>
          </w:p>
        </w:tc>
        <w:tc>
          <w:tcPr>
            <w:tcW w:w="1613"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6"/>
                <w:sz w:val="21"/>
                <w:szCs w:val="21"/>
              </w:rPr>
              <w:t>溶解性</w:t>
            </w:r>
          </w:p>
        </w:tc>
        <w:tc>
          <w:tcPr>
            <w:tcW w:w="2877"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6"/>
                <w:sz w:val="21"/>
                <w:szCs w:val="21"/>
              </w:rPr>
              <w:t>危险性</w:t>
            </w:r>
          </w:p>
        </w:tc>
        <w:tc>
          <w:tcPr>
            <w:tcW w:w="1917" w:type="dxa"/>
            <w:vMerge w:val="restart"/>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3"/>
                <w:sz w:val="21"/>
                <w:szCs w:val="21"/>
              </w:rPr>
              <w:t>毒性</w:t>
            </w:r>
          </w:p>
        </w:tc>
      </w:tr>
      <w:tr w:rsidR="00A46452">
        <w:trPr>
          <w:trHeight w:val="400"/>
        </w:trPr>
        <w:tc>
          <w:tcPr>
            <w:tcW w:w="843" w:type="dxa"/>
            <w:vMerge/>
            <w:tcBorders>
              <w:tl2br w:val="nil"/>
              <w:tr2bl w:val="nil"/>
            </w:tcBorders>
            <w:textDirection w:val="tbRlV"/>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830" w:type="dxa"/>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842" w:type="dxa"/>
            <w:vMerge/>
            <w:tcBorders>
              <w:tl2br w:val="nil"/>
              <w:tr2bl w:val="nil"/>
            </w:tcBorders>
            <w:textDirection w:val="tbRlV"/>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847" w:type="dxa"/>
            <w:vMerge/>
            <w:tcBorders>
              <w:tl2br w:val="nil"/>
              <w:tr2bl w:val="nil"/>
            </w:tcBorders>
            <w:textDirection w:val="tbRlV"/>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896" w:type="dxa"/>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84"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46" w:type="dxa"/>
            <w:vMerge/>
            <w:tcBorders>
              <w:tl2br w:val="nil"/>
              <w:tr2bl w:val="nil"/>
            </w:tcBorders>
            <w:textDirection w:val="tbRlV"/>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1613" w:type="dxa"/>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2877" w:type="dxa"/>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c>
          <w:tcPr>
            <w:tcW w:w="1917" w:type="dxa"/>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21"/>
              </w:rPr>
            </w:pPr>
          </w:p>
        </w:tc>
      </w:tr>
      <w:tr w:rsidR="00A46452">
        <w:trPr>
          <w:trHeight w:val="1303"/>
        </w:trPr>
        <w:tc>
          <w:tcPr>
            <w:tcW w:w="843"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z w:val="21"/>
              </w:rPr>
              <w:t>1</w:t>
            </w:r>
          </w:p>
        </w:tc>
        <w:tc>
          <w:tcPr>
            <w:tcW w:w="830"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4"/>
                <w:sz w:val="21"/>
                <w:szCs w:val="21"/>
              </w:rPr>
              <w:t>汽油</w:t>
            </w:r>
          </w:p>
        </w:tc>
        <w:tc>
          <w:tcPr>
            <w:tcW w:w="842"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z w:val="21"/>
                <w:szCs w:val="21"/>
              </w:rPr>
              <w:t>液</w:t>
            </w:r>
          </w:p>
        </w:tc>
        <w:tc>
          <w:tcPr>
            <w:tcW w:w="847"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9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0.79</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z w:val="21"/>
              </w:rPr>
              <w:t>-50</w:t>
            </w:r>
          </w:p>
        </w:tc>
        <w:tc>
          <w:tcPr>
            <w:tcW w:w="884"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21"/>
              </w:rPr>
            </w:pPr>
            <w:r>
              <w:rPr>
                <w:rFonts w:cs="Times New Roman"/>
                <w:sz w:val="21"/>
              </w:rPr>
              <w:t>40-200</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z w:val="21"/>
              </w:rPr>
              <w:t>-60</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1.3-</w:t>
            </w:r>
            <w:r>
              <w:rPr>
                <w:rFonts w:eastAsia="Times New Roman" w:cs="Times New Roman"/>
                <w:spacing w:val="1"/>
                <w:sz w:val="21"/>
              </w:rPr>
              <w:t>6.0</w:t>
            </w:r>
          </w:p>
        </w:tc>
        <w:tc>
          <w:tcPr>
            <w:tcW w:w="1613"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rFonts w:eastAsia="宋体"/>
                <w:sz w:val="21"/>
                <w:szCs w:val="21"/>
                <w:lang w:eastAsia="zh-CN"/>
              </w:rPr>
            </w:pPr>
            <w:r>
              <w:rPr>
                <w:spacing w:val="5"/>
                <w:sz w:val="21"/>
                <w:szCs w:val="21"/>
              </w:rPr>
              <w:t>不溶于</w:t>
            </w:r>
            <w:r>
              <w:rPr>
                <w:spacing w:val="7"/>
                <w:sz w:val="21"/>
                <w:szCs w:val="21"/>
              </w:rPr>
              <w:t>水，易溶于苯、二</w:t>
            </w:r>
            <w:r>
              <w:rPr>
                <w:spacing w:val="5"/>
                <w:sz w:val="21"/>
                <w:szCs w:val="21"/>
              </w:rPr>
              <w:t>硫化碳、</w:t>
            </w:r>
            <w:r>
              <w:rPr>
                <w:sz w:val="21"/>
                <w:szCs w:val="21"/>
              </w:rPr>
              <w:t>醇</w:t>
            </w:r>
            <w:r>
              <w:rPr>
                <w:rFonts w:eastAsia="宋体"/>
                <w:sz w:val="21"/>
                <w:szCs w:val="21"/>
                <w:lang w:eastAsia="zh-CN"/>
              </w:rPr>
              <w:t>。</w:t>
            </w:r>
          </w:p>
        </w:tc>
        <w:tc>
          <w:tcPr>
            <w:tcW w:w="2877"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rPr>
                <w:sz w:val="21"/>
                <w:szCs w:val="21"/>
              </w:rPr>
            </w:pPr>
            <w:r>
              <w:rPr>
                <w:spacing w:val="8"/>
                <w:sz w:val="21"/>
                <w:szCs w:val="21"/>
              </w:rPr>
              <w:t>其蒸气与空气可形成爆炸性混合</w:t>
            </w:r>
            <w:r>
              <w:rPr>
                <w:spacing w:val="9"/>
                <w:sz w:val="21"/>
                <w:szCs w:val="21"/>
              </w:rPr>
              <w:t>物。遇明火、高</w:t>
            </w:r>
            <w:r>
              <w:rPr>
                <w:spacing w:val="7"/>
                <w:sz w:val="21"/>
                <w:szCs w:val="21"/>
              </w:rPr>
              <w:t>热极易燃烧爆</w:t>
            </w:r>
            <w:r>
              <w:rPr>
                <w:spacing w:val="8"/>
                <w:sz w:val="21"/>
                <w:szCs w:val="21"/>
              </w:rPr>
              <w:t>炸。与氧化剂发生</w:t>
            </w:r>
            <w:r>
              <w:rPr>
                <w:spacing w:val="8"/>
                <w:sz w:val="21"/>
                <w:szCs w:val="21"/>
                <w:lang w:eastAsia="zh-CN"/>
              </w:rPr>
              <w:t>强烈反应</w:t>
            </w:r>
            <w:r>
              <w:rPr>
                <w:spacing w:val="8"/>
                <w:sz w:val="21"/>
                <w:szCs w:val="21"/>
              </w:rPr>
              <w:t>，其蒸气比空气重，能在较低处扩散到较远处，遇明</w:t>
            </w:r>
            <w:r>
              <w:rPr>
                <w:spacing w:val="6"/>
                <w:sz w:val="21"/>
                <w:szCs w:val="21"/>
              </w:rPr>
              <w:t>会引着回燃。</w:t>
            </w:r>
          </w:p>
        </w:tc>
        <w:tc>
          <w:tcPr>
            <w:tcW w:w="1917"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rPr>
                <w:sz w:val="21"/>
                <w:szCs w:val="21"/>
              </w:rPr>
            </w:pPr>
            <w:r>
              <w:rPr>
                <w:sz w:val="21"/>
                <w:szCs w:val="21"/>
              </w:rPr>
              <w:t>LD</w:t>
            </w:r>
            <w:r>
              <w:rPr>
                <w:spacing w:val="5"/>
                <w:position w:val="-1"/>
                <w:sz w:val="21"/>
                <w:szCs w:val="21"/>
              </w:rPr>
              <w:t>50</w:t>
            </w:r>
            <w:r>
              <w:rPr>
                <w:rFonts w:eastAsia="宋体"/>
                <w:spacing w:val="5"/>
                <w:position w:val="-1"/>
                <w:sz w:val="21"/>
                <w:szCs w:val="21"/>
                <w:vertAlign w:val="superscript"/>
                <w:lang w:eastAsia="zh-CN"/>
              </w:rPr>
              <w:t xml:space="preserve"> </w:t>
            </w:r>
            <w:r>
              <w:rPr>
                <w:spacing w:val="-1"/>
                <w:sz w:val="21"/>
                <w:szCs w:val="21"/>
              </w:rPr>
              <w:t>：</w:t>
            </w:r>
            <w:r>
              <w:rPr>
                <w:spacing w:val="-1"/>
                <w:sz w:val="21"/>
                <w:szCs w:val="21"/>
              </w:rPr>
              <w:t>&gt;</w:t>
            </w:r>
            <w:r>
              <w:rPr>
                <w:spacing w:val="4"/>
                <w:sz w:val="21"/>
                <w:szCs w:val="21"/>
              </w:rPr>
              <w:t>67000</w:t>
            </w:r>
            <w:r>
              <w:rPr>
                <w:sz w:val="21"/>
                <w:szCs w:val="21"/>
              </w:rPr>
              <w:t>mg</w:t>
            </w:r>
            <w:r>
              <w:rPr>
                <w:spacing w:val="4"/>
                <w:sz w:val="21"/>
                <w:szCs w:val="21"/>
              </w:rPr>
              <w:t>/</w:t>
            </w:r>
            <w:r>
              <w:rPr>
                <w:sz w:val="21"/>
                <w:szCs w:val="21"/>
              </w:rPr>
              <w:t>kg</w:t>
            </w:r>
            <w:r>
              <w:rPr>
                <w:rFonts w:eastAsia="宋体"/>
                <w:sz w:val="21"/>
                <w:szCs w:val="21"/>
                <w:lang w:eastAsia="zh-CN"/>
              </w:rPr>
              <w:t>（</w:t>
            </w:r>
            <w:r>
              <w:rPr>
                <w:spacing w:val="9"/>
                <w:sz w:val="21"/>
                <w:szCs w:val="21"/>
              </w:rPr>
              <w:t>小鼠经</w:t>
            </w:r>
            <w:r>
              <w:rPr>
                <w:spacing w:val="-11"/>
                <w:sz w:val="21"/>
                <w:szCs w:val="21"/>
              </w:rPr>
              <w:t>口</w:t>
            </w:r>
            <w:r>
              <w:rPr>
                <w:spacing w:val="-11"/>
                <w:sz w:val="21"/>
                <w:szCs w:val="21"/>
                <w:lang w:eastAsia="zh-CN"/>
              </w:rPr>
              <w:t>）</w:t>
            </w:r>
            <w:r>
              <w:rPr>
                <w:spacing w:val="-11"/>
                <w:sz w:val="21"/>
                <w:szCs w:val="21"/>
              </w:rPr>
              <w:t>；</w:t>
            </w:r>
            <w:r>
              <w:rPr>
                <w:spacing w:val="-11"/>
                <w:sz w:val="21"/>
                <w:szCs w:val="21"/>
              </w:rPr>
              <w:t>LC</w:t>
            </w:r>
            <w:r>
              <w:rPr>
                <w:spacing w:val="5"/>
                <w:position w:val="-1"/>
                <w:sz w:val="21"/>
                <w:szCs w:val="21"/>
              </w:rPr>
              <w:t>50</w:t>
            </w:r>
            <w:r>
              <w:rPr>
                <w:spacing w:val="-1"/>
                <w:sz w:val="21"/>
                <w:szCs w:val="21"/>
              </w:rPr>
              <w:t>：</w:t>
            </w:r>
            <w:r>
              <w:rPr>
                <w:spacing w:val="-1"/>
                <w:sz w:val="21"/>
                <w:szCs w:val="21"/>
              </w:rPr>
              <w:t>&gt;</w:t>
            </w:r>
            <w:r>
              <w:rPr>
                <w:spacing w:val="2"/>
                <w:sz w:val="21"/>
                <w:szCs w:val="21"/>
              </w:rPr>
              <w:t>103000</w:t>
            </w:r>
            <w:r>
              <w:rPr>
                <w:sz w:val="21"/>
                <w:szCs w:val="21"/>
              </w:rPr>
              <w:t>mg/m</w:t>
            </w:r>
            <w:r>
              <w:rPr>
                <w:position w:val="6"/>
                <w:sz w:val="21"/>
                <w:szCs w:val="21"/>
              </w:rPr>
              <w:t>3</w:t>
            </w:r>
            <w:r>
              <w:rPr>
                <w:spacing w:val="-7"/>
                <w:position w:val="6"/>
                <w:sz w:val="21"/>
                <w:szCs w:val="21"/>
              </w:rPr>
              <w:t xml:space="preserve"> </w:t>
            </w:r>
            <w:r>
              <w:rPr>
                <w:sz w:val="21"/>
                <w:szCs w:val="21"/>
              </w:rPr>
              <w:t>，</w:t>
            </w:r>
            <w:r>
              <w:rPr>
                <w:sz w:val="21"/>
                <w:szCs w:val="21"/>
              </w:rPr>
              <w:t>2</w:t>
            </w:r>
            <w:r>
              <w:rPr>
                <w:spacing w:val="18"/>
                <w:w w:val="101"/>
                <w:sz w:val="21"/>
                <w:szCs w:val="21"/>
              </w:rPr>
              <w:t xml:space="preserve"> </w:t>
            </w:r>
            <w:r>
              <w:rPr>
                <w:sz w:val="21"/>
                <w:szCs w:val="21"/>
              </w:rPr>
              <w:t>小</w:t>
            </w:r>
            <w:r>
              <w:rPr>
                <w:spacing w:val="4"/>
                <w:sz w:val="21"/>
                <w:szCs w:val="21"/>
              </w:rPr>
              <w:t>时</w:t>
            </w:r>
            <w:r>
              <w:rPr>
                <w:spacing w:val="4"/>
                <w:sz w:val="21"/>
                <w:szCs w:val="21"/>
                <w:lang w:eastAsia="zh-CN"/>
              </w:rPr>
              <w:t>（</w:t>
            </w:r>
            <w:r>
              <w:rPr>
                <w:spacing w:val="4"/>
                <w:sz w:val="21"/>
                <w:szCs w:val="21"/>
              </w:rPr>
              <w:t>小鼠吸</w:t>
            </w:r>
            <w:r>
              <w:rPr>
                <w:spacing w:val="3"/>
                <w:sz w:val="21"/>
                <w:szCs w:val="21"/>
              </w:rPr>
              <w:t>入</w:t>
            </w:r>
            <w:r>
              <w:rPr>
                <w:spacing w:val="3"/>
                <w:sz w:val="21"/>
                <w:szCs w:val="21"/>
                <w:lang w:eastAsia="zh-CN"/>
              </w:rPr>
              <w:t>）</w:t>
            </w:r>
          </w:p>
        </w:tc>
      </w:tr>
      <w:tr w:rsidR="00A46452">
        <w:trPr>
          <w:trHeight w:val="940"/>
        </w:trPr>
        <w:tc>
          <w:tcPr>
            <w:tcW w:w="843"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z w:val="21"/>
              </w:rPr>
              <w:t>2</w:t>
            </w:r>
          </w:p>
        </w:tc>
        <w:tc>
          <w:tcPr>
            <w:tcW w:w="830"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pacing w:val="4"/>
                <w:sz w:val="21"/>
                <w:szCs w:val="21"/>
              </w:rPr>
              <w:t>柴油</w:t>
            </w:r>
          </w:p>
        </w:tc>
        <w:tc>
          <w:tcPr>
            <w:tcW w:w="842"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sz w:val="21"/>
                <w:szCs w:val="21"/>
              </w:rPr>
            </w:pPr>
            <w:r>
              <w:rPr>
                <w:sz w:val="21"/>
                <w:szCs w:val="21"/>
              </w:rPr>
              <w:t>液</w:t>
            </w:r>
          </w:p>
        </w:tc>
        <w:tc>
          <w:tcPr>
            <w:tcW w:w="847"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9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0.87</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884"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21"/>
              </w:rPr>
            </w:pPr>
            <w:r>
              <w:rPr>
                <w:rFonts w:cs="Times New Roman"/>
                <w:spacing w:val="3"/>
                <w:sz w:val="21"/>
              </w:rPr>
              <w:t>282-338</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z w:val="21"/>
              </w:rPr>
              <w:t>-18</w:t>
            </w:r>
          </w:p>
        </w:tc>
        <w:tc>
          <w:tcPr>
            <w:tcW w:w="846" w:type="dxa"/>
            <w:tcBorders>
              <w:tl2br w:val="nil"/>
              <w:tr2bl w:val="nil"/>
            </w:tcBorders>
            <w:vAlign w:val="center"/>
          </w:tcPr>
          <w:p w:rsidR="00A46452" w:rsidRDefault="009A3928">
            <w:pPr>
              <w:wordWrap w:val="0"/>
              <w:topLinePunct/>
              <w:adjustRightInd w:val="0"/>
              <w:snapToGrid w:val="0"/>
              <w:spacing w:line="240" w:lineRule="exact"/>
              <w:ind w:firstLineChars="0" w:firstLine="0"/>
              <w:jc w:val="center"/>
              <w:rPr>
                <w:rFonts w:eastAsia="Times New Roman" w:cs="Times New Roman"/>
                <w:sz w:val="21"/>
              </w:rPr>
            </w:pPr>
            <w:r>
              <w:rPr>
                <w:rFonts w:eastAsia="Times New Roman" w:cs="Times New Roman"/>
                <w:spacing w:val="2"/>
                <w:sz w:val="21"/>
              </w:rPr>
              <w:t>/</w:t>
            </w:r>
          </w:p>
        </w:tc>
        <w:tc>
          <w:tcPr>
            <w:tcW w:w="1613"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jc w:val="center"/>
              <w:rPr>
                <w:rFonts w:eastAsia="宋体"/>
                <w:sz w:val="21"/>
                <w:szCs w:val="21"/>
                <w:lang w:eastAsia="zh-CN"/>
              </w:rPr>
            </w:pPr>
            <w:r>
              <w:rPr>
                <w:spacing w:val="5"/>
                <w:sz w:val="21"/>
                <w:szCs w:val="21"/>
              </w:rPr>
              <w:t>不溶于</w:t>
            </w:r>
            <w:r>
              <w:rPr>
                <w:spacing w:val="6"/>
                <w:sz w:val="21"/>
                <w:szCs w:val="21"/>
              </w:rPr>
              <w:t>水，溶于醇等溶剂</w:t>
            </w:r>
            <w:r>
              <w:rPr>
                <w:rFonts w:eastAsia="宋体"/>
                <w:spacing w:val="6"/>
                <w:sz w:val="21"/>
                <w:szCs w:val="21"/>
                <w:lang w:eastAsia="zh-CN"/>
              </w:rPr>
              <w:t>。</w:t>
            </w:r>
          </w:p>
        </w:tc>
        <w:tc>
          <w:tcPr>
            <w:tcW w:w="2877"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rPr>
                <w:sz w:val="21"/>
                <w:szCs w:val="21"/>
              </w:rPr>
            </w:pPr>
            <w:r>
              <w:rPr>
                <w:spacing w:val="8"/>
                <w:sz w:val="21"/>
                <w:szCs w:val="21"/>
              </w:rPr>
              <w:t>其蒸气与空气可形成爆炸性混合物，遇明火、高热能引起燃烧爆</w:t>
            </w:r>
            <w:r>
              <w:rPr>
                <w:spacing w:val="-1"/>
                <w:sz w:val="21"/>
                <w:szCs w:val="21"/>
              </w:rPr>
              <w:t>炸。</w:t>
            </w:r>
          </w:p>
        </w:tc>
        <w:tc>
          <w:tcPr>
            <w:tcW w:w="1917" w:type="dxa"/>
            <w:tcBorders>
              <w:tl2br w:val="nil"/>
              <w:tr2bl w:val="nil"/>
            </w:tcBorders>
            <w:vAlign w:val="center"/>
          </w:tcPr>
          <w:p w:rsidR="00A46452" w:rsidRDefault="009A3928">
            <w:pPr>
              <w:pStyle w:val="TableText"/>
              <w:wordWrap w:val="0"/>
              <w:topLinePunct/>
              <w:adjustRightInd w:val="0"/>
              <w:snapToGrid w:val="0"/>
              <w:spacing w:line="240" w:lineRule="exact"/>
              <w:ind w:firstLineChars="0" w:firstLine="0"/>
              <w:rPr>
                <w:sz w:val="21"/>
                <w:szCs w:val="21"/>
              </w:rPr>
            </w:pPr>
            <w:r>
              <w:rPr>
                <w:spacing w:val="-1"/>
                <w:sz w:val="21"/>
                <w:szCs w:val="21"/>
              </w:rPr>
              <w:t>LD</w:t>
            </w:r>
            <w:r>
              <w:rPr>
                <w:spacing w:val="-1"/>
                <w:position w:val="-1"/>
                <w:sz w:val="21"/>
                <w:szCs w:val="21"/>
              </w:rPr>
              <w:t>50</w:t>
            </w:r>
            <w:r>
              <w:rPr>
                <w:spacing w:val="-1"/>
                <w:sz w:val="21"/>
                <w:szCs w:val="21"/>
              </w:rPr>
              <w:t>：</w:t>
            </w:r>
            <w:r>
              <w:rPr>
                <w:spacing w:val="-1"/>
                <w:sz w:val="21"/>
                <w:szCs w:val="21"/>
              </w:rPr>
              <w:t>&gt;50</w:t>
            </w:r>
            <w:r>
              <w:rPr>
                <w:spacing w:val="7"/>
                <w:sz w:val="21"/>
                <w:szCs w:val="21"/>
              </w:rPr>
              <w:t>00</w:t>
            </w:r>
            <w:r>
              <w:rPr>
                <w:sz w:val="21"/>
                <w:szCs w:val="21"/>
              </w:rPr>
              <w:t>mg</w:t>
            </w:r>
            <w:r>
              <w:rPr>
                <w:spacing w:val="7"/>
                <w:sz w:val="21"/>
                <w:szCs w:val="21"/>
              </w:rPr>
              <w:t>/</w:t>
            </w:r>
            <w:r>
              <w:rPr>
                <w:sz w:val="21"/>
                <w:szCs w:val="21"/>
              </w:rPr>
              <w:t>kg</w:t>
            </w:r>
            <w:r>
              <w:rPr>
                <w:rFonts w:eastAsia="宋体"/>
                <w:sz w:val="21"/>
                <w:szCs w:val="21"/>
                <w:lang w:eastAsia="zh-CN"/>
              </w:rPr>
              <w:t>（</w:t>
            </w:r>
            <w:r>
              <w:rPr>
                <w:spacing w:val="6"/>
                <w:sz w:val="21"/>
                <w:szCs w:val="21"/>
              </w:rPr>
              <w:t>大鼠经</w:t>
            </w:r>
            <w:r>
              <w:rPr>
                <w:spacing w:val="24"/>
                <w:sz w:val="21"/>
                <w:szCs w:val="21"/>
              </w:rPr>
              <w:t>口</w:t>
            </w:r>
            <w:r>
              <w:rPr>
                <w:spacing w:val="24"/>
                <w:sz w:val="21"/>
                <w:szCs w:val="21"/>
                <w:lang w:eastAsia="zh-CN"/>
              </w:rPr>
              <w:t>）</w:t>
            </w:r>
            <w:r>
              <w:rPr>
                <w:spacing w:val="24"/>
                <w:sz w:val="21"/>
                <w:szCs w:val="21"/>
              </w:rPr>
              <w:t>；</w:t>
            </w:r>
            <w:r>
              <w:rPr>
                <w:sz w:val="21"/>
                <w:szCs w:val="21"/>
              </w:rPr>
              <w:t>LC</w:t>
            </w:r>
            <w:r>
              <w:rPr>
                <w:spacing w:val="1"/>
                <w:position w:val="-1"/>
                <w:sz w:val="21"/>
                <w:szCs w:val="21"/>
              </w:rPr>
              <w:t>50</w:t>
            </w:r>
            <w:r>
              <w:rPr>
                <w:spacing w:val="1"/>
                <w:sz w:val="21"/>
                <w:szCs w:val="21"/>
              </w:rPr>
              <w:t>：</w:t>
            </w:r>
            <w:r>
              <w:rPr>
                <w:spacing w:val="1"/>
                <w:sz w:val="21"/>
                <w:szCs w:val="21"/>
              </w:rPr>
              <w:t>&gt;50</w:t>
            </w:r>
            <w:r>
              <w:rPr>
                <w:spacing w:val="6"/>
                <w:sz w:val="21"/>
                <w:szCs w:val="21"/>
              </w:rPr>
              <w:t>00</w:t>
            </w:r>
            <w:r>
              <w:rPr>
                <w:sz w:val="21"/>
                <w:szCs w:val="21"/>
              </w:rPr>
              <w:t>mg/m</w:t>
            </w:r>
            <w:r>
              <w:rPr>
                <w:position w:val="6"/>
                <w:sz w:val="21"/>
                <w:szCs w:val="21"/>
              </w:rPr>
              <w:t>3</w:t>
            </w:r>
            <w:r>
              <w:rPr>
                <w:spacing w:val="-7"/>
                <w:position w:val="6"/>
                <w:sz w:val="21"/>
                <w:szCs w:val="21"/>
              </w:rPr>
              <w:t xml:space="preserve"> </w:t>
            </w:r>
            <w:r>
              <w:rPr>
                <w:sz w:val="21"/>
                <w:szCs w:val="21"/>
              </w:rPr>
              <w:t>，</w:t>
            </w:r>
            <w:r>
              <w:rPr>
                <w:sz w:val="21"/>
                <w:szCs w:val="21"/>
              </w:rPr>
              <w:t>4</w:t>
            </w:r>
            <w:r>
              <w:rPr>
                <w:sz w:val="21"/>
                <w:szCs w:val="21"/>
              </w:rPr>
              <w:t>小</w:t>
            </w:r>
            <w:r>
              <w:rPr>
                <w:spacing w:val="4"/>
                <w:sz w:val="21"/>
                <w:szCs w:val="21"/>
              </w:rPr>
              <w:t>时</w:t>
            </w:r>
            <w:r>
              <w:rPr>
                <w:spacing w:val="4"/>
                <w:sz w:val="21"/>
                <w:szCs w:val="21"/>
                <w:lang w:eastAsia="zh-CN"/>
              </w:rPr>
              <w:t>（</w:t>
            </w:r>
            <w:r>
              <w:rPr>
                <w:spacing w:val="4"/>
                <w:sz w:val="21"/>
                <w:szCs w:val="21"/>
              </w:rPr>
              <w:t>大鼠吸</w:t>
            </w:r>
            <w:r>
              <w:rPr>
                <w:spacing w:val="3"/>
                <w:sz w:val="21"/>
                <w:szCs w:val="21"/>
              </w:rPr>
              <w:t>入</w:t>
            </w:r>
            <w:r>
              <w:rPr>
                <w:spacing w:val="3"/>
                <w:sz w:val="21"/>
                <w:szCs w:val="21"/>
                <w:lang w:eastAsia="zh-CN"/>
              </w:rPr>
              <w:t>）</w:t>
            </w:r>
          </w:p>
        </w:tc>
      </w:tr>
    </w:tbl>
    <w:p w:rsidR="00A46452" w:rsidRDefault="00A46452" w:rsidP="00182EED">
      <w:pPr>
        <w:wordWrap w:val="0"/>
        <w:topLinePunct/>
        <w:adjustRightInd w:val="0"/>
        <w:snapToGrid w:val="0"/>
        <w:ind w:firstLine="480"/>
        <w:rPr>
          <w:rFonts w:cs="Times New Roman"/>
        </w:rPr>
      </w:pPr>
    </w:p>
    <w:p w:rsidR="00A46452" w:rsidRDefault="00A46452" w:rsidP="00182EED">
      <w:pPr>
        <w:wordWrap w:val="0"/>
        <w:topLinePunct/>
        <w:adjustRightInd w:val="0"/>
        <w:snapToGrid w:val="0"/>
        <w:ind w:firstLine="480"/>
        <w:rPr>
          <w:rFonts w:cs="Times New Roman"/>
        </w:rPr>
      </w:pPr>
    </w:p>
    <w:p w:rsidR="00A46452" w:rsidRDefault="00A46452" w:rsidP="00182EED">
      <w:pPr>
        <w:wordWrap w:val="0"/>
        <w:topLinePunct/>
        <w:adjustRightInd w:val="0"/>
        <w:snapToGrid w:val="0"/>
        <w:ind w:firstLine="480"/>
        <w:rPr>
          <w:rFonts w:cs="Times New Roman"/>
        </w:rPr>
      </w:pPr>
    </w:p>
    <w:p w:rsidR="00A46452" w:rsidRDefault="00A46452" w:rsidP="00182EED">
      <w:pPr>
        <w:wordWrap w:val="0"/>
        <w:topLinePunct/>
        <w:adjustRightInd w:val="0"/>
        <w:snapToGrid w:val="0"/>
        <w:ind w:firstLine="480"/>
        <w:rPr>
          <w:rFonts w:cs="Times New Roman"/>
        </w:rPr>
        <w:sectPr w:rsidR="00A46452">
          <w:headerReference w:type="default" r:id="rId36"/>
          <w:footerReference w:type="default" r:id="rId37"/>
          <w:pgSz w:w="16838" w:h="11905" w:orient="landscape"/>
          <w:pgMar w:top="1803" w:right="1383" w:bottom="1803" w:left="1383" w:header="850" w:footer="680" w:gutter="0"/>
          <w:cols w:space="0"/>
          <w:docGrid w:type="lines" w:linePitch="331"/>
        </w:sectPr>
      </w:pP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49" w:name="_Toc181037350"/>
      <w:bookmarkStart w:id="250" w:name="_Toc187080699"/>
      <w:bookmarkStart w:id="251" w:name="_Toc4507851"/>
      <w:bookmarkStart w:id="252" w:name="_Toc26253"/>
      <w:r>
        <w:rPr>
          <w:rFonts w:cs="Times New Roman" w:hint="default"/>
          <w:sz w:val="30"/>
          <w:szCs w:val="30"/>
        </w:rPr>
        <w:t>5.3</w:t>
      </w:r>
      <w:r>
        <w:rPr>
          <w:rFonts w:cs="Times New Roman" w:hint="default"/>
          <w:sz w:val="30"/>
          <w:szCs w:val="30"/>
        </w:rPr>
        <w:t>相关符合性分析</w:t>
      </w:r>
      <w:bookmarkEnd w:id="249"/>
      <w:bookmarkEnd w:id="250"/>
      <w:bookmarkEnd w:id="251"/>
      <w:bookmarkEnd w:id="252"/>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53" w:name="_Toc57826733"/>
      <w:bookmarkStart w:id="254" w:name="_Toc34989571"/>
      <w:r>
        <w:rPr>
          <w:rFonts w:cs="Times New Roman" w:hint="default"/>
          <w:sz w:val="28"/>
          <w:szCs w:val="28"/>
        </w:rPr>
        <w:t>5.3.1</w:t>
      </w:r>
      <w:r>
        <w:rPr>
          <w:rFonts w:cs="Times New Roman" w:hint="default"/>
          <w:sz w:val="28"/>
          <w:szCs w:val="28"/>
        </w:rPr>
        <w:t>产业政策符合性分析</w:t>
      </w:r>
      <w:bookmarkEnd w:id="253"/>
      <w:bookmarkEnd w:id="254"/>
    </w:p>
    <w:p w:rsidR="00A46452" w:rsidRDefault="009A3928" w:rsidP="00182EED">
      <w:pPr>
        <w:wordWrap w:val="0"/>
        <w:topLinePunct/>
        <w:adjustRightInd w:val="0"/>
        <w:snapToGrid w:val="0"/>
        <w:ind w:firstLine="456"/>
        <w:rPr>
          <w:rFonts w:cs="Times New Roman"/>
          <w:kern w:val="0"/>
          <w:szCs w:val="24"/>
          <w:lang w:bidi="ar"/>
        </w:rPr>
      </w:pPr>
      <w:r>
        <w:rPr>
          <w:rFonts w:cs="Times New Roman"/>
          <w:spacing w:val="-6"/>
        </w:rPr>
        <w:t>根据国家发展改革委《产业结构调整指导目录（</w:t>
      </w:r>
      <w:r>
        <w:rPr>
          <w:rFonts w:cs="Times New Roman"/>
          <w:spacing w:val="-6"/>
        </w:rPr>
        <w:t>2024</w:t>
      </w:r>
      <w:r>
        <w:rPr>
          <w:rFonts w:cs="Times New Roman"/>
          <w:spacing w:val="-6"/>
        </w:rPr>
        <w:t>年本）》，本项目属于</w:t>
      </w:r>
      <w:r>
        <w:rPr>
          <w:rFonts w:cs="Times New Roman"/>
          <w:spacing w:val="-6"/>
        </w:rPr>
        <w:t>“</w:t>
      </w:r>
      <w:r>
        <w:rPr>
          <w:rFonts w:cs="Times New Roman"/>
          <w:spacing w:val="-6"/>
        </w:rPr>
        <w:t>第一类</w:t>
      </w:r>
      <w:r>
        <w:rPr>
          <w:rFonts w:cs="Times New Roman"/>
          <w:spacing w:val="-6"/>
        </w:rPr>
        <w:t xml:space="preserve"> </w:t>
      </w:r>
      <w:r>
        <w:rPr>
          <w:rFonts w:cs="Times New Roman"/>
          <w:spacing w:val="-6"/>
        </w:rPr>
        <w:t>鼓励类</w:t>
      </w:r>
      <w:r>
        <w:rPr>
          <w:rFonts w:cs="Times New Roman"/>
          <w:spacing w:val="-6"/>
        </w:rPr>
        <w:t>”“</w:t>
      </w:r>
      <w:r>
        <w:rPr>
          <w:rFonts w:cs="Times New Roman"/>
          <w:spacing w:val="-6"/>
        </w:rPr>
        <w:t>二十四、公路及道路运输</w:t>
      </w:r>
      <w:r>
        <w:rPr>
          <w:rFonts w:cs="Times New Roman"/>
          <w:spacing w:val="-6"/>
        </w:rPr>
        <w:t>”</w:t>
      </w:r>
      <w:r>
        <w:rPr>
          <w:rFonts w:cs="Times New Roman"/>
          <w:spacing w:val="-6"/>
        </w:rPr>
        <w:t>中的</w:t>
      </w:r>
      <w:r>
        <w:rPr>
          <w:rFonts w:cs="Times New Roman"/>
          <w:spacing w:val="-6"/>
        </w:rPr>
        <w:t>“</w:t>
      </w:r>
      <w:r>
        <w:rPr>
          <w:rFonts w:cs="Times New Roman"/>
          <w:spacing w:val="-6"/>
        </w:rPr>
        <w:t>1</w:t>
      </w:r>
      <w:r>
        <w:rPr>
          <w:rFonts w:cs="Times New Roman"/>
          <w:spacing w:val="-6"/>
        </w:rPr>
        <w:t>、公路交通网络建设：国家高速公路网项目建设，国省干线改造升级，汽车客货运站、城市公交站，城市公共交通</w:t>
      </w:r>
      <w:r>
        <w:rPr>
          <w:rFonts w:cs="Times New Roman"/>
          <w:spacing w:val="-6"/>
        </w:rPr>
        <w:t>”</w:t>
      </w:r>
      <w:r>
        <w:rPr>
          <w:rFonts w:cs="Times New Roman"/>
          <w:spacing w:val="-6"/>
        </w:rPr>
        <w:t>，</w:t>
      </w:r>
      <w:r>
        <w:rPr>
          <w:rFonts w:cs="Times New Roman"/>
          <w:kern w:val="0"/>
          <w:szCs w:val="24"/>
          <w:lang w:bidi="ar"/>
        </w:rPr>
        <w:t>与项目所在区域内（</w:t>
      </w:r>
      <w:r>
        <w:rPr>
          <w:rFonts w:cs="Times New Roman"/>
          <w:kern w:val="0"/>
          <w:szCs w:val="24"/>
          <w:lang w:bidi="ar"/>
        </w:rPr>
        <w:t>第三师</w:t>
      </w:r>
      <w:r>
        <w:rPr>
          <w:rFonts w:cs="Times New Roman"/>
          <w:kern w:val="0"/>
          <w:szCs w:val="24"/>
          <w:lang w:bidi="ar"/>
        </w:rPr>
        <w:t>图木舒克市、</w:t>
      </w:r>
      <w:r>
        <w:rPr>
          <w:rFonts w:cs="Times New Roman"/>
          <w:kern w:val="0"/>
          <w:szCs w:val="24"/>
          <w:lang w:bidi="ar"/>
        </w:rPr>
        <w:t>喀什地区</w:t>
      </w:r>
      <w:r>
        <w:rPr>
          <w:rFonts w:cs="Times New Roman"/>
          <w:kern w:val="0"/>
          <w:szCs w:val="24"/>
          <w:lang w:bidi="ar"/>
        </w:rPr>
        <w:t>巴楚县、</w:t>
      </w:r>
      <w:r>
        <w:rPr>
          <w:rFonts w:cs="Times New Roman"/>
          <w:kern w:val="0"/>
          <w:szCs w:val="24"/>
          <w:lang w:bidi="ar"/>
        </w:rPr>
        <w:t>阿克苏地区</w:t>
      </w:r>
      <w:r>
        <w:rPr>
          <w:rFonts w:cs="Times New Roman"/>
          <w:kern w:val="0"/>
          <w:szCs w:val="24"/>
          <w:lang w:bidi="ar"/>
        </w:rPr>
        <w:t>柯坪县）的各个专项规划、国土空间规划衔接良好，符合兵团和自治区的经济社会发展规划及综合交通运输发展规划。项目的建设有利于营造第三师图木舒克市及</w:t>
      </w:r>
      <w:r>
        <w:rPr>
          <w:rFonts w:cs="Times New Roman"/>
          <w:kern w:val="0"/>
          <w:szCs w:val="24"/>
          <w:lang w:bidi="ar"/>
        </w:rPr>
        <w:t>阿克苏</w:t>
      </w:r>
      <w:r>
        <w:rPr>
          <w:rFonts w:cs="Times New Roman"/>
          <w:kern w:val="0"/>
          <w:szCs w:val="24"/>
          <w:lang w:bidi="ar"/>
        </w:rPr>
        <w:t>柯坪县共创共建，合作共赢的局面，促进兵地融合发展，实现乡村振兴，共同富裕的目标。</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5.3.2</w:t>
      </w:r>
      <w:r>
        <w:rPr>
          <w:rFonts w:cs="Times New Roman" w:hint="default"/>
          <w:sz w:val="28"/>
          <w:szCs w:val="28"/>
        </w:rPr>
        <w:t>相关法律法规符合性分析</w:t>
      </w:r>
    </w:p>
    <w:p w:rsidR="00A46452" w:rsidRDefault="009A3928">
      <w:pPr>
        <w:pStyle w:val="52"/>
        <w:keepNext w:val="0"/>
        <w:widowControl w:val="0"/>
        <w:wordWrap w:val="0"/>
        <w:topLinePunct/>
        <w:adjustRightInd w:val="0"/>
        <w:snapToGrid w:val="0"/>
        <w:ind w:firstLineChars="0"/>
        <w:rPr>
          <w:rFonts w:cs="Times New Roman" w:hint="default"/>
          <w:bCs/>
          <w:spacing w:val="-2"/>
          <w:sz w:val="24"/>
          <w:szCs w:val="24"/>
        </w:rPr>
      </w:pPr>
      <w:r>
        <w:rPr>
          <w:rFonts w:cs="Times New Roman" w:hint="default"/>
        </w:rPr>
        <w:t>5.3.2.1</w:t>
      </w:r>
      <w:r>
        <w:rPr>
          <w:rFonts w:cs="Times New Roman" w:hint="default"/>
        </w:rPr>
        <w:t>与</w:t>
      </w:r>
      <w:r>
        <w:rPr>
          <w:rFonts w:cs="Times New Roman" w:hint="default"/>
          <w:bCs/>
          <w:spacing w:val="-2"/>
          <w:sz w:val="24"/>
          <w:szCs w:val="24"/>
        </w:rPr>
        <w:t>河道保护相关要求的符合性分析</w:t>
      </w:r>
    </w:p>
    <w:p w:rsidR="00A46452" w:rsidRDefault="009A3928" w:rsidP="00182EED">
      <w:pPr>
        <w:pStyle w:val="a5"/>
        <w:wordWrap w:val="0"/>
        <w:topLinePunct/>
        <w:adjustRightInd w:val="0"/>
        <w:snapToGrid w:val="0"/>
        <w:spacing w:after="0"/>
        <w:ind w:firstLine="476"/>
        <w:rPr>
          <w:rFonts w:cs="Times New Roman" w:hint="default"/>
          <w:spacing w:val="-1"/>
        </w:rPr>
      </w:pPr>
      <w:r>
        <w:rPr>
          <w:rFonts w:cs="Times New Roman" w:hint="default"/>
          <w:spacing w:val="-1"/>
        </w:rPr>
        <w:t>本项目与河道保护相关要求符合性分析见表</w:t>
      </w:r>
      <w:r>
        <w:rPr>
          <w:rFonts w:cs="Times New Roman"/>
          <w:spacing w:val="-1"/>
        </w:rPr>
        <w:t>5</w:t>
      </w:r>
      <w:r>
        <w:rPr>
          <w:rFonts w:cs="Times New Roman" w:hint="default"/>
          <w:spacing w:val="-1"/>
        </w:rPr>
        <w:t>.</w:t>
      </w:r>
      <w:r>
        <w:rPr>
          <w:rFonts w:cs="Times New Roman"/>
          <w:spacing w:val="-1"/>
        </w:rPr>
        <w:t>3</w:t>
      </w:r>
      <w:r>
        <w:rPr>
          <w:rFonts w:cs="Times New Roman" w:hint="default"/>
          <w:spacing w:val="-1"/>
        </w:rPr>
        <w:t>-1</w:t>
      </w:r>
      <w:r>
        <w:rPr>
          <w:rFonts w:cs="Times New Roman" w:hint="default"/>
          <w:spacing w:val="-1"/>
        </w:rPr>
        <w:t>。</w:t>
      </w:r>
    </w:p>
    <w:p w:rsidR="00A46452" w:rsidRDefault="009A3928">
      <w:pPr>
        <w:wordWrap w:val="0"/>
        <w:topLinePunct/>
        <w:adjustRightInd w:val="0"/>
        <w:snapToGrid w:val="0"/>
        <w:spacing w:line="240" w:lineRule="auto"/>
        <w:ind w:firstLineChars="0" w:firstLine="0"/>
        <w:rPr>
          <w:rFonts w:cs="Times New Roman"/>
        </w:rPr>
      </w:pPr>
      <w:r>
        <w:rPr>
          <w:rFonts w:eastAsia="黑体" w:cs="Times New Roman"/>
          <w:spacing w:val="-3"/>
          <w:szCs w:val="24"/>
        </w:rPr>
        <w:t>表</w:t>
      </w:r>
      <w:r>
        <w:rPr>
          <w:rFonts w:eastAsia="黑体" w:cs="Times New Roman" w:hint="eastAsia"/>
          <w:spacing w:val="-3"/>
          <w:szCs w:val="24"/>
        </w:rPr>
        <w:t>5</w:t>
      </w:r>
      <w:r>
        <w:rPr>
          <w:rFonts w:eastAsia="黑体" w:cs="Times New Roman"/>
          <w:spacing w:val="-3"/>
          <w:szCs w:val="24"/>
        </w:rPr>
        <w:t>.</w:t>
      </w:r>
      <w:r>
        <w:rPr>
          <w:rFonts w:eastAsia="黑体" w:cs="Times New Roman" w:hint="eastAsia"/>
          <w:spacing w:val="-3"/>
          <w:szCs w:val="24"/>
        </w:rPr>
        <w:t>3</w:t>
      </w:r>
      <w:r>
        <w:rPr>
          <w:rFonts w:eastAsia="黑体" w:cs="Times New Roman"/>
          <w:spacing w:val="-3"/>
          <w:szCs w:val="24"/>
        </w:rPr>
        <w:t>-1</w:t>
      </w:r>
      <w:r>
        <w:rPr>
          <w:rFonts w:eastAsia="黑体" w:cs="Times New Roman"/>
          <w:spacing w:val="-3"/>
          <w:szCs w:val="24"/>
        </w:rPr>
        <w:t xml:space="preserve">    </w:t>
      </w:r>
      <w:r>
        <w:rPr>
          <w:rFonts w:eastAsia="黑体" w:cs="Times New Roman"/>
          <w:spacing w:val="-3"/>
          <w:szCs w:val="24"/>
        </w:rPr>
        <w:t xml:space="preserve">         </w:t>
      </w:r>
      <w:r>
        <w:rPr>
          <w:rFonts w:eastAsia="黑体" w:cs="Times New Roman"/>
          <w:spacing w:val="-3"/>
          <w:szCs w:val="24"/>
        </w:rPr>
        <w:t>项目与河道保护的相关要求符合性分析</w:t>
      </w:r>
    </w:p>
    <w:tbl>
      <w:tblPr>
        <w:tblStyle w:val="TableNormal"/>
        <w:tblW w:w="5009"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838"/>
        <w:gridCol w:w="4747"/>
        <w:gridCol w:w="1759"/>
      </w:tblGrid>
      <w:tr w:rsidR="00A46452">
        <w:tc>
          <w:tcPr>
            <w:tcW w:w="1101"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center"/>
              <w:rPr>
                <w:rFonts w:eastAsiaTheme="minorEastAsia"/>
                <w:sz w:val="18"/>
                <w:szCs w:val="18"/>
              </w:rPr>
            </w:pPr>
            <w:r>
              <w:rPr>
                <w:rFonts w:eastAsiaTheme="minorEastAsia"/>
                <w:b/>
                <w:bCs/>
                <w:spacing w:val="3"/>
                <w:sz w:val="18"/>
                <w:szCs w:val="18"/>
              </w:rPr>
              <w:t>文件</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center"/>
              <w:rPr>
                <w:rFonts w:eastAsiaTheme="minorEastAsia"/>
                <w:sz w:val="18"/>
                <w:szCs w:val="18"/>
              </w:rPr>
            </w:pPr>
            <w:r>
              <w:rPr>
                <w:rFonts w:eastAsiaTheme="minorEastAsia"/>
                <w:b/>
                <w:bCs/>
                <w:spacing w:val="7"/>
                <w:sz w:val="18"/>
                <w:szCs w:val="18"/>
              </w:rPr>
              <w:t>河道保护要求</w:t>
            </w:r>
          </w:p>
        </w:tc>
        <w:tc>
          <w:tcPr>
            <w:tcW w:w="1054"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center"/>
              <w:rPr>
                <w:rFonts w:eastAsiaTheme="minorEastAsia"/>
                <w:sz w:val="18"/>
                <w:szCs w:val="18"/>
              </w:rPr>
            </w:pPr>
            <w:r>
              <w:rPr>
                <w:rFonts w:eastAsiaTheme="minorEastAsia"/>
                <w:b/>
                <w:bCs/>
                <w:spacing w:val="6"/>
                <w:sz w:val="18"/>
                <w:szCs w:val="18"/>
              </w:rPr>
              <w:t>符合性分析</w:t>
            </w:r>
          </w:p>
        </w:tc>
      </w:tr>
      <w:tr w:rsidR="00A46452">
        <w:tc>
          <w:tcPr>
            <w:tcW w:w="1101" w:type="pct"/>
            <w:tcBorders>
              <w:tl2br w:val="nil"/>
              <w:tr2bl w:val="nil"/>
            </w:tcBorders>
            <w:vAlign w:val="center"/>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
                <w:sz w:val="18"/>
                <w:szCs w:val="18"/>
              </w:rPr>
              <w:t>中华人民共和国水污染防治</w:t>
            </w:r>
            <w:r>
              <w:rPr>
                <w:rFonts w:eastAsiaTheme="minorEastAsia"/>
                <w:spacing w:val="-3"/>
                <w:sz w:val="18"/>
                <w:szCs w:val="18"/>
              </w:rPr>
              <w:t>法</w:t>
            </w:r>
            <w:r>
              <w:rPr>
                <w:rFonts w:eastAsiaTheme="minorEastAsia"/>
                <w:spacing w:val="-3"/>
                <w:sz w:val="18"/>
                <w:szCs w:val="18"/>
                <w:lang w:eastAsia="zh-CN"/>
              </w:rPr>
              <w:t>2</w:t>
            </w:r>
            <w:r>
              <w:rPr>
                <w:rFonts w:eastAsiaTheme="minorEastAsia"/>
                <w:spacing w:val="-3"/>
                <w:sz w:val="18"/>
                <w:szCs w:val="18"/>
              </w:rPr>
              <w:t>018</w:t>
            </w:r>
            <w:r>
              <w:rPr>
                <w:rFonts w:eastAsiaTheme="minorEastAsia"/>
                <w:spacing w:val="-3"/>
                <w:sz w:val="18"/>
                <w:szCs w:val="18"/>
              </w:rPr>
              <w:t>年</w:t>
            </w:r>
            <w:r>
              <w:rPr>
                <w:rFonts w:eastAsiaTheme="minorEastAsia"/>
                <w:spacing w:val="-35"/>
                <w:sz w:val="18"/>
                <w:szCs w:val="18"/>
              </w:rPr>
              <w:t xml:space="preserve"> </w:t>
            </w:r>
            <w:r>
              <w:rPr>
                <w:rFonts w:eastAsiaTheme="minorEastAsia"/>
                <w:spacing w:val="-3"/>
                <w:sz w:val="18"/>
                <w:szCs w:val="18"/>
              </w:rPr>
              <w:t>1</w:t>
            </w:r>
            <w:r>
              <w:rPr>
                <w:rFonts w:eastAsiaTheme="minorEastAsia"/>
                <w:spacing w:val="-3"/>
                <w:sz w:val="18"/>
                <w:szCs w:val="18"/>
              </w:rPr>
              <w:t>月</w:t>
            </w:r>
            <w:r>
              <w:rPr>
                <w:rFonts w:eastAsiaTheme="minorEastAsia"/>
                <w:spacing w:val="-3"/>
                <w:sz w:val="18"/>
                <w:szCs w:val="18"/>
              </w:rPr>
              <w:t>1</w:t>
            </w:r>
            <w:r>
              <w:rPr>
                <w:rFonts w:eastAsiaTheme="minorEastAsia"/>
                <w:sz w:val="18"/>
                <w:szCs w:val="18"/>
              </w:rPr>
              <w:t>日</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
                <w:sz w:val="18"/>
                <w:szCs w:val="18"/>
              </w:rPr>
              <w:t>第三十三条</w:t>
            </w:r>
            <w:r>
              <w:rPr>
                <w:rFonts w:eastAsiaTheme="minorEastAsia"/>
                <w:spacing w:val="4"/>
                <w:sz w:val="18"/>
                <w:szCs w:val="18"/>
              </w:rPr>
              <w:t xml:space="preserve"> </w:t>
            </w:r>
            <w:r>
              <w:rPr>
                <w:rFonts w:eastAsiaTheme="minorEastAsia"/>
                <w:spacing w:val="4"/>
                <w:sz w:val="18"/>
                <w:szCs w:val="18"/>
              </w:rPr>
              <w:t>禁止向水体排放油类、酸液、碱液或</w:t>
            </w:r>
            <w:r>
              <w:rPr>
                <w:rFonts w:eastAsiaTheme="minorEastAsia"/>
                <w:spacing w:val="6"/>
                <w:sz w:val="18"/>
                <w:szCs w:val="18"/>
              </w:rPr>
              <w:t>者剧毒废液。</w:t>
            </w:r>
          </w:p>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9"/>
                <w:sz w:val="18"/>
                <w:szCs w:val="18"/>
              </w:rPr>
              <w:t>禁止在水体清洗装贮过油类或者有毒污染物的车</w:t>
            </w:r>
            <w:r>
              <w:rPr>
                <w:rFonts w:eastAsiaTheme="minorEastAsia"/>
                <w:spacing w:val="7"/>
                <w:sz w:val="18"/>
                <w:szCs w:val="18"/>
              </w:rPr>
              <w:t>辆和容器</w:t>
            </w:r>
          </w:p>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
                <w:sz w:val="18"/>
                <w:szCs w:val="18"/>
              </w:rPr>
              <w:t>第三十七条</w:t>
            </w:r>
            <w:r>
              <w:rPr>
                <w:rFonts w:eastAsiaTheme="minorEastAsia"/>
                <w:spacing w:val="4"/>
                <w:sz w:val="18"/>
                <w:szCs w:val="18"/>
              </w:rPr>
              <w:t xml:space="preserve"> </w:t>
            </w:r>
            <w:r>
              <w:rPr>
                <w:rFonts w:eastAsiaTheme="minorEastAsia"/>
                <w:spacing w:val="4"/>
                <w:sz w:val="18"/>
                <w:szCs w:val="18"/>
              </w:rPr>
              <w:t>禁止向水体排放、倾倒工业废渣、城</w:t>
            </w:r>
            <w:r>
              <w:rPr>
                <w:rFonts w:eastAsiaTheme="minorEastAsia"/>
                <w:spacing w:val="8"/>
                <w:sz w:val="18"/>
                <w:szCs w:val="18"/>
              </w:rPr>
              <w:t>镇垃圾和其他废弃物</w:t>
            </w:r>
            <w:r>
              <w:rPr>
                <w:rFonts w:eastAsiaTheme="minorEastAsia"/>
                <w:spacing w:val="8"/>
                <w:sz w:val="18"/>
                <w:szCs w:val="18"/>
                <w:lang w:eastAsia="zh-CN"/>
              </w:rPr>
              <w:t>；</w:t>
            </w:r>
          </w:p>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
                <w:sz w:val="18"/>
                <w:szCs w:val="18"/>
              </w:rPr>
              <w:t>第三十八条</w:t>
            </w:r>
            <w:r>
              <w:rPr>
                <w:rFonts w:eastAsiaTheme="minorEastAsia"/>
                <w:spacing w:val="4"/>
                <w:sz w:val="18"/>
                <w:szCs w:val="18"/>
              </w:rPr>
              <w:t xml:space="preserve"> </w:t>
            </w:r>
            <w:r>
              <w:rPr>
                <w:rFonts w:eastAsiaTheme="minorEastAsia"/>
                <w:spacing w:val="4"/>
                <w:sz w:val="18"/>
                <w:szCs w:val="18"/>
              </w:rPr>
              <w:t>禁止在江河、湖泊、运河、渠道、水</w:t>
            </w:r>
            <w:r>
              <w:rPr>
                <w:rFonts w:eastAsiaTheme="minorEastAsia"/>
                <w:spacing w:val="9"/>
                <w:sz w:val="18"/>
                <w:szCs w:val="18"/>
              </w:rPr>
              <w:t>库最高水位线以下的滩地和岸坡堆放、存贮固体废弃物和其他污染物</w:t>
            </w:r>
          </w:p>
        </w:tc>
        <w:tc>
          <w:tcPr>
            <w:tcW w:w="1054" w:type="pct"/>
            <w:tcBorders>
              <w:tl2br w:val="nil"/>
              <w:tr2bl w:val="nil"/>
            </w:tcBorders>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9"/>
                <w:sz w:val="18"/>
                <w:szCs w:val="18"/>
              </w:rPr>
              <w:t>本项目</w:t>
            </w:r>
            <w:r>
              <w:rPr>
                <w:rFonts w:eastAsiaTheme="minorEastAsia" w:hint="eastAsia"/>
                <w:spacing w:val="9"/>
                <w:sz w:val="18"/>
                <w:szCs w:val="18"/>
                <w:lang w:eastAsia="zh-CN"/>
              </w:rPr>
              <w:t>废水处理达标后回用，严禁向水体排放</w:t>
            </w:r>
            <w:r>
              <w:rPr>
                <w:rFonts w:eastAsiaTheme="minorEastAsia" w:hint="eastAsia"/>
                <w:spacing w:val="3"/>
                <w:sz w:val="18"/>
                <w:szCs w:val="18"/>
                <w:lang w:eastAsia="zh-CN"/>
              </w:rPr>
              <w:t>；</w:t>
            </w:r>
            <w:r>
              <w:rPr>
                <w:rFonts w:eastAsiaTheme="minorEastAsia"/>
                <w:spacing w:val="3"/>
                <w:sz w:val="18"/>
                <w:szCs w:val="18"/>
              </w:rPr>
              <w:t>施工垃圾合规处置；生活污水依</w:t>
            </w:r>
            <w:r>
              <w:rPr>
                <w:rFonts w:eastAsiaTheme="minorEastAsia"/>
                <w:spacing w:val="14"/>
                <w:sz w:val="18"/>
                <w:szCs w:val="18"/>
              </w:rPr>
              <w:t>托保护区外的生活污水处理</w:t>
            </w:r>
            <w:r>
              <w:rPr>
                <w:rFonts w:eastAsiaTheme="minorEastAsia"/>
                <w:spacing w:val="5"/>
                <w:sz w:val="18"/>
                <w:szCs w:val="18"/>
              </w:rPr>
              <w:t>设施处理。</w:t>
            </w:r>
          </w:p>
        </w:tc>
      </w:tr>
      <w:tr w:rsidR="00A46452">
        <w:tc>
          <w:tcPr>
            <w:tcW w:w="1101" w:type="pct"/>
            <w:tcBorders>
              <w:tl2br w:val="nil"/>
              <w:tr2bl w:val="nil"/>
            </w:tcBorders>
            <w:vAlign w:val="center"/>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0"/>
                <w:sz w:val="18"/>
                <w:szCs w:val="18"/>
              </w:rPr>
              <w:t>河道管理范围内建设项目管理的有关规定</w:t>
            </w:r>
            <w:r>
              <w:rPr>
                <w:rFonts w:eastAsiaTheme="minorEastAsia"/>
                <w:spacing w:val="40"/>
                <w:sz w:val="18"/>
                <w:szCs w:val="18"/>
                <w:lang w:eastAsia="zh-CN"/>
              </w:rPr>
              <w:t>（</w:t>
            </w:r>
            <w:r>
              <w:rPr>
                <w:rFonts w:eastAsiaTheme="minorEastAsia"/>
                <w:spacing w:val="2"/>
                <w:sz w:val="18"/>
                <w:szCs w:val="18"/>
              </w:rPr>
              <w:t>2017</w:t>
            </w:r>
            <w:r>
              <w:rPr>
                <w:rFonts w:eastAsiaTheme="minorEastAsia"/>
                <w:spacing w:val="2"/>
                <w:sz w:val="18"/>
                <w:szCs w:val="18"/>
              </w:rPr>
              <w:t>年</w:t>
            </w:r>
            <w:r>
              <w:rPr>
                <w:rFonts w:eastAsiaTheme="minorEastAsia"/>
                <w:spacing w:val="-45"/>
                <w:sz w:val="18"/>
                <w:szCs w:val="18"/>
              </w:rPr>
              <w:t xml:space="preserve"> </w:t>
            </w:r>
            <w:r>
              <w:rPr>
                <w:rFonts w:eastAsiaTheme="minorEastAsia"/>
                <w:spacing w:val="2"/>
                <w:sz w:val="18"/>
                <w:szCs w:val="18"/>
              </w:rPr>
              <w:t>12</w:t>
            </w:r>
            <w:r>
              <w:rPr>
                <w:rFonts w:eastAsiaTheme="minorEastAsia"/>
                <w:spacing w:val="2"/>
                <w:sz w:val="18"/>
                <w:szCs w:val="18"/>
              </w:rPr>
              <w:t>月</w:t>
            </w:r>
            <w:r>
              <w:rPr>
                <w:rFonts w:eastAsiaTheme="minorEastAsia"/>
                <w:spacing w:val="2"/>
                <w:sz w:val="18"/>
                <w:szCs w:val="18"/>
              </w:rPr>
              <w:t>22</w:t>
            </w:r>
            <w:r>
              <w:rPr>
                <w:rFonts w:eastAsiaTheme="minorEastAsia"/>
                <w:spacing w:val="2"/>
                <w:sz w:val="18"/>
                <w:szCs w:val="18"/>
              </w:rPr>
              <w:t>日</w:t>
            </w:r>
            <w:r>
              <w:rPr>
                <w:rFonts w:eastAsiaTheme="minorEastAsia"/>
                <w:spacing w:val="2"/>
                <w:sz w:val="18"/>
                <w:szCs w:val="18"/>
                <w:lang w:eastAsia="zh-CN"/>
              </w:rPr>
              <w:t>）</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河道管理范围内的建设项目，必须按照河道管理权限，经河道主管机关审查同意后，方可开工建</w:t>
            </w:r>
            <w:r>
              <w:rPr>
                <w:rFonts w:eastAsiaTheme="minorEastAsia"/>
                <w:spacing w:val="1"/>
                <w:sz w:val="18"/>
                <w:szCs w:val="18"/>
              </w:rPr>
              <w:t>设</w:t>
            </w:r>
          </w:p>
        </w:tc>
        <w:tc>
          <w:tcPr>
            <w:tcW w:w="1054" w:type="pct"/>
            <w:vMerge w:val="restart"/>
            <w:tcBorders>
              <w:tl2br w:val="nil"/>
              <w:tr2bl w:val="nil"/>
            </w:tcBorders>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8"/>
                <w:sz w:val="18"/>
                <w:szCs w:val="18"/>
              </w:rPr>
              <w:t>本项目</w:t>
            </w:r>
            <w:r>
              <w:rPr>
                <w:rFonts w:eastAsiaTheme="minorEastAsia"/>
                <w:spacing w:val="8"/>
                <w:sz w:val="18"/>
                <w:szCs w:val="18"/>
                <w:lang w:eastAsia="zh-CN"/>
              </w:rPr>
              <w:t>已对跨越</w:t>
            </w:r>
            <w:r>
              <w:rPr>
                <w:rFonts w:eastAsiaTheme="minorEastAsia"/>
                <w:spacing w:val="20"/>
                <w:sz w:val="18"/>
                <w:szCs w:val="18"/>
                <w:lang w:eastAsia="zh-CN"/>
              </w:rPr>
              <w:t>喀什噶尔河</w:t>
            </w:r>
            <w:r>
              <w:rPr>
                <w:rFonts w:eastAsiaTheme="minorEastAsia"/>
                <w:spacing w:val="20"/>
                <w:sz w:val="18"/>
                <w:szCs w:val="18"/>
              </w:rPr>
              <w:t>河流域管理局</w:t>
            </w:r>
            <w:r>
              <w:rPr>
                <w:rFonts w:eastAsiaTheme="minorEastAsia"/>
                <w:spacing w:val="20"/>
                <w:sz w:val="18"/>
                <w:szCs w:val="18"/>
                <w:lang w:eastAsia="zh-CN"/>
              </w:rPr>
              <w:t>、柯坪县水利局、第三师图木舒克市水利局进行了征求意见，均已得到同意跨越水体的复函</w:t>
            </w:r>
            <w:r>
              <w:rPr>
                <w:rFonts w:eastAsiaTheme="minorEastAsia"/>
                <w:sz w:val="18"/>
                <w:szCs w:val="18"/>
              </w:rPr>
              <w:t>。</w:t>
            </w:r>
          </w:p>
        </w:tc>
      </w:tr>
      <w:tr w:rsidR="00A46452">
        <w:tc>
          <w:tcPr>
            <w:tcW w:w="1101" w:type="pct"/>
            <w:tcBorders>
              <w:tl2br w:val="nil"/>
              <w:tr2bl w:val="nil"/>
            </w:tcBorders>
            <w:vAlign w:val="center"/>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0"/>
                <w:sz w:val="18"/>
                <w:szCs w:val="18"/>
              </w:rPr>
              <w:t>中华人民共和国河道管理条例（</w:t>
            </w:r>
            <w:r>
              <w:rPr>
                <w:rFonts w:eastAsiaTheme="minorEastAsia"/>
                <w:spacing w:val="40"/>
                <w:sz w:val="18"/>
                <w:szCs w:val="18"/>
              </w:rPr>
              <w:t>2018</w:t>
            </w:r>
            <w:r>
              <w:rPr>
                <w:rFonts w:eastAsiaTheme="minorEastAsia"/>
                <w:spacing w:val="40"/>
                <w:sz w:val="18"/>
                <w:szCs w:val="18"/>
              </w:rPr>
              <w:t>年</w:t>
            </w:r>
            <w:r>
              <w:rPr>
                <w:rFonts w:eastAsiaTheme="minorEastAsia"/>
                <w:spacing w:val="40"/>
                <w:sz w:val="18"/>
                <w:szCs w:val="18"/>
              </w:rPr>
              <w:t>3</w:t>
            </w:r>
            <w:r>
              <w:rPr>
                <w:rFonts w:eastAsiaTheme="minorEastAsia"/>
                <w:spacing w:val="40"/>
                <w:sz w:val="18"/>
                <w:szCs w:val="18"/>
              </w:rPr>
              <w:t>月</w:t>
            </w:r>
            <w:r>
              <w:rPr>
                <w:rFonts w:eastAsiaTheme="minorEastAsia"/>
                <w:spacing w:val="40"/>
                <w:sz w:val="18"/>
                <w:szCs w:val="18"/>
              </w:rPr>
              <w:t>19</w:t>
            </w:r>
            <w:r>
              <w:rPr>
                <w:rFonts w:eastAsiaTheme="minorEastAsia"/>
                <w:spacing w:val="40"/>
                <w:sz w:val="18"/>
                <w:szCs w:val="18"/>
              </w:rPr>
              <w:t>日）</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4"/>
                <w:sz w:val="18"/>
                <w:szCs w:val="18"/>
              </w:rPr>
              <w:t>第十一条</w:t>
            </w:r>
            <w:r>
              <w:rPr>
                <w:rFonts w:eastAsiaTheme="minorEastAsia"/>
                <w:spacing w:val="4"/>
                <w:sz w:val="18"/>
                <w:szCs w:val="18"/>
              </w:rPr>
              <w:t xml:space="preserve"> </w:t>
            </w:r>
            <w:r>
              <w:rPr>
                <w:rFonts w:eastAsiaTheme="minorEastAsia"/>
                <w:spacing w:val="4"/>
                <w:sz w:val="18"/>
                <w:szCs w:val="18"/>
              </w:rPr>
              <w:t>修建开发水利、防治水害、整治河道的</w:t>
            </w:r>
            <w:r>
              <w:rPr>
                <w:rFonts w:eastAsiaTheme="minorEastAsia"/>
                <w:spacing w:val="16"/>
                <w:sz w:val="18"/>
                <w:szCs w:val="18"/>
              </w:rPr>
              <w:t xml:space="preserve"> </w:t>
            </w:r>
            <w:r>
              <w:rPr>
                <w:rFonts w:eastAsiaTheme="minorEastAsia"/>
                <w:spacing w:val="9"/>
                <w:sz w:val="18"/>
                <w:szCs w:val="18"/>
              </w:rPr>
              <w:t>各类工程和跨河、穿河、穿堤、临河的桥梁、码头、道路、渡口、管道、缆线等建筑物及设施，建设单位必须按照河道管理权限，将工程建设方案报送河道主管机关审查同意后，方可按照基本</w:t>
            </w:r>
            <w:r>
              <w:rPr>
                <w:rFonts w:eastAsiaTheme="minorEastAsia"/>
                <w:spacing w:val="7"/>
                <w:sz w:val="18"/>
                <w:szCs w:val="18"/>
              </w:rPr>
              <w:t>建设程序履行审批手续。</w:t>
            </w:r>
          </w:p>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第十二条修建桥梁、码头和其他设施，必须按照国家规定的防洪标准所确定的河宽进行，不得缩</w:t>
            </w:r>
            <w:r>
              <w:rPr>
                <w:rFonts w:eastAsiaTheme="minorEastAsia"/>
                <w:spacing w:val="5"/>
                <w:sz w:val="18"/>
                <w:szCs w:val="18"/>
              </w:rPr>
              <w:t>窄行洪通道。</w:t>
            </w:r>
          </w:p>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第二十五条在河道管理范围内进行采砂、取土，</w:t>
            </w:r>
            <w:r>
              <w:rPr>
                <w:rFonts w:eastAsiaTheme="minorEastAsia"/>
                <w:spacing w:val="6"/>
                <w:sz w:val="18"/>
                <w:szCs w:val="18"/>
              </w:rPr>
              <w:t>必须报经河道主管机关批准</w:t>
            </w:r>
            <w:r>
              <w:rPr>
                <w:rFonts w:eastAsiaTheme="minorEastAsia"/>
                <w:spacing w:val="6"/>
                <w:sz w:val="18"/>
                <w:szCs w:val="18"/>
                <w:lang w:eastAsia="zh-CN"/>
              </w:rPr>
              <w:t>；</w:t>
            </w:r>
            <w:r>
              <w:rPr>
                <w:rFonts w:eastAsiaTheme="minorEastAsia"/>
                <w:spacing w:val="6"/>
                <w:sz w:val="18"/>
                <w:szCs w:val="18"/>
              </w:rPr>
              <w:t>涉及其他部门的，由</w:t>
            </w:r>
            <w:r>
              <w:rPr>
                <w:rFonts w:eastAsiaTheme="minorEastAsia"/>
                <w:spacing w:val="8"/>
                <w:sz w:val="18"/>
                <w:szCs w:val="18"/>
              </w:rPr>
              <w:t>河道主管机关会同有关部门批准。</w:t>
            </w:r>
          </w:p>
        </w:tc>
        <w:tc>
          <w:tcPr>
            <w:tcW w:w="1054" w:type="pct"/>
            <w:vMerge/>
            <w:tcBorders>
              <w:tl2br w:val="nil"/>
              <w:tr2bl w:val="nil"/>
            </w:tcBorders>
          </w:tcPr>
          <w:p w:rsidR="00A46452" w:rsidRDefault="00A46452">
            <w:pPr>
              <w:wordWrap w:val="0"/>
              <w:topLinePunct/>
              <w:adjustRightInd w:val="0"/>
              <w:snapToGrid w:val="0"/>
              <w:spacing w:line="220" w:lineRule="exact"/>
              <w:ind w:firstLineChars="0" w:firstLine="0"/>
              <w:rPr>
                <w:rFonts w:eastAsiaTheme="minorEastAsia" w:cs="Times New Roman"/>
                <w:sz w:val="18"/>
                <w:szCs w:val="18"/>
              </w:rPr>
            </w:pPr>
          </w:p>
        </w:tc>
      </w:tr>
      <w:tr w:rsidR="00A46452">
        <w:tc>
          <w:tcPr>
            <w:tcW w:w="1101" w:type="pct"/>
            <w:tcBorders>
              <w:tl2br w:val="nil"/>
              <w:tr2bl w:val="nil"/>
            </w:tcBorders>
            <w:vAlign w:val="center"/>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40"/>
                <w:sz w:val="18"/>
                <w:szCs w:val="18"/>
              </w:rPr>
              <w:t>新疆维吾尔自</w:t>
            </w:r>
            <w:r>
              <w:rPr>
                <w:rFonts w:eastAsiaTheme="minorEastAsia"/>
                <w:spacing w:val="39"/>
                <w:sz w:val="18"/>
                <w:szCs w:val="18"/>
              </w:rPr>
              <w:t>治区河道管理</w:t>
            </w:r>
            <w:r>
              <w:rPr>
                <w:rFonts w:eastAsiaTheme="minorEastAsia"/>
                <w:spacing w:val="-2"/>
                <w:sz w:val="18"/>
                <w:szCs w:val="18"/>
              </w:rPr>
              <w:t>条例（</w:t>
            </w:r>
            <w:r>
              <w:rPr>
                <w:rFonts w:eastAsiaTheme="minorEastAsia"/>
                <w:spacing w:val="-2"/>
                <w:sz w:val="18"/>
                <w:szCs w:val="18"/>
              </w:rPr>
              <w:t>2012</w:t>
            </w:r>
            <w:r>
              <w:rPr>
                <w:rFonts w:eastAsiaTheme="minorEastAsia"/>
                <w:spacing w:val="-2"/>
                <w:sz w:val="18"/>
                <w:szCs w:val="18"/>
              </w:rPr>
              <w:t>年修</w:t>
            </w:r>
            <w:r>
              <w:rPr>
                <w:rFonts w:eastAsiaTheme="minorEastAsia"/>
                <w:spacing w:val="-1"/>
                <w:sz w:val="18"/>
                <w:szCs w:val="18"/>
              </w:rPr>
              <w:t>正）</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第十一条修建开发水利、防治水害、整治河道的</w:t>
            </w:r>
            <w:r>
              <w:rPr>
                <w:rFonts w:eastAsiaTheme="minorEastAsia"/>
                <w:spacing w:val="15"/>
                <w:sz w:val="18"/>
                <w:szCs w:val="18"/>
              </w:rPr>
              <w:t xml:space="preserve"> </w:t>
            </w:r>
            <w:r>
              <w:rPr>
                <w:rFonts w:eastAsiaTheme="minorEastAsia"/>
                <w:spacing w:val="9"/>
                <w:sz w:val="18"/>
                <w:szCs w:val="18"/>
              </w:rPr>
              <w:t>各类工程和跨河、穿河、穿堤、临河的桥梁、码头、道路、渡口、管道、缆线等建筑物及设施，建设单位必须按照河道管理权限，将工程建设方案报送河道主管机关审查同意后，方可按照基本</w:t>
            </w:r>
            <w:r>
              <w:rPr>
                <w:rFonts w:eastAsiaTheme="minorEastAsia"/>
                <w:spacing w:val="7"/>
                <w:sz w:val="18"/>
                <w:szCs w:val="18"/>
              </w:rPr>
              <w:t>建设程序履行审批手续。</w:t>
            </w:r>
          </w:p>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第二十二条在河道管理范围内（堤防和护堤地除外）进行采砂、取土、采石活动，必须报经河道</w:t>
            </w:r>
            <w:r>
              <w:rPr>
                <w:rFonts w:eastAsiaTheme="minorEastAsia"/>
                <w:spacing w:val="7"/>
                <w:sz w:val="18"/>
                <w:szCs w:val="18"/>
              </w:rPr>
              <w:t>主管机关批准；涉及其他部门的，</w:t>
            </w:r>
            <w:r>
              <w:rPr>
                <w:rFonts w:eastAsiaTheme="minorEastAsia"/>
                <w:spacing w:val="-45"/>
                <w:sz w:val="18"/>
                <w:szCs w:val="18"/>
              </w:rPr>
              <w:t xml:space="preserve"> </w:t>
            </w:r>
            <w:r>
              <w:rPr>
                <w:rFonts w:eastAsiaTheme="minorEastAsia"/>
                <w:spacing w:val="7"/>
                <w:sz w:val="18"/>
                <w:szCs w:val="18"/>
              </w:rPr>
              <w:t>由河道主管机关会同有关部门批准。</w:t>
            </w:r>
          </w:p>
        </w:tc>
        <w:tc>
          <w:tcPr>
            <w:tcW w:w="1054" w:type="pct"/>
            <w:vMerge/>
            <w:tcBorders>
              <w:tl2br w:val="nil"/>
              <w:tr2bl w:val="nil"/>
            </w:tcBorders>
          </w:tcPr>
          <w:p w:rsidR="00A46452" w:rsidRDefault="00A46452">
            <w:pPr>
              <w:wordWrap w:val="0"/>
              <w:topLinePunct/>
              <w:adjustRightInd w:val="0"/>
              <w:snapToGrid w:val="0"/>
              <w:spacing w:line="220" w:lineRule="exact"/>
              <w:ind w:firstLineChars="0" w:firstLine="0"/>
              <w:rPr>
                <w:rFonts w:eastAsiaTheme="minorEastAsia" w:cs="Times New Roman"/>
                <w:sz w:val="18"/>
                <w:szCs w:val="18"/>
              </w:rPr>
            </w:pPr>
          </w:p>
        </w:tc>
      </w:tr>
      <w:tr w:rsidR="00A46452">
        <w:tc>
          <w:tcPr>
            <w:tcW w:w="1101" w:type="pct"/>
            <w:tcBorders>
              <w:tl2br w:val="nil"/>
              <w:tr2bl w:val="nil"/>
            </w:tcBorders>
            <w:vAlign w:val="center"/>
          </w:tcPr>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39"/>
                <w:sz w:val="18"/>
                <w:szCs w:val="18"/>
              </w:rPr>
              <w:t>新疆维吾尔自治区环境保护条（</w:t>
            </w:r>
            <w:r>
              <w:rPr>
                <w:rFonts w:eastAsiaTheme="minorEastAsia"/>
                <w:spacing w:val="39"/>
                <w:sz w:val="18"/>
                <w:szCs w:val="18"/>
              </w:rPr>
              <w:t>2017.1.1</w:t>
            </w:r>
            <w:r>
              <w:rPr>
                <w:rFonts w:eastAsiaTheme="minorEastAsia"/>
                <w:spacing w:val="39"/>
                <w:sz w:val="18"/>
                <w:szCs w:val="18"/>
              </w:rPr>
              <w:t>）</w:t>
            </w:r>
          </w:p>
        </w:tc>
        <w:tc>
          <w:tcPr>
            <w:tcW w:w="2843" w:type="pct"/>
            <w:tcBorders>
              <w:tl2br w:val="nil"/>
              <w:tr2bl w:val="nil"/>
            </w:tcBorders>
          </w:tcPr>
          <w:p w:rsidR="00A46452" w:rsidRDefault="009A3928">
            <w:pPr>
              <w:pStyle w:val="TableText"/>
              <w:wordWrap w:val="0"/>
              <w:topLinePunct/>
              <w:adjustRightInd w:val="0"/>
              <w:snapToGrid w:val="0"/>
              <w:spacing w:line="220" w:lineRule="exact"/>
              <w:ind w:firstLineChars="0" w:firstLine="0"/>
              <w:jc w:val="left"/>
              <w:rPr>
                <w:rFonts w:eastAsiaTheme="minorEastAsia"/>
                <w:sz w:val="18"/>
                <w:szCs w:val="18"/>
              </w:rPr>
            </w:pPr>
            <w:r>
              <w:rPr>
                <w:rFonts w:eastAsiaTheme="minorEastAsia"/>
                <w:spacing w:val="9"/>
                <w:sz w:val="18"/>
                <w:szCs w:val="18"/>
              </w:rPr>
              <w:t>第三十条任何单位和个人不得在水源涵养区、饮用水水源保护区内和河流、湖泊、水库周围建设重化工、涉重金属等工业污染项目；对</w:t>
            </w:r>
            <w:r>
              <w:rPr>
                <w:rFonts w:eastAsiaTheme="minorEastAsia"/>
                <w:spacing w:val="9"/>
                <w:sz w:val="18"/>
                <w:szCs w:val="18"/>
              </w:rPr>
              <w:t>已建成的工业污染项目，当地人民政府应当组织限期搬迁。</w:t>
            </w:r>
          </w:p>
        </w:tc>
        <w:tc>
          <w:tcPr>
            <w:tcW w:w="1054" w:type="pct"/>
            <w:tcBorders>
              <w:tl2br w:val="nil"/>
              <w:tr2bl w:val="nil"/>
            </w:tcBorders>
          </w:tcPr>
          <w:p w:rsidR="00A46452" w:rsidRDefault="009A3928">
            <w:pPr>
              <w:pStyle w:val="TableText"/>
              <w:wordWrap w:val="0"/>
              <w:topLinePunct/>
              <w:adjustRightInd w:val="0"/>
              <w:snapToGrid w:val="0"/>
              <w:spacing w:line="220" w:lineRule="exact"/>
              <w:ind w:firstLineChars="0" w:firstLine="0"/>
              <w:rPr>
                <w:rFonts w:eastAsiaTheme="minorEastAsia"/>
                <w:sz w:val="18"/>
                <w:szCs w:val="18"/>
              </w:rPr>
            </w:pPr>
            <w:r>
              <w:rPr>
                <w:rFonts w:eastAsiaTheme="minorEastAsia"/>
                <w:spacing w:val="21"/>
                <w:sz w:val="18"/>
                <w:szCs w:val="18"/>
              </w:rPr>
              <w:t>本项目属于</w:t>
            </w:r>
            <w:r>
              <w:rPr>
                <w:rFonts w:eastAsiaTheme="minorEastAsia"/>
                <w:spacing w:val="21"/>
                <w:sz w:val="18"/>
                <w:szCs w:val="18"/>
                <w:lang w:eastAsia="zh-CN"/>
              </w:rPr>
              <w:t>公路项目</w:t>
            </w:r>
            <w:r>
              <w:rPr>
                <w:rFonts w:eastAsiaTheme="minorEastAsia"/>
                <w:spacing w:val="5"/>
                <w:sz w:val="18"/>
                <w:szCs w:val="18"/>
              </w:rPr>
              <w:t>，不属于工业污染项目</w:t>
            </w:r>
          </w:p>
        </w:tc>
      </w:tr>
    </w:tbl>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5.3.2.2</w:t>
      </w:r>
      <w:r>
        <w:rPr>
          <w:rFonts w:cs="Times New Roman" w:hint="default"/>
        </w:rPr>
        <w:t>与公益林保护相关要求的符合性分析</w:t>
      </w:r>
    </w:p>
    <w:p w:rsidR="00A46452" w:rsidRDefault="009A3928" w:rsidP="00182EED">
      <w:pPr>
        <w:pStyle w:val="a5"/>
        <w:wordWrap w:val="0"/>
        <w:topLinePunct/>
        <w:adjustRightInd w:val="0"/>
        <w:snapToGrid w:val="0"/>
        <w:spacing w:after="0"/>
        <w:ind w:firstLine="476"/>
        <w:rPr>
          <w:rFonts w:cs="Times New Roman" w:hint="default"/>
        </w:rPr>
      </w:pPr>
      <w:r>
        <w:rPr>
          <w:rFonts w:cs="Times New Roman" w:hint="default"/>
          <w:spacing w:val="-1"/>
        </w:rPr>
        <w:t>本项目与公益林等相关法律法规符合性分析见下表</w:t>
      </w:r>
      <w:r>
        <w:rPr>
          <w:rFonts w:cs="Times New Roman"/>
          <w:spacing w:val="-1"/>
        </w:rPr>
        <w:t>5</w:t>
      </w:r>
      <w:r>
        <w:rPr>
          <w:rFonts w:cs="Times New Roman" w:hint="default"/>
          <w:spacing w:val="-1"/>
        </w:rPr>
        <w:t>.</w:t>
      </w:r>
      <w:r>
        <w:rPr>
          <w:rFonts w:cs="Times New Roman"/>
          <w:spacing w:val="-1"/>
        </w:rPr>
        <w:t>3</w:t>
      </w:r>
      <w:r>
        <w:rPr>
          <w:rFonts w:cs="Times New Roman" w:hint="default"/>
          <w:spacing w:val="-1"/>
        </w:rPr>
        <w:t>-2</w:t>
      </w:r>
      <w:r>
        <w:rPr>
          <w:rFonts w:cs="Times New Roman" w:hint="default"/>
          <w:spacing w:val="-1"/>
        </w:rPr>
        <w:t>。</w:t>
      </w:r>
    </w:p>
    <w:p w:rsidR="00A46452" w:rsidRDefault="009A3928">
      <w:pPr>
        <w:wordWrap w:val="0"/>
        <w:topLinePunct/>
        <w:adjustRightInd w:val="0"/>
        <w:snapToGrid w:val="0"/>
        <w:spacing w:line="240" w:lineRule="auto"/>
        <w:ind w:firstLineChars="0" w:firstLine="0"/>
        <w:rPr>
          <w:rFonts w:cs="Times New Roman"/>
        </w:rPr>
      </w:pPr>
      <w:r>
        <w:rPr>
          <w:rFonts w:eastAsia="黑体" w:cs="Times New Roman"/>
          <w:spacing w:val="-3"/>
          <w:szCs w:val="24"/>
        </w:rPr>
        <w:t>表</w:t>
      </w:r>
      <w:r>
        <w:rPr>
          <w:rFonts w:eastAsia="黑体" w:cs="Times New Roman" w:hint="eastAsia"/>
          <w:spacing w:val="-3"/>
          <w:szCs w:val="24"/>
        </w:rPr>
        <w:t>5</w:t>
      </w:r>
      <w:r>
        <w:rPr>
          <w:rFonts w:eastAsia="黑体" w:cs="Times New Roman"/>
          <w:spacing w:val="-3"/>
          <w:szCs w:val="24"/>
        </w:rPr>
        <w:t>.</w:t>
      </w:r>
      <w:r>
        <w:rPr>
          <w:rFonts w:eastAsia="黑体" w:cs="Times New Roman" w:hint="eastAsia"/>
          <w:spacing w:val="-3"/>
          <w:szCs w:val="24"/>
        </w:rPr>
        <w:t>3</w:t>
      </w:r>
      <w:r>
        <w:rPr>
          <w:rFonts w:eastAsia="黑体" w:cs="Times New Roman"/>
          <w:spacing w:val="-3"/>
          <w:szCs w:val="24"/>
        </w:rPr>
        <w:t>-2</w:t>
      </w:r>
      <w:r>
        <w:rPr>
          <w:rFonts w:eastAsia="黑体" w:cs="Times New Roman"/>
          <w:spacing w:val="-3"/>
          <w:szCs w:val="24"/>
        </w:rPr>
        <w:t xml:space="preserve">   </w:t>
      </w:r>
      <w:r>
        <w:rPr>
          <w:rFonts w:eastAsia="黑体" w:cs="Times New Roman"/>
          <w:spacing w:val="-3"/>
          <w:szCs w:val="24"/>
        </w:rPr>
        <w:t xml:space="preserve">        </w:t>
      </w:r>
      <w:r>
        <w:rPr>
          <w:rFonts w:eastAsia="黑体" w:cs="Times New Roman"/>
          <w:spacing w:val="-3"/>
          <w:szCs w:val="24"/>
        </w:rPr>
        <w:t>本项目与公益林等相关法律法规符合性分析</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861"/>
        <w:gridCol w:w="2781"/>
        <w:gridCol w:w="684"/>
      </w:tblGrid>
      <w:tr w:rsidR="00A46452">
        <w:trPr>
          <w:trHeight w:val="608"/>
        </w:trPr>
        <w:tc>
          <w:tcPr>
            <w:tcW w:w="2918"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法规内容</w:t>
            </w:r>
          </w:p>
        </w:tc>
        <w:tc>
          <w:tcPr>
            <w:tcW w:w="1670"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本项目情况</w:t>
            </w:r>
          </w:p>
        </w:tc>
        <w:tc>
          <w:tcPr>
            <w:tcW w:w="411"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符合性</w:t>
            </w:r>
            <w:r>
              <w:rPr>
                <w:rFonts w:eastAsiaTheme="minorEastAsia"/>
                <w:b/>
                <w:bCs/>
                <w:spacing w:val="7"/>
                <w:sz w:val="18"/>
                <w:szCs w:val="18"/>
              </w:rPr>
              <w:t xml:space="preserve"> </w:t>
            </w:r>
            <w:r>
              <w:rPr>
                <w:rFonts w:eastAsiaTheme="minorEastAsia"/>
                <w:b/>
                <w:bCs/>
                <w:spacing w:val="7"/>
                <w:sz w:val="18"/>
                <w:szCs w:val="18"/>
              </w:rPr>
              <w:t>分析</w:t>
            </w:r>
          </w:p>
        </w:tc>
      </w:tr>
      <w:tr w:rsidR="00A46452">
        <w:trPr>
          <w:trHeight w:val="2094"/>
        </w:trPr>
        <w:tc>
          <w:tcPr>
            <w:tcW w:w="2918"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rPr>
            </w:pPr>
            <w:r>
              <w:rPr>
                <w:rFonts w:eastAsiaTheme="minorEastAsia"/>
                <w:spacing w:val="9"/>
                <w:sz w:val="18"/>
                <w:szCs w:val="18"/>
              </w:rPr>
              <w:t>《国家级公益林管理办法》林资发</w:t>
            </w:r>
            <w:r>
              <w:rPr>
                <w:rFonts w:eastAsiaTheme="minorEastAsia"/>
                <w:spacing w:val="9"/>
                <w:sz w:val="18"/>
                <w:szCs w:val="18"/>
                <w:lang w:eastAsia="zh-CN"/>
              </w:rPr>
              <w:t>〔</w:t>
            </w:r>
            <w:r>
              <w:rPr>
                <w:rFonts w:eastAsiaTheme="minorEastAsia"/>
                <w:spacing w:val="9"/>
                <w:sz w:val="18"/>
                <w:szCs w:val="18"/>
                <w:lang w:eastAsia="zh-CN"/>
              </w:rPr>
              <w:t>2013</w:t>
            </w:r>
            <w:r>
              <w:rPr>
                <w:rFonts w:eastAsiaTheme="minorEastAsia"/>
                <w:spacing w:val="9"/>
                <w:sz w:val="18"/>
                <w:szCs w:val="18"/>
                <w:lang w:eastAsia="zh-CN"/>
              </w:rPr>
              <w:t>〕</w:t>
            </w:r>
            <w:r>
              <w:rPr>
                <w:rFonts w:eastAsiaTheme="minorEastAsia"/>
                <w:spacing w:val="9"/>
                <w:sz w:val="18"/>
                <w:szCs w:val="18"/>
                <w:lang w:eastAsia="zh-CN"/>
              </w:rPr>
              <w:t>71</w:t>
            </w:r>
            <w:r>
              <w:rPr>
                <w:rFonts w:eastAsiaTheme="minorEastAsia"/>
                <w:spacing w:val="9"/>
                <w:sz w:val="18"/>
                <w:szCs w:val="18"/>
                <w:lang w:eastAsia="zh-CN"/>
              </w:rPr>
              <w:t>号</w:t>
            </w:r>
            <w:r>
              <w:rPr>
                <w:rFonts w:eastAsiaTheme="minorEastAsia"/>
                <w:spacing w:val="9"/>
                <w:sz w:val="18"/>
                <w:szCs w:val="18"/>
              </w:rPr>
              <w:t>第十一条规定：禁止在国家级公益林地开垦、采石、采沙、取土，严格控制勘查、开采矿藏和工程建设征收、征用、占用国家级公益林地。除国务院有关部门和省级人民政府批准的基础设施建设项目外，不得征收、征用、占用一级国家级公益林地。</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rPr>
            </w:pPr>
            <w:r>
              <w:rPr>
                <w:rFonts w:eastAsiaTheme="minorEastAsia"/>
                <w:spacing w:val="9"/>
                <w:sz w:val="18"/>
                <w:szCs w:val="18"/>
              </w:rPr>
              <w:t>根据《建设项目使用林地审核审批管理办法》（</w:t>
            </w:r>
            <w:r>
              <w:rPr>
                <w:rFonts w:eastAsiaTheme="minorEastAsia"/>
                <w:spacing w:val="9"/>
                <w:sz w:val="18"/>
                <w:szCs w:val="18"/>
                <w:lang w:eastAsia="zh-CN"/>
              </w:rPr>
              <w:t>国家林业和草原局</w:t>
            </w:r>
            <w:r>
              <w:rPr>
                <w:rFonts w:eastAsiaTheme="minorEastAsia"/>
                <w:spacing w:val="9"/>
                <w:sz w:val="18"/>
                <w:szCs w:val="18"/>
              </w:rPr>
              <w:t>令第</w:t>
            </w:r>
            <w:r>
              <w:rPr>
                <w:rFonts w:eastAsiaTheme="minorEastAsia"/>
                <w:spacing w:val="9"/>
                <w:sz w:val="18"/>
                <w:szCs w:val="18"/>
              </w:rPr>
              <w:t>35</w:t>
            </w:r>
            <w:r>
              <w:rPr>
                <w:rFonts w:eastAsiaTheme="minorEastAsia"/>
                <w:spacing w:val="9"/>
                <w:sz w:val="18"/>
                <w:szCs w:val="18"/>
              </w:rPr>
              <w:t>号），（一）各类建设项目不得使用</w:t>
            </w:r>
            <w:r>
              <w:rPr>
                <w:rFonts w:eastAsiaTheme="minorEastAsia"/>
                <w:spacing w:val="9"/>
                <w:sz w:val="18"/>
                <w:szCs w:val="18"/>
              </w:rPr>
              <w:t>Ⅰ</w:t>
            </w:r>
            <w:r>
              <w:rPr>
                <w:rFonts w:eastAsiaTheme="minorEastAsia"/>
                <w:spacing w:val="9"/>
                <w:sz w:val="18"/>
                <w:szCs w:val="18"/>
              </w:rPr>
              <w:t>级保护林地。第四条</w:t>
            </w:r>
            <w:r>
              <w:rPr>
                <w:rFonts w:eastAsiaTheme="minorEastAsia"/>
                <w:spacing w:val="9"/>
                <w:sz w:val="18"/>
                <w:szCs w:val="18"/>
              </w:rPr>
              <w:t xml:space="preserve"> </w:t>
            </w:r>
            <w:r>
              <w:rPr>
                <w:rFonts w:eastAsiaTheme="minorEastAsia"/>
                <w:spacing w:val="9"/>
                <w:sz w:val="18"/>
                <w:szCs w:val="18"/>
              </w:rPr>
              <w:t>占用和临时占用林地的建设项目应当遵守林地分级管理的规定：（一）各类建设项目不得使用</w:t>
            </w:r>
            <w:r>
              <w:rPr>
                <w:rFonts w:eastAsiaTheme="minorEastAsia"/>
                <w:spacing w:val="9"/>
                <w:sz w:val="18"/>
                <w:szCs w:val="18"/>
              </w:rPr>
              <w:t>Ⅰ</w:t>
            </w:r>
            <w:r>
              <w:rPr>
                <w:rFonts w:eastAsiaTheme="minorEastAsia"/>
                <w:spacing w:val="9"/>
                <w:sz w:val="18"/>
                <w:szCs w:val="18"/>
              </w:rPr>
              <w:t>级保护林地。（四）县（市、区）和设区的市、自治州人民政府及其有关部门批准的基础设施、公共</w:t>
            </w:r>
            <w:r>
              <w:rPr>
                <w:rFonts w:eastAsiaTheme="minorEastAsia"/>
                <w:spacing w:val="9"/>
                <w:sz w:val="18"/>
                <w:szCs w:val="18"/>
              </w:rPr>
              <w:t>事业、民生建设项目，可以使用</w:t>
            </w:r>
            <w:r>
              <w:rPr>
                <w:rFonts w:eastAsiaTheme="minorEastAsia"/>
                <w:spacing w:val="9"/>
                <w:sz w:val="18"/>
                <w:szCs w:val="18"/>
              </w:rPr>
              <w:t>Ⅱ</w:t>
            </w:r>
            <w:r>
              <w:rPr>
                <w:rFonts w:eastAsiaTheme="minorEastAsia"/>
                <w:spacing w:val="9"/>
                <w:sz w:val="18"/>
                <w:szCs w:val="18"/>
              </w:rPr>
              <w:t>级及其以下保护林地。</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中华人民共和国森林法》：第三十七条矿藏勘查、开采以及其他各类工程建设，应当不占或者少占林地；确需占用林地的，应当经县级以上人民政府林业主管部门审核同意，依法办理建设用地审批手续。占用林地的单位应当缴纳森林植被恢复费。森林植被恢复费征收使用管理办法由国务院财政部门会同林业主管部门制定。县级以上人民政府林业主管部门应当按照规定安排植树造林，恢复森林植被，植树造林面积不得少于因占用林地而减少的森林植被面积。第三十八条的规定：需要临时使用林地的，应当经县级以上人</w:t>
            </w:r>
            <w:r>
              <w:rPr>
                <w:rFonts w:eastAsiaTheme="minorEastAsia"/>
                <w:spacing w:val="9"/>
                <w:sz w:val="18"/>
                <w:szCs w:val="18"/>
                <w:lang w:eastAsia="zh-CN"/>
              </w:rPr>
              <w:t>民政府林业主管部门批准；临时使用林地的期限一般不超过二年，并不得在临时使用的林地上修建永久性建筑物。</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中华人民共和国森林法实施条例：第十六条：勘查、开采矿藏和修建道路、水利、电力、通讯等工程，需要占用或者征收、征用林地的，必须遵守下列规定，用地单位应当向县级以上人民政府林业主管部门提出用地申请，经审核同意后，按照国家规定的标准预交森林植被恢复费，领取使用林地审核同意书。</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用地单位需要采伐已经批准占用或者征收、征用的林地上的林木时，应当向林地所在地的县级以上地方人民政府林业主管部门或者国务院林业主管部门申请林</w:t>
            </w:r>
            <w:r>
              <w:rPr>
                <w:rFonts w:eastAsiaTheme="minorEastAsia"/>
                <w:spacing w:val="9"/>
                <w:sz w:val="18"/>
                <w:szCs w:val="18"/>
                <w:lang w:eastAsia="zh-CN"/>
              </w:rPr>
              <w:t>木采伐许可证。</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新疆维吾尔自治区实施《中华人民共和国森林法》办法：修（扩）建道路应当避开林木。确实无法避开的，需采伐整条林带或者整片林木的，建设单位应当事先向州（地、市）林业主管部门提出申请，需零星采伐林木的，向县（市）林业主管部门提出申请，经批准依法办理采伐手续后实施采伐，并对林木所有者给予经济补偿。</w:t>
            </w:r>
          </w:p>
        </w:tc>
        <w:tc>
          <w:tcPr>
            <w:tcW w:w="1670"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本项目穿越国家二级公益林，第三师图木舒克市占国家级公益林面积：</w:t>
            </w:r>
            <w:r>
              <w:rPr>
                <w:rFonts w:eastAsiaTheme="minorEastAsia"/>
                <w:spacing w:val="9"/>
                <w:sz w:val="18"/>
                <w:szCs w:val="18"/>
                <w:lang w:eastAsia="zh-CN"/>
              </w:rPr>
              <w:t>13.21hm</w:t>
            </w:r>
            <w:r>
              <w:rPr>
                <w:rFonts w:eastAsiaTheme="minorEastAsia"/>
                <w:spacing w:val="9"/>
                <w:sz w:val="18"/>
                <w:szCs w:val="18"/>
                <w:vertAlign w:val="superscript"/>
                <w:lang w:eastAsia="zh-CN"/>
              </w:rPr>
              <w:t>2</w:t>
            </w:r>
            <w:r>
              <w:rPr>
                <w:rFonts w:eastAsiaTheme="minorEastAsia"/>
                <w:spacing w:val="9"/>
                <w:sz w:val="18"/>
                <w:szCs w:val="18"/>
                <w:lang w:eastAsia="zh-CN"/>
              </w:rPr>
              <w:t>，巴楚县占国家级公益林</w:t>
            </w:r>
            <w:r>
              <w:rPr>
                <w:rFonts w:eastAsiaTheme="minorEastAsia"/>
                <w:spacing w:val="9"/>
                <w:sz w:val="18"/>
                <w:szCs w:val="18"/>
                <w:lang w:eastAsia="zh-CN"/>
              </w:rPr>
              <w:t>9.98hm</w:t>
            </w:r>
            <w:r>
              <w:rPr>
                <w:rFonts w:eastAsiaTheme="minorEastAsia"/>
                <w:spacing w:val="9"/>
                <w:sz w:val="18"/>
                <w:szCs w:val="18"/>
                <w:vertAlign w:val="superscript"/>
                <w:lang w:eastAsia="zh-CN"/>
              </w:rPr>
              <w:t>2</w:t>
            </w:r>
            <w:r>
              <w:rPr>
                <w:rFonts w:eastAsiaTheme="minorEastAsia"/>
                <w:spacing w:val="9"/>
                <w:sz w:val="18"/>
                <w:szCs w:val="18"/>
                <w:lang w:eastAsia="zh-CN"/>
              </w:rPr>
              <w:t>。具体占地面积、分布以林调报告为主，申请办理使用林地审核手续，缴纳林地补偿费、林木补偿费和安</w:t>
            </w:r>
            <w:r>
              <w:rPr>
                <w:rFonts w:eastAsiaTheme="minorEastAsia"/>
                <w:spacing w:val="9"/>
                <w:sz w:val="18"/>
                <w:szCs w:val="18"/>
                <w:lang w:eastAsia="zh-CN"/>
              </w:rPr>
              <w:t>置补助费。确需砍伐的林地申请办理林木砍伐许可证。</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rPr>
            </w:pPr>
            <w:r>
              <w:rPr>
                <w:rFonts w:eastAsiaTheme="minorEastAsia"/>
                <w:spacing w:val="9"/>
                <w:sz w:val="18"/>
                <w:szCs w:val="18"/>
              </w:rPr>
              <w:t>为减少项目实施对国家</w:t>
            </w:r>
            <w:r>
              <w:rPr>
                <w:rFonts w:eastAsiaTheme="minorEastAsia"/>
                <w:spacing w:val="9"/>
                <w:sz w:val="18"/>
                <w:szCs w:val="18"/>
                <w:lang w:eastAsia="zh-CN"/>
              </w:rPr>
              <w:t>二级</w:t>
            </w:r>
            <w:r>
              <w:rPr>
                <w:rFonts w:eastAsiaTheme="minorEastAsia"/>
                <w:spacing w:val="9"/>
                <w:sz w:val="18"/>
                <w:szCs w:val="18"/>
              </w:rPr>
              <w:t>公益林的破坏，施工期划定施工范围，周边设置警戒带和警示牌，禁止施工人员随意进入国家公益林区内。</w:t>
            </w:r>
          </w:p>
        </w:tc>
        <w:tc>
          <w:tcPr>
            <w:tcW w:w="411"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pPr>
            <w:r>
              <w:rPr>
                <w:rFonts w:eastAsiaTheme="minorEastAsia"/>
                <w:spacing w:val="9"/>
                <w:sz w:val="18"/>
                <w:szCs w:val="18"/>
              </w:rPr>
              <w:t>符合</w:t>
            </w:r>
          </w:p>
        </w:tc>
      </w:tr>
    </w:tbl>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5.3.2.</w:t>
      </w:r>
      <w:r>
        <w:rPr>
          <w:rFonts w:cs="Times New Roman"/>
        </w:rPr>
        <w:t>3</w:t>
      </w:r>
      <w:r>
        <w:rPr>
          <w:rFonts w:cs="Times New Roman" w:hint="default"/>
        </w:rPr>
        <w:t>与《高速公路建设项目环境影响评价文件审批原则》的符合性分析</w:t>
      </w:r>
    </w:p>
    <w:p w:rsidR="00A46452" w:rsidRDefault="009A3928" w:rsidP="00182EED">
      <w:pPr>
        <w:pStyle w:val="a5"/>
        <w:wordWrap w:val="0"/>
        <w:topLinePunct/>
        <w:adjustRightInd w:val="0"/>
        <w:snapToGrid w:val="0"/>
        <w:spacing w:after="0"/>
        <w:ind w:firstLine="476"/>
        <w:rPr>
          <w:rFonts w:cs="Times New Roman" w:hint="default"/>
        </w:rPr>
      </w:pPr>
      <w:r>
        <w:rPr>
          <w:rFonts w:cs="Times New Roman" w:hint="default"/>
          <w:spacing w:val="-1"/>
        </w:rPr>
        <w:t>本项目与</w:t>
      </w:r>
      <w:r>
        <w:rPr>
          <w:rFonts w:cs="Times New Roman" w:hint="default"/>
        </w:rPr>
        <w:t>《高速公路建设项目环境影响评价文件审批原则》</w:t>
      </w:r>
      <w:r>
        <w:rPr>
          <w:rFonts w:cs="Times New Roman"/>
        </w:rPr>
        <w:t>的</w:t>
      </w:r>
      <w:r>
        <w:rPr>
          <w:rFonts w:cs="Times New Roman" w:hint="default"/>
          <w:spacing w:val="-1"/>
        </w:rPr>
        <w:t>符合性分析见表</w:t>
      </w:r>
      <w:r>
        <w:rPr>
          <w:rFonts w:cs="Times New Roman"/>
          <w:spacing w:val="-1"/>
        </w:rPr>
        <w:t>5</w:t>
      </w:r>
      <w:r>
        <w:rPr>
          <w:rFonts w:cs="Times New Roman" w:hint="default"/>
          <w:spacing w:val="-1"/>
        </w:rPr>
        <w:t>.</w:t>
      </w:r>
      <w:r>
        <w:rPr>
          <w:rFonts w:cs="Times New Roman"/>
          <w:spacing w:val="-1"/>
        </w:rPr>
        <w:t>3</w:t>
      </w:r>
      <w:r>
        <w:rPr>
          <w:rFonts w:cs="Times New Roman" w:hint="default"/>
          <w:spacing w:val="-1"/>
        </w:rPr>
        <w:t>-</w:t>
      </w:r>
      <w:r>
        <w:rPr>
          <w:rFonts w:cs="Times New Roman"/>
          <w:spacing w:val="-1"/>
        </w:rPr>
        <w:t>3</w:t>
      </w:r>
      <w:r>
        <w:rPr>
          <w:rFonts w:cs="Times New Roman" w:hint="default"/>
          <w:spacing w:val="-1"/>
        </w:rPr>
        <w:t>。</w:t>
      </w:r>
    </w:p>
    <w:p w:rsidR="00A46452" w:rsidRDefault="009A3928">
      <w:pPr>
        <w:wordWrap w:val="0"/>
        <w:topLinePunct/>
        <w:adjustRightInd w:val="0"/>
        <w:snapToGrid w:val="0"/>
        <w:spacing w:line="240" w:lineRule="auto"/>
        <w:ind w:firstLineChars="0" w:firstLine="0"/>
        <w:rPr>
          <w:rFonts w:eastAsia="黑体" w:cs="Times New Roman"/>
          <w:spacing w:val="-3"/>
          <w:szCs w:val="24"/>
        </w:rPr>
      </w:pPr>
      <w:r>
        <w:rPr>
          <w:rFonts w:eastAsia="黑体" w:cs="Times New Roman"/>
          <w:spacing w:val="-3"/>
          <w:szCs w:val="24"/>
        </w:rPr>
        <w:t>表</w:t>
      </w:r>
      <w:r>
        <w:rPr>
          <w:rFonts w:eastAsia="黑体" w:cs="Times New Roman" w:hint="eastAsia"/>
          <w:spacing w:val="-3"/>
          <w:szCs w:val="24"/>
        </w:rPr>
        <w:t>5</w:t>
      </w:r>
      <w:r>
        <w:rPr>
          <w:rFonts w:eastAsia="黑体" w:cs="Times New Roman"/>
          <w:spacing w:val="-3"/>
          <w:szCs w:val="24"/>
        </w:rPr>
        <w:t>.</w:t>
      </w:r>
      <w:r>
        <w:rPr>
          <w:rFonts w:eastAsia="黑体" w:cs="Times New Roman" w:hint="eastAsia"/>
          <w:spacing w:val="-3"/>
          <w:szCs w:val="24"/>
        </w:rPr>
        <w:t>3</w:t>
      </w:r>
      <w:r>
        <w:rPr>
          <w:rFonts w:eastAsia="黑体" w:cs="Times New Roman"/>
          <w:spacing w:val="-3"/>
          <w:szCs w:val="24"/>
        </w:rPr>
        <w:t>-3</w:t>
      </w:r>
      <w:r>
        <w:rPr>
          <w:rFonts w:eastAsia="黑体" w:cs="Times New Roman"/>
          <w:spacing w:val="-3"/>
          <w:szCs w:val="24"/>
        </w:rPr>
        <w:t xml:space="preserve">   </w:t>
      </w:r>
      <w:r>
        <w:rPr>
          <w:rFonts w:eastAsia="黑体" w:cs="Times New Roman"/>
          <w:spacing w:val="-3"/>
          <w:szCs w:val="24"/>
        </w:rPr>
        <w:t xml:space="preserve"> </w:t>
      </w:r>
      <w:r>
        <w:rPr>
          <w:rFonts w:eastAsia="黑体" w:cs="Times New Roman"/>
          <w:spacing w:val="-3"/>
          <w:szCs w:val="24"/>
        </w:rPr>
        <w:t>本项目与</w:t>
      </w:r>
      <w:r>
        <w:rPr>
          <w:rFonts w:eastAsia="黑体" w:cs="Times New Roman"/>
          <w:spacing w:val="-3"/>
          <w:szCs w:val="24"/>
        </w:rPr>
        <w:t>高速公路建设项目环境影响评价文件审批原则</w:t>
      </w:r>
      <w:r>
        <w:rPr>
          <w:rFonts w:eastAsia="黑体" w:cs="Times New Roman"/>
          <w:spacing w:val="-3"/>
          <w:szCs w:val="24"/>
        </w:rPr>
        <w:t>符合性分析</w:t>
      </w:r>
    </w:p>
    <w:tbl>
      <w:tblPr>
        <w:tblStyle w:val="TableNormal"/>
        <w:tblW w:w="5034"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552"/>
        <w:gridCol w:w="3145"/>
        <w:gridCol w:w="689"/>
      </w:tblGrid>
      <w:tr w:rsidR="00A46452">
        <w:trPr>
          <w:trHeight w:val="608"/>
        </w:trPr>
        <w:tc>
          <w:tcPr>
            <w:tcW w:w="2713"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lang w:eastAsia="zh-CN"/>
              </w:rPr>
              <w:t>审批原则</w:t>
            </w:r>
            <w:r>
              <w:rPr>
                <w:rFonts w:eastAsiaTheme="minorEastAsia"/>
                <w:b/>
                <w:bCs/>
                <w:spacing w:val="7"/>
                <w:sz w:val="18"/>
                <w:szCs w:val="18"/>
              </w:rPr>
              <w:t>内容</w:t>
            </w:r>
          </w:p>
        </w:tc>
        <w:tc>
          <w:tcPr>
            <w:tcW w:w="1874"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本项目情况</w:t>
            </w:r>
          </w:p>
        </w:tc>
        <w:tc>
          <w:tcPr>
            <w:tcW w:w="411"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符合性</w:t>
            </w:r>
            <w:r>
              <w:rPr>
                <w:rFonts w:eastAsiaTheme="minorEastAsia"/>
                <w:b/>
                <w:bCs/>
                <w:spacing w:val="7"/>
                <w:sz w:val="18"/>
                <w:szCs w:val="18"/>
              </w:rPr>
              <w:t xml:space="preserve"> </w:t>
            </w:r>
            <w:r>
              <w:rPr>
                <w:rFonts w:eastAsiaTheme="minorEastAsia"/>
                <w:b/>
                <w:bCs/>
                <w:spacing w:val="7"/>
                <w:sz w:val="18"/>
                <w:szCs w:val="18"/>
              </w:rPr>
              <w:t>分析</w:t>
            </w:r>
          </w:p>
        </w:tc>
      </w:tr>
      <w:tr w:rsidR="00A46452">
        <w:trPr>
          <w:trHeight w:val="473"/>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项目符合环境保护相关法律法规和政策要求，符合相关公路网规划、规划环评及审查意见要求。</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项目属于国家路网规划的公路，符合国家路网规划环评及审查意见的要求。</w:t>
            </w:r>
          </w:p>
        </w:tc>
        <w:tc>
          <w:tcPr>
            <w:tcW w:w="411"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pPr>
            <w:r>
              <w:rPr>
                <w:rFonts w:eastAsiaTheme="minorEastAsia"/>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项目选址选线及施工布置不得占用自然保护区、风景名胜区、饮用水水源保护区、永久基本农田等依法划定禁止开发建设的环境敏感区。</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项目选址选线及施工布置不占用自然保护区、风景名胜区、饮用水水源保护区、永久基本农田等依法划定禁止开发建设的环境敏感区</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项目经过声环境敏感目标路段，优化线位，分情况采</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取降噪措施，有效控制噪声影响。</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本项目对声环境保护目标进行了声屏障、绿化降噪、限制车速、鸣笛的措施。</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项目经过耕地、林地集中路段，结合工程技术经济条件采取增大桥隧比、降低路基、收缩边坡等措施。合理控制取弃土场数量。对取弃土场、临时施工场地、施工便道等采取防治水土流失和生态恢复措施，有效减缓生态影响。</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本项目选址尽量避让了耕地、林地集中路段，对临时工程采取水土流失和生态恢复措施。</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涉及自然保护区、风景名胜区、重要湿地等生态敏感区的，应优化线位、工程形式和施工方案，结合生态敏感区的类型、保护对象及保护要求，采取有针对性的保护措</w:t>
            </w:r>
            <w:r>
              <w:rPr>
                <w:rFonts w:eastAsiaTheme="minorEastAsia"/>
                <w:spacing w:val="9"/>
                <w:sz w:val="18"/>
                <w:szCs w:val="18"/>
                <w:lang w:eastAsia="zh-CN"/>
              </w:rPr>
              <w:t>施，减缓不利环境影响。</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本项目选线不涉及自然保护区及生态保护红线等敏感区，穿越基本农田的预留走廊带。</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对重点保护及珍稀濒危野生动物重要生境、迁徙行为造成影响的，采取优化工程形式和施工方案、合理安排工期、设置野生动物通道、运营期灯光及噪声控制以及栖息地恢复、生态补偿等措施；</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沿线设置桥梁、涵洞满足项目区野生动物通道的要求，项目施工避开动物的繁殖期，动物栖息地小部分会破坏，但它们都具有一定迁移能力，食物来源也呈多样化趋势，所以工程不会对它们的栖息造成巨大的威胁。</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对于存在环境污染风险路段，在确保安全和技术可行的前提下，采取加装防撞护栏、设置桥（路）面径流收集系统和收集池等环境风险防范措施。</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喀什噶尔河、柯坪河、突来买提河为</w:t>
            </w:r>
            <w:r>
              <w:rPr>
                <w:rFonts w:eastAsiaTheme="minorEastAsia"/>
                <w:spacing w:val="9"/>
                <w:sz w:val="18"/>
                <w:szCs w:val="18"/>
                <w:lang w:eastAsia="zh-CN"/>
              </w:rPr>
              <w:t>Ⅲ</w:t>
            </w:r>
            <w:r>
              <w:rPr>
                <w:rFonts w:eastAsiaTheme="minorEastAsia"/>
                <w:spacing w:val="9"/>
                <w:sz w:val="18"/>
                <w:szCs w:val="18"/>
                <w:lang w:eastAsia="zh-CN"/>
              </w:rPr>
              <w:t>类水体，</w:t>
            </w:r>
            <w:r>
              <w:rPr>
                <w:spacing w:val="9"/>
                <w:sz w:val="18"/>
                <w:szCs w:val="18"/>
              </w:rPr>
              <w:t>采取加装防撞护栏的环境风险防范措施。</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改、扩建项目应全面梳理现有工程存在的环保问题，提出整改措施。</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本项目对机场大道东延段、</w:t>
            </w:r>
            <w:r>
              <w:rPr>
                <w:rFonts w:eastAsiaTheme="minorEastAsia"/>
                <w:spacing w:val="9"/>
                <w:sz w:val="18"/>
                <w:szCs w:val="18"/>
                <w:lang w:eastAsia="zh-CN"/>
              </w:rPr>
              <w:t>S308</w:t>
            </w:r>
            <w:r>
              <w:rPr>
                <w:rFonts w:eastAsiaTheme="minorEastAsia"/>
                <w:spacing w:val="9"/>
                <w:sz w:val="18"/>
                <w:szCs w:val="18"/>
                <w:lang w:eastAsia="zh-CN"/>
              </w:rPr>
              <w:t>等改扩建路段提出了现有的环境问题及整改措施。</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2713"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按导则及相关规定要求制定生态、噪声、水环境等的监测计划，根据监测结果完善环境保护措施。明确施工期环境监理、运营期环境管理的要求。</w:t>
            </w:r>
          </w:p>
        </w:tc>
        <w:tc>
          <w:tcPr>
            <w:tcW w:w="1874"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本项目制定了生态、噪声、水环境等的监测计划及环境管理。</w:t>
            </w:r>
          </w:p>
        </w:tc>
        <w:tc>
          <w:tcPr>
            <w:tcW w:w="411"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bl>
    <w:p w:rsidR="00A46452" w:rsidRDefault="009A3928">
      <w:pPr>
        <w:pStyle w:val="52"/>
        <w:keepNext w:val="0"/>
        <w:widowControl w:val="0"/>
        <w:wordWrap w:val="0"/>
        <w:topLinePunct/>
        <w:adjustRightInd w:val="0"/>
        <w:snapToGrid w:val="0"/>
        <w:ind w:firstLineChars="0"/>
        <w:rPr>
          <w:rFonts w:cs="Times New Roman" w:hint="default"/>
          <w:bCs/>
          <w:spacing w:val="-2"/>
          <w:sz w:val="24"/>
          <w:szCs w:val="24"/>
        </w:rPr>
      </w:pPr>
      <w:r>
        <w:rPr>
          <w:rFonts w:cs="Times New Roman" w:hint="default"/>
          <w:bCs/>
          <w:spacing w:val="-2"/>
          <w:sz w:val="24"/>
          <w:szCs w:val="24"/>
        </w:rPr>
        <w:t>5.3.2.4</w:t>
      </w:r>
      <w:r>
        <w:rPr>
          <w:rFonts w:cs="Times New Roman" w:hint="default"/>
          <w:bCs/>
          <w:spacing w:val="-2"/>
          <w:sz w:val="24"/>
          <w:szCs w:val="24"/>
        </w:rPr>
        <w:t>与《交通运输部办公厅</w:t>
      </w:r>
      <w:r>
        <w:rPr>
          <w:rFonts w:cs="Times New Roman" w:hint="default"/>
          <w:bCs/>
          <w:spacing w:val="-2"/>
          <w:sz w:val="24"/>
          <w:szCs w:val="24"/>
        </w:rPr>
        <w:t>&amp;</w:t>
      </w:r>
      <w:r>
        <w:rPr>
          <w:rFonts w:cs="Times New Roman" w:hint="default"/>
          <w:bCs/>
          <w:spacing w:val="-2"/>
          <w:sz w:val="24"/>
          <w:szCs w:val="24"/>
        </w:rPr>
        <w:t>生态环境部办公厅关于进一步加强公路规划建设和环评工作推动绿色低碳转型发展的通知》（交办规划函〔</w:t>
      </w:r>
      <w:r>
        <w:rPr>
          <w:rFonts w:cs="Times New Roman" w:hint="default"/>
          <w:bCs/>
          <w:spacing w:val="-2"/>
          <w:sz w:val="24"/>
          <w:szCs w:val="24"/>
        </w:rPr>
        <w:t>2025</w:t>
      </w:r>
      <w:r>
        <w:rPr>
          <w:rFonts w:cs="Times New Roman" w:hint="default"/>
          <w:bCs/>
          <w:spacing w:val="-2"/>
          <w:sz w:val="24"/>
          <w:szCs w:val="24"/>
        </w:rPr>
        <w:t>〕</w:t>
      </w:r>
      <w:r>
        <w:rPr>
          <w:rFonts w:cs="Times New Roman" w:hint="default"/>
          <w:bCs/>
          <w:spacing w:val="-2"/>
          <w:sz w:val="24"/>
          <w:szCs w:val="24"/>
        </w:rPr>
        <w:t>227</w:t>
      </w:r>
      <w:r>
        <w:rPr>
          <w:rFonts w:cs="Times New Roman" w:hint="default"/>
          <w:bCs/>
          <w:spacing w:val="-2"/>
          <w:sz w:val="24"/>
          <w:szCs w:val="24"/>
        </w:rPr>
        <w:t>号）符合性分析</w:t>
      </w:r>
    </w:p>
    <w:p w:rsidR="00A46452" w:rsidRDefault="009A3928" w:rsidP="00182EED">
      <w:pPr>
        <w:pStyle w:val="a5"/>
        <w:wordWrap w:val="0"/>
        <w:topLinePunct/>
        <w:adjustRightInd w:val="0"/>
        <w:snapToGrid w:val="0"/>
        <w:spacing w:after="0"/>
        <w:ind w:firstLine="476"/>
        <w:rPr>
          <w:rFonts w:cs="Times New Roman" w:hint="default"/>
          <w:spacing w:val="-1"/>
        </w:rPr>
      </w:pPr>
      <w:r>
        <w:rPr>
          <w:rFonts w:cs="Times New Roman" w:hint="default"/>
          <w:spacing w:val="-1"/>
        </w:rPr>
        <w:t>本项目与</w:t>
      </w:r>
      <w:r>
        <w:rPr>
          <w:rFonts w:cs="Times New Roman"/>
          <w:spacing w:val="-1"/>
        </w:rPr>
        <w:t>“</w:t>
      </w:r>
      <w:r>
        <w:rPr>
          <w:rFonts w:cs="Times New Roman" w:hint="default"/>
          <w:spacing w:val="-1"/>
        </w:rPr>
        <w:t>交办规划函〔</w:t>
      </w:r>
      <w:r>
        <w:rPr>
          <w:rFonts w:cs="Times New Roman" w:hint="default"/>
          <w:spacing w:val="-1"/>
        </w:rPr>
        <w:t>2025</w:t>
      </w:r>
      <w:r>
        <w:rPr>
          <w:rFonts w:cs="Times New Roman" w:hint="default"/>
          <w:spacing w:val="-1"/>
        </w:rPr>
        <w:t>〕</w:t>
      </w:r>
      <w:r>
        <w:rPr>
          <w:rFonts w:cs="Times New Roman" w:hint="default"/>
          <w:spacing w:val="-1"/>
        </w:rPr>
        <w:t>227</w:t>
      </w:r>
      <w:r>
        <w:rPr>
          <w:rFonts w:cs="Times New Roman" w:hint="default"/>
          <w:spacing w:val="-1"/>
        </w:rPr>
        <w:t>号</w:t>
      </w:r>
      <w:r>
        <w:rPr>
          <w:rFonts w:cs="Times New Roman"/>
          <w:spacing w:val="-1"/>
        </w:rPr>
        <w:t>”</w:t>
      </w:r>
      <w:r>
        <w:rPr>
          <w:rFonts w:cs="Times New Roman" w:hint="default"/>
          <w:spacing w:val="-1"/>
        </w:rPr>
        <w:t>符合性分析见表</w:t>
      </w:r>
      <w:r>
        <w:rPr>
          <w:rFonts w:cs="Times New Roman"/>
          <w:spacing w:val="-1"/>
        </w:rPr>
        <w:t>5</w:t>
      </w:r>
      <w:r>
        <w:rPr>
          <w:rFonts w:cs="Times New Roman" w:hint="default"/>
          <w:spacing w:val="-1"/>
        </w:rPr>
        <w:t>.</w:t>
      </w:r>
      <w:r>
        <w:rPr>
          <w:rFonts w:cs="Times New Roman"/>
          <w:spacing w:val="-1"/>
        </w:rPr>
        <w:t>3</w:t>
      </w:r>
      <w:r>
        <w:rPr>
          <w:rFonts w:cs="Times New Roman" w:hint="default"/>
          <w:spacing w:val="-1"/>
        </w:rPr>
        <w:t>-</w:t>
      </w:r>
      <w:r>
        <w:rPr>
          <w:rFonts w:cs="Times New Roman"/>
          <w:spacing w:val="-1"/>
        </w:rPr>
        <w:t>4</w:t>
      </w:r>
      <w:r>
        <w:rPr>
          <w:rFonts w:cs="Times New Roman" w:hint="default"/>
          <w:spacing w:val="-1"/>
        </w:rPr>
        <w:t>。</w:t>
      </w:r>
    </w:p>
    <w:p w:rsidR="00A46452" w:rsidRDefault="009A3928">
      <w:pPr>
        <w:wordWrap w:val="0"/>
        <w:topLinePunct/>
        <w:adjustRightInd w:val="0"/>
        <w:snapToGrid w:val="0"/>
        <w:spacing w:line="240" w:lineRule="auto"/>
        <w:ind w:firstLineChars="0" w:firstLine="0"/>
        <w:rPr>
          <w:rFonts w:cs="Times New Roman"/>
        </w:rPr>
      </w:pPr>
      <w:r>
        <w:rPr>
          <w:rFonts w:eastAsia="黑体" w:cs="Times New Roman"/>
          <w:spacing w:val="-3"/>
          <w:szCs w:val="24"/>
        </w:rPr>
        <w:t>表</w:t>
      </w:r>
      <w:r>
        <w:rPr>
          <w:rFonts w:eastAsia="黑体" w:cs="Times New Roman" w:hint="eastAsia"/>
          <w:spacing w:val="-3"/>
          <w:szCs w:val="24"/>
        </w:rPr>
        <w:t>5</w:t>
      </w:r>
      <w:r>
        <w:rPr>
          <w:rFonts w:eastAsia="黑体" w:cs="Times New Roman"/>
          <w:spacing w:val="-3"/>
          <w:szCs w:val="24"/>
        </w:rPr>
        <w:t>.</w:t>
      </w:r>
      <w:r>
        <w:rPr>
          <w:rFonts w:eastAsia="黑体" w:cs="Times New Roman" w:hint="eastAsia"/>
          <w:spacing w:val="-3"/>
          <w:szCs w:val="24"/>
        </w:rPr>
        <w:t>3</w:t>
      </w:r>
      <w:r>
        <w:rPr>
          <w:rFonts w:eastAsia="黑体" w:cs="Times New Roman"/>
          <w:spacing w:val="-3"/>
          <w:szCs w:val="24"/>
        </w:rPr>
        <w:t>-4</w:t>
      </w:r>
      <w:r>
        <w:rPr>
          <w:rFonts w:eastAsia="黑体" w:cs="Times New Roman"/>
          <w:spacing w:val="-3"/>
          <w:szCs w:val="24"/>
        </w:rPr>
        <w:t xml:space="preserve"> </w:t>
      </w:r>
      <w:r>
        <w:rPr>
          <w:rFonts w:eastAsia="黑体" w:cs="Times New Roman"/>
          <w:spacing w:val="-3"/>
          <w:szCs w:val="24"/>
        </w:rPr>
        <w:t>本项目</w:t>
      </w:r>
      <w:r>
        <w:rPr>
          <w:rFonts w:eastAsia="黑体" w:cs="Times New Roman"/>
          <w:spacing w:val="-3"/>
          <w:szCs w:val="24"/>
        </w:rPr>
        <w:t>与《交通运输部办公厅</w:t>
      </w:r>
      <w:r>
        <w:rPr>
          <w:rFonts w:eastAsia="黑体" w:cs="Times New Roman"/>
          <w:spacing w:val="-3"/>
          <w:szCs w:val="24"/>
        </w:rPr>
        <w:t>&amp;</w:t>
      </w:r>
      <w:r>
        <w:rPr>
          <w:rFonts w:eastAsia="黑体" w:cs="Times New Roman"/>
          <w:spacing w:val="-3"/>
          <w:szCs w:val="24"/>
        </w:rPr>
        <w:t>生态环境部办公厅关于进一步加强公路规划建设和环评工作推动绿色低碳转型发展的通知》的</w:t>
      </w:r>
      <w:r>
        <w:rPr>
          <w:rFonts w:eastAsia="黑体" w:cs="Times New Roman"/>
          <w:spacing w:val="-3"/>
          <w:szCs w:val="24"/>
        </w:rPr>
        <w:t>符合性分析</w:t>
      </w:r>
    </w:p>
    <w:tbl>
      <w:tblPr>
        <w:tblStyle w:val="TableNormal"/>
        <w:tblW w:w="5197"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489"/>
        <w:gridCol w:w="2462"/>
        <w:gridCol w:w="706"/>
      </w:tblGrid>
      <w:tr w:rsidR="00A46452">
        <w:trPr>
          <w:trHeight w:val="608"/>
          <w:tblHeader/>
        </w:trPr>
        <w:tc>
          <w:tcPr>
            <w:tcW w:w="3169"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lang w:eastAsia="zh-CN"/>
              </w:rPr>
              <w:t>交办规划函〔</w:t>
            </w:r>
            <w:r>
              <w:rPr>
                <w:rFonts w:eastAsiaTheme="minorEastAsia"/>
                <w:b/>
                <w:bCs/>
                <w:spacing w:val="7"/>
                <w:sz w:val="18"/>
                <w:szCs w:val="18"/>
                <w:lang w:eastAsia="zh-CN"/>
              </w:rPr>
              <w:t>2025</w:t>
            </w:r>
            <w:r>
              <w:rPr>
                <w:rFonts w:eastAsiaTheme="minorEastAsia"/>
                <w:b/>
                <w:bCs/>
                <w:spacing w:val="7"/>
                <w:sz w:val="18"/>
                <w:szCs w:val="18"/>
                <w:lang w:eastAsia="zh-CN"/>
              </w:rPr>
              <w:t>〕</w:t>
            </w:r>
            <w:r>
              <w:rPr>
                <w:rFonts w:eastAsiaTheme="minorEastAsia"/>
                <w:b/>
                <w:bCs/>
                <w:spacing w:val="7"/>
                <w:sz w:val="18"/>
                <w:szCs w:val="18"/>
                <w:lang w:eastAsia="zh-CN"/>
              </w:rPr>
              <w:t>227</w:t>
            </w:r>
            <w:r>
              <w:rPr>
                <w:rFonts w:eastAsiaTheme="minorEastAsia"/>
                <w:b/>
                <w:bCs/>
                <w:spacing w:val="7"/>
                <w:sz w:val="18"/>
                <w:szCs w:val="18"/>
                <w:lang w:eastAsia="zh-CN"/>
              </w:rPr>
              <w:t>号</w:t>
            </w:r>
          </w:p>
        </w:tc>
        <w:tc>
          <w:tcPr>
            <w:tcW w:w="1422"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本项目情况</w:t>
            </w:r>
          </w:p>
        </w:tc>
        <w:tc>
          <w:tcPr>
            <w:tcW w:w="408"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rPr>
                <w:rFonts w:eastAsiaTheme="minorEastAsia"/>
                <w:b/>
                <w:bCs/>
                <w:spacing w:val="7"/>
                <w:sz w:val="18"/>
                <w:szCs w:val="18"/>
              </w:rPr>
            </w:pPr>
            <w:r>
              <w:rPr>
                <w:rFonts w:eastAsiaTheme="minorEastAsia"/>
                <w:b/>
                <w:bCs/>
                <w:spacing w:val="7"/>
                <w:sz w:val="18"/>
                <w:szCs w:val="18"/>
              </w:rPr>
              <w:t>符合性分析</w:t>
            </w:r>
          </w:p>
        </w:tc>
      </w:tr>
      <w:tr w:rsidR="00A46452">
        <w:trPr>
          <w:trHeight w:val="473"/>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w:t>
            </w:r>
            <w:r>
              <w:rPr>
                <w:rFonts w:eastAsiaTheme="minorEastAsia"/>
                <w:spacing w:val="9"/>
                <w:sz w:val="18"/>
                <w:szCs w:val="18"/>
                <w:lang w:eastAsia="zh-CN"/>
              </w:rPr>
              <w:t>四</w:t>
            </w:r>
            <w:r>
              <w:rPr>
                <w:rFonts w:eastAsiaTheme="minorEastAsia"/>
                <w:spacing w:val="9"/>
                <w:sz w:val="18"/>
                <w:szCs w:val="18"/>
                <w:lang w:eastAsia="zh-CN"/>
              </w:rPr>
              <w:t>)</w:t>
            </w:r>
            <w:r>
              <w:rPr>
                <w:rFonts w:eastAsiaTheme="minorEastAsia"/>
                <w:spacing w:val="9"/>
                <w:sz w:val="18"/>
                <w:szCs w:val="18"/>
                <w:lang w:eastAsia="zh-CN"/>
              </w:rPr>
              <w:t>选址选线避让环境敏感区。公路建设项目选址选线要合理避让饮用水水源保护区、生态保护红线、自然保护地以及其他野生动物重要栖息地、迁徙洄游通道等环境敏感区。涉及法定禁止穿越区域但确实无法避让的，应采取无害化穿</w:t>
            </w:r>
            <w:r>
              <w:rPr>
                <w:rFonts w:eastAsiaTheme="minorEastAsia"/>
                <w:spacing w:val="9"/>
                <w:sz w:val="18"/>
                <w:szCs w:val="18"/>
                <w:lang w:eastAsia="zh-CN"/>
              </w:rPr>
              <w:t>(</w:t>
            </w:r>
            <w:r>
              <w:rPr>
                <w:rFonts w:eastAsiaTheme="minorEastAsia"/>
                <w:spacing w:val="9"/>
                <w:sz w:val="18"/>
                <w:szCs w:val="18"/>
                <w:lang w:eastAsia="zh-CN"/>
              </w:rPr>
              <w:t>跨</w:t>
            </w:r>
            <w:r>
              <w:rPr>
                <w:rFonts w:eastAsiaTheme="minorEastAsia"/>
                <w:spacing w:val="9"/>
                <w:sz w:val="18"/>
                <w:szCs w:val="18"/>
                <w:lang w:eastAsia="zh-CN"/>
              </w:rPr>
              <w:t>)</w:t>
            </w:r>
            <w:r>
              <w:rPr>
                <w:rFonts w:eastAsiaTheme="minorEastAsia"/>
                <w:spacing w:val="9"/>
                <w:sz w:val="18"/>
                <w:szCs w:val="18"/>
                <w:lang w:eastAsia="zh-CN"/>
              </w:rPr>
              <w:t>越方式，或依法依规取得农业、林草等有关主管部门许可文件，并强化影响减缓和补偿措施。同时，公路选址选线应当尽量避开噪声敏感建筑物集中区域。</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rPr>
                <w:rFonts w:eastAsiaTheme="minorEastAsia"/>
                <w:spacing w:val="9"/>
                <w:sz w:val="18"/>
                <w:szCs w:val="18"/>
                <w:lang w:eastAsia="zh-CN"/>
              </w:rPr>
            </w:pPr>
            <w:r>
              <w:rPr>
                <w:rFonts w:eastAsiaTheme="minorEastAsia"/>
                <w:spacing w:val="9"/>
                <w:sz w:val="18"/>
                <w:szCs w:val="18"/>
                <w:lang w:eastAsia="zh-CN"/>
              </w:rPr>
              <w:t>项目选址选线不涉及饮用水水源保护区、生态保护红线、自然保护地以及野生动物重要栖息地、迁徙洄游通道等环境敏感区。</w:t>
            </w:r>
          </w:p>
        </w:tc>
        <w:tc>
          <w:tcPr>
            <w:tcW w:w="408" w:type="pct"/>
            <w:tcBorders>
              <w:tl2br w:val="nil"/>
              <w:tr2bl w:val="nil"/>
            </w:tcBorders>
            <w:vAlign w:val="center"/>
          </w:tcPr>
          <w:p w:rsidR="00A46452" w:rsidRDefault="009A3928">
            <w:pPr>
              <w:pStyle w:val="TableText"/>
              <w:wordWrap w:val="0"/>
              <w:topLinePunct/>
              <w:adjustRightInd w:val="0"/>
              <w:snapToGrid w:val="0"/>
              <w:spacing w:line="240" w:lineRule="auto"/>
              <w:ind w:firstLineChars="0" w:firstLine="0"/>
              <w:jc w:val="center"/>
            </w:pPr>
            <w:r>
              <w:rPr>
                <w:rFonts w:eastAsiaTheme="minorEastAsia"/>
                <w:spacing w:val="9"/>
                <w:sz w:val="18"/>
                <w:szCs w:val="18"/>
              </w:rPr>
              <w:t>符合</w:t>
            </w:r>
          </w:p>
        </w:tc>
      </w:tr>
      <w:tr w:rsidR="00A46452">
        <w:trPr>
          <w:trHeight w:val="486"/>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w:t>
            </w:r>
            <w:r>
              <w:rPr>
                <w:rFonts w:eastAsiaTheme="minorEastAsia"/>
                <w:spacing w:val="9"/>
                <w:sz w:val="18"/>
                <w:szCs w:val="18"/>
                <w:lang w:eastAsia="zh-CN"/>
              </w:rPr>
              <w:t>五</w:t>
            </w:r>
            <w:r>
              <w:rPr>
                <w:rFonts w:eastAsiaTheme="minorEastAsia"/>
                <w:spacing w:val="9"/>
                <w:sz w:val="18"/>
                <w:szCs w:val="18"/>
                <w:lang w:eastAsia="zh-CN"/>
              </w:rPr>
              <w:t>)</w:t>
            </w:r>
            <w:r>
              <w:rPr>
                <w:rFonts w:eastAsiaTheme="minorEastAsia"/>
                <w:spacing w:val="9"/>
                <w:sz w:val="18"/>
                <w:szCs w:val="18"/>
                <w:lang w:eastAsia="zh-CN"/>
              </w:rPr>
              <w:t>落实环境保护</w:t>
            </w:r>
            <w:r>
              <w:rPr>
                <w:rFonts w:eastAsiaTheme="minorEastAsia"/>
                <w:spacing w:val="9"/>
                <w:sz w:val="18"/>
                <w:szCs w:val="18"/>
                <w:lang w:eastAsia="zh-CN"/>
              </w:rPr>
              <w:t>“</w:t>
            </w:r>
            <w:r>
              <w:rPr>
                <w:rFonts w:eastAsiaTheme="minorEastAsia"/>
                <w:spacing w:val="9"/>
                <w:sz w:val="18"/>
                <w:szCs w:val="18"/>
                <w:lang w:eastAsia="zh-CN"/>
              </w:rPr>
              <w:t>三同时</w:t>
            </w:r>
            <w:r>
              <w:rPr>
                <w:rFonts w:eastAsiaTheme="minorEastAsia"/>
                <w:spacing w:val="9"/>
                <w:sz w:val="18"/>
                <w:szCs w:val="18"/>
                <w:lang w:eastAsia="zh-CN"/>
              </w:rPr>
              <w:t>”</w:t>
            </w:r>
            <w:r>
              <w:rPr>
                <w:rFonts w:eastAsiaTheme="minorEastAsia"/>
                <w:spacing w:val="9"/>
                <w:sz w:val="18"/>
                <w:szCs w:val="18"/>
                <w:lang w:eastAsia="zh-CN"/>
              </w:rPr>
              <w:t>制度。公路建设项目各阶段设计文件环境保护与景观篇章要明确防治环境污染和生态破坏的措施，环境保护设施费用纳入项目投资，确保防治污染和保护生态的设施或措施与主体工程同时设计、同时施工、同时投产使用，并强化绿色低碳技术、装备、产品、材料以及低噪声施工工艺和设备推广应用。切实加强工程监理工作，严格施工环境保护要求，根据环评审查意见要求依法依规开展环境监测等工作。</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本项目严格遵守落实环境保护</w:t>
            </w:r>
            <w:r>
              <w:rPr>
                <w:rFonts w:eastAsiaTheme="minorEastAsia"/>
                <w:spacing w:val="9"/>
                <w:sz w:val="18"/>
                <w:szCs w:val="18"/>
                <w:lang w:eastAsia="zh-CN"/>
              </w:rPr>
              <w:t>“</w:t>
            </w:r>
            <w:r>
              <w:rPr>
                <w:rFonts w:eastAsiaTheme="minorEastAsia"/>
                <w:spacing w:val="9"/>
                <w:sz w:val="18"/>
                <w:szCs w:val="18"/>
                <w:lang w:eastAsia="zh-CN"/>
              </w:rPr>
              <w:t>三同时</w:t>
            </w:r>
            <w:r>
              <w:rPr>
                <w:rFonts w:eastAsiaTheme="minorEastAsia"/>
                <w:spacing w:val="9"/>
                <w:sz w:val="18"/>
                <w:szCs w:val="18"/>
                <w:lang w:eastAsia="zh-CN"/>
              </w:rPr>
              <w:t>”</w:t>
            </w:r>
            <w:r>
              <w:rPr>
                <w:rFonts w:eastAsiaTheme="minorEastAsia"/>
                <w:spacing w:val="9"/>
                <w:sz w:val="18"/>
                <w:szCs w:val="18"/>
                <w:lang w:eastAsia="zh-CN"/>
              </w:rPr>
              <w:t>制度。</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w:t>
            </w:r>
            <w:r>
              <w:rPr>
                <w:rFonts w:eastAsiaTheme="minorEastAsia"/>
                <w:spacing w:val="9"/>
                <w:sz w:val="18"/>
                <w:szCs w:val="18"/>
                <w:lang w:eastAsia="zh-CN"/>
              </w:rPr>
              <w:t>六</w:t>
            </w:r>
            <w:r>
              <w:rPr>
                <w:rFonts w:eastAsiaTheme="minorEastAsia"/>
                <w:spacing w:val="9"/>
                <w:sz w:val="18"/>
                <w:szCs w:val="18"/>
                <w:lang w:eastAsia="zh-CN"/>
              </w:rPr>
              <w:t>)</w:t>
            </w:r>
            <w:r>
              <w:rPr>
                <w:rFonts w:eastAsiaTheme="minorEastAsia"/>
                <w:spacing w:val="9"/>
                <w:sz w:val="18"/>
                <w:szCs w:val="18"/>
                <w:lang w:eastAsia="zh-CN"/>
              </w:rPr>
              <w:t>集约节约利用土地。公路建设项目设计方案要尽量节约集约利用土地，压减永久占地数量，合理降低施工道路、场地等临时占地数量，注重永临结合、集约布设施工场地，科学设置取弃土场和砂石料场。优化公路设计方案，推进土石方综合利用，减少弃方和借方。</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spacing w:val="9"/>
                <w:sz w:val="18"/>
                <w:szCs w:val="18"/>
              </w:rPr>
              <w:t>本项目改扩建公路采用半幅施工方式，以及施工便道在农田段采取整体推进的施工方式施工便道减少了临时工程占地，取料场为商业料场。</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w:t>
            </w:r>
            <w:r>
              <w:rPr>
                <w:rFonts w:eastAsiaTheme="minorEastAsia"/>
                <w:spacing w:val="9"/>
                <w:sz w:val="18"/>
                <w:szCs w:val="18"/>
                <w:lang w:eastAsia="zh-CN"/>
              </w:rPr>
              <w:t>七</w:t>
            </w:r>
            <w:r>
              <w:rPr>
                <w:rFonts w:eastAsiaTheme="minorEastAsia"/>
                <w:spacing w:val="9"/>
                <w:sz w:val="18"/>
                <w:szCs w:val="18"/>
                <w:lang w:eastAsia="zh-CN"/>
              </w:rPr>
              <w:t>)</w:t>
            </w:r>
            <w:r>
              <w:rPr>
                <w:rFonts w:eastAsiaTheme="minorEastAsia"/>
                <w:spacing w:val="9"/>
                <w:sz w:val="18"/>
                <w:szCs w:val="18"/>
                <w:lang w:eastAsia="zh-CN"/>
              </w:rPr>
              <w:t>开展环境影响评价工作。督促指导公路建设单位按照《中华人民共和国环境影响评价法》《建设项目环境保护管理条例》等法律法规要求，组织开展公路</w:t>
            </w:r>
            <w:r>
              <w:rPr>
                <w:rFonts w:eastAsiaTheme="minorEastAsia"/>
                <w:spacing w:val="9"/>
                <w:sz w:val="18"/>
                <w:szCs w:val="18"/>
                <w:lang w:eastAsia="zh-CN"/>
              </w:rPr>
              <w:t>建设项目环境影响评价工作，在项目开工建设前将环境影响报告书</w:t>
            </w:r>
            <w:r>
              <w:rPr>
                <w:rFonts w:eastAsiaTheme="minorEastAsia"/>
                <w:spacing w:val="9"/>
                <w:sz w:val="18"/>
                <w:szCs w:val="18"/>
                <w:lang w:eastAsia="zh-CN"/>
              </w:rPr>
              <w:t>(</w:t>
            </w:r>
            <w:r>
              <w:rPr>
                <w:rFonts w:eastAsiaTheme="minorEastAsia"/>
                <w:spacing w:val="9"/>
                <w:sz w:val="18"/>
                <w:szCs w:val="18"/>
                <w:lang w:eastAsia="zh-CN"/>
              </w:rPr>
              <w:t>表</w:t>
            </w:r>
            <w:r>
              <w:rPr>
                <w:rFonts w:eastAsiaTheme="minorEastAsia"/>
                <w:spacing w:val="9"/>
                <w:sz w:val="18"/>
                <w:szCs w:val="18"/>
                <w:lang w:eastAsia="zh-CN"/>
              </w:rPr>
              <w:t>)</w:t>
            </w:r>
            <w:r>
              <w:rPr>
                <w:rFonts w:eastAsiaTheme="minorEastAsia"/>
                <w:spacing w:val="9"/>
                <w:sz w:val="18"/>
                <w:szCs w:val="18"/>
                <w:lang w:eastAsia="zh-CN"/>
              </w:rPr>
              <w:t>等文件报有审批权的主管部门审批。环境影响评价文件的编制要符合环境影响评价相关导则和标准规范要求。涉及基本农田和沙化土地等生态环境保护目标的公路建设项目，要遵守相关法律法规要求。</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本项目已开展建设项目环境影响评价的相关工作。</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w:t>
            </w:r>
            <w:r>
              <w:rPr>
                <w:rFonts w:eastAsiaTheme="minorEastAsia"/>
                <w:spacing w:val="9"/>
                <w:sz w:val="18"/>
                <w:szCs w:val="18"/>
                <w:lang w:eastAsia="zh-CN"/>
              </w:rPr>
              <w:t>十一</w:t>
            </w:r>
            <w:r>
              <w:rPr>
                <w:rFonts w:eastAsiaTheme="minorEastAsia"/>
                <w:spacing w:val="9"/>
                <w:sz w:val="18"/>
                <w:szCs w:val="18"/>
                <w:lang w:eastAsia="zh-CN"/>
              </w:rPr>
              <w:t>)</w:t>
            </w:r>
            <w:r>
              <w:rPr>
                <w:rFonts w:eastAsiaTheme="minorEastAsia"/>
                <w:spacing w:val="9"/>
                <w:sz w:val="18"/>
                <w:szCs w:val="18"/>
                <w:lang w:eastAsia="zh-CN"/>
              </w:rPr>
              <w:t>强化生态环境保护。公路建设项目要参照《绿色公路</w:t>
            </w:r>
            <w:r>
              <w:rPr>
                <w:rFonts w:eastAsiaTheme="minorEastAsia"/>
                <w:spacing w:val="9"/>
                <w:sz w:val="18"/>
                <w:szCs w:val="18"/>
                <w:lang w:eastAsia="zh-CN"/>
              </w:rPr>
              <w:t xml:space="preserve"> </w:t>
            </w:r>
            <w:r>
              <w:rPr>
                <w:rFonts w:eastAsiaTheme="minorEastAsia"/>
                <w:spacing w:val="9"/>
                <w:sz w:val="18"/>
                <w:szCs w:val="18"/>
                <w:lang w:eastAsia="zh-CN"/>
              </w:rPr>
              <w:t>建设技术指南》</w:t>
            </w:r>
            <w:r>
              <w:rPr>
                <w:rFonts w:eastAsiaTheme="minorEastAsia"/>
                <w:spacing w:val="9"/>
                <w:sz w:val="18"/>
                <w:szCs w:val="18"/>
                <w:lang w:eastAsia="zh-CN"/>
              </w:rPr>
              <w:t>,</w:t>
            </w:r>
            <w:r>
              <w:rPr>
                <w:rFonts w:eastAsiaTheme="minorEastAsia"/>
                <w:spacing w:val="9"/>
                <w:sz w:val="18"/>
                <w:szCs w:val="18"/>
                <w:lang w:eastAsia="zh-CN"/>
              </w:rPr>
              <w:t>落实资源节约、环境保护有关要求，尽量减少占用耕地、林地和草地，加强表土资源剥离和堆存管理，施工结束后用于复耕或生态修复。强化重点保护野生动物重要</w:t>
            </w:r>
            <w:r>
              <w:rPr>
                <w:rFonts w:eastAsiaTheme="minorEastAsia"/>
                <w:spacing w:val="9"/>
                <w:sz w:val="18"/>
                <w:szCs w:val="18"/>
                <w:lang w:eastAsia="zh-CN"/>
              </w:rPr>
              <w:t>栖息地和迁徙洄游通道保护，必要时可采取修建野生动物通道等措施维护生境的连通性。尽量避让重点保护野生植物的天然集中分布区和古树名木，必要时进行异地保护。强化弃土弃渣场安全防护和生态保护修复，严禁随意弃土弃渣。</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尽量少占耕地，对占用耕地区域采取表土剥离措施，就近集中临时堆存于施工生产生活区，后续调出至路基工程区、桥涵工程区、交叉工程区、服务区、施工便道区，用于工程绿化覆土及护坡回填，剩余腐殖土用于当地耕地质量提升或土地改造等。对项目区内的重点保护野生动植物采取异地保护措施。</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wordWrap w:val="0"/>
              <w:topLinePunct/>
              <w:adjustRightInd w:val="0"/>
              <w:snapToGrid w:val="0"/>
              <w:spacing w:line="240" w:lineRule="auto"/>
              <w:ind w:firstLineChars="0" w:firstLine="0"/>
              <w:rPr>
                <w:rFonts w:eastAsiaTheme="minorEastAsia" w:cs="Times New Roman"/>
                <w:spacing w:val="9"/>
                <w:sz w:val="18"/>
                <w:szCs w:val="18"/>
              </w:rPr>
            </w:pPr>
            <w:r>
              <w:rPr>
                <w:rFonts w:eastAsiaTheme="minorEastAsia" w:cs="Times New Roman"/>
                <w:spacing w:val="9"/>
                <w:sz w:val="18"/>
                <w:szCs w:val="18"/>
              </w:rPr>
              <w:t>(</w:t>
            </w:r>
            <w:r>
              <w:rPr>
                <w:rFonts w:eastAsiaTheme="minorEastAsia" w:cs="Times New Roman"/>
                <w:spacing w:val="9"/>
                <w:sz w:val="18"/>
                <w:szCs w:val="18"/>
              </w:rPr>
              <w:t>十二</w:t>
            </w:r>
            <w:r>
              <w:rPr>
                <w:rFonts w:eastAsiaTheme="minorEastAsia" w:cs="Times New Roman"/>
                <w:spacing w:val="9"/>
                <w:sz w:val="18"/>
                <w:szCs w:val="18"/>
              </w:rPr>
              <w:t>)</w:t>
            </w:r>
            <w:r>
              <w:rPr>
                <w:rFonts w:eastAsiaTheme="minorEastAsia" w:cs="Times New Roman"/>
                <w:spacing w:val="9"/>
                <w:sz w:val="18"/>
                <w:szCs w:val="18"/>
              </w:rPr>
              <w:t>加强水环境保护及风险防范。公路建设项目要重视对饮用水水源地的保护，依法绕避饮用水水源保护区。对涉及饮用水水源保护区、集中式饮用水水源取水口的路段，跨越</w:t>
            </w:r>
            <w:r>
              <w:rPr>
                <w:rFonts w:eastAsiaTheme="minorEastAsia" w:cs="Times New Roman"/>
                <w:spacing w:val="9"/>
                <w:sz w:val="18"/>
                <w:szCs w:val="18"/>
              </w:rPr>
              <w:t>Ⅱ</w:t>
            </w:r>
            <w:r>
              <w:rPr>
                <w:rFonts w:eastAsiaTheme="minorEastAsia" w:cs="Times New Roman"/>
                <w:spacing w:val="9"/>
                <w:sz w:val="18"/>
                <w:szCs w:val="18"/>
              </w:rPr>
              <w:t>类及以上水体的桥梁，在确保安全和技术可行的前提下，要按照依法批复的环境影响评价文件要求，采取设置桥</w:t>
            </w:r>
            <w:r>
              <w:rPr>
                <w:rFonts w:eastAsiaTheme="minorEastAsia" w:cs="Times New Roman"/>
                <w:spacing w:val="9"/>
                <w:sz w:val="18"/>
                <w:szCs w:val="18"/>
              </w:rPr>
              <w:t>(</w:t>
            </w:r>
            <w:r>
              <w:rPr>
                <w:rFonts w:eastAsiaTheme="minorEastAsia" w:cs="Times New Roman"/>
                <w:spacing w:val="9"/>
                <w:sz w:val="18"/>
                <w:szCs w:val="18"/>
              </w:rPr>
              <w:t>路</w:t>
            </w:r>
            <w:r>
              <w:rPr>
                <w:rFonts w:eastAsiaTheme="minorEastAsia" w:cs="Times New Roman"/>
                <w:spacing w:val="9"/>
                <w:sz w:val="18"/>
                <w:szCs w:val="18"/>
              </w:rPr>
              <w:t>)</w:t>
            </w:r>
            <w:r>
              <w:rPr>
                <w:rFonts w:eastAsiaTheme="minorEastAsia" w:cs="Times New Roman"/>
                <w:spacing w:val="9"/>
                <w:sz w:val="18"/>
                <w:szCs w:val="18"/>
              </w:rPr>
              <w:t>面径流水收集系统等环境风险防范措施。要对发生污染事故后的桥面径流等进行处理。</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拟建项目不涉及饮用水水源保护区、集中式饮用水水源取水口的路段，未跨越</w:t>
            </w:r>
            <w:r>
              <w:rPr>
                <w:rFonts w:eastAsiaTheme="minorEastAsia"/>
                <w:spacing w:val="9"/>
                <w:sz w:val="18"/>
                <w:szCs w:val="18"/>
                <w:lang w:eastAsia="zh-CN"/>
              </w:rPr>
              <w:t>Ⅱ</w:t>
            </w:r>
            <w:r>
              <w:rPr>
                <w:rFonts w:eastAsiaTheme="minorEastAsia"/>
                <w:spacing w:val="9"/>
                <w:sz w:val="18"/>
                <w:szCs w:val="18"/>
                <w:lang w:eastAsia="zh-CN"/>
              </w:rPr>
              <w:t>类及以上水体，</w:t>
            </w:r>
            <w:r>
              <w:rPr>
                <w:spacing w:val="9"/>
                <w:sz w:val="18"/>
                <w:szCs w:val="18"/>
              </w:rPr>
              <w:t>采取加装防撞护栏的环境风险防范措施</w:t>
            </w:r>
            <w:r>
              <w:rPr>
                <w:rFonts w:eastAsiaTheme="minorEastAsia"/>
                <w:spacing w:val="9"/>
                <w:sz w:val="18"/>
                <w:szCs w:val="18"/>
                <w:lang w:eastAsia="zh-CN"/>
              </w:rPr>
              <w:t>。</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a5"/>
              <w:wordWrap w:val="0"/>
              <w:topLinePunct/>
              <w:adjustRightInd w:val="0"/>
              <w:snapToGrid w:val="0"/>
              <w:spacing w:after="0" w:line="240" w:lineRule="auto"/>
              <w:ind w:firstLineChars="0" w:firstLine="0"/>
              <w:rPr>
                <w:rFonts w:eastAsiaTheme="minorEastAsia" w:cs="Times New Roman" w:hint="default"/>
                <w:spacing w:val="9"/>
                <w:sz w:val="18"/>
                <w:szCs w:val="18"/>
              </w:rPr>
            </w:pPr>
            <w:r>
              <w:rPr>
                <w:rFonts w:eastAsiaTheme="minorEastAsia" w:cs="Times New Roman" w:hint="default"/>
                <w:spacing w:val="9"/>
                <w:sz w:val="18"/>
                <w:szCs w:val="18"/>
              </w:rPr>
              <w:t>(</w:t>
            </w:r>
            <w:r>
              <w:rPr>
                <w:rFonts w:eastAsiaTheme="minorEastAsia" w:cs="Times New Roman" w:hint="default"/>
                <w:spacing w:val="9"/>
                <w:sz w:val="18"/>
                <w:szCs w:val="18"/>
              </w:rPr>
              <w:t>十三</w:t>
            </w:r>
            <w:r>
              <w:rPr>
                <w:rFonts w:eastAsiaTheme="minorEastAsia" w:cs="Times New Roman" w:hint="default"/>
                <w:spacing w:val="9"/>
                <w:sz w:val="18"/>
                <w:szCs w:val="18"/>
              </w:rPr>
              <w:t>)</w:t>
            </w:r>
            <w:r>
              <w:rPr>
                <w:rFonts w:eastAsiaTheme="minorEastAsia" w:cs="Times New Roman" w:hint="default"/>
                <w:spacing w:val="9"/>
                <w:sz w:val="18"/>
                <w:szCs w:val="18"/>
              </w:rPr>
              <w:t>强化大气污染防治。公路建设项目应</w:t>
            </w:r>
            <w:r>
              <w:rPr>
                <w:rFonts w:eastAsiaTheme="minorEastAsia" w:cs="Times New Roman" w:hint="default"/>
                <w:spacing w:val="9"/>
                <w:sz w:val="18"/>
                <w:szCs w:val="18"/>
              </w:rPr>
              <w:t>当采取有效防尘降尘措施，减少施工、运输、贮存过程扬尘污染，加强取弃土场、拌合站和料场等区域扬尘污染防治工作。确保施工车辆、非道路移动机械等符合排放标准，鼓励具备条件的项目推广使用新能源清洁能源车辆、机械。鼓励气候变化风险较高的区域探索开展公路项目适应气候变化评价，提高公路适应气候变化能力。</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本项目采取了</w:t>
            </w:r>
            <w:r>
              <w:rPr>
                <w:rFonts w:eastAsiaTheme="minorEastAsia"/>
                <w:spacing w:val="9"/>
                <w:sz w:val="18"/>
                <w:szCs w:val="18"/>
                <w:lang w:eastAsia="zh-CN"/>
              </w:rPr>
              <w:t>有效防尘降尘措施，加强取弃土场、拌合站和料场等区域扬尘污染防治。</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a5"/>
              <w:wordWrap w:val="0"/>
              <w:topLinePunct/>
              <w:adjustRightInd w:val="0"/>
              <w:snapToGrid w:val="0"/>
              <w:spacing w:after="0" w:line="240" w:lineRule="auto"/>
              <w:ind w:firstLineChars="0" w:firstLine="0"/>
              <w:rPr>
                <w:rFonts w:eastAsiaTheme="minorEastAsia" w:cs="Times New Roman" w:hint="default"/>
                <w:spacing w:val="9"/>
                <w:sz w:val="18"/>
                <w:szCs w:val="18"/>
              </w:rPr>
            </w:pPr>
            <w:r>
              <w:rPr>
                <w:rFonts w:eastAsiaTheme="minorEastAsia" w:cs="Times New Roman" w:hint="default"/>
                <w:spacing w:val="9"/>
                <w:sz w:val="18"/>
                <w:szCs w:val="18"/>
              </w:rPr>
              <w:t>(</w:t>
            </w:r>
            <w:r>
              <w:rPr>
                <w:rFonts w:eastAsiaTheme="minorEastAsia" w:cs="Times New Roman" w:hint="default"/>
                <w:spacing w:val="9"/>
                <w:sz w:val="18"/>
                <w:szCs w:val="18"/>
              </w:rPr>
              <w:t>十四</w:t>
            </w:r>
            <w:r>
              <w:rPr>
                <w:rFonts w:eastAsiaTheme="minorEastAsia" w:cs="Times New Roman" w:hint="default"/>
                <w:spacing w:val="9"/>
                <w:sz w:val="18"/>
                <w:szCs w:val="18"/>
              </w:rPr>
              <w:t>)</w:t>
            </w:r>
            <w:r>
              <w:rPr>
                <w:rFonts w:eastAsiaTheme="minorEastAsia" w:cs="Times New Roman" w:hint="default"/>
                <w:spacing w:val="9"/>
                <w:sz w:val="18"/>
                <w:szCs w:val="18"/>
              </w:rPr>
              <w:t>加强噪声污染防治。公路建设项目要根据工程特点与环境特征，制定合理可行的噪声防治对策和措施，在可能造成噪声</w:t>
            </w:r>
            <w:r>
              <w:rPr>
                <w:rFonts w:eastAsiaTheme="minorEastAsia" w:cs="Times New Roman" w:hint="default"/>
                <w:spacing w:val="9"/>
                <w:sz w:val="18"/>
                <w:szCs w:val="18"/>
              </w:rPr>
              <w:t xml:space="preserve"> </w:t>
            </w:r>
            <w:r>
              <w:rPr>
                <w:rFonts w:eastAsiaTheme="minorEastAsia" w:cs="Times New Roman" w:hint="default"/>
                <w:spacing w:val="9"/>
                <w:sz w:val="18"/>
                <w:szCs w:val="18"/>
              </w:rPr>
              <w:t>污染的重点路段，根据需要设置声屏障或者采取其他减少振动、降低噪声的措施，降低施工噪声和公路交通噪声影响。公路建设项目实施前，沿线声环境敏感目标现状声环境质量达标的，项目实施后要确保其满足声环境质量标准要求；项目实施前现状声环境质量不达标的，要强化噪声防治措施，并落实《中华人民共和国噪声污染防治法》及噪声污染综合治理方案要求，确保项目实施后敏感目标声环境质量满足标准要求或不恶化。</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本项目对声环境保护目标进行了声屏障、绿化降噪、限制车速、鸣笛的措施。</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r w:rsidR="00A46452">
        <w:trPr>
          <w:trHeight w:val="486"/>
        </w:trPr>
        <w:tc>
          <w:tcPr>
            <w:tcW w:w="3169"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按导则及相关规定要求制定生态、噪声、水环境等的</w:t>
            </w:r>
          </w:p>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监测</w:t>
            </w:r>
            <w:r>
              <w:rPr>
                <w:rFonts w:eastAsiaTheme="minorEastAsia"/>
                <w:spacing w:val="9"/>
                <w:sz w:val="18"/>
                <w:szCs w:val="18"/>
                <w:lang w:eastAsia="zh-CN"/>
              </w:rPr>
              <w:t>计划，根据监测结果完善环境保护措施。明确施工期环境监理、运营期环境管理的要求。</w:t>
            </w:r>
          </w:p>
        </w:tc>
        <w:tc>
          <w:tcPr>
            <w:tcW w:w="1422" w:type="pct"/>
            <w:tcBorders>
              <w:tl2br w:val="nil"/>
              <w:tr2bl w:val="nil"/>
            </w:tcBorders>
          </w:tcPr>
          <w:p w:rsidR="00A46452" w:rsidRDefault="009A3928">
            <w:pPr>
              <w:pStyle w:val="TableText"/>
              <w:wordWrap w:val="0"/>
              <w:topLinePunct/>
              <w:adjustRightInd w:val="0"/>
              <w:snapToGrid w:val="0"/>
              <w:spacing w:line="240" w:lineRule="auto"/>
              <w:ind w:firstLineChars="0" w:firstLine="0"/>
              <w:jc w:val="left"/>
              <w:rPr>
                <w:rFonts w:eastAsiaTheme="minorEastAsia"/>
                <w:spacing w:val="9"/>
                <w:sz w:val="18"/>
                <w:szCs w:val="18"/>
                <w:lang w:eastAsia="zh-CN"/>
              </w:rPr>
            </w:pPr>
            <w:r>
              <w:rPr>
                <w:rFonts w:eastAsiaTheme="minorEastAsia"/>
                <w:spacing w:val="9"/>
                <w:sz w:val="18"/>
                <w:szCs w:val="18"/>
                <w:lang w:eastAsia="zh-CN"/>
              </w:rPr>
              <w:t>本项目制定了生态、噪声、水环境等的监测计划及环境管理。</w:t>
            </w:r>
          </w:p>
        </w:tc>
        <w:tc>
          <w:tcPr>
            <w:tcW w:w="408" w:type="pc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pacing w:val="9"/>
                <w:sz w:val="18"/>
                <w:szCs w:val="18"/>
              </w:rPr>
            </w:pPr>
            <w:r>
              <w:rPr>
                <w:rFonts w:eastAsiaTheme="minorEastAsia" w:cs="Times New Roman"/>
                <w:spacing w:val="9"/>
                <w:sz w:val="18"/>
                <w:szCs w:val="18"/>
              </w:rPr>
              <w:t>符合</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5.3.3</w:t>
      </w:r>
      <w:r>
        <w:rPr>
          <w:rFonts w:cs="Times New Roman" w:hint="default"/>
          <w:sz w:val="28"/>
          <w:szCs w:val="28"/>
        </w:rPr>
        <w:t>规划符合性分析</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1</w:t>
      </w:r>
      <w:r>
        <w:rPr>
          <w:rFonts w:cs="Times New Roman"/>
          <w:b/>
        </w:rPr>
        <w:t>）与《国家公路网规划（</w:t>
      </w:r>
      <w:r>
        <w:rPr>
          <w:rFonts w:cs="Times New Roman"/>
          <w:b/>
        </w:rPr>
        <w:t>20</w:t>
      </w:r>
      <w:r>
        <w:rPr>
          <w:rFonts w:cs="Times New Roman"/>
          <w:b/>
        </w:rPr>
        <w:t>22</w:t>
      </w:r>
      <w:r>
        <w:rPr>
          <w:rFonts w:cs="Times New Roman"/>
          <w:b/>
        </w:rPr>
        <w:t>年</w:t>
      </w:r>
      <w:r>
        <w:rPr>
          <w:rFonts w:cs="Times New Roman"/>
          <w:b/>
        </w:rPr>
        <w:t>—</w:t>
      </w:r>
      <w:r>
        <w:rPr>
          <w:rFonts w:cs="Times New Roman"/>
          <w:b/>
        </w:rPr>
        <w:t>203</w:t>
      </w:r>
      <w:r>
        <w:rPr>
          <w:rFonts w:cs="Times New Roman"/>
          <w:b/>
        </w:rPr>
        <w:t>5</w:t>
      </w:r>
      <w:r>
        <w:rPr>
          <w:rFonts w:cs="Times New Roman"/>
          <w:b/>
        </w:rPr>
        <w:t>年）</w:t>
      </w:r>
      <w:r>
        <w:rPr>
          <w:rFonts w:cs="Times New Roman"/>
          <w:b/>
        </w:rPr>
        <w:t>（发改基础〔</w:t>
      </w:r>
      <w:r>
        <w:rPr>
          <w:rFonts w:cs="Times New Roman"/>
          <w:b/>
        </w:rPr>
        <w:t>2022</w:t>
      </w:r>
      <w:r>
        <w:rPr>
          <w:rFonts w:cs="Times New Roman"/>
          <w:b/>
        </w:rPr>
        <w:t>〕</w:t>
      </w:r>
      <w:r>
        <w:rPr>
          <w:rFonts w:cs="Times New Roman"/>
          <w:b/>
        </w:rPr>
        <w:t>1033</w:t>
      </w:r>
      <w:r>
        <w:rPr>
          <w:rFonts w:cs="Times New Roman"/>
          <w:b/>
        </w:rPr>
        <w:t>号）</w:t>
      </w:r>
      <w:r>
        <w:rPr>
          <w:rFonts w:cs="Times New Roman"/>
          <w:b/>
        </w:rPr>
        <w:t>》及规划环评符合性分析</w:t>
      </w:r>
    </w:p>
    <w:p w:rsidR="00A46452" w:rsidRDefault="009A3928">
      <w:pPr>
        <w:wordWrap w:val="0"/>
        <w:topLinePunct/>
        <w:adjustRightInd w:val="0"/>
        <w:snapToGrid w:val="0"/>
        <w:ind w:firstLine="480"/>
        <w:rPr>
          <w:rFonts w:cs="Times New Roman"/>
        </w:rPr>
      </w:pPr>
      <w:r>
        <w:rPr>
          <w:rFonts w:cs="Times New Roman"/>
        </w:rPr>
        <w:t>①</w:t>
      </w:r>
      <w:r>
        <w:rPr>
          <w:rFonts w:cs="Times New Roman"/>
        </w:rPr>
        <w:t>与《国家公路网规划</w:t>
      </w:r>
      <w:r>
        <w:rPr>
          <w:rFonts w:cs="Times New Roman"/>
        </w:rPr>
        <w:t>（</w:t>
      </w:r>
      <w:r>
        <w:rPr>
          <w:rFonts w:cs="Times New Roman"/>
        </w:rPr>
        <w:t>2022-2035</w:t>
      </w:r>
      <w:r>
        <w:rPr>
          <w:rFonts w:cs="Times New Roman"/>
        </w:rPr>
        <w:t>年）（发改基础〔</w:t>
      </w:r>
      <w:r>
        <w:rPr>
          <w:rFonts w:cs="Times New Roman"/>
        </w:rPr>
        <w:t>2022</w:t>
      </w:r>
      <w:r>
        <w:rPr>
          <w:rFonts w:cs="Times New Roman"/>
        </w:rPr>
        <w:t>〕</w:t>
      </w:r>
      <w:r>
        <w:rPr>
          <w:rFonts w:cs="Times New Roman"/>
        </w:rPr>
        <w:t>1033</w:t>
      </w:r>
      <w:r>
        <w:rPr>
          <w:rFonts w:cs="Times New Roman"/>
        </w:rPr>
        <w:t>号）</w:t>
      </w:r>
      <w:r>
        <w:rPr>
          <w:rFonts w:cs="Times New Roman"/>
        </w:rPr>
        <w:t>》符合性</w:t>
      </w:r>
    </w:p>
    <w:p w:rsidR="00A46452" w:rsidRDefault="009A3928">
      <w:pPr>
        <w:wordWrap w:val="0"/>
        <w:topLinePunct/>
        <w:adjustRightInd w:val="0"/>
        <w:snapToGrid w:val="0"/>
        <w:ind w:firstLine="480"/>
        <w:rPr>
          <w:rFonts w:cs="Times New Roman"/>
        </w:rPr>
      </w:pPr>
      <w:r>
        <w:rPr>
          <w:rFonts w:cs="Times New Roman"/>
        </w:rPr>
        <w:t>2022</w:t>
      </w:r>
      <w:r>
        <w:rPr>
          <w:rFonts w:cs="Times New Roman"/>
        </w:rPr>
        <w:t>年</w:t>
      </w:r>
      <w:r>
        <w:rPr>
          <w:rFonts w:cs="Times New Roman"/>
        </w:rPr>
        <w:t>7</w:t>
      </w:r>
      <w:r>
        <w:rPr>
          <w:rFonts w:cs="Times New Roman"/>
        </w:rPr>
        <w:t>月，国家发展改革委会同交通运输部印发了《国家公路网规划》，其中国家高速公路网规划总里程约</w:t>
      </w:r>
      <w:r>
        <w:rPr>
          <w:rFonts w:cs="Times New Roman"/>
        </w:rPr>
        <w:t>16.2</w:t>
      </w:r>
      <w:r>
        <w:rPr>
          <w:rFonts w:cs="Times New Roman"/>
        </w:rPr>
        <w:t>万公里，由</w:t>
      </w:r>
      <w:r>
        <w:rPr>
          <w:rFonts w:cs="Times New Roman"/>
        </w:rPr>
        <w:t>7</w:t>
      </w:r>
      <w:r>
        <w:rPr>
          <w:rFonts w:cs="Times New Roman"/>
        </w:rPr>
        <w:t>条首都放射线、</w:t>
      </w:r>
      <w:r>
        <w:rPr>
          <w:rFonts w:cs="Times New Roman"/>
        </w:rPr>
        <w:t>11</w:t>
      </w:r>
      <w:r>
        <w:rPr>
          <w:rFonts w:cs="Times New Roman"/>
        </w:rPr>
        <w:t>条北南纵线、</w:t>
      </w:r>
      <w:r>
        <w:rPr>
          <w:rFonts w:cs="Times New Roman"/>
        </w:rPr>
        <w:t>18</w:t>
      </w:r>
      <w:r>
        <w:rPr>
          <w:rFonts w:cs="Times New Roman"/>
        </w:rPr>
        <w:t>条东西横线，以及</w:t>
      </w:r>
      <w:r>
        <w:rPr>
          <w:rFonts w:cs="Times New Roman"/>
        </w:rPr>
        <w:t>6</w:t>
      </w:r>
      <w:r>
        <w:rPr>
          <w:rFonts w:cs="Times New Roman"/>
        </w:rPr>
        <w:t>条地区环线、</w:t>
      </w:r>
      <w:r>
        <w:rPr>
          <w:rFonts w:cs="Times New Roman"/>
        </w:rPr>
        <w:t>12</w:t>
      </w:r>
      <w:r>
        <w:rPr>
          <w:rFonts w:cs="Times New Roman"/>
        </w:rPr>
        <w:t>条都市圈环线、</w:t>
      </w:r>
      <w:r>
        <w:rPr>
          <w:rFonts w:cs="Times New Roman"/>
        </w:rPr>
        <w:t>30</w:t>
      </w:r>
      <w:r>
        <w:rPr>
          <w:rFonts w:cs="Times New Roman"/>
        </w:rPr>
        <w:t>条城市绕城环线、</w:t>
      </w:r>
      <w:r>
        <w:rPr>
          <w:rFonts w:cs="Times New Roman"/>
        </w:rPr>
        <w:t>31</w:t>
      </w:r>
      <w:r>
        <w:rPr>
          <w:rFonts w:cs="Times New Roman"/>
        </w:rPr>
        <w:t>条并行线、</w:t>
      </w:r>
      <w:r>
        <w:rPr>
          <w:rFonts w:cs="Times New Roman"/>
        </w:rPr>
        <w:t>163</w:t>
      </w:r>
      <w:r>
        <w:rPr>
          <w:rFonts w:cs="Times New Roman"/>
        </w:rPr>
        <w:t>条联络线组成。</w:t>
      </w:r>
      <w:r>
        <w:rPr>
          <w:rFonts w:cs="Times New Roman"/>
        </w:rPr>
        <w:t>G68</w:t>
      </w:r>
      <w:r>
        <w:rPr>
          <w:rFonts w:cs="Times New Roman"/>
        </w:rPr>
        <w:t>8</w:t>
      </w:r>
      <w:r>
        <w:rPr>
          <w:rFonts w:cs="Times New Roman"/>
        </w:rPr>
        <w:t xml:space="preserve"> </w:t>
      </w:r>
      <w:r>
        <w:rPr>
          <w:rFonts w:cs="Times New Roman"/>
        </w:rPr>
        <w:t>图木舒克</w:t>
      </w:r>
      <w:r>
        <w:rPr>
          <w:rFonts w:cs="Times New Roman"/>
        </w:rPr>
        <w:t>-</w:t>
      </w:r>
      <w:r>
        <w:rPr>
          <w:rFonts w:cs="Times New Roman"/>
        </w:rPr>
        <w:t>昆玉</w:t>
      </w:r>
      <w:r>
        <w:rPr>
          <w:rFonts w:cs="Times New Roman"/>
        </w:rPr>
        <w:t>公路是《国家公路网规划</w:t>
      </w:r>
      <w:r>
        <w:rPr>
          <w:rFonts w:cs="Times New Roman"/>
        </w:rPr>
        <w:t>（</w:t>
      </w:r>
      <w:r>
        <w:rPr>
          <w:rFonts w:cs="Times New Roman"/>
        </w:rPr>
        <w:t>2022-2035</w:t>
      </w:r>
      <w:r>
        <w:rPr>
          <w:rFonts w:cs="Times New Roman"/>
        </w:rPr>
        <w:t>年）（发改基础〔</w:t>
      </w:r>
      <w:r>
        <w:rPr>
          <w:rFonts w:cs="Times New Roman"/>
        </w:rPr>
        <w:t>2022</w:t>
      </w:r>
      <w:r>
        <w:rPr>
          <w:rFonts w:cs="Times New Roman"/>
        </w:rPr>
        <w:t>〕</w:t>
      </w:r>
      <w:r>
        <w:rPr>
          <w:rFonts w:cs="Times New Roman"/>
        </w:rPr>
        <w:t>1033</w:t>
      </w:r>
      <w:r>
        <w:rPr>
          <w:rFonts w:cs="Times New Roman"/>
        </w:rPr>
        <w:t>号）</w:t>
      </w:r>
      <w:r>
        <w:rPr>
          <w:rFonts w:cs="Times New Roman"/>
        </w:rPr>
        <w:t>》中普通国道网的重要组成部分，本项目是</w:t>
      </w:r>
      <w:r>
        <w:rPr>
          <w:rFonts w:cs="Times New Roman"/>
        </w:rPr>
        <w:t>G68</w:t>
      </w:r>
      <w:r>
        <w:rPr>
          <w:rFonts w:cs="Times New Roman"/>
        </w:rPr>
        <w:t>8</w:t>
      </w:r>
      <w:r>
        <w:rPr>
          <w:rFonts w:cs="Times New Roman"/>
        </w:rPr>
        <w:t xml:space="preserve"> </w:t>
      </w:r>
      <w:r>
        <w:rPr>
          <w:rFonts w:cs="Times New Roman"/>
        </w:rPr>
        <w:t>图木舒克</w:t>
      </w:r>
      <w:r>
        <w:rPr>
          <w:rFonts w:cs="Times New Roman"/>
        </w:rPr>
        <w:t>-</w:t>
      </w:r>
      <w:r>
        <w:rPr>
          <w:rFonts w:cs="Times New Roman"/>
        </w:rPr>
        <w:t>昆玉公路</w:t>
      </w:r>
      <w:r>
        <w:rPr>
          <w:rFonts w:cs="Times New Roman"/>
        </w:rPr>
        <w:t>的重要组成部分。</w:t>
      </w:r>
    </w:p>
    <w:p w:rsidR="00A46452" w:rsidRDefault="009A3928">
      <w:pPr>
        <w:wordWrap w:val="0"/>
        <w:topLinePunct/>
        <w:adjustRightInd w:val="0"/>
        <w:snapToGrid w:val="0"/>
        <w:ind w:firstLine="480"/>
        <w:rPr>
          <w:rFonts w:cs="Times New Roman"/>
        </w:rPr>
      </w:pPr>
      <w:r>
        <w:rPr>
          <w:rFonts w:cs="Times New Roman"/>
        </w:rPr>
        <w:t>规划要求：</w:t>
      </w:r>
      <w:r>
        <w:rPr>
          <w:rFonts w:cs="Times New Roman"/>
        </w:rPr>
        <w:t>“</w:t>
      </w:r>
      <w:r>
        <w:rPr>
          <w:rFonts w:cs="Times New Roman"/>
        </w:rPr>
        <w:t>公路选线最大限度避让各类环境敏感目标，同步开展原生动植物</w:t>
      </w:r>
      <w:r>
        <w:rPr>
          <w:rFonts w:cs="Times New Roman"/>
        </w:rPr>
        <w:t>保护和动物通道建设；尽可能避免占用河湖空间特别是饮用水水源保护区，如占用须采用封闭式排水和水处理系统，强化公路施工期和运营期服务区污水处理，有条件的纳入城市污水管网；在可能造成噪声污染的重点路段设置声屏障或者采取其他降低噪声的有效措施；尽量不占或少占耕地和基本农田等。</w:t>
      </w:r>
      <w:r>
        <w:rPr>
          <w:rFonts w:cs="Times New Roman"/>
        </w:rPr>
        <w:t>”</w:t>
      </w:r>
    </w:p>
    <w:p w:rsidR="00A46452" w:rsidRDefault="009A3928">
      <w:pPr>
        <w:wordWrap w:val="0"/>
        <w:topLinePunct/>
        <w:adjustRightInd w:val="0"/>
        <w:snapToGrid w:val="0"/>
        <w:ind w:firstLine="480"/>
        <w:rPr>
          <w:rFonts w:cs="Times New Roman"/>
        </w:rPr>
      </w:pPr>
      <w:r>
        <w:rPr>
          <w:rFonts w:cs="Times New Roman"/>
        </w:rPr>
        <w:t>本项目属于公路项目改扩建、新建，对线路进行了多方案比选和合理布线，最大程度的避让了各类环境敏感目标，项目施工和运营期严格按照各类环保要求保护沿线原生动植物，全线共设</w:t>
      </w:r>
      <w:r>
        <w:rPr>
          <w:rFonts w:cs="Times New Roman"/>
        </w:rPr>
        <w:t>大</w:t>
      </w:r>
      <w:r>
        <w:rPr>
          <w:rFonts w:cs="Times New Roman"/>
        </w:rPr>
        <w:t>桥</w:t>
      </w:r>
      <w:r>
        <w:rPr>
          <w:rFonts w:cs="Times New Roman"/>
        </w:rPr>
        <w:t>5</w:t>
      </w:r>
      <w:r>
        <w:rPr>
          <w:rFonts w:cs="Times New Roman"/>
        </w:rPr>
        <w:t>座</w:t>
      </w:r>
      <w:r>
        <w:rPr>
          <w:rFonts w:cs="Times New Roman"/>
        </w:rPr>
        <w:t>（</w:t>
      </w:r>
      <w:r>
        <w:rPr>
          <w:rFonts w:cs="Times New Roman"/>
        </w:rPr>
        <w:t>含</w:t>
      </w:r>
      <w:r>
        <w:rPr>
          <w:rFonts w:cs="Times New Roman"/>
        </w:rPr>
        <w:t>1</w:t>
      </w:r>
      <w:r>
        <w:rPr>
          <w:rFonts w:cs="Times New Roman"/>
        </w:rPr>
        <w:t>座利用桥</w:t>
      </w:r>
      <w:r>
        <w:rPr>
          <w:rFonts w:cs="Times New Roman"/>
        </w:rPr>
        <w:t>）</w:t>
      </w:r>
      <w:r>
        <w:rPr>
          <w:rFonts w:cs="Times New Roman"/>
        </w:rPr>
        <w:t>，</w:t>
      </w:r>
      <w:r>
        <w:rPr>
          <w:rFonts w:cs="Times New Roman"/>
        </w:rPr>
        <w:t>中桥</w:t>
      </w:r>
      <w:r>
        <w:rPr>
          <w:rFonts w:cs="Times New Roman"/>
        </w:rPr>
        <w:t>6</w:t>
      </w:r>
      <w:r>
        <w:rPr>
          <w:rFonts w:cs="Times New Roman"/>
        </w:rPr>
        <w:t>座、小桥</w:t>
      </w:r>
      <w:r>
        <w:rPr>
          <w:rFonts w:cs="Times New Roman"/>
        </w:rPr>
        <w:t>4</w:t>
      </w:r>
      <w:r>
        <w:rPr>
          <w:rFonts w:cs="Times New Roman"/>
        </w:rPr>
        <w:t>座、涵洞</w:t>
      </w:r>
      <w:r>
        <w:rPr>
          <w:rFonts w:cs="Times New Roman"/>
        </w:rPr>
        <w:t>75</w:t>
      </w:r>
      <w:r>
        <w:rPr>
          <w:rFonts w:cs="Times New Roman"/>
        </w:rPr>
        <w:t>道，均可作为动物通道使用；项目线路对穿越河道、渠道等路段采用了桥梁跨越的方式，并</w:t>
      </w:r>
      <w:r>
        <w:rPr>
          <w:rFonts w:cs="Times New Roman"/>
        </w:rPr>
        <w:t>采取加装防撞护栏的环境风险防范措施</w:t>
      </w:r>
      <w:r>
        <w:rPr>
          <w:rFonts w:cs="Times New Roman"/>
        </w:rPr>
        <w:t>，公路施工期和运营期污水处理后回用不外排；项目运营期针对噪声超标的敏感点采用隔声窗、声屏障等降噪措施；项目占用耕地，均为一般耕地，不涉及基本农田，建设单位已办理完成相关用地手续，并采取补偿措施。因此符合上述要求。</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规划环评及审查意见符合性</w:t>
      </w:r>
    </w:p>
    <w:p w:rsidR="00A46452" w:rsidRDefault="009A3928" w:rsidP="00182EED">
      <w:pPr>
        <w:pStyle w:val="af0"/>
        <w:ind w:firstLine="480"/>
        <w:rPr>
          <w:rFonts w:cs="Times New Roman" w:hint="default"/>
          <w:sz w:val="24"/>
        </w:rPr>
      </w:pPr>
      <w:r>
        <w:rPr>
          <w:rFonts w:cs="Times New Roman" w:hint="default"/>
          <w:sz w:val="24"/>
        </w:rPr>
        <w:t>交通运输部规划研究院于</w:t>
      </w:r>
      <w:r>
        <w:rPr>
          <w:rFonts w:cs="Times New Roman" w:hint="default"/>
          <w:sz w:val="24"/>
        </w:rPr>
        <w:t>2012</w:t>
      </w:r>
      <w:r>
        <w:rPr>
          <w:rFonts w:cs="Times New Roman" w:hint="default"/>
          <w:sz w:val="24"/>
        </w:rPr>
        <w:t>年</w:t>
      </w:r>
      <w:r>
        <w:rPr>
          <w:rFonts w:cs="Times New Roman" w:hint="default"/>
          <w:sz w:val="24"/>
        </w:rPr>
        <w:t>2</w:t>
      </w:r>
      <w:r>
        <w:rPr>
          <w:rFonts w:cs="Times New Roman" w:hint="default"/>
          <w:sz w:val="24"/>
        </w:rPr>
        <w:t>月承担了</w:t>
      </w:r>
      <w:r>
        <w:rPr>
          <w:rFonts w:cs="Times New Roman" w:hint="default"/>
          <w:sz w:val="24"/>
        </w:rPr>
        <w:t>“</w:t>
      </w:r>
      <w:r>
        <w:rPr>
          <w:rFonts w:cs="Times New Roman" w:hint="default"/>
          <w:sz w:val="24"/>
        </w:rPr>
        <w:t>国家公路网规划（</w:t>
      </w:r>
      <w:r>
        <w:rPr>
          <w:rFonts w:cs="Times New Roman" w:hint="default"/>
          <w:sz w:val="24"/>
        </w:rPr>
        <w:t>2013</w:t>
      </w:r>
      <w:r>
        <w:rPr>
          <w:rFonts w:cs="Times New Roman" w:hint="default"/>
          <w:sz w:val="24"/>
        </w:rPr>
        <w:t>年</w:t>
      </w:r>
      <w:r>
        <w:rPr>
          <w:rFonts w:cs="Times New Roman" w:hint="default"/>
        </w:rPr>
        <w:t>-</w:t>
      </w:r>
      <w:r>
        <w:rPr>
          <w:rFonts w:cs="Times New Roman" w:hint="default"/>
          <w:sz w:val="24"/>
        </w:rPr>
        <w:t>2030</w:t>
      </w:r>
      <w:r>
        <w:rPr>
          <w:rFonts w:cs="Times New Roman" w:hint="default"/>
          <w:sz w:val="24"/>
        </w:rPr>
        <w:t>年）</w:t>
      </w:r>
      <w:r>
        <w:rPr>
          <w:rFonts w:cs="Times New Roman" w:hint="default"/>
          <w:sz w:val="24"/>
        </w:rPr>
        <w:t>”</w:t>
      </w:r>
      <w:r>
        <w:rPr>
          <w:rFonts w:cs="Times New Roman" w:hint="default"/>
          <w:sz w:val="24"/>
        </w:rPr>
        <w:t>的环境影响评价工作。</w:t>
      </w:r>
      <w:r>
        <w:rPr>
          <w:rFonts w:cs="Times New Roman" w:hint="default"/>
          <w:sz w:val="24"/>
        </w:rPr>
        <w:t>2013</w:t>
      </w:r>
      <w:r>
        <w:rPr>
          <w:rFonts w:cs="Times New Roman" w:hint="default"/>
          <w:sz w:val="24"/>
        </w:rPr>
        <w:t>年</w:t>
      </w:r>
      <w:r>
        <w:rPr>
          <w:rFonts w:cs="Times New Roman" w:hint="default"/>
          <w:sz w:val="24"/>
        </w:rPr>
        <w:t>1</w:t>
      </w:r>
      <w:r>
        <w:rPr>
          <w:rFonts w:cs="Times New Roman" w:hint="default"/>
          <w:sz w:val="24"/>
        </w:rPr>
        <w:t>月</w:t>
      </w:r>
      <w:r>
        <w:rPr>
          <w:rFonts w:cs="Times New Roman" w:hint="default"/>
          <w:sz w:val="24"/>
        </w:rPr>
        <w:t>5</w:t>
      </w:r>
      <w:r>
        <w:rPr>
          <w:rFonts w:cs="Times New Roman" w:hint="default"/>
          <w:sz w:val="24"/>
        </w:rPr>
        <w:t>日，</w:t>
      </w:r>
      <w:r>
        <w:rPr>
          <w:rFonts w:cs="Times New Roman" w:hint="default"/>
          <w:sz w:val="24"/>
        </w:rPr>
        <w:t>原环境保护部以环审〔</w:t>
      </w:r>
      <w:r>
        <w:rPr>
          <w:rFonts w:cs="Times New Roman" w:hint="default"/>
          <w:sz w:val="24"/>
        </w:rPr>
        <w:t>2013</w:t>
      </w:r>
      <w:r>
        <w:rPr>
          <w:rFonts w:cs="Times New Roman" w:hint="default"/>
          <w:sz w:val="24"/>
        </w:rPr>
        <w:t>〕</w:t>
      </w:r>
      <w:r>
        <w:rPr>
          <w:rFonts w:cs="Times New Roman" w:hint="default"/>
          <w:sz w:val="24"/>
        </w:rPr>
        <w:t>3</w:t>
      </w:r>
      <w:r>
        <w:rPr>
          <w:rFonts w:cs="Times New Roman" w:hint="default"/>
          <w:sz w:val="24"/>
        </w:rPr>
        <w:t>号）对《国家公路网规划环境影响报告书》出具了审查意见。《国家公路网规划环境影响报告书》及其审查意见对拟建项目环评提出了以下要求和建议，本项目与其符合性分析见表</w:t>
      </w:r>
      <w:r>
        <w:rPr>
          <w:rFonts w:cs="Times New Roman"/>
          <w:sz w:val="24"/>
        </w:rPr>
        <w:t>5</w:t>
      </w:r>
      <w:r>
        <w:rPr>
          <w:rFonts w:cs="Times New Roman" w:hint="default"/>
          <w:sz w:val="24"/>
        </w:rPr>
        <w:t>.</w:t>
      </w:r>
      <w:r>
        <w:rPr>
          <w:rFonts w:cs="Times New Roman"/>
          <w:sz w:val="24"/>
        </w:rPr>
        <w:t>3</w:t>
      </w:r>
      <w:r>
        <w:rPr>
          <w:rFonts w:cs="Times New Roman" w:hint="default"/>
          <w:sz w:val="24"/>
        </w:rPr>
        <w:t>-</w:t>
      </w:r>
      <w:r>
        <w:rPr>
          <w:rFonts w:cs="Times New Roman" w:hint="default"/>
          <w:sz w:val="24"/>
        </w:rPr>
        <w:t>5</w:t>
      </w:r>
      <w:r>
        <w:rPr>
          <w:rFonts w:cs="Times New Roman" w:hint="default"/>
          <w:sz w:val="24"/>
        </w:rPr>
        <w:t>。</w:t>
      </w:r>
    </w:p>
    <w:p w:rsidR="00A46452" w:rsidRDefault="009A3928">
      <w:pPr>
        <w:wordWrap w:val="0"/>
        <w:topLinePunct/>
        <w:adjustRightInd w:val="0"/>
        <w:snapToGrid w:val="0"/>
        <w:spacing w:line="240" w:lineRule="auto"/>
        <w:ind w:firstLineChars="0" w:firstLine="0"/>
        <w:rPr>
          <w:rFonts w:eastAsia="黑体" w:cs="Times New Roman"/>
        </w:rPr>
      </w:pPr>
      <w:r>
        <w:rPr>
          <w:rFonts w:eastAsia="黑体" w:cs="Times New Roman"/>
        </w:rPr>
        <w:t>表</w:t>
      </w:r>
      <w:r>
        <w:rPr>
          <w:rFonts w:eastAsia="黑体" w:cs="Times New Roman" w:hint="eastAsia"/>
        </w:rPr>
        <w:t>5</w:t>
      </w:r>
      <w:r>
        <w:rPr>
          <w:rFonts w:eastAsia="黑体" w:cs="Times New Roman"/>
        </w:rPr>
        <w:t>.</w:t>
      </w:r>
      <w:r>
        <w:rPr>
          <w:rFonts w:eastAsia="黑体" w:cs="Times New Roman" w:hint="eastAsia"/>
        </w:rPr>
        <w:t>3</w:t>
      </w:r>
      <w:r>
        <w:rPr>
          <w:rFonts w:eastAsia="黑体" w:cs="Times New Roman"/>
        </w:rPr>
        <w:t>-</w:t>
      </w:r>
      <w:r>
        <w:rPr>
          <w:rFonts w:eastAsia="黑体" w:cs="Times New Roman"/>
        </w:rPr>
        <w:t xml:space="preserve">5  </w:t>
      </w:r>
      <w:r>
        <w:rPr>
          <w:rFonts w:eastAsia="黑体" w:cs="Times New Roman"/>
        </w:rPr>
        <w:t>本项目与《国家公路网规划环境影响报告书》及其审查意见符合性</w:t>
      </w:r>
    </w:p>
    <w:tbl>
      <w:tblPr>
        <w:tblStyle w:val="aff8"/>
        <w:tblW w:w="0" w:type="auto"/>
        <w:jc w:val="center"/>
        <w:tblLook w:val="04A0" w:firstRow="1" w:lastRow="0" w:firstColumn="1" w:lastColumn="0" w:noHBand="0" w:noVBand="1"/>
      </w:tblPr>
      <w:tblGrid>
        <w:gridCol w:w="3863"/>
        <w:gridCol w:w="3760"/>
        <w:gridCol w:w="679"/>
      </w:tblGrid>
      <w:tr w:rsidR="00A46452">
        <w:trPr>
          <w:jc w:val="center"/>
        </w:trPr>
        <w:tc>
          <w:tcPr>
            <w:tcW w:w="3863" w:type="dxa"/>
          </w:tcPr>
          <w:p w:rsidR="00A46452" w:rsidRDefault="009A3928">
            <w:pPr>
              <w:wordWrap w:val="0"/>
              <w:topLinePunct/>
              <w:adjustRightInd w:val="0"/>
              <w:snapToGrid w:val="0"/>
              <w:spacing w:line="240" w:lineRule="exact"/>
              <w:ind w:firstLineChars="0" w:firstLine="0"/>
              <w:jc w:val="center"/>
              <w:rPr>
                <w:rFonts w:eastAsiaTheme="minorEastAsia" w:cs="Times New Roman"/>
                <w:b/>
                <w:bCs/>
                <w:sz w:val="15"/>
                <w:szCs w:val="15"/>
              </w:rPr>
            </w:pPr>
            <w:r>
              <w:rPr>
                <w:rFonts w:eastAsiaTheme="minorEastAsia" w:cs="Times New Roman"/>
                <w:b/>
                <w:bCs/>
                <w:sz w:val="15"/>
                <w:szCs w:val="15"/>
              </w:rPr>
              <w:t>报告书及审查意见要求</w:t>
            </w:r>
          </w:p>
        </w:tc>
        <w:tc>
          <w:tcPr>
            <w:tcW w:w="3760" w:type="dxa"/>
          </w:tcPr>
          <w:p w:rsidR="00A46452" w:rsidRDefault="009A3928">
            <w:pPr>
              <w:wordWrap w:val="0"/>
              <w:topLinePunct/>
              <w:adjustRightInd w:val="0"/>
              <w:snapToGrid w:val="0"/>
              <w:spacing w:line="240" w:lineRule="exact"/>
              <w:ind w:firstLineChars="0" w:firstLine="0"/>
              <w:jc w:val="center"/>
              <w:rPr>
                <w:rFonts w:eastAsiaTheme="minorEastAsia" w:cs="Times New Roman"/>
                <w:b/>
                <w:bCs/>
                <w:sz w:val="15"/>
                <w:szCs w:val="15"/>
              </w:rPr>
            </w:pPr>
            <w:r>
              <w:rPr>
                <w:rFonts w:eastAsiaTheme="minorEastAsia" w:cs="Times New Roman"/>
                <w:b/>
                <w:bCs/>
                <w:sz w:val="15"/>
                <w:szCs w:val="15"/>
              </w:rPr>
              <w:t>本项目落实情况</w:t>
            </w:r>
          </w:p>
        </w:tc>
        <w:tc>
          <w:tcPr>
            <w:tcW w:w="679" w:type="dxa"/>
          </w:tcPr>
          <w:p w:rsidR="00A46452" w:rsidRDefault="009A3928">
            <w:pPr>
              <w:wordWrap w:val="0"/>
              <w:topLinePunct/>
              <w:adjustRightInd w:val="0"/>
              <w:snapToGrid w:val="0"/>
              <w:spacing w:line="240" w:lineRule="exact"/>
              <w:ind w:firstLineChars="0" w:firstLine="0"/>
              <w:jc w:val="center"/>
              <w:rPr>
                <w:rFonts w:eastAsiaTheme="minorEastAsia" w:cs="Times New Roman"/>
                <w:b/>
                <w:bCs/>
                <w:sz w:val="15"/>
                <w:szCs w:val="15"/>
              </w:rPr>
            </w:pPr>
            <w:r>
              <w:rPr>
                <w:rFonts w:eastAsiaTheme="minorEastAsia" w:cs="Times New Roman"/>
                <w:b/>
                <w:bCs/>
                <w:sz w:val="15"/>
                <w:szCs w:val="15"/>
              </w:rPr>
              <w:t>相符性</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在下一层次环境影响评价进行时，可参照规划中提出的环境保护措施，选取适合部分进行深化。</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本次环评过程中已针对生态、水环境、环境空气、声环境影响减缓措施中适合本项目部分进行了细化。</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在下一层次环境影响评价进行时，应将环境保护方案落到实处，落实好环境监测和跟踪评价工作。</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本项目环评过程中根据工程实际情况，提出了各环境要素针对性的环保措施，要求开展施工期环境监理，并制定了施工期环境监测计划和运营期环境监测计划，特别是对生态环境的监测和沿线噪声敏感点的跟踪监测。</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各项目环评阶段应根据各自具体内容对施工期环境影响评价进行详细的更深入的评价。</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本次环评过程中，针对项目特点，对施工期的环境影响按环境要素进行了详细的分析和评价。</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公路建设项目环评应重视环境保护措施和生态补偿措施研究</w:t>
            </w:r>
            <w:r>
              <w:rPr>
                <w:rFonts w:eastAsiaTheme="minorEastAsia" w:cs="Times New Roman"/>
                <w:kern w:val="0"/>
                <w:sz w:val="15"/>
                <w:szCs w:val="15"/>
              </w:rPr>
              <w:t>和落实。</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本项目环评过程中已针对环境影响特点，制定了各项环境保护措施和生态补偿措施。</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在公路建设项目环评中，需要准确估算需要占用的耕地的数量和位置，提出科学合理的保护与补偿措施。</w:t>
            </w:r>
          </w:p>
        </w:tc>
        <w:tc>
          <w:tcPr>
            <w:tcW w:w="3760"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kern w:val="0"/>
                <w:sz w:val="15"/>
                <w:szCs w:val="15"/>
              </w:rPr>
              <w:t>本项目建设性质为改扩建、新建，其中占用耕地</w:t>
            </w:r>
            <w:r>
              <w:rPr>
                <w:rFonts w:eastAsiaTheme="minorEastAsia" w:cs="Times New Roman"/>
                <w:kern w:val="0"/>
                <w:sz w:val="15"/>
                <w:szCs w:val="15"/>
              </w:rPr>
              <w:t>34.270hm</w:t>
            </w:r>
            <w:r>
              <w:rPr>
                <w:rFonts w:eastAsiaTheme="minorEastAsia" w:cs="Times New Roman"/>
                <w:kern w:val="0"/>
                <w:sz w:val="15"/>
                <w:szCs w:val="15"/>
                <w:vertAlign w:val="superscript"/>
              </w:rPr>
              <w:t>2</w:t>
            </w:r>
            <w:r>
              <w:rPr>
                <w:rFonts w:eastAsiaTheme="minorEastAsia" w:cs="Times New Roman"/>
                <w:kern w:val="0"/>
                <w:sz w:val="15"/>
                <w:szCs w:val="15"/>
              </w:rPr>
              <w:t>，均为一般耕地，经路线比选论证，已尽可能避让耕地，且已办理完成项目用地手续。</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规划实施应注意与沿线相关区域发展规划、土地利用规划、城市总体规划、城市综合交通规划等规划的协调衔接。综合考虑区域经济社会发展情况以及公路、铁路、航空、水运等交通运输体系的互补关系，按照</w:t>
            </w:r>
            <w:r>
              <w:rPr>
                <w:rFonts w:eastAsiaTheme="minorEastAsia" w:cs="Times New Roman"/>
                <w:kern w:val="0"/>
                <w:sz w:val="15"/>
                <w:szCs w:val="15"/>
              </w:rPr>
              <w:t>“</w:t>
            </w:r>
            <w:r>
              <w:rPr>
                <w:rFonts w:eastAsiaTheme="minorEastAsia" w:cs="Times New Roman"/>
                <w:kern w:val="0"/>
                <w:sz w:val="15"/>
                <w:szCs w:val="15"/>
              </w:rPr>
              <w:t>人口资源环境相均衡、经济社会生态效益相统一</w:t>
            </w:r>
            <w:r>
              <w:rPr>
                <w:rFonts w:eastAsiaTheme="minorEastAsia" w:cs="Times New Roman"/>
                <w:kern w:val="0"/>
                <w:sz w:val="15"/>
                <w:szCs w:val="15"/>
              </w:rPr>
              <w:t>”</w:t>
            </w:r>
            <w:r>
              <w:rPr>
                <w:rFonts w:eastAsiaTheme="minorEastAsia" w:cs="Times New Roman"/>
                <w:kern w:val="0"/>
                <w:sz w:val="15"/>
                <w:szCs w:val="15"/>
              </w:rPr>
              <w:t>的原则和</w:t>
            </w:r>
            <w:r>
              <w:rPr>
                <w:rFonts w:eastAsiaTheme="minorEastAsia" w:cs="Times New Roman"/>
                <w:kern w:val="0"/>
                <w:sz w:val="15"/>
                <w:szCs w:val="15"/>
              </w:rPr>
              <w:t>“</w:t>
            </w:r>
            <w:r>
              <w:rPr>
                <w:rFonts w:eastAsiaTheme="minorEastAsia" w:cs="Times New Roman"/>
                <w:kern w:val="0"/>
                <w:sz w:val="15"/>
                <w:szCs w:val="15"/>
              </w:rPr>
              <w:t>一次规划、分期建设</w:t>
            </w:r>
            <w:r>
              <w:rPr>
                <w:rFonts w:eastAsiaTheme="minorEastAsia" w:cs="Times New Roman"/>
                <w:kern w:val="0"/>
                <w:sz w:val="15"/>
                <w:szCs w:val="15"/>
              </w:rPr>
              <w:t>”</w:t>
            </w:r>
            <w:r>
              <w:rPr>
                <w:rFonts w:eastAsiaTheme="minorEastAsia" w:cs="Times New Roman"/>
                <w:kern w:val="0"/>
                <w:sz w:val="15"/>
                <w:szCs w:val="15"/>
              </w:rPr>
              <w:t>的要求，合理确定不同区域的路网布局方案、规模和建设时序，避免无序规划和建设而引发更严重的环境问题。在路网、水网、铁路网等较为密集的典型区域，应在科学论证的基础上进一步优化规划方案，严格控制近期建设规模。</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sz w:val="15"/>
                <w:szCs w:val="15"/>
              </w:rPr>
            </w:pPr>
            <w:r>
              <w:rPr>
                <w:rFonts w:eastAsiaTheme="minorEastAsia" w:cs="Times New Roman"/>
                <w:kern w:val="0"/>
                <w:sz w:val="15"/>
                <w:szCs w:val="15"/>
              </w:rPr>
              <w:t>本项目路线布设充分考虑了与沿线区域发展规划、土地</w:t>
            </w:r>
            <w:r>
              <w:rPr>
                <w:rFonts w:eastAsiaTheme="minorEastAsia" w:cs="Times New Roman"/>
                <w:kern w:val="0"/>
                <w:sz w:val="15"/>
                <w:szCs w:val="15"/>
              </w:rPr>
              <w:t>利用规划、城市总体规划、城市综合交通规划等的规划的协调性；根据各地方政府及部门的意见，结合项目实际及沿线路网、水网、铁路网的分布，对局部路线方案及建设规模进行了优化。</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坚持</w:t>
            </w:r>
            <w:r>
              <w:rPr>
                <w:rFonts w:eastAsiaTheme="minorEastAsia" w:cs="Times New Roman"/>
                <w:kern w:val="0"/>
                <w:sz w:val="15"/>
                <w:szCs w:val="15"/>
              </w:rPr>
              <w:t>“</w:t>
            </w:r>
            <w:r>
              <w:rPr>
                <w:rFonts w:eastAsiaTheme="minorEastAsia" w:cs="Times New Roman"/>
                <w:kern w:val="0"/>
                <w:sz w:val="15"/>
                <w:szCs w:val="15"/>
              </w:rPr>
              <w:t>保护优先，避让为主</w:t>
            </w:r>
            <w:r>
              <w:rPr>
                <w:rFonts w:eastAsiaTheme="minorEastAsia" w:cs="Times New Roman"/>
                <w:kern w:val="0"/>
                <w:sz w:val="15"/>
                <w:szCs w:val="15"/>
              </w:rPr>
              <w:t>”</w:t>
            </w:r>
            <w:r>
              <w:rPr>
                <w:rFonts w:eastAsiaTheme="minorEastAsia" w:cs="Times New Roman"/>
                <w:kern w:val="0"/>
                <w:sz w:val="15"/>
                <w:szCs w:val="15"/>
              </w:rPr>
              <w:t>的原则，加强对规划公路网沿线自然保护区、饮用水水源保护区、风景名胜区、世界文化与自然遗产地、森林公园、地质公园、重点生态功能区等重要生态保护区域和环境敏感区域的保护。通过采用低路堤和提高桥隧比例等方式，尽量避免和减缓公路建设可能对上述区域的不良影响，推进公路建设绿色发展、集约</w:t>
            </w:r>
            <w:r>
              <w:rPr>
                <w:rFonts w:eastAsiaTheme="minorEastAsia" w:cs="Times New Roman"/>
                <w:kern w:val="0"/>
                <w:sz w:val="15"/>
                <w:szCs w:val="15"/>
              </w:rPr>
              <w:t>发展</w:t>
            </w:r>
            <w:r>
              <w:rPr>
                <w:rFonts w:eastAsiaTheme="minorEastAsia" w:cs="Times New Roman"/>
                <w:kern w:val="0"/>
                <w:sz w:val="15"/>
                <w:szCs w:val="15"/>
              </w:rPr>
              <w:t>和</w:t>
            </w:r>
            <w:r>
              <w:rPr>
                <w:rFonts w:eastAsiaTheme="minorEastAsia" w:cs="Times New Roman"/>
                <w:kern w:val="0"/>
                <w:sz w:val="15"/>
                <w:szCs w:val="15"/>
              </w:rPr>
              <w:t>低碳发展。</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本项目在线路设计</w:t>
            </w:r>
            <w:r>
              <w:rPr>
                <w:rFonts w:eastAsiaTheme="minorEastAsia" w:cs="Times New Roman"/>
                <w:kern w:val="0"/>
                <w:sz w:val="15"/>
                <w:szCs w:val="15"/>
              </w:rPr>
              <w:t>时已尽可能的避绕沿线周围涉及的生态敏感区，项目不占用自然保护区、风景名胜区等重点生态功能区。项目需跨越</w:t>
            </w:r>
            <w:r>
              <w:rPr>
                <w:rFonts w:eastAsiaTheme="minorEastAsia" w:cs="Times New Roman"/>
                <w:kern w:val="0"/>
                <w:sz w:val="15"/>
                <w:szCs w:val="15"/>
              </w:rPr>
              <w:t>喀什噶尔河、柯坪河、突来买提河、干渠等均不涉及生态保护区域和环境敏感区。</w:t>
            </w:r>
          </w:p>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综上所述，项目已尽可能</w:t>
            </w:r>
            <w:r>
              <w:rPr>
                <w:rFonts w:eastAsiaTheme="minorEastAsia" w:cs="Times New Roman"/>
                <w:kern w:val="0"/>
                <w:sz w:val="15"/>
                <w:szCs w:val="15"/>
              </w:rPr>
              <w:t>地</w:t>
            </w:r>
            <w:r>
              <w:rPr>
                <w:rFonts w:eastAsiaTheme="minorEastAsia" w:cs="Times New Roman"/>
                <w:kern w:val="0"/>
                <w:sz w:val="15"/>
                <w:szCs w:val="15"/>
              </w:rPr>
              <w:t>减少了对生态环境敏感区的影响。</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规划选线、选址应尽量避开基本农田保护区，不占或少占耕地。坚持节约集约利用土地资源，路网布局应尽量利用既有交通走廊。</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本项目为公路建设项目，线路通过线位优化，选址尽量避免占用耕地。</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对新建公路以及通过环境敏感区的线路，应加强沿线生态治理和修复。</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本项目对占用耕地、林地的线位进行了选址论证，对环境影响各要素进行了深入分析，并提出了环境保护、生态治理及环境风险防范措施。</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对于下一层次的线位规划、各省（区、市）公路网规划和具体建设项目，在开展环境影响评价时，应关注路网规划布局对区域景观格局和生态安全格局的影响，开展深入的规划协调性分析。</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本次环评过程重点开展了项目与《国家公路网规划（</w:t>
            </w:r>
            <w:r>
              <w:rPr>
                <w:rFonts w:eastAsiaTheme="minorEastAsia" w:cs="Times New Roman"/>
                <w:kern w:val="0"/>
                <w:sz w:val="15"/>
                <w:szCs w:val="15"/>
              </w:rPr>
              <w:t>2013-2030</w:t>
            </w:r>
            <w:r>
              <w:rPr>
                <w:rFonts w:eastAsiaTheme="minorEastAsia" w:cs="Times New Roman"/>
                <w:kern w:val="0"/>
                <w:sz w:val="15"/>
                <w:szCs w:val="15"/>
              </w:rPr>
              <w:t>）</w:t>
            </w:r>
            <w:r>
              <w:rPr>
                <w:rFonts w:eastAsiaTheme="minorEastAsia" w:cs="Times New Roman"/>
                <w:kern w:val="0"/>
                <w:sz w:val="15"/>
                <w:szCs w:val="15"/>
              </w:rPr>
              <w:t>》《</w:t>
            </w:r>
            <w:r>
              <w:rPr>
                <w:rFonts w:eastAsiaTheme="minorEastAsia" w:cs="Times New Roman"/>
                <w:kern w:val="0"/>
                <w:sz w:val="15"/>
                <w:szCs w:val="15"/>
              </w:rPr>
              <w:t>新疆维吾尔自治区公路网规划（</w:t>
            </w:r>
            <w:r>
              <w:rPr>
                <w:rFonts w:eastAsiaTheme="minorEastAsia" w:cs="Times New Roman"/>
                <w:kern w:val="0"/>
                <w:sz w:val="15"/>
                <w:szCs w:val="15"/>
              </w:rPr>
              <w:t>2021</w:t>
            </w:r>
            <w:r>
              <w:rPr>
                <w:rFonts w:eastAsiaTheme="minorEastAsia" w:cs="Times New Roman"/>
                <w:kern w:val="0"/>
                <w:sz w:val="15"/>
                <w:szCs w:val="15"/>
              </w:rPr>
              <w:t>—</w:t>
            </w:r>
            <w:r>
              <w:rPr>
                <w:rFonts w:eastAsiaTheme="minorEastAsia" w:cs="Times New Roman"/>
                <w:kern w:val="0"/>
                <w:sz w:val="15"/>
                <w:szCs w:val="15"/>
              </w:rPr>
              <w:t>2050</w:t>
            </w:r>
            <w:r>
              <w:rPr>
                <w:rFonts w:eastAsiaTheme="minorEastAsia" w:cs="Times New Roman"/>
                <w:kern w:val="0"/>
                <w:sz w:val="15"/>
                <w:szCs w:val="15"/>
              </w:rPr>
              <w:t>年）</w:t>
            </w:r>
            <w:r>
              <w:rPr>
                <w:rFonts w:eastAsiaTheme="minorEastAsia" w:cs="Times New Roman"/>
                <w:kern w:val="0"/>
                <w:sz w:val="15"/>
                <w:szCs w:val="15"/>
              </w:rPr>
              <w:t>》《</w:t>
            </w:r>
            <w:r>
              <w:rPr>
                <w:rFonts w:eastAsiaTheme="minorEastAsia" w:cs="Times New Roman"/>
                <w:kern w:val="0"/>
                <w:sz w:val="15"/>
                <w:szCs w:val="15"/>
              </w:rPr>
              <w:t>新疆维吾尔自治区</w:t>
            </w:r>
            <w:r>
              <w:rPr>
                <w:rFonts w:eastAsiaTheme="minorEastAsia" w:cs="Times New Roman"/>
                <w:kern w:val="0"/>
                <w:sz w:val="15"/>
                <w:szCs w:val="15"/>
              </w:rPr>
              <w:t>“</w:t>
            </w:r>
            <w:r>
              <w:rPr>
                <w:rFonts w:eastAsiaTheme="minorEastAsia" w:cs="Times New Roman"/>
                <w:kern w:val="0"/>
                <w:sz w:val="15"/>
                <w:szCs w:val="15"/>
              </w:rPr>
              <w:t>十四五</w:t>
            </w:r>
            <w:r>
              <w:rPr>
                <w:rFonts w:eastAsiaTheme="minorEastAsia" w:cs="Times New Roman"/>
                <w:kern w:val="0"/>
                <w:sz w:val="15"/>
                <w:szCs w:val="15"/>
              </w:rPr>
              <w:t>”</w:t>
            </w:r>
            <w:r>
              <w:rPr>
                <w:rFonts w:eastAsiaTheme="minorEastAsia" w:cs="Times New Roman"/>
                <w:kern w:val="0"/>
                <w:sz w:val="15"/>
                <w:szCs w:val="15"/>
              </w:rPr>
              <w:t>综合交通规划》以及规划环评及审查意见的符合性分析，与</w:t>
            </w:r>
            <w:r>
              <w:rPr>
                <w:rFonts w:eastAsiaTheme="minorEastAsia" w:cs="Times New Roman"/>
                <w:kern w:val="0"/>
                <w:sz w:val="15"/>
                <w:szCs w:val="15"/>
              </w:rPr>
              <w:t>第三师、阿</w:t>
            </w:r>
            <w:r>
              <w:rPr>
                <w:rFonts w:eastAsiaTheme="minorEastAsia" w:cs="Times New Roman"/>
                <w:kern w:val="0"/>
                <w:sz w:val="15"/>
                <w:szCs w:val="15"/>
              </w:rPr>
              <w:t>克苏地区</w:t>
            </w:r>
            <w:r>
              <w:rPr>
                <w:rFonts w:eastAsiaTheme="minorEastAsia" w:cs="Times New Roman"/>
                <w:kern w:val="0"/>
                <w:sz w:val="15"/>
                <w:szCs w:val="15"/>
              </w:rPr>
              <w:t>的规划符合性分析，与</w:t>
            </w:r>
            <w:r>
              <w:rPr>
                <w:rFonts w:eastAsiaTheme="minorEastAsia" w:cs="Times New Roman"/>
                <w:kern w:val="0"/>
                <w:sz w:val="15"/>
                <w:szCs w:val="15"/>
              </w:rPr>
              <w:t>2023</w:t>
            </w:r>
            <w:r>
              <w:rPr>
                <w:rFonts w:eastAsiaTheme="minorEastAsia" w:cs="Times New Roman"/>
                <w:kern w:val="0"/>
                <w:sz w:val="15"/>
                <w:szCs w:val="15"/>
              </w:rPr>
              <w:t>年动态更新后的自治区</w:t>
            </w:r>
            <w:r>
              <w:rPr>
                <w:rFonts w:eastAsiaTheme="minorEastAsia" w:cs="Times New Roman"/>
                <w:kern w:val="0"/>
                <w:sz w:val="15"/>
                <w:szCs w:val="15"/>
              </w:rPr>
              <w:t>“</w:t>
            </w:r>
            <w:r>
              <w:rPr>
                <w:rFonts w:eastAsiaTheme="minorEastAsia" w:cs="Times New Roman"/>
                <w:kern w:val="0"/>
                <w:sz w:val="15"/>
                <w:szCs w:val="15"/>
              </w:rPr>
              <w:t>三线一单</w:t>
            </w:r>
            <w:r>
              <w:rPr>
                <w:rFonts w:eastAsiaTheme="minorEastAsia" w:cs="Times New Roman"/>
                <w:kern w:val="0"/>
                <w:sz w:val="15"/>
                <w:szCs w:val="15"/>
              </w:rPr>
              <w:t>”</w:t>
            </w:r>
            <w:r>
              <w:rPr>
                <w:rFonts w:eastAsiaTheme="minorEastAsia" w:cs="Times New Roman"/>
                <w:kern w:val="0"/>
                <w:sz w:val="15"/>
                <w:szCs w:val="15"/>
              </w:rPr>
              <w:t>生态环境分区管控方案、兵团</w:t>
            </w:r>
            <w:r>
              <w:rPr>
                <w:rFonts w:eastAsiaTheme="minorEastAsia" w:cs="Times New Roman"/>
                <w:kern w:val="0"/>
                <w:sz w:val="15"/>
                <w:szCs w:val="15"/>
              </w:rPr>
              <w:t>“</w:t>
            </w:r>
            <w:r>
              <w:rPr>
                <w:rFonts w:eastAsiaTheme="minorEastAsia" w:cs="Times New Roman"/>
                <w:kern w:val="0"/>
                <w:sz w:val="15"/>
                <w:szCs w:val="15"/>
              </w:rPr>
              <w:t>三线一单</w:t>
            </w:r>
            <w:r>
              <w:rPr>
                <w:rFonts w:eastAsiaTheme="minorEastAsia" w:cs="Times New Roman"/>
                <w:kern w:val="0"/>
                <w:sz w:val="15"/>
                <w:szCs w:val="15"/>
              </w:rPr>
              <w:t>”</w:t>
            </w:r>
            <w:r>
              <w:rPr>
                <w:rFonts w:eastAsiaTheme="minorEastAsia" w:cs="Times New Roman"/>
                <w:kern w:val="0"/>
                <w:sz w:val="15"/>
                <w:szCs w:val="15"/>
              </w:rPr>
              <w:t>生态环境分区管控方案、</w:t>
            </w:r>
            <w:r>
              <w:rPr>
                <w:rFonts w:eastAsiaTheme="minorEastAsia" w:cs="Times New Roman" w:hint="eastAsia"/>
                <w:kern w:val="0"/>
                <w:sz w:val="15"/>
                <w:szCs w:val="15"/>
              </w:rPr>
              <w:t>喀什</w:t>
            </w:r>
            <w:r>
              <w:rPr>
                <w:rFonts w:eastAsiaTheme="minorEastAsia" w:cs="Times New Roman"/>
                <w:kern w:val="0"/>
                <w:sz w:val="15"/>
                <w:szCs w:val="15"/>
              </w:rPr>
              <w:t>地区</w:t>
            </w:r>
            <w:r>
              <w:rPr>
                <w:rFonts w:eastAsiaTheme="minorEastAsia" w:cs="Times New Roman"/>
                <w:kern w:val="0"/>
                <w:sz w:val="15"/>
                <w:szCs w:val="15"/>
              </w:rPr>
              <w:t>“</w:t>
            </w:r>
            <w:r>
              <w:rPr>
                <w:rFonts w:eastAsiaTheme="minorEastAsia" w:cs="Times New Roman"/>
                <w:kern w:val="0"/>
                <w:sz w:val="15"/>
                <w:szCs w:val="15"/>
              </w:rPr>
              <w:t>三线一单</w:t>
            </w:r>
            <w:r>
              <w:rPr>
                <w:rFonts w:eastAsiaTheme="minorEastAsia" w:cs="Times New Roman"/>
                <w:kern w:val="0"/>
                <w:sz w:val="15"/>
                <w:szCs w:val="15"/>
              </w:rPr>
              <w:t>”</w:t>
            </w:r>
            <w:r>
              <w:rPr>
                <w:rFonts w:eastAsiaTheme="minorEastAsia" w:cs="Times New Roman"/>
                <w:kern w:val="0"/>
                <w:sz w:val="15"/>
                <w:szCs w:val="15"/>
              </w:rPr>
              <w:t>生态环境分区管控方案</w:t>
            </w:r>
            <w:r>
              <w:rPr>
                <w:rFonts w:eastAsiaTheme="minorEastAsia" w:cs="Times New Roman" w:hint="eastAsia"/>
                <w:kern w:val="0"/>
                <w:sz w:val="15"/>
                <w:szCs w:val="15"/>
              </w:rPr>
              <w:t>、</w:t>
            </w:r>
            <w:r>
              <w:rPr>
                <w:rFonts w:eastAsiaTheme="minorEastAsia" w:cs="Times New Roman"/>
                <w:kern w:val="0"/>
                <w:sz w:val="15"/>
                <w:szCs w:val="15"/>
              </w:rPr>
              <w:t>阿克苏地区</w:t>
            </w:r>
            <w:r>
              <w:rPr>
                <w:rFonts w:eastAsiaTheme="minorEastAsia" w:cs="Times New Roman"/>
                <w:kern w:val="0"/>
                <w:sz w:val="15"/>
                <w:szCs w:val="15"/>
              </w:rPr>
              <w:t>“</w:t>
            </w:r>
            <w:r>
              <w:rPr>
                <w:rFonts w:eastAsiaTheme="minorEastAsia" w:cs="Times New Roman"/>
                <w:kern w:val="0"/>
                <w:sz w:val="15"/>
                <w:szCs w:val="15"/>
              </w:rPr>
              <w:t>三线一单</w:t>
            </w:r>
            <w:r>
              <w:rPr>
                <w:rFonts w:eastAsiaTheme="minorEastAsia" w:cs="Times New Roman"/>
                <w:kern w:val="0"/>
                <w:sz w:val="15"/>
                <w:szCs w:val="15"/>
              </w:rPr>
              <w:t>”</w:t>
            </w:r>
            <w:r>
              <w:rPr>
                <w:rFonts w:eastAsiaTheme="minorEastAsia" w:cs="Times New Roman"/>
                <w:kern w:val="0"/>
                <w:sz w:val="15"/>
                <w:szCs w:val="15"/>
              </w:rPr>
              <w:t>生态环境分区管控方案、第</w:t>
            </w:r>
            <w:r>
              <w:rPr>
                <w:rFonts w:eastAsiaTheme="minorEastAsia" w:cs="Times New Roman"/>
                <w:kern w:val="0"/>
                <w:sz w:val="15"/>
                <w:szCs w:val="15"/>
              </w:rPr>
              <w:t>三</w:t>
            </w:r>
            <w:r>
              <w:rPr>
                <w:rFonts w:eastAsiaTheme="minorEastAsia" w:cs="Times New Roman"/>
                <w:kern w:val="0"/>
                <w:sz w:val="15"/>
                <w:szCs w:val="15"/>
              </w:rPr>
              <w:t>师</w:t>
            </w:r>
            <w:r>
              <w:rPr>
                <w:rFonts w:eastAsiaTheme="minorEastAsia" w:cs="Times New Roman"/>
                <w:kern w:val="0"/>
                <w:sz w:val="15"/>
                <w:szCs w:val="15"/>
              </w:rPr>
              <w:t>图木舒克</w:t>
            </w:r>
            <w:r>
              <w:rPr>
                <w:rFonts w:eastAsiaTheme="minorEastAsia" w:cs="Times New Roman"/>
                <w:kern w:val="0"/>
                <w:sz w:val="15"/>
                <w:szCs w:val="15"/>
              </w:rPr>
              <w:t>市</w:t>
            </w:r>
            <w:r>
              <w:rPr>
                <w:rFonts w:eastAsiaTheme="minorEastAsia" w:cs="Times New Roman"/>
                <w:kern w:val="0"/>
                <w:sz w:val="15"/>
                <w:szCs w:val="15"/>
              </w:rPr>
              <w:t>“</w:t>
            </w:r>
            <w:r>
              <w:rPr>
                <w:rFonts w:eastAsiaTheme="minorEastAsia" w:cs="Times New Roman"/>
                <w:kern w:val="0"/>
                <w:sz w:val="15"/>
                <w:szCs w:val="15"/>
              </w:rPr>
              <w:t>三线一单</w:t>
            </w:r>
            <w:r>
              <w:rPr>
                <w:rFonts w:eastAsiaTheme="minorEastAsia" w:cs="Times New Roman"/>
                <w:kern w:val="0"/>
                <w:sz w:val="15"/>
                <w:szCs w:val="15"/>
              </w:rPr>
              <w:t>”</w:t>
            </w:r>
            <w:r>
              <w:rPr>
                <w:rFonts w:eastAsiaTheme="minorEastAsia" w:cs="Times New Roman"/>
                <w:kern w:val="0"/>
                <w:sz w:val="15"/>
                <w:szCs w:val="15"/>
              </w:rPr>
              <w:t>生态环境分区管控方案的符合性分析，均符合相关要求。</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关注项目施工期环境影响分析，加强饮用水水源保护，重视项目环境保护措施与生态补偿措施的研究与落实。</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本项目选址不涉及水源保护区，施工期要求加强对周边地表水</w:t>
            </w:r>
            <w:r>
              <w:rPr>
                <w:rFonts w:eastAsiaTheme="minorEastAsia" w:cs="Times New Roman"/>
                <w:kern w:val="0"/>
                <w:sz w:val="15"/>
                <w:szCs w:val="15"/>
              </w:rPr>
              <w:t>的</w:t>
            </w:r>
            <w:r>
              <w:rPr>
                <w:rFonts w:eastAsiaTheme="minorEastAsia" w:cs="Times New Roman"/>
                <w:kern w:val="0"/>
                <w:sz w:val="15"/>
                <w:szCs w:val="15"/>
              </w:rPr>
              <w:t>保护，采取严格措施尽可能</w:t>
            </w:r>
            <w:r>
              <w:rPr>
                <w:rFonts w:eastAsiaTheme="minorEastAsia" w:cs="Times New Roman"/>
                <w:kern w:val="0"/>
                <w:sz w:val="15"/>
                <w:szCs w:val="15"/>
              </w:rPr>
              <w:t>避免</w:t>
            </w:r>
            <w:r>
              <w:rPr>
                <w:rFonts w:eastAsiaTheme="minorEastAsia" w:cs="Times New Roman"/>
                <w:kern w:val="0"/>
                <w:sz w:val="15"/>
                <w:szCs w:val="15"/>
              </w:rPr>
              <w:t>对水环境造成影响。</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r w:rsidR="00A46452">
        <w:trPr>
          <w:jc w:val="center"/>
        </w:trPr>
        <w:tc>
          <w:tcPr>
            <w:tcW w:w="3863"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开展多层次公众调查，重视耕地保护问题。</w:t>
            </w:r>
          </w:p>
        </w:tc>
        <w:tc>
          <w:tcPr>
            <w:tcW w:w="3760" w:type="dxa"/>
          </w:tcPr>
          <w:p w:rsidR="00A46452" w:rsidRDefault="009A3928">
            <w:pPr>
              <w:wordWrap w:val="0"/>
              <w:topLinePunct/>
              <w:adjustRightInd w:val="0"/>
              <w:snapToGrid w:val="0"/>
              <w:spacing w:line="240" w:lineRule="exact"/>
              <w:ind w:firstLineChars="0" w:firstLine="0"/>
              <w:jc w:val="left"/>
              <w:rPr>
                <w:rFonts w:eastAsiaTheme="minorEastAsia" w:cs="Times New Roman"/>
                <w:kern w:val="0"/>
                <w:sz w:val="15"/>
                <w:szCs w:val="15"/>
              </w:rPr>
            </w:pPr>
            <w:r>
              <w:rPr>
                <w:rFonts w:eastAsiaTheme="minorEastAsia" w:cs="Times New Roman"/>
                <w:kern w:val="0"/>
                <w:sz w:val="15"/>
                <w:szCs w:val="15"/>
              </w:rPr>
              <w:t>本项目环评期间按照相关要求开展了公参调查，形式包括网站、日报及项目现场张贴公示，公示期间未收到有关本项目环评的反馈意见。</w:t>
            </w:r>
          </w:p>
        </w:tc>
        <w:tc>
          <w:tcPr>
            <w:tcW w:w="679" w:type="dxa"/>
          </w:tcPr>
          <w:p w:rsidR="00A46452" w:rsidRDefault="009A3928">
            <w:pPr>
              <w:wordWrap w:val="0"/>
              <w:topLinePunct/>
              <w:adjustRightInd w:val="0"/>
              <w:snapToGrid w:val="0"/>
              <w:spacing w:line="240" w:lineRule="exact"/>
              <w:ind w:firstLineChars="0" w:firstLine="0"/>
              <w:rPr>
                <w:rFonts w:eastAsiaTheme="minorEastAsia" w:cs="Times New Roman"/>
                <w:sz w:val="15"/>
                <w:szCs w:val="15"/>
              </w:rPr>
            </w:pPr>
            <w:r>
              <w:rPr>
                <w:rFonts w:eastAsiaTheme="minorEastAsia" w:cs="Times New Roman"/>
                <w:sz w:val="15"/>
                <w:szCs w:val="15"/>
              </w:rPr>
              <w:t>符合</w:t>
            </w:r>
          </w:p>
        </w:tc>
      </w:tr>
    </w:tbl>
    <w:p w:rsidR="00A46452" w:rsidRDefault="009A3928" w:rsidP="00182EED">
      <w:pPr>
        <w:wordWrap w:val="0"/>
        <w:topLinePunct/>
        <w:adjustRightInd w:val="0"/>
        <w:snapToGrid w:val="0"/>
        <w:spacing w:beforeLines="50" w:before="165"/>
        <w:ind w:firstLine="480"/>
        <w:rPr>
          <w:rFonts w:cs="Times New Roman"/>
        </w:rPr>
      </w:pPr>
      <w:r>
        <w:rPr>
          <w:rFonts w:cs="Times New Roman"/>
        </w:rPr>
        <w:t>综上所述，项目的建设与《国家公路网规划（</w:t>
      </w:r>
      <w:r>
        <w:rPr>
          <w:rFonts w:cs="Times New Roman"/>
        </w:rPr>
        <w:t>2013</w:t>
      </w:r>
      <w:r>
        <w:rPr>
          <w:rFonts w:cs="Times New Roman"/>
        </w:rPr>
        <w:t>年</w:t>
      </w:r>
      <w:r>
        <w:rPr>
          <w:rFonts w:cs="Times New Roman"/>
        </w:rPr>
        <w:t>-</w:t>
      </w:r>
      <w:r>
        <w:rPr>
          <w:rFonts w:cs="Times New Roman"/>
        </w:rPr>
        <w:t>2030</w:t>
      </w:r>
      <w:r>
        <w:rPr>
          <w:rFonts w:cs="Times New Roman"/>
        </w:rPr>
        <w:t>年）》及规划环评报告书和审查的相关要求相符。</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2</w:t>
      </w:r>
      <w:r>
        <w:rPr>
          <w:rFonts w:cs="Times New Roman"/>
          <w:b/>
        </w:rPr>
        <w:t>）与《新疆维吾尔自治区</w:t>
      </w:r>
      <w:r>
        <w:rPr>
          <w:rFonts w:cs="Times New Roman"/>
          <w:b/>
        </w:rPr>
        <w:t>“</w:t>
      </w:r>
      <w:r>
        <w:rPr>
          <w:rFonts w:cs="Times New Roman"/>
          <w:b/>
        </w:rPr>
        <w:t>十四五</w:t>
      </w:r>
      <w:r>
        <w:rPr>
          <w:rFonts w:cs="Times New Roman"/>
          <w:b/>
        </w:rPr>
        <w:t>”</w:t>
      </w:r>
      <w:r>
        <w:rPr>
          <w:rFonts w:cs="Times New Roman"/>
          <w:b/>
        </w:rPr>
        <w:t>交通运输发展规划》符合性分析</w:t>
      </w:r>
    </w:p>
    <w:p w:rsidR="00A46452" w:rsidRDefault="009A3928">
      <w:pPr>
        <w:wordWrap w:val="0"/>
        <w:topLinePunct/>
        <w:adjustRightInd w:val="0"/>
        <w:snapToGrid w:val="0"/>
        <w:ind w:firstLine="480"/>
        <w:rPr>
          <w:rFonts w:cs="Times New Roman"/>
        </w:rPr>
      </w:pPr>
      <w:r>
        <w:rPr>
          <w:rFonts w:cs="Times New Roman"/>
        </w:rPr>
        <w:t>根据《新疆维吾尔自治区</w:t>
      </w:r>
      <w:r>
        <w:rPr>
          <w:rFonts w:cs="Times New Roman"/>
        </w:rPr>
        <w:t>“</w:t>
      </w:r>
      <w:r>
        <w:rPr>
          <w:rFonts w:cs="Times New Roman"/>
        </w:rPr>
        <w:t>十四五</w:t>
      </w:r>
      <w:r>
        <w:rPr>
          <w:rFonts w:cs="Times New Roman"/>
        </w:rPr>
        <w:t>”</w:t>
      </w:r>
      <w:r>
        <w:rPr>
          <w:rFonts w:cs="Times New Roman"/>
        </w:rPr>
        <w:t>交通运输发展规划》重点任务中提出：</w:t>
      </w:r>
      <w:r>
        <w:rPr>
          <w:rFonts w:cs="Times New Roman"/>
        </w:rPr>
        <w:t>“</w:t>
      </w:r>
      <w:r>
        <w:rPr>
          <w:rFonts w:cs="Times New Roman"/>
        </w:rPr>
        <w:t>加快形成完善的干线公路网。加快低等级路段升级改造。全面推进普通国道待贯通路段建设。以南疆地区</w:t>
      </w:r>
      <w:r>
        <w:rPr>
          <w:rFonts w:cs="Times New Roman"/>
        </w:rPr>
        <w:t>G216</w:t>
      </w:r>
      <w:r>
        <w:rPr>
          <w:rFonts w:cs="Times New Roman"/>
        </w:rPr>
        <w:t>、</w:t>
      </w:r>
      <w:r>
        <w:rPr>
          <w:rFonts w:cs="Times New Roman"/>
        </w:rPr>
        <w:t>G217</w:t>
      </w:r>
      <w:r>
        <w:rPr>
          <w:rFonts w:cs="Times New Roman"/>
        </w:rPr>
        <w:t>等低等级线路为重点，加强普通国省道低等级路段改造力度，着力提升普通国省道公路技术等级和服务能力。提升普通干线公路服务功能</w:t>
      </w:r>
      <w:r>
        <w:rPr>
          <w:rFonts w:cs="Times New Roman"/>
        </w:rPr>
        <w:t>”</w:t>
      </w:r>
      <w:r>
        <w:rPr>
          <w:rFonts w:cs="Times New Roman"/>
        </w:rPr>
        <w:t>。</w:t>
      </w:r>
      <w:r>
        <w:rPr>
          <w:rFonts w:cs="Times New Roman"/>
        </w:rPr>
        <w:t>“</w:t>
      </w:r>
      <w:r>
        <w:rPr>
          <w:rFonts w:cs="Times New Roman"/>
        </w:rPr>
        <w:t>推动兵地融合发展，加快建设一批连接自治区县市、乡镇与周边兵团城市、团场的道路建设。</w:t>
      </w:r>
      <w:r>
        <w:rPr>
          <w:rFonts w:cs="Times New Roman"/>
        </w:rPr>
        <w:t>”“</w:t>
      </w:r>
      <w:r>
        <w:rPr>
          <w:rFonts w:cs="Times New Roman"/>
        </w:rPr>
        <w:t>维护稳定和安全应急。推动兵地交通融合发展。完善兵地交通运输发展沟通协商与统筹协调机制，提升自治区与兵团路网的互联互通水平，着力实现自治区与兵团重大交通基础设施项目的规划同图、建设同步、运行同</w:t>
      </w:r>
      <w:r>
        <w:rPr>
          <w:rFonts w:cs="Times New Roman"/>
        </w:rPr>
        <w:t>网，深化自治区与兵团协调合作，全面支持兵团向南发展。</w:t>
      </w:r>
      <w:r>
        <w:rPr>
          <w:rFonts w:cs="Times New Roman"/>
        </w:rPr>
        <w:t>”</w:t>
      </w:r>
    </w:p>
    <w:p w:rsidR="00A46452" w:rsidRDefault="009A3928" w:rsidP="00182EED">
      <w:pPr>
        <w:wordWrap w:val="0"/>
        <w:topLinePunct/>
        <w:adjustRightInd w:val="0"/>
        <w:snapToGrid w:val="0"/>
        <w:ind w:firstLine="480"/>
        <w:jc w:val="left"/>
        <w:rPr>
          <w:rFonts w:cs="Times New Roman"/>
        </w:rPr>
      </w:pPr>
      <w:r>
        <w:rPr>
          <w:rFonts w:cs="Times New Roman"/>
        </w:rPr>
        <w:t>本项目</w:t>
      </w:r>
      <w:r>
        <w:rPr>
          <w:rFonts w:cs="Times New Roman"/>
          <w:kern w:val="0"/>
          <w:szCs w:val="24"/>
          <w:lang w:bidi="ar"/>
        </w:rPr>
        <w:t>将构建形成南疆南北大通道：别迭里口岸</w:t>
      </w:r>
      <w:r>
        <w:rPr>
          <w:rFonts w:cs="Times New Roman"/>
          <w:kern w:val="0"/>
          <w:szCs w:val="24"/>
          <w:lang w:bidi="ar"/>
        </w:rPr>
        <w:t>－</w:t>
      </w:r>
      <w:r>
        <w:rPr>
          <w:rFonts w:cs="Times New Roman"/>
          <w:kern w:val="0"/>
          <w:szCs w:val="24"/>
          <w:lang w:bidi="ar"/>
        </w:rPr>
        <w:t>乌什县（</w:t>
      </w:r>
      <w:r>
        <w:rPr>
          <w:rFonts w:cs="Times New Roman"/>
          <w:kern w:val="0"/>
          <w:szCs w:val="24"/>
          <w:lang w:bidi="ar"/>
        </w:rPr>
        <w:t>G219</w:t>
      </w:r>
      <w:r>
        <w:rPr>
          <w:rFonts w:cs="Times New Roman"/>
          <w:kern w:val="0"/>
          <w:szCs w:val="24"/>
          <w:lang w:bidi="ar"/>
        </w:rPr>
        <w:t>）</w:t>
      </w:r>
      <w:r>
        <w:rPr>
          <w:rFonts w:cs="Times New Roman"/>
          <w:kern w:val="0"/>
          <w:szCs w:val="24"/>
          <w:lang w:bidi="ar"/>
        </w:rPr>
        <w:t>－</w:t>
      </w:r>
      <w:r>
        <w:rPr>
          <w:rFonts w:cs="Times New Roman"/>
          <w:kern w:val="0"/>
          <w:szCs w:val="24"/>
          <w:lang w:bidi="ar"/>
        </w:rPr>
        <w:t>阿克苏地区柯坪县（</w:t>
      </w:r>
      <w:r>
        <w:rPr>
          <w:rFonts w:cs="Times New Roman"/>
          <w:kern w:val="0"/>
          <w:szCs w:val="24"/>
          <w:lang w:bidi="ar"/>
        </w:rPr>
        <w:t>G3012</w:t>
      </w:r>
      <w:r>
        <w:rPr>
          <w:rFonts w:cs="Times New Roman"/>
          <w:kern w:val="0"/>
          <w:szCs w:val="24"/>
          <w:lang w:bidi="ar"/>
        </w:rPr>
        <w:t>、</w:t>
      </w:r>
      <w:r>
        <w:rPr>
          <w:rFonts w:cs="Times New Roman"/>
          <w:kern w:val="0"/>
          <w:szCs w:val="24"/>
          <w:lang w:bidi="ar"/>
        </w:rPr>
        <w:t>G314</w:t>
      </w:r>
      <w:r>
        <w:rPr>
          <w:rFonts w:cs="Times New Roman"/>
          <w:kern w:val="0"/>
          <w:szCs w:val="24"/>
          <w:lang w:bidi="ar"/>
        </w:rPr>
        <w:t>）</w:t>
      </w:r>
      <w:r>
        <w:rPr>
          <w:rFonts w:cs="Times New Roman"/>
          <w:kern w:val="0"/>
          <w:szCs w:val="24"/>
          <w:lang w:bidi="ar"/>
        </w:rPr>
        <w:t>－</w:t>
      </w:r>
      <w:r>
        <w:rPr>
          <w:rFonts w:cs="Times New Roman"/>
          <w:kern w:val="0"/>
          <w:szCs w:val="24"/>
          <w:lang w:bidi="ar"/>
        </w:rPr>
        <w:t>第三师图木舒克市（</w:t>
      </w:r>
      <w:r>
        <w:rPr>
          <w:rFonts w:cs="Times New Roman"/>
          <w:kern w:val="0"/>
          <w:szCs w:val="24"/>
          <w:lang w:bidi="ar"/>
        </w:rPr>
        <w:t>G217</w:t>
      </w:r>
      <w:r>
        <w:rPr>
          <w:rFonts w:cs="Times New Roman"/>
          <w:kern w:val="0"/>
          <w:szCs w:val="24"/>
          <w:lang w:bidi="ar"/>
        </w:rPr>
        <w:t>）</w:t>
      </w:r>
      <w:r>
        <w:rPr>
          <w:rFonts w:cs="Times New Roman"/>
          <w:kern w:val="0"/>
          <w:szCs w:val="24"/>
          <w:lang w:bidi="ar"/>
        </w:rPr>
        <w:t>－</w:t>
      </w:r>
      <w:r>
        <w:rPr>
          <w:rFonts w:cs="Times New Roman"/>
          <w:kern w:val="0"/>
          <w:szCs w:val="24"/>
          <w:lang w:bidi="ar"/>
        </w:rPr>
        <w:t>第十四师昆玉市、</w:t>
      </w:r>
      <w:r>
        <w:rPr>
          <w:rFonts w:cs="Times New Roman"/>
          <w:kern w:val="0"/>
          <w:szCs w:val="24"/>
          <w:lang w:bidi="ar"/>
        </w:rPr>
        <w:t>224</w:t>
      </w:r>
      <w:r>
        <w:rPr>
          <w:rFonts w:cs="Times New Roman"/>
          <w:kern w:val="0"/>
          <w:szCs w:val="24"/>
          <w:lang w:bidi="ar"/>
        </w:rPr>
        <w:t>团（</w:t>
      </w:r>
      <w:r>
        <w:rPr>
          <w:rFonts w:cs="Times New Roman"/>
          <w:kern w:val="0"/>
          <w:szCs w:val="24"/>
          <w:lang w:bidi="ar"/>
        </w:rPr>
        <w:t>G315</w:t>
      </w:r>
      <w:r>
        <w:rPr>
          <w:rFonts w:cs="Times New Roman"/>
          <w:kern w:val="0"/>
          <w:szCs w:val="24"/>
          <w:lang w:bidi="ar"/>
        </w:rPr>
        <w:t>、</w:t>
      </w:r>
      <w:r>
        <w:rPr>
          <w:rFonts w:cs="Times New Roman"/>
          <w:kern w:val="0"/>
          <w:szCs w:val="24"/>
          <w:lang w:bidi="ar"/>
        </w:rPr>
        <w:t>G3012</w:t>
      </w:r>
      <w:r>
        <w:rPr>
          <w:rFonts w:cs="Times New Roman"/>
          <w:kern w:val="0"/>
          <w:szCs w:val="24"/>
          <w:lang w:bidi="ar"/>
        </w:rPr>
        <w:t>），并将</w:t>
      </w:r>
      <w:r>
        <w:rPr>
          <w:rFonts w:cs="Times New Roman"/>
          <w:kern w:val="0"/>
          <w:szCs w:val="24"/>
          <w:lang w:bidi="ar"/>
        </w:rPr>
        <w:t>G3012</w:t>
      </w:r>
      <w:r>
        <w:rPr>
          <w:rFonts w:cs="Times New Roman"/>
          <w:kern w:val="0"/>
          <w:szCs w:val="24"/>
          <w:lang w:bidi="ar"/>
        </w:rPr>
        <w:t>、</w:t>
      </w:r>
      <w:r>
        <w:rPr>
          <w:rFonts w:cs="Times New Roman"/>
          <w:kern w:val="0"/>
          <w:szCs w:val="24"/>
          <w:lang w:bidi="ar"/>
        </w:rPr>
        <w:t>G217</w:t>
      </w:r>
      <w:r>
        <w:rPr>
          <w:rFonts w:cs="Times New Roman"/>
          <w:kern w:val="0"/>
          <w:szCs w:val="24"/>
          <w:lang w:bidi="ar"/>
        </w:rPr>
        <w:t>、</w:t>
      </w:r>
      <w:r>
        <w:rPr>
          <w:rFonts w:cs="Times New Roman"/>
          <w:kern w:val="0"/>
          <w:szCs w:val="24"/>
          <w:lang w:bidi="ar"/>
        </w:rPr>
        <w:t>G314</w:t>
      </w:r>
      <w:r>
        <w:rPr>
          <w:rFonts w:cs="Times New Roman"/>
          <w:kern w:val="0"/>
          <w:szCs w:val="24"/>
          <w:lang w:bidi="ar"/>
        </w:rPr>
        <w:t>、</w:t>
      </w:r>
      <w:r>
        <w:rPr>
          <w:rFonts w:cs="Times New Roman"/>
          <w:kern w:val="0"/>
          <w:szCs w:val="24"/>
          <w:lang w:bidi="ar"/>
        </w:rPr>
        <w:t>G219</w:t>
      </w:r>
      <w:r>
        <w:rPr>
          <w:rFonts w:cs="Times New Roman"/>
          <w:kern w:val="0"/>
          <w:szCs w:val="24"/>
          <w:lang w:bidi="ar"/>
        </w:rPr>
        <w:t>等南疆东西向干线公路有机连接，构建形成直连高接高、路网互联互通的格局，进一步完善兵团南疆骨架公路网。</w:t>
      </w:r>
      <w:r>
        <w:rPr>
          <w:rFonts w:cs="Times New Roman"/>
        </w:rPr>
        <w:t>因此，本项目建设符合《新疆维吾尔自治区</w:t>
      </w:r>
      <w:r>
        <w:rPr>
          <w:rFonts w:cs="Times New Roman"/>
        </w:rPr>
        <w:t>“</w:t>
      </w:r>
      <w:r>
        <w:rPr>
          <w:rFonts w:cs="Times New Roman"/>
        </w:rPr>
        <w:t>十四五</w:t>
      </w:r>
      <w:r>
        <w:rPr>
          <w:rFonts w:cs="Times New Roman"/>
        </w:rPr>
        <w:t>”</w:t>
      </w:r>
      <w:r>
        <w:rPr>
          <w:rFonts w:cs="Times New Roman"/>
        </w:rPr>
        <w:t>交通运输发展规划》。</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3</w:t>
      </w:r>
      <w:r>
        <w:rPr>
          <w:rFonts w:cs="Times New Roman"/>
          <w:b/>
        </w:rPr>
        <w:t>）与《新疆维吾尔自治区</w:t>
      </w:r>
      <w:r>
        <w:rPr>
          <w:rFonts w:cs="Times New Roman"/>
          <w:b/>
        </w:rPr>
        <w:t>“</w:t>
      </w:r>
      <w:r>
        <w:rPr>
          <w:rFonts w:cs="Times New Roman"/>
          <w:b/>
        </w:rPr>
        <w:t>十四五</w:t>
      </w:r>
      <w:r>
        <w:rPr>
          <w:rFonts w:cs="Times New Roman"/>
          <w:b/>
        </w:rPr>
        <w:t>”</w:t>
      </w:r>
      <w:r>
        <w:rPr>
          <w:rFonts w:cs="Times New Roman"/>
          <w:b/>
        </w:rPr>
        <w:t>综合交通运输发展规划》及规划环评的符合性分析</w:t>
      </w:r>
    </w:p>
    <w:p w:rsidR="00A46452" w:rsidRDefault="009A3928">
      <w:pPr>
        <w:wordWrap w:val="0"/>
        <w:topLinePunct/>
        <w:adjustRightInd w:val="0"/>
        <w:snapToGrid w:val="0"/>
        <w:ind w:firstLine="480"/>
        <w:rPr>
          <w:rFonts w:cs="Times New Roman"/>
        </w:rPr>
      </w:pPr>
      <w:r>
        <w:rPr>
          <w:rFonts w:cs="Times New Roman"/>
        </w:rPr>
        <w:t>1</w:t>
      </w:r>
      <w:r>
        <w:rPr>
          <w:rFonts w:cs="Times New Roman"/>
        </w:rPr>
        <w:t>）与《新疆维吾尔自治区</w:t>
      </w:r>
      <w:r>
        <w:rPr>
          <w:rFonts w:cs="Times New Roman"/>
        </w:rPr>
        <w:t>“</w:t>
      </w:r>
      <w:r>
        <w:rPr>
          <w:rFonts w:cs="Times New Roman"/>
        </w:rPr>
        <w:t>十四五</w:t>
      </w:r>
      <w:r>
        <w:rPr>
          <w:rFonts w:cs="Times New Roman"/>
        </w:rPr>
        <w:t>”</w:t>
      </w:r>
      <w:r>
        <w:rPr>
          <w:rFonts w:cs="Times New Roman"/>
        </w:rPr>
        <w:t>综合交通运输发展规划》的符合性分析</w:t>
      </w:r>
    </w:p>
    <w:p w:rsidR="00A46452" w:rsidRDefault="009A3928">
      <w:pPr>
        <w:wordWrap w:val="0"/>
        <w:topLinePunct/>
        <w:adjustRightInd w:val="0"/>
        <w:snapToGrid w:val="0"/>
        <w:ind w:firstLine="480"/>
        <w:rPr>
          <w:rFonts w:cs="Times New Roman"/>
        </w:rPr>
      </w:pPr>
      <w:r>
        <w:rPr>
          <w:rFonts w:cs="Times New Roman"/>
        </w:rPr>
        <w:t>根据《新疆维吾尔自治区</w:t>
      </w:r>
      <w:r>
        <w:rPr>
          <w:rFonts w:cs="Times New Roman"/>
        </w:rPr>
        <w:t>“</w:t>
      </w:r>
      <w:r>
        <w:rPr>
          <w:rFonts w:cs="Times New Roman"/>
        </w:rPr>
        <w:t>十四五</w:t>
      </w:r>
      <w:r>
        <w:rPr>
          <w:rFonts w:cs="Times New Roman"/>
        </w:rPr>
        <w:t>”</w:t>
      </w:r>
      <w:r>
        <w:rPr>
          <w:rFonts w:cs="Times New Roman"/>
        </w:rPr>
        <w:t>综合</w:t>
      </w:r>
      <w:r>
        <w:rPr>
          <w:rFonts w:cs="Times New Roman"/>
        </w:rPr>
        <w:t>交通运输发展规划》重点任务中提出：</w:t>
      </w:r>
      <w:r>
        <w:rPr>
          <w:rFonts w:cs="Times New Roman"/>
        </w:rPr>
        <w:t>“</w:t>
      </w:r>
      <w:r>
        <w:rPr>
          <w:rFonts w:cs="Times New Roman"/>
        </w:rPr>
        <w:t>加快形成完善的干线公路网。提升普通干线公路服务功能。适应新疆经济建设、对外开放、旅游开发及城镇化发展的要求，加快建设一批连接口岸、交通枢纽、旅游景区、产业园区的国省道项目，实现</w:t>
      </w:r>
      <w:r>
        <w:rPr>
          <w:rFonts w:cs="Times New Roman"/>
        </w:rPr>
        <w:t>5A</w:t>
      </w:r>
      <w:r>
        <w:rPr>
          <w:rFonts w:cs="Times New Roman"/>
        </w:rPr>
        <w:t>级景区高速（一级）公路连接，重点乡镇、重要园区及</w:t>
      </w:r>
      <w:r>
        <w:rPr>
          <w:rFonts w:cs="Times New Roman"/>
        </w:rPr>
        <w:t>3A</w:t>
      </w:r>
      <w:r>
        <w:rPr>
          <w:rFonts w:cs="Times New Roman"/>
        </w:rPr>
        <w:t>级及以上旅游景区三级及以上公路覆盖。推动军民融合发展，加快推进国防战略战役通道建设，提高战略</w:t>
      </w:r>
      <w:r>
        <w:rPr>
          <w:rFonts w:cs="Times New Roman"/>
        </w:rPr>
        <w:t>投送支援能力。推动兵地融合发展，加快建设一批连接自治区县市、乡镇与周边兵团城市、团场的道路建设。</w:t>
      </w:r>
      <w:r>
        <w:rPr>
          <w:rFonts w:cs="Times New Roman"/>
        </w:rPr>
        <w:t>”“</w:t>
      </w:r>
      <w:r>
        <w:rPr>
          <w:rFonts w:cs="Times New Roman"/>
        </w:rPr>
        <w:t>维护稳定和安全应急。推动兵地交通融合发展。完善兵地交通运输发展沟通协商与统筹协调机制，提升自治区与兵团路网的互联互通水平，着力实现自治区与兵团重大交通基础设施项目的规划同图、建设同步、运行同网，深化自治区与兵团协调合作，全面支持兵团向南发展。</w:t>
      </w:r>
      <w:r>
        <w:rPr>
          <w:rFonts w:cs="Times New Roman"/>
        </w:rPr>
        <w:t>”</w:t>
      </w:r>
    </w:p>
    <w:p w:rsidR="00A46452" w:rsidRDefault="009A3928">
      <w:pPr>
        <w:wordWrap w:val="0"/>
        <w:topLinePunct/>
        <w:adjustRightInd w:val="0"/>
        <w:snapToGrid w:val="0"/>
        <w:ind w:firstLine="480"/>
        <w:rPr>
          <w:rFonts w:cs="Times New Roman"/>
        </w:rPr>
      </w:pPr>
      <w:r>
        <w:rPr>
          <w:rFonts w:cs="Times New Roman"/>
          <w:kern w:val="0"/>
          <w:szCs w:val="24"/>
          <w:lang w:bidi="ar"/>
        </w:rPr>
        <w:t>本项目连接图木舒克市、阿克苏地区柯坪县，是联系兵团与地方城市的直达通道，是发挥兵团特殊作用、促进兵地融合发展的快速通道，将地方与兵团城市连接，对于新型城镇化建设及全产</w:t>
      </w:r>
      <w:r>
        <w:rPr>
          <w:rFonts w:cs="Times New Roman"/>
          <w:kern w:val="0"/>
          <w:szCs w:val="24"/>
          <w:lang w:bidi="ar"/>
        </w:rPr>
        <w:t>业链布局有重大意义。</w:t>
      </w:r>
      <w:r>
        <w:rPr>
          <w:rFonts w:cs="Times New Roman"/>
        </w:rPr>
        <w:t>该项目的建设必将</w:t>
      </w:r>
      <w:r>
        <w:rPr>
          <w:rFonts w:cs="Times New Roman"/>
        </w:rPr>
        <w:t>有力地</w:t>
      </w:r>
      <w:r>
        <w:rPr>
          <w:rFonts w:cs="Times New Roman"/>
        </w:rPr>
        <w:t>带动区域互联互通的商贸关系，促进兵地融合发展，实现兵团与自治区交通运输发展的同步规划、同步建设、同步受益公路建设对加强垦区之间的联系，促进</w:t>
      </w:r>
      <w:r>
        <w:rPr>
          <w:rFonts w:cs="Times New Roman"/>
        </w:rPr>
        <w:t>项目所</w:t>
      </w:r>
      <w:r>
        <w:rPr>
          <w:rFonts w:cs="Times New Roman"/>
        </w:rPr>
        <w:t>经济快速发展是十分必要的，该公路的修建对改善区域交通运输条件，促进兵地融合具有重要的意义。因此，本项目建设符合《新疆维吾尔自治区</w:t>
      </w:r>
      <w:r>
        <w:rPr>
          <w:rFonts w:cs="Times New Roman"/>
        </w:rPr>
        <w:t>“</w:t>
      </w:r>
      <w:r>
        <w:rPr>
          <w:rFonts w:cs="Times New Roman"/>
        </w:rPr>
        <w:t>十四五</w:t>
      </w:r>
      <w:r>
        <w:rPr>
          <w:rFonts w:cs="Times New Roman"/>
        </w:rPr>
        <w:t>”</w:t>
      </w:r>
      <w:r>
        <w:rPr>
          <w:rFonts w:cs="Times New Roman"/>
        </w:rPr>
        <w:t>综合</w:t>
      </w:r>
      <w:r>
        <w:rPr>
          <w:rFonts w:cs="Times New Roman"/>
        </w:rPr>
        <w:t>交通运输发展规划》。</w:t>
      </w:r>
    </w:p>
    <w:p w:rsidR="00A46452" w:rsidRDefault="009A3928">
      <w:pPr>
        <w:wordWrap w:val="0"/>
        <w:topLinePunct/>
        <w:adjustRightInd w:val="0"/>
        <w:snapToGrid w:val="0"/>
        <w:ind w:firstLine="480"/>
        <w:rPr>
          <w:rFonts w:cs="Times New Roman"/>
        </w:rPr>
      </w:pPr>
      <w:r>
        <w:rPr>
          <w:rFonts w:cs="Times New Roman"/>
        </w:rPr>
        <w:t>2</w:t>
      </w:r>
      <w:r>
        <w:rPr>
          <w:rFonts w:cs="Times New Roman"/>
        </w:rPr>
        <w:t>）与《新疆维吾尔自治区</w:t>
      </w:r>
      <w:r>
        <w:rPr>
          <w:rFonts w:cs="Times New Roman"/>
        </w:rPr>
        <w:t>“</w:t>
      </w:r>
      <w:r>
        <w:rPr>
          <w:rFonts w:cs="Times New Roman"/>
        </w:rPr>
        <w:t>十四五</w:t>
      </w:r>
      <w:r>
        <w:rPr>
          <w:rFonts w:cs="Times New Roman"/>
        </w:rPr>
        <w:t>”</w:t>
      </w:r>
      <w:r>
        <w:rPr>
          <w:rFonts w:cs="Times New Roman"/>
        </w:rPr>
        <w:t>综合交通规划环评》的符合性分析</w:t>
      </w:r>
    </w:p>
    <w:p w:rsidR="00A46452" w:rsidRDefault="009A3928">
      <w:pPr>
        <w:wordWrap w:val="0"/>
        <w:topLinePunct/>
        <w:adjustRightInd w:val="0"/>
        <w:snapToGrid w:val="0"/>
        <w:ind w:firstLine="480"/>
        <w:rPr>
          <w:rFonts w:cs="Times New Roman"/>
        </w:rPr>
      </w:pPr>
      <w:r>
        <w:rPr>
          <w:rFonts w:cs="Times New Roman"/>
        </w:rPr>
        <w:t>根据《新疆维吾尔自治区</w:t>
      </w:r>
      <w:r>
        <w:rPr>
          <w:rFonts w:cs="Times New Roman"/>
        </w:rPr>
        <w:t>“</w:t>
      </w:r>
      <w:r>
        <w:rPr>
          <w:rFonts w:cs="Times New Roman"/>
        </w:rPr>
        <w:t>十四五</w:t>
      </w:r>
      <w:r>
        <w:rPr>
          <w:rFonts w:cs="Times New Roman"/>
        </w:rPr>
        <w:t>”</w:t>
      </w:r>
      <w:r>
        <w:rPr>
          <w:rFonts w:cs="Times New Roman"/>
        </w:rPr>
        <w:t>综合交通规划环境影响报告书》，该规划环境影响评价中提出：</w:t>
      </w:r>
    </w:p>
    <w:p w:rsidR="00A46452" w:rsidRDefault="009A3928">
      <w:pPr>
        <w:wordWrap w:val="0"/>
        <w:topLinePunct/>
        <w:adjustRightInd w:val="0"/>
        <w:snapToGrid w:val="0"/>
        <w:ind w:firstLine="480"/>
        <w:rPr>
          <w:rFonts w:cs="Times New Roman"/>
        </w:rPr>
      </w:pPr>
      <w:r>
        <w:rPr>
          <w:rFonts w:cs="Times New Roman"/>
        </w:rPr>
        <w:t>农业生</w:t>
      </w:r>
      <w:r>
        <w:rPr>
          <w:rFonts w:cs="Times New Roman"/>
        </w:rPr>
        <w:t>态系统：新疆</w:t>
      </w:r>
      <w:r>
        <w:rPr>
          <w:rFonts w:cs="Times New Roman"/>
        </w:rPr>
        <w:t>“</w:t>
      </w:r>
      <w:r>
        <w:rPr>
          <w:rFonts w:cs="Times New Roman"/>
        </w:rPr>
        <w:t>十四五</w:t>
      </w:r>
      <w:r>
        <w:rPr>
          <w:rFonts w:cs="Times New Roman"/>
        </w:rPr>
        <w:t>”</w:t>
      </w:r>
      <w:r>
        <w:rPr>
          <w:rFonts w:cs="Times New Roman"/>
        </w:rPr>
        <w:t>综合交通规划对农业的影响主要体现在耕地尤其是基本农田的占用，规划项目占地将造成区域内农业减产，造成农业损失。本次规划实施过程中，公路建设项目路线应尽量避开基本农田和一般耕地，对确实难以避让的耕地应做好占补平衡，对基本农田应报送国务院审批，做好占一补一，占补平衡。因此，采取相应措施后，对农业生态系统的影响较小。</w:t>
      </w:r>
    </w:p>
    <w:p w:rsidR="00A46452" w:rsidRDefault="009A3928">
      <w:pPr>
        <w:wordWrap w:val="0"/>
        <w:topLinePunct/>
        <w:adjustRightInd w:val="0"/>
        <w:snapToGrid w:val="0"/>
        <w:ind w:firstLine="480"/>
        <w:rPr>
          <w:rFonts w:cs="Times New Roman"/>
        </w:rPr>
      </w:pPr>
      <w:r>
        <w:rPr>
          <w:rFonts w:cs="Times New Roman"/>
        </w:rPr>
        <w:t>水环境影响分析：跨越河流的公路、铁路在建设期间对水体水质产生一定的影响，桥梁施工中，产生的钻孔泥浆、挖孔废渣及围堰土都会对河流水质产生影响，造成水质的污染。临近河流的公路，在建设期间路段路基主体开挖形成松散坡面，或工程中的临时堆土、施工物料等，若不采取临时拦挡措施，经雨水冲刷进入河道，将会影响河流水体水质，甚至妨碍河道行洪。路基的填筑以及各种筑路材料如保管不善，被雨水冲刷而进入水体将会产生水环境污染。因此，在施工中应根据不同筑路材料和特点，有针对性</w:t>
      </w:r>
      <w:r>
        <w:rPr>
          <w:rFonts w:cs="Times New Roman"/>
        </w:rPr>
        <w:t>地</w:t>
      </w:r>
      <w:r>
        <w:rPr>
          <w:rFonts w:cs="Times New Roman"/>
        </w:rPr>
        <w:t>加强保护管理措施，尽量减小其对水环境的影响。</w:t>
      </w:r>
    </w:p>
    <w:p w:rsidR="00A46452" w:rsidRDefault="009A3928">
      <w:pPr>
        <w:wordWrap w:val="0"/>
        <w:topLinePunct/>
        <w:adjustRightInd w:val="0"/>
        <w:snapToGrid w:val="0"/>
        <w:ind w:firstLine="480"/>
        <w:rPr>
          <w:rFonts w:cs="Times New Roman"/>
        </w:rPr>
      </w:pPr>
      <w:r>
        <w:rPr>
          <w:rFonts w:cs="Times New Roman"/>
        </w:rPr>
        <w:t>声环境影响：</w:t>
      </w:r>
      <w:r>
        <w:rPr>
          <w:rFonts w:cs="Times New Roman"/>
        </w:rPr>
        <w:t>交通量较大的路段交通噪声影响较大，特别是夜间超标问题较突出，</w:t>
      </w:r>
      <w:r>
        <w:rPr>
          <w:rFonts w:cs="Times New Roman"/>
        </w:rPr>
        <w:t>其他</w:t>
      </w:r>
      <w:r>
        <w:rPr>
          <w:rFonts w:cs="Times New Roman"/>
        </w:rPr>
        <w:t>路段交通噪声影响相对较小。项目环评过程中，应该对这些路线走向进行重点关注，防止对沿线的特殊敏感点造成严重影响，并对噪声超标路段采取减缓措施。从目前噪声防治措施效果来看，交通噪声在采取相应降噪、隔声等措施后，噪声污染控制目标的可达性较好。</w:t>
      </w:r>
    </w:p>
    <w:p w:rsidR="00A46452" w:rsidRDefault="009A3928">
      <w:pPr>
        <w:wordWrap w:val="0"/>
        <w:topLinePunct/>
        <w:adjustRightInd w:val="0"/>
        <w:snapToGrid w:val="0"/>
        <w:ind w:firstLine="480"/>
        <w:rPr>
          <w:rFonts w:cs="Times New Roman"/>
        </w:rPr>
      </w:pPr>
      <w:r>
        <w:rPr>
          <w:rFonts w:cs="Times New Roman"/>
        </w:rPr>
        <w:t>拟建公路与该规划环评的符合性分析：</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本项目后续设计阶段合理布设施工站场、弃土场、施工便道等临时工程，弃土场设置为</w:t>
      </w:r>
      <w:r>
        <w:rPr>
          <w:rFonts w:cs="Times New Roman"/>
        </w:rPr>
        <w:t>3</w:t>
      </w:r>
      <w:r>
        <w:rPr>
          <w:rFonts w:cs="Times New Roman"/>
        </w:rPr>
        <w:t>个，取土</w:t>
      </w:r>
      <w:r>
        <w:rPr>
          <w:rFonts w:cs="Times New Roman"/>
        </w:rPr>
        <w:t>分</w:t>
      </w:r>
      <w:r>
        <w:rPr>
          <w:rFonts w:cs="Times New Roman"/>
        </w:rPr>
        <w:t>为外购</w:t>
      </w:r>
      <w:r>
        <w:rPr>
          <w:rFonts w:cs="Times New Roman"/>
        </w:rPr>
        <w:t>和自采</w:t>
      </w:r>
      <w:r>
        <w:rPr>
          <w:rFonts w:cs="Times New Roman"/>
        </w:rPr>
        <w:t>，减少临时占地，减少地表扰动和植被破坏；施</w:t>
      </w:r>
      <w:r>
        <w:rPr>
          <w:rFonts w:cs="Times New Roman"/>
        </w:rPr>
        <w:t>工阶段要求加强施工管理，严格控制施工区域，保护野生动植物的生存环境；施工结束后及时进行生态恢复，对于占用的耕地按照</w:t>
      </w:r>
      <w:r>
        <w:rPr>
          <w:rFonts w:cs="Times New Roman"/>
        </w:rPr>
        <w:t>“</w:t>
      </w:r>
      <w:r>
        <w:rPr>
          <w:rFonts w:cs="Times New Roman"/>
        </w:rPr>
        <w:t>占多少、垦多少</w:t>
      </w:r>
      <w:r>
        <w:rPr>
          <w:rFonts w:cs="Times New Roman"/>
        </w:rPr>
        <w:t>”</w:t>
      </w:r>
      <w:r>
        <w:rPr>
          <w:rFonts w:cs="Times New Roman"/>
        </w:rPr>
        <w:t>的原则进行补偿，建设</w:t>
      </w:r>
      <w:r>
        <w:rPr>
          <w:rFonts w:cs="Times New Roman"/>
        </w:rPr>
        <w:t>单位</w:t>
      </w:r>
      <w:r>
        <w:rPr>
          <w:rFonts w:cs="Times New Roman"/>
        </w:rPr>
        <w:t>已办理完成土地使用手续。</w:t>
      </w:r>
    </w:p>
    <w:p w:rsidR="00A46452" w:rsidRDefault="009A3928">
      <w:pPr>
        <w:wordWrap w:val="0"/>
        <w:topLinePunct/>
        <w:adjustRightInd w:val="0"/>
        <w:snapToGrid w:val="0"/>
        <w:ind w:firstLine="480"/>
        <w:rPr>
          <w:rFonts w:cs="Times New Roman"/>
        </w:rPr>
      </w:pPr>
      <w:r>
        <w:rPr>
          <w:rFonts w:cs="Times New Roman"/>
        </w:rPr>
        <w:t>本项目在选线阶段，尽可能优化临时工程设置方案，减少临时占地数量；施工阶段进一步加强施工管理，严格控制施工作业范围，不越界施工，尽量减少对一般耕地、农作物、荒漠植被的破坏影响；施工结束后及时进行生态恢复；进一步减轻项目施工对绿洲农业、城市、荒漠等生态系统的影响。</w:t>
      </w:r>
    </w:p>
    <w:p w:rsidR="00A46452" w:rsidRDefault="009A3928">
      <w:pPr>
        <w:wordWrap w:val="0"/>
        <w:topLinePunct/>
        <w:adjustRightInd w:val="0"/>
        <w:snapToGrid w:val="0"/>
        <w:ind w:firstLine="480"/>
        <w:rPr>
          <w:rFonts w:cs="Times New Roman"/>
        </w:rPr>
      </w:pPr>
      <w:r>
        <w:rPr>
          <w:rFonts w:cs="Times New Roman"/>
        </w:rPr>
        <w:t>针对地表水环境，通过优化桥梁设计，桥梁泥浆经沉淀后回用不外排，钻渣自</w:t>
      </w:r>
      <w:r>
        <w:rPr>
          <w:rFonts w:cs="Times New Roman"/>
        </w:rPr>
        <w:t>然干化后运至弃土场，桥梁预制场及搅拌站生产废水经处理后回用不外排，施工人员生活污水依托当地生活污水处理设施处置，对环境影响不大；建筑材料远离河道堆放。采取上述水污染防范措施后，对水环境的影响甚微。</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施工期间，沥青混凝土搅拌站、预制场和拌和站等临时场地合理选址，尽量远离村庄设置；拌合站粉尘、沥青烟等大气污染物采取相应措施后，均可达标排放。营运期加强道路维护，减少车辆尾气对环境空气的影响。</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cs="Times New Roman"/>
        </w:rPr>
        <w:t>③</w:t>
      </w:r>
      <w:r>
        <w:rPr>
          <w:rFonts w:cs="Times New Roman"/>
        </w:rPr>
        <w:fldChar w:fldCharType="end"/>
      </w:r>
      <w:r>
        <w:rPr>
          <w:rFonts w:cs="Times New Roman"/>
        </w:rPr>
        <w:t>在穿越水体路段设置警示牌，加强路线两侧防撞护栏的设计。</w:t>
      </w:r>
    </w:p>
    <w:p w:rsidR="00A46452" w:rsidRDefault="009A3928">
      <w:pPr>
        <w:wordWrap w:val="0"/>
        <w:topLinePunct/>
        <w:adjustRightInd w:val="0"/>
        <w:snapToGrid w:val="0"/>
        <w:ind w:firstLine="480"/>
        <w:rPr>
          <w:rFonts w:cs="Times New Roman"/>
        </w:rPr>
      </w:pPr>
      <w:r>
        <w:rPr>
          <w:rFonts w:cs="Times New Roman"/>
        </w:rPr>
        <w:fldChar w:fldCharType="begin"/>
      </w:r>
      <w:r>
        <w:rPr>
          <w:rFonts w:cs="Times New Roman"/>
        </w:rPr>
        <w:instrText xml:space="preserve"> </w:instrText>
      </w:r>
      <w:r>
        <w:rPr>
          <w:rFonts w:cs="Times New Roman"/>
        </w:rPr>
        <w:instrText xml:space="preserve">= 4 \* GB3 </w:instrText>
      </w:r>
      <w:r>
        <w:rPr>
          <w:rFonts w:cs="Times New Roman"/>
        </w:rPr>
        <w:fldChar w:fldCharType="separate"/>
      </w:r>
      <w:r>
        <w:rPr>
          <w:rFonts w:cs="Times New Roman"/>
        </w:rPr>
        <w:t>④</w:t>
      </w:r>
      <w:r>
        <w:rPr>
          <w:rFonts w:cs="Times New Roman"/>
        </w:rPr>
        <w:fldChar w:fldCharType="end"/>
      </w:r>
      <w:r>
        <w:rPr>
          <w:rFonts w:cs="Times New Roman"/>
        </w:rPr>
        <w:t>施工期间合理安排施工进度和时间，禁止夜间施工；营运期在声环境敏感点两端设置限速、禁鸣标志等，通过设置声屏障、隔声窗、实施环保搬迁可以有效控制交通噪声的污染；维持公路路面的平整度，避免因路况不佳造成车辆颠簸等引起交通噪声增大，并加强道路管理，制定定期跟踪监测计划，减少交通噪声对两侧环境的污染程度。</w:t>
      </w:r>
    </w:p>
    <w:p w:rsidR="00A46452" w:rsidRDefault="009A3928">
      <w:pPr>
        <w:wordWrap w:val="0"/>
        <w:topLinePunct/>
        <w:adjustRightInd w:val="0"/>
        <w:snapToGrid w:val="0"/>
        <w:ind w:firstLine="480"/>
        <w:rPr>
          <w:rFonts w:cs="Times New Roman"/>
        </w:rPr>
      </w:pPr>
      <w:r>
        <w:rPr>
          <w:rFonts w:cs="Times New Roman"/>
        </w:rPr>
        <w:t>综上所述，本项目路线方案满足《新疆维吾尔自治区</w:t>
      </w:r>
      <w:r>
        <w:rPr>
          <w:rFonts w:cs="Times New Roman"/>
        </w:rPr>
        <w:t>“</w:t>
      </w:r>
      <w:r>
        <w:rPr>
          <w:rFonts w:cs="Times New Roman"/>
        </w:rPr>
        <w:t>十四五</w:t>
      </w:r>
      <w:r>
        <w:rPr>
          <w:rFonts w:cs="Times New Roman"/>
        </w:rPr>
        <w:t>”</w:t>
      </w:r>
      <w:r>
        <w:rPr>
          <w:rFonts w:cs="Times New Roman"/>
        </w:rPr>
        <w:t>综合交通规划环境影响报告书》中相关环保要求，符合规划环评要求。</w:t>
      </w:r>
    </w:p>
    <w:p w:rsidR="00A46452" w:rsidRDefault="009A3928">
      <w:pPr>
        <w:wordWrap w:val="0"/>
        <w:topLinePunct/>
        <w:adjustRightInd w:val="0"/>
        <w:snapToGrid w:val="0"/>
        <w:ind w:firstLine="480"/>
        <w:rPr>
          <w:rFonts w:cs="Times New Roman"/>
        </w:rPr>
      </w:pPr>
      <w:r>
        <w:rPr>
          <w:rFonts w:cs="Times New Roman"/>
        </w:rPr>
        <w:t>3</w:t>
      </w:r>
      <w:r>
        <w:rPr>
          <w:rFonts w:cs="Times New Roman"/>
        </w:rPr>
        <w:t>）与《新疆维吾尔自治区</w:t>
      </w:r>
      <w:r>
        <w:rPr>
          <w:rFonts w:cs="Times New Roman"/>
        </w:rPr>
        <w:t>“</w:t>
      </w:r>
      <w:r>
        <w:rPr>
          <w:rFonts w:cs="Times New Roman"/>
        </w:rPr>
        <w:t>十四五</w:t>
      </w:r>
      <w:r>
        <w:rPr>
          <w:rFonts w:cs="Times New Roman"/>
        </w:rPr>
        <w:t>”</w:t>
      </w:r>
      <w:r>
        <w:rPr>
          <w:rFonts w:cs="Times New Roman"/>
        </w:rPr>
        <w:t>综合交通规划环境影响报告书》审</w:t>
      </w:r>
      <w:r>
        <w:rPr>
          <w:rFonts w:cs="Times New Roman"/>
        </w:rPr>
        <w:t>查意见符合性分析</w:t>
      </w:r>
    </w:p>
    <w:p w:rsidR="00A46452" w:rsidRDefault="009A3928">
      <w:pPr>
        <w:wordWrap w:val="0"/>
        <w:topLinePunct/>
        <w:adjustRightInd w:val="0"/>
        <w:snapToGrid w:val="0"/>
        <w:ind w:firstLine="480"/>
        <w:rPr>
          <w:rFonts w:cs="Times New Roman"/>
          <w:kern w:val="0"/>
          <w:szCs w:val="20"/>
        </w:rPr>
      </w:pPr>
      <w:r>
        <w:rPr>
          <w:rFonts w:cs="Times New Roman"/>
        </w:rPr>
        <w:t>自治区生态环境厅于</w:t>
      </w:r>
      <w:r>
        <w:rPr>
          <w:rFonts w:cs="Times New Roman"/>
        </w:rPr>
        <w:t>2022</w:t>
      </w:r>
      <w:r>
        <w:rPr>
          <w:rFonts w:cs="Times New Roman"/>
        </w:rPr>
        <w:t>年下发了《新疆维吾尔自治区</w:t>
      </w:r>
      <w:r>
        <w:rPr>
          <w:rFonts w:cs="Times New Roman"/>
        </w:rPr>
        <w:t>“</w:t>
      </w:r>
      <w:r>
        <w:rPr>
          <w:rFonts w:cs="Times New Roman"/>
        </w:rPr>
        <w:t>十四五</w:t>
      </w:r>
      <w:r>
        <w:rPr>
          <w:rFonts w:cs="Times New Roman"/>
        </w:rPr>
        <w:t>”</w:t>
      </w:r>
      <w:r>
        <w:rPr>
          <w:rFonts w:cs="Times New Roman"/>
        </w:rPr>
        <w:t>综合交通规划环境影响报告书的审查意见》（新环环评函〔</w:t>
      </w:r>
      <w:r>
        <w:rPr>
          <w:rFonts w:cs="Times New Roman"/>
        </w:rPr>
        <w:t>2022</w:t>
      </w:r>
      <w:r>
        <w:rPr>
          <w:rFonts w:cs="Times New Roman"/>
        </w:rPr>
        <w:t>〕</w:t>
      </w:r>
      <w:r>
        <w:rPr>
          <w:rFonts w:cs="Times New Roman"/>
        </w:rPr>
        <w:t>76</w:t>
      </w:r>
      <w:r>
        <w:rPr>
          <w:rFonts w:cs="Times New Roman"/>
        </w:rPr>
        <w:t>号），根据审查意见，本项目规划环评审查意见的符合性见下表，由表可知，本项目建设符合《新疆维吾尔自治区</w:t>
      </w:r>
      <w:r>
        <w:rPr>
          <w:rFonts w:cs="Times New Roman"/>
        </w:rPr>
        <w:t>“</w:t>
      </w:r>
      <w:r>
        <w:rPr>
          <w:rFonts w:cs="Times New Roman"/>
        </w:rPr>
        <w:t>十四五</w:t>
      </w:r>
      <w:r>
        <w:rPr>
          <w:rFonts w:cs="Times New Roman"/>
        </w:rPr>
        <w:t>”</w:t>
      </w:r>
      <w:r>
        <w:rPr>
          <w:rFonts w:cs="Times New Roman"/>
        </w:rPr>
        <w:t>综合交通规划环境影响报告书的审查意见》（新环环评函〔</w:t>
      </w:r>
      <w:r>
        <w:rPr>
          <w:rFonts w:cs="Times New Roman"/>
        </w:rPr>
        <w:t>2022</w:t>
      </w:r>
      <w:r>
        <w:rPr>
          <w:rFonts w:cs="Times New Roman"/>
        </w:rPr>
        <w:t>〕</w:t>
      </w:r>
      <w:r>
        <w:rPr>
          <w:rFonts w:cs="Times New Roman"/>
        </w:rPr>
        <w:t>76</w:t>
      </w:r>
      <w:r>
        <w:rPr>
          <w:rFonts w:cs="Times New Roman"/>
        </w:rPr>
        <w:t>号）。</w:t>
      </w:r>
    </w:p>
    <w:p w:rsidR="00A46452" w:rsidRDefault="009A3928">
      <w:pPr>
        <w:wordWrap w:val="0"/>
        <w:topLinePunct/>
        <w:adjustRightInd w:val="0"/>
        <w:snapToGrid w:val="0"/>
        <w:spacing w:line="240" w:lineRule="auto"/>
        <w:ind w:firstLineChars="0" w:firstLine="0"/>
        <w:rPr>
          <w:rFonts w:eastAsia="黑体" w:cs="Times New Roman"/>
          <w:bCs/>
        </w:rPr>
      </w:pPr>
      <w:r>
        <w:rPr>
          <w:rFonts w:eastAsia="黑体" w:cs="Times New Roman"/>
          <w:bCs/>
        </w:rPr>
        <w:t>表</w:t>
      </w:r>
      <w:r>
        <w:rPr>
          <w:rFonts w:eastAsia="黑体" w:cs="Times New Roman" w:hint="eastAsia"/>
          <w:bCs/>
        </w:rPr>
        <w:t>5</w:t>
      </w:r>
      <w:r>
        <w:rPr>
          <w:rFonts w:eastAsia="黑体" w:cs="Times New Roman"/>
          <w:bCs/>
        </w:rPr>
        <w:t>.</w:t>
      </w:r>
      <w:r>
        <w:rPr>
          <w:rFonts w:eastAsia="黑体" w:cs="Times New Roman" w:hint="eastAsia"/>
          <w:bCs/>
        </w:rPr>
        <w:t>3</w:t>
      </w:r>
      <w:r>
        <w:rPr>
          <w:rFonts w:eastAsia="黑体" w:cs="Times New Roman"/>
          <w:bCs/>
        </w:rPr>
        <w:t>-</w:t>
      </w:r>
      <w:r>
        <w:rPr>
          <w:rFonts w:eastAsia="黑体" w:cs="Times New Roman" w:hint="eastAsia"/>
          <w:bCs/>
        </w:rPr>
        <w:t>6</w:t>
      </w:r>
      <w:r>
        <w:rPr>
          <w:rFonts w:eastAsia="黑体" w:cs="Times New Roman"/>
          <w:bCs/>
        </w:rPr>
        <w:t xml:space="preserve">             </w:t>
      </w:r>
      <w:r>
        <w:rPr>
          <w:rFonts w:eastAsia="黑体" w:cs="Times New Roman"/>
          <w:bCs/>
        </w:rPr>
        <w:t xml:space="preserve">  </w:t>
      </w:r>
      <w:r>
        <w:rPr>
          <w:rFonts w:eastAsia="黑体" w:cs="Times New Roman"/>
          <w:bCs/>
        </w:rPr>
        <w:t>与规划环评审查意见的符合性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6"/>
        <w:gridCol w:w="3805"/>
        <w:gridCol w:w="3357"/>
        <w:gridCol w:w="947"/>
      </w:tblGrid>
      <w:tr w:rsidR="00A46452">
        <w:trPr>
          <w:trHeight w:val="340"/>
          <w:jc w:val="center"/>
        </w:trPr>
        <w:tc>
          <w:tcPr>
            <w:tcW w:w="239"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序号</w:t>
            </w:r>
          </w:p>
        </w:tc>
        <w:tc>
          <w:tcPr>
            <w:tcW w:w="2234"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原则要求</w:t>
            </w:r>
          </w:p>
        </w:tc>
        <w:tc>
          <w:tcPr>
            <w:tcW w:w="1971"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项目情况</w:t>
            </w:r>
          </w:p>
        </w:tc>
        <w:tc>
          <w:tcPr>
            <w:tcW w:w="5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符合性</w:t>
            </w:r>
          </w:p>
        </w:tc>
      </w:tr>
      <w:tr w:rsidR="00A46452">
        <w:trPr>
          <w:trHeight w:val="340"/>
          <w:jc w:val="center"/>
        </w:trPr>
        <w:tc>
          <w:tcPr>
            <w:tcW w:w="239"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w:t>
            </w:r>
          </w:p>
        </w:tc>
        <w:tc>
          <w:tcPr>
            <w:tcW w:w="2234" w:type="pct"/>
            <w:vAlign w:val="center"/>
          </w:tcPr>
          <w:p w:rsidR="00A46452" w:rsidRDefault="009A3928">
            <w:pPr>
              <w:wordWrap w:val="0"/>
              <w:topLinePunct/>
              <w:adjustRightInd w:val="0"/>
              <w:snapToGrid w:val="0"/>
              <w:spacing w:line="240" w:lineRule="exact"/>
              <w:ind w:firstLineChars="0" w:firstLine="0"/>
              <w:rPr>
                <w:rFonts w:eastAsia="仿宋_GB2312" w:cs="Times New Roman"/>
                <w:snapToGrid w:val="0"/>
                <w:kern w:val="0"/>
                <w:sz w:val="18"/>
                <w:szCs w:val="18"/>
                <w:lang w:val="zh-CN"/>
              </w:rPr>
            </w:pPr>
            <w:r>
              <w:rPr>
                <w:rFonts w:cs="Times New Roman"/>
                <w:kern w:val="0"/>
                <w:sz w:val="18"/>
                <w:szCs w:val="18"/>
              </w:rPr>
              <w:t>坚持生态优先、绿色发展。根据区域发展战略和主体功能定位，坚持生态保护优先，从顶层设计和源头控制着手，防范环境污染和生态破坏。针对规划涉及区域较为突出的生态环境问题，进一步完善生态环境目标和</w:t>
            </w:r>
            <w:r>
              <w:rPr>
                <w:rFonts w:cs="Times New Roman"/>
                <w:kern w:val="0"/>
                <w:sz w:val="18"/>
                <w:szCs w:val="18"/>
              </w:rPr>
              <w:t>“</w:t>
            </w:r>
            <w:r>
              <w:rPr>
                <w:rFonts w:cs="Times New Roman"/>
                <w:kern w:val="0"/>
                <w:sz w:val="18"/>
                <w:szCs w:val="18"/>
              </w:rPr>
              <w:t>三线一单</w:t>
            </w:r>
            <w:r>
              <w:rPr>
                <w:rFonts w:cs="Times New Roman"/>
                <w:kern w:val="0"/>
                <w:sz w:val="18"/>
                <w:szCs w:val="18"/>
              </w:rPr>
              <w:t>”</w:t>
            </w:r>
            <w:r>
              <w:rPr>
                <w:rFonts w:cs="Times New Roman"/>
                <w:kern w:val="0"/>
                <w:sz w:val="18"/>
                <w:szCs w:val="18"/>
              </w:rPr>
              <w:t>管控要求。统筹考虑环境敏感区、生态脆弱区、重要物种生境的分布等情况，切实落实各项生态环境保护要求，协同推进生态环境高水平保护和经济高质量发展。</w:t>
            </w:r>
          </w:p>
        </w:tc>
        <w:tc>
          <w:tcPr>
            <w:tcW w:w="1971"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结合项目区环境条件、地方政府意见、与路网衔接，选线上已充分考虑减少占用耕地，完善了国家、新疆、兵团及第</w:t>
            </w:r>
            <w:r>
              <w:rPr>
                <w:rFonts w:cs="Times New Roman"/>
                <w:kern w:val="0"/>
                <w:sz w:val="18"/>
                <w:szCs w:val="18"/>
              </w:rPr>
              <w:t>三</w:t>
            </w:r>
            <w:r>
              <w:rPr>
                <w:rFonts w:cs="Times New Roman"/>
                <w:kern w:val="0"/>
                <w:sz w:val="18"/>
                <w:szCs w:val="18"/>
              </w:rPr>
              <w:t>师公路网，有利于促进第</w:t>
            </w:r>
            <w:r>
              <w:rPr>
                <w:rFonts w:cs="Times New Roman"/>
                <w:kern w:val="0"/>
                <w:sz w:val="18"/>
                <w:szCs w:val="18"/>
              </w:rPr>
              <w:t>三师、喀什地区</w:t>
            </w:r>
            <w:r>
              <w:rPr>
                <w:rFonts w:cs="Times New Roman"/>
                <w:kern w:val="0"/>
                <w:sz w:val="18"/>
                <w:szCs w:val="18"/>
              </w:rPr>
              <w:t>及阿克苏地区的经济社会发展。</w:t>
            </w:r>
          </w:p>
        </w:tc>
        <w:tc>
          <w:tcPr>
            <w:tcW w:w="5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340"/>
          <w:jc w:val="center"/>
        </w:trPr>
        <w:tc>
          <w:tcPr>
            <w:tcW w:w="239"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w:t>
            </w:r>
          </w:p>
        </w:tc>
        <w:tc>
          <w:tcPr>
            <w:tcW w:w="2234"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lang w:val="zh-CN"/>
              </w:rPr>
            </w:pPr>
            <w:r>
              <w:rPr>
                <w:rFonts w:cs="Times New Roman"/>
                <w:kern w:val="0"/>
                <w:sz w:val="18"/>
                <w:szCs w:val="18"/>
                <w:lang w:val="zh-CN"/>
              </w:rPr>
              <w:t>严格保护生态空间，优化规划布局。主动对接国家、自治区国土空间规划，加强与</w:t>
            </w:r>
            <w:r>
              <w:rPr>
                <w:rFonts w:cs="Times New Roman"/>
                <w:kern w:val="0"/>
                <w:sz w:val="18"/>
                <w:szCs w:val="18"/>
                <w:lang w:val="zh-CN"/>
              </w:rPr>
              <w:t>“</w:t>
            </w:r>
            <w:r>
              <w:rPr>
                <w:rFonts w:cs="Times New Roman"/>
                <w:kern w:val="0"/>
                <w:sz w:val="18"/>
                <w:szCs w:val="18"/>
                <w:lang w:val="zh-CN"/>
              </w:rPr>
              <w:t>三线一单</w:t>
            </w:r>
            <w:r>
              <w:rPr>
                <w:rFonts w:cs="Times New Roman"/>
                <w:kern w:val="0"/>
                <w:sz w:val="18"/>
                <w:szCs w:val="18"/>
                <w:lang w:val="zh-CN"/>
              </w:rPr>
              <w:t>”</w:t>
            </w:r>
            <w:r>
              <w:rPr>
                <w:rFonts w:cs="Times New Roman"/>
                <w:kern w:val="0"/>
                <w:sz w:val="18"/>
                <w:szCs w:val="18"/>
                <w:lang w:val="zh-CN"/>
              </w:rPr>
              <w:t>分区管控等有关要求的衔接，确保符合相关管控和保护要求，实现综合交通与生态环境保护、人居环境安全相协调。进一步优化运输通道和枢纽空间布局，坚持</w:t>
            </w:r>
            <w:r>
              <w:rPr>
                <w:rFonts w:cs="Times New Roman"/>
                <w:kern w:val="0"/>
                <w:sz w:val="18"/>
                <w:szCs w:val="18"/>
                <w:lang w:val="zh-CN"/>
              </w:rPr>
              <w:t>“</w:t>
            </w:r>
            <w:r>
              <w:rPr>
                <w:rFonts w:cs="Times New Roman"/>
                <w:kern w:val="0"/>
                <w:sz w:val="18"/>
                <w:szCs w:val="18"/>
                <w:lang w:val="zh-CN"/>
              </w:rPr>
              <w:t>绕避</w:t>
            </w:r>
            <w:r>
              <w:rPr>
                <w:rFonts w:cs="Times New Roman"/>
                <w:kern w:val="0"/>
                <w:sz w:val="18"/>
                <w:szCs w:val="18"/>
                <w:lang w:val="zh-CN"/>
              </w:rPr>
              <w:t>”</w:t>
            </w:r>
            <w:r>
              <w:rPr>
                <w:rFonts w:cs="Times New Roman"/>
                <w:kern w:val="0"/>
                <w:sz w:val="18"/>
                <w:szCs w:val="18"/>
                <w:lang w:val="zh-CN"/>
              </w:rPr>
              <w:t>优先原则，严格按照自然保护地、饮用水源保护区等管控要求进行交通开发建设活动。</w:t>
            </w:r>
          </w:p>
        </w:tc>
        <w:tc>
          <w:tcPr>
            <w:tcW w:w="1971"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本项目公路选线</w:t>
            </w:r>
            <w:r>
              <w:rPr>
                <w:rFonts w:cs="Times New Roman"/>
                <w:kern w:val="0"/>
                <w:sz w:val="18"/>
                <w:szCs w:val="18"/>
              </w:rPr>
              <w:t>未</w:t>
            </w:r>
            <w:r>
              <w:rPr>
                <w:rFonts w:cs="Times New Roman"/>
                <w:kern w:val="0"/>
                <w:sz w:val="18"/>
                <w:szCs w:val="18"/>
              </w:rPr>
              <w:t>涉及生态保护红线，评价区域内无自然保护区、风景名胜区、饮用水源保护区生态敏感区，建设单位已办理完成用地许可手续。项目选址不涉及法律障碍和环境重大制约因素，选线上已充分考虑避让生态保护。</w:t>
            </w:r>
          </w:p>
        </w:tc>
        <w:tc>
          <w:tcPr>
            <w:tcW w:w="5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860"/>
          <w:jc w:val="center"/>
        </w:trPr>
        <w:tc>
          <w:tcPr>
            <w:tcW w:w="239"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3</w:t>
            </w:r>
          </w:p>
        </w:tc>
        <w:tc>
          <w:tcPr>
            <w:tcW w:w="2234"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建立健全长期稳定的环境监测体系。根据规划实施状况、环境敏感目标的分布等，建立和完善生态、大气、声环境等环境要素监控体系。根据监测结果并结合环境影响适时优化、调整规划。</w:t>
            </w:r>
          </w:p>
        </w:tc>
        <w:tc>
          <w:tcPr>
            <w:tcW w:w="1971"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已在报告中提出了本项目的环境监测计划，详见报告</w:t>
            </w:r>
            <w:r>
              <w:rPr>
                <w:rFonts w:cs="Times New Roman" w:hint="eastAsia"/>
                <w:kern w:val="0"/>
                <w:sz w:val="18"/>
                <w:szCs w:val="18"/>
              </w:rPr>
              <w:t>10.2.3</w:t>
            </w:r>
            <w:r>
              <w:rPr>
                <w:rFonts w:cs="Times New Roman"/>
                <w:kern w:val="0"/>
                <w:sz w:val="18"/>
                <w:szCs w:val="18"/>
              </w:rPr>
              <w:t>节。</w:t>
            </w:r>
          </w:p>
        </w:tc>
        <w:tc>
          <w:tcPr>
            <w:tcW w:w="5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jc w:val="center"/>
        </w:trPr>
        <w:tc>
          <w:tcPr>
            <w:tcW w:w="239"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4</w:t>
            </w:r>
          </w:p>
        </w:tc>
        <w:tc>
          <w:tcPr>
            <w:tcW w:w="2234"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加强开发过程的环境风险防控。强化风险防控意识，坚持事前防范和事中监管，按照属地为主、分级响应、区域联动原则，建立完善各区域环境管理制度、环境风险防控和应急管理体系，健全突发环境事故预警和应急管理机制，制定细化环境风险防控方案和措施，落实主体责任，明晰防控流程，确保环境风险可控。</w:t>
            </w:r>
          </w:p>
        </w:tc>
        <w:tc>
          <w:tcPr>
            <w:tcW w:w="1971"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已在报告中明确了环境风险防控和应急管理体系，细化环境风险防控措施，落实建设单位的主体责任</w:t>
            </w:r>
            <w:r>
              <w:rPr>
                <w:rFonts w:cs="Times New Roman"/>
                <w:kern w:val="0"/>
                <w:sz w:val="18"/>
                <w:szCs w:val="18"/>
              </w:rPr>
              <w:t>，</w:t>
            </w:r>
            <w:r>
              <w:rPr>
                <w:rFonts w:cs="Times New Roman"/>
                <w:kern w:val="0"/>
                <w:sz w:val="18"/>
                <w:szCs w:val="18"/>
              </w:rPr>
              <w:t>对跨越水体的大桥、中桥、跨越干渠中桥、小桥设置了防撞护栏等环境风险防护措施，制定了突发环境事故应急预案和应急管理机制，并制定细化的环境风险防控</w:t>
            </w:r>
            <w:r>
              <w:rPr>
                <w:rFonts w:cs="Times New Roman"/>
                <w:kern w:val="0"/>
                <w:sz w:val="18"/>
                <w:szCs w:val="18"/>
              </w:rPr>
              <w:t>方案和措施，落实了主体责任，确保本项目环境风险可控。</w:t>
            </w:r>
          </w:p>
        </w:tc>
        <w:tc>
          <w:tcPr>
            <w:tcW w:w="5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bl>
    <w:p w:rsidR="00A46452" w:rsidRDefault="009A3928">
      <w:pPr>
        <w:wordWrap w:val="0"/>
        <w:topLinePunct/>
        <w:adjustRightInd w:val="0"/>
        <w:snapToGrid w:val="0"/>
        <w:ind w:firstLine="482"/>
        <w:rPr>
          <w:rFonts w:cs="Times New Roman"/>
          <w:b/>
        </w:rPr>
      </w:pPr>
      <w:r>
        <w:rPr>
          <w:rFonts w:cs="Times New Roman"/>
          <w:b/>
        </w:rPr>
        <w:t>（</w:t>
      </w:r>
      <w:r>
        <w:rPr>
          <w:rFonts w:cs="Times New Roman"/>
          <w:b/>
        </w:rPr>
        <w:t>5</w:t>
      </w:r>
      <w:r>
        <w:rPr>
          <w:rFonts w:cs="Times New Roman"/>
          <w:b/>
        </w:rPr>
        <w:t>）与《新疆生产建设兵团</w:t>
      </w:r>
      <w:r>
        <w:rPr>
          <w:rFonts w:cs="Times New Roman"/>
          <w:b/>
        </w:rPr>
        <w:t>“</w:t>
      </w:r>
      <w:r>
        <w:rPr>
          <w:rFonts w:cs="Times New Roman"/>
          <w:b/>
        </w:rPr>
        <w:t>十四五</w:t>
      </w:r>
      <w:r>
        <w:rPr>
          <w:rFonts w:cs="Times New Roman"/>
          <w:b/>
        </w:rPr>
        <w:t>”</w:t>
      </w:r>
      <w:r>
        <w:rPr>
          <w:rFonts w:cs="Times New Roman"/>
          <w:b/>
        </w:rPr>
        <w:t>交通运输发展规划》符合性分析</w:t>
      </w:r>
    </w:p>
    <w:p w:rsidR="00A46452" w:rsidRDefault="009A3928">
      <w:pPr>
        <w:wordWrap w:val="0"/>
        <w:topLinePunct/>
        <w:adjustRightInd w:val="0"/>
        <w:snapToGrid w:val="0"/>
        <w:ind w:firstLine="480"/>
        <w:rPr>
          <w:rFonts w:cs="Times New Roman"/>
        </w:rPr>
      </w:pPr>
      <w:r>
        <w:rPr>
          <w:rFonts w:cs="Times New Roman"/>
        </w:rPr>
        <w:t>根据《新疆生产建设兵团</w:t>
      </w:r>
      <w:r>
        <w:rPr>
          <w:rFonts w:cs="Times New Roman"/>
        </w:rPr>
        <w:t>“</w:t>
      </w:r>
      <w:r>
        <w:rPr>
          <w:rFonts w:cs="Times New Roman"/>
        </w:rPr>
        <w:t>十四五</w:t>
      </w:r>
      <w:r>
        <w:rPr>
          <w:rFonts w:cs="Times New Roman"/>
        </w:rPr>
        <w:t>”</w:t>
      </w:r>
      <w:r>
        <w:rPr>
          <w:rFonts w:cs="Times New Roman"/>
        </w:rPr>
        <w:t>交通运输发展规划》提出进一步加强与自治区公路网的进一步衔接，加快兵团综合交通通道建设，消除兵团干线网断头和瓶颈，提高现有干线技术等级水平，提高运输能力和效率；全面提升兵团在新疆公路、铁路、航空，以及</w:t>
      </w:r>
      <w:r>
        <w:rPr>
          <w:rFonts w:cs="Times New Roman"/>
        </w:rPr>
        <w:t>“</w:t>
      </w:r>
      <w:r>
        <w:rPr>
          <w:rFonts w:cs="Times New Roman"/>
        </w:rPr>
        <w:t>丝绸之路经济带</w:t>
      </w:r>
      <w:r>
        <w:rPr>
          <w:rFonts w:cs="Times New Roman"/>
        </w:rPr>
        <w:t>”</w:t>
      </w:r>
      <w:r>
        <w:rPr>
          <w:rFonts w:cs="Times New Roman"/>
        </w:rPr>
        <w:t>和</w:t>
      </w:r>
      <w:r>
        <w:rPr>
          <w:rFonts w:cs="Times New Roman"/>
        </w:rPr>
        <w:t>“</w:t>
      </w:r>
      <w:r>
        <w:rPr>
          <w:rFonts w:cs="Times New Roman"/>
        </w:rPr>
        <w:t>中巴经济走廊</w:t>
      </w:r>
      <w:r>
        <w:rPr>
          <w:rFonts w:cs="Times New Roman"/>
        </w:rPr>
        <w:t>”</w:t>
      </w:r>
      <w:r>
        <w:rPr>
          <w:rFonts w:cs="Times New Roman"/>
        </w:rPr>
        <w:t>中的战略地位和作用，确定兵团城镇在综合交通网中的区域枢纽地位，促使兵团区位优势向经济优势转变。根据综合交通网布局和沿线垦区经济发展需求，重点加强连接路网的带动垦区沿线城镇发展通道建设，形成南北疆垦区两个公路网运输大通道，从而促进沿线兵团城镇群及重点产业发展壮大。</w:t>
      </w:r>
    </w:p>
    <w:p w:rsidR="00A46452" w:rsidRDefault="009A3928">
      <w:pPr>
        <w:wordWrap w:val="0"/>
        <w:topLinePunct/>
        <w:adjustRightInd w:val="0"/>
        <w:snapToGrid w:val="0"/>
        <w:ind w:firstLine="480"/>
        <w:rPr>
          <w:rFonts w:cs="Times New Roman"/>
        </w:rPr>
      </w:pPr>
      <w:r>
        <w:rPr>
          <w:rFonts w:cs="Times New Roman"/>
        </w:rPr>
        <w:t>构建和完善南疆垦区运输大通道。以图木舒克市、阿拉尔市和皮墨垦区为战略节点，辐射连接南疆地区的喀什、和田、克州、阿克苏，形成南疆垦区运输大通道，对于维护南疆地区稳定，发展南疆地区经济，巩固民族团结意义重大。南疆垦区运输大通道基本走向：起自青海茫崖，经</w:t>
      </w:r>
      <w:r>
        <w:rPr>
          <w:rFonts w:cs="Times New Roman"/>
        </w:rPr>
        <w:t>G315</w:t>
      </w:r>
      <w:r>
        <w:rPr>
          <w:rFonts w:cs="Times New Roman"/>
        </w:rPr>
        <w:t>国道，且末，塔中油田基地，阿拉尔市，</w:t>
      </w:r>
      <w:r>
        <w:rPr>
          <w:rFonts w:cs="Times New Roman"/>
        </w:rPr>
        <w:t>3</w:t>
      </w:r>
      <w:r>
        <w:rPr>
          <w:rFonts w:cs="Times New Roman"/>
        </w:rPr>
        <w:t>团，</w:t>
      </w:r>
      <w:r>
        <w:rPr>
          <w:rFonts w:cs="Times New Roman"/>
        </w:rPr>
        <w:t>53</w:t>
      </w:r>
      <w:r>
        <w:rPr>
          <w:rFonts w:cs="Times New Roman"/>
        </w:rPr>
        <w:t>团，图木舒克，伽师总场，红旗农场，喀什，西至红旗拉普口岸（接中巴公路）或吐尔尕特口岸（接中吉乌公路），形成连接东西的大通道。</w:t>
      </w:r>
    </w:p>
    <w:p w:rsidR="00A46452" w:rsidRDefault="009A3928" w:rsidP="00182EED">
      <w:pPr>
        <w:wordWrap w:val="0"/>
        <w:topLinePunct/>
        <w:adjustRightInd w:val="0"/>
        <w:snapToGrid w:val="0"/>
        <w:ind w:firstLine="480"/>
        <w:jc w:val="left"/>
        <w:rPr>
          <w:rFonts w:cs="Times New Roman"/>
        </w:rPr>
      </w:pPr>
      <w:r>
        <w:rPr>
          <w:rFonts w:cs="Times New Roman"/>
        </w:rPr>
        <w:t>本项目</w:t>
      </w:r>
      <w:r>
        <w:rPr>
          <w:rFonts w:cs="Times New Roman"/>
        </w:rPr>
        <w:t>第三师图木舒克市－柯坪县段</w:t>
      </w:r>
      <w:r>
        <w:rPr>
          <w:rFonts w:cs="Times New Roman"/>
        </w:rPr>
        <w:t>公路项目是新疆生产建设兵团</w:t>
      </w:r>
      <w:r>
        <w:rPr>
          <w:rFonts w:cs="Times New Roman"/>
        </w:rPr>
        <w:t>“</w:t>
      </w:r>
      <w:r>
        <w:rPr>
          <w:rFonts w:cs="Times New Roman"/>
        </w:rPr>
        <w:t>十四五</w:t>
      </w:r>
      <w:r>
        <w:rPr>
          <w:rFonts w:cs="Times New Roman"/>
        </w:rPr>
        <w:t>”</w:t>
      </w:r>
      <w:r>
        <w:rPr>
          <w:rFonts w:cs="Times New Roman"/>
        </w:rPr>
        <w:t>规划干线公路的重要组成部分，是兵团战略通道的重要组成，是《规划》中垦区经济通道二的重要连接路段。</w:t>
      </w:r>
      <w:r>
        <w:rPr>
          <w:rFonts w:cs="Times New Roman"/>
        </w:rPr>
        <w:t>完善第三师图木舒克市、喀什地区及阿克苏地区公路路网、与周边路网形成互联互通、优化兵团南疆路网结构的重要实质性工程</w:t>
      </w:r>
      <w:r>
        <w:rPr>
          <w:rFonts w:cs="Times New Roman"/>
        </w:rPr>
        <w:t>，为兵团南疆城市集群建设的目标达成提供了优质交通基础保障</w:t>
      </w:r>
      <w:r>
        <w:rPr>
          <w:rFonts w:cs="Times New Roman"/>
        </w:rPr>
        <w:t>，可以有效加强兵地互联互通。符合《新疆生产建设兵团</w:t>
      </w:r>
      <w:r>
        <w:rPr>
          <w:rFonts w:cs="Times New Roman"/>
        </w:rPr>
        <w:t>“</w:t>
      </w:r>
      <w:r>
        <w:rPr>
          <w:rFonts w:cs="Times New Roman"/>
        </w:rPr>
        <w:t>十四五</w:t>
      </w:r>
      <w:r>
        <w:rPr>
          <w:rFonts w:cs="Times New Roman"/>
        </w:rPr>
        <w:t>”</w:t>
      </w:r>
      <w:r>
        <w:rPr>
          <w:rFonts w:cs="Times New Roman"/>
        </w:rPr>
        <w:t>交通运输发展规划》相关要求。</w:t>
      </w:r>
    </w:p>
    <w:p w:rsidR="00A46452" w:rsidRDefault="009A3928">
      <w:pPr>
        <w:wordWrap w:val="0"/>
        <w:topLinePunct/>
        <w:adjustRightInd w:val="0"/>
        <w:snapToGrid w:val="0"/>
        <w:ind w:firstLine="482"/>
        <w:rPr>
          <w:rFonts w:eastAsiaTheme="minorEastAsia" w:cs="Times New Roman"/>
          <w:b/>
          <w:kern w:val="0"/>
        </w:rPr>
      </w:pPr>
      <w:r>
        <w:rPr>
          <w:rFonts w:eastAsiaTheme="minorEastAsia" w:cs="Times New Roman"/>
          <w:b/>
          <w:kern w:val="0"/>
        </w:rPr>
        <w:t>（</w:t>
      </w:r>
      <w:r>
        <w:rPr>
          <w:rFonts w:eastAsiaTheme="minorEastAsia" w:cs="Times New Roman"/>
          <w:b/>
          <w:kern w:val="0"/>
        </w:rPr>
        <w:t>7</w:t>
      </w:r>
      <w:r>
        <w:rPr>
          <w:rFonts w:eastAsiaTheme="minorEastAsia" w:cs="Times New Roman"/>
          <w:b/>
          <w:kern w:val="0"/>
        </w:rPr>
        <w:t>）与《关于加强公路规划和建设环境影响评价工作的通知》符合性分析</w:t>
      </w:r>
    </w:p>
    <w:p w:rsidR="00A46452" w:rsidRDefault="009A3928">
      <w:pPr>
        <w:wordWrap w:val="0"/>
        <w:topLinePunct/>
        <w:adjustRightInd w:val="0"/>
        <w:snapToGrid w:val="0"/>
        <w:ind w:firstLine="456"/>
        <w:rPr>
          <w:rFonts w:cs="Times New Roman"/>
          <w:spacing w:val="-6"/>
        </w:rPr>
      </w:pPr>
      <w:r>
        <w:rPr>
          <w:rFonts w:cs="Times New Roman"/>
          <w:spacing w:val="-6"/>
        </w:rPr>
        <w:t>根据《关于加强公路规划和建设环境影响评价工作的通知》（环发</w:t>
      </w:r>
      <w:r>
        <w:rPr>
          <w:rFonts w:cs="Times New Roman"/>
          <w:spacing w:val="-6"/>
        </w:rPr>
        <w:t>〔</w:t>
      </w:r>
      <w:r>
        <w:rPr>
          <w:rFonts w:cs="Times New Roman"/>
          <w:spacing w:val="-6"/>
        </w:rPr>
        <w:t>2007</w:t>
      </w:r>
      <w:r>
        <w:rPr>
          <w:rFonts w:cs="Times New Roman"/>
          <w:spacing w:val="-6"/>
        </w:rPr>
        <w:t>〕</w:t>
      </w:r>
      <w:r>
        <w:rPr>
          <w:rFonts w:cs="Times New Roman"/>
          <w:spacing w:val="-6"/>
        </w:rPr>
        <w:t>184</w:t>
      </w:r>
      <w:r>
        <w:rPr>
          <w:rFonts w:cs="Times New Roman"/>
          <w:spacing w:val="-6"/>
        </w:rPr>
        <w:t>号</w:t>
      </w:r>
      <w:r>
        <w:rPr>
          <w:rFonts w:cs="Times New Roman"/>
          <w:spacing w:val="-6"/>
        </w:rPr>
        <w:t>）</w:t>
      </w:r>
      <w:r>
        <w:rPr>
          <w:rFonts w:cs="Times New Roman"/>
          <w:spacing w:val="-6"/>
        </w:rPr>
        <w:t>，</w:t>
      </w:r>
      <w:r>
        <w:rPr>
          <w:rFonts w:cs="Times New Roman"/>
          <w:spacing w:val="-6"/>
        </w:rPr>
        <w:t>“</w:t>
      </w:r>
      <w:r>
        <w:rPr>
          <w:rFonts w:cs="Times New Roman"/>
          <w:spacing w:val="-6"/>
        </w:rPr>
        <w:t>严格公路建设项目准入条件，加强环境影响评价</w:t>
      </w:r>
      <w:r>
        <w:rPr>
          <w:rFonts w:cs="Times New Roman"/>
          <w:spacing w:val="-6"/>
        </w:rPr>
        <w:t>”</w:t>
      </w:r>
      <w:r>
        <w:rPr>
          <w:rFonts w:cs="Times New Roman"/>
          <w:spacing w:val="-6"/>
        </w:rPr>
        <w:t>的相关要求，本项目与</w:t>
      </w:r>
      <w:r>
        <w:rPr>
          <w:rFonts w:cs="Times New Roman"/>
          <w:spacing w:val="-6"/>
        </w:rPr>
        <w:t>“</w:t>
      </w:r>
      <w:r>
        <w:rPr>
          <w:rFonts w:cs="Times New Roman"/>
          <w:spacing w:val="-6"/>
        </w:rPr>
        <w:t>通知</w:t>
      </w:r>
      <w:r>
        <w:rPr>
          <w:rFonts w:cs="Times New Roman"/>
          <w:spacing w:val="-6"/>
        </w:rPr>
        <w:t>”</w:t>
      </w:r>
      <w:r>
        <w:rPr>
          <w:rFonts w:cs="Times New Roman"/>
          <w:spacing w:val="-6"/>
        </w:rPr>
        <w:t>的符合性见下表，由表</w:t>
      </w:r>
      <w:r>
        <w:rPr>
          <w:rFonts w:cs="Times New Roman" w:hint="eastAsia"/>
          <w:spacing w:val="-6"/>
        </w:rPr>
        <w:t>5</w:t>
      </w:r>
      <w:r>
        <w:rPr>
          <w:rFonts w:cs="Times New Roman"/>
          <w:spacing w:val="-6"/>
        </w:rPr>
        <w:t>.</w:t>
      </w:r>
      <w:r>
        <w:rPr>
          <w:rFonts w:cs="Times New Roman" w:hint="eastAsia"/>
          <w:spacing w:val="-6"/>
        </w:rPr>
        <w:t>3</w:t>
      </w:r>
      <w:r>
        <w:rPr>
          <w:rFonts w:cs="Times New Roman"/>
          <w:spacing w:val="-6"/>
        </w:rPr>
        <w:t>-</w:t>
      </w:r>
      <w:r>
        <w:rPr>
          <w:rFonts w:cs="Times New Roman" w:hint="eastAsia"/>
          <w:spacing w:val="-6"/>
        </w:rPr>
        <w:t>7</w:t>
      </w:r>
      <w:r>
        <w:rPr>
          <w:rFonts w:cs="Times New Roman"/>
          <w:spacing w:val="-6"/>
        </w:rPr>
        <w:t>可知，本项目建设符合《关于加强公路规划和建设环境影响评价工作的通知》（环发</w:t>
      </w:r>
      <w:r>
        <w:rPr>
          <w:rFonts w:cs="Times New Roman"/>
          <w:spacing w:val="-6"/>
        </w:rPr>
        <w:t>〔</w:t>
      </w:r>
      <w:r>
        <w:rPr>
          <w:rFonts w:cs="Times New Roman"/>
          <w:spacing w:val="-6"/>
        </w:rPr>
        <w:t>2007</w:t>
      </w:r>
      <w:r>
        <w:rPr>
          <w:rFonts w:cs="Times New Roman"/>
          <w:spacing w:val="-6"/>
        </w:rPr>
        <w:t>〕</w:t>
      </w:r>
      <w:r>
        <w:rPr>
          <w:rFonts w:cs="Times New Roman"/>
          <w:spacing w:val="-6"/>
        </w:rPr>
        <w:t>184</w:t>
      </w:r>
      <w:r>
        <w:rPr>
          <w:rFonts w:cs="Times New Roman"/>
          <w:spacing w:val="-6"/>
        </w:rPr>
        <w:t>号</w:t>
      </w:r>
      <w:r>
        <w:rPr>
          <w:rFonts w:cs="Times New Roman"/>
          <w:spacing w:val="-6"/>
        </w:rPr>
        <w:t>）。</w:t>
      </w:r>
    </w:p>
    <w:p w:rsidR="00A46452" w:rsidRDefault="009A3928">
      <w:pPr>
        <w:wordWrap w:val="0"/>
        <w:topLinePunct/>
        <w:adjustRightInd w:val="0"/>
        <w:snapToGrid w:val="0"/>
        <w:spacing w:line="240" w:lineRule="exact"/>
        <w:ind w:firstLineChars="0" w:firstLine="0"/>
        <w:jc w:val="left"/>
        <w:rPr>
          <w:rFonts w:eastAsia="黑体" w:cs="Times New Roman"/>
          <w:szCs w:val="24"/>
        </w:rPr>
      </w:pPr>
      <w:r>
        <w:rPr>
          <w:rFonts w:eastAsia="黑体" w:cs="Times New Roman"/>
          <w:szCs w:val="24"/>
        </w:rPr>
        <w:t>表</w:t>
      </w:r>
      <w:r>
        <w:rPr>
          <w:rFonts w:eastAsia="黑体" w:cs="Times New Roman" w:hint="eastAsia"/>
          <w:szCs w:val="24"/>
        </w:rPr>
        <w:t>5</w:t>
      </w:r>
      <w:r>
        <w:rPr>
          <w:rFonts w:eastAsia="黑体" w:cs="Times New Roman"/>
          <w:szCs w:val="24"/>
        </w:rPr>
        <w:t>.</w:t>
      </w:r>
      <w:r>
        <w:rPr>
          <w:rFonts w:eastAsia="黑体" w:cs="Times New Roman" w:hint="eastAsia"/>
          <w:szCs w:val="24"/>
        </w:rPr>
        <w:t>3</w:t>
      </w:r>
      <w:r>
        <w:rPr>
          <w:rFonts w:eastAsia="黑体" w:cs="Times New Roman"/>
          <w:szCs w:val="24"/>
        </w:rPr>
        <w:t>-</w:t>
      </w:r>
      <w:r>
        <w:rPr>
          <w:rFonts w:eastAsia="黑体" w:cs="Times New Roman" w:hint="eastAsia"/>
          <w:szCs w:val="24"/>
        </w:rPr>
        <w:t>7</w:t>
      </w:r>
      <w:r>
        <w:rPr>
          <w:rFonts w:eastAsia="黑体" w:cs="Times New Roman"/>
          <w:szCs w:val="24"/>
        </w:rPr>
        <w:t xml:space="preserve"> </w:t>
      </w:r>
      <w:r>
        <w:rPr>
          <w:rFonts w:eastAsia="黑体" w:cs="Times New Roman"/>
          <w:szCs w:val="24"/>
        </w:rPr>
        <w:t xml:space="preserve">  </w:t>
      </w:r>
      <w:r>
        <w:rPr>
          <w:rFonts w:eastAsia="黑体" w:cs="Times New Roman"/>
          <w:szCs w:val="24"/>
        </w:rPr>
        <w:t>与《关于加强公路规划和建设环境影响评价工作的通知》的符合性</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2"/>
        <w:gridCol w:w="5189"/>
        <w:gridCol w:w="2141"/>
        <w:gridCol w:w="783"/>
      </w:tblGrid>
      <w:tr w:rsidR="00A46452">
        <w:trPr>
          <w:trHeight w:val="340"/>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序号</w:t>
            </w:r>
          </w:p>
        </w:tc>
        <w:tc>
          <w:tcPr>
            <w:tcW w:w="304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原则要求</w:t>
            </w:r>
          </w:p>
        </w:tc>
        <w:tc>
          <w:tcPr>
            <w:tcW w:w="125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项目情况</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符合性</w:t>
            </w:r>
          </w:p>
        </w:tc>
      </w:tr>
      <w:tr w:rsidR="00A46452">
        <w:trPr>
          <w:trHeight w:val="250"/>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1</w:t>
            </w:r>
          </w:p>
        </w:tc>
        <w:tc>
          <w:tcPr>
            <w:tcW w:w="3046" w:type="pct"/>
            <w:vAlign w:val="center"/>
          </w:tcPr>
          <w:p w:rsidR="00A46452" w:rsidRDefault="009A3928">
            <w:pPr>
              <w:wordWrap w:val="0"/>
              <w:topLinePunct/>
              <w:adjustRightInd w:val="0"/>
              <w:snapToGrid w:val="0"/>
              <w:spacing w:line="240" w:lineRule="exact"/>
              <w:ind w:firstLineChars="0" w:firstLine="0"/>
              <w:rPr>
                <w:rFonts w:eastAsia="仿宋_GB2312" w:cs="Times New Roman"/>
                <w:snapToGrid w:val="0"/>
                <w:kern w:val="0"/>
                <w:sz w:val="18"/>
                <w:szCs w:val="18"/>
                <w:lang w:val="zh-CN"/>
              </w:rPr>
            </w:pPr>
            <w:r>
              <w:rPr>
                <w:rFonts w:cs="Times New Roman"/>
                <w:kern w:val="0"/>
                <w:sz w:val="18"/>
                <w:szCs w:val="18"/>
              </w:rPr>
              <w:t>（一）公路建设项目应当符合经批准的公路网规划，严格按照建设程序规范各项前期工作。建设单位必须依照《</w:t>
            </w:r>
            <w:r>
              <w:rPr>
                <w:rFonts w:cs="Times New Roman"/>
                <w:kern w:val="0"/>
                <w:sz w:val="18"/>
                <w:szCs w:val="18"/>
              </w:rPr>
              <w:t>中华人民共和国环境影响评价法》《</w:t>
            </w:r>
            <w:r>
              <w:rPr>
                <w:rFonts w:cs="Times New Roman"/>
                <w:kern w:val="0"/>
                <w:sz w:val="18"/>
                <w:szCs w:val="18"/>
              </w:rPr>
              <w:t>建设项目环境保护管理条例》和《国务院关于投资体制改革的决定》规定的程序，在批准可行性研究报告或核准项目前，编制完成公路项目环境影响评价文件，经交通行业主管部门预审后，报有审批权的环保行政主管部门审批。环境影响评价文件未经环保主管部门审批，发展改革部门不予批准可行性研究报告或核准项目，建设单位不得开工建设。</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项目建设满足相关路网规划，具体见</w:t>
            </w:r>
            <w:r>
              <w:rPr>
                <w:rFonts w:cs="Times New Roman"/>
                <w:kern w:val="0"/>
                <w:sz w:val="18"/>
                <w:szCs w:val="18"/>
              </w:rPr>
              <w:t>3.4.1</w:t>
            </w:r>
            <w:r>
              <w:rPr>
                <w:rFonts w:cs="Times New Roman"/>
                <w:kern w:val="0"/>
                <w:sz w:val="18"/>
                <w:szCs w:val="18"/>
              </w:rPr>
              <w:t>；已开展本项目的环境影响评价文件编制工作；建设单位未开工建设。</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340"/>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lang w:val="zh-CN"/>
              </w:rPr>
            </w:pPr>
            <w:r>
              <w:rPr>
                <w:rFonts w:cs="Times New Roman"/>
                <w:kern w:val="0"/>
                <w:sz w:val="18"/>
                <w:szCs w:val="18"/>
              </w:rPr>
              <w:t>（二）环境影响评价文件经批准后，公路项目的主要控制点发生重大变化、路线的长度调整</w:t>
            </w:r>
            <w:r>
              <w:rPr>
                <w:rFonts w:cs="Times New Roman"/>
                <w:kern w:val="0"/>
                <w:sz w:val="18"/>
                <w:szCs w:val="18"/>
              </w:rPr>
              <w:t>30%</w:t>
            </w:r>
            <w:r>
              <w:rPr>
                <w:rFonts w:cs="Times New Roman"/>
                <w:kern w:val="0"/>
                <w:sz w:val="18"/>
                <w:szCs w:val="18"/>
              </w:rPr>
              <w:t>以上、服务区数量和选址调整，需要重新报批可行性研究报告，以及防止生态环境破坏的措施发生重大变动，可能造成环境影响向不利方面变化的，建设单位必须在开工建设前依法重新报批环境影响评价文件。</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本项目的环境影响评价文件在编制中；后续项目发生重大变更后，建设单位必须在开工建设前依法重新报批环境影响评价文件。</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860"/>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3</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三）改扩建公路项目，应当避免穿越自然保护区核心区和缓冲区、风景名胜区核心景区、饮用水水源一级保护区等依法划定的需要特殊保护的环境敏感区。因工程条件和自然因素限制，确需穿越自然保护区实验区、风景名胜区核心景区以外范围、饮用水水源二级保护区或准保护区的，建设单位应当事先征得有关机关同意。</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评价区域内无自然保护区、风景名胜区、饮用水源保护区、土地沙化封禁区等生态敏感区，不涉及法律障碍和环境重大制约因素</w:t>
            </w:r>
            <w:r>
              <w:rPr>
                <w:rFonts w:cs="Times New Roman"/>
                <w:kern w:val="0"/>
                <w:sz w:val="18"/>
                <w:szCs w:val="18"/>
              </w:rPr>
              <w:t>、</w:t>
            </w:r>
            <w:r>
              <w:rPr>
                <w:rFonts w:cs="Times New Roman"/>
                <w:kern w:val="0"/>
                <w:sz w:val="18"/>
                <w:szCs w:val="18"/>
              </w:rPr>
              <w:t>生态保护红线</w:t>
            </w:r>
            <w:r>
              <w:rPr>
                <w:rFonts w:cs="Times New Roman"/>
                <w:kern w:val="0"/>
                <w:sz w:val="18"/>
                <w:szCs w:val="18"/>
              </w:rPr>
              <w:t>。</w:t>
            </w:r>
            <w:r>
              <w:rPr>
                <w:rFonts w:cs="Times New Roman"/>
                <w:kern w:val="0"/>
                <w:sz w:val="18"/>
                <w:szCs w:val="18"/>
              </w:rPr>
              <w:t>项目为公路基础设施建设项目，属于允许在红线范围内开展的有限人为活动，采取架设桥梁的方式无害化跨越</w:t>
            </w:r>
            <w:r>
              <w:rPr>
                <w:rFonts w:cs="Times New Roman"/>
                <w:kern w:val="0"/>
                <w:sz w:val="18"/>
                <w:szCs w:val="18"/>
              </w:rPr>
              <w:t>，且严格控制工程占地。</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4</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公路工程建设应当尽量少占耕地、林地和草地，及时进行生态恢复或补偿。经批准占用基本农田的，在环境影响评价文件中，应当有基本农田环境保护方案。要严格控制路基、桥涵、隧道、立交等永久占地数量，有条件的地方可以采用上跨式服务区。尽量减少施工道路、场地等临时占地，合理设置取弃土场和砂石料场，因地制宜做好土地恢复和景观绿化设计。平原微丘区高速公路建设应尽可能顺应地形地貌，采用低路基形式。山区高速公路建设要合理运用路线平纵指标，增加桥梁、隧道比例，做好路基土石方平衡，防止因大填大挖加剧水土流失。</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已在报告中明确了环境风险</w:t>
            </w:r>
            <w:r>
              <w:rPr>
                <w:rFonts w:cs="Times New Roman"/>
                <w:kern w:val="0"/>
                <w:sz w:val="18"/>
                <w:szCs w:val="18"/>
              </w:rPr>
              <w:t>防控和应急管理体系，细化环境风险防控措施，落实新疆生产建设兵团第</w:t>
            </w:r>
            <w:r>
              <w:rPr>
                <w:rFonts w:cs="Times New Roman"/>
                <w:kern w:val="0"/>
                <w:sz w:val="18"/>
                <w:szCs w:val="18"/>
              </w:rPr>
              <w:t>三</w:t>
            </w:r>
            <w:r>
              <w:rPr>
                <w:rFonts w:cs="Times New Roman"/>
                <w:kern w:val="0"/>
                <w:sz w:val="18"/>
                <w:szCs w:val="18"/>
              </w:rPr>
              <w:t>师</w:t>
            </w:r>
            <w:r>
              <w:rPr>
                <w:rFonts w:cs="Times New Roman"/>
                <w:kern w:val="0"/>
                <w:sz w:val="18"/>
                <w:szCs w:val="18"/>
              </w:rPr>
              <w:t>图木舒克市公路建设项目管理处</w:t>
            </w:r>
            <w:r>
              <w:rPr>
                <w:rFonts w:cs="Times New Roman"/>
                <w:kern w:val="0"/>
                <w:sz w:val="18"/>
                <w:szCs w:val="18"/>
              </w:rPr>
              <w:t>的主体责任，确保项目的环境风险可控。详见报告</w:t>
            </w:r>
            <w:r>
              <w:rPr>
                <w:rFonts w:cs="Times New Roman"/>
                <w:kern w:val="0"/>
                <w:sz w:val="18"/>
                <w:szCs w:val="18"/>
              </w:rPr>
              <w:t>5.7.4</w:t>
            </w:r>
            <w:r>
              <w:rPr>
                <w:rFonts w:cs="Times New Roman"/>
                <w:kern w:val="0"/>
                <w:sz w:val="18"/>
                <w:szCs w:val="18"/>
              </w:rPr>
              <w:t>、</w:t>
            </w:r>
            <w:r>
              <w:rPr>
                <w:rFonts w:cs="Times New Roman"/>
                <w:kern w:val="0"/>
                <w:sz w:val="18"/>
                <w:szCs w:val="18"/>
              </w:rPr>
              <w:t>5.7.5</w:t>
            </w:r>
            <w:r>
              <w:rPr>
                <w:rFonts w:cs="Times New Roman"/>
                <w:kern w:val="0"/>
                <w:sz w:val="18"/>
                <w:szCs w:val="18"/>
              </w:rPr>
              <w:t>节。</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5</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可能对国家或者地方重点保护野生动物和野生植物的生存环境产生不利影响的公路项目，应当采取生物技术和工程技术措施，保护野生动物和野生植物的生境条件。可能阻断野生动物迁徙通道的，应当根据动物迁徙规律、生态习性设置通道或通行桥，避免造成生境岛屿化。可能影响野生植物和古树名木的，应优先采取工程避让措施，必要时进行异地保护。</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项目永久占地内无国家或者地方重点保护野生动物；</w:t>
            </w:r>
            <w:r>
              <w:rPr>
                <w:rFonts w:cs="Times New Roman"/>
                <w:kern w:val="0"/>
                <w:sz w:val="18"/>
                <w:szCs w:val="18"/>
              </w:rPr>
              <w:t>无保护植物</w:t>
            </w:r>
            <w:r>
              <w:rPr>
                <w:rFonts w:cs="Times New Roman"/>
                <w:kern w:val="0"/>
                <w:sz w:val="18"/>
                <w:szCs w:val="18"/>
              </w:rPr>
              <w:t>。</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6</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噪声环境影响预测应严格按照国家和行业有关技术规范导则进行，并结合公路工程可行性研究阶段线位不确定性的特点，提出相应的防治噪声污染措施。初步设计阶段，应当依据经批准的环境影响评价文件，落实防治噪声污染的措施及投资概算。经过噪声敏感建筑物集中的路段，应通过优化路线设计方案、使用低噪路面结构等进行源头控制，采取搬迁、建筑物功能置换、设置声屏障、安装隔声窗、加强交通管控等措施进行防治，减轻公路交通噪声污染影响，确保达到国家规定的环境噪声标准。严</w:t>
            </w:r>
            <w:r>
              <w:rPr>
                <w:rFonts w:cs="Times New Roman"/>
                <w:kern w:val="0"/>
                <w:sz w:val="18"/>
                <w:szCs w:val="18"/>
              </w:rPr>
              <w:t>格控制公路两侧噪声敏感建筑物的规划和建设，防止产生新的噪声超标问题。</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本项目噪声环境影响预测选用《环境影响评价技术导则声环境》（</w:t>
            </w:r>
            <w:r>
              <w:rPr>
                <w:rFonts w:cs="Times New Roman"/>
                <w:kern w:val="0"/>
                <w:sz w:val="18"/>
                <w:szCs w:val="18"/>
              </w:rPr>
              <w:t>HJ2.4-2021</w:t>
            </w:r>
            <w:r>
              <w:rPr>
                <w:rFonts w:cs="Times New Roman"/>
                <w:kern w:val="0"/>
                <w:sz w:val="18"/>
                <w:szCs w:val="18"/>
              </w:rPr>
              <w:t>）中推荐的公路噪声预测模式进行预测；在沿线声敏感点加强管理措施维护公路路面平整，定期监测等措施减轻交通噪声污染；提出严格控制公路两侧噪声敏感建筑物的规划和建设的建议。</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7</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公路建设应特别重视对饮用水水源地的保护，路线设计时，应尽量绕避饮用水水源保护区。为防范危险化学品运输带来的环境风险，对跨越饮用水水源二级保护区、准保护区和二类以上水体的桥梁，在确保安全</w:t>
            </w:r>
            <w:r>
              <w:rPr>
                <w:rFonts w:cs="Times New Roman"/>
                <w:kern w:val="0"/>
                <w:sz w:val="18"/>
                <w:szCs w:val="18"/>
              </w:rPr>
              <w:t>和技术可行的前提下，应在桥梁上设置桥面径流水收集系统，并在桥梁两侧设置沉淀池，对发生污染事故后的桥面径流进行处理，确保饮用水安全。</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选线不涉及饮用水源保护区、准保护区和二类以上水体，本项目跨越水体均为</w:t>
            </w:r>
            <w:r>
              <w:rPr>
                <w:rFonts w:eastAsia="微软雅黑" w:cs="Times New Roman"/>
                <w:kern w:val="0"/>
                <w:sz w:val="18"/>
                <w:szCs w:val="18"/>
              </w:rPr>
              <w:t>Ⅲ</w:t>
            </w:r>
            <w:r>
              <w:rPr>
                <w:rFonts w:cs="Times New Roman"/>
                <w:kern w:val="0"/>
                <w:sz w:val="18"/>
                <w:szCs w:val="18"/>
              </w:rPr>
              <w:t>类水体。</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r w:rsidR="00A46452">
        <w:trPr>
          <w:trHeight w:val="584"/>
        </w:trPr>
        <w:tc>
          <w:tcPr>
            <w:tcW w:w="236"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8</w:t>
            </w:r>
          </w:p>
        </w:tc>
        <w:tc>
          <w:tcPr>
            <w:tcW w:w="304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除国家规定需要保密的情形外，编制环境影响报告书的公路项目，建设单位应当在报批环境影响报告书前，采取便于公众知悉的方式，公开有关建设项目环境影响评价的信息，收集公众反馈意见，并对意见采纳情况进行说明。环保主管部门在受理环境影响报告书后，应当向社会公告受理的有关信息，必要时，可以通过听证会、论证会、座谈会等形式听取公众意见。</w:t>
            </w:r>
          </w:p>
        </w:tc>
        <w:tc>
          <w:tcPr>
            <w:tcW w:w="1256" w:type="pct"/>
            <w:vAlign w:val="center"/>
          </w:tcPr>
          <w:p w:rsidR="00A46452" w:rsidRDefault="009A3928">
            <w:pPr>
              <w:wordWrap w:val="0"/>
              <w:topLinePunct/>
              <w:adjustRightInd w:val="0"/>
              <w:snapToGrid w:val="0"/>
              <w:spacing w:line="240" w:lineRule="exact"/>
              <w:ind w:firstLineChars="0" w:firstLine="0"/>
              <w:rPr>
                <w:rFonts w:cs="Times New Roman"/>
                <w:kern w:val="0"/>
                <w:sz w:val="18"/>
                <w:szCs w:val="18"/>
              </w:rPr>
            </w:pPr>
            <w:r>
              <w:rPr>
                <w:rFonts w:cs="Times New Roman"/>
                <w:kern w:val="0"/>
                <w:sz w:val="18"/>
                <w:szCs w:val="18"/>
              </w:rPr>
              <w:t>新疆生产建设兵团第</w:t>
            </w:r>
            <w:r>
              <w:rPr>
                <w:rFonts w:cs="Times New Roman"/>
                <w:kern w:val="0"/>
                <w:sz w:val="18"/>
                <w:szCs w:val="18"/>
              </w:rPr>
              <w:t>三</w:t>
            </w:r>
            <w:r>
              <w:rPr>
                <w:rFonts w:cs="Times New Roman"/>
                <w:kern w:val="0"/>
                <w:sz w:val="18"/>
                <w:szCs w:val="18"/>
              </w:rPr>
              <w:t>师交通运输事业发展中心采用网络公示、张贴公告及报纸公示的方式开展了本项目公众参与。公示过程中，没有收到任何社会团体及个人对本项目建设的意见。</w:t>
            </w:r>
          </w:p>
        </w:tc>
        <w:tc>
          <w:tcPr>
            <w:tcW w:w="460" w:type="pct"/>
            <w:vAlign w:val="center"/>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符合</w:t>
            </w:r>
          </w:p>
        </w:tc>
      </w:tr>
    </w:tbl>
    <w:p w:rsidR="00A46452" w:rsidRDefault="009A3928">
      <w:pPr>
        <w:wordWrap w:val="0"/>
        <w:topLinePunct/>
        <w:adjustRightInd w:val="0"/>
        <w:snapToGrid w:val="0"/>
        <w:ind w:firstLine="482"/>
        <w:rPr>
          <w:rFonts w:cs="Times New Roman"/>
          <w:b/>
        </w:rPr>
      </w:pPr>
      <w:r>
        <w:rPr>
          <w:rFonts w:cs="Times New Roman"/>
          <w:b/>
        </w:rPr>
        <w:t>（</w:t>
      </w:r>
      <w:r>
        <w:rPr>
          <w:rFonts w:cs="Times New Roman"/>
          <w:b/>
        </w:rPr>
        <w:t>8</w:t>
      </w:r>
      <w:r>
        <w:rPr>
          <w:rFonts w:cs="Times New Roman"/>
          <w:b/>
        </w:rPr>
        <w:t>）与《新疆维吾</w:t>
      </w:r>
      <w:r>
        <w:rPr>
          <w:rFonts w:cs="Times New Roman"/>
          <w:b/>
        </w:rPr>
        <w:t>尔自治区主体功能区划》符合性分析</w:t>
      </w:r>
    </w:p>
    <w:p w:rsidR="00A46452" w:rsidRDefault="009A3928">
      <w:pPr>
        <w:wordWrap w:val="0"/>
        <w:topLinePunct/>
        <w:adjustRightInd w:val="0"/>
        <w:snapToGrid w:val="0"/>
        <w:ind w:firstLine="480"/>
        <w:rPr>
          <w:rFonts w:cs="Times New Roman"/>
        </w:rPr>
      </w:pPr>
      <w:r>
        <w:rPr>
          <w:rFonts w:cs="Times New Roman"/>
        </w:rPr>
        <w:t>根据《新疆维吾尔自治区主体功能区划》，拟建公路位于塔里木盆地暖温带及干旱沙漠、戈壁及绿洲农业生态功能区，沙漠化和盐渍化敏感程度高。目前水资源过度利用，生态系统退化明显。</w:t>
      </w:r>
    </w:p>
    <w:p w:rsidR="00A46452" w:rsidRDefault="009A3928">
      <w:pPr>
        <w:wordWrap w:val="0"/>
        <w:topLinePunct/>
        <w:adjustRightInd w:val="0"/>
        <w:snapToGrid w:val="0"/>
        <w:ind w:firstLine="480"/>
        <w:rPr>
          <w:rFonts w:cs="Times New Roman"/>
        </w:rPr>
      </w:pPr>
      <w:r>
        <w:rPr>
          <w:rFonts w:cs="Times New Roman"/>
        </w:rPr>
        <w:t>该区发展方向为合理利用地表水和地下水，调整农牧业结构，加强药材开发管理，禁止开垦草原，恢复天然植被，防止沙化面积扩大。</w:t>
      </w:r>
    </w:p>
    <w:p w:rsidR="00A46452" w:rsidRDefault="009A3928">
      <w:pPr>
        <w:wordWrap w:val="0"/>
        <w:topLinePunct/>
        <w:adjustRightInd w:val="0"/>
        <w:snapToGrid w:val="0"/>
        <w:ind w:firstLine="480"/>
        <w:rPr>
          <w:rFonts w:cs="Times New Roman"/>
        </w:rPr>
      </w:pPr>
      <w:r>
        <w:rPr>
          <w:rFonts w:cs="Times New Roman"/>
        </w:rPr>
        <w:t>本项目公路建成后，可明显改善区域交通运输条件，为改善区域农牧业结构，发展牧民定居经济带创造便利条件。</w:t>
      </w:r>
    </w:p>
    <w:p w:rsidR="00A46452" w:rsidRDefault="009A3928">
      <w:pPr>
        <w:wordWrap w:val="0"/>
        <w:topLinePunct/>
        <w:adjustRightInd w:val="0"/>
        <w:snapToGrid w:val="0"/>
        <w:ind w:firstLine="480"/>
        <w:rPr>
          <w:rFonts w:cs="Times New Roman"/>
        </w:rPr>
      </w:pPr>
      <w:r>
        <w:rPr>
          <w:rFonts w:cs="Times New Roman"/>
        </w:rPr>
        <w:t>环评要求公路在下一步设计中，应进一步优化路线，减少破坏植被和扰动范围，对天然植被进行恢复，并采取相应防风固沙措施，防止沙化面积扩大。</w:t>
      </w:r>
    </w:p>
    <w:p w:rsidR="00A46452" w:rsidRDefault="009A3928">
      <w:pPr>
        <w:wordWrap w:val="0"/>
        <w:topLinePunct/>
        <w:adjustRightInd w:val="0"/>
        <w:snapToGrid w:val="0"/>
        <w:ind w:firstLine="480"/>
        <w:rPr>
          <w:rFonts w:cs="Times New Roman"/>
        </w:rPr>
      </w:pPr>
      <w:r>
        <w:rPr>
          <w:rFonts w:cs="Times New Roman"/>
        </w:rPr>
        <w:t>本项目与《新疆维吾尔自治区主体功能区划》功能定位一致。</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9</w:t>
      </w:r>
      <w:r>
        <w:rPr>
          <w:rFonts w:cs="Times New Roman"/>
          <w:b/>
        </w:rPr>
        <w:t>）与《新疆生态环境保护</w:t>
      </w:r>
      <w:r>
        <w:rPr>
          <w:rFonts w:cs="Times New Roman"/>
          <w:b/>
        </w:rPr>
        <w:t>“</w:t>
      </w:r>
      <w:r>
        <w:rPr>
          <w:rFonts w:cs="Times New Roman"/>
          <w:b/>
        </w:rPr>
        <w:t>十四五</w:t>
      </w:r>
      <w:r>
        <w:rPr>
          <w:rFonts w:cs="Times New Roman"/>
          <w:b/>
        </w:rPr>
        <w:t>”</w:t>
      </w:r>
      <w:r>
        <w:rPr>
          <w:rFonts w:cs="Times New Roman"/>
          <w:b/>
        </w:rPr>
        <w:t>规划》符合性分析</w:t>
      </w:r>
    </w:p>
    <w:p w:rsidR="00A46452" w:rsidRDefault="009A3928">
      <w:pPr>
        <w:wordWrap w:val="0"/>
        <w:topLinePunct/>
        <w:adjustRightInd w:val="0"/>
        <w:snapToGrid w:val="0"/>
        <w:ind w:firstLine="480"/>
        <w:rPr>
          <w:rFonts w:cs="Times New Roman"/>
        </w:rPr>
      </w:pPr>
      <w:r>
        <w:rPr>
          <w:rFonts w:cs="Times New Roman"/>
        </w:rPr>
        <w:t>《新疆生态环境保护</w:t>
      </w:r>
      <w:r>
        <w:rPr>
          <w:rFonts w:cs="Times New Roman"/>
        </w:rPr>
        <w:t>“</w:t>
      </w:r>
      <w:r>
        <w:rPr>
          <w:rFonts w:cs="Times New Roman"/>
        </w:rPr>
        <w:t>十四五</w:t>
      </w:r>
      <w:r>
        <w:rPr>
          <w:rFonts w:cs="Times New Roman"/>
        </w:rPr>
        <w:t>”</w:t>
      </w:r>
      <w:r>
        <w:rPr>
          <w:rFonts w:cs="Times New Roman"/>
        </w:rPr>
        <w:t>规划》提出构建绿色交通运输体系：加快货物运输绿色转型。大力推广</w:t>
      </w:r>
      <w:r>
        <w:rPr>
          <w:rFonts w:cs="Times New Roman"/>
        </w:rPr>
        <w:t>“</w:t>
      </w:r>
      <w:r>
        <w:rPr>
          <w:rFonts w:cs="Times New Roman"/>
        </w:rPr>
        <w:t>公转铁</w:t>
      </w:r>
      <w:r>
        <w:rPr>
          <w:rFonts w:cs="Times New Roman"/>
        </w:rPr>
        <w:t>”</w:t>
      </w:r>
      <w:r>
        <w:rPr>
          <w:rFonts w:cs="Times New Roman"/>
        </w:rPr>
        <w:t>运输组织模式，力争长距离公路货物运输量占比逐年递减，铁路发送量占比持续增加。推进重点工业企业和工业园区的原辅材料及产品由公路运输向铁路运输转移，降低大宗货物公路运输比重，减少重型柴油车使用强度。持续强化货运车辆燃油消耗量限值标准管理。</w:t>
      </w:r>
    </w:p>
    <w:p w:rsidR="00A46452" w:rsidRDefault="009A3928">
      <w:pPr>
        <w:wordWrap w:val="0"/>
        <w:topLinePunct/>
        <w:adjustRightInd w:val="0"/>
        <w:snapToGrid w:val="0"/>
        <w:ind w:firstLine="480"/>
        <w:rPr>
          <w:rFonts w:cs="Times New Roman"/>
        </w:rPr>
      </w:pPr>
      <w:r>
        <w:rPr>
          <w:rFonts w:cs="Times New Roman"/>
        </w:rPr>
        <w:t>推广绿色新能源技术。积极推广新能源汽车，加快充电桩建设，建设高速公路沿线、物流集散地充电桩，鼓励开展充电桩进小区相关工作，完善新能源汽车推广补贴政策。逐年增加新能源车辆占比，提高城市公交领域新能源车辆数量。</w:t>
      </w:r>
    </w:p>
    <w:p w:rsidR="00A46452" w:rsidRDefault="009A3928" w:rsidP="00182EED">
      <w:pPr>
        <w:wordWrap w:val="0"/>
        <w:topLinePunct/>
        <w:adjustRightInd w:val="0"/>
        <w:snapToGrid w:val="0"/>
        <w:ind w:firstLine="480"/>
        <w:jc w:val="left"/>
        <w:rPr>
          <w:rFonts w:cs="Times New Roman"/>
        </w:rPr>
      </w:pPr>
      <w:r>
        <w:rPr>
          <w:rFonts w:cs="Times New Roman"/>
        </w:rPr>
        <w:t>本项目</w:t>
      </w:r>
      <w:r>
        <w:rPr>
          <w:rFonts w:cs="Times New Roman"/>
          <w:kern w:val="0"/>
          <w:szCs w:val="24"/>
          <w:lang w:bidi="ar"/>
        </w:rPr>
        <w:t>位于新疆生产建设兵团第三师图木舒克市、</w:t>
      </w:r>
      <w:r>
        <w:rPr>
          <w:rFonts w:cs="Times New Roman"/>
          <w:kern w:val="0"/>
          <w:szCs w:val="24"/>
          <w:lang w:bidi="ar"/>
        </w:rPr>
        <w:t>喀什地区</w:t>
      </w:r>
      <w:r>
        <w:rPr>
          <w:rFonts w:cs="Times New Roman"/>
          <w:kern w:val="0"/>
          <w:szCs w:val="24"/>
          <w:lang w:bidi="ar"/>
        </w:rPr>
        <w:t>巴楚县、</w:t>
      </w:r>
      <w:r>
        <w:rPr>
          <w:rFonts w:cs="Times New Roman"/>
          <w:kern w:val="0"/>
          <w:szCs w:val="24"/>
          <w:lang w:bidi="ar"/>
        </w:rPr>
        <w:t>阿克苏地</w:t>
      </w:r>
      <w:r>
        <w:rPr>
          <w:rFonts w:cs="Times New Roman"/>
          <w:kern w:val="0"/>
          <w:szCs w:val="24"/>
          <w:lang w:bidi="ar"/>
        </w:rPr>
        <w:t>区</w:t>
      </w:r>
      <w:r>
        <w:rPr>
          <w:rFonts w:cs="Times New Roman"/>
          <w:kern w:val="0"/>
          <w:szCs w:val="24"/>
          <w:lang w:bidi="ar"/>
        </w:rPr>
        <w:t>柯坪县境内。拟建公路是兵团省道网规划中</w:t>
      </w:r>
      <w:r>
        <w:rPr>
          <w:rFonts w:cs="Times New Roman"/>
          <w:kern w:val="0"/>
          <w:szCs w:val="24"/>
          <w:lang w:bidi="ar"/>
        </w:rPr>
        <w:t>S308</w:t>
      </w:r>
      <w:r>
        <w:rPr>
          <w:rFonts w:cs="Times New Roman"/>
          <w:kern w:val="0"/>
          <w:szCs w:val="24"/>
          <w:lang w:bidi="ar"/>
        </w:rPr>
        <w:t>线的组成部分，也是南疆南北大通道：别迭里口岸</w:t>
      </w:r>
      <w:r>
        <w:rPr>
          <w:rFonts w:cs="Times New Roman"/>
          <w:kern w:val="0"/>
          <w:szCs w:val="24"/>
          <w:lang w:bidi="ar"/>
        </w:rPr>
        <w:t>－</w:t>
      </w:r>
      <w:r>
        <w:rPr>
          <w:rFonts w:cs="Times New Roman"/>
          <w:kern w:val="0"/>
          <w:szCs w:val="24"/>
          <w:lang w:bidi="ar"/>
        </w:rPr>
        <w:t>乌什县（</w:t>
      </w:r>
      <w:r>
        <w:rPr>
          <w:rFonts w:cs="Times New Roman"/>
          <w:kern w:val="0"/>
          <w:szCs w:val="24"/>
          <w:lang w:bidi="ar"/>
        </w:rPr>
        <w:t>G219</w:t>
      </w:r>
      <w:r>
        <w:rPr>
          <w:rFonts w:cs="Times New Roman"/>
          <w:kern w:val="0"/>
          <w:szCs w:val="24"/>
          <w:lang w:bidi="ar"/>
        </w:rPr>
        <w:t>）</w:t>
      </w:r>
      <w:r>
        <w:rPr>
          <w:rFonts w:cs="Times New Roman"/>
          <w:kern w:val="0"/>
          <w:szCs w:val="24"/>
          <w:lang w:bidi="ar"/>
        </w:rPr>
        <w:t>－</w:t>
      </w:r>
      <w:r>
        <w:rPr>
          <w:rFonts w:cs="Times New Roman"/>
          <w:kern w:val="0"/>
          <w:szCs w:val="24"/>
          <w:lang w:bidi="ar"/>
        </w:rPr>
        <w:t>阿克苏地区柯坪县（</w:t>
      </w:r>
      <w:r>
        <w:rPr>
          <w:rFonts w:cs="Times New Roman"/>
          <w:kern w:val="0"/>
          <w:szCs w:val="24"/>
          <w:lang w:bidi="ar"/>
        </w:rPr>
        <w:t>G3012</w:t>
      </w:r>
      <w:r>
        <w:rPr>
          <w:rFonts w:cs="Times New Roman"/>
          <w:kern w:val="0"/>
          <w:szCs w:val="24"/>
          <w:lang w:bidi="ar"/>
        </w:rPr>
        <w:t>、</w:t>
      </w:r>
      <w:r>
        <w:rPr>
          <w:rFonts w:cs="Times New Roman"/>
          <w:kern w:val="0"/>
          <w:szCs w:val="24"/>
          <w:lang w:bidi="ar"/>
        </w:rPr>
        <w:t>G314</w:t>
      </w:r>
      <w:r>
        <w:rPr>
          <w:rFonts w:cs="Times New Roman"/>
          <w:kern w:val="0"/>
          <w:szCs w:val="24"/>
          <w:lang w:bidi="ar"/>
        </w:rPr>
        <w:t>）</w:t>
      </w:r>
      <w:r>
        <w:rPr>
          <w:rFonts w:cs="Times New Roman"/>
          <w:kern w:val="0"/>
          <w:szCs w:val="24"/>
          <w:lang w:bidi="ar"/>
        </w:rPr>
        <w:t>－</w:t>
      </w:r>
      <w:r>
        <w:rPr>
          <w:rFonts w:cs="Times New Roman"/>
          <w:kern w:val="0"/>
          <w:szCs w:val="24"/>
          <w:lang w:bidi="ar"/>
        </w:rPr>
        <w:t>第三师图木舒克市（</w:t>
      </w:r>
      <w:r>
        <w:rPr>
          <w:rFonts w:cs="Times New Roman"/>
          <w:kern w:val="0"/>
          <w:szCs w:val="24"/>
          <w:lang w:bidi="ar"/>
        </w:rPr>
        <w:t>G217</w:t>
      </w:r>
      <w:r>
        <w:rPr>
          <w:rFonts w:cs="Times New Roman"/>
          <w:kern w:val="0"/>
          <w:szCs w:val="24"/>
          <w:lang w:bidi="ar"/>
        </w:rPr>
        <w:t>）</w:t>
      </w:r>
      <w:r>
        <w:rPr>
          <w:rFonts w:cs="Times New Roman"/>
          <w:kern w:val="0"/>
          <w:szCs w:val="24"/>
          <w:lang w:bidi="ar"/>
        </w:rPr>
        <w:t>－</w:t>
      </w:r>
      <w:r>
        <w:rPr>
          <w:rFonts w:cs="Times New Roman"/>
          <w:kern w:val="0"/>
          <w:szCs w:val="24"/>
          <w:lang w:bidi="ar"/>
        </w:rPr>
        <w:t>第十四师昆玉市、</w:t>
      </w:r>
      <w:r>
        <w:rPr>
          <w:rFonts w:cs="Times New Roman"/>
          <w:kern w:val="0"/>
          <w:szCs w:val="24"/>
          <w:lang w:bidi="ar"/>
        </w:rPr>
        <w:t>224</w:t>
      </w:r>
      <w:r>
        <w:rPr>
          <w:rFonts w:cs="Times New Roman"/>
          <w:kern w:val="0"/>
          <w:szCs w:val="24"/>
          <w:lang w:bidi="ar"/>
        </w:rPr>
        <w:t>团（</w:t>
      </w:r>
      <w:r>
        <w:rPr>
          <w:rFonts w:cs="Times New Roman"/>
          <w:kern w:val="0"/>
          <w:szCs w:val="24"/>
          <w:lang w:bidi="ar"/>
        </w:rPr>
        <w:t>G315</w:t>
      </w:r>
      <w:r>
        <w:rPr>
          <w:rFonts w:cs="Times New Roman"/>
          <w:kern w:val="0"/>
          <w:szCs w:val="24"/>
          <w:lang w:bidi="ar"/>
        </w:rPr>
        <w:t>、</w:t>
      </w:r>
      <w:r>
        <w:rPr>
          <w:rFonts w:cs="Times New Roman"/>
          <w:kern w:val="0"/>
          <w:szCs w:val="24"/>
          <w:lang w:bidi="ar"/>
        </w:rPr>
        <w:t>G3012</w:t>
      </w:r>
      <w:r>
        <w:rPr>
          <w:rFonts w:cs="Times New Roman"/>
          <w:kern w:val="0"/>
          <w:szCs w:val="24"/>
          <w:lang w:bidi="ar"/>
        </w:rPr>
        <w:t>）的重要组成部分。同时也是图木舒克市东北方向对外的快速出口道路。项目的建成将实现公、铁、空联运、零距离转换，促进图木舒克市的综合交通运输发展。拟建公路的建设对维护区域稳定，促进兵地融合发展、促进社会经济发展，完善区域路网结构都有着重大意义</w:t>
      </w:r>
      <w:r>
        <w:rPr>
          <w:rFonts w:cs="Times New Roman"/>
        </w:rPr>
        <w:t>，为兵团南疆城市集群建设的目标达成提供了优</w:t>
      </w:r>
      <w:r>
        <w:rPr>
          <w:rFonts w:cs="Times New Roman"/>
        </w:rPr>
        <w:t>质交通基础保障，对提升南疆地区整体路网服务功能具有重要意义。同时项目的建设将改善</w:t>
      </w:r>
      <w:r>
        <w:rPr>
          <w:rFonts w:cs="Times New Roman"/>
        </w:rPr>
        <w:t>图木舒克市</w:t>
      </w:r>
      <w:r>
        <w:rPr>
          <w:rFonts w:cs="Times New Roman"/>
        </w:rPr>
        <w:t>、</w:t>
      </w:r>
      <w:r>
        <w:rPr>
          <w:rFonts w:cs="Times New Roman"/>
        </w:rPr>
        <w:t>柯坪县</w:t>
      </w:r>
      <w:r>
        <w:rPr>
          <w:rFonts w:cs="Times New Roman"/>
        </w:rPr>
        <w:t>的整体公路网体系，改善现状公路等级低、路况差、病害多的路况，提高</w:t>
      </w:r>
      <w:r>
        <w:rPr>
          <w:rFonts w:cs="Times New Roman"/>
        </w:rPr>
        <w:t>通行</w:t>
      </w:r>
      <w:r>
        <w:rPr>
          <w:rFonts w:cs="Times New Roman"/>
        </w:rPr>
        <w:t>条件可有效降低机动车辆的尾气排放，</w:t>
      </w:r>
      <w:r>
        <w:rPr>
          <w:rFonts w:cs="Times New Roman"/>
          <w:kern w:val="0"/>
        </w:rPr>
        <w:t>因此本项目符合</w:t>
      </w:r>
      <w:r>
        <w:rPr>
          <w:rFonts w:cs="Times New Roman"/>
        </w:rPr>
        <w:t>《新疆生态环境保护</w:t>
      </w:r>
      <w:r>
        <w:rPr>
          <w:rFonts w:cs="Times New Roman"/>
        </w:rPr>
        <w:t>“</w:t>
      </w:r>
      <w:r>
        <w:rPr>
          <w:rFonts w:cs="Times New Roman"/>
        </w:rPr>
        <w:t>十四五</w:t>
      </w:r>
      <w:r>
        <w:rPr>
          <w:rFonts w:cs="Times New Roman"/>
        </w:rPr>
        <w:t>”</w:t>
      </w:r>
      <w:r>
        <w:rPr>
          <w:rFonts w:cs="Times New Roman"/>
        </w:rPr>
        <w:t>规划》中构建绿色交通运输体系的相关要求。</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10</w:t>
      </w:r>
      <w:r>
        <w:rPr>
          <w:rFonts w:cs="Times New Roman"/>
          <w:b/>
        </w:rPr>
        <w:t>）与《新疆生产建设兵团</w:t>
      </w:r>
      <w:r>
        <w:rPr>
          <w:rFonts w:cs="Times New Roman"/>
          <w:b/>
        </w:rPr>
        <w:t>“</w:t>
      </w:r>
      <w:r>
        <w:rPr>
          <w:rFonts w:cs="Times New Roman"/>
          <w:b/>
        </w:rPr>
        <w:t>十四五</w:t>
      </w:r>
      <w:r>
        <w:rPr>
          <w:rFonts w:cs="Times New Roman"/>
          <w:b/>
        </w:rPr>
        <w:t>”</w:t>
      </w:r>
      <w:r>
        <w:rPr>
          <w:rFonts w:cs="Times New Roman"/>
          <w:b/>
        </w:rPr>
        <w:t>生态环境保护规划》符合性分析</w:t>
      </w:r>
    </w:p>
    <w:p w:rsidR="00A46452" w:rsidRDefault="009A3928">
      <w:pPr>
        <w:wordWrap w:val="0"/>
        <w:topLinePunct/>
        <w:adjustRightInd w:val="0"/>
        <w:snapToGrid w:val="0"/>
        <w:ind w:firstLine="480"/>
        <w:rPr>
          <w:rFonts w:cs="Times New Roman"/>
        </w:rPr>
      </w:pPr>
      <w:r>
        <w:rPr>
          <w:rFonts w:cs="Times New Roman"/>
        </w:rPr>
        <w:t>《新疆生产建设兵团</w:t>
      </w:r>
      <w:r>
        <w:rPr>
          <w:rFonts w:cs="Times New Roman"/>
        </w:rPr>
        <w:t>“</w:t>
      </w:r>
      <w:r>
        <w:rPr>
          <w:rFonts w:cs="Times New Roman"/>
        </w:rPr>
        <w:t>十四五</w:t>
      </w:r>
      <w:r>
        <w:rPr>
          <w:rFonts w:cs="Times New Roman"/>
        </w:rPr>
        <w:t>”</w:t>
      </w:r>
      <w:r>
        <w:rPr>
          <w:rFonts w:cs="Times New Roman"/>
        </w:rPr>
        <w:t>生态环境保护规划》的推动绿色低碳循环发展中提出构建绿色综合交通运输体系：优化公共交通网络，探索绿色出行模式。加快城市与团场城镇之间的快速交通网络建设，合理布局团场城镇客运站及简易停靠站，加大垦区主要干道和城镇客运站点的升级改造；到</w:t>
      </w:r>
      <w:r>
        <w:rPr>
          <w:rFonts w:cs="Times New Roman"/>
        </w:rPr>
        <w:t>2025</w:t>
      </w:r>
      <w:r>
        <w:rPr>
          <w:rFonts w:cs="Times New Roman"/>
        </w:rPr>
        <w:t>年，第一师阿拉尔市、第六师五家渠市、第八师石河子市等有条件的城市实现公共交通向市域团场延伸。</w:t>
      </w:r>
    </w:p>
    <w:p w:rsidR="00A46452" w:rsidRDefault="009A3928">
      <w:pPr>
        <w:wordWrap w:val="0"/>
        <w:topLinePunct/>
        <w:adjustRightInd w:val="0"/>
        <w:snapToGrid w:val="0"/>
        <w:ind w:firstLine="480"/>
        <w:rPr>
          <w:rFonts w:cs="Times New Roman"/>
        </w:rPr>
      </w:pPr>
      <w:r>
        <w:rPr>
          <w:rFonts w:cs="Times New Roman"/>
        </w:rPr>
        <w:t>本项目位于第</w:t>
      </w:r>
      <w:r>
        <w:rPr>
          <w:rFonts w:cs="Times New Roman"/>
        </w:rPr>
        <w:t>三</w:t>
      </w:r>
      <w:r>
        <w:rPr>
          <w:rFonts w:cs="Times New Roman"/>
        </w:rPr>
        <w:t>师</w:t>
      </w:r>
      <w:r>
        <w:rPr>
          <w:rFonts w:cs="Times New Roman"/>
        </w:rPr>
        <w:t>图木舒克市</w:t>
      </w:r>
      <w:r>
        <w:rPr>
          <w:rFonts w:cs="Times New Roman"/>
        </w:rPr>
        <w:t>、</w:t>
      </w:r>
      <w:r>
        <w:rPr>
          <w:rFonts w:cs="Times New Roman"/>
        </w:rPr>
        <w:t>喀什地区巴楚县、</w:t>
      </w:r>
      <w:r>
        <w:rPr>
          <w:rFonts w:cs="Times New Roman"/>
        </w:rPr>
        <w:t>阿克苏地区</w:t>
      </w:r>
      <w:r>
        <w:rPr>
          <w:rFonts w:cs="Times New Roman"/>
        </w:rPr>
        <w:t>柯坪县</w:t>
      </w:r>
      <w:r>
        <w:rPr>
          <w:rFonts w:cs="Times New Roman"/>
        </w:rPr>
        <w:t>境内，是兵团公路网的重要组成部分，是兵团南疆重要的战略维稳戍边通道，也是兵团公路</w:t>
      </w:r>
      <w:r>
        <w:rPr>
          <w:rFonts w:cs="Times New Roman"/>
        </w:rPr>
        <w:t>“</w:t>
      </w:r>
      <w:r>
        <w:rPr>
          <w:rFonts w:cs="Times New Roman"/>
        </w:rPr>
        <w:t>十四五</w:t>
      </w:r>
      <w:r>
        <w:rPr>
          <w:rFonts w:cs="Times New Roman"/>
        </w:rPr>
        <w:t>”</w:t>
      </w:r>
      <w:r>
        <w:rPr>
          <w:rFonts w:cs="Times New Roman"/>
        </w:rPr>
        <w:t>规划中的干线公路。项目的建设将</w:t>
      </w:r>
      <w:r>
        <w:rPr>
          <w:rFonts w:cs="Times New Roman"/>
        </w:rPr>
        <w:t>改善</w:t>
      </w:r>
      <w:r>
        <w:rPr>
          <w:rFonts w:cs="Times New Roman"/>
        </w:rPr>
        <w:t>第三师图木舒克市、</w:t>
      </w:r>
      <w:r>
        <w:rPr>
          <w:rFonts w:cs="Times New Roman"/>
        </w:rPr>
        <w:t>阿克苏</w:t>
      </w:r>
      <w:r>
        <w:rPr>
          <w:rFonts w:cs="Times New Roman"/>
        </w:rPr>
        <w:t>地区</w:t>
      </w:r>
      <w:r>
        <w:rPr>
          <w:rFonts w:cs="Times New Roman"/>
        </w:rPr>
        <w:t>的整体公路网体系，改善现状公路等级低、路况差、病害多的路况，提高</w:t>
      </w:r>
      <w:r>
        <w:rPr>
          <w:rFonts w:cs="Times New Roman"/>
        </w:rPr>
        <w:t>通行</w:t>
      </w:r>
      <w:r>
        <w:rPr>
          <w:rFonts w:cs="Times New Roman"/>
        </w:rPr>
        <w:t>条件可有效降低机动车辆的尾气排放。因此本项目符合《新疆生产建设兵团</w:t>
      </w:r>
      <w:r>
        <w:rPr>
          <w:rFonts w:cs="Times New Roman"/>
        </w:rPr>
        <w:t>“</w:t>
      </w:r>
      <w:r>
        <w:rPr>
          <w:rFonts w:cs="Times New Roman"/>
        </w:rPr>
        <w:t>十四五</w:t>
      </w:r>
      <w:r>
        <w:rPr>
          <w:rFonts w:cs="Times New Roman"/>
        </w:rPr>
        <w:t>”</w:t>
      </w:r>
      <w:r>
        <w:rPr>
          <w:rFonts w:cs="Times New Roman"/>
        </w:rPr>
        <w:t>生态环境保护规划》有关要求。</w:t>
      </w:r>
    </w:p>
    <w:p w:rsidR="00A46452" w:rsidRDefault="009A3928">
      <w:pPr>
        <w:wordWrap w:val="0"/>
        <w:topLinePunct/>
        <w:adjustRightInd w:val="0"/>
        <w:snapToGrid w:val="0"/>
        <w:ind w:firstLine="482"/>
        <w:rPr>
          <w:rFonts w:cs="Times New Roman"/>
          <w:b/>
        </w:rPr>
      </w:pPr>
      <w:r>
        <w:rPr>
          <w:rFonts w:cs="Times New Roman"/>
          <w:b/>
        </w:rPr>
        <w:t>（</w:t>
      </w:r>
      <w:r>
        <w:rPr>
          <w:rFonts w:cs="Times New Roman"/>
          <w:b/>
        </w:rPr>
        <w:t>1</w:t>
      </w:r>
      <w:r>
        <w:rPr>
          <w:rFonts w:cs="Times New Roman"/>
          <w:b/>
        </w:rPr>
        <w:t>1</w:t>
      </w:r>
      <w:r>
        <w:rPr>
          <w:rFonts w:cs="Times New Roman"/>
          <w:b/>
        </w:rPr>
        <w:t>）与《生态功能区划》协调性分析</w:t>
      </w:r>
    </w:p>
    <w:p w:rsidR="00A46452" w:rsidRDefault="009A3928">
      <w:pPr>
        <w:wordWrap w:val="0"/>
        <w:topLinePunct/>
        <w:adjustRightInd w:val="0"/>
        <w:snapToGrid w:val="0"/>
        <w:ind w:firstLine="480"/>
        <w:rPr>
          <w:rFonts w:cs="Times New Roman"/>
        </w:rPr>
      </w:pPr>
      <w:r>
        <w:rPr>
          <w:rFonts w:cs="Times New Roman"/>
        </w:rPr>
        <w:t>根据</w:t>
      </w:r>
      <w:r>
        <w:rPr>
          <w:rFonts w:cs="Times New Roman"/>
          <w:bCs/>
        </w:rPr>
        <w:t>《新疆生态功能区划》</w:t>
      </w:r>
      <w:r>
        <w:rPr>
          <w:rFonts w:cs="Times New Roman"/>
        </w:rPr>
        <w:t>，</w:t>
      </w:r>
      <w:r>
        <w:rPr>
          <w:rFonts w:cs="Times New Roman"/>
        </w:rPr>
        <w:t>拟建</w:t>
      </w:r>
      <w:r>
        <w:rPr>
          <w:rFonts w:cs="Times New Roman" w:hint="eastAsia"/>
        </w:rPr>
        <w:t>路段</w:t>
      </w:r>
      <w:r>
        <w:rPr>
          <w:rFonts w:cs="Times New Roman"/>
        </w:rPr>
        <w:t>所在区域位于</w:t>
      </w:r>
      <w:r>
        <w:rPr>
          <w:rFonts w:cs="Times New Roman"/>
          <w:bCs/>
        </w:rPr>
        <w:t>喀什地区</w:t>
      </w:r>
      <w:r>
        <w:rPr>
          <w:rFonts w:cs="Times New Roman"/>
        </w:rPr>
        <w:t>巴楚县</w:t>
      </w:r>
      <w:r>
        <w:rPr>
          <w:rFonts w:cs="Times New Roman"/>
        </w:rPr>
        <w:t>、</w:t>
      </w:r>
      <w:r>
        <w:rPr>
          <w:rFonts w:cs="Times New Roman"/>
        </w:rPr>
        <w:t>阿克苏地区柯坪县</w:t>
      </w:r>
      <w:r>
        <w:rPr>
          <w:rFonts w:cs="Times New Roman"/>
          <w:bCs/>
        </w:rPr>
        <w:t>属于塔里木盆地暖温带</w:t>
      </w:r>
      <w:r>
        <w:rPr>
          <w:rFonts w:cs="Times New Roman"/>
          <w:bCs/>
        </w:rPr>
        <w:t>极</w:t>
      </w:r>
      <w:r>
        <w:rPr>
          <w:rFonts w:cs="Times New Roman"/>
          <w:bCs/>
        </w:rPr>
        <w:t>干旱沙漠、戈壁及绿洲农业生态功能区</w:t>
      </w:r>
      <w:r>
        <w:rPr>
          <w:rFonts w:cs="Times New Roman"/>
          <w:bCs/>
        </w:rPr>
        <w:t>。</w:t>
      </w:r>
      <w:r>
        <w:rPr>
          <w:rFonts w:cs="Times New Roman"/>
        </w:rPr>
        <w:t>该生态功能区主要生态环境问题为土壤盐渍化、风沙危害、荒漠植被及胡杨林破坏、乱挖甘草、平原水库蒸发渗漏损失严重、油气开发污染环境、土壤环境质量下降</w:t>
      </w:r>
      <w:r>
        <w:rPr>
          <w:rFonts w:cs="Times New Roman"/>
        </w:rPr>
        <w:t>；</w:t>
      </w:r>
      <w:r>
        <w:rPr>
          <w:rFonts w:cs="Times New Roman"/>
        </w:rPr>
        <w:t>主要保护目标为</w:t>
      </w:r>
      <w:r>
        <w:rPr>
          <w:rFonts w:cs="Times New Roman"/>
        </w:rPr>
        <w:t>保护荒漠植被、保护荒漠河岸林、保护农田土壤环境质量</w:t>
      </w:r>
      <w:r>
        <w:rPr>
          <w:rFonts w:cs="Times New Roman"/>
        </w:rPr>
        <w:t>；主要保护措施</w:t>
      </w:r>
      <w:r>
        <w:rPr>
          <w:rFonts w:cs="Times New Roman"/>
        </w:rPr>
        <w:t>为适度开发地下水、增加向塔河输水量、退耕还林还草、废除部分平原水库、节水灌溉、加强农田投入品的使用管理。</w:t>
      </w:r>
    </w:p>
    <w:p w:rsidR="00A46452" w:rsidRDefault="009A3928">
      <w:pPr>
        <w:wordWrap w:val="0"/>
        <w:topLinePunct/>
        <w:adjustRightInd w:val="0"/>
        <w:snapToGrid w:val="0"/>
        <w:ind w:firstLine="480"/>
        <w:rPr>
          <w:rFonts w:cs="Times New Roman"/>
        </w:rPr>
      </w:pPr>
      <w:r>
        <w:rPr>
          <w:rFonts w:cs="Times New Roman" w:hint="eastAsia"/>
        </w:rPr>
        <w:t>根据《新疆生产建设兵团生态功能区划》，</w:t>
      </w:r>
      <w:r>
        <w:rPr>
          <w:rFonts w:cs="Times New Roman"/>
        </w:rPr>
        <w:t>拟建</w:t>
      </w:r>
      <w:r>
        <w:rPr>
          <w:rFonts w:cs="Times New Roman" w:hint="eastAsia"/>
        </w:rPr>
        <w:t>路段</w:t>
      </w:r>
      <w:r>
        <w:rPr>
          <w:rFonts w:cs="Times New Roman"/>
        </w:rPr>
        <w:t>所在区域位于第三师图木舒克市</w:t>
      </w:r>
      <w:r>
        <w:rPr>
          <w:rFonts w:cs="Times New Roman"/>
        </w:rPr>
        <w:t>44</w:t>
      </w:r>
      <w:r>
        <w:rPr>
          <w:rFonts w:cs="Times New Roman"/>
        </w:rPr>
        <w:t>团、</w:t>
      </w:r>
      <w:r>
        <w:rPr>
          <w:rFonts w:cs="Times New Roman"/>
        </w:rPr>
        <w:t>51</w:t>
      </w:r>
      <w:r>
        <w:rPr>
          <w:rFonts w:cs="Times New Roman"/>
        </w:rPr>
        <w:t>团、</w:t>
      </w:r>
      <w:r>
        <w:rPr>
          <w:rFonts w:cs="Times New Roman"/>
        </w:rPr>
        <w:t>50</w:t>
      </w:r>
      <w:r>
        <w:rPr>
          <w:rFonts w:cs="Times New Roman"/>
        </w:rPr>
        <w:t>团、</w:t>
      </w:r>
      <w:r>
        <w:rPr>
          <w:rFonts w:cs="Times New Roman"/>
        </w:rPr>
        <w:t>53</w:t>
      </w:r>
      <w:r>
        <w:rPr>
          <w:rFonts w:cs="Times New Roman"/>
        </w:rPr>
        <w:t>团属于塔里木盆地暖温荒漠及绿洲农业生态区，该生态功能区主要生态问题为河水大量引用</w:t>
      </w:r>
      <w:r>
        <w:rPr>
          <w:rFonts w:cs="Times New Roman"/>
        </w:rPr>
        <w:t>使河岸荒漠林衰败破坏资源植物甘草、土壤盐渍化；</w:t>
      </w:r>
      <w:r>
        <w:rPr>
          <w:rFonts w:cs="Times New Roman"/>
        </w:rPr>
        <w:t>主要保护目标为保护绿洲农田、保护荒漠及资源植被、保护河岸荒漠林；主要保护措施为适度开发地下水，节水灌溉，大力发展农田和生态防护林建设，禁止乱挖野生资源植物甘草。</w:t>
      </w:r>
    </w:p>
    <w:p w:rsidR="00A46452" w:rsidRDefault="009A3928">
      <w:pPr>
        <w:wordWrap w:val="0"/>
        <w:topLinePunct/>
        <w:adjustRightInd w:val="0"/>
        <w:snapToGrid w:val="0"/>
        <w:ind w:firstLine="480"/>
        <w:rPr>
          <w:rFonts w:cs="Times New Roman"/>
        </w:rPr>
      </w:pPr>
      <w:r>
        <w:rPr>
          <w:rFonts w:cs="Times New Roman"/>
        </w:rPr>
        <w:t>本评价要求拟建公路在设计中，尽量减少占用耕地、林地资源，减少临时设施布设，以减少破坏植被和扰动范围，并采取相应生态补偿及恢复、防风固沙等措施，拟建公路与该区的生态功能区划要求和发展方向是一致的。</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55" w:name="_Toc34989572"/>
      <w:bookmarkStart w:id="256" w:name="_Toc57826734"/>
      <w:r>
        <w:rPr>
          <w:rFonts w:cs="Times New Roman" w:hint="default"/>
          <w:sz w:val="28"/>
          <w:szCs w:val="28"/>
        </w:rPr>
        <w:t>5.3.4</w:t>
      </w:r>
      <w:r>
        <w:rPr>
          <w:rFonts w:cs="Times New Roman" w:hint="default"/>
          <w:sz w:val="28"/>
          <w:szCs w:val="28"/>
        </w:rPr>
        <w:t>生态环境分区管控的符合性分析</w:t>
      </w:r>
      <w:bookmarkEnd w:id="255"/>
      <w:bookmarkEnd w:id="256"/>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5.3.4.1</w:t>
      </w:r>
      <w:r>
        <w:rPr>
          <w:rFonts w:cs="Times New Roman" w:hint="default"/>
        </w:rPr>
        <w:t>与</w:t>
      </w:r>
      <w:r>
        <w:rPr>
          <w:rFonts w:cs="Times New Roman" w:hint="default"/>
        </w:rPr>
        <w:t>《新疆维吾尔自治区</w:t>
      </w:r>
      <w:r>
        <w:rPr>
          <w:rFonts w:cs="Times New Roman" w:hint="default"/>
        </w:rPr>
        <w:t>“</w:t>
      </w:r>
      <w:r>
        <w:rPr>
          <w:rFonts w:cs="Times New Roman" w:hint="default"/>
        </w:rPr>
        <w:t>三线一单</w:t>
      </w:r>
      <w:r>
        <w:rPr>
          <w:rFonts w:cs="Times New Roman" w:hint="default"/>
        </w:rPr>
        <w:t>”</w:t>
      </w:r>
      <w:r>
        <w:rPr>
          <w:rFonts w:cs="Times New Roman" w:hint="default"/>
        </w:rPr>
        <w:t>生态环境分区管控方案》</w:t>
      </w:r>
      <w:r>
        <w:rPr>
          <w:rFonts w:cs="Times New Roman" w:hint="default"/>
        </w:rPr>
        <w:t>《关于印发</w:t>
      </w:r>
      <w:r>
        <w:rPr>
          <w:rFonts w:eastAsia="楷体" w:cs="Times New Roman" w:hint="default"/>
          <w:sz w:val="18"/>
          <w:szCs w:val="18"/>
          <w:shd w:val="clear" w:color="auto" w:fill="FFFFFF"/>
        </w:rPr>
        <w:t>〈</w:t>
      </w:r>
      <w:r>
        <w:rPr>
          <w:rFonts w:cs="Times New Roman" w:hint="default"/>
        </w:rPr>
        <w:t>新疆维吾尔自治区生态环境分区管控动态更新成果</w:t>
      </w:r>
      <w:r>
        <w:rPr>
          <w:rFonts w:eastAsia="楷体" w:cs="Times New Roman" w:hint="default"/>
          <w:sz w:val="18"/>
          <w:szCs w:val="18"/>
          <w:shd w:val="clear" w:color="auto" w:fill="FFFFFF"/>
        </w:rPr>
        <w:t>〉</w:t>
      </w:r>
      <w:r>
        <w:rPr>
          <w:rFonts w:cs="Times New Roman" w:hint="default"/>
        </w:rPr>
        <w:t>的通知》（新政发〔</w:t>
      </w:r>
      <w:r>
        <w:rPr>
          <w:rFonts w:cs="Times New Roman" w:hint="default"/>
        </w:rPr>
        <w:t>202</w:t>
      </w:r>
      <w:r>
        <w:rPr>
          <w:rFonts w:cs="Times New Roman" w:hint="default"/>
        </w:rPr>
        <w:t>4</w:t>
      </w:r>
      <w:r>
        <w:rPr>
          <w:rFonts w:cs="Times New Roman" w:hint="default"/>
        </w:rPr>
        <w:t>〕</w:t>
      </w:r>
      <w:r>
        <w:rPr>
          <w:rFonts w:cs="Times New Roman" w:hint="default"/>
        </w:rPr>
        <w:t>157</w:t>
      </w:r>
      <w:r>
        <w:rPr>
          <w:rFonts w:cs="Times New Roman" w:hint="default"/>
        </w:rPr>
        <w:t>号）的符合性分析</w:t>
      </w:r>
    </w:p>
    <w:p w:rsidR="00A46452" w:rsidRDefault="009A3928" w:rsidP="00182EED">
      <w:pPr>
        <w:wordWrap w:val="0"/>
        <w:topLinePunct/>
        <w:adjustRightInd w:val="0"/>
        <w:snapToGrid w:val="0"/>
        <w:ind w:firstLine="480"/>
        <w:rPr>
          <w:rFonts w:cs="Times New Roman"/>
        </w:rPr>
      </w:pPr>
      <w:r>
        <w:rPr>
          <w:rFonts w:cs="Times New Roman"/>
        </w:rPr>
        <w:t>（</w:t>
      </w:r>
      <w:r>
        <w:rPr>
          <w:rFonts w:cs="Times New Roman" w:hint="eastAsia"/>
        </w:rPr>
        <w:t>1</w:t>
      </w:r>
      <w:r>
        <w:rPr>
          <w:rFonts w:cs="Times New Roman"/>
        </w:rPr>
        <w:t>）项目与《新疆维吾尔自治区</w:t>
      </w:r>
      <w:r>
        <w:rPr>
          <w:rFonts w:cs="Times New Roman"/>
        </w:rPr>
        <w:t>“</w:t>
      </w:r>
      <w:r>
        <w:rPr>
          <w:rFonts w:cs="Times New Roman"/>
        </w:rPr>
        <w:t>三线一单</w:t>
      </w:r>
      <w:r>
        <w:rPr>
          <w:rFonts w:cs="Times New Roman"/>
        </w:rPr>
        <w:t>”</w:t>
      </w:r>
      <w:r>
        <w:rPr>
          <w:rFonts w:cs="Times New Roman"/>
        </w:rPr>
        <w:t>生态环境分区管控方案》的符合性分析</w:t>
      </w:r>
    </w:p>
    <w:p w:rsidR="00A46452" w:rsidRDefault="009A3928">
      <w:pPr>
        <w:wordWrap w:val="0"/>
        <w:topLinePunct/>
        <w:adjustRightInd w:val="0"/>
        <w:snapToGrid w:val="0"/>
        <w:ind w:firstLine="480"/>
        <w:rPr>
          <w:rFonts w:cs="Times New Roman"/>
        </w:rPr>
      </w:pPr>
      <w:r>
        <w:rPr>
          <w:rFonts w:eastAsiaTheme="minorEastAsia" w:cs="Times New Roman"/>
        </w:rPr>
        <w:t>根据调查，</w:t>
      </w:r>
      <w:r>
        <w:rPr>
          <w:rFonts w:cs="Times New Roman"/>
        </w:rPr>
        <w:t>本项目</w:t>
      </w:r>
      <w:r>
        <w:rPr>
          <w:rFonts w:cs="Times New Roman"/>
          <w:kern w:val="0"/>
          <w:szCs w:val="24"/>
          <w:lang w:bidi="ar"/>
        </w:rPr>
        <w:t>K5+090~K6+800</w:t>
      </w:r>
      <w:r>
        <w:rPr>
          <w:rFonts w:cs="Times New Roman"/>
          <w:kern w:val="0"/>
          <w:szCs w:val="24"/>
          <w:lang w:bidi="ar"/>
        </w:rPr>
        <w:t>、</w:t>
      </w:r>
      <w:r>
        <w:rPr>
          <w:rFonts w:cs="Times New Roman"/>
          <w:kern w:val="0"/>
          <w:szCs w:val="24"/>
          <w:lang w:bidi="ar"/>
        </w:rPr>
        <w:t>K31+710~K52+050</w:t>
      </w:r>
      <w:r>
        <w:rPr>
          <w:rFonts w:cs="Times New Roman"/>
        </w:rPr>
        <w:t>段位于喀什地区巴楚县、</w:t>
      </w:r>
      <w:r>
        <w:rPr>
          <w:rFonts w:cs="Times New Roman"/>
        </w:rPr>
        <w:t>K52+050~K107+177</w:t>
      </w:r>
      <w:r>
        <w:rPr>
          <w:rFonts w:cs="Times New Roman"/>
        </w:rPr>
        <w:t>位于阿克苏地区柯坪县境内。</w:t>
      </w:r>
      <w:r>
        <w:rPr>
          <w:rFonts w:cs="Times New Roman"/>
        </w:rPr>
        <w:t>根据动态更新后的</w:t>
      </w:r>
      <w:r>
        <w:rPr>
          <w:rFonts w:cs="Times New Roman"/>
        </w:rPr>
        <w:t>喀什地区</w:t>
      </w:r>
      <w:r>
        <w:rPr>
          <w:rFonts w:cs="Times New Roman"/>
        </w:rPr>
        <w:t>三线一单生态环境分区管控方案</w:t>
      </w:r>
      <w:r>
        <w:rPr>
          <w:rFonts w:cs="Times New Roman"/>
        </w:rPr>
        <w:t>、</w:t>
      </w:r>
      <w:r>
        <w:rPr>
          <w:rFonts w:cs="Times New Roman"/>
        </w:rPr>
        <w:t>阿克苏地区三线一单生态环境分区管控方案，经核实，拟建项目不占用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w:t>
      </w:r>
      <w:r>
        <w:rPr>
          <w:rFonts w:cs="Times New Roman"/>
        </w:rPr>
        <w:t>，</w:t>
      </w:r>
      <w:r>
        <w:rPr>
          <w:rFonts w:cs="Times New Roman"/>
        </w:rPr>
        <w:t>不属于生态保护红线范围，符合生态保护红线要求。</w:t>
      </w:r>
    </w:p>
    <w:p w:rsidR="00A46452" w:rsidRDefault="009A3928">
      <w:pPr>
        <w:wordWrap w:val="0"/>
        <w:topLinePunct/>
        <w:adjustRightInd w:val="0"/>
        <w:snapToGrid w:val="0"/>
        <w:ind w:firstLine="480"/>
        <w:rPr>
          <w:rFonts w:cs="Times New Roman"/>
        </w:rPr>
      </w:pPr>
      <w:r>
        <w:rPr>
          <w:rFonts w:cs="Times New Roman"/>
        </w:rPr>
        <w:t>依据项目区所在区最近的国控站点阿克苏地区的六项基本因子中的</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年均浓度超过《环境空气质量标准》（</w:t>
      </w:r>
      <w:r>
        <w:rPr>
          <w:rFonts w:cs="Times New Roman"/>
        </w:rPr>
        <w:t>GB3095-2012</w:t>
      </w:r>
      <w:r>
        <w:rPr>
          <w:rFonts w:cs="Times New Roman"/>
        </w:rPr>
        <w:t>）中二级标准限值，项目区环境空气质量为不达标区。</w:t>
      </w:r>
      <w:r>
        <w:rPr>
          <w:rFonts w:cs="Times New Roman"/>
        </w:rPr>
        <w:t>项目</w:t>
      </w:r>
      <w:r>
        <w:rPr>
          <w:rFonts w:cs="Times New Roman"/>
        </w:rPr>
        <w:t>202</w:t>
      </w:r>
      <w:r>
        <w:rPr>
          <w:rFonts w:cs="Times New Roman"/>
        </w:rPr>
        <w:t>5</w:t>
      </w:r>
      <w:r>
        <w:rPr>
          <w:rFonts w:cs="Times New Roman"/>
        </w:rPr>
        <w:t>年</w:t>
      </w:r>
      <w:r>
        <w:rPr>
          <w:rFonts w:cs="Times New Roman"/>
        </w:rPr>
        <w:t>2</w:t>
      </w:r>
      <w:r>
        <w:rPr>
          <w:rFonts w:cs="Times New Roman"/>
        </w:rPr>
        <w:t>月现状监测结果可知，项目沿线地表水环境、声环境均满足相应标准要求。环境质量底线包括水环境质量底线、大气环境质量底线、土壤环境风险防控底线，本项目为</w:t>
      </w:r>
      <w:r>
        <w:rPr>
          <w:rFonts w:cs="Times New Roman"/>
        </w:rPr>
        <w:t>二级公路</w:t>
      </w:r>
      <w:r>
        <w:rPr>
          <w:rFonts w:cs="Times New Roman"/>
        </w:rPr>
        <w:t>项目，项目本身不涉及废水、废气排放，对土壤环境无影响，因此，本项目的建设不会降低沿线环境质量。</w:t>
      </w:r>
    </w:p>
    <w:p w:rsidR="00A46452" w:rsidRDefault="009A3928">
      <w:pPr>
        <w:wordWrap w:val="0"/>
        <w:topLinePunct/>
        <w:adjustRightInd w:val="0"/>
        <w:snapToGrid w:val="0"/>
        <w:ind w:firstLine="480"/>
        <w:rPr>
          <w:rFonts w:cs="Times New Roman"/>
        </w:rPr>
      </w:pPr>
      <w:r>
        <w:rPr>
          <w:rFonts w:cs="Times New Roman"/>
        </w:rPr>
        <w:t>项目主要用水环节为施工期的预制厂、拌合站、桥梁施工等生产用水，项目用水规模较小，项目运营期间不消耗水资源，符合水资源利用上线的要求。</w:t>
      </w:r>
    </w:p>
    <w:p w:rsidR="00A46452" w:rsidRDefault="009A3928">
      <w:pPr>
        <w:wordWrap w:val="0"/>
        <w:topLinePunct/>
        <w:adjustRightInd w:val="0"/>
        <w:snapToGrid w:val="0"/>
        <w:ind w:firstLine="480"/>
        <w:rPr>
          <w:rFonts w:cs="Times New Roman"/>
        </w:rPr>
      </w:pPr>
      <w:r>
        <w:rPr>
          <w:rFonts w:cs="Times New Roman"/>
        </w:rPr>
        <w:t>项目永久占用耕地的面积约为</w:t>
      </w:r>
      <w:r>
        <w:rPr>
          <w:rFonts w:cs="Times New Roman"/>
          <w:snapToGrid w:val="0"/>
          <w:szCs w:val="24"/>
        </w:rPr>
        <w:t>34.27</w:t>
      </w:r>
      <w:r>
        <w:rPr>
          <w:rFonts w:cs="Times New Roman"/>
          <w:snapToGrid w:val="0"/>
          <w:szCs w:val="24"/>
          <w:lang w:val="zh-CN"/>
        </w:rPr>
        <w:t>hm²</w:t>
      </w:r>
      <w:r>
        <w:rPr>
          <w:rFonts w:cs="Times New Roman"/>
        </w:rPr>
        <w:t>，建设项目已办理完成项目用地许可手续，且已按规定将补充耕地、征地补偿、土地复垦等相关费用足额纳入项目工程概算。符合土地资源利用上线的要求。</w:t>
      </w:r>
    </w:p>
    <w:p w:rsidR="00A46452" w:rsidRDefault="009A3928">
      <w:pPr>
        <w:ind w:firstLine="480"/>
        <w:rPr>
          <w:rFonts w:cs="Times New Roman"/>
        </w:rPr>
      </w:pPr>
      <w:r>
        <w:rPr>
          <w:rFonts w:cs="Times New Roman"/>
          <w:szCs w:val="24"/>
        </w:rPr>
        <w:t>本工程属于</w:t>
      </w:r>
      <w:r>
        <w:rPr>
          <w:rFonts w:cs="Times New Roman"/>
          <w:szCs w:val="24"/>
        </w:rPr>
        <w:t>二</w:t>
      </w:r>
      <w:r>
        <w:rPr>
          <w:rFonts w:cs="Times New Roman"/>
          <w:szCs w:val="24"/>
        </w:rPr>
        <w:t>级公路建设项目，沿线设施包括服务区、停车区（含养护工区）等附属设施，不使用燃煤锅炉，</w:t>
      </w:r>
      <w:r>
        <w:rPr>
          <w:rFonts w:cs="Times New Roman"/>
          <w:szCs w:val="24"/>
        </w:rPr>
        <w:t>拟</w:t>
      </w:r>
      <w:r>
        <w:rPr>
          <w:rFonts w:cs="Times New Roman"/>
          <w:szCs w:val="24"/>
        </w:rPr>
        <w:t>采用</w:t>
      </w:r>
      <w:r>
        <w:rPr>
          <w:rFonts w:cs="Times New Roman"/>
          <w:szCs w:val="24"/>
        </w:rPr>
        <w:t>集中供暖</w:t>
      </w:r>
      <w:r>
        <w:rPr>
          <w:rFonts w:cs="Times New Roman"/>
          <w:szCs w:val="24"/>
        </w:rPr>
        <w:t>。符合能源利用上线的要求。</w:t>
      </w:r>
    </w:p>
    <w:p w:rsidR="00A46452" w:rsidRDefault="009A3928">
      <w:pPr>
        <w:wordWrap w:val="0"/>
        <w:topLinePunct/>
        <w:adjustRightInd w:val="0"/>
        <w:snapToGrid w:val="0"/>
        <w:ind w:firstLine="480"/>
        <w:rPr>
          <w:rFonts w:cs="Times New Roman"/>
          <w:szCs w:val="24"/>
        </w:rPr>
      </w:pPr>
      <w:r>
        <w:rPr>
          <w:rFonts w:cs="Times New Roman"/>
        </w:rPr>
        <w:t>对照《</w:t>
      </w:r>
      <w:r>
        <w:rPr>
          <w:rFonts w:cs="Times New Roman"/>
          <w:kern w:val="0"/>
          <w:szCs w:val="24"/>
        </w:rPr>
        <w:t>新疆维吾尔自治区</w:t>
      </w:r>
      <w:r>
        <w:rPr>
          <w:rFonts w:cs="Times New Roman" w:hint="eastAsia"/>
          <w:kern w:val="0"/>
          <w:szCs w:val="24"/>
        </w:rPr>
        <w:t>“</w:t>
      </w:r>
      <w:r>
        <w:rPr>
          <w:rFonts w:cs="Times New Roman"/>
        </w:rPr>
        <w:t>三线一单</w:t>
      </w:r>
      <w:r>
        <w:rPr>
          <w:rFonts w:cs="Times New Roman" w:hint="eastAsia"/>
          <w:kern w:val="0"/>
          <w:szCs w:val="24"/>
        </w:rPr>
        <w:t>”</w:t>
      </w:r>
      <w:r>
        <w:rPr>
          <w:rFonts w:cs="Times New Roman"/>
        </w:rPr>
        <w:t>生态环境分区管控方案》相关管控要求，经核实，项目在</w:t>
      </w:r>
      <w:r>
        <w:rPr>
          <w:rFonts w:cs="Times New Roman"/>
        </w:rPr>
        <w:t>自治区</w:t>
      </w:r>
      <w:r>
        <w:rPr>
          <w:rFonts w:cs="Times New Roman"/>
        </w:rPr>
        <w:t>境内环境管控单元分别属于</w:t>
      </w:r>
      <w:r>
        <w:rPr>
          <w:rFonts w:cs="Times New Roman"/>
          <w:szCs w:val="24"/>
        </w:rPr>
        <w:t>阿克苏柯坪县优先保护单元（</w:t>
      </w:r>
      <w:r>
        <w:rPr>
          <w:rFonts w:cs="Times New Roman"/>
          <w:szCs w:val="24"/>
        </w:rPr>
        <w:t>ZH65292910002</w:t>
      </w:r>
      <w:r>
        <w:rPr>
          <w:rFonts w:cs="Times New Roman"/>
          <w:szCs w:val="24"/>
        </w:rPr>
        <w:t>）、</w:t>
      </w:r>
      <w:r>
        <w:rPr>
          <w:rFonts w:cs="Times New Roman"/>
          <w:szCs w:val="24"/>
        </w:rPr>
        <w:t>柯坪县</w:t>
      </w:r>
      <w:r>
        <w:rPr>
          <w:rFonts w:cs="Times New Roman"/>
          <w:szCs w:val="24"/>
        </w:rPr>
        <w:t>一般管控单元（</w:t>
      </w:r>
      <w:r>
        <w:rPr>
          <w:rFonts w:cs="Times New Roman"/>
          <w:szCs w:val="24"/>
        </w:rPr>
        <w:t>ZH6529293000</w:t>
      </w:r>
      <w:r>
        <w:rPr>
          <w:rFonts w:cs="Times New Roman"/>
          <w:szCs w:val="24"/>
        </w:rPr>
        <w:t>）、巴楚县一般管控单元（</w:t>
      </w:r>
      <w:r>
        <w:rPr>
          <w:rFonts w:cs="Times New Roman"/>
          <w:szCs w:val="24"/>
        </w:rPr>
        <w:t>ZH65313030001</w:t>
      </w:r>
      <w:r>
        <w:rPr>
          <w:rFonts w:cs="Times New Roman"/>
          <w:szCs w:val="24"/>
        </w:rPr>
        <w:t>）</w:t>
      </w:r>
      <w:r>
        <w:rPr>
          <w:rFonts w:cs="Times New Roman"/>
          <w:szCs w:val="24"/>
        </w:rPr>
        <w:t>。</w:t>
      </w:r>
    </w:p>
    <w:p w:rsidR="00A46452" w:rsidRDefault="009A3928">
      <w:pPr>
        <w:pStyle w:val="a4"/>
        <w:wordWrap w:val="0"/>
        <w:topLinePunct/>
        <w:adjustRightInd w:val="0"/>
        <w:snapToGrid w:val="0"/>
        <w:ind w:firstLine="480"/>
        <w:rPr>
          <w:rFonts w:cs="Times New Roman" w:hint="default"/>
          <w:kern w:val="0"/>
          <w:sz w:val="24"/>
          <w:szCs w:val="24"/>
        </w:rPr>
      </w:pPr>
      <w:r>
        <w:rPr>
          <w:rFonts w:cs="Times New Roman" w:hint="default"/>
          <w:kern w:val="0"/>
          <w:sz w:val="24"/>
          <w:szCs w:val="24"/>
        </w:rPr>
        <w:t>（</w:t>
      </w:r>
      <w:r>
        <w:rPr>
          <w:rFonts w:cs="Times New Roman"/>
          <w:kern w:val="0"/>
          <w:sz w:val="24"/>
          <w:szCs w:val="24"/>
        </w:rPr>
        <w:t>2</w:t>
      </w:r>
      <w:r>
        <w:rPr>
          <w:rFonts w:cs="Times New Roman" w:hint="default"/>
          <w:kern w:val="0"/>
          <w:sz w:val="24"/>
          <w:szCs w:val="24"/>
        </w:rPr>
        <w:t>）《新疆维吾尔自治区生态环境分区管控动态更新成果》相关内容摘录</w:t>
      </w:r>
    </w:p>
    <w:p w:rsidR="00A46452" w:rsidRDefault="009A3928">
      <w:pPr>
        <w:wordWrap w:val="0"/>
        <w:topLinePunct/>
        <w:adjustRightInd w:val="0"/>
        <w:snapToGrid w:val="0"/>
        <w:ind w:firstLine="480"/>
        <w:rPr>
          <w:rFonts w:eastAsiaTheme="minorEastAsia" w:cs="Times New Roman"/>
        </w:rPr>
      </w:pPr>
      <w:r>
        <w:rPr>
          <w:rFonts w:eastAsiaTheme="minorEastAsia" w:cs="Times New Roman"/>
        </w:rPr>
        <w:t>202</w:t>
      </w:r>
      <w:r>
        <w:rPr>
          <w:rFonts w:eastAsiaTheme="minorEastAsia" w:cs="Times New Roman"/>
        </w:rPr>
        <w:t>4</w:t>
      </w:r>
      <w:r>
        <w:rPr>
          <w:rFonts w:eastAsiaTheme="minorEastAsia" w:cs="Times New Roman"/>
        </w:rPr>
        <w:t>年</w:t>
      </w:r>
      <w:r>
        <w:rPr>
          <w:rFonts w:eastAsiaTheme="minorEastAsia" w:cs="Times New Roman"/>
        </w:rPr>
        <w:t>11</w:t>
      </w:r>
      <w:r>
        <w:rPr>
          <w:rFonts w:eastAsiaTheme="minorEastAsia" w:cs="Times New Roman"/>
        </w:rPr>
        <w:t>月</w:t>
      </w:r>
      <w:r>
        <w:rPr>
          <w:rFonts w:eastAsiaTheme="minorEastAsia" w:cs="Times New Roman"/>
        </w:rPr>
        <w:t>15</w:t>
      </w:r>
      <w:r>
        <w:rPr>
          <w:rFonts w:eastAsiaTheme="minorEastAsia" w:cs="Times New Roman"/>
        </w:rPr>
        <w:t>日，自治区</w:t>
      </w:r>
      <w:r>
        <w:rPr>
          <w:rFonts w:eastAsiaTheme="minorEastAsia" w:cs="Times New Roman"/>
        </w:rPr>
        <w:t>生态环境厅</w:t>
      </w:r>
      <w:r>
        <w:rPr>
          <w:rFonts w:eastAsiaTheme="minorEastAsia" w:cs="Times New Roman"/>
        </w:rPr>
        <w:t>发布《关于印发</w:t>
      </w:r>
      <w:r>
        <w:rPr>
          <w:rFonts w:eastAsiaTheme="minorEastAsia" w:cs="Times New Roman"/>
        </w:rPr>
        <w:t>〈</w:t>
      </w:r>
      <w:r>
        <w:rPr>
          <w:rFonts w:eastAsiaTheme="minorEastAsia" w:cs="Times New Roman"/>
        </w:rPr>
        <w:t>新疆维吾尔自治区</w:t>
      </w:r>
      <w:r>
        <w:rPr>
          <w:rFonts w:eastAsiaTheme="minorEastAsia" w:cs="Times New Roman"/>
        </w:rPr>
        <w:t>三线一单</w:t>
      </w:r>
      <w:r>
        <w:rPr>
          <w:rFonts w:eastAsiaTheme="minorEastAsia" w:cs="Times New Roman"/>
        </w:rPr>
        <w:t>生态环境分区管控方案</w:t>
      </w:r>
      <w:r>
        <w:rPr>
          <w:rFonts w:eastAsiaTheme="minorEastAsia" w:cs="Times New Roman"/>
        </w:rPr>
        <w:t>〉</w:t>
      </w:r>
      <w:r>
        <w:rPr>
          <w:rFonts w:eastAsiaTheme="minorEastAsia" w:cs="Times New Roman"/>
        </w:rPr>
        <w:t>的通知</w:t>
      </w:r>
      <w:r>
        <w:rPr>
          <w:rFonts w:eastAsiaTheme="minorEastAsia" w:cs="Times New Roman"/>
          <w:kern w:val="0"/>
        </w:rPr>
        <w:t>》</w:t>
      </w:r>
      <w:r>
        <w:rPr>
          <w:rFonts w:eastAsiaTheme="minorEastAsia" w:cs="Times New Roman"/>
        </w:rPr>
        <w:t>（新政发〔</w:t>
      </w:r>
      <w:r>
        <w:rPr>
          <w:rFonts w:eastAsiaTheme="minorEastAsia" w:cs="Times New Roman"/>
        </w:rPr>
        <w:t>2024</w:t>
      </w:r>
      <w:r>
        <w:rPr>
          <w:rFonts w:eastAsiaTheme="minorEastAsia" w:cs="Times New Roman"/>
        </w:rPr>
        <w:t>〕</w:t>
      </w:r>
      <w:r>
        <w:rPr>
          <w:rFonts w:eastAsiaTheme="minorEastAsia" w:cs="Times New Roman"/>
        </w:rPr>
        <w:t>157</w:t>
      </w:r>
      <w:r>
        <w:rPr>
          <w:rFonts w:eastAsiaTheme="minorEastAsia" w:cs="Times New Roman"/>
        </w:rPr>
        <w:t>号），新</w:t>
      </w:r>
      <w:r>
        <w:rPr>
          <w:rFonts w:eastAsiaTheme="minorEastAsia" w:cs="Times New Roman"/>
        </w:rPr>
        <w:t>疆维吾尔自治区</w:t>
      </w:r>
      <w:r>
        <w:rPr>
          <w:rFonts w:eastAsiaTheme="minorEastAsia" w:cs="Times New Roman"/>
          <w:kern w:val="0"/>
        </w:rPr>
        <w:t>三线一单</w:t>
      </w:r>
      <w:r>
        <w:rPr>
          <w:rFonts w:eastAsiaTheme="minorEastAsia" w:cs="Times New Roman"/>
          <w:kern w:val="0"/>
        </w:rPr>
        <w:t>生态环境分区管控方案相关内容摘录：</w:t>
      </w:r>
    </w:p>
    <w:p w:rsidR="00A46452" w:rsidRDefault="009A3928">
      <w:pPr>
        <w:wordWrap w:val="0"/>
        <w:topLinePunct/>
        <w:adjustRightInd w:val="0"/>
        <w:snapToGrid w:val="0"/>
        <w:ind w:firstLine="480"/>
        <w:rPr>
          <w:rFonts w:eastAsiaTheme="minorEastAsia" w:cs="Times New Roman"/>
        </w:rPr>
      </w:pPr>
      <w:r>
        <w:rPr>
          <w:rFonts w:eastAsiaTheme="minorEastAsia" w:cs="Times New Roman"/>
        </w:rPr>
        <w:t>自治区共划定</w:t>
      </w:r>
      <w:r>
        <w:rPr>
          <w:rFonts w:eastAsiaTheme="minorEastAsia" w:cs="Times New Roman"/>
        </w:rPr>
        <w:t>1777</w:t>
      </w:r>
      <w:r>
        <w:rPr>
          <w:rFonts w:eastAsiaTheme="minorEastAsia" w:cs="Times New Roman"/>
        </w:rPr>
        <w:t>个环境管控单元</w:t>
      </w:r>
      <w:r>
        <w:rPr>
          <w:rFonts w:eastAsiaTheme="minorEastAsia" w:cs="Times New Roman"/>
        </w:rPr>
        <w:t>，</w:t>
      </w:r>
      <w:r>
        <w:rPr>
          <w:rFonts w:eastAsiaTheme="minorEastAsia" w:cs="Times New Roman"/>
        </w:rPr>
        <w:t>分为优先保护单元、重点管控单元和一般管控单元三类</w:t>
      </w:r>
      <w:r>
        <w:rPr>
          <w:rFonts w:eastAsiaTheme="minorEastAsia" w:cs="Times New Roman"/>
        </w:rPr>
        <w:t>，</w:t>
      </w:r>
      <w:r>
        <w:rPr>
          <w:rFonts w:eastAsiaTheme="minorEastAsia" w:cs="Times New Roman"/>
        </w:rPr>
        <w:t>实施分类管控。</w:t>
      </w:r>
    </w:p>
    <w:p w:rsidR="00A46452" w:rsidRDefault="009A3928">
      <w:pPr>
        <w:wordWrap w:val="0"/>
        <w:topLinePunct/>
        <w:adjustRightInd w:val="0"/>
        <w:snapToGrid w:val="0"/>
        <w:ind w:firstLine="480"/>
        <w:rPr>
          <w:rFonts w:eastAsiaTheme="minorEastAsia" w:cs="Times New Roman"/>
        </w:rPr>
      </w:pPr>
      <w:r>
        <w:rPr>
          <w:rFonts w:eastAsiaTheme="minorEastAsia" w:cs="Times New Roman"/>
        </w:rPr>
        <w:t>优先保护单元</w:t>
      </w:r>
      <w:r>
        <w:rPr>
          <w:rFonts w:eastAsiaTheme="minorEastAsia" w:cs="Times New Roman"/>
        </w:rPr>
        <w:t>925</w:t>
      </w:r>
      <w:r>
        <w:rPr>
          <w:rFonts w:eastAsiaTheme="minorEastAsia" w:cs="Times New Roman"/>
        </w:rPr>
        <w:t>个</w:t>
      </w:r>
      <w:r>
        <w:rPr>
          <w:rFonts w:eastAsiaTheme="minorEastAsia" w:cs="Times New Roman"/>
        </w:rPr>
        <w:t>，</w:t>
      </w:r>
      <w:r>
        <w:rPr>
          <w:rFonts w:eastAsiaTheme="minorEastAsia" w:cs="Times New Roman"/>
        </w:rPr>
        <w:t>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w:t>
      </w:r>
      <w:r>
        <w:rPr>
          <w:rFonts w:eastAsiaTheme="minorEastAsia" w:cs="Times New Roman"/>
        </w:rPr>
        <w:t>，</w:t>
      </w:r>
      <w:r>
        <w:rPr>
          <w:rFonts w:eastAsiaTheme="minorEastAsia" w:cs="Times New Roman"/>
        </w:rPr>
        <w:t>开发建设活动应严格执行相关</w:t>
      </w:r>
      <w:r>
        <w:rPr>
          <w:rFonts w:eastAsiaTheme="minorEastAsia" w:cs="Times New Roman"/>
        </w:rPr>
        <w:t>法律法规</w:t>
      </w:r>
      <w:r>
        <w:rPr>
          <w:rFonts w:eastAsiaTheme="minorEastAsia" w:cs="Times New Roman"/>
        </w:rPr>
        <w:t>要求，严守生态环境质量底线</w:t>
      </w:r>
      <w:r>
        <w:rPr>
          <w:rFonts w:eastAsiaTheme="minorEastAsia" w:cs="Times New Roman"/>
        </w:rPr>
        <w:t>，</w:t>
      </w:r>
      <w:r>
        <w:rPr>
          <w:rFonts w:eastAsiaTheme="minorEastAsia" w:cs="Times New Roman"/>
        </w:rPr>
        <w:t>确保生态功能不降低。</w:t>
      </w:r>
    </w:p>
    <w:p w:rsidR="00A46452" w:rsidRDefault="009A3928">
      <w:pPr>
        <w:wordWrap w:val="0"/>
        <w:topLinePunct/>
        <w:adjustRightInd w:val="0"/>
        <w:snapToGrid w:val="0"/>
        <w:ind w:firstLine="480"/>
        <w:rPr>
          <w:rFonts w:eastAsiaTheme="minorEastAsia" w:cs="Times New Roman"/>
        </w:rPr>
      </w:pPr>
      <w:r>
        <w:rPr>
          <w:rFonts w:eastAsiaTheme="minorEastAsia" w:cs="Times New Roman"/>
        </w:rPr>
        <w:t>重点管控单元</w:t>
      </w:r>
      <w:r>
        <w:rPr>
          <w:rFonts w:eastAsiaTheme="minorEastAsia" w:cs="Times New Roman"/>
        </w:rPr>
        <w:t>713</w:t>
      </w:r>
      <w:r>
        <w:rPr>
          <w:rFonts w:eastAsiaTheme="minorEastAsia" w:cs="Times New Roman"/>
        </w:rPr>
        <w:t>个，主要包括城镇建成区、工业园区和开发强度大、污染物排放强度高的工业聚集区等。重点管控单元要着力优化空间布局</w:t>
      </w:r>
      <w:r>
        <w:rPr>
          <w:rFonts w:eastAsiaTheme="minorEastAsia" w:cs="Times New Roman"/>
        </w:rPr>
        <w:t>，</w:t>
      </w:r>
      <w:r>
        <w:rPr>
          <w:rFonts w:eastAsiaTheme="minorEastAsia" w:cs="Times New Roman"/>
        </w:rPr>
        <w:t>不断提升资源利用效率</w:t>
      </w:r>
      <w:r>
        <w:rPr>
          <w:rFonts w:eastAsiaTheme="minorEastAsia" w:cs="Times New Roman"/>
        </w:rPr>
        <w:t>，</w:t>
      </w:r>
      <w:r>
        <w:rPr>
          <w:rFonts w:eastAsiaTheme="minorEastAsia" w:cs="Times New Roman"/>
        </w:rPr>
        <w:t>有针对性地加强污染物排放管控和环境风险防控</w:t>
      </w:r>
      <w:r>
        <w:rPr>
          <w:rFonts w:eastAsiaTheme="minorEastAsia" w:cs="Times New Roman"/>
        </w:rPr>
        <w:t>，</w:t>
      </w:r>
      <w:r>
        <w:rPr>
          <w:rFonts w:eastAsiaTheme="minorEastAsia" w:cs="Times New Roman"/>
        </w:rPr>
        <w:t>解决生态环境质量不达标、生态环境风险高等问题。</w:t>
      </w:r>
    </w:p>
    <w:p w:rsidR="00A46452" w:rsidRDefault="009A3928">
      <w:pPr>
        <w:wordWrap w:val="0"/>
        <w:topLinePunct/>
        <w:adjustRightInd w:val="0"/>
        <w:snapToGrid w:val="0"/>
        <w:ind w:firstLine="480"/>
        <w:rPr>
          <w:rFonts w:cs="Times New Roman"/>
        </w:rPr>
      </w:pPr>
      <w:r>
        <w:rPr>
          <w:rFonts w:eastAsiaTheme="minorEastAsia" w:cs="Times New Roman"/>
        </w:rPr>
        <w:t>一般管控单元</w:t>
      </w:r>
      <w:r>
        <w:rPr>
          <w:rFonts w:eastAsiaTheme="minorEastAsia" w:cs="Times New Roman"/>
        </w:rPr>
        <w:t>139</w:t>
      </w:r>
      <w:r>
        <w:rPr>
          <w:rFonts w:eastAsiaTheme="minorEastAsia" w:cs="Times New Roman"/>
        </w:rPr>
        <w:t>个，主要包括优先保护单元和重点管控单元之外的</w:t>
      </w:r>
      <w:r>
        <w:rPr>
          <w:rFonts w:eastAsiaTheme="minorEastAsia" w:cs="Times New Roman"/>
        </w:rPr>
        <w:t>其他</w:t>
      </w:r>
      <w:r>
        <w:rPr>
          <w:rFonts w:eastAsiaTheme="minorEastAsia" w:cs="Times New Roman"/>
        </w:rPr>
        <w:t>区域。一般管控单元主要落实生态环境保护基本要求，推动区域环境质量持续改善。</w:t>
      </w:r>
    </w:p>
    <w:p w:rsidR="00A46452" w:rsidRDefault="009A3928">
      <w:pPr>
        <w:ind w:firstLine="480"/>
        <w:rPr>
          <w:rFonts w:cs="Times New Roman"/>
        </w:rPr>
      </w:pPr>
      <w:r>
        <w:rPr>
          <w:rFonts w:cs="Times New Roman"/>
        </w:rPr>
        <w:t>综上所述，工程建设</w:t>
      </w:r>
      <w:r>
        <w:rPr>
          <w:rFonts w:cs="Times New Roman" w:hint="eastAsia"/>
        </w:rPr>
        <w:t>符合</w:t>
      </w:r>
      <w:r>
        <w:rPr>
          <w:rFonts w:cs="Times New Roman"/>
        </w:rPr>
        <w:t>《新疆维吾尔自治区</w:t>
      </w:r>
      <w:r>
        <w:rPr>
          <w:rFonts w:cs="Times New Roman"/>
        </w:rPr>
        <w:t>“</w:t>
      </w:r>
      <w:r>
        <w:rPr>
          <w:rFonts w:cs="Times New Roman"/>
        </w:rPr>
        <w:t>三线一单</w:t>
      </w:r>
      <w:r>
        <w:rPr>
          <w:rFonts w:cs="Times New Roman"/>
        </w:rPr>
        <w:t>”</w:t>
      </w:r>
      <w:r>
        <w:rPr>
          <w:rFonts w:cs="Times New Roman"/>
        </w:rPr>
        <w:t>生态环境分区管控方案》</w:t>
      </w:r>
      <w:r>
        <w:rPr>
          <w:rFonts w:cs="Times New Roman"/>
          <w:kern w:val="0"/>
          <w:szCs w:val="24"/>
        </w:rPr>
        <w:t>《新疆维吾尔自治区生态环境分区管控动态更新成果》</w:t>
      </w:r>
      <w:r>
        <w:rPr>
          <w:rFonts w:cs="Times New Roman"/>
        </w:rPr>
        <w:t>相关要求。</w:t>
      </w:r>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5.3.4.2</w:t>
      </w:r>
      <w:r>
        <w:rPr>
          <w:rFonts w:cs="Times New Roman" w:hint="default"/>
        </w:rPr>
        <w:t>与《关于印发</w:t>
      </w:r>
      <w:r>
        <w:rPr>
          <w:rFonts w:eastAsia="楷体" w:cs="Times New Roman" w:hint="default"/>
          <w:sz w:val="18"/>
          <w:szCs w:val="18"/>
          <w:shd w:val="clear" w:color="auto" w:fill="FFFFFF"/>
        </w:rPr>
        <w:t>〈</w:t>
      </w:r>
      <w:r>
        <w:rPr>
          <w:rFonts w:cs="Times New Roman" w:hint="default"/>
        </w:rPr>
        <w:t>新疆维吾尔自治区七大片区</w:t>
      </w:r>
      <w:r>
        <w:rPr>
          <w:rFonts w:cs="Times New Roman"/>
        </w:rPr>
        <w:t>“</w:t>
      </w:r>
      <w:r>
        <w:rPr>
          <w:rFonts w:cs="Times New Roman" w:hint="default"/>
        </w:rPr>
        <w:t>三线一单</w:t>
      </w:r>
      <w:r>
        <w:rPr>
          <w:rFonts w:cs="Times New Roman"/>
        </w:rPr>
        <w:t>”</w:t>
      </w:r>
      <w:r>
        <w:rPr>
          <w:rFonts w:cs="Times New Roman" w:hint="default"/>
        </w:rPr>
        <w:t>生态环境分区管控要求</w:t>
      </w:r>
      <w:r>
        <w:rPr>
          <w:rFonts w:eastAsia="楷体" w:cs="Times New Roman" w:hint="default"/>
          <w:sz w:val="18"/>
          <w:szCs w:val="18"/>
          <w:shd w:val="clear" w:color="auto" w:fill="FFFFFF"/>
        </w:rPr>
        <w:t>〉</w:t>
      </w:r>
      <w:r>
        <w:rPr>
          <w:rFonts w:cs="Times New Roman" w:hint="default"/>
        </w:rPr>
        <w:t>（</w:t>
      </w:r>
      <w:r>
        <w:rPr>
          <w:rFonts w:cs="Times New Roman" w:hint="default"/>
        </w:rPr>
        <w:t>2021</w:t>
      </w:r>
      <w:r>
        <w:rPr>
          <w:rFonts w:cs="Times New Roman" w:hint="default"/>
        </w:rPr>
        <w:t>年版</w:t>
      </w:r>
      <w:r>
        <w:rPr>
          <w:rFonts w:cs="Times New Roman" w:hint="default"/>
        </w:rPr>
        <w:t>）</w:t>
      </w:r>
      <w:r>
        <w:rPr>
          <w:rFonts w:cs="Times New Roman" w:hint="default"/>
        </w:rPr>
        <w:t>的通知》（新政发〔</w:t>
      </w:r>
      <w:r>
        <w:rPr>
          <w:rFonts w:cs="Times New Roman" w:hint="default"/>
        </w:rPr>
        <w:t>20</w:t>
      </w:r>
      <w:r>
        <w:rPr>
          <w:rFonts w:cs="Times New Roman" w:hint="default"/>
        </w:rPr>
        <w:t>21</w:t>
      </w:r>
      <w:r>
        <w:rPr>
          <w:rFonts w:cs="Times New Roman" w:hint="default"/>
        </w:rPr>
        <w:t>〕</w:t>
      </w:r>
      <w:r>
        <w:rPr>
          <w:rFonts w:cs="Times New Roman" w:hint="default"/>
        </w:rPr>
        <w:t>162</w:t>
      </w:r>
      <w:r>
        <w:rPr>
          <w:rFonts w:cs="Times New Roman" w:hint="default"/>
        </w:rPr>
        <w:t>号）的符合性分析</w:t>
      </w:r>
    </w:p>
    <w:p w:rsidR="00A46452" w:rsidRDefault="009A3928">
      <w:pPr>
        <w:wordWrap w:val="0"/>
        <w:topLinePunct/>
        <w:adjustRightInd w:val="0"/>
        <w:snapToGrid w:val="0"/>
        <w:ind w:firstLine="480"/>
        <w:rPr>
          <w:rFonts w:cs="Times New Roman"/>
        </w:rPr>
      </w:pPr>
      <w:r>
        <w:rPr>
          <w:rFonts w:cs="Times New Roman"/>
        </w:rPr>
        <w:t>新疆维吾尔自治区七大片区三线一单生态环境分区管控要求提出：</w:t>
      </w:r>
      <w:r>
        <w:rPr>
          <w:rFonts w:cs="Times New Roman"/>
        </w:rPr>
        <w:t>(</w:t>
      </w:r>
      <w:r>
        <w:rPr>
          <w:rFonts w:cs="Times New Roman"/>
        </w:rPr>
        <w:t>六</w:t>
      </w:r>
      <w:r>
        <w:rPr>
          <w:rFonts w:cs="Times New Roman"/>
        </w:rPr>
        <w:t>)</w:t>
      </w:r>
      <w:r>
        <w:rPr>
          <w:rFonts w:cs="Times New Roman"/>
        </w:rPr>
        <w:t>天山南坡片区，天山南坡片区包括巴音郭楞蒙古自治州和阿克苏地区，（七）南疆三地州片区包括喀什地区</w:t>
      </w:r>
    </w:p>
    <w:p w:rsidR="00A46452" w:rsidRDefault="009A3928">
      <w:pPr>
        <w:wordWrap w:val="0"/>
        <w:topLinePunct/>
        <w:adjustRightInd w:val="0"/>
        <w:snapToGrid w:val="0"/>
        <w:ind w:firstLine="480"/>
        <w:rPr>
          <w:rFonts w:cs="Times New Roman"/>
        </w:rPr>
      </w:pPr>
      <w:r>
        <w:rPr>
          <w:rFonts w:cs="Times New Roma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p w:rsidR="00A46452" w:rsidRDefault="009A3928">
      <w:pPr>
        <w:wordWrap w:val="0"/>
        <w:topLinePunct/>
        <w:adjustRightInd w:val="0"/>
        <w:snapToGrid w:val="0"/>
        <w:ind w:firstLine="480"/>
        <w:rPr>
          <w:rFonts w:cs="Times New Roman"/>
        </w:rPr>
      </w:pPr>
      <w:r>
        <w:rPr>
          <w:rFonts w:cs="Times New Roman"/>
        </w:rPr>
        <w:t>加强油</w:t>
      </w:r>
      <w:r>
        <w:rPr>
          <w:rFonts w:cs="Times New Roman"/>
        </w:rPr>
        <w:t>(</w:t>
      </w:r>
      <w:r>
        <w:rPr>
          <w:rFonts w:cs="Times New Roman"/>
        </w:rPr>
        <w:t>气</w:t>
      </w:r>
      <w:r>
        <w:rPr>
          <w:rFonts w:cs="Times New Roman"/>
        </w:rPr>
        <w:t>)</w:t>
      </w:r>
      <w:r>
        <w:rPr>
          <w:rFonts w:cs="Times New Roman"/>
        </w:rPr>
        <w:t>资源开发区土壤环境污染综合整治。强化涉重金属行业污染防控与工业废物处理处置。</w:t>
      </w:r>
    </w:p>
    <w:p w:rsidR="00A46452" w:rsidRDefault="009A3928">
      <w:pPr>
        <w:wordWrap w:val="0"/>
        <w:topLinePunct/>
        <w:adjustRightInd w:val="0"/>
        <w:snapToGrid w:val="0"/>
        <w:ind w:firstLine="480"/>
        <w:rPr>
          <w:rFonts w:cs="Times New Roman"/>
        </w:rPr>
      </w:pPr>
      <w:r>
        <w:rPr>
          <w:rFonts w:cs="Times New Roman"/>
        </w:rPr>
        <w:t>本项目属于公路基础设施建设项目，本项目不占用自然保护区，</w:t>
      </w:r>
      <w:r>
        <w:rPr>
          <w:rFonts w:cs="Times New Roman"/>
          <w:snapToGrid w:val="0"/>
          <w:szCs w:val="24"/>
        </w:rPr>
        <w:t>项目施工会对表层土壤产生扰动，破坏原有的生物结皮，产生地表吹蚀，引起局部土壤流动；</w:t>
      </w:r>
      <w:r>
        <w:rPr>
          <w:rFonts w:cs="Times New Roman"/>
        </w:rPr>
        <w:t>对经过风积沙及土地沙化封禁保护区，采取</w:t>
      </w:r>
      <w:r>
        <w:rPr>
          <w:rFonts w:cs="Times New Roman"/>
          <w:snapToGrid w:val="0"/>
          <w:szCs w:val="24"/>
        </w:rPr>
        <w:t>有效草方格沙障</w:t>
      </w:r>
      <w:r>
        <w:rPr>
          <w:rFonts w:cs="Times New Roman"/>
          <w:snapToGrid w:val="0"/>
          <w:szCs w:val="24"/>
        </w:rPr>
        <w:t>、围栏、宣传牌、警示牌等</w:t>
      </w:r>
      <w:r>
        <w:rPr>
          <w:rFonts w:cs="Times New Roman"/>
          <w:snapToGrid w:val="0"/>
          <w:szCs w:val="24"/>
        </w:rPr>
        <w:t>防沙治沙措施</w:t>
      </w:r>
      <w:r>
        <w:rPr>
          <w:rFonts w:cs="Times New Roman"/>
          <w:snapToGrid w:val="0"/>
          <w:szCs w:val="24"/>
        </w:rPr>
        <w:t>后</w:t>
      </w:r>
      <w:r>
        <w:rPr>
          <w:rFonts w:cs="Times New Roman"/>
          <w:snapToGrid w:val="0"/>
          <w:szCs w:val="24"/>
        </w:rPr>
        <w:t>，所有不利影响也会随之减弱，不会使封禁区土地沙化程度加重</w:t>
      </w:r>
      <w:r>
        <w:rPr>
          <w:rFonts w:cs="Times New Roman" w:hint="eastAsia"/>
          <w:snapToGrid w:val="0"/>
          <w:szCs w:val="24"/>
        </w:rPr>
        <w:t>。项目建设</w:t>
      </w:r>
      <w:r>
        <w:rPr>
          <w:rFonts w:cs="Times New Roman"/>
          <w:snapToGrid w:val="0"/>
          <w:szCs w:val="24"/>
        </w:rPr>
        <w:t>符合新疆维吾尔自治区七大片区</w:t>
      </w:r>
      <w:r>
        <w:rPr>
          <w:rFonts w:cs="Times New Roman" w:hint="eastAsia"/>
          <w:snapToGrid w:val="0"/>
          <w:szCs w:val="24"/>
        </w:rPr>
        <w:t>“</w:t>
      </w:r>
      <w:r>
        <w:rPr>
          <w:rFonts w:cs="Times New Roman"/>
          <w:snapToGrid w:val="0"/>
          <w:szCs w:val="24"/>
        </w:rPr>
        <w:t>三线一单</w:t>
      </w:r>
      <w:r>
        <w:rPr>
          <w:rFonts w:cs="Times New Roman" w:hint="eastAsia"/>
          <w:snapToGrid w:val="0"/>
          <w:szCs w:val="24"/>
        </w:rPr>
        <w:t>”</w:t>
      </w:r>
      <w:r>
        <w:rPr>
          <w:rFonts w:cs="Times New Roman"/>
          <w:snapToGrid w:val="0"/>
          <w:szCs w:val="24"/>
        </w:rPr>
        <w:t>生态环境分区管控要求</w:t>
      </w:r>
      <w:r>
        <w:rPr>
          <w:rFonts w:cs="Times New Roman"/>
          <w:snapToGrid w:val="0"/>
          <w:szCs w:val="24"/>
        </w:rPr>
        <w:t>。</w:t>
      </w:r>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5.3.4.3</w:t>
      </w:r>
      <w:r>
        <w:rPr>
          <w:rFonts w:cs="Times New Roman" w:hint="default"/>
        </w:rPr>
        <w:t>与《新疆生产建设兵团</w:t>
      </w:r>
      <w:r>
        <w:rPr>
          <w:rFonts w:cs="Times New Roman"/>
        </w:rPr>
        <w:t>“</w:t>
      </w:r>
      <w:r>
        <w:rPr>
          <w:rFonts w:cs="Times New Roman" w:hint="default"/>
        </w:rPr>
        <w:t>三线一单</w:t>
      </w:r>
      <w:r>
        <w:rPr>
          <w:rFonts w:cs="Times New Roman"/>
        </w:rPr>
        <w:t>”</w:t>
      </w:r>
      <w:r>
        <w:rPr>
          <w:rFonts w:cs="Times New Roman" w:hint="default"/>
        </w:rPr>
        <w:t>生态环境分区管控方案》《新疆生产建设兵团</w:t>
      </w:r>
      <w:r>
        <w:rPr>
          <w:rFonts w:cs="Times New Roman" w:hint="default"/>
        </w:rPr>
        <w:t>2023</w:t>
      </w:r>
      <w:r>
        <w:rPr>
          <w:rFonts w:cs="Times New Roman" w:hint="default"/>
        </w:rPr>
        <w:t>年生态环境分区管控成果动态更新工作方案</w:t>
      </w:r>
      <w:r>
        <w:rPr>
          <w:rFonts w:cs="Times New Roman" w:hint="default"/>
        </w:rPr>
        <w:t>》（</w:t>
      </w:r>
      <w:r>
        <w:rPr>
          <w:rFonts w:cs="Times New Roman" w:hint="default"/>
        </w:rPr>
        <w:t>环办环评函</w:t>
      </w:r>
      <w:r>
        <w:rPr>
          <w:rFonts w:cs="Times New Roman" w:hint="default"/>
        </w:rPr>
        <w:t>〔</w:t>
      </w:r>
      <w:r>
        <w:rPr>
          <w:rFonts w:cs="Times New Roman" w:hint="default"/>
        </w:rPr>
        <w:t>202</w:t>
      </w:r>
      <w:r>
        <w:rPr>
          <w:rFonts w:cs="Times New Roman" w:hint="default"/>
        </w:rPr>
        <w:t>3</w:t>
      </w:r>
      <w:r>
        <w:rPr>
          <w:rFonts w:cs="Times New Roman" w:hint="default"/>
        </w:rPr>
        <w:t>〕</w:t>
      </w:r>
      <w:r>
        <w:rPr>
          <w:rFonts w:cs="Times New Roman" w:hint="default"/>
        </w:rPr>
        <w:t>81</w:t>
      </w:r>
      <w:r>
        <w:rPr>
          <w:rFonts w:cs="Times New Roman" w:hint="default"/>
        </w:rPr>
        <w:t>号）的符合性分析</w:t>
      </w:r>
    </w:p>
    <w:p w:rsidR="00A46452" w:rsidRDefault="009A3928">
      <w:pPr>
        <w:wordWrap w:val="0"/>
        <w:topLinePunct/>
        <w:adjustRightInd w:val="0"/>
        <w:snapToGrid w:val="0"/>
        <w:ind w:firstLine="480"/>
        <w:rPr>
          <w:rFonts w:cs="Times New Roman"/>
        </w:rPr>
      </w:pPr>
      <w:r>
        <w:rPr>
          <w:rFonts w:cs="Times New Roman"/>
        </w:rPr>
        <w:t>（</w:t>
      </w:r>
      <w:r>
        <w:rPr>
          <w:rFonts w:cs="Times New Roman" w:hint="eastAsia"/>
        </w:rPr>
        <w:t>1</w:t>
      </w:r>
      <w:r>
        <w:rPr>
          <w:rFonts w:cs="Times New Roman"/>
        </w:rPr>
        <w:t>）与《新疆生产建设兵团</w:t>
      </w:r>
      <w:r>
        <w:rPr>
          <w:rFonts w:cs="Times New Roman" w:hint="eastAsia"/>
        </w:rPr>
        <w:t>“</w:t>
      </w:r>
      <w:r>
        <w:rPr>
          <w:rFonts w:cs="Times New Roman"/>
        </w:rPr>
        <w:t>三线一单</w:t>
      </w:r>
      <w:r>
        <w:rPr>
          <w:rFonts w:cs="Times New Roman" w:hint="eastAsia"/>
        </w:rPr>
        <w:t>”</w:t>
      </w:r>
      <w:r>
        <w:rPr>
          <w:rFonts w:cs="Times New Roman"/>
        </w:rPr>
        <w:t>生态环境分区管控方案》的符合性分析</w:t>
      </w:r>
    </w:p>
    <w:p w:rsidR="00A46452" w:rsidRDefault="009A3928">
      <w:pPr>
        <w:wordWrap w:val="0"/>
        <w:topLinePunct/>
        <w:adjustRightInd w:val="0"/>
        <w:snapToGrid w:val="0"/>
        <w:ind w:firstLine="480"/>
        <w:rPr>
          <w:rFonts w:cs="Times New Roman"/>
        </w:rPr>
      </w:pPr>
      <w:r>
        <w:rPr>
          <w:rFonts w:cs="Times New Roman"/>
        </w:rPr>
        <w:t>根据调查，</w:t>
      </w:r>
      <w:r>
        <w:rPr>
          <w:rFonts w:cs="Times New Roman"/>
        </w:rPr>
        <w:t>本项目选线位于第</w:t>
      </w:r>
      <w:r>
        <w:rPr>
          <w:rFonts w:cs="Times New Roman"/>
        </w:rPr>
        <w:t>三</w:t>
      </w:r>
      <w:r>
        <w:rPr>
          <w:rFonts w:cs="Times New Roman"/>
        </w:rPr>
        <w:t>师图木舒克市</w:t>
      </w:r>
      <w:r>
        <w:rPr>
          <w:rFonts w:cs="Times New Roman"/>
        </w:rPr>
        <w:t>50</w:t>
      </w:r>
      <w:r>
        <w:rPr>
          <w:rFonts w:cs="Times New Roman"/>
        </w:rPr>
        <w:t>团一般管控单元</w:t>
      </w:r>
      <w:r>
        <w:rPr>
          <w:rFonts w:cs="Times New Roman"/>
        </w:rPr>
        <w:t>（</w:t>
      </w:r>
      <w:r>
        <w:rPr>
          <w:rFonts w:cs="Times New Roman"/>
        </w:rPr>
        <w:t>ZH65900330003</w:t>
      </w:r>
      <w:r>
        <w:rPr>
          <w:rFonts w:cs="Times New Roman"/>
        </w:rPr>
        <w:t>）、</w:t>
      </w:r>
      <w:r>
        <w:rPr>
          <w:rFonts w:cs="Times New Roman"/>
        </w:rPr>
        <w:t>51</w:t>
      </w:r>
      <w:r>
        <w:rPr>
          <w:rFonts w:cs="Times New Roman"/>
        </w:rPr>
        <w:t>团一般管控单元</w:t>
      </w:r>
      <w:r>
        <w:rPr>
          <w:rFonts w:cs="Times New Roman"/>
        </w:rPr>
        <w:t>（</w:t>
      </w:r>
      <w:r>
        <w:rPr>
          <w:rFonts w:cs="Times New Roman"/>
        </w:rPr>
        <w:t>ZH65900330004</w:t>
      </w:r>
      <w:r>
        <w:rPr>
          <w:rFonts w:cs="Times New Roman"/>
        </w:rPr>
        <w:t>）、</w:t>
      </w:r>
      <w:r>
        <w:rPr>
          <w:rFonts w:cs="Times New Roman"/>
        </w:rPr>
        <w:t>53</w:t>
      </w:r>
      <w:r>
        <w:rPr>
          <w:rFonts w:cs="Times New Roman"/>
        </w:rPr>
        <w:t>团一般管控单元</w:t>
      </w:r>
      <w:r>
        <w:rPr>
          <w:rFonts w:cs="Times New Roman"/>
        </w:rPr>
        <w:t>（</w:t>
      </w:r>
      <w:r>
        <w:rPr>
          <w:rFonts w:cs="Times New Roman"/>
        </w:rPr>
        <w:t>ZH65900330005</w:t>
      </w:r>
      <w:r>
        <w:rPr>
          <w:rFonts w:cs="Times New Roman"/>
        </w:rPr>
        <w:t>）、</w:t>
      </w:r>
      <w:r>
        <w:rPr>
          <w:rFonts w:cs="Times New Roman"/>
        </w:rPr>
        <w:t>44</w:t>
      </w:r>
      <w:r>
        <w:rPr>
          <w:rFonts w:cs="Times New Roman"/>
        </w:rPr>
        <w:t>团重点管控单元</w:t>
      </w:r>
      <w:r>
        <w:rPr>
          <w:rFonts w:cs="Times New Roman"/>
        </w:rPr>
        <w:t>（</w:t>
      </w:r>
      <w:r>
        <w:rPr>
          <w:rFonts w:cs="Times New Roman"/>
        </w:rPr>
        <w:t>ZH65900320001</w:t>
      </w:r>
      <w:r>
        <w:rPr>
          <w:rFonts w:cs="Times New Roman"/>
        </w:rPr>
        <w:t>），</w:t>
      </w:r>
      <w:r>
        <w:rPr>
          <w:rFonts w:cs="Times New Roman"/>
        </w:rPr>
        <w:t>50</w:t>
      </w:r>
      <w:r>
        <w:rPr>
          <w:rFonts w:cs="Times New Roman"/>
        </w:rPr>
        <w:t>团重点管控单元</w:t>
      </w:r>
      <w:r>
        <w:rPr>
          <w:rFonts w:cs="Times New Roman"/>
        </w:rPr>
        <w:t>（</w:t>
      </w:r>
      <w:r>
        <w:rPr>
          <w:rFonts w:cs="Times New Roman"/>
        </w:rPr>
        <w:t>ZH65900320008</w:t>
      </w:r>
      <w:r>
        <w:rPr>
          <w:rFonts w:cs="Times New Roman"/>
        </w:rPr>
        <w:t>）</w:t>
      </w:r>
      <w:r>
        <w:rPr>
          <w:rFonts w:cs="Times New Roman"/>
        </w:rPr>
        <w:t>。</w:t>
      </w:r>
      <w:r>
        <w:rPr>
          <w:rFonts w:cs="Times New Roman"/>
        </w:rPr>
        <w:t>经核实，拟建项目不占用自然保护区、世界文化和自然遗产地生态敏感区，亦无风景名胜区、森林公园、地质公园、重要湿地、原始天然林、珍稀濒危野生动植物天然集中分布区、重要水生生物的自然产卵场及索饵场、越冬场和洄游通道、天然渔场等重要生态敏感区，不属于生态保护红线范围，符合</w:t>
      </w:r>
      <w:r>
        <w:rPr>
          <w:rFonts w:cs="Times New Roman"/>
        </w:rPr>
        <w:t>生态保护红线</w:t>
      </w:r>
      <w:r>
        <w:rPr>
          <w:rFonts w:cs="Times New Roman"/>
        </w:rPr>
        <w:t>要求，项目实施不会导致辖区内生态服务功能下降。</w:t>
      </w:r>
    </w:p>
    <w:p w:rsidR="00A46452" w:rsidRDefault="009A3928">
      <w:pPr>
        <w:wordWrap w:val="0"/>
        <w:topLinePunct/>
        <w:adjustRightInd w:val="0"/>
        <w:snapToGrid w:val="0"/>
        <w:ind w:firstLine="480"/>
        <w:rPr>
          <w:rFonts w:cs="Times New Roman"/>
        </w:rPr>
      </w:pPr>
      <w:r>
        <w:rPr>
          <w:rFonts w:cs="Times New Roman" w:hint="eastAsia"/>
        </w:rPr>
        <w:t>（</w:t>
      </w:r>
      <w:r>
        <w:rPr>
          <w:rFonts w:cs="Times New Roman" w:hint="eastAsia"/>
        </w:rPr>
        <w:t>2</w:t>
      </w:r>
      <w:r>
        <w:rPr>
          <w:rFonts w:cs="Times New Roman" w:hint="eastAsia"/>
        </w:rPr>
        <w:t>）</w:t>
      </w:r>
      <w:r>
        <w:rPr>
          <w:rFonts w:cs="Times New Roman" w:hint="eastAsia"/>
        </w:rPr>
        <w:t>与</w:t>
      </w:r>
      <w:r>
        <w:rPr>
          <w:rFonts w:cs="Times New Roman"/>
        </w:rPr>
        <w:t>《新疆生产建设兵团</w:t>
      </w:r>
      <w:r>
        <w:rPr>
          <w:rFonts w:cs="Times New Roman"/>
        </w:rPr>
        <w:t>2023</w:t>
      </w:r>
      <w:r>
        <w:rPr>
          <w:rFonts w:cs="Times New Roman"/>
        </w:rPr>
        <w:t>年生态环境分区管控成果动态更新工作方案</w:t>
      </w:r>
      <w:r>
        <w:rPr>
          <w:rFonts w:cs="Times New Roman"/>
        </w:rPr>
        <w:t>》（</w:t>
      </w:r>
      <w:r>
        <w:rPr>
          <w:rFonts w:cs="Times New Roman"/>
        </w:rPr>
        <w:t>环办环评函</w:t>
      </w:r>
      <w:r>
        <w:rPr>
          <w:rFonts w:cs="Times New Roman"/>
        </w:rPr>
        <w:t>〔</w:t>
      </w:r>
      <w:r>
        <w:rPr>
          <w:rFonts w:cs="Times New Roman"/>
        </w:rPr>
        <w:t>202</w:t>
      </w:r>
      <w:r>
        <w:rPr>
          <w:rFonts w:cs="Times New Roman"/>
        </w:rPr>
        <w:t>3</w:t>
      </w:r>
      <w:r>
        <w:rPr>
          <w:rFonts w:cs="Times New Roman"/>
        </w:rPr>
        <w:t>〕</w:t>
      </w:r>
      <w:r>
        <w:rPr>
          <w:rFonts w:cs="Times New Roman"/>
        </w:rPr>
        <w:t>81</w:t>
      </w:r>
      <w:r>
        <w:rPr>
          <w:rFonts w:cs="Times New Roman"/>
        </w:rPr>
        <w:t>号）</w:t>
      </w:r>
      <w:r>
        <w:rPr>
          <w:rFonts w:cs="Times New Roman" w:hint="eastAsia"/>
        </w:rPr>
        <w:t>的符合性分析</w:t>
      </w:r>
    </w:p>
    <w:p w:rsidR="00A46452" w:rsidRDefault="009A3928">
      <w:pPr>
        <w:wordWrap w:val="0"/>
        <w:topLinePunct/>
        <w:adjustRightInd w:val="0"/>
        <w:snapToGrid w:val="0"/>
        <w:ind w:firstLine="480"/>
        <w:rPr>
          <w:rFonts w:cs="Times New Roman"/>
        </w:rPr>
      </w:pPr>
      <w:r>
        <w:rPr>
          <w:rFonts w:cs="Times New Roman"/>
        </w:rPr>
        <w:t>202</w:t>
      </w:r>
      <w:r>
        <w:rPr>
          <w:rFonts w:cs="Times New Roman"/>
        </w:rPr>
        <w:t>4</w:t>
      </w:r>
      <w:r>
        <w:rPr>
          <w:rFonts w:cs="Times New Roman"/>
        </w:rPr>
        <w:t>年</w:t>
      </w:r>
      <w:r>
        <w:rPr>
          <w:rFonts w:cs="Times New Roman"/>
        </w:rPr>
        <w:t>12</w:t>
      </w:r>
      <w:r>
        <w:rPr>
          <w:rFonts w:cs="Times New Roman"/>
        </w:rPr>
        <w:t>月</w:t>
      </w:r>
      <w:r>
        <w:rPr>
          <w:rFonts w:cs="Times New Roman"/>
        </w:rPr>
        <w:t>16</w:t>
      </w:r>
      <w:r>
        <w:rPr>
          <w:rFonts w:cs="Times New Roman"/>
        </w:rPr>
        <w:t>日，新疆生产建设兵团以</w:t>
      </w:r>
      <w:r>
        <w:rPr>
          <w:rFonts w:cs="Times New Roman"/>
        </w:rPr>
        <w:t>环办环评函</w:t>
      </w:r>
      <w:r>
        <w:rPr>
          <w:rFonts w:cs="Times New Roman"/>
        </w:rPr>
        <w:t>〔</w:t>
      </w:r>
      <w:r>
        <w:rPr>
          <w:rFonts w:cs="Times New Roman"/>
        </w:rPr>
        <w:t>202</w:t>
      </w:r>
      <w:r>
        <w:rPr>
          <w:rFonts w:cs="Times New Roman"/>
        </w:rPr>
        <w:t>3</w:t>
      </w:r>
      <w:r>
        <w:rPr>
          <w:rFonts w:cs="Times New Roman"/>
        </w:rPr>
        <w:t>〕</w:t>
      </w:r>
      <w:r>
        <w:rPr>
          <w:rFonts w:cs="Times New Roman"/>
        </w:rPr>
        <w:t>81</w:t>
      </w:r>
      <w:r>
        <w:rPr>
          <w:rFonts w:cs="Times New Roman"/>
        </w:rPr>
        <w:t>号</w:t>
      </w:r>
      <w:r>
        <w:rPr>
          <w:rFonts w:cs="Times New Roman"/>
        </w:rPr>
        <w:t>文</w:t>
      </w:r>
      <w:r>
        <w:rPr>
          <w:rFonts w:cs="Times New Roman"/>
        </w:rPr>
        <w:t>发布了《新疆生产建设兵团</w:t>
      </w:r>
      <w:r>
        <w:rPr>
          <w:rFonts w:cs="Times New Roman"/>
        </w:rPr>
        <w:t>2023</w:t>
      </w:r>
      <w:r>
        <w:rPr>
          <w:rFonts w:cs="Times New Roman"/>
        </w:rPr>
        <w:t>年生态环境分区管控成果动态更新工作方案</w:t>
      </w:r>
      <w:r>
        <w:rPr>
          <w:rFonts w:cs="Times New Roman"/>
        </w:rPr>
        <w:t>》，</w:t>
      </w:r>
      <w:r>
        <w:rPr>
          <w:rFonts w:eastAsiaTheme="minorEastAsia" w:cs="Times New Roman"/>
        </w:rPr>
        <w:t>新疆生产建设兵团</w:t>
      </w:r>
      <w:r>
        <w:rPr>
          <w:rFonts w:eastAsiaTheme="minorEastAsia" w:cs="Times New Roman"/>
          <w:kern w:val="0"/>
        </w:rPr>
        <w:t>三线一单</w:t>
      </w:r>
      <w:r>
        <w:rPr>
          <w:rFonts w:eastAsiaTheme="minorEastAsia" w:cs="Times New Roman"/>
          <w:kern w:val="0"/>
        </w:rPr>
        <w:t>生态环境分区管控方案相关内容摘录：</w:t>
      </w:r>
    </w:p>
    <w:p w:rsidR="00A46452" w:rsidRDefault="009A3928">
      <w:pPr>
        <w:wordWrap w:val="0"/>
        <w:topLinePunct/>
        <w:adjustRightInd w:val="0"/>
        <w:snapToGrid w:val="0"/>
        <w:ind w:firstLine="480"/>
        <w:rPr>
          <w:rFonts w:cs="Times New Roman"/>
        </w:rPr>
      </w:pPr>
      <w:r>
        <w:rPr>
          <w:rFonts w:cs="Times New Roman"/>
        </w:rPr>
        <w:t>全兵团共划定</w:t>
      </w:r>
      <w:r>
        <w:rPr>
          <w:rFonts w:cs="Times New Roman"/>
        </w:rPr>
        <w:t>760</w:t>
      </w:r>
      <w:r>
        <w:rPr>
          <w:rFonts w:cs="Times New Roman"/>
        </w:rPr>
        <w:t>个环境管控单元，分为优先保护单元、重点管控单元和一般管控单元三大类。</w:t>
      </w:r>
    </w:p>
    <w:p w:rsidR="00A46452" w:rsidRDefault="009A3928">
      <w:pPr>
        <w:wordWrap w:val="0"/>
        <w:topLinePunct/>
        <w:adjustRightInd w:val="0"/>
        <w:snapToGrid w:val="0"/>
        <w:ind w:firstLine="480"/>
        <w:rPr>
          <w:rFonts w:cs="Times New Roman"/>
        </w:rPr>
      </w:pPr>
      <w:r>
        <w:rPr>
          <w:rFonts w:cs="Times New Roman"/>
        </w:rPr>
        <w:t>优先保护单元</w:t>
      </w:r>
      <w:r>
        <w:rPr>
          <w:rFonts w:cs="Times New Roman"/>
        </w:rPr>
        <w:t>230</w:t>
      </w:r>
      <w:r>
        <w:rPr>
          <w:rFonts w:cs="Times New Roman"/>
        </w:rPr>
        <w:t>个，占兵团总面积的</w:t>
      </w:r>
      <w:r>
        <w:rPr>
          <w:rFonts w:cs="Times New Roman"/>
        </w:rPr>
        <w:t>38.89%</w:t>
      </w:r>
      <w:r>
        <w:rPr>
          <w:rFonts w:cs="Times New Roman"/>
        </w:rPr>
        <w:t>，主要包括生态保护红线区、一般生态空间，水环境优先保护区，环境空气一类功能区等区域。该区域以生态环境保护优先为原则，开发建设活动应严格执行相关</w:t>
      </w:r>
      <w:r>
        <w:rPr>
          <w:rFonts w:cs="Times New Roman"/>
        </w:rPr>
        <w:t>法律法规</w:t>
      </w:r>
      <w:r>
        <w:rPr>
          <w:rFonts w:cs="Times New Roman"/>
        </w:rPr>
        <w:t>要求，严守生态环境质量底线，确保生态功能不降低。</w:t>
      </w:r>
    </w:p>
    <w:p w:rsidR="00A46452" w:rsidRDefault="009A3928">
      <w:pPr>
        <w:wordWrap w:val="0"/>
        <w:topLinePunct/>
        <w:adjustRightInd w:val="0"/>
        <w:snapToGrid w:val="0"/>
        <w:ind w:firstLine="480"/>
        <w:rPr>
          <w:rFonts w:cs="Times New Roman"/>
        </w:rPr>
      </w:pPr>
      <w:r>
        <w:rPr>
          <w:rFonts w:cs="Times New Roman"/>
        </w:rPr>
        <w:t>重点管控单元</w:t>
      </w:r>
      <w:r>
        <w:rPr>
          <w:rFonts w:cs="Times New Roman"/>
        </w:rPr>
        <w:t>384</w:t>
      </w:r>
      <w:r>
        <w:rPr>
          <w:rFonts w:cs="Times New Roman"/>
        </w:rPr>
        <w:t>个，占兵团总面积的</w:t>
      </w:r>
      <w:r>
        <w:rPr>
          <w:rFonts w:cs="Times New Roman"/>
        </w:rPr>
        <w:t>2</w:t>
      </w:r>
      <w:r>
        <w:rPr>
          <w:rFonts w:cs="Times New Roman"/>
        </w:rPr>
        <w:t>1.86%</w:t>
      </w:r>
      <w:r>
        <w:rPr>
          <w:rFonts w:cs="Times New Roman"/>
        </w:rPr>
        <w:t>，主要包括兵团城市和团部区域、兵团级及以上开发区和开发强度大、污染物排放强度高及存在环境风险的区域。该区域应优化空间布局，加强污染物排放管控和环境风险防控，不断提升资源利用效率，重点解决突出生态环境问题，切实推动生态环境质量持续改善。</w:t>
      </w:r>
    </w:p>
    <w:p w:rsidR="00A46452" w:rsidRDefault="009A3928">
      <w:pPr>
        <w:wordWrap w:val="0"/>
        <w:topLinePunct/>
        <w:adjustRightInd w:val="0"/>
        <w:snapToGrid w:val="0"/>
        <w:ind w:firstLine="480"/>
        <w:rPr>
          <w:rFonts w:cs="Times New Roman"/>
        </w:rPr>
      </w:pPr>
      <w:r>
        <w:rPr>
          <w:rFonts w:cs="Times New Roman"/>
        </w:rPr>
        <w:t>一般管控单元</w:t>
      </w:r>
      <w:r>
        <w:rPr>
          <w:rFonts w:cs="Times New Roman"/>
        </w:rPr>
        <w:t>146</w:t>
      </w:r>
      <w:r>
        <w:rPr>
          <w:rFonts w:cs="Times New Roman"/>
        </w:rPr>
        <w:t>个，占兵团总面积的</w:t>
      </w:r>
      <w:r>
        <w:rPr>
          <w:rFonts w:cs="Times New Roman"/>
        </w:rPr>
        <w:t>39.25%</w:t>
      </w:r>
      <w:r>
        <w:rPr>
          <w:rFonts w:cs="Times New Roman"/>
        </w:rPr>
        <w:t>，主要指优先保护单元和重点管控单元之外的区域。该区域以经济社会可持续发展为导向，生态环境保护与适度开发相结合，开发建设应落实现行生态环境保护基本要求。</w:t>
      </w:r>
    </w:p>
    <w:p w:rsidR="00A46452" w:rsidRDefault="009A3928">
      <w:pPr>
        <w:wordWrap w:val="0"/>
        <w:topLinePunct/>
        <w:adjustRightInd w:val="0"/>
        <w:snapToGrid w:val="0"/>
        <w:ind w:firstLine="480"/>
        <w:rPr>
          <w:rFonts w:cs="Times New Roman"/>
        </w:rPr>
      </w:pPr>
      <w:r>
        <w:rPr>
          <w:rFonts w:cs="Times New Roman"/>
        </w:rPr>
        <w:t>建立兵团、师市、团场三级生态环境分区管控体系。以环境管控单元为基础，从空间布局约束、污染物排放管控、环境风险防控和资源利用效率四个方面明确准入要求。</w:t>
      </w:r>
    </w:p>
    <w:p w:rsidR="00A46452" w:rsidRDefault="009A3928">
      <w:pPr>
        <w:wordWrap w:val="0"/>
        <w:topLinePunct/>
        <w:adjustRightInd w:val="0"/>
        <w:snapToGrid w:val="0"/>
        <w:ind w:firstLine="480"/>
        <w:rPr>
          <w:rFonts w:cs="Times New Roman"/>
        </w:rPr>
      </w:pPr>
      <w:r>
        <w:rPr>
          <w:rFonts w:cs="Times New Roman"/>
        </w:rPr>
        <w:t>兵团级管控要求对接自治区总体管控要求；各师市按照兵团总体、自治区七大片区管控要求，衔接所在地州市管控要求，结合区域主要生态环境问题和发展需求，细化形成本师市</w:t>
      </w:r>
      <w:r>
        <w:rPr>
          <w:rFonts w:cs="Times New Roman"/>
        </w:rPr>
        <w:t>三线一单</w:t>
      </w:r>
      <w:r>
        <w:rPr>
          <w:rFonts w:cs="Times New Roman"/>
        </w:rPr>
        <w:t>总体管控要求和团场内具有环境管控单元的差异化生态环境准入清单，由各师市及时发布并报兵团生态环境局备案。</w:t>
      </w:r>
    </w:p>
    <w:p w:rsidR="00A46452" w:rsidRDefault="009A3928">
      <w:pPr>
        <w:wordWrap w:val="0"/>
        <w:topLinePunct/>
        <w:adjustRightInd w:val="0"/>
        <w:snapToGrid w:val="0"/>
        <w:ind w:firstLine="480"/>
        <w:rPr>
          <w:rFonts w:cs="Times New Roman"/>
        </w:rPr>
      </w:pPr>
      <w:r>
        <w:rPr>
          <w:rFonts w:cs="Times New Roman"/>
        </w:rPr>
        <w:t>由环境现状调查可知，项目区所在区最近的国控站点阿克苏地区的六项基本因子中的</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年均浓度超过</w:t>
      </w:r>
      <w:r>
        <w:rPr>
          <w:rFonts w:cs="Times New Roman"/>
          <w:kern w:val="0"/>
        </w:rPr>
        <w:t>《环境空气质量标准》（</w:t>
      </w:r>
      <w:r>
        <w:rPr>
          <w:rFonts w:cs="Times New Roman"/>
          <w:kern w:val="0"/>
        </w:rPr>
        <w:t>GB3095-2012</w:t>
      </w:r>
      <w:r>
        <w:rPr>
          <w:rFonts w:cs="Times New Roman"/>
          <w:kern w:val="0"/>
        </w:rPr>
        <w:t>）中二级标准限值，项目区环境空气质量为不达标区。</w:t>
      </w:r>
      <w:r>
        <w:rPr>
          <w:rFonts w:cs="Times New Roman"/>
        </w:rPr>
        <w:t>地表水水质目标满足《地表水环境质量标准》（</w:t>
      </w:r>
      <w:r>
        <w:rPr>
          <w:rFonts w:cs="Times New Roman"/>
        </w:rPr>
        <w:t>GB3838-2002</w:t>
      </w:r>
      <w:r>
        <w:rPr>
          <w:rFonts w:cs="Times New Roman"/>
        </w:rPr>
        <w:t>）</w:t>
      </w:r>
      <w:r>
        <w:rPr>
          <w:rFonts w:cs="Times New Roman"/>
        </w:rPr>
        <w:t>Ⅲ</w:t>
      </w:r>
      <w:r>
        <w:rPr>
          <w:rFonts w:cs="Times New Roman"/>
        </w:rPr>
        <w:t>类标准。本项目为公路建设项目，施工期项目产生的废气、废水、固废，随施工期结束而消失，为暂时性影响。</w:t>
      </w:r>
    </w:p>
    <w:p w:rsidR="00A46452" w:rsidRDefault="009A3928">
      <w:pPr>
        <w:wordWrap w:val="0"/>
        <w:topLinePunct/>
        <w:adjustRightInd w:val="0"/>
        <w:snapToGrid w:val="0"/>
        <w:ind w:firstLine="480"/>
        <w:rPr>
          <w:rFonts w:cs="Times New Roman"/>
        </w:rPr>
      </w:pPr>
      <w:r>
        <w:rPr>
          <w:rFonts w:cs="Times New Roman"/>
        </w:rPr>
        <w:t>本项目为公路建设项目，项目建设及营运过程中能耗、水资源消耗较小，本项目公路拟永久征地共</w:t>
      </w:r>
      <w:r>
        <w:rPr>
          <w:rFonts w:cs="Times New Roman"/>
          <w:kern w:val="0"/>
          <w:szCs w:val="24"/>
          <w:lang w:bidi="ar"/>
        </w:rPr>
        <w:t>300.80</w:t>
      </w:r>
      <w:r>
        <w:rPr>
          <w:rFonts w:cs="Times New Roman"/>
        </w:rPr>
        <w:t>hm²</w:t>
      </w:r>
      <w:r>
        <w:rPr>
          <w:rFonts w:cs="Times New Roman"/>
        </w:rPr>
        <w:t>，工程用地指标均控制在《公路工程项目建设用地指标》（</w:t>
      </w:r>
      <w:r>
        <w:rPr>
          <w:rFonts w:cs="Times New Roman"/>
        </w:rPr>
        <w:t>2011</w:t>
      </w:r>
      <w:r>
        <w:rPr>
          <w:rFonts w:cs="Times New Roman"/>
        </w:rPr>
        <w:t>）（建标</w:t>
      </w:r>
      <w:r>
        <w:rPr>
          <w:rFonts w:cs="Times New Roman"/>
        </w:rPr>
        <w:t>〔</w:t>
      </w:r>
      <w:r>
        <w:rPr>
          <w:rFonts w:cs="Times New Roman"/>
        </w:rPr>
        <w:t>2011</w:t>
      </w:r>
      <w:r>
        <w:rPr>
          <w:rFonts w:cs="Times New Roman"/>
        </w:rPr>
        <w:t>〕</w:t>
      </w:r>
      <w:r>
        <w:rPr>
          <w:rFonts w:cs="Times New Roman"/>
        </w:rPr>
        <w:t>124</w:t>
      </w:r>
      <w:r>
        <w:rPr>
          <w:rFonts w:cs="Times New Roman"/>
        </w:rPr>
        <w:t>号</w:t>
      </w:r>
      <w:r>
        <w:rPr>
          <w:rFonts w:cs="Times New Roman"/>
        </w:rPr>
        <w:t>）的规定，符合公路工程项目建设用地指标最低值的规</w:t>
      </w:r>
      <w:r>
        <w:rPr>
          <w:rFonts w:cs="Times New Roman"/>
        </w:rPr>
        <w:t>定。项目用地手续已按照现行的法律法规正在办理中。</w:t>
      </w:r>
    </w:p>
    <w:p w:rsidR="00A46452" w:rsidRDefault="009A3928">
      <w:pPr>
        <w:wordWrap w:val="0"/>
        <w:topLinePunct/>
        <w:adjustRightInd w:val="0"/>
        <w:snapToGrid w:val="0"/>
        <w:ind w:firstLine="480"/>
        <w:rPr>
          <w:rFonts w:cs="Times New Roman"/>
        </w:rPr>
      </w:pPr>
      <w:r>
        <w:rPr>
          <w:rFonts w:cs="Times New Roman"/>
        </w:rPr>
        <w:t>综上所述，工程建设</w:t>
      </w:r>
      <w:r>
        <w:rPr>
          <w:rFonts w:cs="Times New Roman" w:hint="eastAsia"/>
        </w:rPr>
        <w:t>符合</w:t>
      </w:r>
      <w:r>
        <w:rPr>
          <w:rFonts w:cs="Times New Roman"/>
        </w:rPr>
        <w:t>《新疆生产建设兵团</w:t>
      </w:r>
      <w:r>
        <w:rPr>
          <w:rFonts w:cs="Times New Roman" w:hint="eastAsia"/>
        </w:rPr>
        <w:t>“</w:t>
      </w:r>
      <w:r>
        <w:rPr>
          <w:rFonts w:cs="Times New Roman"/>
        </w:rPr>
        <w:t>三线一单</w:t>
      </w:r>
      <w:r>
        <w:rPr>
          <w:rFonts w:cs="Times New Roman" w:hint="eastAsia"/>
        </w:rPr>
        <w:t>”</w:t>
      </w:r>
      <w:r>
        <w:rPr>
          <w:rFonts w:cs="Times New Roman"/>
        </w:rPr>
        <w:t>生态环境分区管控方案》</w:t>
      </w:r>
      <w:r>
        <w:rPr>
          <w:rFonts w:cs="Times New Roman"/>
        </w:rPr>
        <w:t>《新疆生产建设兵团</w:t>
      </w:r>
      <w:r>
        <w:rPr>
          <w:rFonts w:cs="Times New Roman"/>
        </w:rPr>
        <w:t>2023</w:t>
      </w:r>
      <w:r>
        <w:rPr>
          <w:rFonts w:cs="Times New Roman"/>
        </w:rPr>
        <w:t>年生态环境分区管控成果动态更新工作方案</w:t>
      </w:r>
      <w:r>
        <w:rPr>
          <w:rFonts w:cs="Times New Roman"/>
        </w:rPr>
        <w:t>》</w:t>
      </w:r>
      <w:r>
        <w:rPr>
          <w:rFonts w:cs="Times New Roman"/>
        </w:rPr>
        <w:t>相关要求。</w:t>
      </w:r>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5.3.4.4</w:t>
      </w:r>
      <w:r>
        <w:rPr>
          <w:rFonts w:cs="Times New Roman" w:hint="default"/>
        </w:rPr>
        <w:t>与</w:t>
      </w:r>
      <w:r>
        <w:rPr>
          <w:rFonts w:cs="Times New Roman" w:hint="default"/>
        </w:rPr>
        <w:t>《喀什地区</w:t>
      </w:r>
      <w:r>
        <w:rPr>
          <w:rFonts w:cs="Times New Roman" w:hint="default"/>
        </w:rPr>
        <w:t>“</w:t>
      </w:r>
      <w:r>
        <w:rPr>
          <w:rFonts w:cs="Times New Roman" w:hint="default"/>
        </w:rPr>
        <w:t>三线一单</w:t>
      </w:r>
      <w:r>
        <w:rPr>
          <w:rFonts w:cs="Times New Roman" w:hint="default"/>
        </w:rPr>
        <w:t>”</w:t>
      </w:r>
      <w:r>
        <w:rPr>
          <w:rFonts w:cs="Times New Roman" w:hint="default"/>
        </w:rPr>
        <w:t>生态环境分区管控方案》《喀什</w:t>
      </w:r>
      <w:r>
        <w:rPr>
          <w:rFonts w:cs="Times New Roman" w:hint="default"/>
        </w:rPr>
        <w:t>地区生态环境分区管控方案（动态更新）》的符合性分析</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对照《</w:t>
      </w:r>
      <w:r>
        <w:rPr>
          <w:rFonts w:cs="Times New Roman" w:hint="default"/>
          <w:sz w:val="24"/>
        </w:rPr>
        <w:t>喀什地区</w:t>
      </w:r>
      <w:r>
        <w:rPr>
          <w:rFonts w:cs="Times New Roman" w:hint="default"/>
          <w:sz w:val="24"/>
        </w:rPr>
        <w:t>“</w:t>
      </w:r>
      <w:r>
        <w:rPr>
          <w:rFonts w:cs="Times New Roman" w:hint="default"/>
          <w:sz w:val="24"/>
        </w:rPr>
        <w:t>三线一单</w:t>
      </w:r>
      <w:r>
        <w:rPr>
          <w:rFonts w:cs="Times New Roman" w:hint="default"/>
          <w:sz w:val="24"/>
        </w:rPr>
        <w:t>”</w:t>
      </w:r>
      <w:r>
        <w:rPr>
          <w:rFonts w:cs="Times New Roman" w:hint="default"/>
          <w:sz w:val="24"/>
        </w:rPr>
        <w:t>生态环境分区管控方案》相关管控要求，经核实，项目在</w:t>
      </w:r>
      <w:r>
        <w:rPr>
          <w:rFonts w:cs="Times New Roman" w:hint="default"/>
          <w:sz w:val="24"/>
        </w:rPr>
        <w:t>喀什地区</w:t>
      </w:r>
      <w:r>
        <w:rPr>
          <w:rFonts w:cs="Times New Roman" w:hint="default"/>
          <w:sz w:val="24"/>
        </w:rPr>
        <w:t>境内环境管控单元属于</w:t>
      </w:r>
      <w:r>
        <w:rPr>
          <w:rFonts w:cs="Times New Roman" w:hint="default"/>
          <w:sz w:val="24"/>
          <w:szCs w:val="24"/>
        </w:rPr>
        <w:t>巴楚县优先保护单元（</w:t>
      </w:r>
      <w:r>
        <w:rPr>
          <w:rFonts w:cs="Times New Roman" w:hint="default"/>
          <w:sz w:val="24"/>
          <w:szCs w:val="24"/>
        </w:rPr>
        <w:t>ZH65313010002</w:t>
      </w:r>
      <w:r>
        <w:rPr>
          <w:rFonts w:cs="Times New Roman" w:hint="default"/>
          <w:sz w:val="24"/>
          <w:szCs w:val="24"/>
        </w:rPr>
        <w:t>）</w:t>
      </w:r>
      <w:r>
        <w:rPr>
          <w:rFonts w:cs="Times New Roman" w:hint="default"/>
          <w:sz w:val="24"/>
        </w:rPr>
        <w:t>。拟建项目不占用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不属于生态保护红线范围，符合</w:t>
      </w:r>
      <w:r>
        <w:rPr>
          <w:rFonts w:cs="Times New Roman" w:hint="default"/>
          <w:sz w:val="24"/>
        </w:rPr>
        <w:t>生态保护红线</w:t>
      </w:r>
      <w:r>
        <w:rPr>
          <w:rFonts w:cs="Times New Roman" w:hint="default"/>
          <w:sz w:val="24"/>
        </w:rPr>
        <w:t>要求，项目实施不会导致辖区内生态服务功能下降。</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由环境现状调查可知，项目区所在区最近的国控站点阿克苏地区的六项基本因子中的</w:t>
      </w:r>
      <w:r>
        <w:rPr>
          <w:rFonts w:cs="Times New Roman" w:hint="default"/>
          <w:sz w:val="24"/>
        </w:rPr>
        <w:t>PM</w:t>
      </w:r>
      <w:r>
        <w:rPr>
          <w:rFonts w:cs="Times New Roman" w:hint="default"/>
          <w:sz w:val="24"/>
          <w:vertAlign w:val="subscript"/>
        </w:rPr>
        <w:t>10</w:t>
      </w:r>
      <w:r>
        <w:rPr>
          <w:rFonts w:cs="Times New Roman" w:hint="default"/>
          <w:sz w:val="24"/>
        </w:rPr>
        <w:t>、</w:t>
      </w:r>
      <w:r>
        <w:rPr>
          <w:rFonts w:cs="Times New Roman" w:hint="default"/>
          <w:sz w:val="24"/>
        </w:rPr>
        <w:t>PM</w:t>
      </w:r>
      <w:r>
        <w:rPr>
          <w:rFonts w:cs="Times New Roman" w:hint="default"/>
          <w:sz w:val="24"/>
          <w:vertAlign w:val="subscript"/>
        </w:rPr>
        <w:t>2.5</w:t>
      </w:r>
      <w:r>
        <w:rPr>
          <w:rFonts w:cs="Times New Roman" w:hint="default"/>
          <w:sz w:val="24"/>
        </w:rPr>
        <w:t>年均浓度超过《环境空气质量标准》（</w:t>
      </w:r>
      <w:r>
        <w:rPr>
          <w:rFonts w:cs="Times New Roman" w:hint="default"/>
          <w:sz w:val="24"/>
        </w:rPr>
        <w:t>GB3095-2012</w:t>
      </w:r>
      <w:r>
        <w:rPr>
          <w:rFonts w:cs="Times New Roman" w:hint="default"/>
          <w:sz w:val="24"/>
        </w:rPr>
        <w:t>）中二级标准限值，项目区环境空气质量为</w:t>
      </w:r>
      <w:r>
        <w:rPr>
          <w:rFonts w:cs="Times New Roman" w:hint="default"/>
          <w:sz w:val="24"/>
        </w:rPr>
        <w:t>不达标区。地表水水质目标满足《地表水环境质量标准》（</w:t>
      </w:r>
      <w:r>
        <w:rPr>
          <w:rFonts w:cs="Times New Roman" w:hint="default"/>
          <w:sz w:val="24"/>
        </w:rPr>
        <w:t>GB3838-2002</w:t>
      </w:r>
      <w:r>
        <w:rPr>
          <w:rFonts w:cs="Times New Roman" w:hint="default"/>
          <w:sz w:val="24"/>
        </w:rPr>
        <w:t>）</w:t>
      </w:r>
      <w:r>
        <w:rPr>
          <w:rFonts w:cs="Times New Roman" w:hint="default"/>
          <w:sz w:val="24"/>
        </w:rPr>
        <w:t>Ⅲ</w:t>
      </w:r>
      <w:r>
        <w:rPr>
          <w:rFonts w:cs="Times New Roman" w:hint="default"/>
          <w:sz w:val="24"/>
        </w:rPr>
        <w:t>类标准。本项目为公路建设项目，施工期项目产生的废气、废水、固废，随施工期结束而消失，为暂时性影响。</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项目建设涉及占用耕地、林地，会对当地现有的耕地、林地资源和农业生产产生一定的影响。对于占用林地，建设单位应按照国家、自治区相关的规定缴纳耕地开垦费和森林植被恢复费，</w:t>
      </w:r>
      <w:r>
        <w:rPr>
          <w:rFonts w:cs="Times New Roman" w:hint="default"/>
          <w:sz w:val="24"/>
        </w:rPr>
        <w:t>由</w:t>
      </w:r>
      <w:r>
        <w:rPr>
          <w:rFonts w:cs="Times New Roman" w:hint="default"/>
          <w:sz w:val="24"/>
        </w:rPr>
        <w:t>相关单位进行等数量的耕地开垦和森林植被恢复。对于占用耕地、林地，应严格按照有关法律法规要求进行占补平衡，补充数量相同、质量相当的耕地、林地，本项目占用沿线区域内的土地资</w:t>
      </w:r>
      <w:r>
        <w:rPr>
          <w:rFonts w:cs="Times New Roman" w:hint="default"/>
          <w:sz w:val="24"/>
        </w:rPr>
        <w:t>源比例较小，因此，本项目在取得相关占用手续后，在占补平衡恢复后，项目占地符合资源利用上</w:t>
      </w:r>
      <w:r>
        <w:rPr>
          <w:rFonts w:cs="Times New Roman" w:hint="default"/>
          <w:sz w:val="24"/>
        </w:rPr>
        <w:t>线</w:t>
      </w:r>
      <w:r>
        <w:rPr>
          <w:rFonts w:cs="Times New Roman" w:hint="default"/>
          <w:sz w:val="24"/>
        </w:rPr>
        <w:t>要求。另外本项目不涉及规划矿产区，沿线无压覆矿产资源。项目建成后，为沿线物资的运输提供了便利的条件。本项目营运期不会对区域资源和能源产生大的消耗。</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本项目与所涉及环境管控单元相关要求的符合性见表</w:t>
      </w:r>
      <w:r>
        <w:rPr>
          <w:rFonts w:cs="Times New Roman"/>
          <w:sz w:val="24"/>
        </w:rPr>
        <w:t>5</w:t>
      </w:r>
      <w:r>
        <w:rPr>
          <w:rFonts w:cs="Times New Roman" w:hint="default"/>
          <w:sz w:val="24"/>
        </w:rPr>
        <w:t>.</w:t>
      </w:r>
      <w:r>
        <w:rPr>
          <w:rFonts w:cs="Times New Roman"/>
          <w:sz w:val="24"/>
        </w:rPr>
        <w:t>3</w:t>
      </w:r>
      <w:r>
        <w:rPr>
          <w:rFonts w:cs="Times New Roman" w:hint="default"/>
          <w:sz w:val="24"/>
        </w:rPr>
        <w:t>-8</w:t>
      </w:r>
      <w:r>
        <w:rPr>
          <w:rFonts w:cs="Times New Roman"/>
          <w:sz w:val="24"/>
        </w:rPr>
        <w:t>和图</w:t>
      </w:r>
      <w:r>
        <w:rPr>
          <w:rFonts w:cs="Times New Roman"/>
          <w:sz w:val="24"/>
        </w:rPr>
        <w:t>5.3-8</w:t>
      </w:r>
      <w:r>
        <w:rPr>
          <w:rFonts w:cs="Times New Roman" w:hint="default"/>
          <w:sz w:val="24"/>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5</w:t>
      </w:r>
      <w:r>
        <w:rPr>
          <w:rFonts w:ascii="Times New Roman" w:hAnsi="Times New Roman" w:cs="Times New Roman" w:hint="default"/>
          <w:sz w:val="24"/>
          <w:szCs w:val="24"/>
        </w:rPr>
        <w:t>.</w:t>
      </w:r>
      <w:r>
        <w:rPr>
          <w:rFonts w:ascii="Times New Roman" w:hAnsi="Times New Roman" w:cs="Times New Roman"/>
          <w:sz w:val="24"/>
          <w:szCs w:val="24"/>
        </w:rPr>
        <w:t>3</w:t>
      </w:r>
      <w:r>
        <w:rPr>
          <w:rFonts w:ascii="Times New Roman" w:hAnsi="Times New Roman" w:cs="Times New Roman" w:hint="default"/>
          <w:sz w:val="24"/>
          <w:szCs w:val="24"/>
        </w:rPr>
        <w:t>-</w:t>
      </w:r>
      <w:r>
        <w:rPr>
          <w:rFonts w:ascii="Times New Roman" w:hAnsi="Times New Roman" w:cs="Times New Roman" w:hint="default"/>
          <w:sz w:val="24"/>
          <w:szCs w:val="24"/>
        </w:rPr>
        <w:t>8</w:t>
      </w:r>
      <w:r>
        <w:rPr>
          <w:rFonts w:ascii="Times New Roman" w:hAnsi="Times New Roman" w:cs="Times New Roman" w:hint="default"/>
          <w:sz w:val="24"/>
          <w:szCs w:val="24"/>
        </w:rPr>
        <w:t xml:space="preserve">      </w:t>
      </w:r>
      <w:r>
        <w:rPr>
          <w:rFonts w:ascii="Times New Roman" w:hAnsi="Times New Roman" w:cs="Times New Roman" w:hint="default"/>
          <w:sz w:val="24"/>
          <w:szCs w:val="24"/>
        </w:rPr>
        <w:t>项目与</w:t>
      </w:r>
      <w:r>
        <w:rPr>
          <w:rFonts w:ascii="Times New Roman" w:hAnsi="Times New Roman" w:cs="Times New Roman" w:hint="default"/>
          <w:sz w:val="24"/>
          <w:szCs w:val="24"/>
        </w:rPr>
        <w:t>喀什地区</w:t>
      </w:r>
      <w:r>
        <w:rPr>
          <w:rFonts w:ascii="Times New Roman" w:hAnsi="Times New Roman" w:cs="Times New Roman" w:hint="default"/>
          <w:sz w:val="24"/>
          <w:szCs w:val="24"/>
        </w:rPr>
        <w:t>巴楚县</w:t>
      </w:r>
      <w:r>
        <w:rPr>
          <w:rFonts w:ascii="Times New Roman" w:hAnsi="Times New Roman" w:cs="Times New Roman" w:hint="default"/>
          <w:sz w:val="24"/>
          <w:szCs w:val="24"/>
        </w:rPr>
        <w:t>环境管控单元符合性</w:t>
      </w:r>
    </w:p>
    <w:tbl>
      <w:tblPr>
        <w:tblStyle w:val="58"/>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34"/>
        <w:gridCol w:w="729"/>
        <w:gridCol w:w="4584"/>
        <w:gridCol w:w="1468"/>
      </w:tblGrid>
      <w:tr w:rsidR="00A46452">
        <w:trPr>
          <w:trHeight w:val="725"/>
          <w:tblHeader/>
          <w:jc w:val="center"/>
        </w:trPr>
        <w:tc>
          <w:tcPr>
            <w:tcW w:w="101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环境管控单元编码</w:t>
            </w:r>
            <w:r>
              <w:rPr>
                <w:rFonts w:eastAsiaTheme="minorEastAsia" w:cs="Times New Roman"/>
                <w:b/>
                <w:sz w:val="18"/>
                <w:szCs w:val="18"/>
              </w:rPr>
              <w:t>/</w:t>
            </w:r>
            <w:r>
              <w:rPr>
                <w:rFonts w:eastAsiaTheme="minorEastAsia" w:cs="Times New Roman"/>
                <w:b/>
                <w:sz w:val="18"/>
                <w:szCs w:val="18"/>
              </w:rPr>
              <w:t>管控单元分类</w:t>
            </w:r>
          </w:p>
        </w:tc>
        <w:tc>
          <w:tcPr>
            <w:tcW w:w="42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环境管控单元名称</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管控要求</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符合性分析</w:t>
            </w:r>
          </w:p>
        </w:tc>
      </w:tr>
      <w:tr w:rsidR="00A46452">
        <w:trPr>
          <w:trHeight w:val="1684"/>
          <w:jc w:val="center"/>
        </w:trPr>
        <w:tc>
          <w:tcPr>
            <w:tcW w:w="1018"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ZH65313010002</w:t>
            </w:r>
            <w:r>
              <w:rPr>
                <w:rFonts w:eastAsiaTheme="minorEastAsia" w:cs="Times New Roman"/>
                <w:sz w:val="18"/>
                <w:szCs w:val="18"/>
              </w:rPr>
              <w:t>/</w:t>
            </w:r>
            <w:r>
              <w:rPr>
                <w:rFonts w:eastAsiaTheme="minorEastAsia" w:cs="Times New Roman"/>
                <w:sz w:val="18"/>
                <w:szCs w:val="18"/>
              </w:rPr>
              <w:t>优先保护单元</w:t>
            </w:r>
          </w:p>
        </w:tc>
        <w:tc>
          <w:tcPr>
            <w:tcW w:w="428"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巴楚县一般生态空间</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空间布局约束：</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执行喀什地区总体管控要求中</w:t>
            </w:r>
            <w:r>
              <w:rPr>
                <w:rFonts w:eastAsiaTheme="minorEastAsia" w:cs="Times New Roman"/>
                <w:sz w:val="18"/>
                <w:szCs w:val="18"/>
              </w:rPr>
              <w:t>“A1.2”</w:t>
            </w:r>
            <w:r>
              <w:rPr>
                <w:rFonts w:eastAsiaTheme="minorEastAsia" w:cs="Times New Roman"/>
                <w:sz w:val="18"/>
                <w:szCs w:val="18"/>
              </w:rPr>
              <w:t>的相关要求。</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执行喀什地区优先保护环境管控单元分类管控要求中</w:t>
            </w:r>
            <w:r>
              <w:rPr>
                <w:rFonts w:eastAsiaTheme="minorEastAsia" w:cs="Times New Roman"/>
                <w:sz w:val="18"/>
                <w:szCs w:val="18"/>
              </w:rPr>
              <w:t>“A5.2</w:t>
            </w:r>
            <w:r>
              <w:rPr>
                <w:rFonts w:eastAsiaTheme="minorEastAsia" w:cs="Times New Roman"/>
                <w:sz w:val="18"/>
                <w:szCs w:val="18"/>
              </w:rPr>
              <w:t>、</w:t>
            </w:r>
            <w:r>
              <w:rPr>
                <w:rFonts w:eastAsiaTheme="minorEastAsia" w:cs="Times New Roman"/>
                <w:sz w:val="18"/>
                <w:szCs w:val="18"/>
              </w:rPr>
              <w:t>A5.3”</w:t>
            </w:r>
            <w:r>
              <w:rPr>
                <w:rFonts w:eastAsiaTheme="minorEastAsia" w:cs="Times New Roman"/>
                <w:sz w:val="18"/>
                <w:szCs w:val="18"/>
              </w:rPr>
              <w:t>的相关要求</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符合。建设项目，符合空间布局管理约束的要求；项目不属于区域空间布局约束列明的限制类、禁止类建设项目。</w:t>
            </w:r>
          </w:p>
        </w:tc>
      </w:tr>
    </w:tbl>
    <w:p w:rsidR="00A46452" w:rsidRDefault="009A3928">
      <w:pPr>
        <w:wordWrap w:val="0"/>
        <w:topLinePunct/>
        <w:adjustRightInd w:val="0"/>
        <w:snapToGrid w:val="0"/>
        <w:ind w:firstLine="480"/>
        <w:rPr>
          <w:rFonts w:cs="Times New Roman"/>
        </w:rPr>
      </w:pPr>
      <w:r>
        <w:rPr>
          <w:rFonts w:cs="Times New Roman"/>
        </w:rPr>
        <w:t>工程建设</w:t>
      </w:r>
      <w:r>
        <w:rPr>
          <w:rFonts w:cs="Times New Roman" w:hint="eastAsia"/>
        </w:rPr>
        <w:t>符合</w:t>
      </w:r>
      <w:r>
        <w:rPr>
          <w:rFonts w:cs="Times New Roman"/>
        </w:rPr>
        <w:t>《喀什地区</w:t>
      </w:r>
      <w:r>
        <w:rPr>
          <w:rFonts w:cs="Times New Roman"/>
        </w:rPr>
        <w:t>“</w:t>
      </w:r>
      <w:r>
        <w:rPr>
          <w:rFonts w:cs="Times New Roman"/>
        </w:rPr>
        <w:t>三线一单</w:t>
      </w:r>
      <w:r>
        <w:rPr>
          <w:rFonts w:cs="Times New Roman"/>
        </w:rPr>
        <w:t>”</w:t>
      </w:r>
      <w:r>
        <w:rPr>
          <w:rFonts w:cs="Times New Roman"/>
        </w:rPr>
        <w:t>生态环境分区管控方案》《喀什</w:t>
      </w:r>
      <w:r>
        <w:rPr>
          <w:rFonts w:cs="Times New Roman"/>
        </w:rPr>
        <w:t>地区生态环境分区管控方案（动态更新）》</w:t>
      </w:r>
      <w:r>
        <w:rPr>
          <w:rFonts w:cs="Times New Roman"/>
        </w:rPr>
        <w:t>相关要求。</w:t>
      </w:r>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5.3.4.5</w:t>
      </w:r>
      <w:r>
        <w:rPr>
          <w:rFonts w:cs="Times New Roman" w:hint="default"/>
        </w:rPr>
        <w:t>与</w:t>
      </w:r>
      <w:r>
        <w:rPr>
          <w:rFonts w:cs="Times New Roman" w:hint="default"/>
        </w:rPr>
        <w:t>《阿克苏地区</w:t>
      </w:r>
      <w:r>
        <w:rPr>
          <w:rFonts w:cs="Times New Roman" w:hint="default"/>
        </w:rPr>
        <w:t>“</w:t>
      </w:r>
      <w:r>
        <w:rPr>
          <w:rFonts w:cs="Times New Roman" w:hint="default"/>
        </w:rPr>
        <w:t>三线一单</w:t>
      </w:r>
      <w:r>
        <w:rPr>
          <w:rFonts w:cs="Times New Roman" w:hint="default"/>
        </w:rPr>
        <w:t>”</w:t>
      </w:r>
      <w:r>
        <w:rPr>
          <w:rFonts w:cs="Times New Roman" w:hint="default"/>
        </w:rPr>
        <w:t>生态环境分区管控方案》</w:t>
      </w:r>
      <w:r>
        <w:rPr>
          <w:rFonts w:cs="Times New Roman" w:hint="default"/>
        </w:rPr>
        <w:t>《阿克苏地区生态环境分区管控方案（动态更新）》的符合性分析</w:t>
      </w:r>
    </w:p>
    <w:p w:rsidR="00A46452" w:rsidRDefault="009A3928">
      <w:pPr>
        <w:wordWrap w:val="0"/>
        <w:topLinePunct/>
        <w:adjustRightInd w:val="0"/>
        <w:snapToGrid w:val="0"/>
        <w:ind w:firstLine="480"/>
        <w:rPr>
          <w:rFonts w:cs="Times New Roman"/>
        </w:rPr>
      </w:pPr>
      <w:r>
        <w:rPr>
          <w:rFonts w:cs="Times New Roman"/>
        </w:rPr>
        <w:t>对照《阿克苏地区</w:t>
      </w:r>
      <w:r>
        <w:rPr>
          <w:rFonts w:cs="Times New Roman" w:hint="eastAsia"/>
        </w:rPr>
        <w:t>“</w:t>
      </w:r>
      <w:r>
        <w:rPr>
          <w:rFonts w:cs="Times New Roman"/>
        </w:rPr>
        <w:t>三线一单</w:t>
      </w:r>
      <w:r>
        <w:rPr>
          <w:rFonts w:cs="Times New Roman" w:hint="eastAsia"/>
        </w:rPr>
        <w:t>”</w:t>
      </w:r>
      <w:r>
        <w:rPr>
          <w:rFonts w:cs="Times New Roman"/>
        </w:rPr>
        <w:t>生态环境分区管控方案》相关管控要求，经核实，项目在阿克苏地区境内环境管控单元分别属于</w:t>
      </w:r>
      <w:r>
        <w:rPr>
          <w:rFonts w:cs="Times New Roman"/>
          <w:szCs w:val="24"/>
        </w:rPr>
        <w:t>阿克苏柯坪县优先保护单元（</w:t>
      </w:r>
      <w:r>
        <w:rPr>
          <w:rFonts w:cs="Times New Roman"/>
          <w:szCs w:val="24"/>
        </w:rPr>
        <w:t>ZH65292910002</w:t>
      </w:r>
      <w:r>
        <w:rPr>
          <w:rFonts w:cs="Times New Roman"/>
          <w:szCs w:val="24"/>
        </w:rPr>
        <w:t>）、柯坪县一般管控单元（</w:t>
      </w:r>
      <w:r>
        <w:rPr>
          <w:rFonts w:cs="Times New Roman"/>
          <w:szCs w:val="24"/>
        </w:rPr>
        <w:t>ZH6529293000</w:t>
      </w:r>
      <w:r>
        <w:rPr>
          <w:rFonts w:cs="Times New Roman"/>
          <w:szCs w:val="24"/>
        </w:rPr>
        <w:t>）</w:t>
      </w:r>
      <w:r>
        <w:rPr>
          <w:rFonts w:cs="Times New Roman"/>
          <w:szCs w:val="24"/>
        </w:rPr>
        <w:t>。</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拟建项目不占用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不属于生态保护红线范围，符合</w:t>
      </w:r>
      <w:r>
        <w:rPr>
          <w:rFonts w:cs="Times New Roman" w:hint="default"/>
          <w:sz w:val="24"/>
        </w:rPr>
        <w:t>生态保护红线</w:t>
      </w:r>
      <w:r>
        <w:rPr>
          <w:rFonts w:cs="Times New Roman" w:hint="default"/>
          <w:sz w:val="24"/>
        </w:rPr>
        <w:t>要求，项目实施不会导致辖区内生态服务功能下降。</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由环境现状调查可知，项目区所在区最近的国控站点阿克苏地区的六项基本因子中的</w:t>
      </w:r>
      <w:r>
        <w:rPr>
          <w:rFonts w:cs="Times New Roman" w:hint="default"/>
          <w:sz w:val="24"/>
        </w:rPr>
        <w:t>PM</w:t>
      </w:r>
      <w:r>
        <w:rPr>
          <w:rFonts w:cs="Times New Roman" w:hint="default"/>
          <w:sz w:val="24"/>
          <w:vertAlign w:val="subscript"/>
        </w:rPr>
        <w:t>10</w:t>
      </w:r>
      <w:r>
        <w:rPr>
          <w:rFonts w:cs="Times New Roman" w:hint="default"/>
          <w:sz w:val="24"/>
        </w:rPr>
        <w:t>、</w:t>
      </w:r>
      <w:r>
        <w:rPr>
          <w:rFonts w:cs="Times New Roman" w:hint="default"/>
          <w:sz w:val="24"/>
        </w:rPr>
        <w:t>PM</w:t>
      </w:r>
      <w:r>
        <w:rPr>
          <w:rFonts w:cs="Times New Roman" w:hint="default"/>
          <w:sz w:val="24"/>
          <w:vertAlign w:val="subscript"/>
        </w:rPr>
        <w:t>2.5</w:t>
      </w:r>
      <w:r>
        <w:rPr>
          <w:rFonts w:cs="Times New Roman" w:hint="default"/>
          <w:sz w:val="24"/>
        </w:rPr>
        <w:t>年均浓度超过《环境空气质量标准》（</w:t>
      </w:r>
      <w:r>
        <w:rPr>
          <w:rFonts w:cs="Times New Roman" w:hint="default"/>
          <w:sz w:val="24"/>
        </w:rPr>
        <w:t>GB3095-2012</w:t>
      </w:r>
      <w:r>
        <w:rPr>
          <w:rFonts w:cs="Times New Roman" w:hint="default"/>
          <w:sz w:val="24"/>
        </w:rPr>
        <w:t>）中二级标准限值，项目区环境空气质量为不达标区。地表水水质目标满足《地表水环境质量标准》（</w:t>
      </w:r>
      <w:r>
        <w:rPr>
          <w:rFonts w:cs="Times New Roman" w:hint="default"/>
          <w:sz w:val="24"/>
        </w:rPr>
        <w:t>GB3838-2002</w:t>
      </w:r>
      <w:r>
        <w:rPr>
          <w:rFonts w:cs="Times New Roman" w:hint="default"/>
          <w:sz w:val="24"/>
        </w:rPr>
        <w:t>）</w:t>
      </w:r>
      <w:r>
        <w:rPr>
          <w:rFonts w:cs="Times New Roman" w:hint="default"/>
          <w:sz w:val="24"/>
        </w:rPr>
        <w:t>Ⅲ</w:t>
      </w:r>
      <w:r>
        <w:rPr>
          <w:rFonts w:cs="Times New Roman" w:hint="default"/>
          <w:sz w:val="24"/>
        </w:rPr>
        <w:t>类标准。本项目为公路建设项目，施工期项目产生的废气、废水、固废，随施工期结束而消失，为暂时性影响。</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本项目公路</w:t>
      </w:r>
      <w:r>
        <w:rPr>
          <w:rFonts w:cs="Times New Roman" w:hint="default"/>
          <w:sz w:val="24"/>
        </w:rPr>
        <w:t>在阿克苏柯坪县境内</w:t>
      </w:r>
      <w:r>
        <w:rPr>
          <w:rFonts w:cs="Times New Roman" w:hint="default"/>
          <w:sz w:val="24"/>
        </w:rPr>
        <w:t>永久征地</w:t>
      </w:r>
      <w:r>
        <w:rPr>
          <w:rFonts w:cs="Times New Roman" w:hint="default"/>
          <w:sz w:val="24"/>
        </w:rPr>
        <w:t>141.06hm²</w:t>
      </w:r>
      <w:r>
        <w:rPr>
          <w:rFonts w:cs="Times New Roman" w:hint="default"/>
          <w:sz w:val="24"/>
        </w:rPr>
        <w:t>，项目建设涉及占用耕地、园地及林地，会对当地</w:t>
      </w:r>
      <w:r>
        <w:rPr>
          <w:rFonts w:cs="Times New Roman" w:hint="default"/>
          <w:sz w:val="24"/>
        </w:rPr>
        <w:t>现有的耕地、林地资源和农业生产产生一定的影响。对于占用林地，建设单位应按照国家、自治区相关的规定缴纳耕地开垦费和森林植被恢复费，</w:t>
      </w:r>
      <w:r>
        <w:rPr>
          <w:rFonts w:cs="Times New Roman" w:hint="default"/>
          <w:sz w:val="24"/>
        </w:rPr>
        <w:t>由</w:t>
      </w:r>
      <w:r>
        <w:rPr>
          <w:rFonts w:cs="Times New Roman" w:hint="default"/>
          <w:sz w:val="24"/>
        </w:rPr>
        <w:t>相关单位进行等数量的耕地开垦和森林植被恢复。对于占用耕地、园地、林地，应严格按照有关法律法规要求进行占补平衡，补充数量相同、质量相当的耕地、园地、林地，本项目占用沿线区域内的土地资源比例较小，因此，本项目在取得相关占用手续后，在占补平衡恢复后，项目占地符合资源利用上</w:t>
      </w:r>
      <w:r>
        <w:rPr>
          <w:rFonts w:cs="Times New Roman" w:hint="default"/>
          <w:sz w:val="24"/>
        </w:rPr>
        <w:t>线</w:t>
      </w:r>
      <w:r>
        <w:rPr>
          <w:rFonts w:cs="Times New Roman" w:hint="default"/>
          <w:sz w:val="24"/>
        </w:rPr>
        <w:t>要求。另外本项目不涉及规划矿产区，沿线无压覆矿产资源。项目建成后，为沿线物资的运输提供了便利的条件。本项目营运期不</w:t>
      </w:r>
      <w:r>
        <w:rPr>
          <w:rFonts w:cs="Times New Roman" w:hint="default"/>
          <w:sz w:val="24"/>
        </w:rPr>
        <w:t>会对区域资源和能源产生大的消耗。</w:t>
      </w:r>
    </w:p>
    <w:p w:rsidR="00A46452" w:rsidRDefault="009A3928">
      <w:pPr>
        <w:pStyle w:val="a4"/>
        <w:wordWrap w:val="0"/>
        <w:topLinePunct/>
        <w:adjustRightInd w:val="0"/>
        <w:snapToGrid w:val="0"/>
        <w:ind w:firstLine="480"/>
        <w:rPr>
          <w:rFonts w:cs="Times New Roman" w:hint="default"/>
          <w:sz w:val="24"/>
        </w:rPr>
      </w:pPr>
      <w:r>
        <w:rPr>
          <w:rFonts w:cs="Times New Roman" w:hint="default"/>
          <w:sz w:val="24"/>
        </w:rPr>
        <w:t>本项目与所涉及环境管控单元相关要求的符合性见表</w:t>
      </w:r>
      <w:r>
        <w:rPr>
          <w:rFonts w:cs="Times New Roman"/>
          <w:sz w:val="24"/>
        </w:rPr>
        <w:t>5</w:t>
      </w:r>
      <w:r>
        <w:rPr>
          <w:rFonts w:cs="Times New Roman" w:hint="default"/>
          <w:sz w:val="24"/>
        </w:rPr>
        <w:t>.</w:t>
      </w:r>
      <w:r>
        <w:rPr>
          <w:rFonts w:cs="Times New Roman"/>
          <w:sz w:val="24"/>
        </w:rPr>
        <w:t>3</w:t>
      </w:r>
      <w:r>
        <w:rPr>
          <w:rFonts w:cs="Times New Roman" w:hint="default"/>
          <w:sz w:val="24"/>
        </w:rPr>
        <w:t>-</w:t>
      </w:r>
      <w:r>
        <w:rPr>
          <w:rFonts w:cs="Times New Roman"/>
          <w:sz w:val="24"/>
        </w:rPr>
        <w:t>9</w:t>
      </w:r>
      <w:r>
        <w:rPr>
          <w:rFonts w:cs="Times New Roman"/>
          <w:sz w:val="24"/>
        </w:rPr>
        <w:t>和图</w:t>
      </w:r>
      <w:r>
        <w:rPr>
          <w:rFonts w:cs="Times New Roman"/>
          <w:sz w:val="24"/>
        </w:rPr>
        <w:t>5.3-9</w:t>
      </w:r>
      <w:r>
        <w:rPr>
          <w:rFonts w:cs="Times New Roman" w:hint="default"/>
          <w:sz w:val="24"/>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5</w:t>
      </w:r>
      <w:r>
        <w:rPr>
          <w:rFonts w:ascii="Times New Roman" w:hAnsi="Times New Roman" w:cs="Times New Roman" w:hint="default"/>
          <w:sz w:val="24"/>
          <w:szCs w:val="24"/>
        </w:rPr>
        <w:t>.</w:t>
      </w:r>
      <w:r>
        <w:rPr>
          <w:rFonts w:ascii="Times New Roman" w:hAnsi="Times New Roman" w:cs="Times New Roman"/>
          <w:sz w:val="24"/>
          <w:szCs w:val="24"/>
        </w:rPr>
        <w:t>3</w:t>
      </w:r>
      <w:r>
        <w:rPr>
          <w:rFonts w:ascii="Times New Roman" w:hAnsi="Times New Roman" w:cs="Times New Roman" w:hint="default"/>
          <w:sz w:val="24"/>
          <w:szCs w:val="24"/>
        </w:rPr>
        <w:t>-</w:t>
      </w:r>
      <w:r>
        <w:rPr>
          <w:rFonts w:ascii="Times New Roman" w:hAnsi="Times New Roman" w:cs="Times New Roman"/>
          <w:sz w:val="24"/>
          <w:szCs w:val="24"/>
        </w:rPr>
        <w:t>9</w:t>
      </w:r>
      <w:r>
        <w:rPr>
          <w:rFonts w:ascii="Times New Roman" w:hAnsi="Times New Roman" w:cs="Times New Roman" w:hint="default"/>
          <w:sz w:val="24"/>
          <w:szCs w:val="24"/>
        </w:rPr>
        <w:t xml:space="preserve">      </w:t>
      </w:r>
      <w:r>
        <w:rPr>
          <w:rFonts w:ascii="Times New Roman" w:hAnsi="Times New Roman" w:cs="Times New Roman" w:hint="default"/>
          <w:sz w:val="24"/>
          <w:szCs w:val="24"/>
        </w:rPr>
        <w:t>项目与阿克苏地区</w:t>
      </w:r>
      <w:r>
        <w:rPr>
          <w:rFonts w:ascii="Times New Roman" w:hAnsi="Times New Roman" w:cs="Times New Roman" w:hint="default"/>
          <w:sz w:val="24"/>
          <w:szCs w:val="24"/>
        </w:rPr>
        <w:t>柯坪县</w:t>
      </w:r>
      <w:r>
        <w:rPr>
          <w:rFonts w:ascii="Times New Roman" w:hAnsi="Times New Roman" w:cs="Times New Roman" w:hint="default"/>
          <w:sz w:val="24"/>
          <w:szCs w:val="24"/>
        </w:rPr>
        <w:t>环境管控单元符合性</w:t>
      </w:r>
    </w:p>
    <w:tbl>
      <w:tblPr>
        <w:tblStyle w:val="58"/>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34"/>
        <w:gridCol w:w="729"/>
        <w:gridCol w:w="4584"/>
        <w:gridCol w:w="1468"/>
      </w:tblGrid>
      <w:tr w:rsidR="00A46452">
        <w:trPr>
          <w:trHeight w:val="725"/>
          <w:tblHeader/>
          <w:jc w:val="center"/>
        </w:trPr>
        <w:tc>
          <w:tcPr>
            <w:tcW w:w="101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环境管控单元编码</w:t>
            </w:r>
            <w:r>
              <w:rPr>
                <w:rFonts w:eastAsiaTheme="minorEastAsia" w:cs="Times New Roman"/>
                <w:b/>
                <w:sz w:val="18"/>
                <w:szCs w:val="18"/>
              </w:rPr>
              <w:t>/</w:t>
            </w:r>
            <w:r>
              <w:rPr>
                <w:rFonts w:eastAsiaTheme="minorEastAsia" w:cs="Times New Roman"/>
                <w:b/>
                <w:sz w:val="18"/>
                <w:szCs w:val="18"/>
              </w:rPr>
              <w:t>管控单元分类</w:t>
            </w:r>
          </w:p>
        </w:tc>
        <w:tc>
          <w:tcPr>
            <w:tcW w:w="42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环境管控单元名称</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管控要求</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符合性分析</w:t>
            </w:r>
          </w:p>
        </w:tc>
      </w:tr>
      <w:tr w:rsidR="00A46452">
        <w:trPr>
          <w:trHeight w:val="129"/>
          <w:jc w:val="center"/>
        </w:trPr>
        <w:tc>
          <w:tcPr>
            <w:tcW w:w="1018"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ZH65292910002/</w:t>
            </w:r>
            <w:r>
              <w:rPr>
                <w:rFonts w:eastAsiaTheme="minorEastAsia" w:cs="Times New Roman"/>
                <w:sz w:val="18"/>
                <w:szCs w:val="18"/>
              </w:rPr>
              <w:t>优先保护单元</w:t>
            </w:r>
          </w:p>
        </w:tc>
        <w:tc>
          <w:tcPr>
            <w:tcW w:w="428"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柯坪县一般生态空间</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等线" w:cs="Times New Roman"/>
                <w:sz w:val="18"/>
                <w:szCs w:val="18"/>
              </w:rPr>
            </w:pPr>
            <w:r>
              <w:rPr>
                <w:rFonts w:eastAsiaTheme="minorEastAsia" w:cs="Times New Roman"/>
                <w:sz w:val="18"/>
                <w:szCs w:val="18"/>
              </w:rPr>
              <w:t>空间布局约束</w:t>
            </w:r>
            <w:r>
              <w:rPr>
                <w:rFonts w:eastAsiaTheme="minorEastAsia" w:cs="Times New Roman"/>
                <w:sz w:val="18"/>
                <w:szCs w:val="18"/>
              </w:rPr>
              <w:t>：</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、在沙化土地范围内从事开发建设活动的，必须事先就该项目可能对当地及相关地区生态产生的影响进行环境影响评价，依法提交环境影响报告；环境影响报告应当包括有关防沙治沙的内容。</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在沙化土地封禁保护区范围内，禁止一切破坏植被的活动。禁止在沙化土地封禁保护区范围内安置移民。对沙化土地封禁保护区范围内的农牧民，县级以上地方人民政府应当有计划地组织迁出，并妥善安置。沙化土地封禁保护区范围内尚未迁出的农牧民的生产生活，由沙化土地封禁保护区主管部门妥善安排。未经国务院或者国务院指定的部门同意，不得在沙化土地封禁保护区范围内进行修建铁路、公路等建设活动。</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、转变传统畜牧业生产方式，实行禁牧休牧，推行舍饲圈养，以草定畜，严格控制载畜量。加大退牧还草、退耕还林和防沙治沙力度，恢复草地植被。保护</w:t>
            </w:r>
            <w:r>
              <w:rPr>
                <w:rFonts w:eastAsiaTheme="minorEastAsia" w:cs="Times New Roman"/>
                <w:sz w:val="18"/>
                <w:szCs w:val="18"/>
              </w:rPr>
              <w:t>沙区湿地，新建水利工程要充分论证、审慎决策，禁止发展高耗水工业。对主要沙尘源区、沙尘暴频发区，要实行封禁管理。</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、合理利用地表水和地下水，调整农牧业结构，加强药材开发管理，禁止开垦草原，恢复天然植被，防止沙化面积扩大。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5</w:t>
            </w:r>
            <w:r>
              <w:rPr>
                <w:rFonts w:eastAsiaTheme="minorEastAsia" w:cs="Times New Roman"/>
                <w:sz w:val="18"/>
                <w:szCs w:val="18"/>
              </w:rPr>
              <w:t>、保护荒漠植被、保护荒漠河岸林、保护农田土壤环境质量。</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eastAsiaTheme="minorEastAsia" w:cs="Times New Roman"/>
                <w:sz w:val="18"/>
                <w:szCs w:val="18"/>
              </w:rPr>
              <w:t>文中防沙治沙措施见</w:t>
            </w:r>
            <w:r>
              <w:rPr>
                <w:rFonts w:eastAsiaTheme="minorEastAsia" w:cs="Times New Roman" w:hint="eastAsia"/>
                <w:sz w:val="18"/>
                <w:szCs w:val="18"/>
              </w:rPr>
              <w:t>8.1.1.2</w:t>
            </w:r>
            <w:r>
              <w:rPr>
                <w:rFonts w:eastAsiaTheme="minorEastAsia" w:cs="Times New Roman"/>
                <w:sz w:val="18"/>
                <w:szCs w:val="18"/>
              </w:rPr>
              <w:t>章节。拟建项目距柯坪县</w:t>
            </w:r>
            <w:r>
              <w:rPr>
                <w:rFonts w:eastAsiaTheme="minorEastAsia" w:cs="Times New Roman"/>
                <w:sz w:val="18"/>
                <w:szCs w:val="18"/>
              </w:rPr>
              <w:t>齐格布隆国家沙化土地封禁保护区</w:t>
            </w:r>
            <w:r>
              <w:rPr>
                <w:rFonts w:eastAsiaTheme="minorEastAsia" w:cs="Times New Roman"/>
                <w:sz w:val="18"/>
                <w:szCs w:val="18"/>
              </w:rPr>
              <w:t>约</w:t>
            </w:r>
            <w:r>
              <w:rPr>
                <w:rFonts w:eastAsiaTheme="minorEastAsia" w:cs="Times New Roman"/>
                <w:sz w:val="18"/>
                <w:szCs w:val="18"/>
              </w:rPr>
              <w:t>20km</w:t>
            </w:r>
            <w:r>
              <w:rPr>
                <w:rFonts w:eastAsiaTheme="minorEastAsia" w:cs="Times New Roman"/>
                <w:sz w:val="18"/>
                <w:szCs w:val="18"/>
              </w:rPr>
              <w:t>。本项目建设过程中，临时占地使用完成后，进行植被恢复。</w:t>
            </w:r>
          </w:p>
        </w:tc>
      </w:tr>
      <w:tr w:rsidR="00A46452">
        <w:trPr>
          <w:trHeight w:val="90"/>
          <w:jc w:val="center"/>
        </w:trPr>
        <w:tc>
          <w:tcPr>
            <w:tcW w:w="101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ZH65292920001</w:t>
            </w:r>
            <w:r>
              <w:rPr>
                <w:rFonts w:eastAsiaTheme="minorEastAsia" w:cs="Times New Roman"/>
                <w:sz w:val="18"/>
                <w:szCs w:val="18"/>
              </w:rPr>
              <w:t>/</w:t>
            </w:r>
            <w:r>
              <w:rPr>
                <w:rFonts w:eastAsiaTheme="minorEastAsia" w:cs="Times New Roman"/>
                <w:sz w:val="18"/>
                <w:szCs w:val="18"/>
              </w:rPr>
              <w:t>重点管控单元</w:t>
            </w:r>
          </w:p>
        </w:tc>
        <w:tc>
          <w:tcPr>
            <w:tcW w:w="42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柯坪县城镇集中建设区</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等线" w:cs="Times New Roman"/>
                <w:sz w:val="18"/>
                <w:szCs w:val="18"/>
              </w:rPr>
            </w:pPr>
            <w:r>
              <w:rPr>
                <w:rFonts w:eastAsiaTheme="minorEastAsia" w:cs="Times New Roman"/>
                <w:sz w:val="18"/>
                <w:szCs w:val="18"/>
              </w:rPr>
              <w:t>空间布局约束</w:t>
            </w:r>
            <w:r>
              <w:rPr>
                <w:rFonts w:eastAsiaTheme="minorEastAsia" w:cs="Times New Roman"/>
                <w:sz w:val="18"/>
                <w:szCs w:val="18"/>
              </w:rPr>
              <w:t>：</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、城市建成区内不得建设高污染的火电、化工、冶金、造纸、钢铁、建材等工业项目。</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在居民住宅区等人口密集区域和机关、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在集中供热管网覆盖区域内，禁止新建、改建、扩建燃煤供热锅炉，集中供热管网覆盖前，已建成使用的燃煤供热锅炉应当限期停止使用。</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、城市建成区原则上不再</w:t>
            </w:r>
            <w:r>
              <w:rPr>
                <w:rFonts w:eastAsiaTheme="minorEastAsia" w:cs="Times New Roman"/>
                <w:sz w:val="18"/>
                <w:szCs w:val="18"/>
              </w:rPr>
              <w:t>新建每小时</w:t>
            </w:r>
            <w:r>
              <w:rPr>
                <w:rFonts w:eastAsiaTheme="minorEastAsia" w:cs="Times New Roman"/>
                <w:sz w:val="18"/>
                <w:szCs w:val="18"/>
              </w:rPr>
              <w:t>35</w:t>
            </w:r>
            <w:r>
              <w:rPr>
                <w:rFonts w:eastAsiaTheme="minorEastAsia" w:cs="Times New Roman"/>
                <w:sz w:val="18"/>
                <w:szCs w:val="18"/>
              </w:rPr>
              <w:t>蒸吨以下燃煤锅炉，其他区域原则上不再新建每小时</w:t>
            </w:r>
            <w:r>
              <w:rPr>
                <w:rFonts w:eastAsiaTheme="minorEastAsia" w:cs="Times New Roman"/>
                <w:sz w:val="18"/>
                <w:szCs w:val="18"/>
              </w:rPr>
              <w:t>10</w:t>
            </w:r>
            <w:r>
              <w:rPr>
                <w:rFonts w:eastAsiaTheme="minorEastAsia" w:cs="Times New Roman"/>
                <w:sz w:val="18"/>
                <w:szCs w:val="18"/>
              </w:rPr>
              <w:t>蒸吨以下燃煤锅炉。</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符合，本项目严格按重点管控要求执行，项目为公路项目，不涉及工业项目建设及新建锅炉。</w:t>
            </w:r>
          </w:p>
        </w:tc>
      </w:tr>
      <w:tr w:rsidR="00A46452">
        <w:trPr>
          <w:trHeight w:val="294"/>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污染物排放管控：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、提升城市精细化管理水平，强化施工、道路、堆场、裸露地面等扬尘管控，加强城市保洁和清扫。加大餐饮油烟污染、恶臭异味治理力度。强化秸秆综合利用和禁烧管控。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加快城镇污水处理及再生利用设施提质增效，完善污水收集和处理系统，补齐生活污水收集处理设施短板。推进生活污水收集处理设施和污泥处置设施提标改造，逐步填补城镇生活污水收集空白区。定期检查排水管网，及时发现并修补漏损管道、实施混错接管网改造、老化管网更新；对原有的污水雨水合流制排水系统进行分批次校核，逐步推进雨污分流改造。加大城镇污水再生利用工程建设力度，推进区域再生水循环利用。</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、深入实施清洁柴油车（机）行动，基本淘汰国三及以下排放标准机动车，加快淘汰报废老旧柴油公务用车，全面实施国六排放标准。积极推广新</w:t>
            </w:r>
            <w:r>
              <w:rPr>
                <w:rFonts w:eastAsiaTheme="minorEastAsia" w:cs="Times New Roman"/>
                <w:sz w:val="18"/>
                <w:szCs w:val="18"/>
              </w:rPr>
              <w:t>能源汽车，提高城市公交领域新能源车辆占比。因地制宜持续提升新增及更新公务用车新能源汽车配备比例。大力推广</w:t>
            </w:r>
            <w:r>
              <w:rPr>
                <w:rFonts w:eastAsiaTheme="minorEastAsia" w:cs="Times New Roman"/>
                <w:sz w:val="18"/>
                <w:szCs w:val="18"/>
              </w:rPr>
              <w:t>“</w:t>
            </w:r>
            <w:r>
              <w:rPr>
                <w:rFonts w:eastAsiaTheme="minorEastAsia" w:cs="Times New Roman"/>
                <w:sz w:val="18"/>
                <w:szCs w:val="18"/>
              </w:rPr>
              <w:t>公转铁</w:t>
            </w:r>
            <w:r>
              <w:rPr>
                <w:rFonts w:eastAsiaTheme="minorEastAsia" w:cs="Times New Roman"/>
                <w:sz w:val="18"/>
                <w:szCs w:val="18"/>
              </w:rPr>
              <w:t>”</w:t>
            </w:r>
            <w:r>
              <w:rPr>
                <w:rFonts w:eastAsiaTheme="minorEastAsia" w:cs="Times New Roman"/>
                <w:sz w:val="18"/>
                <w:szCs w:val="18"/>
              </w:rPr>
              <w:t>运输组织模式，力争长距离公路货物运输量占比逐年递减，铁路发送量占比持续增加。持续强化货运车辆燃油消耗量限值标准管理。积极推广新能源汽车，加快充电桩建设，建设高速公路沿线、物流集散地充电桩，鼓励开展充电桩进小区相关工作。</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、持续开展防风固沙生态修复工程，加强沙尘天气颗粒物防控。建立和完善重污染天气兵地联合应急预案、预警应急机制和会商联动机制，实施重污染天气重点行业绩效分级和应急减排差异化控制。</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5</w:t>
            </w:r>
            <w:r>
              <w:rPr>
                <w:rFonts w:eastAsiaTheme="minorEastAsia" w:cs="Times New Roman"/>
                <w:sz w:val="18"/>
                <w:szCs w:val="18"/>
              </w:rPr>
              <w:t>、加强环境空气质量监测，进一步优化各县（市）空气质量监测站点，加强自动监测网络建设，满足自治区和地区联网要求，实现自动监测。</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符合，本项目属于基础设施建设，不涉及城镇污水、秸秆焚烧等。项目在运营后编制突发环境事件应急预案，预防和减轻环境风险对土壤和地表水的影响。</w:t>
            </w:r>
          </w:p>
        </w:tc>
      </w:tr>
      <w:tr w:rsidR="00A46452">
        <w:trPr>
          <w:trHeight w:val="90"/>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环境风险防控：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、强化重污染天气监测预报预警能力，建立和完善重污染天气兵地联合应急预案、预警应急机制和会商联动机制，加强轻、中度污染天气管控。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、严格危险化学品废弃处置。对城镇人口密集区现有不符合安全和卫生防护距离要求的危险化学品生产企业，进行定量风险评估，就地改造达标、搬迁进入规范化工园区或关闭退出。</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实施企业环境应急预案电子化备案，完成县级以上政府突发环境事件应急预案修编。完善区域和企业应急处置物资储备系统，结合各县市产业发展特征，加强应急物资储备及应急物资信息化建设，掌握社会应急物资储备动态信息。加强应急监测装备配置，定期开展应急演练，增强实战能力。完善多层级环境应急专家管理系统。</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、划定重点水域岸线的水生态红线保护区和缓冲区，加强河</w:t>
            </w:r>
            <w:r>
              <w:rPr>
                <w:rFonts w:eastAsiaTheme="minorEastAsia" w:cs="Times New Roman"/>
                <w:sz w:val="18"/>
                <w:szCs w:val="18"/>
              </w:rPr>
              <w:t>湖水域岸线管理保护。红线保护区实施最严格的保护政策，严禁一切与保护无关的开发活动，滨岸带缓冲区以维系地表径流污染拦截功能为重点，严格岸线用途管制，严控畜禽养殖业。制定河湖岸线开发利用负面清单，禁止不符合水体功能定位的涉水开发活动。强化河湖岸线建设项目管理，严禁以各种名义侵占河道、围垦湖泊。</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符合，本项目运营期会产生大气污染物，项目在运营后编制突发环境事件应急预案，预防和减轻环境风险对土壤和地表水的影响。</w:t>
            </w:r>
          </w:p>
        </w:tc>
      </w:tr>
      <w:tr w:rsidR="00A46452">
        <w:trPr>
          <w:trHeight w:val="120"/>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资源开发效率要求：</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、深入推进碳达峰碳中和行动。推动能源清洁低碳转型，加强能耗</w:t>
            </w:r>
            <w:r>
              <w:rPr>
                <w:rFonts w:eastAsiaTheme="minorEastAsia" w:cs="Times New Roman"/>
                <w:sz w:val="18"/>
                <w:szCs w:val="18"/>
              </w:rPr>
              <w:t>“</w:t>
            </w:r>
            <w:r>
              <w:rPr>
                <w:rFonts w:eastAsiaTheme="minorEastAsia" w:cs="Times New Roman"/>
                <w:sz w:val="18"/>
                <w:szCs w:val="18"/>
              </w:rPr>
              <w:t>双控</w:t>
            </w:r>
            <w:r>
              <w:rPr>
                <w:rFonts w:eastAsiaTheme="minorEastAsia" w:cs="Times New Roman"/>
                <w:sz w:val="18"/>
                <w:szCs w:val="18"/>
              </w:rPr>
              <w:t>”</w:t>
            </w:r>
            <w:r>
              <w:rPr>
                <w:rFonts w:eastAsiaTheme="minorEastAsia" w:cs="Times New Roman"/>
                <w:sz w:val="18"/>
                <w:szCs w:val="18"/>
              </w:rPr>
              <w:t>管理，优化能源消费结构。持续推进散煤整治。</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、坚决制止餐饮浪费行为，推广</w:t>
            </w:r>
            <w:r>
              <w:rPr>
                <w:rFonts w:eastAsiaTheme="minorEastAsia" w:cs="Times New Roman"/>
                <w:sz w:val="18"/>
                <w:szCs w:val="18"/>
              </w:rPr>
              <w:t>“</w:t>
            </w:r>
            <w:r>
              <w:rPr>
                <w:rFonts w:eastAsiaTheme="minorEastAsia" w:cs="Times New Roman"/>
                <w:sz w:val="18"/>
                <w:szCs w:val="18"/>
              </w:rPr>
              <w:t>光盘行动</w:t>
            </w:r>
            <w:r>
              <w:rPr>
                <w:rFonts w:eastAsiaTheme="minorEastAsia" w:cs="Times New Roman"/>
                <w:sz w:val="18"/>
                <w:szCs w:val="18"/>
              </w:rPr>
              <w:t>”</w:t>
            </w:r>
            <w:r>
              <w:rPr>
                <w:rFonts w:eastAsiaTheme="minorEastAsia" w:cs="Times New Roman"/>
                <w:sz w:val="18"/>
                <w:szCs w:val="18"/>
              </w:rPr>
              <w:t>引导消费者合理消费。积极发展共享经济，推动二手商品交易和流通。深入推进生活垃圾分类工作，建立完善分类投放、分类收集分类运输、分类处理系统。构建城乡融合的农村生活垃圾治理体系推动城乡环卫制度并轨。</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、地下水资源利用实行总量控制和水位控制。取用地下水资源，应当按照国家和自治区有关规定申请取水许可。地下水利用应当以浅层地下水为主。</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eastAsiaTheme="minorEastAsia" w:cs="Times New Roman"/>
                <w:sz w:val="18"/>
                <w:szCs w:val="18"/>
              </w:rPr>
              <w:t>本项目为交通基础设施项</w:t>
            </w:r>
            <w:r>
              <w:rPr>
                <w:rFonts w:eastAsiaTheme="minorEastAsia" w:cs="Times New Roman"/>
                <w:sz w:val="18"/>
                <w:szCs w:val="18"/>
              </w:rPr>
              <w:t>目，</w:t>
            </w:r>
            <w:r>
              <w:rPr>
                <w:rFonts w:eastAsiaTheme="minorEastAsia" w:cs="Times New Roman"/>
                <w:sz w:val="18"/>
                <w:szCs w:val="18"/>
              </w:rPr>
              <w:t>不涉及资源开发。</w:t>
            </w:r>
            <w:r>
              <w:rPr>
                <w:rFonts w:eastAsiaTheme="minorEastAsia" w:cs="Times New Roman"/>
                <w:sz w:val="18"/>
                <w:szCs w:val="18"/>
              </w:rPr>
              <w:t>符合《自然资源部关于贯彻落实</w:t>
            </w:r>
            <w:r>
              <w:rPr>
                <w:rFonts w:eastAsiaTheme="minorEastAsia" w:cs="Times New Roman"/>
                <w:sz w:val="18"/>
                <w:szCs w:val="18"/>
              </w:rPr>
              <w:t>〈</w:t>
            </w:r>
            <w:r>
              <w:rPr>
                <w:rFonts w:eastAsiaTheme="minorEastAsia" w:cs="Times New Roman"/>
                <w:sz w:val="18"/>
                <w:szCs w:val="18"/>
              </w:rPr>
              <w:t>国务院关于授权和委托用地审批权的决定</w:t>
            </w:r>
            <w:r>
              <w:rPr>
                <w:rFonts w:eastAsiaTheme="minorEastAsia" w:cs="Times New Roman"/>
                <w:sz w:val="18"/>
                <w:szCs w:val="18"/>
              </w:rPr>
              <w:t>〉</w:t>
            </w:r>
            <w:r>
              <w:rPr>
                <w:rFonts w:eastAsiaTheme="minorEastAsia" w:cs="Times New Roman"/>
                <w:sz w:val="18"/>
                <w:szCs w:val="18"/>
              </w:rPr>
              <w:t>的通知》（自然资规〔</w:t>
            </w:r>
            <w:r>
              <w:rPr>
                <w:rFonts w:eastAsiaTheme="minorEastAsia" w:cs="Times New Roman"/>
                <w:sz w:val="18"/>
                <w:szCs w:val="18"/>
              </w:rPr>
              <w:t>2020</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号）等文件要求，已办理完成用地手续，施工结束后平整土地，进行土地复垦</w:t>
            </w:r>
            <w:r>
              <w:rPr>
                <w:rFonts w:eastAsiaTheme="minorEastAsia" w:cs="Times New Roman"/>
                <w:sz w:val="18"/>
                <w:szCs w:val="18"/>
              </w:rPr>
              <w:t>。</w:t>
            </w:r>
          </w:p>
        </w:tc>
      </w:tr>
      <w:tr w:rsidR="00A46452">
        <w:trPr>
          <w:trHeight w:val="2999"/>
          <w:jc w:val="center"/>
        </w:trPr>
        <w:tc>
          <w:tcPr>
            <w:tcW w:w="101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ZH65292930001</w:t>
            </w:r>
            <w:r>
              <w:rPr>
                <w:rFonts w:eastAsiaTheme="minorEastAsia" w:cs="Times New Roman"/>
                <w:sz w:val="18"/>
                <w:szCs w:val="18"/>
              </w:rPr>
              <w:t>/</w:t>
            </w:r>
            <w:r>
              <w:rPr>
                <w:rFonts w:eastAsiaTheme="minorEastAsia" w:cs="Times New Roman"/>
                <w:sz w:val="18"/>
                <w:szCs w:val="18"/>
              </w:rPr>
              <w:t>一般管控单元</w:t>
            </w:r>
          </w:p>
        </w:tc>
        <w:tc>
          <w:tcPr>
            <w:tcW w:w="42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柯坪县一般管控单元</w:t>
            </w: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空间布局约束：</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建设项目用地原则上不得占用基本农田，确需占用基本农田的建设项目须符合《中华人民共和国基本农田保护条例》中的相关要求，占用耕地、林地或草地的建设项目须按照国家、自治区相关补偿要求进行补偿。</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、永久基本农田集中区域禁止规划新建可能造成土壤污染的建设项目。涉及有毒有害物质可能造成土壤污染的新（改、扩）建项目，提出并落实土壤和地下水污染防治要求。</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、严格执行畜禽养殖禁养区规定，根据区域用地和消纳水平，合理确定养殖规模。</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、禁止向沙漠、滩涂、盐碱地、沼泽地等非法排污、倾倒有毒有害物质。</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5</w:t>
            </w:r>
            <w:r>
              <w:rPr>
                <w:rFonts w:eastAsiaTheme="minorEastAsia" w:cs="Times New Roman"/>
                <w:sz w:val="18"/>
                <w:szCs w:val="18"/>
              </w:rPr>
              <w:t>、禁止利用渗坑、裂隙、溶洞或者采用稀释等方法处置危险废物。</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符合，本项目未占用基本农田，不涉及畜禽养殖。</w:t>
            </w:r>
          </w:p>
        </w:tc>
      </w:tr>
      <w:tr w:rsidR="00A46452">
        <w:trPr>
          <w:trHeight w:val="468"/>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污染物排放管控：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、强化畜禽粪污资源化利用，改善养殖场通风环境，提高畜禽粪污综合利用率，减少氨挥发排放。鼓励和支持散养密集区实行畜禽粪污分户收集、集中处理。</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、严格控制林地、草地、园地农药使用量，禁止使用高毒、高残留农药。</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w:t>
            </w:r>
            <w:r>
              <w:rPr>
                <w:rFonts w:eastAsiaTheme="minorEastAsia" w:cs="Times New Roman"/>
                <w:sz w:val="18"/>
                <w:szCs w:val="18"/>
              </w:rPr>
              <w:t>综合利用格局。</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符合，本项目不涉及农药使用、畜禽养殖等。</w:t>
            </w:r>
          </w:p>
        </w:tc>
      </w:tr>
      <w:tr w:rsidR="00A46452">
        <w:trPr>
          <w:trHeight w:val="1037"/>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环境风险防控：</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、依法推行农用地分类管理制度，强化受污染耕地安全利用和风险管控。因地制宜制定实施安全利用方案，鼓励采取种植结构调整等措施，确保受污染耕地全部实现安全利用。</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符合，项目所占耕地已经实现</w:t>
            </w:r>
            <w:r>
              <w:rPr>
                <w:rFonts w:eastAsiaTheme="minorEastAsia" w:cs="Times New Roman"/>
                <w:sz w:val="18"/>
                <w:szCs w:val="18"/>
              </w:rPr>
              <w:t>“</w:t>
            </w:r>
            <w:r>
              <w:rPr>
                <w:rFonts w:eastAsiaTheme="minorEastAsia" w:cs="Times New Roman"/>
                <w:sz w:val="18"/>
                <w:szCs w:val="18"/>
              </w:rPr>
              <w:t>占补平衡</w:t>
            </w:r>
            <w:r>
              <w:rPr>
                <w:rFonts w:eastAsiaTheme="minorEastAsia" w:cs="Times New Roman"/>
                <w:sz w:val="18"/>
                <w:szCs w:val="18"/>
              </w:rPr>
              <w:t>”</w:t>
            </w:r>
            <w:r>
              <w:rPr>
                <w:rFonts w:eastAsiaTheme="minorEastAsia" w:cs="Times New Roman"/>
                <w:sz w:val="18"/>
                <w:szCs w:val="18"/>
              </w:rPr>
              <w:t>。</w:t>
            </w:r>
          </w:p>
        </w:tc>
      </w:tr>
      <w:tr w:rsidR="00A46452">
        <w:trPr>
          <w:trHeight w:val="81"/>
          <w:jc w:val="center"/>
        </w:trPr>
        <w:tc>
          <w:tcPr>
            <w:tcW w:w="101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428" w:type="pct"/>
            <w:vMerge/>
            <w:tcBorders>
              <w:tl2br w:val="nil"/>
              <w:tr2bl w:val="nil"/>
            </w:tcBorders>
            <w:vAlign w:val="center"/>
          </w:tcPr>
          <w:p w:rsidR="00A46452" w:rsidRDefault="00A46452">
            <w:pPr>
              <w:wordWrap w:val="0"/>
              <w:topLinePunct/>
              <w:adjustRightInd w:val="0"/>
              <w:snapToGrid w:val="0"/>
              <w:spacing w:line="200" w:lineRule="exact"/>
              <w:ind w:firstLineChars="0" w:firstLine="0"/>
              <w:rPr>
                <w:rFonts w:eastAsiaTheme="minorEastAsia" w:cs="Times New Roman"/>
                <w:sz w:val="18"/>
                <w:szCs w:val="18"/>
              </w:rPr>
            </w:pPr>
          </w:p>
        </w:tc>
        <w:tc>
          <w:tcPr>
            <w:tcW w:w="269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资源开发效率要求</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、全面推进秸秆综合利用，鼓励秸秆资源化、饲料化、肥料化利用，推动秸秆还田与离田收集。</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、科学合理使用化肥农药，增加有机肥使用量，实现化肥农药使用量负增长。</w:t>
            </w:r>
          </w:p>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、推广渠道防渗、管道输水、喷灌、微灌等节水灌溉技术，完善灌溉用水计量设施。推进规模化高效节水灌溉，推广农作物节水抗旱技术。建立灌区墒情测报网络，提高农业用水效率，降低农业用水比重。</w:t>
            </w:r>
          </w:p>
        </w:tc>
        <w:tc>
          <w:tcPr>
            <w:tcW w:w="862"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符合，本项目不涉及秸秆、农药化肥等使用。</w:t>
            </w:r>
          </w:p>
        </w:tc>
      </w:tr>
    </w:tbl>
    <w:p w:rsidR="00A46452" w:rsidRDefault="009A3928">
      <w:pPr>
        <w:pStyle w:val="Default"/>
        <w:wordWrap w:val="0"/>
        <w:topLinePunct/>
        <w:autoSpaceDE/>
        <w:autoSpaceDN/>
        <w:snapToGrid w:val="0"/>
        <w:ind w:firstLine="480"/>
        <w:rPr>
          <w:color w:val="auto"/>
        </w:rPr>
      </w:pPr>
      <w:r>
        <w:rPr>
          <w:color w:val="auto"/>
        </w:rPr>
        <w:t>工程建设</w:t>
      </w:r>
      <w:r>
        <w:rPr>
          <w:rFonts w:hint="eastAsia"/>
          <w:color w:val="auto"/>
        </w:rPr>
        <w:t>符合</w:t>
      </w:r>
      <w:r>
        <w:rPr>
          <w:color w:val="auto"/>
        </w:rPr>
        <w:t>《阿克苏地区</w:t>
      </w:r>
      <w:r>
        <w:rPr>
          <w:color w:val="auto"/>
        </w:rPr>
        <w:t>“</w:t>
      </w:r>
      <w:r>
        <w:rPr>
          <w:color w:val="auto"/>
        </w:rPr>
        <w:t>三线一单</w:t>
      </w:r>
      <w:r>
        <w:rPr>
          <w:color w:val="auto"/>
        </w:rPr>
        <w:t>”</w:t>
      </w:r>
      <w:r>
        <w:rPr>
          <w:color w:val="auto"/>
        </w:rPr>
        <w:t>生态环境分区管控方案》</w:t>
      </w:r>
      <w:r>
        <w:rPr>
          <w:color w:val="auto"/>
        </w:rPr>
        <w:t>《阿克苏地区生态环境分区管控方案（动态更新）》</w:t>
      </w:r>
      <w:r>
        <w:rPr>
          <w:color w:val="auto"/>
        </w:rPr>
        <w:t>相关要求。</w:t>
      </w:r>
    </w:p>
    <w:p w:rsidR="00A46452" w:rsidRDefault="009A3928">
      <w:pPr>
        <w:pStyle w:val="52"/>
        <w:keepNext w:val="0"/>
        <w:widowControl w:val="0"/>
        <w:wordWrap w:val="0"/>
        <w:topLinePunct/>
        <w:adjustRightInd w:val="0"/>
        <w:snapToGrid w:val="0"/>
        <w:ind w:firstLineChars="0"/>
        <w:rPr>
          <w:rFonts w:cs="Times New Roman" w:hint="default"/>
        </w:rPr>
      </w:pPr>
      <w:r>
        <w:rPr>
          <w:rFonts w:cs="Times New Roman" w:hint="default"/>
        </w:rPr>
        <w:t>5.3.4.6</w:t>
      </w:r>
      <w:r>
        <w:rPr>
          <w:rFonts w:cs="Times New Roman" w:hint="default"/>
        </w:rPr>
        <w:t>与《第三师图木舒克市</w:t>
      </w:r>
      <w:r>
        <w:rPr>
          <w:rFonts w:cs="Times New Roman" w:hint="default"/>
        </w:rPr>
        <w:t>“</w:t>
      </w:r>
      <w:r>
        <w:rPr>
          <w:rFonts w:cs="Times New Roman" w:hint="default"/>
        </w:rPr>
        <w:t>三线一单</w:t>
      </w:r>
      <w:r>
        <w:rPr>
          <w:rFonts w:cs="Times New Roman" w:hint="default"/>
        </w:rPr>
        <w:t>”</w:t>
      </w:r>
      <w:r>
        <w:rPr>
          <w:rFonts w:cs="Times New Roman" w:hint="default"/>
        </w:rPr>
        <w:t>生态环境分区管控方案》《第三师图木舒克市生态环境分区管控方案（动态更新）》的符合性分析</w:t>
      </w:r>
    </w:p>
    <w:p w:rsidR="00A46452" w:rsidRDefault="009A3928">
      <w:pPr>
        <w:pStyle w:val="Default"/>
        <w:wordWrap w:val="0"/>
        <w:topLinePunct/>
        <w:autoSpaceDE/>
        <w:autoSpaceDN/>
        <w:snapToGrid w:val="0"/>
        <w:ind w:firstLine="480"/>
        <w:rPr>
          <w:color w:val="auto"/>
        </w:rPr>
      </w:pPr>
      <w:r>
        <w:rPr>
          <w:color w:val="auto"/>
        </w:rPr>
        <w:t>2021</w:t>
      </w:r>
      <w:r>
        <w:rPr>
          <w:color w:val="auto"/>
        </w:rPr>
        <w:t>年</w:t>
      </w:r>
      <w:r>
        <w:rPr>
          <w:color w:val="auto"/>
        </w:rPr>
        <w:t>7</w:t>
      </w:r>
      <w:r>
        <w:rPr>
          <w:color w:val="auto"/>
        </w:rPr>
        <w:t>月新疆生产建设兵团第三师发布《关于印发</w:t>
      </w:r>
      <w:r>
        <w:rPr>
          <w:color w:val="auto"/>
        </w:rPr>
        <w:t>〈</w:t>
      </w:r>
      <w:r>
        <w:rPr>
          <w:color w:val="auto"/>
        </w:rPr>
        <w:t>第三师图木舒克市</w:t>
      </w:r>
      <w:r>
        <w:rPr>
          <w:color w:val="auto"/>
        </w:rPr>
        <w:t>“</w:t>
      </w:r>
      <w:r>
        <w:rPr>
          <w:color w:val="auto"/>
        </w:rPr>
        <w:t>三线一单</w:t>
      </w:r>
      <w:r>
        <w:rPr>
          <w:color w:val="auto"/>
        </w:rPr>
        <w:t>”</w:t>
      </w:r>
      <w:r>
        <w:rPr>
          <w:color w:val="auto"/>
        </w:rPr>
        <w:t>生态环境分区管控方案</w:t>
      </w:r>
      <w:r>
        <w:rPr>
          <w:color w:val="auto"/>
        </w:rPr>
        <w:t>〉</w:t>
      </w:r>
      <w:r>
        <w:rPr>
          <w:color w:val="auto"/>
        </w:rPr>
        <w:t>的通知》（师发〔</w:t>
      </w:r>
      <w:r>
        <w:rPr>
          <w:color w:val="auto"/>
        </w:rPr>
        <w:t>2021</w:t>
      </w:r>
      <w:r>
        <w:rPr>
          <w:color w:val="auto"/>
        </w:rPr>
        <w:t>〕</w:t>
      </w:r>
      <w:r>
        <w:rPr>
          <w:color w:val="auto"/>
        </w:rPr>
        <w:t>44</w:t>
      </w:r>
      <w:r>
        <w:rPr>
          <w:color w:val="auto"/>
        </w:rPr>
        <w:t>号），对照新疆生产建设兵团第三师图木舒克市环境管控单元图，本项目属于一般管控单元。符合性分析如下：</w:t>
      </w:r>
    </w:p>
    <w:p w:rsidR="00A46452" w:rsidRDefault="009A3928">
      <w:pPr>
        <w:pStyle w:val="Default"/>
        <w:wordWrap w:val="0"/>
        <w:topLinePunct/>
        <w:autoSpaceDE/>
        <w:autoSpaceDN/>
        <w:snapToGrid w:val="0"/>
        <w:ind w:firstLine="480"/>
        <w:rPr>
          <w:color w:val="auto"/>
        </w:rPr>
      </w:pPr>
      <w:r>
        <w:rPr>
          <w:color w:val="auto"/>
        </w:rPr>
        <w:t>（</w:t>
      </w:r>
      <w:r>
        <w:rPr>
          <w:color w:val="auto"/>
        </w:rPr>
        <w:t>1</w:t>
      </w:r>
      <w:r>
        <w:rPr>
          <w:color w:val="auto"/>
        </w:rPr>
        <w:t>）生态保护红线符合性分析</w:t>
      </w:r>
    </w:p>
    <w:p w:rsidR="00A46452" w:rsidRDefault="009A3928">
      <w:pPr>
        <w:pStyle w:val="Default"/>
        <w:wordWrap w:val="0"/>
        <w:topLinePunct/>
        <w:autoSpaceDE/>
        <w:autoSpaceDN/>
        <w:snapToGrid w:val="0"/>
        <w:ind w:firstLine="480"/>
        <w:rPr>
          <w:color w:val="auto"/>
        </w:rPr>
      </w:pPr>
      <w:r>
        <w:rPr>
          <w:color w:val="auto"/>
        </w:rPr>
        <w:t>本项目</w:t>
      </w:r>
      <w:r>
        <w:rPr>
          <w:color w:val="auto"/>
        </w:rPr>
        <w:t>K0+000~K5+090</w:t>
      </w:r>
      <w:r>
        <w:rPr>
          <w:color w:val="auto"/>
        </w:rPr>
        <w:t>、</w:t>
      </w:r>
      <w:r>
        <w:rPr>
          <w:color w:val="auto"/>
        </w:rPr>
        <w:t>K6+800</w:t>
      </w:r>
      <w:r>
        <w:rPr>
          <w:color w:val="auto"/>
        </w:rPr>
        <w:t>～</w:t>
      </w:r>
      <w:r>
        <w:rPr>
          <w:color w:val="auto"/>
        </w:rPr>
        <w:t>K</w:t>
      </w:r>
      <w:r>
        <w:rPr>
          <w:color w:val="auto"/>
        </w:rPr>
        <w:t>31+780</w:t>
      </w:r>
      <w:r>
        <w:rPr>
          <w:color w:val="auto"/>
        </w:rPr>
        <w:t>段位于第三师境内，根据已发布的第三师图木舒</w:t>
      </w:r>
      <w:r>
        <w:rPr>
          <w:color w:val="auto"/>
        </w:rPr>
        <w:t>克市三线一单生态环境分区管控方案，经核实，拟建项目不占用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不属于生态保护红线范围，符合生态红线保护要求。</w:t>
      </w:r>
    </w:p>
    <w:p w:rsidR="00A46452" w:rsidRDefault="009A3928">
      <w:pPr>
        <w:pStyle w:val="Default"/>
        <w:wordWrap w:val="0"/>
        <w:topLinePunct/>
        <w:autoSpaceDE/>
        <w:autoSpaceDN/>
        <w:snapToGrid w:val="0"/>
        <w:ind w:firstLine="480"/>
        <w:rPr>
          <w:color w:val="auto"/>
        </w:rPr>
      </w:pPr>
      <w:r>
        <w:rPr>
          <w:color w:val="auto"/>
        </w:rPr>
        <w:t>（</w:t>
      </w:r>
      <w:r>
        <w:rPr>
          <w:color w:val="auto"/>
        </w:rPr>
        <w:t>2</w:t>
      </w:r>
      <w:r>
        <w:rPr>
          <w:color w:val="auto"/>
        </w:rPr>
        <w:t>）环境质量底线符合性分析</w:t>
      </w:r>
    </w:p>
    <w:p w:rsidR="00A46452" w:rsidRDefault="009A3928">
      <w:pPr>
        <w:pStyle w:val="Default"/>
        <w:wordWrap w:val="0"/>
        <w:topLinePunct/>
        <w:autoSpaceDE/>
        <w:autoSpaceDN/>
        <w:snapToGrid w:val="0"/>
        <w:ind w:firstLine="480"/>
        <w:rPr>
          <w:color w:val="auto"/>
        </w:rPr>
      </w:pPr>
      <w:r>
        <w:rPr>
          <w:color w:val="auto"/>
        </w:rPr>
        <w:t>由环境现状调查可知，项目区所在区最近的国控站点的六项基本因子中的</w:t>
      </w:r>
      <w:r>
        <w:rPr>
          <w:color w:val="auto"/>
        </w:rPr>
        <w:t>PM</w:t>
      </w:r>
      <w:r>
        <w:rPr>
          <w:color w:val="auto"/>
          <w:vertAlign w:val="subscript"/>
        </w:rPr>
        <w:t>10</w:t>
      </w:r>
      <w:r>
        <w:rPr>
          <w:color w:val="auto"/>
        </w:rPr>
        <w:t>、</w:t>
      </w:r>
      <w:r>
        <w:rPr>
          <w:color w:val="auto"/>
        </w:rPr>
        <w:t>PM</w:t>
      </w:r>
      <w:r>
        <w:rPr>
          <w:color w:val="auto"/>
          <w:vertAlign w:val="subscript"/>
        </w:rPr>
        <w:t>2.5</w:t>
      </w:r>
      <w:r>
        <w:rPr>
          <w:color w:val="auto"/>
        </w:rPr>
        <w:t>年均浓度超过《环境空气质量标准》（</w:t>
      </w:r>
      <w:r>
        <w:rPr>
          <w:color w:val="auto"/>
        </w:rPr>
        <w:t>GB3095-2012</w:t>
      </w:r>
      <w:r>
        <w:rPr>
          <w:color w:val="auto"/>
        </w:rPr>
        <w:t>）及修改单中二级标</w:t>
      </w:r>
      <w:r>
        <w:rPr>
          <w:color w:val="auto"/>
        </w:rPr>
        <w:t>准限值，项目区环境空气质量为不达标区。地表水水质目标满足《地表水环境质量标准》（</w:t>
      </w:r>
      <w:r>
        <w:rPr>
          <w:color w:val="auto"/>
        </w:rPr>
        <w:t>GB3838-2002</w:t>
      </w:r>
      <w:r>
        <w:rPr>
          <w:color w:val="auto"/>
        </w:rPr>
        <w:t>）</w:t>
      </w:r>
      <w:r>
        <w:rPr>
          <w:color w:val="auto"/>
        </w:rPr>
        <w:t>Ⅲ</w:t>
      </w:r>
      <w:r>
        <w:rPr>
          <w:color w:val="auto"/>
        </w:rPr>
        <w:t>类标准。本项目为公路建设项目，施工期项目产生的废气、废水、固废，随施工期结束而消失，为暂时性影响。项目运营期会产生一定的车辆尾气、噪声</w:t>
      </w:r>
      <w:r>
        <w:rPr>
          <w:color w:val="auto"/>
        </w:rPr>
        <w:t>，以</w:t>
      </w:r>
      <w:r>
        <w:rPr>
          <w:color w:val="auto"/>
        </w:rPr>
        <w:t>及收费站工作人员少量的生活污水及垃圾等。经预测，本项目建成运行后，在采取严格的环保措施后，本工程对区域空气和声环境质量影响较小，不会因本项目的建设而突破所在区域环境质量底线。</w:t>
      </w:r>
    </w:p>
    <w:p w:rsidR="00A46452" w:rsidRDefault="009A3928">
      <w:pPr>
        <w:pStyle w:val="Default"/>
        <w:wordWrap w:val="0"/>
        <w:topLinePunct/>
        <w:autoSpaceDE/>
        <w:autoSpaceDN/>
        <w:snapToGrid w:val="0"/>
        <w:ind w:firstLine="480"/>
        <w:rPr>
          <w:color w:val="auto"/>
        </w:rPr>
      </w:pPr>
      <w:r>
        <w:rPr>
          <w:color w:val="auto"/>
        </w:rPr>
        <w:t>（</w:t>
      </w:r>
      <w:r>
        <w:rPr>
          <w:color w:val="auto"/>
        </w:rPr>
        <w:t>3</w:t>
      </w:r>
      <w:r>
        <w:rPr>
          <w:color w:val="auto"/>
        </w:rPr>
        <w:t>）资源利用上线符合性分析</w:t>
      </w:r>
    </w:p>
    <w:p w:rsidR="00A46452" w:rsidRDefault="009A3928">
      <w:pPr>
        <w:pStyle w:val="Default"/>
        <w:wordWrap w:val="0"/>
        <w:topLinePunct/>
        <w:autoSpaceDE/>
        <w:autoSpaceDN/>
        <w:snapToGrid w:val="0"/>
        <w:ind w:firstLine="480"/>
        <w:rPr>
          <w:color w:val="auto"/>
        </w:rPr>
      </w:pPr>
      <w:r>
        <w:rPr>
          <w:color w:val="auto"/>
        </w:rPr>
        <w:t>本项目为公路改建项目，项目建设及营运过程中能耗、水资源消耗较小</w:t>
      </w:r>
      <w:r>
        <w:rPr>
          <w:color w:val="auto"/>
        </w:rPr>
        <w:t>，根据用地预审与选址意见书，本项目在</w:t>
      </w:r>
      <w:r>
        <w:rPr>
          <w:color w:val="auto"/>
        </w:rPr>
        <w:t>第三师</w:t>
      </w:r>
      <w:r>
        <w:rPr>
          <w:color w:val="auto"/>
        </w:rPr>
        <w:t>境内永久占地</w:t>
      </w:r>
      <w:r>
        <w:rPr>
          <w:color w:val="auto"/>
        </w:rPr>
        <w:t>81.38hm²</w:t>
      </w:r>
      <w:r>
        <w:rPr>
          <w:color w:val="auto"/>
        </w:rPr>
        <w:t>，项目所用土地为规划的交通设施用地，另外本项目不涉及规划矿产区，沿线无压覆矿产资源。本项目营运期不会对区域资源和能源产生大的消耗。综上所述，本项目的建设符合资源利用上线要求。</w:t>
      </w:r>
    </w:p>
    <w:p w:rsidR="00A46452" w:rsidRDefault="009A3928">
      <w:pPr>
        <w:pStyle w:val="Default"/>
        <w:wordWrap w:val="0"/>
        <w:topLinePunct/>
        <w:autoSpaceDE/>
        <w:autoSpaceDN/>
        <w:snapToGrid w:val="0"/>
        <w:ind w:firstLine="480"/>
        <w:rPr>
          <w:color w:val="auto"/>
        </w:rPr>
      </w:pPr>
      <w:r>
        <w:rPr>
          <w:color w:val="auto"/>
        </w:rPr>
        <w:t>（</w:t>
      </w:r>
      <w:r>
        <w:rPr>
          <w:color w:val="auto"/>
        </w:rPr>
        <w:t>4</w:t>
      </w:r>
      <w:r>
        <w:rPr>
          <w:color w:val="auto"/>
        </w:rPr>
        <w:t>）与环境准入清单符合性分析</w:t>
      </w:r>
    </w:p>
    <w:p w:rsidR="00A46452" w:rsidRDefault="009A3928">
      <w:pPr>
        <w:pStyle w:val="Default"/>
        <w:wordWrap w:val="0"/>
        <w:topLinePunct/>
        <w:autoSpaceDE/>
        <w:autoSpaceDN/>
        <w:snapToGrid w:val="0"/>
        <w:ind w:firstLine="480"/>
        <w:rPr>
          <w:color w:val="auto"/>
        </w:rPr>
      </w:pPr>
      <w:r>
        <w:rPr>
          <w:color w:val="auto"/>
        </w:rPr>
        <w:t>本项目属于公路建设项目，对照《市场准入负面清单（</w:t>
      </w:r>
      <w:r>
        <w:rPr>
          <w:color w:val="auto"/>
        </w:rPr>
        <w:t>202</w:t>
      </w:r>
      <w:r>
        <w:rPr>
          <w:color w:val="auto"/>
        </w:rPr>
        <w:t>5</w:t>
      </w:r>
      <w:r>
        <w:rPr>
          <w:color w:val="auto"/>
        </w:rPr>
        <w:t>年版）》，本项目属于许可准入类项目。对照《第三师图木舒克市</w:t>
      </w:r>
      <w:r>
        <w:rPr>
          <w:color w:val="auto"/>
        </w:rPr>
        <w:t>“</w:t>
      </w:r>
      <w:r>
        <w:rPr>
          <w:color w:val="auto"/>
        </w:rPr>
        <w:t>三线一单</w:t>
      </w:r>
      <w:r>
        <w:rPr>
          <w:color w:val="auto"/>
        </w:rPr>
        <w:t>”</w:t>
      </w:r>
      <w:r>
        <w:rPr>
          <w:color w:val="auto"/>
        </w:rPr>
        <w:t>生态环境分区管控方案》相关管控要求，本项目属于基础设施建设项目，对照相关管控单元的空间布局约束、污染物排放管控、环境风险管控、资源开发率要求，本项目的建设符合沿线管控单元环境准入情况要求。</w:t>
      </w:r>
    </w:p>
    <w:p w:rsidR="00A46452" w:rsidRDefault="009A3928">
      <w:pPr>
        <w:wordWrap w:val="0"/>
        <w:topLinePunct/>
        <w:adjustRightInd w:val="0"/>
        <w:snapToGrid w:val="0"/>
        <w:ind w:firstLine="480"/>
        <w:rPr>
          <w:rFonts w:cs="Times New Roman"/>
        </w:rPr>
      </w:pPr>
      <w:r>
        <w:rPr>
          <w:rFonts w:cs="Times New Roman" w:hint="eastAsia"/>
        </w:rPr>
        <w:t>根据</w:t>
      </w:r>
      <w:r>
        <w:rPr>
          <w:rFonts w:cs="Times New Roman"/>
        </w:rPr>
        <w:t>《第三师图木舒克市生态环境分区管控方案（动态更新）》</w:t>
      </w:r>
      <w:r>
        <w:rPr>
          <w:rFonts w:cs="Times New Roman"/>
        </w:rPr>
        <w:t>相关内容摘录</w:t>
      </w:r>
      <w:r>
        <w:rPr>
          <w:rFonts w:cs="Times New Roman" w:hint="eastAsia"/>
        </w:rPr>
        <w:t>如下：</w:t>
      </w:r>
    </w:p>
    <w:p w:rsidR="00A46452" w:rsidRDefault="009A3928">
      <w:pPr>
        <w:pStyle w:val="Default"/>
        <w:wordWrap w:val="0"/>
        <w:topLinePunct/>
        <w:autoSpaceDE/>
        <w:autoSpaceDN/>
        <w:snapToGrid w:val="0"/>
        <w:ind w:firstLine="480"/>
        <w:rPr>
          <w:color w:val="auto"/>
        </w:rPr>
      </w:pPr>
      <w:r>
        <w:rPr>
          <w:color w:val="auto"/>
        </w:rPr>
        <w:t>第三师图木舒克市环境管控单元共</w:t>
      </w:r>
      <w:r>
        <w:rPr>
          <w:color w:val="auto"/>
        </w:rPr>
        <w:t>62</w:t>
      </w:r>
      <w:r>
        <w:rPr>
          <w:color w:val="auto"/>
        </w:rPr>
        <w:t>个，其中：优先保护单元：共计</w:t>
      </w:r>
      <w:r>
        <w:rPr>
          <w:color w:val="auto"/>
        </w:rPr>
        <w:t>22</w:t>
      </w:r>
      <w:r>
        <w:rPr>
          <w:color w:val="auto"/>
        </w:rPr>
        <w:t>个，面积为</w:t>
      </w:r>
      <w:r>
        <w:rPr>
          <w:color w:val="auto"/>
        </w:rPr>
        <w:t>1395.50</w:t>
      </w:r>
      <w:r>
        <w:rPr>
          <w:color w:val="auto"/>
        </w:rPr>
        <w:t>平方公里，占全师总面积的</w:t>
      </w:r>
      <w:r>
        <w:rPr>
          <w:color w:val="auto"/>
        </w:rPr>
        <w:t>29.54%</w:t>
      </w:r>
      <w:r>
        <w:rPr>
          <w:color w:val="auto"/>
        </w:rPr>
        <w:t>。主要包括生态保护红线、一般生态空间，水环境优先保护区，环境空气一类功能区等区域。该区域以生态环境保护优先为原则，开发建设活动应严格执行相关</w:t>
      </w:r>
      <w:r>
        <w:rPr>
          <w:rFonts w:hint="eastAsia"/>
          <w:color w:val="auto"/>
        </w:rPr>
        <w:t>法律法规</w:t>
      </w:r>
      <w:r>
        <w:rPr>
          <w:color w:val="auto"/>
        </w:rPr>
        <w:t>要求，严守生态环境质量底线，确保生态功能不降低。主要分布在托云牧场、叶城二牧场和图木舒克市等区域。</w:t>
      </w:r>
    </w:p>
    <w:p w:rsidR="00A46452" w:rsidRDefault="009A3928">
      <w:pPr>
        <w:pStyle w:val="Default"/>
        <w:wordWrap w:val="0"/>
        <w:topLinePunct/>
        <w:autoSpaceDE/>
        <w:autoSpaceDN/>
        <w:snapToGrid w:val="0"/>
        <w:ind w:firstLine="480"/>
        <w:rPr>
          <w:color w:val="auto"/>
        </w:rPr>
      </w:pPr>
      <w:r>
        <w:rPr>
          <w:color w:val="auto"/>
        </w:rPr>
        <w:t>重点管控单元：共计</w:t>
      </w:r>
      <w:r>
        <w:rPr>
          <w:color w:val="auto"/>
        </w:rPr>
        <w:t>27</w:t>
      </w:r>
      <w:r>
        <w:rPr>
          <w:color w:val="auto"/>
        </w:rPr>
        <w:t>个，面积为</w:t>
      </w:r>
      <w:r>
        <w:rPr>
          <w:color w:val="auto"/>
        </w:rPr>
        <w:t>873.27</w:t>
      </w:r>
      <w:r>
        <w:rPr>
          <w:color w:val="auto"/>
        </w:rPr>
        <w:t>平方公里，占全师总面积的</w:t>
      </w:r>
      <w:r>
        <w:rPr>
          <w:color w:val="auto"/>
        </w:rPr>
        <w:t>18.48%</w:t>
      </w:r>
      <w:r>
        <w:rPr>
          <w:color w:val="auto"/>
        </w:rPr>
        <w:t>。主要包括叶城二牧场和伽师总场、图木舒克市和开发强度大、污</w:t>
      </w:r>
      <w:r>
        <w:rPr>
          <w:color w:val="auto"/>
        </w:rPr>
        <w:t>染物排放强度高及存在环境风险的其他区域。该区域应优化空间布局，加强污染物排放控制和环境风险防控，不断提升资源利用效率，重点解决突出生态环境问题，切实推动生态环境质量持续改善。</w:t>
      </w:r>
    </w:p>
    <w:p w:rsidR="00A46452" w:rsidRDefault="009A3928">
      <w:pPr>
        <w:pStyle w:val="Default"/>
        <w:wordWrap w:val="0"/>
        <w:topLinePunct/>
        <w:autoSpaceDE/>
        <w:autoSpaceDN/>
        <w:snapToGrid w:val="0"/>
        <w:ind w:firstLine="480"/>
        <w:rPr>
          <w:color w:val="auto"/>
        </w:rPr>
      </w:pPr>
      <w:r>
        <w:rPr>
          <w:color w:val="auto"/>
        </w:rPr>
        <w:t>一般管控单元：共计</w:t>
      </w:r>
      <w:r>
        <w:rPr>
          <w:color w:val="auto"/>
        </w:rPr>
        <w:t>13</w:t>
      </w:r>
      <w:r>
        <w:rPr>
          <w:color w:val="auto"/>
        </w:rPr>
        <w:t>个，面积为</w:t>
      </w:r>
      <w:r>
        <w:rPr>
          <w:color w:val="auto"/>
        </w:rPr>
        <w:t>2309.54</w:t>
      </w:r>
      <w:r>
        <w:rPr>
          <w:color w:val="auto"/>
        </w:rPr>
        <w:t>平方公里，占全师总面积的</w:t>
      </w:r>
      <w:r>
        <w:rPr>
          <w:color w:val="auto"/>
        </w:rPr>
        <w:t>48.89%</w:t>
      </w:r>
      <w:r>
        <w:rPr>
          <w:color w:val="auto"/>
        </w:rPr>
        <w:t>。主要指优先保护单元和重点管控单元之外的区域。该区域以经济社会可持续发展为导向，生态环境保护与适度开发相结合，开发建设应落实现行生态环境保护基本要求。</w:t>
      </w:r>
    </w:p>
    <w:p w:rsidR="00A46452" w:rsidRDefault="009A3928">
      <w:pPr>
        <w:pStyle w:val="Default"/>
        <w:wordWrap w:val="0"/>
        <w:topLinePunct/>
        <w:autoSpaceDE/>
        <w:autoSpaceDN/>
        <w:snapToGrid w:val="0"/>
        <w:ind w:firstLine="480"/>
        <w:rPr>
          <w:color w:val="auto"/>
        </w:rPr>
      </w:pPr>
      <w:r>
        <w:rPr>
          <w:color w:val="auto"/>
        </w:rPr>
        <w:t>本项目涉及环境管控单元信息见表</w:t>
      </w:r>
      <w:r>
        <w:rPr>
          <w:rFonts w:hint="eastAsia"/>
          <w:color w:val="auto"/>
        </w:rPr>
        <w:t>5</w:t>
      </w:r>
      <w:r>
        <w:rPr>
          <w:color w:val="auto"/>
        </w:rPr>
        <w:t>.</w:t>
      </w:r>
      <w:r>
        <w:rPr>
          <w:rFonts w:hint="eastAsia"/>
          <w:color w:val="auto"/>
        </w:rPr>
        <w:t>3-10</w:t>
      </w:r>
      <w:r>
        <w:rPr>
          <w:rFonts w:hint="eastAsia"/>
          <w:color w:val="auto"/>
        </w:rPr>
        <w:t>和</w:t>
      </w:r>
      <w:r>
        <w:rPr>
          <w:color w:val="auto"/>
        </w:rPr>
        <w:t>图</w:t>
      </w:r>
      <w:r>
        <w:rPr>
          <w:rFonts w:hint="eastAsia"/>
          <w:color w:val="auto"/>
        </w:rPr>
        <w:t>5</w:t>
      </w:r>
      <w:r>
        <w:rPr>
          <w:color w:val="auto"/>
        </w:rPr>
        <w:t>.</w:t>
      </w:r>
      <w:r>
        <w:rPr>
          <w:rFonts w:hint="eastAsia"/>
          <w:color w:val="auto"/>
        </w:rPr>
        <w:t>3</w:t>
      </w:r>
      <w:r>
        <w:rPr>
          <w:color w:val="auto"/>
        </w:rPr>
        <w:t>-</w:t>
      </w:r>
      <w:r>
        <w:rPr>
          <w:rFonts w:hint="eastAsia"/>
          <w:color w:val="auto"/>
        </w:rPr>
        <w:t>10</w:t>
      </w:r>
      <w:r>
        <w:rPr>
          <w:color w:val="auto"/>
        </w:rPr>
        <w:t>。</w:t>
      </w:r>
    </w:p>
    <w:p w:rsidR="00A46452" w:rsidRDefault="009A3928">
      <w:pPr>
        <w:pStyle w:val="Default"/>
        <w:wordWrap w:val="0"/>
        <w:topLinePunct/>
        <w:autoSpaceDE/>
        <w:autoSpaceDN/>
        <w:snapToGrid w:val="0"/>
        <w:spacing w:line="240" w:lineRule="auto"/>
        <w:ind w:firstLineChars="0" w:firstLine="0"/>
        <w:rPr>
          <w:color w:val="auto"/>
        </w:rPr>
      </w:pPr>
      <w:r>
        <w:rPr>
          <w:rFonts w:eastAsia="黑体"/>
          <w:color w:val="auto"/>
        </w:rPr>
        <w:t>表</w:t>
      </w:r>
      <w:r>
        <w:rPr>
          <w:rFonts w:eastAsia="黑体" w:hint="eastAsia"/>
          <w:color w:val="auto"/>
        </w:rPr>
        <w:t>5</w:t>
      </w:r>
      <w:r>
        <w:rPr>
          <w:rFonts w:eastAsia="黑体"/>
          <w:color w:val="auto"/>
        </w:rPr>
        <w:t>.</w:t>
      </w:r>
      <w:r>
        <w:rPr>
          <w:rFonts w:eastAsia="黑体" w:hint="eastAsia"/>
          <w:color w:val="auto"/>
        </w:rPr>
        <w:t>3</w:t>
      </w:r>
      <w:r>
        <w:rPr>
          <w:rFonts w:eastAsia="黑体"/>
          <w:color w:val="auto"/>
        </w:rPr>
        <w:t>-</w:t>
      </w:r>
      <w:r>
        <w:rPr>
          <w:rFonts w:eastAsia="黑体" w:hint="eastAsia"/>
          <w:color w:val="auto"/>
        </w:rPr>
        <w:t>10</w:t>
      </w:r>
      <w:r>
        <w:rPr>
          <w:rFonts w:eastAsia="黑体"/>
          <w:color w:val="auto"/>
        </w:rPr>
        <w:t xml:space="preserve">  </w:t>
      </w:r>
      <w:r>
        <w:rPr>
          <w:rFonts w:eastAsia="黑体"/>
          <w:color w:val="auto"/>
          <w:szCs w:val="22"/>
        </w:rPr>
        <w:t>项目与第三师环境管控单元生态环境管控总体要求及符合性分析表</w:t>
      </w:r>
    </w:p>
    <w:tbl>
      <w:tblPr>
        <w:tblStyle w:val="aff8"/>
        <w:tblW w:w="4998"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159"/>
        <w:gridCol w:w="644"/>
        <w:gridCol w:w="609"/>
        <w:gridCol w:w="3783"/>
        <w:gridCol w:w="2317"/>
      </w:tblGrid>
      <w:tr w:rsidR="00A46452">
        <w:trPr>
          <w:trHeight w:val="90"/>
          <w:tblHeader/>
          <w:jc w:val="center"/>
        </w:trPr>
        <w:tc>
          <w:tcPr>
            <w:tcW w:w="68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b/>
                <w:sz w:val="18"/>
                <w:szCs w:val="18"/>
              </w:rPr>
            </w:pPr>
            <w:r>
              <w:rPr>
                <w:rFonts w:eastAsiaTheme="minorEastAsia" w:cs="Times New Roman"/>
                <w:b/>
                <w:sz w:val="18"/>
                <w:szCs w:val="18"/>
              </w:rPr>
              <w:t>环境管控单元编码</w:t>
            </w:r>
          </w:p>
        </w:tc>
        <w:tc>
          <w:tcPr>
            <w:tcW w:w="37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环境管控单元名称</w:t>
            </w:r>
          </w:p>
        </w:tc>
        <w:tc>
          <w:tcPr>
            <w:tcW w:w="358"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管控单元分类</w:t>
            </w:r>
          </w:p>
        </w:tc>
        <w:tc>
          <w:tcPr>
            <w:tcW w:w="2221"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管控要求</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b/>
                <w:sz w:val="18"/>
                <w:szCs w:val="18"/>
              </w:rPr>
            </w:pPr>
            <w:r>
              <w:rPr>
                <w:rFonts w:eastAsiaTheme="minorEastAsia" w:cs="Times New Roman"/>
                <w:b/>
                <w:sz w:val="18"/>
                <w:szCs w:val="18"/>
              </w:rPr>
              <w:t>符合性分析</w:t>
            </w:r>
          </w:p>
        </w:tc>
      </w:tr>
      <w:tr w:rsidR="00A46452">
        <w:trPr>
          <w:trHeight w:val="1406"/>
          <w:jc w:val="center"/>
        </w:trPr>
        <w:tc>
          <w:tcPr>
            <w:tcW w:w="680"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ZH65900330003</w:t>
            </w:r>
          </w:p>
        </w:tc>
        <w:tc>
          <w:tcPr>
            <w:tcW w:w="37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图木舒克市</w:t>
            </w:r>
            <w:r>
              <w:rPr>
                <w:rFonts w:eastAsiaTheme="minorEastAsia" w:cs="Times New Roman"/>
                <w:sz w:val="18"/>
                <w:szCs w:val="18"/>
              </w:rPr>
              <w:t>50</w:t>
            </w:r>
            <w:r>
              <w:rPr>
                <w:rFonts w:eastAsiaTheme="minorEastAsia" w:cs="Times New Roman"/>
                <w:sz w:val="18"/>
                <w:szCs w:val="18"/>
              </w:rPr>
              <w:t>团一般管控单元</w:t>
            </w:r>
          </w:p>
        </w:tc>
        <w:tc>
          <w:tcPr>
            <w:tcW w:w="35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一般管控单元</w:t>
            </w:r>
          </w:p>
        </w:tc>
        <w:tc>
          <w:tcPr>
            <w:tcW w:w="222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空间布局约束</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）完善农田防护林。采用林、灌、草相结合的复合林带，建立完整的防风固沙林和相应配套的外围防沙灌木带体系。（</w:t>
            </w:r>
            <w:r>
              <w:rPr>
                <w:rFonts w:eastAsiaTheme="minorEastAsia" w:cs="Times New Roman"/>
                <w:sz w:val="18"/>
                <w:szCs w:val="18"/>
              </w:rPr>
              <w:t>2</w:t>
            </w:r>
            <w:r>
              <w:rPr>
                <w:rFonts w:eastAsiaTheme="minorEastAsia" w:cs="Times New Roman"/>
                <w:sz w:val="18"/>
                <w:szCs w:val="18"/>
              </w:rPr>
              <w:t>）严格禁止破坏沙漠边缘的现有绿色生态保护屏障，不可随意开垦半荒漠土地，同时要主动加大该区域的绿化面积。加强自然植被保护，持续开展防沙治沙工作，保护绿洲边缘荒漠林。</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本项目为公路基础设施建设项目，符合空间布局</w:t>
            </w:r>
            <w:r>
              <w:rPr>
                <w:rFonts w:cs="Times New Roman"/>
                <w:sz w:val="18"/>
                <w:szCs w:val="18"/>
              </w:rPr>
              <w:t>管理</w:t>
            </w:r>
            <w:r>
              <w:rPr>
                <w:rFonts w:cs="Times New Roman"/>
                <w:sz w:val="18"/>
                <w:szCs w:val="18"/>
              </w:rPr>
              <w:t>约束的要求；项目不属于区域空间布局管</w:t>
            </w:r>
            <w:r>
              <w:rPr>
                <w:rFonts w:cs="Times New Roman"/>
                <w:sz w:val="18"/>
                <w:szCs w:val="18"/>
              </w:rPr>
              <w:t>理</w:t>
            </w:r>
            <w:r>
              <w:rPr>
                <w:rFonts w:cs="Times New Roman"/>
                <w:sz w:val="18"/>
                <w:szCs w:val="18"/>
              </w:rPr>
              <w:t>约束列明的限制类、禁止类建设项目。</w:t>
            </w:r>
          </w:p>
        </w:tc>
      </w:tr>
      <w:tr w:rsidR="00A46452">
        <w:trPr>
          <w:trHeight w:val="677"/>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污染物排放管控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）鼓励秸秆资源化、饲料化、肥料化利用，推动秸秆还田与离田收集，禁止焚烧秸秆。（</w:t>
            </w:r>
            <w:r>
              <w:rPr>
                <w:rFonts w:eastAsiaTheme="minorEastAsia" w:cs="Times New Roman"/>
                <w:sz w:val="18"/>
                <w:szCs w:val="18"/>
              </w:rPr>
              <w:t>2</w:t>
            </w:r>
            <w:r>
              <w:rPr>
                <w:rFonts w:eastAsiaTheme="minorEastAsia" w:cs="Times New Roman"/>
                <w:sz w:val="18"/>
                <w:szCs w:val="18"/>
              </w:rPr>
              <w:t>）严格控制农药使用，逐步削减农业面源污染物排放量。推动秸秆还田与离田收集，禁止焚烧秸秆。离县城和乡镇较远的村庄，生活垃圾可就近采取无害化处置。</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本项目为公路建设项目，</w:t>
            </w:r>
            <w:r>
              <w:rPr>
                <w:rFonts w:cs="Times New Roman"/>
                <w:sz w:val="18"/>
                <w:szCs w:val="18"/>
              </w:rPr>
              <w:t>不涉及农药使用、秸秆焚烧；</w:t>
            </w:r>
            <w:r>
              <w:rPr>
                <w:rFonts w:cs="Times New Roman"/>
                <w:sz w:val="18"/>
                <w:szCs w:val="18"/>
              </w:rPr>
              <w:t>项目正常运营过程中主要产生交通噪声、机动车辆尾气、雨水地表径流、收费站工作人员少量的生活污水及垃圾等，项目产生的各类污染物均采取相应可行的处理措施达到其相应的环境质量标准限值要求。因此，符合污染物排放管控要求。</w:t>
            </w:r>
          </w:p>
        </w:tc>
      </w:tr>
      <w:tr w:rsidR="00A46452">
        <w:trPr>
          <w:trHeight w:val="1271"/>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环境风险防控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重点监测土壤中镉、汞、砷、铅、铬等重金属和多环芳烃、石油烃等有机污染物。把土壤监测作为土壤环境监测预警体系建设的一项重要内容。严厉打击非法排放有毒有害污染物、违法违规存放危险化学品、非法处置危险废物、不正常使用污染治理设施、监测数据弄虚作假等环境违法行为。</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符合，项目按照要求落实环境风险防范措施。</w:t>
            </w:r>
          </w:p>
        </w:tc>
      </w:tr>
      <w:tr w:rsidR="00A46452">
        <w:trPr>
          <w:trHeight w:val="776"/>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资源开发效率要求</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）加大土地整理、复垦力度，改造中低田，治理土壤次生盐渍化。严禁随意开发尚不具备开发条件的农业后备资源，加强保护和规划。（</w:t>
            </w:r>
            <w:r>
              <w:rPr>
                <w:rFonts w:eastAsiaTheme="minorEastAsia" w:cs="Times New Roman"/>
                <w:sz w:val="18"/>
                <w:szCs w:val="18"/>
              </w:rPr>
              <w:t>2</w:t>
            </w:r>
            <w:r>
              <w:rPr>
                <w:rFonts w:eastAsiaTheme="minorEastAsia" w:cs="Times New Roman"/>
                <w:sz w:val="18"/>
                <w:szCs w:val="18"/>
              </w:rPr>
              <w:t>）推进规模化高效节水灌溉，推广农作物节水抗旱技术。发展以喷滴灌和渠道防渗为中心的节水农业。（</w:t>
            </w:r>
            <w:r>
              <w:rPr>
                <w:rFonts w:eastAsiaTheme="minorEastAsia" w:cs="Times New Roman"/>
                <w:sz w:val="18"/>
                <w:szCs w:val="18"/>
              </w:rPr>
              <w:t>3</w:t>
            </w:r>
            <w:r>
              <w:rPr>
                <w:rFonts w:eastAsiaTheme="minorEastAsia" w:cs="Times New Roman"/>
                <w:sz w:val="18"/>
                <w:szCs w:val="18"/>
              </w:rPr>
              <w:t>）完善高标准农田建设、土地开发整理等标准规范，明确环保要求。推广渠道防渗、管道输水、喷灌、微灌等节水灌溉技术，完善灌溉用水计量设施。大力推进规模化高效节水灌溉，推广农作物节水抗旱技术。</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cs="Times New Roman"/>
                <w:sz w:val="18"/>
                <w:szCs w:val="18"/>
              </w:rPr>
              <w:t>符合，</w:t>
            </w:r>
            <w:r>
              <w:rPr>
                <w:rFonts w:cs="Times New Roman"/>
                <w:sz w:val="18"/>
                <w:szCs w:val="18"/>
              </w:rPr>
              <w:t>项目为公路建设项目，项目正常运营过程中能耗、水资源消耗较小，不会对区域资源和能源产生大的消耗。</w:t>
            </w:r>
          </w:p>
        </w:tc>
      </w:tr>
      <w:tr w:rsidR="00A46452">
        <w:trPr>
          <w:trHeight w:val="593"/>
          <w:jc w:val="center"/>
        </w:trPr>
        <w:tc>
          <w:tcPr>
            <w:tcW w:w="680"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ZH65900330004</w:t>
            </w:r>
          </w:p>
        </w:tc>
        <w:tc>
          <w:tcPr>
            <w:tcW w:w="37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图木舒克市</w:t>
            </w:r>
            <w:r>
              <w:rPr>
                <w:rFonts w:eastAsiaTheme="minorEastAsia" w:cs="Times New Roman"/>
                <w:sz w:val="18"/>
                <w:szCs w:val="18"/>
              </w:rPr>
              <w:t>51</w:t>
            </w:r>
            <w:r>
              <w:rPr>
                <w:rFonts w:eastAsiaTheme="minorEastAsia" w:cs="Times New Roman"/>
                <w:sz w:val="18"/>
                <w:szCs w:val="18"/>
              </w:rPr>
              <w:t>团一般管控单元</w:t>
            </w:r>
          </w:p>
        </w:tc>
        <w:tc>
          <w:tcPr>
            <w:tcW w:w="35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一般管控单元</w:t>
            </w:r>
          </w:p>
        </w:tc>
        <w:tc>
          <w:tcPr>
            <w:tcW w:w="222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空间布局约束</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）执行大气环境布局敏感区相关要求。（</w:t>
            </w:r>
            <w:r>
              <w:rPr>
                <w:rFonts w:eastAsiaTheme="minorEastAsia" w:cs="Times New Roman"/>
                <w:sz w:val="18"/>
                <w:szCs w:val="18"/>
              </w:rPr>
              <w:t>2</w:t>
            </w:r>
            <w:r>
              <w:rPr>
                <w:rFonts w:eastAsiaTheme="minorEastAsia" w:cs="Times New Roman"/>
                <w:sz w:val="18"/>
                <w:szCs w:val="18"/>
              </w:rPr>
              <w:t>）严格禁止破坏沙漠边缘的现有绿色生态保护屏障，不可随意开垦半荒漠土地，同时要主动加大该区域的绿化面积。加强自然植被保护，持续开展防沙治沙工作，保护绿洲边缘荒漠林。（</w:t>
            </w:r>
            <w:r>
              <w:rPr>
                <w:rFonts w:eastAsiaTheme="minorEastAsia" w:cs="Times New Roman"/>
                <w:sz w:val="18"/>
                <w:szCs w:val="18"/>
              </w:rPr>
              <w:t>3</w:t>
            </w:r>
            <w:r>
              <w:rPr>
                <w:rFonts w:eastAsiaTheme="minorEastAsia" w:cs="Times New Roman"/>
                <w:sz w:val="18"/>
                <w:szCs w:val="18"/>
              </w:rPr>
              <w:t>）大气环境布局敏感区应避免大规模排放大气污染物的项目布局建设。已有改扩建项目要提高节能环保准入门槛，实行大气污染物排放减量置换，实施区域内最严格的大气污染物排放标准。区内禁止新建除热电联产以外的煤电项目，禁止新（改、扩）建钢铁、建材、焦化、有色、石化、化工等高污染行业项目；禁止新建使用原煤项目和</w:t>
            </w:r>
            <w:r>
              <w:rPr>
                <w:rFonts w:eastAsiaTheme="minorEastAsia" w:cs="Times New Roman"/>
                <w:sz w:val="18"/>
                <w:szCs w:val="18"/>
              </w:rPr>
              <w:t>30</w:t>
            </w:r>
            <w:r>
              <w:rPr>
                <w:rFonts w:eastAsiaTheme="minorEastAsia" w:cs="Times New Roman"/>
                <w:sz w:val="18"/>
                <w:szCs w:val="18"/>
              </w:rPr>
              <w:t>蒸吨</w:t>
            </w:r>
            <w:r>
              <w:rPr>
                <w:rFonts w:eastAsiaTheme="minorEastAsia" w:cs="Times New Roman"/>
                <w:sz w:val="18"/>
                <w:szCs w:val="18"/>
              </w:rPr>
              <w:t>/</w:t>
            </w:r>
            <w:r>
              <w:rPr>
                <w:rFonts w:eastAsiaTheme="minorEastAsia" w:cs="Times New Roman"/>
                <w:sz w:val="18"/>
                <w:szCs w:val="18"/>
              </w:rPr>
              <w:t>小时以下的重油、渣油锅炉及直接燃用生物质锅炉；禁止新建涉及有毒有害气体排放的项目；优先实施清洁能源替代，淘汰区域内现存的上述禁止项目。环境质量超标区域，新（改、扩）建</w:t>
            </w:r>
            <w:r>
              <w:rPr>
                <w:rFonts w:eastAsiaTheme="minorEastAsia" w:cs="Times New Roman"/>
                <w:sz w:val="18"/>
                <w:szCs w:val="18"/>
              </w:rPr>
              <w:t>其他</w:t>
            </w:r>
            <w:r>
              <w:rPr>
                <w:rFonts w:eastAsiaTheme="minorEastAsia" w:cs="Times New Roman"/>
                <w:sz w:val="18"/>
                <w:szCs w:val="18"/>
              </w:rPr>
              <w:t>项目实行区域大气污染物二倍量削减，即：按照建设项目污染物排放量的</w:t>
            </w:r>
            <w:r>
              <w:rPr>
                <w:rFonts w:eastAsiaTheme="minorEastAsia" w:cs="Times New Roman"/>
                <w:sz w:val="18"/>
                <w:szCs w:val="18"/>
              </w:rPr>
              <w:t>2</w:t>
            </w:r>
            <w:r>
              <w:rPr>
                <w:rFonts w:eastAsiaTheme="minorEastAsia" w:cs="Times New Roman"/>
                <w:sz w:val="18"/>
                <w:szCs w:val="18"/>
              </w:rPr>
              <w:t>倍及以上实行区域污染物总量削减替代；已达到大气环境质量标准的地区，应当严格控制新增排放大气污染物项目大气污染物排放量。</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本项目为公路基础设施建设项目，符合空间布局</w:t>
            </w:r>
            <w:r>
              <w:rPr>
                <w:rFonts w:cs="Times New Roman"/>
                <w:sz w:val="18"/>
                <w:szCs w:val="18"/>
              </w:rPr>
              <w:t>管理</w:t>
            </w:r>
            <w:r>
              <w:rPr>
                <w:rFonts w:cs="Times New Roman"/>
                <w:sz w:val="18"/>
                <w:szCs w:val="18"/>
              </w:rPr>
              <w:t>约束的要求；项目不属于区域空间布局管</w:t>
            </w:r>
            <w:r>
              <w:rPr>
                <w:rFonts w:cs="Times New Roman"/>
                <w:sz w:val="18"/>
                <w:szCs w:val="18"/>
              </w:rPr>
              <w:t>理</w:t>
            </w:r>
            <w:r>
              <w:rPr>
                <w:rFonts w:cs="Times New Roman"/>
                <w:sz w:val="18"/>
                <w:szCs w:val="18"/>
              </w:rPr>
              <w:t>约束列明的限制类、禁止类建设项目。</w:t>
            </w:r>
          </w:p>
        </w:tc>
      </w:tr>
      <w:tr w:rsidR="00A46452">
        <w:trPr>
          <w:trHeight w:val="1236"/>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污染物排放管控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）严格控制农药使用，逐步削减农业面源污染物排放量。（</w:t>
            </w:r>
            <w:r>
              <w:rPr>
                <w:rFonts w:eastAsiaTheme="minorEastAsia" w:cs="Times New Roman"/>
                <w:sz w:val="18"/>
                <w:szCs w:val="18"/>
              </w:rPr>
              <w:t>2</w:t>
            </w:r>
            <w:r>
              <w:rPr>
                <w:rFonts w:eastAsiaTheme="minorEastAsia" w:cs="Times New Roman"/>
                <w:sz w:val="18"/>
                <w:szCs w:val="18"/>
              </w:rPr>
              <w:t>）推动秸秆还田与离田收集，禁止焚烧秸秆。离县城和乡镇较远的村庄，生活垃圾可就近采取无害化处置。（</w:t>
            </w:r>
            <w:r>
              <w:rPr>
                <w:rFonts w:eastAsiaTheme="minorEastAsia" w:cs="Times New Roman"/>
                <w:sz w:val="18"/>
                <w:szCs w:val="18"/>
              </w:rPr>
              <w:t>3</w:t>
            </w:r>
            <w:r>
              <w:rPr>
                <w:rFonts w:eastAsiaTheme="minorEastAsia" w:cs="Times New Roman"/>
                <w:sz w:val="18"/>
                <w:szCs w:val="18"/>
              </w:rPr>
              <w:t>）严格控制农药使用，逐步削减农业面源污染物排放量。推动秸秆还田与离田收集，禁止焚烧秸秆。（</w:t>
            </w:r>
            <w:r>
              <w:rPr>
                <w:rFonts w:eastAsiaTheme="minorEastAsia" w:cs="Times New Roman"/>
                <w:sz w:val="18"/>
                <w:szCs w:val="18"/>
              </w:rPr>
              <w:t>4</w:t>
            </w:r>
            <w:r>
              <w:rPr>
                <w:rFonts w:eastAsiaTheme="minorEastAsia" w:cs="Times New Roman"/>
                <w:sz w:val="18"/>
                <w:szCs w:val="18"/>
              </w:rPr>
              <w:t>）大气环境布局敏感区执行环境空气质量二级标准。（</w:t>
            </w:r>
            <w:r>
              <w:rPr>
                <w:rFonts w:eastAsiaTheme="minorEastAsia" w:cs="Times New Roman"/>
                <w:sz w:val="18"/>
                <w:szCs w:val="18"/>
              </w:rPr>
              <w:t>5</w:t>
            </w:r>
            <w:r>
              <w:rPr>
                <w:rFonts w:eastAsiaTheme="minorEastAsia" w:cs="Times New Roman"/>
                <w:sz w:val="18"/>
                <w:szCs w:val="18"/>
              </w:rPr>
              <w:t>）连队生活污水处理采取铺设骨干排水管网，收集居民生活污水，最后汇入排水总干管，进入人工湿地或氧化塘。</w:t>
            </w:r>
          </w:p>
        </w:tc>
        <w:tc>
          <w:tcPr>
            <w:tcW w:w="1360" w:type="pc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本项目为公路建设项目，</w:t>
            </w:r>
            <w:r>
              <w:rPr>
                <w:rFonts w:cs="Times New Roman"/>
                <w:sz w:val="18"/>
                <w:szCs w:val="18"/>
              </w:rPr>
              <w:t>不涉及农药使用、秸秆焚烧；</w:t>
            </w:r>
            <w:r>
              <w:rPr>
                <w:rFonts w:cs="Times New Roman"/>
                <w:sz w:val="18"/>
                <w:szCs w:val="18"/>
              </w:rPr>
              <w:t>项目正常运营过程中主要产生交通噪声、机动车辆尾气、雨水地表</w:t>
            </w:r>
            <w:r>
              <w:rPr>
                <w:rFonts w:cs="Times New Roman"/>
                <w:sz w:val="18"/>
                <w:szCs w:val="18"/>
              </w:rPr>
              <w:t>径流、收费站工作人员少量的生活污水及垃圾等，项目产生的各类污染物均采取相应可行的处理措施达到其相应的环境质量标准限值要求。因此，符合污染物排放管控要求。</w:t>
            </w:r>
          </w:p>
        </w:tc>
      </w:tr>
      <w:tr w:rsidR="00A46452">
        <w:trPr>
          <w:trHeight w:val="9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环境风险防控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）合理布局各行业重大风险源的位置，避免将各种风险源设置在集中居民区或环境保护目标的上风向，远离主要的河流等地表水体。</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符合，项目按照要求落实环境风险防范措施。</w:t>
            </w:r>
          </w:p>
        </w:tc>
      </w:tr>
      <w:tr w:rsidR="00A46452">
        <w:trPr>
          <w:trHeight w:val="11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资源开发效率要求</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）加大土地整理、复垦力度，改造中低田，治理土壤次生盐渍化。严禁随意开发尚不具备开发条件的农业后备资源，加强保护和规划。（</w:t>
            </w:r>
            <w:r>
              <w:rPr>
                <w:rFonts w:eastAsiaTheme="minorEastAsia" w:cs="Times New Roman"/>
                <w:sz w:val="18"/>
                <w:szCs w:val="18"/>
              </w:rPr>
              <w:t>2</w:t>
            </w:r>
            <w:r>
              <w:rPr>
                <w:rFonts w:eastAsiaTheme="minorEastAsia" w:cs="Times New Roman"/>
                <w:sz w:val="18"/>
                <w:szCs w:val="18"/>
              </w:rPr>
              <w:t>）推进规模化高效节水灌溉，推广农作物节水抗旱技术。发展以喷滴灌和渠道防渗为中心的节水农业。</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cs="Times New Roman"/>
                <w:sz w:val="18"/>
                <w:szCs w:val="18"/>
              </w:rPr>
            </w:pPr>
            <w:r>
              <w:rPr>
                <w:rFonts w:cs="Times New Roman"/>
                <w:sz w:val="18"/>
                <w:szCs w:val="18"/>
              </w:rPr>
              <w:t>项目为公路建设项目，项目正常运营过程中能耗、水资源消耗较小，不会对区域资源和能源产生大的消耗。</w:t>
            </w:r>
          </w:p>
        </w:tc>
      </w:tr>
      <w:tr w:rsidR="00A46452">
        <w:trPr>
          <w:trHeight w:val="1222"/>
          <w:jc w:val="center"/>
        </w:trPr>
        <w:tc>
          <w:tcPr>
            <w:tcW w:w="680"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ZH65900330005</w:t>
            </w:r>
          </w:p>
        </w:tc>
        <w:tc>
          <w:tcPr>
            <w:tcW w:w="37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图木舒克市</w:t>
            </w:r>
            <w:r>
              <w:rPr>
                <w:rFonts w:eastAsiaTheme="minorEastAsia" w:cs="Times New Roman"/>
                <w:sz w:val="18"/>
                <w:szCs w:val="18"/>
              </w:rPr>
              <w:t>53</w:t>
            </w:r>
            <w:r>
              <w:rPr>
                <w:rFonts w:eastAsiaTheme="minorEastAsia" w:cs="Times New Roman"/>
                <w:sz w:val="18"/>
                <w:szCs w:val="18"/>
              </w:rPr>
              <w:t>团一般管控单元</w:t>
            </w:r>
          </w:p>
        </w:tc>
        <w:tc>
          <w:tcPr>
            <w:tcW w:w="35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一般管控单元</w:t>
            </w: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空间布局约束</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）完善风沙防治综合体系，完善现有道路及排水、灌溉渠系两侧的防护林网络，新建道路两侧种植不小于</w:t>
            </w:r>
            <w:r>
              <w:rPr>
                <w:rFonts w:eastAsiaTheme="minorEastAsia" w:cs="Times New Roman"/>
                <w:sz w:val="18"/>
                <w:szCs w:val="18"/>
              </w:rPr>
              <w:t>10</w:t>
            </w:r>
            <w:r>
              <w:rPr>
                <w:rFonts w:eastAsiaTheme="minorEastAsia" w:cs="Times New Roman"/>
                <w:sz w:val="18"/>
                <w:szCs w:val="18"/>
              </w:rPr>
              <w:t>米宽度的防护林，在未开垦区域建设种植耐碱植物。</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本项目为公路基础设施建设项目，符合空间布局</w:t>
            </w:r>
            <w:r>
              <w:rPr>
                <w:rFonts w:cs="Times New Roman"/>
                <w:sz w:val="18"/>
                <w:szCs w:val="18"/>
              </w:rPr>
              <w:t>管理</w:t>
            </w:r>
            <w:r>
              <w:rPr>
                <w:rFonts w:cs="Times New Roman"/>
                <w:sz w:val="18"/>
                <w:szCs w:val="18"/>
              </w:rPr>
              <w:t>约束的要求；项目不属于区域空间布局管</w:t>
            </w:r>
            <w:r>
              <w:rPr>
                <w:rFonts w:cs="Times New Roman"/>
                <w:sz w:val="18"/>
                <w:szCs w:val="18"/>
              </w:rPr>
              <w:t>理</w:t>
            </w:r>
            <w:r>
              <w:rPr>
                <w:rFonts w:cs="Times New Roman"/>
                <w:sz w:val="18"/>
                <w:szCs w:val="18"/>
              </w:rPr>
              <w:t>约束列明的限制类、禁止类建设项目。</w:t>
            </w:r>
          </w:p>
        </w:tc>
      </w:tr>
      <w:tr w:rsidR="00A46452">
        <w:trPr>
          <w:trHeight w:val="9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污染物排放管控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）禁止利用未经处理的污水灌溉农田，</w:t>
            </w:r>
            <w:r>
              <w:rPr>
                <w:rFonts w:eastAsiaTheme="minorEastAsia" w:cs="Times New Roman"/>
                <w:sz w:val="18"/>
                <w:szCs w:val="18"/>
              </w:rPr>
              <w:t>已有</w:t>
            </w:r>
            <w:r>
              <w:rPr>
                <w:rFonts w:eastAsiaTheme="minorEastAsia" w:cs="Times New Roman"/>
                <w:sz w:val="18"/>
                <w:szCs w:val="18"/>
              </w:rPr>
              <w:t>污灌农田要限期改用清水灌溉。严格控制农药使用，逐步削减农业面源污染物排放量。（</w:t>
            </w:r>
            <w:r>
              <w:rPr>
                <w:rFonts w:eastAsiaTheme="minorEastAsia" w:cs="Times New Roman"/>
                <w:sz w:val="18"/>
                <w:szCs w:val="18"/>
              </w:rPr>
              <w:t>2</w:t>
            </w:r>
            <w:r>
              <w:rPr>
                <w:rFonts w:eastAsiaTheme="minorEastAsia" w:cs="Times New Roman"/>
                <w:sz w:val="18"/>
                <w:szCs w:val="18"/>
              </w:rPr>
              <w:t>）推动秸秆还田与离田收集，禁止焚烧秸秆。</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本项目为公路建设项目，</w:t>
            </w:r>
            <w:r>
              <w:rPr>
                <w:rFonts w:cs="Times New Roman"/>
                <w:sz w:val="18"/>
                <w:szCs w:val="18"/>
              </w:rPr>
              <w:t>不涉及农药使用、秸秆焚烧；</w:t>
            </w:r>
            <w:r>
              <w:rPr>
                <w:rFonts w:cs="Times New Roman"/>
                <w:sz w:val="18"/>
                <w:szCs w:val="18"/>
              </w:rPr>
              <w:t>项目正常运营过程中主要产生交通噪声、机动车辆尾气、雨水地表径流、收费站工作人员少量的生活污水及垃圾等，项目产生的各类污染物均采取相应可行的处理措施达到其相应的环境质量标准限值要求。因此，符合污染物排放管控要求。</w:t>
            </w:r>
          </w:p>
        </w:tc>
      </w:tr>
      <w:tr w:rsidR="00A46452">
        <w:trPr>
          <w:trHeight w:val="836"/>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环境风险防控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）建立健全饮用水安全预警制度，对饮用水源中的优先污染物实施跟踪监测和重点控制，确保城镇居民饮水安全。（</w:t>
            </w:r>
            <w:r>
              <w:rPr>
                <w:rFonts w:eastAsiaTheme="minorEastAsia" w:cs="Times New Roman"/>
                <w:sz w:val="18"/>
                <w:szCs w:val="18"/>
              </w:rPr>
              <w:t>2</w:t>
            </w:r>
            <w:r>
              <w:rPr>
                <w:rFonts w:eastAsiaTheme="minorEastAsia" w:cs="Times New Roman"/>
                <w:sz w:val="18"/>
                <w:szCs w:val="18"/>
              </w:rPr>
              <w:t>）结合农业工程中节水灌溉工程，疏通排碱渠排盐碱，同时也为农业种植排放的</w:t>
            </w:r>
            <w:r>
              <w:rPr>
                <w:rFonts w:eastAsiaTheme="minorEastAsia" w:cs="Times New Roman"/>
                <w:sz w:val="18"/>
                <w:szCs w:val="18"/>
              </w:rPr>
              <w:t>COD</w:t>
            </w:r>
            <w:r>
              <w:rPr>
                <w:rFonts w:eastAsiaTheme="minorEastAsia" w:cs="Times New Roman"/>
                <w:sz w:val="18"/>
                <w:szCs w:val="18"/>
              </w:rPr>
              <w:t>、</w:t>
            </w:r>
            <w:r>
              <w:rPr>
                <w:rFonts w:eastAsiaTheme="minorEastAsia" w:cs="Times New Roman"/>
                <w:sz w:val="18"/>
                <w:szCs w:val="18"/>
              </w:rPr>
              <w:t>NH3-N</w:t>
            </w:r>
            <w:r>
              <w:rPr>
                <w:rFonts w:eastAsiaTheme="minorEastAsia" w:cs="Times New Roman"/>
                <w:sz w:val="18"/>
                <w:szCs w:val="18"/>
              </w:rPr>
              <w:t>等污染物找到出路。</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符合，项目建设过程为穿越水源地，项目按照要求落实环境风险防范措施。</w:t>
            </w:r>
          </w:p>
        </w:tc>
      </w:tr>
      <w:tr w:rsidR="00A46452">
        <w:trPr>
          <w:trHeight w:val="81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资源开发效率要求</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）加大土地整理、复垦力度，改造中低田，治理土壤次生盐渍化。推进规模化高效节水灌溉，推广农作物节水抗旱技术。鼓励秸秆资源化、饲料化、肥料化利用，推动秸秆还田与离田收集，禁止焚烧秸秆。</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cs="Times New Roman"/>
                <w:sz w:val="18"/>
                <w:szCs w:val="18"/>
              </w:rPr>
              <w:t>项目为公路建设项目，</w:t>
            </w:r>
            <w:r>
              <w:rPr>
                <w:rFonts w:cs="Times New Roman"/>
                <w:sz w:val="18"/>
                <w:szCs w:val="18"/>
              </w:rPr>
              <w:t>对于占用土地，项目严格按照</w:t>
            </w:r>
            <w:r>
              <w:rPr>
                <w:rFonts w:cs="Times New Roman"/>
                <w:sz w:val="18"/>
                <w:szCs w:val="18"/>
              </w:rPr>
              <w:t>“</w:t>
            </w:r>
            <w:r>
              <w:rPr>
                <w:rFonts w:cs="Times New Roman"/>
                <w:sz w:val="18"/>
                <w:szCs w:val="18"/>
              </w:rPr>
              <w:t>占补平衡</w:t>
            </w:r>
            <w:r>
              <w:rPr>
                <w:rFonts w:cs="Times New Roman"/>
                <w:sz w:val="18"/>
                <w:szCs w:val="18"/>
              </w:rPr>
              <w:t>”</w:t>
            </w:r>
            <w:r>
              <w:rPr>
                <w:rFonts w:cs="Times New Roman"/>
                <w:sz w:val="18"/>
                <w:szCs w:val="18"/>
              </w:rPr>
              <w:t>实施。</w:t>
            </w:r>
            <w:r>
              <w:rPr>
                <w:rFonts w:cs="Times New Roman"/>
                <w:sz w:val="18"/>
                <w:szCs w:val="18"/>
              </w:rPr>
              <w:t>项目正常运营过程中能耗、水资源消耗较小，不会对区域资源和能源产生大的消耗。</w:t>
            </w:r>
          </w:p>
        </w:tc>
      </w:tr>
      <w:tr w:rsidR="00A46452">
        <w:trPr>
          <w:trHeight w:val="1691"/>
          <w:jc w:val="center"/>
        </w:trPr>
        <w:tc>
          <w:tcPr>
            <w:tcW w:w="680"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ZH65900320001</w:t>
            </w:r>
          </w:p>
        </w:tc>
        <w:tc>
          <w:tcPr>
            <w:tcW w:w="37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图木舒克市</w:t>
            </w:r>
            <w:r>
              <w:rPr>
                <w:rFonts w:eastAsiaTheme="minorEastAsia" w:cs="Times New Roman"/>
                <w:sz w:val="18"/>
                <w:szCs w:val="18"/>
              </w:rPr>
              <w:t>44</w:t>
            </w:r>
            <w:r>
              <w:rPr>
                <w:rFonts w:eastAsiaTheme="minorEastAsia" w:cs="Times New Roman"/>
                <w:sz w:val="18"/>
                <w:szCs w:val="18"/>
              </w:rPr>
              <w:t>团重点管控单元</w:t>
            </w:r>
          </w:p>
        </w:tc>
        <w:tc>
          <w:tcPr>
            <w:tcW w:w="35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重点管控单元</w:t>
            </w: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空间布局约束</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）执行大气环境布局敏感区相关要求。（</w:t>
            </w:r>
            <w:r>
              <w:rPr>
                <w:rFonts w:eastAsiaTheme="minorEastAsia" w:cs="Times New Roman"/>
                <w:sz w:val="18"/>
                <w:szCs w:val="18"/>
              </w:rPr>
              <w:t>2</w:t>
            </w:r>
            <w:r>
              <w:rPr>
                <w:rFonts w:eastAsiaTheme="minorEastAsia" w:cs="Times New Roman"/>
                <w:sz w:val="18"/>
                <w:szCs w:val="18"/>
              </w:rPr>
              <w:t>）在主要河流两岸周边</w:t>
            </w:r>
            <w:r>
              <w:rPr>
                <w:rFonts w:eastAsiaTheme="minorEastAsia" w:cs="Times New Roman"/>
                <w:sz w:val="18"/>
                <w:szCs w:val="18"/>
              </w:rPr>
              <w:t>1</w:t>
            </w:r>
            <w:r>
              <w:rPr>
                <w:rFonts w:eastAsiaTheme="minorEastAsia" w:cs="Times New Roman"/>
                <w:sz w:val="18"/>
                <w:szCs w:val="18"/>
              </w:rPr>
              <w:t>千米以内禁止建设焦化项目，已在上述区域内投产运营的焦化企业，在一定期限内，通过</w:t>
            </w:r>
            <w:r>
              <w:rPr>
                <w:rFonts w:eastAsiaTheme="minorEastAsia" w:cs="Times New Roman"/>
                <w:sz w:val="18"/>
                <w:szCs w:val="18"/>
              </w:rPr>
              <w:t>“</w:t>
            </w:r>
            <w:r>
              <w:rPr>
                <w:rFonts w:eastAsiaTheme="minorEastAsia" w:cs="Times New Roman"/>
                <w:sz w:val="18"/>
                <w:szCs w:val="18"/>
              </w:rPr>
              <w:t>搬迁、转产</w:t>
            </w:r>
            <w:r>
              <w:rPr>
                <w:rFonts w:eastAsiaTheme="minorEastAsia" w:cs="Times New Roman"/>
                <w:sz w:val="18"/>
                <w:szCs w:val="18"/>
              </w:rPr>
              <w:t>”</w:t>
            </w:r>
            <w:r>
              <w:rPr>
                <w:rFonts w:eastAsiaTheme="minorEastAsia" w:cs="Times New Roman"/>
                <w:sz w:val="18"/>
                <w:szCs w:val="18"/>
              </w:rPr>
              <w:t>等方式逐步退出</w:t>
            </w:r>
            <w:r>
              <w:rPr>
                <w:rFonts w:eastAsiaTheme="minorEastAsia" w:cs="Times New Roman"/>
                <w:sz w:val="18"/>
                <w:szCs w:val="18"/>
              </w:rPr>
              <w:t>；在</w:t>
            </w:r>
            <w:r>
              <w:rPr>
                <w:rFonts w:eastAsiaTheme="minorEastAsia" w:cs="Times New Roman"/>
                <w:sz w:val="18"/>
                <w:szCs w:val="18"/>
              </w:rPr>
              <w:t>主要河流两岸周边</w:t>
            </w:r>
            <w:r>
              <w:rPr>
                <w:rFonts w:eastAsiaTheme="minorEastAsia" w:cs="Times New Roman"/>
                <w:sz w:val="18"/>
                <w:szCs w:val="18"/>
              </w:rPr>
              <w:t>1</w:t>
            </w:r>
            <w:r>
              <w:rPr>
                <w:rFonts w:eastAsiaTheme="minorEastAsia" w:cs="Times New Roman"/>
                <w:sz w:val="18"/>
                <w:szCs w:val="18"/>
              </w:rPr>
              <w:t>千米以内及大气污染防治重点控制区内，不得新增电石生产装置、电石法聚氯乙烯和烧碱生产装置。（</w:t>
            </w:r>
            <w:r>
              <w:rPr>
                <w:rFonts w:eastAsiaTheme="minorEastAsia" w:cs="Times New Roman"/>
                <w:sz w:val="18"/>
                <w:szCs w:val="18"/>
              </w:rPr>
              <w:t>3</w:t>
            </w:r>
            <w:r>
              <w:rPr>
                <w:rFonts w:eastAsiaTheme="minorEastAsia" w:cs="Times New Roman"/>
                <w:sz w:val="18"/>
                <w:szCs w:val="18"/>
              </w:rPr>
              <w:t>）大气环境布局敏感区应避免大规模排放大气污染物的项目布局建设。已有改扩建项目要提高节能环保准入门槛，实行大气污染物排放减量置换，实施区域内最严格的大气污染物排放标准。区内禁止新建除热电联产以外的煤电项目，禁止新</w:t>
            </w:r>
            <w:r>
              <w:rPr>
                <w:rFonts w:eastAsiaTheme="minorEastAsia" w:cs="Times New Roman"/>
                <w:sz w:val="18"/>
                <w:szCs w:val="18"/>
              </w:rPr>
              <w:t>（改、扩）建钢铁、建材、焦化、有色、石化、化工等高污染行业项目；禁止新建使用原煤项目和</w:t>
            </w:r>
            <w:r>
              <w:rPr>
                <w:rFonts w:eastAsiaTheme="minorEastAsia" w:cs="Times New Roman"/>
                <w:sz w:val="18"/>
                <w:szCs w:val="18"/>
              </w:rPr>
              <w:t>30</w:t>
            </w:r>
            <w:r>
              <w:rPr>
                <w:rFonts w:eastAsiaTheme="minorEastAsia" w:cs="Times New Roman"/>
                <w:sz w:val="18"/>
                <w:szCs w:val="18"/>
              </w:rPr>
              <w:t>蒸吨</w:t>
            </w:r>
            <w:r>
              <w:rPr>
                <w:rFonts w:eastAsiaTheme="minorEastAsia" w:cs="Times New Roman"/>
                <w:sz w:val="18"/>
                <w:szCs w:val="18"/>
              </w:rPr>
              <w:t>/</w:t>
            </w:r>
            <w:r>
              <w:rPr>
                <w:rFonts w:eastAsiaTheme="minorEastAsia" w:cs="Times New Roman"/>
                <w:sz w:val="18"/>
                <w:szCs w:val="18"/>
              </w:rPr>
              <w:t>小时以下的重油、渣油锅炉及直接燃用生物质锅炉；禁止新建涉及有毒有害气体排放的项目；优先实施清洁能源替代，淘汰区域内现存的上述禁止项目。环境质量超标区域，新</w:t>
            </w:r>
            <w:r>
              <w:rPr>
                <w:rFonts w:eastAsiaTheme="minorEastAsia" w:cs="Times New Roman"/>
                <w:sz w:val="18"/>
                <w:szCs w:val="18"/>
              </w:rPr>
              <w:tab/>
            </w:r>
            <w:r>
              <w:rPr>
                <w:rFonts w:eastAsiaTheme="minorEastAsia" w:cs="Times New Roman"/>
                <w:sz w:val="18"/>
                <w:szCs w:val="18"/>
              </w:rPr>
              <w:t>（改、扩）建</w:t>
            </w:r>
            <w:r>
              <w:rPr>
                <w:rFonts w:eastAsiaTheme="minorEastAsia" w:cs="Times New Roman"/>
                <w:sz w:val="18"/>
                <w:szCs w:val="18"/>
              </w:rPr>
              <w:t>其他</w:t>
            </w:r>
            <w:r>
              <w:rPr>
                <w:rFonts w:eastAsiaTheme="minorEastAsia" w:cs="Times New Roman"/>
                <w:sz w:val="18"/>
                <w:szCs w:val="18"/>
              </w:rPr>
              <w:t>项目实行区域大气污染物二倍量削减，即：按照建设项目污染物排放量的</w:t>
            </w:r>
            <w:r>
              <w:rPr>
                <w:rFonts w:eastAsiaTheme="minorEastAsia" w:cs="Times New Roman"/>
                <w:sz w:val="18"/>
                <w:szCs w:val="18"/>
              </w:rPr>
              <w:t>2</w:t>
            </w:r>
            <w:r>
              <w:rPr>
                <w:rFonts w:eastAsiaTheme="minorEastAsia" w:cs="Times New Roman"/>
                <w:sz w:val="18"/>
                <w:szCs w:val="18"/>
              </w:rPr>
              <w:t>倍及以上实行区域污染物总量削减替代；已达到大气环境质量标准的地区，应当严格控制新增排放大气污染物项目大气污染物排放量。</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本项目为公路基础设施建设项目，符合空间布局</w:t>
            </w:r>
            <w:r>
              <w:rPr>
                <w:rFonts w:cs="Times New Roman"/>
                <w:sz w:val="18"/>
                <w:szCs w:val="18"/>
              </w:rPr>
              <w:t>管理</w:t>
            </w:r>
            <w:r>
              <w:rPr>
                <w:rFonts w:cs="Times New Roman"/>
                <w:sz w:val="18"/>
                <w:szCs w:val="18"/>
              </w:rPr>
              <w:t>约束的</w:t>
            </w:r>
            <w:r>
              <w:rPr>
                <w:rFonts w:cs="Times New Roman"/>
                <w:sz w:val="18"/>
                <w:szCs w:val="18"/>
              </w:rPr>
              <w:t>要求；项目不属于区域空间布局管</w:t>
            </w:r>
            <w:r>
              <w:rPr>
                <w:rFonts w:cs="Times New Roman"/>
                <w:sz w:val="18"/>
                <w:szCs w:val="18"/>
              </w:rPr>
              <w:t>理</w:t>
            </w:r>
            <w:r>
              <w:rPr>
                <w:rFonts w:cs="Times New Roman"/>
                <w:sz w:val="18"/>
                <w:szCs w:val="18"/>
              </w:rPr>
              <w:t>约束列明的限制类、禁止类建设项目。</w:t>
            </w:r>
          </w:p>
        </w:tc>
      </w:tr>
      <w:tr w:rsidR="00A46452">
        <w:trPr>
          <w:trHeight w:val="3438"/>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污染物排放管控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）禁止利用未经处理的污水灌溉农田，</w:t>
            </w:r>
            <w:r>
              <w:rPr>
                <w:rFonts w:eastAsiaTheme="minorEastAsia" w:cs="Times New Roman"/>
                <w:sz w:val="18"/>
                <w:szCs w:val="18"/>
              </w:rPr>
              <w:t>已有</w:t>
            </w:r>
            <w:r>
              <w:rPr>
                <w:rFonts w:eastAsiaTheme="minorEastAsia" w:cs="Times New Roman"/>
                <w:sz w:val="18"/>
                <w:szCs w:val="18"/>
              </w:rPr>
              <w:t>污灌农田要限期改用清水灌溉。（</w:t>
            </w:r>
            <w:r>
              <w:rPr>
                <w:rFonts w:eastAsiaTheme="minorEastAsia" w:cs="Times New Roman"/>
                <w:sz w:val="18"/>
                <w:szCs w:val="18"/>
              </w:rPr>
              <w:t>2</w:t>
            </w:r>
            <w:r>
              <w:rPr>
                <w:rFonts w:eastAsiaTheme="minorEastAsia" w:cs="Times New Roman"/>
                <w:sz w:val="18"/>
                <w:szCs w:val="18"/>
              </w:rPr>
              <w:t>）严格控制农药使用。（</w:t>
            </w:r>
            <w:r>
              <w:rPr>
                <w:rFonts w:eastAsiaTheme="minorEastAsia" w:cs="Times New Roman"/>
                <w:sz w:val="18"/>
                <w:szCs w:val="18"/>
              </w:rPr>
              <w:t>3</w:t>
            </w:r>
            <w:r>
              <w:rPr>
                <w:rFonts w:eastAsiaTheme="minorEastAsia" w:cs="Times New Roman"/>
                <w:sz w:val="18"/>
                <w:szCs w:val="18"/>
              </w:rPr>
              <w:t>）大气环境布局敏感区执行环境空气质量二级标准。（</w:t>
            </w:r>
            <w:r>
              <w:rPr>
                <w:rFonts w:eastAsiaTheme="minorEastAsia" w:cs="Times New Roman"/>
                <w:sz w:val="18"/>
                <w:szCs w:val="18"/>
              </w:rPr>
              <w:t>4</w:t>
            </w:r>
            <w:r>
              <w:rPr>
                <w:rFonts w:eastAsiaTheme="minorEastAsia" w:cs="Times New Roman"/>
                <w:sz w:val="18"/>
                <w:szCs w:val="18"/>
              </w:rPr>
              <w:t>）对排入河道和排渠的现有生活污水排放口实施拆除，禁止生活污水直接排入河道或排渠（包括输水渠道）。（</w:t>
            </w:r>
            <w:r>
              <w:rPr>
                <w:rFonts w:eastAsiaTheme="minorEastAsia" w:cs="Times New Roman"/>
                <w:sz w:val="18"/>
                <w:szCs w:val="18"/>
              </w:rPr>
              <w:t>5</w:t>
            </w:r>
            <w:r>
              <w:rPr>
                <w:rFonts w:eastAsiaTheme="minorEastAsia" w:cs="Times New Roman"/>
                <w:sz w:val="18"/>
                <w:szCs w:val="18"/>
              </w:rPr>
              <w:t>）农业废物：</w:t>
            </w:r>
            <w:r>
              <w:rPr>
                <w:rFonts w:eastAsiaTheme="minorEastAsia" w:cs="Times New Roman"/>
                <w:sz w:val="18"/>
                <w:szCs w:val="18"/>
              </w:rPr>
              <w:t>①</w:t>
            </w:r>
            <w:r>
              <w:rPr>
                <w:rFonts w:eastAsiaTheme="minorEastAsia" w:cs="Times New Roman"/>
                <w:sz w:val="18"/>
                <w:szCs w:val="18"/>
              </w:rPr>
              <w:t>加大地膜回收率。</w:t>
            </w:r>
            <w:r>
              <w:rPr>
                <w:rFonts w:eastAsiaTheme="minorEastAsia" w:cs="Times New Roman"/>
                <w:sz w:val="18"/>
                <w:szCs w:val="18"/>
              </w:rPr>
              <w:t>②</w:t>
            </w:r>
            <w:r>
              <w:rPr>
                <w:rFonts w:eastAsiaTheme="minorEastAsia" w:cs="Times New Roman"/>
                <w:sz w:val="18"/>
                <w:szCs w:val="18"/>
              </w:rPr>
              <w:t>禁止秸秆焚烧。积极推进综合利用各种建筑废弃物、秸秆、地膜、畜禽粪便等农业废弃物。</w:t>
            </w:r>
            <w:r>
              <w:rPr>
                <w:rFonts w:eastAsiaTheme="minorEastAsia" w:cs="Times New Roman"/>
                <w:sz w:val="18"/>
                <w:szCs w:val="18"/>
              </w:rPr>
              <w:t>③</w:t>
            </w:r>
            <w:r>
              <w:rPr>
                <w:rFonts w:eastAsiaTheme="minorEastAsia" w:cs="Times New Roman"/>
                <w:sz w:val="18"/>
                <w:szCs w:val="18"/>
              </w:rPr>
              <w:t>严禁将城镇生活垃圾、污泥、工业废物直接用作肥料。</w:t>
            </w:r>
            <w:r>
              <w:rPr>
                <w:rFonts w:eastAsiaTheme="minorEastAsia" w:cs="Times New Roman"/>
                <w:sz w:val="18"/>
                <w:szCs w:val="18"/>
              </w:rPr>
              <w:t>④</w:t>
            </w:r>
            <w:r>
              <w:rPr>
                <w:rFonts w:eastAsiaTheme="minorEastAsia" w:cs="Times New Roman"/>
                <w:sz w:val="18"/>
                <w:szCs w:val="18"/>
              </w:rPr>
              <w:t>直接返田的畜禽粪便，必须进行无害化处理；畜禽粪便返田时，不能超过当地的最大农田负荷量；避免造成面源污染和地下水污染。畜禽养殖场的污水经适当净化</w:t>
            </w:r>
            <w:r>
              <w:rPr>
                <w:rFonts w:eastAsiaTheme="minorEastAsia" w:cs="Times New Roman"/>
                <w:sz w:val="18"/>
                <w:szCs w:val="18"/>
              </w:rPr>
              <w:t>处理，可用于农田、绿地的灌溉，或制成液体肥料，作追肥施用；固体粪便污物可经生物转化，制成高效生物活性有机肥。根据畜禽养殖数量及规模化养殖场规模，建设有机肥生产厂、沼气等能源工程，建设养殖业和种植业紧密结合的生态工程。</w:t>
            </w:r>
            <w:r>
              <w:rPr>
                <w:rFonts w:eastAsiaTheme="minorEastAsia" w:cs="Times New Roman"/>
                <w:sz w:val="18"/>
                <w:szCs w:val="18"/>
              </w:rPr>
              <w:t>⑤</w:t>
            </w:r>
            <w:r>
              <w:rPr>
                <w:rFonts w:eastAsiaTheme="minorEastAsia" w:cs="Times New Roman"/>
                <w:sz w:val="18"/>
                <w:szCs w:val="18"/>
              </w:rPr>
              <w:t>严格控制林地、草地、园地的农药使用量，禁止使用高毒、高残留农药。完善生物农药、引诱剂管理制度，加大使用推广力度。</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本项目为公路建设项目，</w:t>
            </w:r>
            <w:r>
              <w:rPr>
                <w:rFonts w:cs="Times New Roman"/>
                <w:sz w:val="18"/>
                <w:szCs w:val="18"/>
              </w:rPr>
              <w:t>不涉及农药使用、秸秆焚烧；</w:t>
            </w:r>
            <w:r>
              <w:rPr>
                <w:rFonts w:cs="Times New Roman"/>
                <w:sz w:val="18"/>
                <w:szCs w:val="18"/>
              </w:rPr>
              <w:t>项目正常运营过程中主要产生交通噪声、机动车辆尾气、雨水地表径流、收费站工作人员少量的生活污水及垃圾等，项目产生的各类污染物均采</w:t>
            </w:r>
            <w:r>
              <w:rPr>
                <w:rFonts w:cs="Times New Roman"/>
                <w:sz w:val="18"/>
                <w:szCs w:val="18"/>
              </w:rPr>
              <w:t>取相应可行的处理措施达到其相应的环境质量标准限值要求。因此，符合污染物排放管控要求。</w:t>
            </w:r>
          </w:p>
        </w:tc>
      </w:tr>
      <w:tr w:rsidR="00A46452">
        <w:trPr>
          <w:trHeight w:val="757"/>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环境风险防控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）加强森林防火基础设施建设，强化防火技能，进一步完善森林防火监控系统，提高预警监测、火情快速处置能力。切实加强林业有害生物防控，确保天然林资源安全。</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符合，项目按照要求落实环境风险防范措施。</w:t>
            </w:r>
          </w:p>
        </w:tc>
      </w:tr>
      <w:tr w:rsidR="00A46452">
        <w:trPr>
          <w:trHeight w:val="1136"/>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资源开发效率要求</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）加大土地整理、复垦力度，改造中低田，治理土壤次生盐渍化。推进规模化高效节水灌溉，推广农作物节水抗旱技术。鼓励秸秆资源化、饲料化、肥料化利用，推动秸秆还田与离田收集，禁止焚烧秸秆。（</w:t>
            </w:r>
            <w:r>
              <w:rPr>
                <w:rFonts w:eastAsiaTheme="minorEastAsia" w:cs="Times New Roman"/>
                <w:sz w:val="18"/>
                <w:szCs w:val="18"/>
              </w:rPr>
              <w:t>2</w:t>
            </w:r>
            <w:r>
              <w:rPr>
                <w:rFonts w:eastAsiaTheme="minorEastAsia" w:cs="Times New Roman"/>
                <w:sz w:val="18"/>
                <w:szCs w:val="18"/>
              </w:rPr>
              <w:t>）保障流域生态用水，保护和恢复自然生态系统。</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cs="Times New Roman"/>
                <w:sz w:val="18"/>
                <w:szCs w:val="18"/>
              </w:rPr>
              <w:t>符合，</w:t>
            </w:r>
            <w:r>
              <w:rPr>
                <w:rFonts w:cs="Times New Roman"/>
                <w:sz w:val="18"/>
                <w:szCs w:val="18"/>
              </w:rPr>
              <w:t>项目为公路建设项目，项目正常运营过程中能耗、水资源消耗较小，不会对区域资源和能源产生大的消耗。</w:t>
            </w:r>
          </w:p>
        </w:tc>
      </w:tr>
      <w:tr w:rsidR="00A46452">
        <w:trPr>
          <w:trHeight w:val="109"/>
          <w:jc w:val="center"/>
        </w:trPr>
        <w:tc>
          <w:tcPr>
            <w:tcW w:w="680"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jc w:val="center"/>
              <w:rPr>
                <w:rFonts w:eastAsiaTheme="minorEastAsia" w:cs="Times New Roman"/>
                <w:sz w:val="18"/>
                <w:szCs w:val="18"/>
              </w:rPr>
            </w:pPr>
            <w:r>
              <w:rPr>
                <w:rFonts w:eastAsiaTheme="minorEastAsia" w:cs="Times New Roman"/>
                <w:sz w:val="18"/>
                <w:szCs w:val="18"/>
              </w:rPr>
              <w:t>ZH65900320008</w:t>
            </w:r>
          </w:p>
        </w:tc>
        <w:tc>
          <w:tcPr>
            <w:tcW w:w="37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图木舒克市</w:t>
            </w:r>
            <w:r>
              <w:rPr>
                <w:rFonts w:eastAsiaTheme="minorEastAsia" w:cs="Times New Roman"/>
                <w:sz w:val="18"/>
                <w:szCs w:val="18"/>
              </w:rPr>
              <w:t>50</w:t>
            </w:r>
            <w:r>
              <w:rPr>
                <w:rFonts w:eastAsiaTheme="minorEastAsia" w:cs="Times New Roman"/>
                <w:sz w:val="18"/>
                <w:szCs w:val="18"/>
              </w:rPr>
              <w:t>团重点管控单元</w:t>
            </w:r>
          </w:p>
        </w:tc>
        <w:tc>
          <w:tcPr>
            <w:tcW w:w="358" w:type="pct"/>
            <w:vMerge w:val="restart"/>
            <w:tcBorders>
              <w:tl2br w:val="nil"/>
              <w:tr2bl w:val="nil"/>
            </w:tcBorders>
            <w:vAlign w:val="center"/>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重点管控单元</w:t>
            </w: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空间布局约束</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）执行大气环境布局敏感区相关要求。（</w:t>
            </w:r>
            <w:r>
              <w:rPr>
                <w:rFonts w:eastAsiaTheme="minorEastAsia" w:cs="Times New Roman"/>
                <w:sz w:val="18"/>
                <w:szCs w:val="18"/>
              </w:rPr>
              <w:t>2</w:t>
            </w:r>
            <w:r>
              <w:rPr>
                <w:rFonts w:eastAsiaTheme="minorEastAsia" w:cs="Times New Roman"/>
                <w:sz w:val="18"/>
                <w:szCs w:val="18"/>
              </w:rPr>
              <w:t>）完善农田防护林。采用林、灌、草相结合的复合林带，建立完整的防风固沙林和相应配套的外围防沙灌木带体系。（</w:t>
            </w:r>
            <w:r>
              <w:rPr>
                <w:rFonts w:eastAsiaTheme="minorEastAsia" w:cs="Times New Roman"/>
                <w:sz w:val="18"/>
                <w:szCs w:val="18"/>
              </w:rPr>
              <w:t>3</w:t>
            </w:r>
            <w:r>
              <w:rPr>
                <w:rFonts w:eastAsiaTheme="minorEastAsia" w:cs="Times New Roman"/>
                <w:sz w:val="18"/>
                <w:szCs w:val="18"/>
              </w:rPr>
              <w:t>）大气环境布局敏感区应避免大规模排放大气污染物的项目布局建设。已有改扩建项目要提高节能环保准入门槛，实行大气污染物排放减量置换，实施区域内最严格的大气污染物排放标准。区内禁止新建除热电联产以外的煤电项目，禁止新（改、扩）建钢铁、建材、焦化、有色、石化、化工等高污染行业项目；禁止新建使用原煤项目和</w:t>
            </w:r>
            <w:r>
              <w:rPr>
                <w:rFonts w:eastAsiaTheme="minorEastAsia" w:cs="Times New Roman"/>
                <w:sz w:val="18"/>
                <w:szCs w:val="18"/>
              </w:rPr>
              <w:t>30</w:t>
            </w:r>
            <w:r>
              <w:rPr>
                <w:rFonts w:eastAsiaTheme="minorEastAsia" w:cs="Times New Roman"/>
                <w:sz w:val="18"/>
                <w:szCs w:val="18"/>
              </w:rPr>
              <w:t>蒸吨</w:t>
            </w:r>
            <w:r>
              <w:rPr>
                <w:rFonts w:eastAsiaTheme="minorEastAsia" w:cs="Times New Roman"/>
                <w:sz w:val="18"/>
                <w:szCs w:val="18"/>
              </w:rPr>
              <w:t>/</w:t>
            </w:r>
            <w:r>
              <w:rPr>
                <w:rFonts w:eastAsiaTheme="minorEastAsia" w:cs="Times New Roman"/>
                <w:sz w:val="18"/>
                <w:szCs w:val="18"/>
              </w:rPr>
              <w:t>小时以下的重油、渣油锅炉及直接燃用生物质锅炉；禁止新建涉及</w:t>
            </w:r>
            <w:r>
              <w:rPr>
                <w:rFonts w:eastAsiaTheme="minorEastAsia" w:cs="Times New Roman"/>
                <w:sz w:val="18"/>
                <w:szCs w:val="18"/>
              </w:rPr>
              <w:t>有毒有害气体排放的项目；优先实施清洁能源替代，淘汰区域内现存的上述禁止项目。环境质量超标区域，新（改、扩）建</w:t>
            </w:r>
            <w:r>
              <w:rPr>
                <w:rFonts w:eastAsiaTheme="minorEastAsia" w:cs="Times New Roman"/>
                <w:sz w:val="18"/>
                <w:szCs w:val="18"/>
              </w:rPr>
              <w:t>其他</w:t>
            </w:r>
            <w:r>
              <w:rPr>
                <w:rFonts w:eastAsiaTheme="minorEastAsia" w:cs="Times New Roman"/>
                <w:sz w:val="18"/>
                <w:szCs w:val="18"/>
              </w:rPr>
              <w:t>项目实行区域大气污染物二倍量削减，即：按照建设项目污染物排放量的</w:t>
            </w:r>
            <w:r>
              <w:rPr>
                <w:rFonts w:eastAsiaTheme="minorEastAsia" w:cs="Times New Roman"/>
                <w:sz w:val="18"/>
                <w:szCs w:val="18"/>
              </w:rPr>
              <w:t>2</w:t>
            </w:r>
            <w:r>
              <w:rPr>
                <w:rFonts w:eastAsiaTheme="minorEastAsia" w:cs="Times New Roman"/>
                <w:sz w:val="18"/>
                <w:szCs w:val="18"/>
              </w:rPr>
              <w:t>倍及以上实行区域污染物总量削减替代；已达到大气环境质量标准的地区，应当严格控制新增排放大气污染物项目大气污染物排放量。</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本项目为公路基础设施建设项目，符合空间布局</w:t>
            </w:r>
            <w:r>
              <w:rPr>
                <w:rFonts w:cs="Times New Roman"/>
                <w:sz w:val="18"/>
                <w:szCs w:val="18"/>
              </w:rPr>
              <w:t>管理</w:t>
            </w:r>
            <w:r>
              <w:rPr>
                <w:rFonts w:cs="Times New Roman"/>
                <w:sz w:val="18"/>
                <w:szCs w:val="18"/>
              </w:rPr>
              <w:t>约束的要求；项目不属于区域空间布局管</w:t>
            </w:r>
            <w:r>
              <w:rPr>
                <w:rFonts w:cs="Times New Roman"/>
                <w:sz w:val="18"/>
                <w:szCs w:val="18"/>
              </w:rPr>
              <w:t>理</w:t>
            </w:r>
            <w:r>
              <w:rPr>
                <w:rFonts w:cs="Times New Roman"/>
                <w:sz w:val="18"/>
                <w:szCs w:val="18"/>
              </w:rPr>
              <w:t>约束列明的限制类、禁止类建设项目。</w:t>
            </w:r>
          </w:p>
        </w:tc>
      </w:tr>
      <w:tr w:rsidR="00A46452">
        <w:trPr>
          <w:trHeight w:val="9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污染物排放管控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）禁止利用未经处理的污水灌溉农田，</w:t>
            </w:r>
            <w:r>
              <w:rPr>
                <w:rFonts w:eastAsiaTheme="minorEastAsia" w:cs="Times New Roman"/>
                <w:sz w:val="18"/>
                <w:szCs w:val="18"/>
              </w:rPr>
              <w:t>已有</w:t>
            </w:r>
            <w:r>
              <w:rPr>
                <w:rFonts w:eastAsiaTheme="minorEastAsia" w:cs="Times New Roman"/>
                <w:sz w:val="18"/>
                <w:szCs w:val="18"/>
              </w:rPr>
              <w:t>污灌农田要限期改用清水灌溉。（</w:t>
            </w:r>
            <w:r>
              <w:rPr>
                <w:rFonts w:eastAsiaTheme="minorEastAsia" w:cs="Times New Roman"/>
                <w:sz w:val="18"/>
                <w:szCs w:val="18"/>
              </w:rPr>
              <w:t>2</w:t>
            </w:r>
            <w:r>
              <w:rPr>
                <w:rFonts w:eastAsiaTheme="minorEastAsia" w:cs="Times New Roman"/>
                <w:sz w:val="18"/>
                <w:szCs w:val="18"/>
              </w:rPr>
              <w:t>）大气环境布局敏感区执行环境空气质量二级标准。（</w:t>
            </w:r>
            <w:r>
              <w:rPr>
                <w:rFonts w:eastAsiaTheme="minorEastAsia" w:cs="Times New Roman"/>
                <w:sz w:val="18"/>
                <w:szCs w:val="18"/>
              </w:rPr>
              <w:t>3</w:t>
            </w:r>
            <w:r>
              <w:rPr>
                <w:rFonts w:eastAsiaTheme="minorEastAsia" w:cs="Times New Roman"/>
                <w:sz w:val="18"/>
                <w:szCs w:val="18"/>
              </w:rPr>
              <w:t>）连队生活污水处理采取铺设骨干排水管网，收集居民生活污水，最后汇入排水总干管，进入人工湿地或氧化塘。</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w:t>
            </w:r>
            <w:r>
              <w:rPr>
                <w:rFonts w:cs="Times New Roman"/>
                <w:sz w:val="18"/>
                <w:szCs w:val="18"/>
              </w:rPr>
              <w:t>本项目为公路建设项目，</w:t>
            </w:r>
            <w:r>
              <w:rPr>
                <w:rFonts w:cs="Times New Roman"/>
                <w:sz w:val="18"/>
                <w:szCs w:val="18"/>
              </w:rPr>
              <w:t>不涉及农药使用、秸秆焚烧；</w:t>
            </w:r>
            <w:r>
              <w:rPr>
                <w:rFonts w:cs="Times New Roman"/>
                <w:sz w:val="18"/>
                <w:szCs w:val="18"/>
              </w:rPr>
              <w:t>项目正常运营过程中主要产生交通噪声、机动车辆尾气、雨水地表径流、收费站工作人员少量的生活污水及垃圾等，项目产生的各类污染物均采取相应可行的处理措施达到其相应的环境质量标准限值要求。因此，符合污染物排放管控要求。</w:t>
            </w:r>
          </w:p>
        </w:tc>
      </w:tr>
      <w:tr w:rsidR="00A46452">
        <w:trPr>
          <w:trHeight w:val="90"/>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3.</w:t>
            </w:r>
            <w:r>
              <w:rPr>
                <w:rFonts w:eastAsiaTheme="minorEastAsia" w:cs="Times New Roman"/>
                <w:sz w:val="18"/>
                <w:szCs w:val="18"/>
              </w:rPr>
              <w:t>环境风险防控</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）加强森林防火基础设施建设，强化防火技能，进一步完善森林防火监控系统，提高预警监测、火情快速处置能力。切实加强林业有害生物防控，确保天然林资源安全。</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符合，项目按照要求落实环境风险防范措施。</w:t>
            </w:r>
          </w:p>
        </w:tc>
      </w:tr>
      <w:tr w:rsidR="00A46452">
        <w:trPr>
          <w:trHeight w:val="713"/>
          <w:jc w:val="center"/>
        </w:trPr>
        <w:tc>
          <w:tcPr>
            <w:tcW w:w="680"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7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358" w:type="pct"/>
            <w:vMerge/>
            <w:tcBorders>
              <w:tl2br w:val="nil"/>
              <w:tr2bl w:val="nil"/>
            </w:tcBorders>
            <w:vAlign w:val="center"/>
          </w:tcPr>
          <w:p w:rsidR="00A46452" w:rsidRDefault="00A46452">
            <w:pPr>
              <w:wordWrap w:val="0"/>
              <w:topLinePunct/>
              <w:adjustRightInd w:val="0"/>
              <w:snapToGrid w:val="0"/>
              <w:spacing w:line="200" w:lineRule="exact"/>
              <w:ind w:firstLineChars="0" w:firstLine="0"/>
              <w:jc w:val="center"/>
              <w:rPr>
                <w:rFonts w:eastAsiaTheme="minorEastAsia" w:cs="Times New Roman"/>
                <w:sz w:val="18"/>
                <w:szCs w:val="18"/>
              </w:rPr>
            </w:pPr>
          </w:p>
        </w:tc>
        <w:tc>
          <w:tcPr>
            <w:tcW w:w="2221"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eastAsiaTheme="minorEastAsia" w:cs="Times New Roman"/>
                <w:sz w:val="18"/>
                <w:szCs w:val="18"/>
              </w:rPr>
              <w:t>4.</w:t>
            </w:r>
            <w:r>
              <w:rPr>
                <w:rFonts w:eastAsiaTheme="minorEastAsia" w:cs="Times New Roman"/>
                <w:sz w:val="18"/>
                <w:szCs w:val="18"/>
              </w:rPr>
              <w:t>资源开发效率要求</w:t>
            </w:r>
            <w:r>
              <w:rPr>
                <w:rFonts w:eastAsiaTheme="minorEastAsia" w:cs="Times New Roman"/>
                <w:sz w:val="18"/>
                <w:szCs w:val="18"/>
              </w:rPr>
              <w:t>：</w:t>
            </w:r>
            <w:r>
              <w:rPr>
                <w:rFonts w:eastAsiaTheme="minorEastAsia" w:cs="Times New Roman"/>
                <w:sz w:val="18"/>
                <w:szCs w:val="18"/>
              </w:rPr>
              <w:t>（</w:t>
            </w:r>
            <w:r>
              <w:rPr>
                <w:rFonts w:eastAsiaTheme="minorEastAsia" w:cs="Times New Roman"/>
                <w:sz w:val="18"/>
                <w:szCs w:val="18"/>
              </w:rPr>
              <w:t>1</w:t>
            </w:r>
            <w:r>
              <w:rPr>
                <w:rFonts w:eastAsiaTheme="minorEastAsia" w:cs="Times New Roman"/>
                <w:sz w:val="18"/>
                <w:szCs w:val="18"/>
              </w:rPr>
              <w:t>）加大土地整理、复垦力度，改造中低田，治理土壤次生盐渍化。严禁随意开发尚不具备开发条件的农业后备资源，加强保护和规划。（</w:t>
            </w:r>
            <w:r>
              <w:rPr>
                <w:rFonts w:eastAsiaTheme="minorEastAsia" w:cs="Times New Roman"/>
                <w:sz w:val="18"/>
                <w:szCs w:val="18"/>
              </w:rPr>
              <w:t>2</w:t>
            </w:r>
            <w:r>
              <w:rPr>
                <w:rFonts w:eastAsiaTheme="minorEastAsia" w:cs="Times New Roman"/>
                <w:sz w:val="18"/>
                <w:szCs w:val="18"/>
              </w:rPr>
              <w:t>）推进规模化高效节水灌溉，推广农作物节水抗旱技术。发展以喷滴灌和渠道防渗为中心的节水农业。</w:t>
            </w:r>
          </w:p>
        </w:tc>
        <w:tc>
          <w:tcPr>
            <w:tcW w:w="1360" w:type="pct"/>
            <w:tcBorders>
              <w:tl2br w:val="nil"/>
              <w:tr2bl w:val="nil"/>
            </w:tcBorders>
          </w:tcPr>
          <w:p w:rsidR="00A46452" w:rsidRDefault="009A3928">
            <w:pPr>
              <w:wordWrap w:val="0"/>
              <w:topLinePunct/>
              <w:adjustRightInd w:val="0"/>
              <w:snapToGrid w:val="0"/>
              <w:spacing w:line="200" w:lineRule="exact"/>
              <w:ind w:firstLineChars="0" w:firstLine="0"/>
              <w:rPr>
                <w:rFonts w:eastAsiaTheme="minorEastAsia" w:cs="Times New Roman"/>
                <w:sz w:val="18"/>
                <w:szCs w:val="18"/>
              </w:rPr>
            </w:pPr>
            <w:r>
              <w:rPr>
                <w:rFonts w:cs="Times New Roman"/>
                <w:sz w:val="18"/>
                <w:szCs w:val="18"/>
              </w:rPr>
              <w:t>符合，</w:t>
            </w:r>
            <w:r>
              <w:rPr>
                <w:rFonts w:cs="Times New Roman"/>
                <w:sz w:val="18"/>
                <w:szCs w:val="18"/>
              </w:rPr>
              <w:t>项目为公路建设项目，项目正常运营过程中能耗、水资源消耗较小，不会对区域资源和能源产生大的消耗。</w:t>
            </w:r>
          </w:p>
        </w:tc>
      </w:tr>
    </w:tbl>
    <w:p w:rsidR="00A46452" w:rsidRDefault="009A3928">
      <w:pPr>
        <w:pStyle w:val="Default"/>
        <w:wordWrap w:val="0"/>
        <w:topLinePunct/>
        <w:autoSpaceDE/>
        <w:autoSpaceDN/>
        <w:snapToGrid w:val="0"/>
        <w:ind w:firstLine="480"/>
        <w:rPr>
          <w:color w:val="auto"/>
        </w:rPr>
      </w:pPr>
      <w:r>
        <w:rPr>
          <w:color w:val="auto"/>
        </w:rPr>
        <w:t>工程建设</w:t>
      </w:r>
      <w:r>
        <w:rPr>
          <w:rFonts w:hint="eastAsia"/>
          <w:color w:val="auto"/>
        </w:rPr>
        <w:t>符合</w:t>
      </w:r>
      <w:r>
        <w:rPr>
          <w:color w:val="auto"/>
        </w:rPr>
        <w:t>《第三师图木舒克市</w:t>
      </w:r>
      <w:r>
        <w:rPr>
          <w:color w:val="auto"/>
        </w:rPr>
        <w:t>“</w:t>
      </w:r>
      <w:r>
        <w:rPr>
          <w:color w:val="auto"/>
        </w:rPr>
        <w:t>三线一单</w:t>
      </w:r>
      <w:r>
        <w:rPr>
          <w:color w:val="auto"/>
        </w:rPr>
        <w:t>”</w:t>
      </w:r>
      <w:r>
        <w:rPr>
          <w:color w:val="auto"/>
        </w:rPr>
        <w:t>生态环境分区管控方案》《第三师图木舒克市生态环境分区管控方案（动态更新）》</w:t>
      </w:r>
      <w:r>
        <w:rPr>
          <w:color w:val="auto"/>
        </w:rPr>
        <w:t>相关要求。</w:t>
      </w:r>
    </w:p>
    <w:p w:rsidR="00A46452" w:rsidRDefault="00A46452">
      <w:pPr>
        <w:pStyle w:val="a4"/>
        <w:wordWrap w:val="0"/>
        <w:topLinePunct/>
        <w:adjustRightInd w:val="0"/>
        <w:snapToGrid w:val="0"/>
        <w:spacing w:line="240" w:lineRule="auto"/>
        <w:ind w:firstLineChars="0" w:firstLine="0"/>
        <w:rPr>
          <w:rFonts w:cs="Times New Roman" w:hint="default"/>
          <w:sz w:val="24"/>
        </w:rPr>
      </w:pPr>
    </w:p>
    <w:p w:rsidR="00A46452" w:rsidRDefault="00A46452">
      <w:pPr>
        <w:pStyle w:val="a4"/>
        <w:wordWrap w:val="0"/>
        <w:topLinePunct/>
        <w:adjustRightInd w:val="0"/>
        <w:snapToGrid w:val="0"/>
        <w:spacing w:line="240" w:lineRule="auto"/>
        <w:ind w:firstLineChars="0" w:firstLine="0"/>
        <w:rPr>
          <w:rFonts w:cs="Times New Roman" w:hint="default"/>
          <w:sz w:val="24"/>
        </w:rPr>
      </w:pPr>
    </w:p>
    <w:p w:rsidR="00A46452" w:rsidRDefault="00A46452">
      <w:pPr>
        <w:pStyle w:val="a4"/>
        <w:wordWrap w:val="0"/>
        <w:topLinePunct/>
        <w:adjustRightInd w:val="0"/>
        <w:snapToGrid w:val="0"/>
        <w:spacing w:line="240" w:lineRule="auto"/>
        <w:ind w:firstLineChars="0" w:firstLine="0"/>
        <w:rPr>
          <w:rFonts w:cs="Times New Roman" w:hint="default"/>
          <w:sz w:val="24"/>
        </w:rPr>
      </w:pPr>
    </w:p>
    <w:p w:rsidR="00A46452" w:rsidRDefault="00A46452">
      <w:pPr>
        <w:pStyle w:val="a4"/>
        <w:wordWrap w:val="0"/>
        <w:topLinePunct/>
        <w:adjustRightInd w:val="0"/>
        <w:snapToGrid w:val="0"/>
        <w:spacing w:line="240" w:lineRule="auto"/>
        <w:ind w:firstLineChars="0" w:firstLine="0"/>
        <w:rPr>
          <w:rFonts w:cs="Times New Roman" w:hint="default"/>
          <w:sz w:val="24"/>
        </w:rPr>
      </w:pPr>
    </w:p>
    <w:p w:rsidR="00A46452" w:rsidRDefault="00A46452" w:rsidP="00182EED">
      <w:pPr>
        <w:wordWrap w:val="0"/>
        <w:topLinePunct/>
        <w:adjustRightInd w:val="0"/>
        <w:snapToGrid w:val="0"/>
        <w:ind w:firstLine="480"/>
        <w:jc w:val="left"/>
        <w:rPr>
          <w:rFonts w:cs="Times New Roman"/>
          <w:kern w:val="0"/>
          <w:szCs w:val="24"/>
          <w:lang w:bidi="ar"/>
        </w:rPr>
        <w:sectPr w:rsidR="00A46452">
          <w:pgSz w:w="11905" w:h="16838"/>
          <w:pgMar w:top="1383" w:right="1803" w:bottom="1383" w:left="1803" w:header="850" w:footer="680" w:gutter="0"/>
          <w:cols w:space="0"/>
          <w:docGrid w:type="lines" w:linePitch="331"/>
        </w:sectPr>
      </w:pPr>
    </w:p>
    <w:p w:rsidR="00A46452" w:rsidRDefault="009A3928">
      <w:pPr>
        <w:pStyle w:val="1"/>
        <w:wordWrap w:val="0"/>
        <w:topLinePunct/>
        <w:adjustRightInd w:val="0"/>
        <w:snapToGrid w:val="0"/>
        <w:jc w:val="left"/>
        <w:rPr>
          <w:rFonts w:eastAsia="黑体" w:cs="Times New Roman" w:hint="default"/>
          <w:sz w:val="32"/>
          <w:szCs w:val="32"/>
        </w:rPr>
      </w:pPr>
      <w:bookmarkStart w:id="257" w:name="_Toc187080700"/>
      <w:bookmarkStart w:id="258" w:name="_Toc22199"/>
      <w:r>
        <w:rPr>
          <w:rFonts w:eastAsia="黑体" w:cs="Times New Roman" w:hint="default"/>
          <w:sz w:val="32"/>
          <w:szCs w:val="32"/>
        </w:rPr>
        <w:t>6</w:t>
      </w:r>
      <w:r>
        <w:rPr>
          <w:rFonts w:eastAsia="黑体" w:cs="Times New Roman" w:hint="default"/>
          <w:sz w:val="32"/>
          <w:szCs w:val="32"/>
        </w:rPr>
        <w:t>环境现状调查与评价</w:t>
      </w:r>
      <w:bookmarkEnd w:id="257"/>
      <w:bookmarkEnd w:id="258"/>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59" w:name="_Toc29571"/>
      <w:bookmarkStart w:id="260" w:name="_Toc187080701"/>
      <w:r>
        <w:rPr>
          <w:rFonts w:cs="Times New Roman" w:hint="default"/>
          <w:sz w:val="30"/>
          <w:szCs w:val="30"/>
        </w:rPr>
        <w:t>6</w:t>
      </w:r>
      <w:r>
        <w:rPr>
          <w:rFonts w:cs="Times New Roman" w:hint="default"/>
          <w:sz w:val="30"/>
          <w:szCs w:val="30"/>
        </w:rPr>
        <w:t>.1</w:t>
      </w:r>
      <w:r>
        <w:rPr>
          <w:rFonts w:cs="Times New Roman" w:hint="default"/>
          <w:sz w:val="30"/>
          <w:szCs w:val="30"/>
        </w:rPr>
        <w:t>自然环境现状调查与评价</w:t>
      </w:r>
      <w:bookmarkEnd w:id="259"/>
      <w:bookmarkEnd w:id="260"/>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6.1.1</w:t>
      </w:r>
      <w:r>
        <w:rPr>
          <w:rFonts w:cs="Times New Roman" w:hint="default"/>
          <w:sz w:val="28"/>
          <w:szCs w:val="28"/>
        </w:rPr>
        <w:t>建设地点</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本项目位于新疆生产建设兵团第三师图木舒克市、巴楚县、柯坪县境内。</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图木舒克市位于</w:t>
      </w:r>
      <w:hyperlink r:id="rId38" w:tgtFrame="https://upimg.baike.so.com/doc/_blank" w:history="1">
        <w:r>
          <w:rPr>
            <w:rFonts w:cs="Times New Roman"/>
            <w:kern w:val="0"/>
            <w:szCs w:val="24"/>
            <w:lang w:bidi="ar"/>
          </w:rPr>
          <w:t>塔克拉玛干沙漠</w:t>
        </w:r>
      </w:hyperlink>
      <w:r>
        <w:rPr>
          <w:rFonts w:cs="Times New Roman"/>
          <w:kern w:val="0"/>
          <w:szCs w:val="24"/>
          <w:lang w:bidi="ar"/>
        </w:rPr>
        <w:t>西北边缘</w:t>
      </w:r>
      <w:hyperlink r:id="rId39" w:tgtFrame="https://upimg.baike.so.com/doc/_blank" w:history="1">
        <w:r>
          <w:rPr>
            <w:rFonts w:cs="Times New Roman"/>
            <w:kern w:val="0"/>
            <w:szCs w:val="24"/>
            <w:lang w:bidi="ar"/>
          </w:rPr>
          <w:t>绿洲</w:t>
        </w:r>
      </w:hyperlink>
      <w:r>
        <w:rPr>
          <w:rFonts w:cs="Times New Roman"/>
          <w:kern w:val="0"/>
          <w:szCs w:val="24"/>
          <w:lang w:bidi="ar"/>
        </w:rPr>
        <w:t>，地处喀什、阿克苏、克州、和田四地州中心地带，周边与</w:t>
      </w:r>
      <w:hyperlink r:id="rId40" w:tgtFrame="https://upimg.baike.so.com/doc/_blank" w:history="1">
        <w:r>
          <w:rPr>
            <w:rFonts w:cs="Times New Roman"/>
            <w:kern w:val="0"/>
            <w:szCs w:val="24"/>
            <w:lang w:bidi="ar"/>
          </w:rPr>
          <w:t>中亚五国</w:t>
        </w:r>
      </w:hyperlink>
      <w:r>
        <w:rPr>
          <w:rFonts w:cs="Times New Roman"/>
          <w:kern w:val="0"/>
          <w:szCs w:val="24"/>
          <w:lang w:bidi="ar"/>
        </w:rPr>
        <w:t>接壤，有五个可利用的国家一类对外开放口岸，是中国对中亚、西亚、南亚各国开放的前沿，也是中国正在建设中喀什西延的国际大通道</w:t>
      </w:r>
      <w:r>
        <w:rPr>
          <w:rFonts w:cs="Times New Roman"/>
          <w:kern w:val="0"/>
          <w:szCs w:val="24"/>
          <w:lang w:bidi="ar"/>
        </w:rPr>
        <w:t>“</w:t>
      </w:r>
      <w:r>
        <w:rPr>
          <w:rFonts w:cs="Times New Roman"/>
          <w:kern w:val="0"/>
          <w:szCs w:val="24"/>
          <w:lang w:bidi="ar"/>
        </w:rPr>
        <w:t>中、吉、乌铁路</w:t>
      </w:r>
      <w:r>
        <w:rPr>
          <w:rFonts w:cs="Times New Roman"/>
          <w:kern w:val="0"/>
          <w:szCs w:val="24"/>
          <w:lang w:bidi="ar"/>
        </w:rPr>
        <w:t>”</w:t>
      </w:r>
      <w:r>
        <w:rPr>
          <w:rFonts w:cs="Times New Roman"/>
          <w:kern w:val="0"/>
          <w:szCs w:val="24"/>
          <w:lang w:bidi="ar"/>
        </w:rPr>
        <w:t>新亚欧大陆桥沿途的重要城市。</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巴楚县，隶属新疆维吾尔自治区喀什地区，位于新疆维吾尔自治区西南部，地处天山南麓、塔里木盆地西北缘。地理坐标介于东经</w:t>
      </w:r>
      <w:r>
        <w:rPr>
          <w:rFonts w:cs="Times New Roman"/>
          <w:kern w:val="0"/>
          <w:szCs w:val="24"/>
          <w:lang w:bidi="ar"/>
        </w:rPr>
        <w:t>77°22′3</w:t>
      </w:r>
      <w:r>
        <w:rPr>
          <w:rFonts w:cs="Times New Roman"/>
          <w:kern w:val="0"/>
          <w:szCs w:val="24"/>
          <w:lang w:bidi="ar"/>
        </w:rPr>
        <w:t>0″~79°56′15″</w:t>
      </w:r>
      <w:r>
        <w:rPr>
          <w:rFonts w:cs="Times New Roman"/>
          <w:kern w:val="0"/>
          <w:szCs w:val="24"/>
          <w:lang w:bidi="ar"/>
        </w:rPr>
        <w:t>，北纬</w:t>
      </w:r>
      <w:r>
        <w:rPr>
          <w:rFonts w:cs="Times New Roman"/>
          <w:kern w:val="0"/>
          <w:szCs w:val="24"/>
          <w:lang w:bidi="ar"/>
        </w:rPr>
        <w:t>38°47′30″~40°17′30″</w:t>
      </w:r>
      <w:r>
        <w:rPr>
          <w:rFonts w:cs="Times New Roman"/>
          <w:kern w:val="0"/>
          <w:szCs w:val="24"/>
          <w:lang w:bidi="ar"/>
        </w:rPr>
        <w:t>之间。柯坪县隶属于阿克苏地区，在阿克苏地区最西端，天山支脉阿尔塔格山南麓、塔里木盆地西北缘，与喀什、克州接壤，是连接阿克苏和喀什的桥梁纽带，也是阿克苏连接喀什、克州、和田的枢纽。</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项目起点位于图木舒克市唐王城机场南侧，与机场大道终点相接，沿机场大道终点向东后延</w:t>
      </w:r>
      <w:r>
        <w:rPr>
          <w:rFonts w:cs="Times New Roman"/>
          <w:kern w:val="0"/>
          <w:szCs w:val="24"/>
          <w:lang w:bidi="ar"/>
        </w:rPr>
        <w:t>5</w:t>
      </w:r>
      <w:r>
        <w:rPr>
          <w:rFonts w:cs="Times New Roman"/>
          <w:kern w:val="0"/>
          <w:szCs w:val="24"/>
          <w:lang w:bidi="ar"/>
        </w:rPr>
        <w:t>公里后向北，途经</w:t>
      </w:r>
      <w:r>
        <w:rPr>
          <w:rFonts w:cs="Times New Roman"/>
          <w:kern w:val="0"/>
          <w:szCs w:val="24"/>
          <w:lang w:bidi="ar"/>
        </w:rPr>
        <w:t>50</w:t>
      </w:r>
      <w:r>
        <w:rPr>
          <w:rFonts w:cs="Times New Roman"/>
          <w:kern w:val="0"/>
          <w:szCs w:val="24"/>
          <w:lang w:bidi="ar"/>
        </w:rPr>
        <w:t>团东侧、</w:t>
      </w:r>
      <w:r>
        <w:rPr>
          <w:rFonts w:cs="Times New Roman"/>
          <w:kern w:val="0"/>
          <w:szCs w:val="24"/>
          <w:lang w:bidi="ar"/>
        </w:rPr>
        <w:t>53</w:t>
      </w:r>
      <w:r>
        <w:rPr>
          <w:rFonts w:cs="Times New Roman"/>
          <w:kern w:val="0"/>
          <w:szCs w:val="24"/>
          <w:lang w:bidi="ar"/>
        </w:rPr>
        <w:t>团西侧（</w:t>
      </w:r>
      <w:r>
        <w:rPr>
          <w:rFonts w:cs="Times New Roman"/>
          <w:kern w:val="0"/>
          <w:szCs w:val="24"/>
          <w:lang w:bidi="ar"/>
        </w:rPr>
        <w:t>G217</w:t>
      </w:r>
      <w:r>
        <w:rPr>
          <w:rFonts w:cs="Times New Roman"/>
          <w:kern w:val="0"/>
          <w:szCs w:val="24"/>
          <w:lang w:bidi="ar"/>
        </w:rPr>
        <w:t>）、阿恰勒镇（</w:t>
      </w:r>
      <w:r>
        <w:rPr>
          <w:rFonts w:cs="Times New Roman"/>
          <w:kern w:val="0"/>
          <w:szCs w:val="24"/>
          <w:lang w:bidi="ar"/>
        </w:rPr>
        <w:t>G3012</w:t>
      </w:r>
      <w:r>
        <w:rPr>
          <w:rFonts w:cs="Times New Roman"/>
          <w:kern w:val="0"/>
          <w:szCs w:val="24"/>
          <w:lang w:bidi="ar"/>
        </w:rPr>
        <w:t>），在阿恰勒镇向西沿原有</w:t>
      </w:r>
      <w:r>
        <w:rPr>
          <w:rFonts w:cs="Times New Roman"/>
          <w:kern w:val="0"/>
          <w:szCs w:val="24"/>
          <w:lang w:bidi="ar"/>
        </w:rPr>
        <w:t>S308</w:t>
      </w:r>
      <w:r>
        <w:rPr>
          <w:rFonts w:cs="Times New Roman"/>
          <w:kern w:val="0"/>
          <w:szCs w:val="24"/>
          <w:lang w:bidi="ar"/>
        </w:rPr>
        <w:t>线北侧布线，终点位于柯坪县玉尔其乡</w:t>
      </w:r>
      <w:r>
        <w:rPr>
          <w:rFonts w:cs="Times New Roman"/>
          <w:kern w:val="0"/>
          <w:szCs w:val="24"/>
          <w:lang w:bidi="ar"/>
        </w:rPr>
        <w:t>，</w:t>
      </w:r>
      <w:r>
        <w:rPr>
          <w:rFonts w:cs="Times New Roman"/>
          <w:kern w:val="0"/>
          <w:szCs w:val="24"/>
          <w:lang w:bidi="ar"/>
        </w:rPr>
        <w:t>接玉尔其乡主干道。路线总体走向由南向北，全</w:t>
      </w:r>
      <w:r>
        <w:rPr>
          <w:rFonts w:cs="Times New Roman"/>
          <w:kern w:val="0"/>
          <w:szCs w:val="24"/>
          <w:lang w:bidi="ar"/>
        </w:rPr>
        <w:t>长</w:t>
      </w:r>
      <w:r>
        <w:rPr>
          <w:rFonts w:cs="Times New Roman"/>
          <w:kern w:val="0"/>
          <w:szCs w:val="24"/>
          <w:lang w:bidi="ar"/>
        </w:rPr>
        <w:t>107.379km</w:t>
      </w:r>
      <w:r>
        <w:rPr>
          <w:rFonts w:cs="Times New Roman"/>
          <w:kern w:val="0"/>
          <w:szCs w:val="24"/>
          <w:lang w:bidi="ar"/>
        </w:rPr>
        <w:t>（含长链</w:t>
      </w:r>
      <w:r>
        <w:rPr>
          <w:rFonts w:cs="Times New Roman"/>
          <w:kern w:val="0"/>
          <w:szCs w:val="24"/>
          <w:lang w:bidi="ar"/>
        </w:rPr>
        <w:t>1</w:t>
      </w:r>
      <w:r>
        <w:rPr>
          <w:rFonts w:cs="Times New Roman"/>
          <w:kern w:val="0"/>
          <w:szCs w:val="24"/>
          <w:lang w:bidi="ar"/>
        </w:rPr>
        <w:t>处，里程桩号</w:t>
      </w:r>
      <w:r>
        <w:rPr>
          <w:rFonts w:cs="Times New Roman"/>
          <w:kern w:val="0"/>
          <w:szCs w:val="24"/>
          <w:lang w:bidi="ar"/>
        </w:rPr>
        <w:t>107.177km</w:t>
      </w:r>
      <w:r>
        <w:rPr>
          <w:rFonts w:cs="Times New Roman"/>
          <w:kern w:val="0"/>
          <w:szCs w:val="24"/>
          <w:lang w:bidi="ar"/>
        </w:rPr>
        <w:t>）。公路等级为二级公路，其中</w:t>
      </w:r>
      <w:r>
        <w:rPr>
          <w:rFonts w:cs="Times New Roman"/>
          <w:kern w:val="0"/>
          <w:szCs w:val="24"/>
          <w:lang w:bidi="ar"/>
        </w:rPr>
        <w:t>K0-K3+300</w:t>
      </w:r>
      <w:r>
        <w:rPr>
          <w:rFonts w:cs="Times New Roman"/>
          <w:kern w:val="0"/>
          <w:szCs w:val="24"/>
          <w:lang w:bidi="ar"/>
        </w:rPr>
        <w:t>，设计速度</w:t>
      </w:r>
      <w:r>
        <w:rPr>
          <w:rFonts w:cs="Times New Roman"/>
          <w:szCs w:val="24"/>
        </w:rPr>
        <w:t>6</w:t>
      </w:r>
      <w:r>
        <w:rPr>
          <w:rFonts w:cs="Times New Roman"/>
          <w:szCs w:val="24"/>
        </w:rPr>
        <w:t>0</w:t>
      </w:r>
      <w:r>
        <w:rPr>
          <w:rFonts w:cs="Times New Roman"/>
          <w:szCs w:val="24"/>
        </w:rPr>
        <w:t>km</w:t>
      </w:r>
      <w:r>
        <w:rPr>
          <w:rFonts w:cs="Times New Roman"/>
          <w:szCs w:val="24"/>
        </w:rPr>
        <w:t>/h</w:t>
      </w:r>
      <w:r>
        <w:rPr>
          <w:rFonts w:cs="Times New Roman"/>
          <w:szCs w:val="24"/>
        </w:rPr>
        <w:t>，</w:t>
      </w:r>
      <w:r>
        <w:rPr>
          <w:rFonts w:cs="Times New Roman"/>
          <w:kern w:val="0"/>
          <w:szCs w:val="24"/>
          <w:lang w:bidi="ar"/>
        </w:rPr>
        <w:t>K3+300-K107+177</w:t>
      </w:r>
      <w:r>
        <w:rPr>
          <w:rFonts w:cs="Times New Roman"/>
          <w:kern w:val="0"/>
          <w:szCs w:val="24"/>
          <w:lang w:bidi="ar"/>
        </w:rPr>
        <w:t>，设计速度</w:t>
      </w:r>
      <w:r>
        <w:rPr>
          <w:rFonts w:cs="Times New Roman"/>
          <w:kern w:val="0"/>
          <w:szCs w:val="24"/>
          <w:lang w:bidi="ar"/>
        </w:rPr>
        <w:t>80</w:t>
      </w:r>
      <w:r>
        <w:rPr>
          <w:rFonts w:cs="Times New Roman"/>
          <w:szCs w:val="24"/>
        </w:rPr>
        <w:t>km</w:t>
      </w:r>
      <w:r>
        <w:rPr>
          <w:rFonts w:cs="Times New Roman"/>
          <w:szCs w:val="24"/>
        </w:rPr>
        <w:t>/h</w:t>
      </w:r>
      <w:r>
        <w:rPr>
          <w:rFonts w:cs="Times New Roman"/>
          <w:szCs w:val="24"/>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6.1.2</w:t>
      </w:r>
      <w:r>
        <w:rPr>
          <w:rFonts w:cs="Times New Roman" w:hint="default"/>
          <w:sz w:val="28"/>
          <w:szCs w:val="28"/>
        </w:rPr>
        <w:t>地形地貌</w:t>
      </w:r>
    </w:p>
    <w:p w:rsidR="00A46452" w:rsidRDefault="009A3928" w:rsidP="00182EED">
      <w:pPr>
        <w:wordWrap w:val="0"/>
        <w:topLinePunct/>
        <w:ind w:firstLine="480"/>
        <w:jc w:val="left"/>
        <w:rPr>
          <w:rFonts w:cs="Times New Roman"/>
        </w:rPr>
      </w:pPr>
      <w:r>
        <w:rPr>
          <w:rFonts w:cs="Times New Roman"/>
          <w:kern w:val="0"/>
          <w:szCs w:val="24"/>
          <w:lang w:bidi="ar"/>
        </w:rPr>
        <w:t>本项目所在区域位于塔里木盆地西北部边缘，由冲洪积细土平原区和山前倾斜砾质平原区及山前冲洪积扇区三种地貌单元组成。</w:t>
      </w:r>
    </w:p>
    <w:p w:rsidR="00A46452" w:rsidRDefault="009A3928" w:rsidP="00182EED">
      <w:pPr>
        <w:wordWrap w:val="0"/>
        <w:topLinePunct/>
        <w:ind w:firstLine="480"/>
        <w:jc w:val="left"/>
        <w:rPr>
          <w:rFonts w:cs="Times New Roman"/>
        </w:rPr>
      </w:pPr>
      <w:r>
        <w:rPr>
          <w:rFonts w:cs="Times New Roman"/>
          <w:kern w:val="0"/>
          <w:szCs w:val="24"/>
          <w:lang w:bidi="ar"/>
        </w:rPr>
        <w:t>‌</w:t>
      </w:r>
      <w:r>
        <w:rPr>
          <w:rFonts w:cs="Times New Roman"/>
          <w:kern w:val="0"/>
          <w:szCs w:val="24"/>
          <w:lang w:bidi="ar"/>
        </w:rPr>
        <w:t>图木舒克市位于</w:t>
      </w:r>
      <w:hyperlink r:id="rId41" w:tgtFrame="https://www.baidu.com/_self" w:history="1">
        <w:r>
          <w:rPr>
            <w:rFonts w:cs="Times New Roman"/>
            <w:kern w:val="0"/>
            <w:szCs w:val="24"/>
            <w:lang w:bidi="ar"/>
          </w:rPr>
          <w:t>天山</w:t>
        </w:r>
      </w:hyperlink>
      <w:r>
        <w:rPr>
          <w:rFonts w:cs="Times New Roman"/>
          <w:kern w:val="0"/>
          <w:szCs w:val="24"/>
          <w:lang w:bidi="ar"/>
        </w:rPr>
        <w:t>南麓、</w:t>
      </w:r>
      <w:hyperlink r:id="rId42" w:tgtFrame="https://www.baidu.com/_self" w:history="1">
        <w:r>
          <w:rPr>
            <w:rFonts w:cs="Times New Roman"/>
            <w:kern w:val="0"/>
            <w:szCs w:val="24"/>
            <w:lang w:bidi="ar"/>
          </w:rPr>
          <w:t>塔里木盆地</w:t>
        </w:r>
      </w:hyperlink>
      <w:r>
        <w:rPr>
          <w:rFonts w:cs="Times New Roman"/>
          <w:kern w:val="0"/>
          <w:szCs w:val="24"/>
          <w:lang w:bidi="ar"/>
        </w:rPr>
        <w:t>西北缘，地形以山地及冲积</w:t>
      </w:r>
      <w:r>
        <w:rPr>
          <w:rFonts w:cs="Times New Roman"/>
          <w:kern w:val="0"/>
          <w:szCs w:val="24"/>
          <w:lang w:bidi="ar"/>
        </w:rPr>
        <w:t>平原为主，地势西北高、东南低。</w:t>
      </w:r>
      <w:r>
        <w:rPr>
          <w:rFonts w:cs="Times New Roman"/>
          <w:kern w:val="0"/>
          <w:szCs w:val="24"/>
          <w:lang w:bidi="ar"/>
        </w:rPr>
        <w:t>图木舒克冲洪积细土平原区：分布于塔里木盆地北缘喀什噶尔河下游两岸，地形平坦，局部略有起伏，海拔</w:t>
      </w:r>
      <w:r>
        <w:rPr>
          <w:rFonts w:cs="Times New Roman"/>
          <w:kern w:val="0"/>
          <w:szCs w:val="24"/>
          <w:lang w:bidi="ar"/>
        </w:rPr>
        <w:t>1000m</w:t>
      </w:r>
      <w:r>
        <w:rPr>
          <w:rFonts w:cs="Times New Roman"/>
          <w:kern w:val="0"/>
          <w:szCs w:val="24"/>
          <w:lang w:bidi="ar"/>
        </w:rPr>
        <w:t>～</w:t>
      </w:r>
      <w:r>
        <w:rPr>
          <w:rFonts w:cs="Times New Roman"/>
          <w:kern w:val="0"/>
          <w:szCs w:val="24"/>
          <w:lang w:bidi="ar"/>
        </w:rPr>
        <w:t>1100m</w:t>
      </w:r>
      <w:r>
        <w:rPr>
          <w:rFonts w:cs="Times New Roman"/>
          <w:kern w:val="0"/>
          <w:szCs w:val="24"/>
          <w:lang w:bidi="ar"/>
        </w:rPr>
        <w:t>，地形坡度约</w:t>
      </w:r>
      <w:r>
        <w:rPr>
          <w:rFonts w:cs="Times New Roman"/>
          <w:kern w:val="0"/>
          <w:szCs w:val="24"/>
          <w:lang w:bidi="ar"/>
        </w:rPr>
        <w:t>0.5‰</w:t>
      </w:r>
      <w:r>
        <w:rPr>
          <w:rFonts w:cs="Times New Roman"/>
          <w:kern w:val="0"/>
          <w:szCs w:val="24"/>
          <w:lang w:bidi="ar"/>
        </w:rPr>
        <w:t>，沿线穿越耕地、荒地、胡杨林。该河段两岸仍发育</w:t>
      </w:r>
      <w:r>
        <w:rPr>
          <w:rFonts w:cs="Times New Roman"/>
          <w:kern w:val="0"/>
          <w:szCs w:val="24"/>
          <w:lang w:bidi="ar"/>
        </w:rPr>
        <w:t>Ⅰ</w:t>
      </w:r>
      <w:r>
        <w:rPr>
          <w:rFonts w:cs="Times New Roman"/>
          <w:kern w:val="0"/>
          <w:szCs w:val="24"/>
          <w:lang w:bidi="ar"/>
        </w:rPr>
        <w:t>级阶地，阶地面逐渐变低，至下游河道河床变浅，河流蜿蜒曲折，侧蚀较弱。常见残留的古河道或牛轭湖，两岸均为细颗粒的沉积物，主要由粉土、粉质黏土与粉细砂组成，风积沙漠地貌零星可见。</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柯坪县地势从西南向东北倾斜，主要地貌特征为沙漠、山地、洪积平原和冲积平原四大类。（</w:t>
      </w:r>
      <w:r>
        <w:rPr>
          <w:rFonts w:cs="Times New Roman"/>
          <w:kern w:val="0"/>
          <w:szCs w:val="24"/>
          <w:lang w:bidi="ar"/>
        </w:rPr>
        <w:t>1</w:t>
      </w:r>
      <w:r>
        <w:rPr>
          <w:rFonts w:cs="Times New Roman"/>
          <w:kern w:val="0"/>
          <w:szCs w:val="24"/>
          <w:lang w:bidi="ar"/>
        </w:rPr>
        <w:t>）</w:t>
      </w:r>
      <w:r>
        <w:rPr>
          <w:rFonts w:cs="Times New Roman"/>
          <w:kern w:val="0"/>
          <w:szCs w:val="24"/>
          <w:lang w:bidi="ar"/>
        </w:rPr>
        <w:t>柯坪山前倾斜砾质平原区：分布于阿恰勒</w:t>
      </w:r>
      <w:r>
        <w:rPr>
          <w:rFonts w:cs="Times New Roman"/>
          <w:kern w:val="0"/>
          <w:szCs w:val="24"/>
          <w:lang w:bidi="ar"/>
        </w:rPr>
        <w:t>乡出山口一带，柯坪塔格山以南，向南倾斜，地形平缓开阔，</w:t>
      </w:r>
      <w:r>
        <w:rPr>
          <w:rFonts w:cs="Times New Roman"/>
          <w:kern w:val="0"/>
          <w:szCs w:val="24"/>
          <w:lang w:bidi="ar"/>
        </w:rPr>
        <w:t>海拔</w:t>
      </w:r>
      <w:r>
        <w:rPr>
          <w:rFonts w:cs="Times New Roman"/>
          <w:kern w:val="0"/>
          <w:szCs w:val="24"/>
          <w:lang w:bidi="ar"/>
        </w:rPr>
        <w:t>高程</w:t>
      </w:r>
      <w:r>
        <w:rPr>
          <w:rFonts w:cs="Times New Roman"/>
          <w:kern w:val="0"/>
          <w:szCs w:val="24"/>
          <w:lang w:bidi="ar"/>
        </w:rPr>
        <w:t xml:space="preserve"> 1050</w:t>
      </w:r>
      <w:r>
        <w:rPr>
          <w:rFonts w:cs="Times New Roman"/>
          <w:kern w:val="0"/>
          <w:szCs w:val="24"/>
          <w:lang w:bidi="ar"/>
        </w:rPr>
        <w:t>～</w:t>
      </w:r>
      <w:r>
        <w:rPr>
          <w:rFonts w:cs="Times New Roman"/>
          <w:kern w:val="0"/>
          <w:szCs w:val="24"/>
          <w:lang w:bidi="ar"/>
        </w:rPr>
        <w:t>1100m</w:t>
      </w:r>
      <w:r>
        <w:rPr>
          <w:rFonts w:cs="Times New Roman"/>
          <w:kern w:val="0"/>
          <w:szCs w:val="24"/>
          <w:lang w:bidi="ar"/>
        </w:rPr>
        <w:t>。地表分布冲洪积粉细粒地层，其下广泛分布卵砾石层，局部夹含砾砂层和亚粘土层透镜体，厚度变化大。</w:t>
      </w: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柯坪山前冲洪积扇区：分布于柯坪塔格山以北，向北倾斜，地形起伏开阔，</w:t>
      </w:r>
      <w:r>
        <w:rPr>
          <w:rFonts w:cs="Times New Roman"/>
          <w:kern w:val="0"/>
          <w:szCs w:val="24"/>
          <w:lang w:bidi="ar"/>
        </w:rPr>
        <w:t>海拔</w:t>
      </w:r>
      <w:r>
        <w:rPr>
          <w:rFonts w:cs="Times New Roman"/>
          <w:kern w:val="0"/>
          <w:szCs w:val="24"/>
          <w:lang w:bidi="ar"/>
        </w:rPr>
        <w:t>高程</w:t>
      </w:r>
      <w:r>
        <w:rPr>
          <w:rFonts w:cs="Times New Roman"/>
          <w:kern w:val="0"/>
          <w:szCs w:val="24"/>
          <w:lang w:bidi="ar"/>
        </w:rPr>
        <w:t>1100</w:t>
      </w:r>
      <w:r>
        <w:rPr>
          <w:rFonts w:cs="Times New Roman"/>
          <w:kern w:val="0"/>
          <w:szCs w:val="24"/>
          <w:lang w:bidi="ar"/>
        </w:rPr>
        <w:t>～</w:t>
      </w:r>
      <w:r>
        <w:rPr>
          <w:rFonts w:cs="Times New Roman"/>
          <w:kern w:val="0"/>
          <w:szCs w:val="24"/>
          <w:lang w:bidi="ar"/>
        </w:rPr>
        <w:t>1180m</w:t>
      </w:r>
      <w:r>
        <w:rPr>
          <w:rFonts w:cs="Times New Roman"/>
          <w:kern w:val="0"/>
          <w:szCs w:val="24"/>
          <w:lang w:bidi="ar"/>
        </w:rPr>
        <w:t>。地表地下分布冲洪积卵砾石层，局部夹含砾砂层和亚粘土层透镜体，厚度变化大。</w:t>
      </w:r>
      <w:r>
        <w:rPr>
          <w:rFonts w:cs="Times New Roman"/>
          <w:kern w:val="0"/>
          <w:szCs w:val="24"/>
          <w:lang w:bidi="ar"/>
        </w:rPr>
        <w:t>（</w:t>
      </w:r>
      <w:r>
        <w:rPr>
          <w:rFonts w:cs="Times New Roman"/>
          <w:kern w:val="0"/>
          <w:szCs w:val="24"/>
          <w:lang w:bidi="ar"/>
        </w:rPr>
        <w:t>3</w:t>
      </w:r>
      <w:r>
        <w:rPr>
          <w:rFonts w:cs="Times New Roman"/>
          <w:kern w:val="0"/>
          <w:szCs w:val="24"/>
          <w:lang w:bidi="ar"/>
        </w:rPr>
        <w:t>）</w:t>
      </w:r>
      <w:r>
        <w:rPr>
          <w:rFonts w:cs="Times New Roman"/>
          <w:kern w:val="0"/>
          <w:szCs w:val="24"/>
          <w:lang w:bidi="ar"/>
        </w:rPr>
        <w:t>柯坪冲洪积细土平原区：分布于柯坪盆地</w:t>
      </w:r>
      <w:r>
        <w:rPr>
          <w:rFonts w:cs="Times New Roman"/>
          <w:kern w:val="0"/>
          <w:szCs w:val="24"/>
          <w:lang w:bidi="ar"/>
        </w:rPr>
        <w:t>柯坪河</w:t>
      </w:r>
      <w:r>
        <w:rPr>
          <w:rFonts w:cs="Times New Roman"/>
          <w:kern w:val="0"/>
          <w:szCs w:val="24"/>
          <w:lang w:bidi="ar"/>
        </w:rPr>
        <w:t>中下游两岸，地形平坦，局部略有起伏，海拔</w:t>
      </w:r>
      <w:r>
        <w:rPr>
          <w:rFonts w:cs="Times New Roman"/>
          <w:kern w:val="0"/>
          <w:szCs w:val="24"/>
          <w:lang w:bidi="ar"/>
        </w:rPr>
        <w:t>1100m</w:t>
      </w:r>
      <w:r>
        <w:rPr>
          <w:rFonts w:cs="Times New Roman"/>
          <w:kern w:val="0"/>
          <w:szCs w:val="24"/>
          <w:lang w:bidi="ar"/>
        </w:rPr>
        <w:t>～</w:t>
      </w:r>
      <w:r>
        <w:rPr>
          <w:rFonts w:cs="Times New Roman"/>
          <w:kern w:val="0"/>
          <w:szCs w:val="24"/>
          <w:lang w:bidi="ar"/>
        </w:rPr>
        <w:t>1150m</w:t>
      </w:r>
      <w:r>
        <w:rPr>
          <w:rFonts w:cs="Times New Roman"/>
          <w:kern w:val="0"/>
          <w:szCs w:val="24"/>
          <w:lang w:bidi="ar"/>
        </w:rPr>
        <w:t>，地形坡度约</w:t>
      </w:r>
      <w:r>
        <w:rPr>
          <w:rFonts w:cs="Times New Roman"/>
          <w:kern w:val="0"/>
          <w:szCs w:val="24"/>
          <w:lang w:bidi="ar"/>
        </w:rPr>
        <w:t>3‰</w:t>
      </w:r>
      <w:r>
        <w:rPr>
          <w:rFonts w:cs="Times New Roman"/>
          <w:kern w:val="0"/>
          <w:szCs w:val="24"/>
          <w:lang w:bidi="ar"/>
        </w:rPr>
        <w:t>，沿线穿越城区、耕地、荒地、沙漠。</w:t>
      </w:r>
      <w:r>
        <w:rPr>
          <w:rFonts w:cs="Times New Roman"/>
          <w:kern w:val="0"/>
          <w:szCs w:val="24"/>
          <w:lang w:bidi="ar"/>
        </w:rPr>
        <w:t>该河段两岸仍发育</w:t>
      </w:r>
      <w:r>
        <w:rPr>
          <w:rFonts w:cs="Times New Roman"/>
          <w:kern w:val="0"/>
          <w:szCs w:val="24"/>
          <w:lang w:bidi="ar"/>
        </w:rPr>
        <w:t>Ⅰ</w:t>
      </w:r>
      <w:r>
        <w:rPr>
          <w:rFonts w:cs="Times New Roman"/>
          <w:kern w:val="0"/>
          <w:szCs w:val="24"/>
          <w:lang w:bidi="ar"/>
        </w:rPr>
        <w:t>级阶地，阶地面逐渐变低，至下游河道河床变浅，河流蜿蜒曲折，侧蚀较弱。两岸均为细颗粒的沉积物，主要由粉土与粉细砂组成。</w:t>
      </w:r>
      <w:r>
        <w:rPr>
          <w:rFonts w:cs="Times New Roman"/>
          <w:kern w:val="0"/>
          <w:szCs w:val="24"/>
          <w:lang w:bidi="ar"/>
        </w:rPr>
        <w:t xml:space="preserve"> </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巴楚县地势从西南向东北倾斜，绿洲主要集中在</w:t>
      </w:r>
      <w:hyperlink r:id="rId43" w:tgtFrame="https://www.baidu.com/_blank" w:history="1">
        <w:r>
          <w:rPr>
            <w:rFonts w:cs="Times New Roman"/>
            <w:kern w:val="0"/>
            <w:szCs w:val="24"/>
            <w:lang w:bidi="ar"/>
          </w:rPr>
          <w:t>叶尔羌河</w:t>
        </w:r>
      </w:hyperlink>
      <w:r>
        <w:rPr>
          <w:rFonts w:cs="Times New Roman"/>
          <w:kern w:val="0"/>
          <w:szCs w:val="24"/>
          <w:lang w:bidi="ar"/>
        </w:rPr>
        <w:t>和</w:t>
      </w:r>
      <w:hyperlink r:id="rId44" w:tgtFrame="https://www.baidu.com/_blank" w:history="1">
        <w:r>
          <w:rPr>
            <w:rFonts w:cs="Times New Roman"/>
            <w:kern w:val="0"/>
            <w:szCs w:val="24"/>
            <w:lang w:bidi="ar"/>
          </w:rPr>
          <w:t>喀什噶尔河</w:t>
        </w:r>
      </w:hyperlink>
      <w:r>
        <w:rPr>
          <w:rFonts w:cs="Times New Roman"/>
          <w:kern w:val="0"/>
          <w:szCs w:val="24"/>
          <w:lang w:bidi="ar"/>
        </w:rPr>
        <w:t>沿岸的冲积扇平原上，这些地区呈狭长地形，由西南向东北延伸。</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根据我国公路工程分级原则及《公路自然区划标准》（</w:t>
      </w:r>
      <w:r>
        <w:rPr>
          <w:rFonts w:cs="Times New Roman"/>
          <w:kern w:val="0"/>
          <w:szCs w:val="24"/>
          <w:lang w:bidi="ar"/>
        </w:rPr>
        <w:t>JTJ03-86</w:t>
      </w:r>
      <w:r>
        <w:rPr>
          <w:rFonts w:cs="Times New Roman"/>
          <w:kern w:val="0"/>
          <w:szCs w:val="24"/>
          <w:lang w:bidi="ar"/>
        </w:rPr>
        <w:t>），</w:t>
      </w:r>
      <w:r>
        <w:rPr>
          <w:rFonts w:cs="Times New Roman"/>
          <w:kern w:val="0"/>
          <w:szCs w:val="24"/>
          <w:lang w:bidi="ar"/>
        </w:rPr>
        <w:t>拟建项目</w:t>
      </w:r>
      <w:r>
        <w:rPr>
          <w:rFonts w:cs="Times New Roman"/>
          <w:kern w:val="0"/>
          <w:szCs w:val="24"/>
          <w:lang w:bidi="ar"/>
        </w:rPr>
        <w:t>属</w:t>
      </w:r>
      <w:r>
        <w:rPr>
          <w:rFonts w:cs="Times New Roman"/>
          <w:kern w:val="0"/>
          <w:szCs w:val="24"/>
          <w:lang w:bidi="ar"/>
        </w:rPr>
        <w:t>Ⅵ2</w:t>
      </w:r>
      <w:r>
        <w:rPr>
          <w:rFonts w:cs="Times New Roman"/>
          <w:kern w:val="0"/>
          <w:szCs w:val="24"/>
          <w:lang w:bidi="ar"/>
        </w:rPr>
        <w:t>绿洲</w:t>
      </w:r>
      <w:r>
        <w:rPr>
          <w:rFonts w:cs="Times New Roman"/>
          <w:kern w:val="0"/>
          <w:szCs w:val="24"/>
          <w:lang w:bidi="ar"/>
        </w:rPr>
        <w:t>-</w:t>
      </w:r>
      <w:r>
        <w:rPr>
          <w:rFonts w:cs="Times New Roman"/>
          <w:kern w:val="0"/>
          <w:szCs w:val="24"/>
          <w:lang w:bidi="ar"/>
        </w:rPr>
        <w:t>荒漠区。</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线路桩号</w:t>
      </w:r>
      <w:r>
        <w:rPr>
          <w:rFonts w:cs="Times New Roman"/>
          <w:kern w:val="0"/>
          <w:szCs w:val="24"/>
          <w:lang w:bidi="ar"/>
        </w:rPr>
        <w:t>K0+000</w:t>
      </w:r>
      <w:r>
        <w:rPr>
          <w:rFonts w:cs="Times New Roman"/>
          <w:kern w:val="0"/>
          <w:szCs w:val="24"/>
          <w:lang w:bidi="ar"/>
        </w:rPr>
        <w:t>～</w:t>
      </w:r>
      <w:r>
        <w:rPr>
          <w:rFonts w:cs="Times New Roman"/>
          <w:kern w:val="0"/>
          <w:szCs w:val="24"/>
          <w:lang w:bidi="ar"/>
        </w:rPr>
        <w:t>K32+000</w:t>
      </w:r>
      <w:r>
        <w:rPr>
          <w:rFonts w:cs="Times New Roman"/>
          <w:kern w:val="0"/>
          <w:szCs w:val="24"/>
          <w:lang w:bidi="ar"/>
        </w:rPr>
        <w:t>段位于冲洪积细土平原区。地形平坦，局部略有起伏，海拔</w:t>
      </w:r>
      <w:r>
        <w:rPr>
          <w:rFonts w:cs="Times New Roman"/>
          <w:kern w:val="0"/>
          <w:szCs w:val="24"/>
          <w:lang w:bidi="ar"/>
        </w:rPr>
        <w:t>1070m</w:t>
      </w:r>
      <w:r>
        <w:rPr>
          <w:rFonts w:cs="Times New Roman"/>
          <w:kern w:val="0"/>
          <w:szCs w:val="24"/>
          <w:lang w:bidi="ar"/>
        </w:rPr>
        <w:t>～</w:t>
      </w:r>
      <w:r>
        <w:rPr>
          <w:rFonts w:cs="Times New Roman"/>
          <w:kern w:val="0"/>
          <w:szCs w:val="24"/>
          <w:lang w:bidi="ar"/>
        </w:rPr>
        <w:t>1090m</w:t>
      </w:r>
      <w:r>
        <w:rPr>
          <w:rFonts w:cs="Times New Roman"/>
          <w:kern w:val="0"/>
          <w:szCs w:val="24"/>
          <w:lang w:bidi="ar"/>
        </w:rPr>
        <w:t>，地形坡度约</w:t>
      </w:r>
      <w:r>
        <w:rPr>
          <w:rFonts w:cs="Times New Roman"/>
          <w:kern w:val="0"/>
          <w:szCs w:val="24"/>
          <w:lang w:bidi="ar"/>
        </w:rPr>
        <w:t>0.7‰</w:t>
      </w:r>
      <w:r>
        <w:rPr>
          <w:rFonts w:cs="Times New Roman"/>
          <w:kern w:val="0"/>
          <w:szCs w:val="24"/>
          <w:lang w:bidi="ar"/>
        </w:rPr>
        <w:t>，沿线穿越耕地、荒地、胡杨林。</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线路桩号</w:t>
      </w:r>
      <w:r>
        <w:rPr>
          <w:rFonts w:cs="Times New Roman"/>
          <w:kern w:val="0"/>
          <w:szCs w:val="24"/>
          <w:lang w:bidi="ar"/>
        </w:rPr>
        <w:t>K32+000</w:t>
      </w:r>
      <w:r>
        <w:rPr>
          <w:rFonts w:cs="Times New Roman"/>
          <w:kern w:val="0"/>
          <w:szCs w:val="24"/>
          <w:lang w:bidi="ar"/>
        </w:rPr>
        <w:t>～</w:t>
      </w:r>
      <w:r>
        <w:rPr>
          <w:rFonts w:cs="Times New Roman"/>
          <w:kern w:val="0"/>
          <w:szCs w:val="24"/>
          <w:lang w:bidi="ar"/>
        </w:rPr>
        <w:t>K43+500</w:t>
      </w:r>
      <w:r>
        <w:rPr>
          <w:rFonts w:cs="Times New Roman"/>
          <w:kern w:val="0"/>
          <w:szCs w:val="24"/>
          <w:lang w:bidi="ar"/>
        </w:rPr>
        <w:t>段位于风积沙漠区。整体地形南低、北高，高程一般分布在</w:t>
      </w:r>
      <w:r>
        <w:rPr>
          <w:rFonts w:cs="Times New Roman"/>
          <w:kern w:val="0"/>
          <w:szCs w:val="24"/>
          <w:lang w:bidi="ar"/>
        </w:rPr>
        <w:t>1075</w:t>
      </w:r>
      <w:r>
        <w:rPr>
          <w:rFonts w:cs="Times New Roman"/>
          <w:kern w:val="0"/>
          <w:szCs w:val="24"/>
          <w:lang w:bidi="ar"/>
        </w:rPr>
        <w:t>～</w:t>
      </w:r>
      <w:r>
        <w:rPr>
          <w:rFonts w:cs="Times New Roman"/>
          <w:kern w:val="0"/>
          <w:szCs w:val="24"/>
          <w:lang w:bidi="ar"/>
        </w:rPr>
        <w:t>1095m</w:t>
      </w:r>
      <w:r>
        <w:rPr>
          <w:rFonts w:cs="Times New Roman"/>
          <w:kern w:val="0"/>
          <w:szCs w:val="24"/>
          <w:lang w:bidi="ar"/>
        </w:rPr>
        <w:t>间，地形坡度</w:t>
      </w:r>
      <w:r>
        <w:rPr>
          <w:rFonts w:cs="Times New Roman"/>
          <w:kern w:val="0"/>
          <w:szCs w:val="24"/>
          <w:lang w:bidi="ar"/>
        </w:rPr>
        <w:t>在</w:t>
      </w:r>
      <w:r>
        <w:rPr>
          <w:rFonts w:cs="Times New Roman"/>
          <w:kern w:val="0"/>
          <w:szCs w:val="24"/>
          <w:lang w:bidi="ar"/>
        </w:rPr>
        <w:t>1.8‰</w:t>
      </w:r>
      <w:r>
        <w:rPr>
          <w:rFonts w:cs="Times New Roman"/>
          <w:kern w:val="0"/>
          <w:szCs w:val="24"/>
          <w:lang w:bidi="ar"/>
        </w:rPr>
        <w:t>左右，沿线主要分布为移动沙丘，半固定沙丘</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线路桩号</w:t>
      </w:r>
      <w:r>
        <w:rPr>
          <w:rFonts w:cs="Times New Roman"/>
          <w:kern w:val="0"/>
          <w:szCs w:val="24"/>
          <w:lang w:bidi="ar"/>
        </w:rPr>
        <w:t>K43+500</w:t>
      </w:r>
      <w:r>
        <w:rPr>
          <w:rFonts w:cs="Times New Roman"/>
          <w:kern w:val="0"/>
          <w:szCs w:val="24"/>
          <w:lang w:bidi="ar"/>
        </w:rPr>
        <w:t>～</w:t>
      </w:r>
      <w:r>
        <w:rPr>
          <w:rFonts w:cs="Times New Roman"/>
          <w:kern w:val="0"/>
          <w:szCs w:val="24"/>
          <w:lang w:bidi="ar"/>
        </w:rPr>
        <w:t>K61+300</w:t>
      </w:r>
      <w:r>
        <w:rPr>
          <w:rFonts w:cs="Times New Roman"/>
          <w:kern w:val="0"/>
          <w:szCs w:val="24"/>
          <w:lang w:bidi="ar"/>
        </w:rPr>
        <w:t>段位于冲洪积细土平原区。地形平坦开阔，局部略有起伏，零星分布低矮粉土丘及风积沙丘，海拔</w:t>
      </w:r>
      <w:r>
        <w:rPr>
          <w:rFonts w:cs="Times New Roman"/>
          <w:kern w:val="0"/>
          <w:szCs w:val="24"/>
          <w:lang w:bidi="ar"/>
        </w:rPr>
        <w:t>1070m</w:t>
      </w:r>
      <w:r>
        <w:rPr>
          <w:rFonts w:cs="Times New Roman"/>
          <w:kern w:val="0"/>
          <w:szCs w:val="24"/>
          <w:lang w:bidi="ar"/>
        </w:rPr>
        <w:t>～</w:t>
      </w:r>
      <w:r>
        <w:rPr>
          <w:rFonts w:cs="Times New Roman"/>
          <w:kern w:val="0"/>
          <w:szCs w:val="24"/>
          <w:lang w:bidi="ar"/>
        </w:rPr>
        <w:t>1085m</w:t>
      </w:r>
      <w:r>
        <w:rPr>
          <w:rFonts w:cs="Times New Roman"/>
          <w:kern w:val="0"/>
          <w:szCs w:val="24"/>
          <w:lang w:bidi="ar"/>
        </w:rPr>
        <w:t>，地形坡度</w:t>
      </w:r>
      <w:r>
        <w:rPr>
          <w:rFonts w:cs="Times New Roman"/>
          <w:kern w:val="0"/>
          <w:szCs w:val="24"/>
          <w:lang w:bidi="ar"/>
        </w:rPr>
        <w:t>0.8‰</w:t>
      </w:r>
      <w:r>
        <w:rPr>
          <w:rFonts w:cs="Times New Roman"/>
          <w:kern w:val="0"/>
          <w:szCs w:val="24"/>
          <w:lang w:bidi="ar"/>
        </w:rPr>
        <w:t>～</w:t>
      </w:r>
      <w:r>
        <w:rPr>
          <w:rFonts w:cs="Times New Roman"/>
          <w:kern w:val="0"/>
          <w:szCs w:val="24"/>
          <w:lang w:bidi="ar"/>
        </w:rPr>
        <w:t>1.1‰</w:t>
      </w:r>
      <w:r>
        <w:rPr>
          <w:rFonts w:cs="Times New Roman"/>
          <w:kern w:val="0"/>
          <w:szCs w:val="24"/>
          <w:lang w:bidi="ar"/>
        </w:rPr>
        <w:t>，沿线穿越荒地、局部为风积沙区。</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线路桩号</w:t>
      </w:r>
      <w:r>
        <w:rPr>
          <w:rFonts w:cs="Times New Roman"/>
          <w:kern w:val="0"/>
          <w:szCs w:val="24"/>
          <w:lang w:bidi="ar"/>
        </w:rPr>
        <w:t>K61+300</w:t>
      </w:r>
      <w:r>
        <w:rPr>
          <w:rFonts w:cs="Times New Roman"/>
          <w:kern w:val="0"/>
          <w:szCs w:val="24"/>
          <w:lang w:bidi="ar"/>
        </w:rPr>
        <w:t>～</w:t>
      </w:r>
      <w:r>
        <w:rPr>
          <w:rFonts w:cs="Times New Roman"/>
          <w:kern w:val="0"/>
          <w:szCs w:val="24"/>
          <w:lang w:bidi="ar"/>
        </w:rPr>
        <w:t>K86+960</w:t>
      </w:r>
      <w:r>
        <w:rPr>
          <w:rFonts w:cs="Times New Roman"/>
          <w:kern w:val="0"/>
          <w:szCs w:val="24"/>
          <w:lang w:bidi="ar"/>
        </w:rPr>
        <w:t>段位于柯坪山前倾斜砾质平原区。地形平坦开阔，局部略有起伏，海拔</w:t>
      </w:r>
      <w:r>
        <w:rPr>
          <w:rFonts w:cs="Times New Roman"/>
          <w:kern w:val="0"/>
          <w:szCs w:val="24"/>
          <w:lang w:bidi="ar"/>
        </w:rPr>
        <w:t>1080m</w:t>
      </w:r>
      <w:r>
        <w:rPr>
          <w:rFonts w:cs="Times New Roman"/>
          <w:kern w:val="0"/>
          <w:szCs w:val="24"/>
          <w:lang w:bidi="ar"/>
        </w:rPr>
        <w:t>～</w:t>
      </w:r>
      <w:r>
        <w:rPr>
          <w:rFonts w:cs="Times New Roman"/>
          <w:kern w:val="0"/>
          <w:szCs w:val="24"/>
          <w:lang w:bidi="ar"/>
        </w:rPr>
        <w:t>1120m</w:t>
      </w:r>
      <w:r>
        <w:rPr>
          <w:rFonts w:cs="Times New Roman"/>
          <w:kern w:val="0"/>
          <w:szCs w:val="24"/>
          <w:lang w:bidi="ar"/>
        </w:rPr>
        <w:t>，地形坡度</w:t>
      </w:r>
      <w:r>
        <w:rPr>
          <w:rFonts w:cs="Times New Roman"/>
          <w:kern w:val="0"/>
          <w:szCs w:val="24"/>
          <w:lang w:bidi="ar"/>
        </w:rPr>
        <w:t>1.1‰</w:t>
      </w:r>
      <w:r>
        <w:rPr>
          <w:rFonts w:cs="Times New Roman"/>
          <w:kern w:val="0"/>
          <w:szCs w:val="24"/>
          <w:lang w:bidi="ar"/>
        </w:rPr>
        <w:t>～</w:t>
      </w:r>
      <w:r>
        <w:rPr>
          <w:rFonts w:cs="Times New Roman"/>
          <w:kern w:val="0"/>
          <w:szCs w:val="24"/>
          <w:lang w:bidi="ar"/>
        </w:rPr>
        <w:t>2.8‰</w:t>
      </w:r>
      <w:r>
        <w:rPr>
          <w:rFonts w:cs="Times New Roman"/>
          <w:kern w:val="0"/>
          <w:szCs w:val="24"/>
          <w:lang w:bidi="ar"/>
        </w:rPr>
        <w:t>，沿线穿越荒地、耕地、</w:t>
      </w:r>
      <w:r>
        <w:rPr>
          <w:rFonts w:cs="Times New Roman"/>
          <w:kern w:val="0"/>
          <w:szCs w:val="24"/>
          <w:lang w:bidi="ar"/>
        </w:rPr>
        <w:t>柯坪河</w:t>
      </w:r>
      <w:r>
        <w:rPr>
          <w:rFonts w:cs="Times New Roman"/>
          <w:kern w:val="0"/>
          <w:szCs w:val="24"/>
          <w:lang w:bidi="ar"/>
        </w:rPr>
        <w:t>，部分为已建道路</w:t>
      </w:r>
      <w:r>
        <w:rPr>
          <w:rFonts w:cs="Times New Roman"/>
          <w:kern w:val="0"/>
          <w:szCs w:val="24"/>
          <w:lang w:bidi="ar"/>
        </w:rPr>
        <w:t>。</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线路桩号</w:t>
      </w:r>
      <w:r>
        <w:rPr>
          <w:rFonts w:cs="Times New Roman"/>
          <w:kern w:val="0"/>
          <w:szCs w:val="24"/>
          <w:lang w:bidi="ar"/>
        </w:rPr>
        <w:t>K86+960</w:t>
      </w:r>
      <w:r>
        <w:rPr>
          <w:rFonts w:cs="Times New Roman"/>
          <w:kern w:val="0"/>
          <w:szCs w:val="24"/>
          <w:lang w:bidi="ar"/>
        </w:rPr>
        <w:t>～</w:t>
      </w:r>
      <w:r>
        <w:rPr>
          <w:rFonts w:cs="Times New Roman"/>
          <w:kern w:val="0"/>
          <w:szCs w:val="24"/>
          <w:lang w:bidi="ar"/>
        </w:rPr>
        <w:t>K97+000</w:t>
      </w:r>
      <w:r>
        <w:rPr>
          <w:rFonts w:cs="Times New Roman"/>
          <w:kern w:val="0"/>
          <w:szCs w:val="24"/>
          <w:lang w:bidi="ar"/>
        </w:rPr>
        <w:t>段位于柯坪山前</w:t>
      </w:r>
      <w:r>
        <w:rPr>
          <w:rFonts w:cs="Times New Roman"/>
          <w:kern w:val="0"/>
          <w:szCs w:val="24"/>
          <w:lang w:bidi="ar"/>
        </w:rPr>
        <w:t>冲洪积扇区。冲洪积扇向北倾斜，地形起伏开阔，</w:t>
      </w:r>
      <w:r>
        <w:rPr>
          <w:rFonts w:cs="Times New Roman"/>
          <w:kern w:val="0"/>
          <w:szCs w:val="24"/>
          <w:lang w:bidi="ar"/>
        </w:rPr>
        <w:t>海拔</w:t>
      </w:r>
      <w:r>
        <w:rPr>
          <w:rFonts w:cs="Times New Roman"/>
          <w:kern w:val="0"/>
          <w:szCs w:val="24"/>
          <w:lang w:bidi="ar"/>
        </w:rPr>
        <w:t>高程</w:t>
      </w:r>
      <w:r>
        <w:rPr>
          <w:rFonts w:cs="Times New Roman"/>
          <w:kern w:val="0"/>
          <w:szCs w:val="24"/>
          <w:lang w:bidi="ar"/>
        </w:rPr>
        <w:t>1100</w:t>
      </w:r>
      <w:r>
        <w:rPr>
          <w:rFonts w:cs="Times New Roman"/>
          <w:kern w:val="0"/>
          <w:szCs w:val="24"/>
          <w:lang w:bidi="ar"/>
        </w:rPr>
        <w:t>～</w:t>
      </w:r>
      <w:r>
        <w:rPr>
          <w:rFonts w:cs="Times New Roman"/>
          <w:kern w:val="0"/>
          <w:szCs w:val="24"/>
          <w:lang w:bidi="ar"/>
        </w:rPr>
        <w:t>1180m</w:t>
      </w:r>
      <w:r>
        <w:rPr>
          <w:rFonts w:cs="Times New Roman"/>
          <w:kern w:val="0"/>
          <w:szCs w:val="24"/>
          <w:lang w:bidi="ar"/>
        </w:rPr>
        <w:t>。</w:t>
      </w:r>
      <w:r>
        <w:rPr>
          <w:rFonts w:cs="Times New Roman"/>
          <w:kern w:val="0"/>
          <w:szCs w:val="24"/>
          <w:lang w:bidi="ar"/>
        </w:rPr>
        <w:t>海拔</w:t>
      </w:r>
      <w:r>
        <w:rPr>
          <w:rFonts w:cs="Times New Roman"/>
          <w:kern w:val="0"/>
          <w:szCs w:val="24"/>
          <w:lang w:bidi="ar"/>
        </w:rPr>
        <w:t>1100m</w:t>
      </w:r>
      <w:r>
        <w:rPr>
          <w:rFonts w:cs="Times New Roman"/>
          <w:kern w:val="0"/>
          <w:szCs w:val="24"/>
          <w:lang w:bidi="ar"/>
        </w:rPr>
        <w:t>～</w:t>
      </w:r>
      <w:r>
        <w:rPr>
          <w:rFonts w:cs="Times New Roman"/>
          <w:kern w:val="0"/>
          <w:szCs w:val="24"/>
          <w:lang w:bidi="ar"/>
        </w:rPr>
        <w:t>1180m</w:t>
      </w:r>
      <w:r>
        <w:rPr>
          <w:rFonts w:cs="Times New Roman"/>
          <w:kern w:val="0"/>
          <w:szCs w:val="24"/>
          <w:lang w:bidi="ar"/>
        </w:rPr>
        <w:t>，地形坡度</w:t>
      </w:r>
      <w:r>
        <w:rPr>
          <w:rFonts w:cs="Times New Roman"/>
          <w:kern w:val="0"/>
          <w:szCs w:val="24"/>
          <w:lang w:bidi="ar"/>
        </w:rPr>
        <w:t>3.0</w:t>
      </w:r>
      <w:r>
        <w:rPr>
          <w:rFonts w:cs="Times New Roman"/>
          <w:kern w:val="0"/>
          <w:szCs w:val="24"/>
          <w:lang w:bidi="ar"/>
        </w:rPr>
        <w:t>％～</w:t>
      </w:r>
      <w:r>
        <w:rPr>
          <w:rFonts w:cs="Times New Roman"/>
          <w:kern w:val="0"/>
          <w:szCs w:val="24"/>
          <w:lang w:bidi="ar"/>
        </w:rPr>
        <w:t>7.0</w:t>
      </w:r>
      <w:r>
        <w:rPr>
          <w:rFonts w:cs="Times New Roman"/>
          <w:kern w:val="0"/>
          <w:szCs w:val="24"/>
          <w:lang w:bidi="ar"/>
        </w:rPr>
        <w:t>％，沿线现状路旁侧绿化林带及若干冲沟。</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线路桩号</w:t>
      </w:r>
      <w:r>
        <w:rPr>
          <w:rFonts w:cs="Times New Roman"/>
          <w:kern w:val="0"/>
          <w:szCs w:val="24"/>
          <w:lang w:bidi="ar"/>
        </w:rPr>
        <w:t>K97+000</w:t>
      </w:r>
      <w:r>
        <w:rPr>
          <w:rFonts w:cs="Times New Roman"/>
          <w:kern w:val="0"/>
          <w:szCs w:val="24"/>
          <w:lang w:bidi="ar"/>
        </w:rPr>
        <w:t>～</w:t>
      </w:r>
      <w:r>
        <w:rPr>
          <w:rFonts w:cs="Times New Roman"/>
          <w:kern w:val="0"/>
          <w:szCs w:val="24"/>
          <w:lang w:bidi="ar"/>
        </w:rPr>
        <w:t>K107+177</w:t>
      </w:r>
      <w:r>
        <w:rPr>
          <w:rFonts w:cs="Times New Roman"/>
          <w:kern w:val="0"/>
          <w:szCs w:val="24"/>
          <w:lang w:bidi="ar"/>
        </w:rPr>
        <w:t>段位于柯坪冲洪积细粒土平原区地形平坦，局部略有起伏，海拔</w:t>
      </w:r>
      <w:r>
        <w:rPr>
          <w:rFonts w:cs="Times New Roman"/>
          <w:kern w:val="0"/>
          <w:szCs w:val="24"/>
          <w:lang w:bidi="ar"/>
        </w:rPr>
        <w:t>1100m</w:t>
      </w:r>
      <w:r>
        <w:rPr>
          <w:rFonts w:cs="Times New Roman"/>
          <w:kern w:val="0"/>
          <w:szCs w:val="24"/>
          <w:lang w:bidi="ar"/>
        </w:rPr>
        <w:t>～</w:t>
      </w:r>
      <w:r>
        <w:rPr>
          <w:rFonts w:cs="Times New Roman"/>
          <w:kern w:val="0"/>
          <w:szCs w:val="24"/>
          <w:lang w:bidi="ar"/>
        </w:rPr>
        <w:t>1150m</w:t>
      </w:r>
      <w:r>
        <w:rPr>
          <w:rFonts w:cs="Times New Roman"/>
          <w:kern w:val="0"/>
          <w:szCs w:val="24"/>
          <w:lang w:bidi="ar"/>
        </w:rPr>
        <w:t>，地形坡度约</w:t>
      </w:r>
      <w:r>
        <w:rPr>
          <w:rFonts w:cs="Times New Roman"/>
          <w:kern w:val="0"/>
          <w:szCs w:val="24"/>
          <w:lang w:bidi="ar"/>
        </w:rPr>
        <w:t>3‰</w:t>
      </w:r>
      <w:r>
        <w:rPr>
          <w:rFonts w:cs="Times New Roman"/>
          <w:kern w:val="0"/>
          <w:szCs w:val="24"/>
          <w:lang w:bidi="ar"/>
        </w:rPr>
        <w:t>，沿线穿越城区边缘、耕地、绿化带。</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6.1.3</w:t>
      </w:r>
      <w:r>
        <w:rPr>
          <w:rFonts w:cs="Times New Roman" w:hint="default"/>
          <w:sz w:val="28"/>
          <w:szCs w:val="28"/>
        </w:rPr>
        <w:t>水文地质</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6.1.3.1</w:t>
      </w:r>
      <w:r>
        <w:rPr>
          <w:rFonts w:cs="Times New Roman" w:hint="default"/>
          <w:iCs/>
        </w:rPr>
        <w:t>地表水</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⑴</w:t>
      </w:r>
      <w:r>
        <w:rPr>
          <w:rFonts w:cs="Times New Roman"/>
          <w:kern w:val="0"/>
          <w:szCs w:val="24"/>
          <w:lang w:bidi="ar"/>
        </w:rPr>
        <w:t>地表水</w:t>
      </w:r>
    </w:p>
    <w:p w:rsidR="00A46452" w:rsidRDefault="009A3928" w:rsidP="00182EED">
      <w:pPr>
        <w:wordWrap w:val="0"/>
        <w:topLinePunct/>
        <w:adjustRightInd w:val="0"/>
        <w:snapToGrid w:val="0"/>
        <w:ind w:firstLine="480"/>
        <w:jc w:val="left"/>
        <w:rPr>
          <w:rFonts w:cs="Times New Roman"/>
          <w:szCs w:val="24"/>
        </w:rPr>
      </w:pPr>
      <w:r>
        <w:rPr>
          <w:rFonts w:cs="Times New Roman"/>
          <w:kern w:val="0"/>
          <w:szCs w:val="24"/>
          <w:lang w:bidi="ar"/>
        </w:rPr>
        <w:t>拟建项目</w:t>
      </w:r>
      <w:r>
        <w:rPr>
          <w:rFonts w:cs="Times New Roman"/>
          <w:kern w:val="0"/>
          <w:szCs w:val="24"/>
          <w:lang w:bidi="ar"/>
        </w:rPr>
        <w:t>线路属塔里木盆地北缘叶尔羌河下游冲洪积平原，主要水系为喀什噶尔河和其众多的支流。</w:t>
      </w:r>
      <w:r>
        <w:rPr>
          <w:rFonts w:cs="Times New Roman"/>
          <w:snapToGrid w:val="0"/>
          <w:kern w:val="10"/>
          <w:szCs w:val="26"/>
        </w:rPr>
        <w:t>喀什噶尔河属内陆河流，</w:t>
      </w:r>
      <w:r>
        <w:rPr>
          <w:rFonts w:cs="Times New Roman"/>
          <w:snapToGrid w:val="0"/>
          <w:kern w:val="10"/>
          <w:szCs w:val="24"/>
        </w:rPr>
        <w:t>曾是塔里木河主要源流之一，由克孜河、盖孜河、库山河、恰克马克河、布谷孜河和依格孜牙河</w:t>
      </w:r>
      <w:r>
        <w:rPr>
          <w:rFonts w:cs="Times New Roman"/>
          <w:snapToGrid w:val="0"/>
          <w:kern w:val="10"/>
          <w:szCs w:val="24"/>
        </w:rPr>
        <w:t>6</w:t>
      </w:r>
      <w:r>
        <w:rPr>
          <w:rFonts w:cs="Times New Roman"/>
          <w:snapToGrid w:val="0"/>
          <w:kern w:val="10"/>
          <w:szCs w:val="24"/>
        </w:rPr>
        <w:t>条主要河流及吐曼河等诸小河组成，历史上六大水系均与喀什噶尔河干流水网贯通，但随着流域社会经济发展，对水资源的需求不断增加，</w:t>
      </w:r>
      <w:r>
        <w:rPr>
          <w:rFonts w:cs="Times New Roman"/>
          <w:szCs w:val="24"/>
        </w:rPr>
        <w:t>大量水量在出山口以后被引入灌区，流域水资源</w:t>
      </w:r>
      <w:r>
        <w:rPr>
          <w:rFonts w:cs="Times New Roman"/>
          <w:snapToGrid w:val="0"/>
          <w:kern w:val="10"/>
          <w:szCs w:val="24"/>
        </w:rPr>
        <w:t>的开发利用长期处于无序</w:t>
      </w:r>
      <w:r>
        <w:rPr>
          <w:rFonts w:cs="Times New Roman"/>
          <w:szCs w:val="24"/>
        </w:rPr>
        <w:t>开发状态，至清朝末年喀什噶尔河干流与塔里木河失去地表水水力联系，</w:t>
      </w:r>
      <w:r>
        <w:rPr>
          <w:rFonts w:cs="Times New Roman"/>
          <w:szCs w:val="24"/>
        </w:rPr>
        <w:t>20</w:t>
      </w:r>
      <w:r>
        <w:rPr>
          <w:rFonts w:cs="Times New Roman"/>
          <w:szCs w:val="24"/>
        </w:rPr>
        <w:t>世纪</w:t>
      </w:r>
      <w:r>
        <w:rPr>
          <w:rFonts w:cs="Times New Roman"/>
          <w:szCs w:val="24"/>
        </w:rPr>
        <w:t>60</w:t>
      </w:r>
      <w:r>
        <w:rPr>
          <w:rFonts w:cs="Times New Roman"/>
          <w:szCs w:val="24"/>
        </w:rPr>
        <w:t>年代以后</w:t>
      </w:r>
      <w:r>
        <w:rPr>
          <w:rFonts w:cs="Times New Roman"/>
          <w:snapToGrid w:val="0"/>
          <w:kern w:val="10"/>
          <w:szCs w:val="24"/>
        </w:rPr>
        <w:t>，除克孜河有水下泄至喀什噶尔河以外，其他河流下游河段均存在不同程度的断流现象，</w:t>
      </w:r>
      <w:r>
        <w:rPr>
          <w:rFonts w:cs="Times New Roman"/>
          <w:szCs w:val="24"/>
        </w:rPr>
        <w:t>原汇水河道已成为农田或洼地，失去与喀什噶尔河的地表水水力联系，各自逐步演变成独</w:t>
      </w:r>
      <w:r>
        <w:rPr>
          <w:rFonts w:cs="Times New Roman"/>
          <w:szCs w:val="24"/>
        </w:rPr>
        <w:t>立水系。</w:t>
      </w:r>
    </w:p>
    <w:p w:rsidR="00A46452" w:rsidRDefault="009A3928">
      <w:pPr>
        <w:pStyle w:val="22"/>
        <w:wordWrap w:val="0"/>
        <w:topLinePunct/>
        <w:adjustRightInd w:val="0"/>
        <w:snapToGrid w:val="0"/>
        <w:ind w:leftChars="0" w:left="0" w:firstLineChars="0" w:firstLine="0"/>
        <w:rPr>
          <w:rFonts w:cs="Times New Roman" w:hint="default"/>
          <w:sz w:val="24"/>
        </w:rPr>
      </w:pPr>
      <w:r>
        <w:rPr>
          <w:rFonts w:cs="Times New Roman" w:hint="default"/>
          <w:sz w:val="24"/>
        </w:rPr>
        <w:t>拟建项目在</w:t>
      </w:r>
      <w:r>
        <w:rPr>
          <w:rFonts w:cs="Times New Roman" w:hint="default"/>
          <w:sz w:val="24"/>
        </w:rPr>
        <w:t>K</w:t>
      </w:r>
      <w:r>
        <w:rPr>
          <w:rFonts w:cs="Times New Roman" w:hint="default"/>
          <w:sz w:val="24"/>
        </w:rPr>
        <w:t>28</w:t>
      </w:r>
      <w:r>
        <w:rPr>
          <w:rFonts w:cs="Times New Roman" w:hint="default"/>
          <w:sz w:val="24"/>
        </w:rPr>
        <w:t>+</w:t>
      </w:r>
      <w:r>
        <w:rPr>
          <w:rFonts w:cs="Times New Roman" w:hint="default"/>
          <w:sz w:val="24"/>
        </w:rPr>
        <w:t>20.88</w:t>
      </w:r>
      <w:r>
        <w:rPr>
          <w:rFonts w:cs="Times New Roman" w:hint="default"/>
          <w:sz w:val="24"/>
        </w:rPr>
        <w:t>、</w:t>
      </w:r>
      <w:r>
        <w:rPr>
          <w:rFonts w:cs="Times New Roman" w:hint="default"/>
          <w:sz w:val="24"/>
        </w:rPr>
        <w:t>K</w:t>
      </w:r>
      <w:r>
        <w:rPr>
          <w:rFonts w:cs="Times New Roman" w:hint="default"/>
          <w:sz w:val="24"/>
        </w:rPr>
        <w:t>30</w:t>
      </w:r>
      <w:r>
        <w:rPr>
          <w:rFonts w:cs="Times New Roman" w:hint="default"/>
          <w:sz w:val="24"/>
        </w:rPr>
        <w:t>+</w:t>
      </w:r>
      <w:r>
        <w:rPr>
          <w:rFonts w:cs="Times New Roman" w:hint="default"/>
          <w:sz w:val="24"/>
        </w:rPr>
        <w:t>522.500</w:t>
      </w:r>
      <w:r>
        <w:rPr>
          <w:rFonts w:cs="Times New Roman" w:hint="default"/>
          <w:sz w:val="24"/>
        </w:rPr>
        <w:t>跨越喀什噶尔河</w:t>
      </w:r>
      <w:r>
        <w:rPr>
          <w:rFonts w:cs="Times New Roman" w:hint="default"/>
          <w:sz w:val="24"/>
        </w:rPr>
        <w:t>。</w:t>
      </w:r>
      <w:r>
        <w:rPr>
          <w:rFonts w:cs="Times New Roman" w:hint="default"/>
          <w:sz w:val="24"/>
        </w:rPr>
        <w:t>经现场调查，跨越河段河道干涸。</w:t>
      </w:r>
    </w:p>
    <w:p w:rsidR="00A46452" w:rsidRDefault="009A3928">
      <w:pPr>
        <w:pStyle w:val="22"/>
        <w:wordWrap w:val="0"/>
        <w:topLinePunct/>
        <w:adjustRightInd w:val="0"/>
        <w:snapToGrid w:val="0"/>
        <w:ind w:leftChars="0" w:left="0" w:firstLineChars="200" w:firstLine="480"/>
        <w:rPr>
          <w:rFonts w:cs="Times New Roman" w:hint="default"/>
          <w:sz w:val="24"/>
        </w:rPr>
      </w:pPr>
      <w:r>
        <w:rPr>
          <w:rFonts w:cs="Times New Roman" w:hint="default"/>
          <w:sz w:val="24"/>
        </w:rPr>
        <w:t>突来买提河</w:t>
      </w:r>
      <w:r>
        <w:rPr>
          <w:rFonts w:cs="Times New Roman" w:hint="default"/>
          <w:sz w:val="24"/>
        </w:rPr>
        <w:t>的</w:t>
      </w:r>
      <w:r>
        <w:rPr>
          <w:rFonts w:cs="Times New Roman" w:hint="default"/>
          <w:sz w:val="24"/>
        </w:rPr>
        <w:t>水源为</w:t>
      </w:r>
      <w:r>
        <w:rPr>
          <w:rFonts w:cs="Times New Roman" w:hint="default"/>
          <w:sz w:val="24"/>
        </w:rPr>
        <w:t>第三师图木舒克市</w:t>
      </w:r>
      <w:r>
        <w:rPr>
          <w:rFonts w:cs="Times New Roman" w:hint="default"/>
          <w:sz w:val="24"/>
        </w:rPr>
        <w:t>永安坝水库，突来买提河从市区南北自西向东流过，平时是天然的排碱渠，也是永安坝水库库外下渗水的排泄通道，洪水期特大洪水时则是永安坝水库的泄洪道。泄洪时河道最大过水流量突来买提河为</w:t>
      </w:r>
      <w:r>
        <w:rPr>
          <w:rFonts w:cs="Times New Roman" w:hint="default"/>
          <w:sz w:val="24"/>
        </w:rPr>
        <w:t>85m</w:t>
      </w:r>
      <w:r>
        <w:rPr>
          <w:rFonts w:cs="Times New Roman" w:hint="default"/>
          <w:sz w:val="24"/>
          <w:vertAlign w:val="superscript"/>
        </w:rPr>
        <w:t>3</w:t>
      </w:r>
      <w:r>
        <w:rPr>
          <w:rFonts w:cs="Times New Roman" w:hint="default"/>
          <w:sz w:val="24"/>
        </w:rPr>
        <w:t>/s</w:t>
      </w:r>
      <w:r>
        <w:rPr>
          <w:rFonts w:cs="Times New Roman" w:hint="default"/>
          <w:sz w:val="24"/>
        </w:rPr>
        <w:t>，平时很小，不到</w:t>
      </w:r>
      <w:r>
        <w:rPr>
          <w:rFonts w:cs="Times New Roman" w:hint="default"/>
          <w:sz w:val="24"/>
        </w:rPr>
        <w:t>1m</w:t>
      </w:r>
      <w:r>
        <w:rPr>
          <w:rFonts w:cs="Times New Roman" w:hint="default"/>
          <w:sz w:val="24"/>
          <w:vertAlign w:val="superscript"/>
        </w:rPr>
        <w:t>3</w:t>
      </w:r>
      <w:r>
        <w:rPr>
          <w:rFonts w:cs="Times New Roman" w:hint="default"/>
          <w:sz w:val="24"/>
        </w:rPr>
        <w:t>/s</w:t>
      </w:r>
      <w:r>
        <w:rPr>
          <w:rFonts w:cs="Times New Roman" w:hint="default"/>
          <w:sz w:val="24"/>
        </w:rPr>
        <w:t>。正常年枯水期</w:t>
      </w:r>
      <w:r>
        <w:rPr>
          <w:rFonts w:cs="Times New Roman" w:hint="default"/>
          <w:sz w:val="24"/>
        </w:rPr>
        <w:t>10</w:t>
      </w:r>
      <w:r>
        <w:rPr>
          <w:rFonts w:cs="Times New Roman" w:hint="default"/>
          <w:sz w:val="24"/>
        </w:rPr>
        <w:t>个月，一般年份使用</w:t>
      </w:r>
      <w:r>
        <w:rPr>
          <w:rFonts w:cs="Times New Roman" w:hint="default"/>
          <w:sz w:val="24"/>
        </w:rPr>
        <w:t>1</w:t>
      </w:r>
      <w:r>
        <w:rPr>
          <w:rFonts w:cs="Times New Roman" w:hint="default"/>
          <w:sz w:val="24"/>
        </w:rPr>
        <w:t>—</w:t>
      </w:r>
      <w:r>
        <w:rPr>
          <w:rFonts w:cs="Times New Roman" w:hint="default"/>
          <w:sz w:val="24"/>
        </w:rPr>
        <w:t>2</w:t>
      </w:r>
      <w:r>
        <w:rPr>
          <w:rFonts w:cs="Times New Roman" w:hint="default"/>
          <w:sz w:val="24"/>
        </w:rPr>
        <w:t>个月。该河源于永安坝水库泄洪闸，东西走向，经永安坝镇、</w:t>
      </w:r>
      <w:r>
        <w:rPr>
          <w:rFonts w:cs="Times New Roman" w:hint="default"/>
          <w:sz w:val="24"/>
        </w:rPr>
        <w:t>44</w:t>
      </w:r>
      <w:r>
        <w:rPr>
          <w:rFonts w:cs="Times New Roman" w:hint="default"/>
          <w:sz w:val="24"/>
        </w:rPr>
        <w:t>团、</w:t>
      </w:r>
      <w:r>
        <w:rPr>
          <w:rFonts w:cs="Times New Roman" w:hint="default"/>
          <w:sz w:val="24"/>
        </w:rPr>
        <w:t>52</w:t>
      </w:r>
      <w:r>
        <w:rPr>
          <w:rFonts w:cs="Times New Roman" w:hint="default"/>
          <w:sz w:val="24"/>
        </w:rPr>
        <w:t>团、</w:t>
      </w:r>
      <w:r>
        <w:rPr>
          <w:rFonts w:cs="Times New Roman" w:hint="default"/>
          <w:sz w:val="24"/>
        </w:rPr>
        <w:t>50</w:t>
      </w:r>
      <w:r>
        <w:rPr>
          <w:rFonts w:cs="Times New Roman" w:hint="default"/>
          <w:sz w:val="24"/>
        </w:rPr>
        <w:t>团、夏可海林场，最后注入叶尔羌河，全长</w:t>
      </w:r>
      <w:r>
        <w:rPr>
          <w:rFonts w:cs="Times New Roman" w:hint="default"/>
          <w:sz w:val="24"/>
        </w:rPr>
        <w:t>70km</w:t>
      </w:r>
      <w:r>
        <w:rPr>
          <w:rFonts w:cs="Times New Roman" w:hint="default"/>
          <w:sz w:val="24"/>
        </w:rPr>
        <w:t>。突来买提河水由于水质较差，矿化度及总硬度高，不宜饮用，只供沿途作为农业补充水源被引用。</w:t>
      </w:r>
      <w:r>
        <w:rPr>
          <w:rFonts w:cs="Times New Roman" w:hint="default"/>
          <w:sz w:val="24"/>
        </w:rPr>
        <w:t>K22+482.000</w:t>
      </w:r>
      <w:r>
        <w:rPr>
          <w:rFonts w:cs="Times New Roman" w:hint="default"/>
          <w:sz w:val="24"/>
        </w:rPr>
        <w:t>跨越突来买提河，经现场调查，</w:t>
      </w:r>
      <w:r>
        <w:rPr>
          <w:rFonts w:cs="Times New Roman" w:hint="default"/>
          <w:sz w:val="24"/>
        </w:rPr>
        <w:t>跨越河段河道干涸。</w:t>
      </w:r>
    </w:p>
    <w:p w:rsidR="00A46452" w:rsidRDefault="009A3928">
      <w:pPr>
        <w:pStyle w:val="22"/>
        <w:wordWrap w:val="0"/>
        <w:topLinePunct/>
        <w:adjustRightInd w:val="0"/>
        <w:snapToGrid w:val="0"/>
        <w:ind w:leftChars="0" w:left="0" w:firstLineChars="200" w:firstLine="480"/>
        <w:rPr>
          <w:rFonts w:cs="Times New Roman" w:hint="default"/>
          <w:sz w:val="24"/>
        </w:rPr>
      </w:pPr>
      <w:r>
        <w:rPr>
          <w:rFonts w:cs="Times New Roman" w:hint="default"/>
          <w:sz w:val="24"/>
        </w:rPr>
        <w:t>柯坪河流域位于新疆天山西部的柯尔塔格山南麓，由泉水及暴雨汇集形成径流，是柯坪县最大的河流，同时是盖孜力克乡、玉尔其乡的主要供给水源；柯坪河上游名为苏巴什河</w:t>
      </w:r>
      <w:r>
        <w:rPr>
          <w:rFonts w:cs="Times New Roman" w:hint="default"/>
          <w:sz w:val="24"/>
        </w:rPr>
        <w:t></w:t>
      </w:r>
      <w:r>
        <w:rPr>
          <w:rFonts w:cs="Times New Roman" w:hint="default"/>
          <w:sz w:val="24"/>
        </w:rPr>
        <w:t>下游与红沙河汇合后称阿恰河．盆地与山前平原由柯坪河串起，水资源沿途不断汇入，</w:t>
      </w:r>
      <w:r>
        <w:rPr>
          <w:rFonts w:cs="Times New Roman" w:hint="default"/>
          <w:sz w:val="24"/>
        </w:rPr>
        <w:t>并在不同河段有反复出露入渗．流域内无高山冰川中山区降水是水资源的唯一来源。拟建项目</w:t>
      </w:r>
      <w:r>
        <w:rPr>
          <w:rFonts w:cs="Times New Roman" w:hint="default"/>
          <w:sz w:val="24"/>
        </w:rPr>
        <w:t>K84+800.00</w:t>
      </w:r>
      <w:r>
        <w:rPr>
          <w:rFonts w:cs="Times New Roman" w:hint="default"/>
          <w:sz w:val="24"/>
        </w:rPr>
        <w:t>、</w:t>
      </w:r>
      <w:r>
        <w:rPr>
          <w:rFonts w:cs="Times New Roman" w:hint="default"/>
          <w:sz w:val="24"/>
        </w:rPr>
        <w:t>K89+329.800</w:t>
      </w:r>
      <w:r>
        <w:rPr>
          <w:rFonts w:cs="Times New Roman" w:hint="default"/>
          <w:sz w:val="24"/>
        </w:rPr>
        <w:t>、</w:t>
      </w:r>
      <w:r>
        <w:rPr>
          <w:rFonts w:cs="Times New Roman" w:hint="default"/>
          <w:sz w:val="24"/>
        </w:rPr>
        <w:t>K90+066.000</w:t>
      </w:r>
      <w:r>
        <w:rPr>
          <w:rFonts w:cs="Times New Roman" w:hint="default"/>
          <w:sz w:val="24"/>
        </w:rPr>
        <w:t>、</w:t>
      </w:r>
      <w:r>
        <w:rPr>
          <w:rFonts w:cs="Times New Roman" w:hint="default"/>
          <w:sz w:val="24"/>
        </w:rPr>
        <w:t>K100+343.80</w:t>
      </w:r>
      <w:r>
        <w:rPr>
          <w:rFonts w:cs="Times New Roman" w:hint="default"/>
          <w:sz w:val="24"/>
        </w:rPr>
        <w:t>跨越柯坪河，跨越河段河道干涸。</w:t>
      </w:r>
    </w:p>
    <w:p w:rsidR="00A46452" w:rsidRDefault="009A3928">
      <w:pPr>
        <w:pStyle w:val="22"/>
        <w:wordWrap w:val="0"/>
        <w:topLinePunct/>
        <w:adjustRightInd w:val="0"/>
        <w:snapToGrid w:val="0"/>
        <w:ind w:leftChars="0" w:left="0" w:firstLineChars="200" w:firstLine="480"/>
        <w:rPr>
          <w:rFonts w:cs="Times New Roman" w:hint="default"/>
          <w:sz w:val="24"/>
        </w:rPr>
      </w:pPr>
      <w:r>
        <w:rPr>
          <w:rFonts w:cs="Times New Roman" w:hint="default"/>
          <w:sz w:val="24"/>
        </w:rPr>
        <w:t>苏贝希沟</w:t>
      </w:r>
      <w:r>
        <w:rPr>
          <w:rFonts w:cs="Times New Roman" w:hint="default"/>
          <w:sz w:val="24"/>
        </w:rPr>
        <w:t>-</w:t>
      </w:r>
      <w:r>
        <w:rPr>
          <w:rFonts w:cs="Times New Roman" w:hint="default"/>
          <w:sz w:val="24"/>
        </w:rPr>
        <w:t>加依洛萨依河本地人称柯坪河，是柯坪河的支流。拟建项目</w:t>
      </w:r>
      <w:r>
        <w:rPr>
          <w:rFonts w:cs="Times New Roman" w:hint="default"/>
          <w:sz w:val="24"/>
        </w:rPr>
        <w:t>K81+114.000</w:t>
      </w:r>
      <w:r>
        <w:rPr>
          <w:rFonts w:cs="Times New Roman" w:hint="default"/>
          <w:sz w:val="24"/>
        </w:rPr>
        <w:t>、</w:t>
      </w:r>
      <w:r>
        <w:rPr>
          <w:rFonts w:cs="Times New Roman" w:hint="default"/>
          <w:sz w:val="24"/>
        </w:rPr>
        <w:t>K85+032.000</w:t>
      </w:r>
      <w:r>
        <w:rPr>
          <w:rFonts w:cs="Times New Roman" w:hint="default"/>
          <w:sz w:val="24"/>
        </w:rPr>
        <w:t>跨越苏贝希沟</w:t>
      </w:r>
      <w:r>
        <w:rPr>
          <w:rFonts w:cs="Times New Roman" w:hint="default"/>
          <w:sz w:val="24"/>
        </w:rPr>
        <w:t>-</w:t>
      </w:r>
      <w:r>
        <w:rPr>
          <w:rFonts w:cs="Times New Roman" w:hint="default"/>
          <w:sz w:val="24"/>
        </w:rPr>
        <w:t>加依洛萨依河。评价区水系图见图</w:t>
      </w:r>
      <w:r>
        <w:rPr>
          <w:rFonts w:cs="Times New Roman"/>
          <w:sz w:val="24"/>
        </w:rPr>
        <w:t>6.</w:t>
      </w:r>
      <w:r>
        <w:rPr>
          <w:rFonts w:cs="Times New Roman" w:hint="default"/>
          <w:sz w:val="24"/>
        </w:rPr>
        <w:t>1-</w:t>
      </w:r>
      <w:r>
        <w:rPr>
          <w:rFonts w:cs="Times New Roman"/>
          <w:sz w:val="24"/>
        </w:rPr>
        <w:t>1</w:t>
      </w:r>
      <w:r>
        <w:rPr>
          <w:rFonts w:cs="Times New Roman" w:hint="default"/>
          <w:sz w:val="24"/>
        </w:rPr>
        <w:t>。</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6.1.3.2</w:t>
      </w:r>
      <w:r>
        <w:rPr>
          <w:rFonts w:cs="Times New Roman" w:hint="default"/>
          <w:iCs/>
        </w:rPr>
        <w:t>地下水</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项目</w:t>
      </w:r>
      <w:r>
        <w:rPr>
          <w:rFonts w:cs="Times New Roman"/>
          <w:kern w:val="0"/>
          <w:szCs w:val="24"/>
          <w:lang w:bidi="ar"/>
        </w:rPr>
        <w:t>区</w:t>
      </w:r>
      <w:r>
        <w:rPr>
          <w:rFonts w:cs="Times New Roman"/>
          <w:kern w:val="0"/>
          <w:szCs w:val="24"/>
          <w:lang w:bidi="ar"/>
        </w:rPr>
        <w:t>位于低山坡积裙与冲积平原接触带，巴楚隆起弧形山区域北部边缘，地下水总体上富水性较差，分布不均匀，属第四系松散堆积孔隙潜水。潜水水位埋深一般大于</w:t>
      </w:r>
      <w:r>
        <w:rPr>
          <w:rFonts w:cs="Times New Roman"/>
          <w:kern w:val="0"/>
          <w:szCs w:val="24"/>
          <w:lang w:bidi="ar"/>
        </w:rPr>
        <w:t>5.0m</w:t>
      </w:r>
      <w:r>
        <w:rPr>
          <w:rFonts w:cs="Times New Roman"/>
          <w:kern w:val="0"/>
          <w:szCs w:val="24"/>
          <w:lang w:bidi="ar"/>
        </w:rPr>
        <w:t>，受补给影响地下水位年变幅为</w:t>
      </w:r>
      <w:r>
        <w:rPr>
          <w:rFonts w:cs="Times New Roman"/>
          <w:kern w:val="0"/>
          <w:szCs w:val="24"/>
          <w:lang w:bidi="ar"/>
        </w:rPr>
        <w:t>0.5m</w:t>
      </w:r>
      <w:r>
        <w:rPr>
          <w:rFonts w:cs="Times New Roman"/>
          <w:kern w:val="0"/>
          <w:szCs w:val="24"/>
          <w:lang w:bidi="ar"/>
        </w:rPr>
        <w:t>~</w:t>
      </w:r>
      <w:r>
        <w:rPr>
          <w:rFonts w:cs="Times New Roman"/>
          <w:kern w:val="0"/>
          <w:szCs w:val="24"/>
          <w:lang w:bidi="ar"/>
        </w:rPr>
        <w:t>1.0m</w:t>
      </w:r>
      <w:r>
        <w:rPr>
          <w:rFonts w:cs="Times New Roman"/>
          <w:kern w:val="0"/>
          <w:szCs w:val="24"/>
          <w:lang w:bidi="ar"/>
        </w:rPr>
        <w:t>。</w:t>
      </w:r>
      <w:r>
        <w:rPr>
          <w:rFonts w:cs="Times New Roman"/>
          <w:kern w:val="0"/>
          <w:szCs w:val="24"/>
          <w:lang w:bidi="ar"/>
        </w:rPr>
        <w:t>拟建项目</w:t>
      </w:r>
      <w:r>
        <w:rPr>
          <w:rFonts w:cs="Times New Roman"/>
          <w:kern w:val="0"/>
          <w:szCs w:val="24"/>
          <w:lang w:bidi="ar"/>
        </w:rPr>
        <w:t>地处叶尔羌河中下游冲洪积细土平原区，含水层为粉砂。地下水以上为第四系孔隙潜水，赋存于冲洪积粉砂层孔隙之中，流速由南西向北东逐渐减小，河流、洪流及渠系田间渗漏是山前平原地下水的主要补给来源，另外在灌区也少量接受田间灌溉水的入渗补给。大致从洪积砾质平原的中部至冲洪积平原的前缘，为地下水的径流</w:t>
      </w:r>
      <w:r>
        <w:rPr>
          <w:rFonts w:cs="Times New Roman"/>
          <w:kern w:val="0"/>
          <w:szCs w:val="24"/>
          <w:lang w:bidi="ar"/>
        </w:rPr>
        <w:t>-</w:t>
      </w:r>
      <w:r>
        <w:rPr>
          <w:rFonts w:cs="Times New Roman"/>
          <w:kern w:val="0"/>
          <w:szCs w:val="24"/>
          <w:lang w:bidi="ar"/>
        </w:rPr>
        <w:t>排泄区。地下水由</w:t>
      </w:r>
      <w:r>
        <w:rPr>
          <w:rFonts w:cs="Times New Roman"/>
          <w:kern w:val="0"/>
          <w:szCs w:val="24"/>
          <w:lang w:bidi="ar"/>
        </w:rPr>
        <w:t>山前向盆地中心运动，随着含水层颗粒变细，地下水运动随之变慢。从冲洪积平原至沙漠边缘为地下水的排泄区，地下水运动更加缓慢，由于地形坡度变缓，含水层岩性变细，地下水蒸发和植物蒸发蒸腾排泄为主要排泄方式；同时地下水以泉水形式溢出也是排泄方式之一。平原区地下水水质，亦呈现有规律的变化。由山前向盆地中心，水化学类型以硫酸盐型水为主，逐渐过渡为氯化物型水为主。矿化度由小于</w:t>
      </w:r>
      <w:r>
        <w:rPr>
          <w:rFonts w:cs="Times New Roman"/>
          <w:kern w:val="0"/>
          <w:szCs w:val="24"/>
          <w:lang w:bidi="ar"/>
        </w:rPr>
        <w:t>1g/L</w:t>
      </w:r>
      <w:r>
        <w:rPr>
          <w:rFonts w:cs="Times New Roman"/>
          <w:kern w:val="0"/>
          <w:szCs w:val="24"/>
          <w:lang w:bidi="ar"/>
        </w:rPr>
        <w:t>或</w:t>
      </w:r>
      <w:r>
        <w:rPr>
          <w:rFonts w:cs="Times New Roman"/>
          <w:kern w:val="0"/>
          <w:szCs w:val="24"/>
          <w:lang w:bidi="ar"/>
        </w:rPr>
        <w:t>1</w:t>
      </w:r>
      <w:r>
        <w:rPr>
          <w:rFonts w:cs="Times New Roman"/>
          <w:kern w:val="0"/>
          <w:szCs w:val="24"/>
          <w:lang w:bidi="ar"/>
        </w:rPr>
        <w:t>～</w:t>
      </w:r>
      <w:r>
        <w:rPr>
          <w:rFonts w:cs="Times New Roman"/>
          <w:kern w:val="0"/>
          <w:szCs w:val="24"/>
          <w:lang w:bidi="ar"/>
        </w:rPr>
        <w:t>3g/L</w:t>
      </w:r>
      <w:r>
        <w:rPr>
          <w:rFonts w:cs="Times New Roman"/>
          <w:kern w:val="0"/>
          <w:szCs w:val="24"/>
          <w:lang w:bidi="ar"/>
        </w:rPr>
        <w:t>，逐渐过渡为</w:t>
      </w:r>
      <w:r>
        <w:rPr>
          <w:rFonts w:cs="Times New Roman"/>
          <w:kern w:val="0"/>
          <w:szCs w:val="24"/>
          <w:lang w:bidi="ar"/>
        </w:rPr>
        <w:t>3</w:t>
      </w:r>
      <w:r>
        <w:rPr>
          <w:rFonts w:cs="Times New Roman"/>
          <w:kern w:val="0"/>
          <w:szCs w:val="24"/>
          <w:lang w:bidi="ar"/>
        </w:rPr>
        <w:t>～</w:t>
      </w:r>
      <w:r>
        <w:rPr>
          <w:rFonts w:cs="Times New Roman"/>
          <w:kern w:val="0"/>
          <w:szCs w:val="24"/>
          <w:lang w:bidi="ar"/>
        </w:rPr>
        <w:t>5g/L</w:t>
      </w:r>
      <w:r>
        <w:rPr>
          <w:rFonts w:cs="Times New Roman"/>
          <w:kern w:val="0"/>
          <w:szCs w:val="24"/>
          <w:lang w:bidi="ar"/>
        </w:rPr>
        <w:t>，直至大于</w:t>
      </w:r>
      <w:r>
        <w:rPr>
          <w:rFonts w:cs="Times New Roman"/>
          <w:kern w:val="0"/>
          <w:szCs w:val="24"/>
          <w:lang w:bidi="ar"/>
        </w:rPr>
        <w:t>10g/L</w:t>
      </w:r>
      <w:r>
        <w:rPr>
          <w:rFonts w:cs="Times New Roman"/>
          <w:kern w:val="0"/>
          <w:szCs w:val="24"/>
          <w:lang w:bidi="ar"/>
        </w:rPr>
        <w:t>。</w:t>
      </w:r>
      <w:r>
        <w:rPr>
          <w:rFonts w:cs="Times New Roman"/>
          <w:kern w:val="0"/>
          <w:szCs w:val="24"/>
          <w:lang w:bidi="ar"/>
        </w:rPr>
        <w:t>项目</w:t>
      </w:r>
      <w:r>
        <w:rPr>
          <w:rFonts w:cs="Times New Roman"/>
          <w:kern w:val="0"/>
          <w:szCs w:val="24"/>
          <w:lang w:bidi="ar"/>
        </w:rPr>
        <w:t>区</w:t>
      </w:r>
      <w:r>
        <w:rPr>
          <w:rFonts w:cs="Times New Roman"/>
          <w:kern w:val="0"/>
          <w:szCs w:val="24"/>
          <w:lang w:bidi="ar"/>
        </w:rPr>
        <w:t>K0+000</w:t>
      </w:r>
      <w:r>
        <w:rPr>
          <w:rFonts w:cs="Times New Roman"/>
          <w:kern w:val="0"/>
          <w:szCs w:val="24"/>
          <w:lang w:bidi="ar"/>
        </w:rPr>
        <w:t>～</w:t>
      </w:r>
      <w:r>
        <w:rPr>
          <w:rFonts w:cs="Times New Roman"/>
          <w:kern w:val="0"/>
          <w:szCs w:val="24"/>
          <w:lang w:bidi="ar"/>
        </w:rPr>
        <w:t>K61+300</w:t>
      </w:r>
      <w:r>
        <w:rPr>
          <w:rFonts w:cs="Times New Roman"/>
          <w:kern w:val="0"/>
          <w:szCs w:val="24"/>
          <w:lang w:bidi="ar"/>
        </w:rPr>
        <w:t>段内地下水埋深多为</w:t>
      </w:r>
      <w:r>
        <w:rPr>
          <w:rFonts w:cs="Times New Roman"/>
          <w:kern w:val="0"/>
          <w:szCs w:val="24"/>
          <w:lang w:bidi="ar"/>
        </w:rPr>
        <w:t>6.0</w:t>
      </w:r>
      <w:r>
        <w:rPr>
          <w:rFonts w:cs="Times New Roman"/>
          <w:kern w:val="0"/>
          <w:szCs w:val="24"/>
          <w:lang w:bidi="ar"/>
        </w:rPr>
        <w:t>～</w:t>
      </w:r>
      <w:r>
        <w:rPr>
          <w:rFonts w:cs="Times New Roman"/>
          <w:kern w:val="0"/>
          <w:szCs w:val="24"/>
          <w:lang w:bidi="ar"/>
        </w:rPr>
        <w:t>10.0m</w:t>
      </w:r>
      <w:r>
        <w:rPr>
          <w:rFonts w:cs="Times New Roman"/>
          <w:kern w:val="0"/>
          <w:szCs w:val="24"/>
          <w:lang w:bidi="ar"/>
        </w:rPr>
        <w:t>，年变幅</w:t>
      </w:r>
      <w:r>
        <w:rPr>
          <w:rFonts w:cs="Times New Roman"/>
          <w:kern w:val="0"/>
          <w:szCs w:val="24"/>
          <w:lang w:bidi="ar"/>
        </w:rPr>
        <w:t>1.</w:t>
      </w:r>
      <w:r>
        <w:rPr>
          <w:rFonts w:cs="Times New Roman"/>
          <w:kern w:val="0"/>
          <w:szCs w:val="24"/>
          <w:lang w:bidi="ar"/>
        </w:rPr>
        <w:t>0m</w:t>
      </w:r>
      <w:r>
        <w:rPr>
          <w:rFonts w:cs="Times New Roman"/>
          <w:kern w:val="0"/>
          <w:szCs w:val="24"/>
          <w:lang w:bidi="ar"/>
        </w:rPr>
        <w:t>左右。</w:t>
      </w:r>
      <w:r>
        <w:rPr>
          <w:rFonts w:cs="Times New Roman"/>
          <w:kern w:val="0"/>
          <w:szCs w:val="24"/>
          <w:lang w:bidi="ar"/>
        </w:rPr>
        <w:t>K61+300</w:t>
      </w:r>
      <w:r>
        <w:rPr>
          <w:rFonts w:cs="Times New Roman"/>
          <w:kern w:val="0"/>
          <w:szCs w:val="24"/>
          <w:lang w:bidi="ar"/>
        </w:rPr>
        <w:t>～</w:t>
      </w:r>
      <w:r>
        <w:rPr>
          <w:rFonts w:cs="Times New Roman"/>
          <w:kern w:val="0"/>
          <w:szCs w:val="24"/>
          <w:lang w:bidi="ar"/>
        </w:rPr>
        <w:t>K107+177</w:t>
      </w:r>
      <w:r>
        <w:rPr>
          <w:rFonts w:cs="Times New Roman"/>
          <w:kern w:val="0"/>
          <w:szCs w:val="24"/>
          <w:lang w:bidi="ar"/>
        </w:rPr>
        <w:t>段地下水埋深多为</w:t>
      </w:r>
      <w:r>
        <w:rPr>
          <w:rFonts w:cs="Times New Roman"/>
          <w:kern w:val="0"/>
          <w:szCs w:val="24"/>
          <w:lang w:bidi="ar"/>
        </w:rPr>
        <w:t>6.0</w:t>
      </w:r>
      <w:r>
        <w:rPr>
          <w:rFonts w:cs="Times New Roman"/>
          <w:kern w:val="0"/>
          <w:szCs w:val="24"/>
          <w:lang w:bidi="ar"/>
        </w:rPr>
        <w:t>～</w:t>
      </w:r>
      <w:r>
        <w:rPr>
          <w:rFonts w:cs="Times New Roman"/>
          <w:kern w:val="0"/>
          <w:szCs w:val="24"/>
          <w:lang w:bidi="ar"/>
        </w:rPr>
        <w:t>20.0m</w:t>
      </w:r>
      <w:r>
        <w:rPr>
          <w:rFonts w:cs="Times New Roman"/>
          <w:kern w:val="0"/>
          <w:szCs w:val="24"/>
          <w:lang w:bidi="ar"/>
        </w:rPr>
        <w:t>，年变幅</w:t>
      </w:r>
      <w:r>
        <w:rPr>
          <w:rFonts w:cs="Times New Roman"/>
          <w:kern w:val="0"/>
          <w:szCs w:val="24"/>
          <w:lang w:bidi="ar"/>
        </w:rPr>
        <w:t>1.0m</w:t>
      </w:r>
      <w:r>
        <w:rPr>
          <w:rFonts w:cs="Times New Roman"/>
          <w:kern w:val="0"/>
          <w:szCs w:val="24"/>
          <w:lang w:bidi="ar"/>
        </w:rPr>
        <w:t>左右。</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6.1.4</w:t>
      </w:r>
      <w:r>
        <w:rPr>
          <w:rFonts w:cs="Times New Roman" w:hint="default"/>
          <w:sz w:val="28"/>
          <w:szCs w:val="28"/>
        </w:rPr>
        <w:t>气候与气象</w:t>
      </w:r>
    </w:p>
    <w:p w:rsidR="00A46452" w:rsidRDefault="009A3928" w:rsidP="00182EED">
      <w:pPr>
        <w:wordWrap w:val="0"/>
        <w:topLinePunct/>
        <w:adjustRightInd w:val="0"/>
        <w:snapToGrid w:val="0"/>
        <w:ind w:firstLine="480"/>
        <w:rPr>
          <w:rFonts w:cs="Times New Roman"/>
        </w:rPr>
      </w:pPr>
      <w:r>
        <w:rPr>
          <w:rFonts w:cs="Times New Roman"/>
          <w:kern w:val="0"/>
          <w:szCs w:val="24"/>
          <w:lang w:bidi="ar"/>
        </w:rPr>
        <w:t>项目区属温带极端干旱的荒漠气候，具有干旱少雨、光照充足，热量丰富，降水稀少、蒸发强烈、无霜期长和昼夜温差较大的特点。全区年平均气温</w:t>
      </w:r>
      <w:r>
        <w:rPr>
          <w:rFonts w:cs="Times New Roman"/>
          <w:kern w:val="0"/>
          <w:szCs w:val="24"/>
          <w:lang w:bidi="ar"/>
        </w:rPr>
        <w:t>11.6℃</w:t>
      </w:r>
      <w:r>
        <w:rPr>
          <w:rFonts w:cs="Times New Roman"/>
          <w:kern w:val="0"/>
          <w:szCs w:val="24"/>
          <w:lang w:bidi="ar"/>
        </w:rPr>
        <w:t>，</w:t>
      </w:r>
    </w:p>
    <w:p w:rsidR="00A46452" w:rsidRDefault="009A3928">
      <w:pPr>
        <w:wordWrap w:val="0"/>
        <w:topLinePunct/>
        <w:adjustRightInd w:val="0"/>
        <w:snapToGrid w:val="0"/>
        <w:ind w:firstLineChars="0" w:firstLine="0"/>
        <w:rPr>
          <w:rFonts w:cs="Times New Roman"/>
        </w:rPr>
      </w:pPr>
      <w:r>
        <w:rPr>
          <w:rFonts w:cs="Times New Roman"/>
          <w:kern w:val="0"/>
          <w:szCs w:val="24"/>
          <w:lang w:bidi="ar"/>
        </w:rPr>
        <w:t>极端最高气温</w:t>
      </w:r>
      <w:r>
        <w:rPr>
          <w:rFonts w:cs="Times New Roman"/>
          <w:kern w:val="0"/>
          <w:szCs w:val="24"/>
          <w:lang w:bidi="ar"/>
        </w:rPr>
        <w:t xml:space="preserve"> 42.2℃</w:t>
      </w:r>
      <w:r>
        <w:rPr>
          <w:rFonts w:cs="Times New Roman"/>
          <w:kern w:val="0"/>
          <w:szCs w:val="24"/>
          <w:lang w:bidi="ar"/>
        </w:rPr>
        <w:t>，极端最低气温</w:t>
      </w:r>
      <w:r>
        <w:rPr>
          <w:rFonts w:cs="Times New Roman"/>
          <w:kern w:val="0"/>
          <w:szCs w:val="24"/>
          <w:lang w:bidi="ar"/>
        </w:rPr>
        <w:t>-24.2℃</w:t>
      </w:r>
      <w:r>
        <w:rPr>
          <w:rFonts w:cs="Times New Roman"/>
          <w:kern w:val="0"/>
          <w:szCs w:val="24"/>
          <w:lang w:bidi="ar"/>
        </w:rPr>
        <w:t>；干燥少雨，平均年降水量</w:t>
      </w:r>
      <w:r>
        <w:rPr>
          <w:rFonts w:cs="Times New Roman"/>
          <w:kern w:val="0"/>
          <w:szCs w:val="24"/>
          <w:lang w:bidi="ar"/>
        </w:rPr>
        <w:t>38.3mm</w:t>
      </w:r>
      <w:r>
        <w:rPr>
          <w:rFonts w:cs="Times New Roman"/>
          <w:kern w:val="0"/>
          <w:szCs w:val="24"/>
          <w:lang w:bidi="ar"/>
        </w:rPr>
        <w:t>，多集中在</w:t>
      </w:r>
      <w:r>
        <w:rPr>
          <w:rFonts w:cs="Times New Roman"/>
          <w:kern w:val="0"/>
          <w:szCs w:val="24"/>
          <w:lang w:bidi="ar"/>
        </w:rPr>
        <w:t>5-7</w:t>
      </w:r>
      <w:r>
        <w:rPr>
          <w:rFonts w:cs="Times New Roman"/>
          <w:kern w:val="0"/>
          <w:szCs w:val="24"/>
          <w:lang w:bidi="ar"/>
        </w:rPr>
        <w:t>月，蒸发极大，强度为</w:t>
      </w:r>
      <w:r>
        <w:rPr>
          <w:rFonts w:cs="Times New Roman"/>
          <w:kern w:val="0"/>
          <w:szCs w:val="24"/>
          <w:lang w:bidi="ar"/>
        </w:rPr>
        <w:t>2030.8mm</w:t>
      </w:r>
      <w:r>
        <w:rPr>
          <w:rFonts w:cs="Times New Roman"/>
          <w:kern w:val="0"/>
          <w:szCs w:val="24"/>
          <w:lang w:bidi="ar"/>
        </w:rPr>
        <w:t>；无霜期</w:t>
      </w:r>
      <w:r>
        <w:rPr>
          <w:rFonts w:cs="Times New Roman"/>
          <w:kern w:val="0"/>
          <w:szCs w:val="24"/>
          <w:lang w:bidi="ar"/>
        </w:rPr>
        <w:t>225</w:t>
      </w:r>
      <w:r>
        <w:rPr>
          <w:rFonts w:cs="Times New Roman"/>
          <w:kern w:val="0"/>
          <w:szCs w:val="24"/>
          <w:lang w:bidi="ar"/>
        </w:rPr>
        <w:t>天，区内常年风向为东北风，平均风速</w:t>
      </w:r>
      <w:r>
        <w:rPr>
          <w:rFonts w:cs="Times New Roman"/>
          <w:kern w:val="0"/>
          <w:szCs w:val="24"/>
          <w:lang w:bidi="ar"/>
        </w:rPr>
        <w:t>1.8m/s</w:t>
      </w:r>
      <w:r>
        <w:rPr>
          <w:rFonts w:cs="Times New Roman"/>
          <w:kern w:val="0"/>
          <w:szCs w:val="24"/>
          <w:lang w:bidi="ar"/>
        </w:rPr>
        <w:t>，</w:t>
      </w:r>
      <w:r>
        <w:rPr>
          <w:rFonts w:cs="Times New Roman"/>
          <w:kern w:val="0"/>
          <w:szCs w:val="24"/>
          <w:lang w:bidi="ar"/>
        </w:rPr>
        <w:t>8</w:t>
      </w:r>
      <w:r>
        <w:rPr>
          <w:rFonts w:cs="Times New Roman"/>
          <w:kern w:val="0"/>
          <w:szCs w:val="24"/>
          <w:lang w:bidi="ar"/>
        </w:rPr>
        <w:t>级以上大风日数平均为</w:t>
      </w:r>
      <w:r>
        <w:rPr>
          <w:rFonts w:cs="Times New Roman"/>
          <w:kern w:val="0"/>
          <w:szCs w:val="24"/>
          <w:lang w:bidi="ar"/>
        </w:rPr>
        <w:t>10</w:t>
      </w:r>
      <w:r>
        <w:rPr>
          <w:rFonts w:cs="Times New Roman"/>
          <w:kern w:val="0"/>
          <w:szCs w:val="24"/>
          <w:lang w:bidi="ar"/>
        </w:rPr>
        <w:t>天，最大风速</w:t>
      </w:r>
      <w:r>
        <w:rPr>
          <w:rFonts w:cs="Times New Roman"/>
          <w:kern w:val="0"/>
          <w:szCs w:val="24"/>
          <w:lang w:bidi="ar"/>
        </w:rPr>
        <w:t>12</w:t>
      </w:r>
      <w:r>
        <w:rPr>
          <w:rFonts w:cs="Times New Roman"/>
          <w:kern w:val="0"/>
          <w:szCs w:val="24"/>
          <w:lang w:bidi="ar"/>
        </w:rPr>
        <w:t>～</w:t>
      </w:r>
      <w:r>
        <w:rPr>
          <w:rFonts w:cs="Times New Roman"/>
          <w:kern w:val="0"/>
          <w:szCs w:val="24"/>
          <w:lang w:bidi="ar"/>
        </w:rPr>
        <w:t>2</w:t>
      </w:r>
      <w:r>
        <w:rPr>
          <w:rFonts w:cs="Times New Roman"/>
          <w:kern w:val="0"/>
          <w:szCs w:val="24"/>
          <w:lang w:bidi="ar"/>
        </w:rPr>
        <w:t>8m/s</w:t>
      </w:r>
      <w:r>
        <w:rPr>
          <w:rFonts w:cs="Times New Roman"/>
          <w:kern w:val="0"/>
          <w:szCs w:val="24"/>
          <w:lang w:bidi="ar"/>
        </w:rPr>
        <w:t>，多发生在</w:t>
      </w:r>
      <w:r>
        <w:rPr>
          <w:rFonts w:cs="Times New Roman"/>
          <w:kern w:val="0"/>
          <w:szCs w:val="24"/>
          <w:lang w:bidi="ar"/>
        </w:rPr>
        <w:t>3-9</w:t>
      </w:r>
      <w:r>
        <w:rPr>
          <w:rFonts w:cs="Times New Roman"/>
          <w:kern w:val="0"/>
          <w:szCs w:val="24"/>
          <w:lang w:bidi="ar"/>
        </w:rPr>
        <w:t>月份；为季节性冻土分布区，最大冻土深度</w:t>
      </w:r>
      <w:r>
        <w:rPr>
          <w:rFonts w:cs="Times New Roman"/>
          <w:kern w:val="0"/>
          <w:szCs w:val="24"/>
          <w:lang w:bidi="ar"/>
        </w:rPr>
        <w:t>98cm</w:t>
      </w:r>
      <w:r>
        <w:rPr>
          <w:rFonts w:cs="Times New Roman"/>
          <w:kern w:val="0"/>
          <w:szCs w:val="24"/>
          <w:lang w:bidi="ar"/>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6.1.5</w:t>
      </w:r>
      <w:r>
        <w:rPr>
          <w:rFonts w:cs="Times New Roman" w:hint="default"/>
          <w:sz w:val="28"/>
          <w:szCs w:val="28"/>
        </w:rPr>
        <w:t>工程地质</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6.1.5.1</w:t>
      </w:r>
      <w:r>
        <w:rPr>
          <w:rFonts w:cs="Times New Roman" w:hint="default"/>
          <w:iCs/>
        </w:rPr>
        <w:t>区域地质构造</w:t>
      </w:r>
    </w:p>
    <w:p w:rsidR="00A46452" w:rsidRDefault="009A3928" w:rsidP="00182EED">
      <w:pPr>
        <w:wordWrap w:val="0"/>
        <w:topLinePunct/>
        <w:adjustRightInd w:val="0"/>
        <w:snapToGrid w:val="0"/>
        <w:ind w:firstLine="480"/>
        <w:rPr>
          <w:rFonts w:cs="Times New Roman"/>
          <w:kern w:val="0"/>
          <w:szCs w:val="24"/>
          <w:lang w:bidi="ar"/>
        </w:rPr>
      </w:pPr>
      <w:r>
        <w:rPr>
          <w:rFonts w:cs="Times New Roman"/>
          <w:kern w:val="0"/>
          <w:szCs w:val="24"/>
          <w:lang w:bidi="ar"/>
        </w:rPr>
        <w:t>通过沿线调查及资料收集，基本查明了项目区地质灾害的类型、规模、分布范围、形成条件以及对拟建公路的影响。项目区总体地形较简单，沿线地形起伏较小，水文地质条件简单，人类破坏地质环境工程活动一般，现状条件下项目区基本无大的不良地质现象。</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区内出露的地层主要有：古生界奥陶系、志留系、泥盆系、石炭系及新生界第四系地层，区域上拟建线路南北跨越两个构造单元，同属于一级构造单位塔里木地台（</w:t>
      </w:r>
      <w:r>
        <w:rPr>
          <w:rFonts w:cs="Times New Roman"/>
          <w:kern w:val="0"/>
          <w:szCs w:val="24"/>
          <w:lang w:bidi="ar"/>
        </w:rPr>
        <w:t>Ⅸ</w:t>
      </w:r>
      <w:r>
        <w:rPr>
          <w:rFonts w:cs="Times New Roman"/>
          <w:kern w:val="0"/>
          <w:szCs w:val="24"/>
          <w:lang w:bidi="ar"/>
        </w:rPr>
        <w:t>）下的二级和</w:t>
      </w:r>
      <w:r>
        <w:rPr>
          <w:rFonts w:cs="Times New Roman"/>
          <w:kern w:val="0"/>
          <w:szCs w:val="24"/>
          <w:lang w:bidi="ar"/>
        </w:rPr>
        <w:t>四级构造单元，分别为北部柯坪断隆（</w:t>
      </w:r>
      <w:r>
        <w:rPr>
          <w:rFonts w:cs="Times New Roman"/>
          <w:kern w:val="0"/>
          <w:szCs w:val="24"/>
          <w:lang w:bidi="ar"/>
        </w:rPr>
        <w:t>Ⅸ</w:t>
      </w:r>
      <w:r>
        <w:rPr>
          <w:rFonts w:cs="Times New Roman"/>
          <w:kern w:val="0"/>
          <w:sz w:val="12"/>
          <w:szCs w:val="12"/>
          <w:lang w:bidi="ar"/>
        </w:rPr>
        <w:t>1</w:t>
      </w:r>
      <w:r>
        <w:rPr>
          <w:rFonts w:cs="Times New Roman"/>
          <w:kern w:val="0"/>
          <w:szCs w:val="24"/>
          <w:lang w:bidi="ar"/>
        </w:rPr>
        <w:t>）和南部三级构造单位中央隆起（</w:t>
      </w:r>
      <w:r>
        <w:rPr>
          <w:rFonts w:cs="Times New Roman"/>
          <w:kern w:val="0"/>
          <w:szCs w:val="24"/>
          <w:lang w:bidi="ar"/>
        </w:rPr>
        <w:t>Ⅸ</w:t>
      </w:r>
      <w:r>
        <w:rPr>
          <w:rFonts w:cs="Times New Roman"/>
          <w:kern w:val="0"/>
          <w:sz w:val="12"/>
          <w:szCs w:val="12"/>
          <w:lang w:bidi="ar"/>
        </w:rPr>
        <w:t>5 3</w:t>
      </w:r>
      <w:r>
        <w:rPr>
          <w:rFonts w:cs="Times New Roman"/>
          <w:kern w:val="0"/>
          <w:szCs w:val="24"/>
          <w:lang w:bidi="ar"/>
        </w:rPr>
        <w:t>）内的巴楚凸起（</w:t>
      </w:r>
      <w:r>
        <w:rPr>
          <w:rFonts w:cs="Times New Roman"/>
          <w:kern w:val="0"/>
          <w:szCs w:val="24"/>
          <w:lang w:bidi="ar"/>
        </w:rPr>
        <w:t>Ⅸ</w:t>
      </w:r>
      <w:r>
        <w:rPr>
          <w:rFonts w:cs="Times New Roman"/>
          <w:kern w:val="0"/>
          <w:sz w:val="12"/>
          <w:szCs w:val="12"/>
          <w:lang w:bidi="ar"/>
        </w:rPr>
        <w:t>5</w:t>
      </w:r>
      <w:r>
        <w:rPr>
          <w:rFonts w:cs="Times New Roman"/>
          <w:kern w:val="0"/>
          <w:szCs w:val="24"/>
          <w:vertAlign w:val="superscript"/>
          <w:lang w:bidi="ar"/>
        </w:rPr>
        <w:t>3-1</w:t>
      </w:r>
      <w:r>
        <w:rPr>
          <w:rFonts w:cs="Times New Roman"/>
          <w:kern w:val="0"/>
          <w:szCs w:val="24"/>
          <w:lang w:bidi="ar"/>
        </w:rPr>
        <w:t>）。柯坪断隆（</w:t>
      </w:r>
      <w:r>
        <w:rPr>
          <w:rFonts w:cs="Times New Roman"/>
          <w:kern w:val="0"/>
          <w:szCs w:val="24"/>
          <w:lang w:bidi="ar"/>
        </w:rPr>
        <w:t>Ⅸ</w:t>
      </w:r>
      <w:r>
        <w:rPr>
          <w:rFonts w:cs="Times New Roman"/>
          <w:kern w:val="0"/>
          <w:sz w:val="12"/>
          <w:szCs w:val="12"/>
          <w:lang w:bidi="ar"/>
        </w:rPr>
        <w:t>1</w:t>
      </w:r>
      <w:r>
        <w:rPr>
          <w:rFonts w:cs="Times New Roman"/>
          <w:kern w:val="0"/>
          <w:szCs w:val="24"/>
          <w:lang w:bidi="ar"/>
        </w:rPr>
        <w:t>）北界为天山褶皱系（</w:t>
      </w:r>
      <w:r>
        <w:rPr>
          <w:rFonts w:cs="Times New Roman"/>
          <w:kern w:val="0"/>
          <w:szCs w:val="24"/>
          <w:lang w:bidi="ar"/>
        </w:rPr>
        <w:t>Ⅲ</w:t>
      </w:r>
      <w:r>
        <w:rPr>
          <w:rFonts w:cs="Times New Roman"/>
          <w:kern w:val="0"/>
          <w:szCs w:val="24"/>
          <w:lang w:bidi="ar"/>
        </w:rPr>
        <w:t>）</w:t>
      </w:r>
      <w:r>
        <w:rPr>
          <w:rFonts w:cs="Times New Roman"/>
          <w:kern w:val="0"/>
          <w:szCs w:val="24"/>
          <w:lang w:bidi="ar"/>
        </w:rPr>
        <w:t>，</w:t>
      </w:r>
      <w:r>
        <w:rPr>
          <w:rFonts w:cs="Times New Roman"/>
          <w:kern w:val="0"/>
          <w:szCs w:val="24"/>
          <w:lang w:bidi="ar"/>
        </w:rPr>
        <w:t>南界以塔里木台坳（</w:t>
      </w:r>
      <w:r>
        <w:rPr>
          <w:rFonts w:cs="Times New Roman"/>
          <w:kern w:val="0"/>
          <w:szCs w:val="24"/>
          <w:lang w:bidi="ar"/>
        </w:rPr>
        <w:t>Ⅸ</w:t>
      </w:r>
      <w:r>
        <w:rPr>
          <w:rFonts w:cs="Times New Roman"/>
          <w:kern w:val="0"/>
          <w:sz w:val="12"/>
          <w:szCs w:val="12"/>
          <w:lang w:bidi="ar"/>
        </w:rPr>
        <w:t>5</w:t>
      </w:r>
      <w:r>
        <w:rPr>
          <w:rFonts w:cs="Times New Roman"/>
          <w:kern w:val="0"/>
          <w:szCs w:val="24"/>
          <w:lang w:bidi="ar"/>
        </w:rPr>
        <w:t>）相邻；巴楚凸起（</w:t>
      </w:r>
      <w:r>
        <w:rPr>
          <w:rFonts w:cs="Times New Roman"/>
          <w:kern w:val="0"/>
          <w:szCs w:val="24"/>
          <w:lang w:bidi="ar"/>
        </w:rPr>
        <w:t>Ⅸ</w:t>
      </w:r>
      <w:r>
        <w:rPr>
          <w:rFonts w:cs="Times New Roman"/>
          <w:kern w:val="0"/>
          <w:sz w:val="12"/>
          <w:szCs w:val="12"/>
          <w:lang w:bidi="ar"/>
        </w:rPr>
        <w:t>5</w:t>
      </w:r>
      <w:r>
        <w:rPr>
          <w:rFonts w:cs="Times New Roman"/>
          <w:kern w:val="0"/>
          <w:szCs w:val="24"/>
          <w:vertAlign w:val="superscript"/>
          <w:lang w:bidi="ar"/>
        </w:rPr>
        <w:t>3-1</w:t>
      </w:r>
      <w:r>
        <w:rPr>
          <w:rFonts w:cs="Times New Roman"/>
          <w:kern w:val="0"/>
          <w:szCs w:val="24"/>
          <w:lang w:bidi="ar"/>
        </w:rPr>
        <w:t>）北以柯坪断裂为界，西邻麦盖提斜坡（</w:t>
      </w:r>
      <w:r>
        <w:rPr>
          <w:rFonts w:cs="Times New Roman"/>
          <w:kern w:val="0"/>
          <w:szCs w:val="24"/>
          <w:lang w:bidi="ar"/>
        </w:rPr>
        <w:t>Ⅸ</w:t>
      </w:r>
      <w:r>
        <w:rPr>
          <w:rFonts w:cs="Times New Roman"/>
          <w:kern w:val="0"/>
          <w:sz w:val="12"/>
          <w:szCs w:val="12"/>
          <w:lang w:bidi="ar"/>
        </w:rPr>
        <w:t>5</w:t>
      </w:r>
      <w:r>
        <w:rPr>
          <w:rFonts w:cs="Times New Roman"/>
          <w:kern w:val="0"/>
          <w:szCs w:val="24"/>
          <w:vertAlign w:val="superscript"/>
          <w:lang w:bidi="ar"/>
        </w:rPr>
        <w:t>4-1</w:t>
      </w:r>
      <w:r>
        <w:rPr>
          <w:rFonts w:cs="Times New Roman"/>
          <w:kern w:val="0"/>
          <w:szCs w:val="24"/>
          <w:lang w:bidi="ar"/>
        </w:rPr>
        <w:t>），东邻阿瓦提断陷（</w:t>
      </w:r>
      <w:r>
        <w:rPr>
          <w:rFonts w:cs="Times New Roman"/>
          <w:kern w:val="0"/>
          <w:szCs w:val="24"/>
          <w:lang w:bidi="ar"/>
        </w:rPr>
        <w:t>Ⅸ</w:t>
      </w:r>
      <w:r>
        <w:rPr>
          <w:rFonts w:cs="Times New Roman"/>
          <w:kern w:val="0"/>
          <w:sz w:val="12"/>
          <w:szCs w:val="12"/>
          <w:lang w:bidi="ar"/>
        </w:rPr>
        <w:t>5</w:t>
      </w:r>
      <w:r>
        <w:rPr>
          <w:rFonts w:cs="Times New Roman"/>
          <w:kern w:val="0"/>
          <w:szCs w:val="24"/>
          <w:vertAlign w:val="superscript"/>
          <w:lang w:bidi="ar"/>
        </w:rPr>
        <w:t>2-1</w:t>
      </w:r>
      <w:r>
        <w:rPr>
          <w:rFonts w:cs="Times New Roman"/>
          <w:kern w:val="0"/>
          <w:szCs w:val="24"/>
          <w:lang w:bidi="ar"/>
        </w:rPr>
        <w:t>），南界为卡塔克中央凸起（</w:t>
      </w:r>
      <w:r>
        <w:rPr>
          <w:rFonts w:cs="Times New Roman"/>
          <w:kern w:val="0"/>
          <w:szCs w:val="24"/>
          <w:lang w:bidi="ar"/>
        </w:rPr>
        <w:t>Ⅸ</w:t>
      </w:r>
      <w:r>
        <w:rPr>
          <w:rFonts w:cs="Times New Roman"/>
          <w:kern w:val="0"/>
          <w:sz w:val="12"/>
          <w:szCs w:val="12"/>
          <w:lang w:bidi="ar"/>
        </w:rPr>
        <w:t>5</w:t>
      </w:r>
      <w:r>
        <w:rPr>
          <w:rFonts w:cs="Times New Roman"/>
          <w:kern w:val="0"/>
          <w:szCs w:val="24"/>
          <w:vertAlign w:val="superscript"/>
          <w:lang w:bidi="ar"/>
        </w:rPr>
        <w:t>3-2</w:t>
      </w:r>
      <w:r>
        <w:rPr>
          <w:rFonts w:cs="Times New Roman"/>
          <w:kern w:val="0"/>
          <w:szCs w:val="24"/>
          <w:lang w:bidi="ar"/>
        </w:rPr>
        <w:t>）。</w:t>
      </w:r>
      <w:r>
        <w:rPr>
          <w:rFonts w:cs="Times New Roman"/>
          <w:kern w:val="0"/>
          <w:szCs w:val="24"/>
          <w:lang w:bidi="ar"/>
        </w:rPr>
        <w:t>区域地质构造见图</w:t>
      </w:r>
      <w:r>
        <w:rPr>
          <w:rFonts w:cs="Times New Roman"/>
          <w:kern w:val="0"/>
          <w:szCs w:val="24"/>
          <w:lang w:bidi="ar"/>
        </w:rPr>
        <w:t>4.1-3</w:t>
      </w:r>
      <w:r>
        <w:rPr>
          <w:rFonts w:cs="Times New Roman"/>
          <w:kern w:val="0"/>
          <w:szCs w:val="24"/>
          <w:lang w:bidi="ar"/>
        </w:rPr>
        <w:t>。</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6.1.5.2</w:t>
      </w:r>
      <w:r>
        <w:rPr>
          <w:rFonts w:cs="Times New Roman" w:hint="default"/>
          <w:iCs/>
        </w:rPr>
        <w:t>地层岩性</w:t>
      </w:r>
    </w:p>
    <w:p w:rsidR="00A46452" w:rsidRDefault="009A3928" w:rsidP="00182EED">
      <w:pPr>
        <w:widowControl/>
        <w:ind w:firstLine="480"/>
        <w:jc w:val="left"/>
        <w:rPr>
          <w:rFonts w:cs="Times New Roman"/>
          <w:kern w:val="0"/>
          <w:szCs w:val="24"/>
          <w:lang w:bidi="ar"/>
        </w:rPr>
      </w:pPr>
      <w:r>
        <w:rPr>
          <w:rFonts w:cs="Times New Roman"/>
          <w:kern w:val="0"/>
          <w:szCs w:val="24"/>
          <w:lang w:bidi="ar"/>
        </w:rPr>
        <w:t>拟建道路所在区域位于塔里木盆地西北部边缘，由冲洪积细土平原区和山前倾斜砾质平原区及山前冲洪积扇区三种地貌单元，</w:t>
      </w:r>
      <w:r>
        <w:rPr>
          <w:rFonts w:cs="Times New Roman"/>
          <w:kern w:val="0"/>
          <w:szCs w:val="24"/>
          <w:lang w:bidi="ar"/>
        </w:rPr>
        <w:t>主要有以下几种地层岩性</w:t>
      </w:r>
    </w:p>
    <w:p w:rsidR="00A46452" w:rsidRDefault="009A3928" w:rsidP="00182EED">
      <w:pPr>
        <w:widowControl/>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1</w:t>
      </w:r>
      <w:r>
        <w:rPr>
          <w:rFonts w:cs="Times New Roman"/>
          <w:kern w:val="0"/>
          <w:szCs w:val="24"/>
          <w:lang w:bidi="ar"/>
        </w:rPr>
        <w:t>）冲洪积细土平原区</w:t>
      </w:r>
    </w:p>
    <w:p w:rsidR="00A46452" w:rsidRDefault="009A3928" w:rsidP="00182EED">
      <w:pPr>
        <w:widowControl/>
        <w:ind w:firstLine="480"/>
        <w:jc w:val="left"/>
        <w:rPr>
          <w:rFonts w:cs="Times New Roman"/>
        </w:rPr>
      </w:pPr>
      <w:r>
        <w:rPr>
          <w:rFonts w:cs="Times New Roman"/>
          <w:kern w:val="0"/>
          <w:szCs w:val="24"/>
          <w:lang w:bidi="ar"/>
        </w:rPr>
        <w:t>①</w:t>
      </w:r>
      <w:r>
        <w:rPr>
          <w:rFonts w:cs="Times New Roman"/>
          <w:kern w:val="0"/>
          <w:szCs w:val="24"/>
          <w:lang w:bidi="ar"/>
        </w:rPr>
        <w:t>耕植土（</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ml</w:t>
      </w:r>
      <w:r>
        <w:rPr>
          <w:rFonts w:cs="Times New Roman"/>
          <w:kern w:val="0"/>
          <w:szCs w:val="24"/>
          <w:lang w:bidi="ar"/>
        </w:rPr>
        <w:t>）：厚</w:t>
      </w:r>
      <w:r>
        <w:rPr>
          <w:rFonts w:cs="Times New Roman"/>
          <w:kern w:val="0"/>
          <w:szCs w:val="24"/>
          <w:lang w:bidi="ar"/>
        </w:rPr>
        <w:t>0.6</w:t>
      </w:r>
      <w:r>
        <w:rPr>
          <w:rFonts w:cs="Times New Roman"/>
          <w:kern w:val="0"/>
          <w:szCs w:val="24"/>
          <w:lang w:bidi="ar"/>
        </w:rPr>
        <w:t>～</w:t>
      </w:r>
      <w:r>
        <w:rPr>
          <w:rFonts w:cs="Times New Roman"/>
          <w:kern w:val="0"/>
          <w:szCs w:val="24"/>
          <w:lang w:bidi="ar"/>
        </w:rPr>
        <w:t>0.8m</w:t>
      </w:r>
      <w:r>
        <w:rPr>
          <w:rFonts w:cs="Times New Roman"/>
          <w:kern w:val="0"/>
          <w:szCs w:val="24"/>
          <w:lang w:bidi="ar"/>
        </w:rPr>
        <w:t>，岩性主要为粉土、粉砂，浅黄色、黄褐色，干燥</w:t>
      </w:r>
      <w:r>
        <w:rPr>
          <w:rFonts w:cs="Times New Roman"/>
          <w:kern w:val="0"/>
          <w:szCs w:val="24"/>
          <w:lang w:bidi="ar"/>
        </w:rPr>
        <w:t>-</w:t>
      </w:r>
      <w:r>
        <w:rPr>
          <w:rFonts w:cs="Times New Roman"/>
          <w:kern w:val="0"/>
          <w:szCs w:val="24"/>
          <w:lang w:bidi="ar"/>
        </w:rPr>
        <w:t>稍湿，含大量植物根系。</w:t>
      </w:r>
      <w:r>
        <w:rPr>
          <w:rFonts w:cs="Times New Roman"/>
          <w:kern w:val="0"/>
          <w:szCs w:val="24"/>
          <w:lang w:bidi="ar"/>
        </w:rPr>
        <w:t xml:space="preserve"> </w:t>
      </w:r>
    </w:p>
    <w:p w:rsidR="00A46452" w:rsidRDefault="009A3928" w:rsidP="00182EED">
      <w:pPr>
        <w:widowControl/>
        <w:ind w:firstLine="480"/>
        <w:jc w:val="left"/>
        <w:rPr>
          <w:rFonts w:cs="Times New Roman"/>
        </w:rPr>
      </w:pPr>
      <w:r>
        <w:rPr>
          <w:rFonts w:cs="Times New Roman"/>
          <w:kern w:val="0"/>
          <w:szCs w:val="24"/>
          <w:lang w:bidi="ar"/>
        </w:rPr>
        <w:t>②</w:t>
      </w:r>
      <w:r>
        <w:rPr>
          <w:rFonts w:cs="Times New Roman"/>
          <w:kern w:val="0"/>
          <w:szCs w:val="24"/>
          <w:lang w:bidi="ar"/>
        </w:rPr>
        <w:t>粉土（</w:t>
      </w:r>
      <w:r>
        <w:rPr>
          <w:rFonts w:cs="Times New Roman"/>
          <w:kern w:val="0"/>
          <w:szCs w:val="24"/>
          <w:lang w:bidi="ar"/>
        </w:rPr>
        <w:t>Q</w:t>
      </w:r>
      <w:r>
        <w:rPr>
          <w:rFonts w:cs="Times New Roman"/>
          <w:kern w:val="0"/>
          <w:sz w:val="16"/>
          <w:szCs w:val="16"/>
          <w:lang w:bidi="ar"/>
        </w:rPr>
        <w:t>4al+pl</w:t>
      </w:r>
      <w:r>
        <w:rPr>
          <w:rFonts w:cs="Times New Roman"/>
          <w:kern w:val="0"/>
          <w:szCs w:val="24"/>
          <w:lang w:bidi="ar"/>
        </w:rPr>
        <w:t>）：厚</w:t>
      </w:r>
      <w:r>
        <w:rPr>
          <w:rFonts w:cs="Times New Roman"/>
          <w:kern w:val="0"/>
          <w:szCs w:val="24"/>
          <w:lang w:bidi="ar"/>
        </w:rPr>
        <w:t>1.8</w:t>
      </w:r>
      <w:r>
        <w:rPr>
          <w:rFonts w:cs="Times New Roman"/>
          <w:kern w:val="0"/>
          <w:szCs w:val="24"/>
          <w:lang w:bidi="ar"/>
        </w:rPr>
        <w:t>～</w:t>
      </w:r>
      <w:r>
        <w:rPr>
          <w:rFonts w:cs="Times New Roman"/>
          <w:kern w:val="0"/>
          <w:szCs w:val="24"/>
          <w:lang w:bidi="ar"/>
        </w:rPr>
        <w:t>2.6m</w:t>
      </w:r>
      <w:r>
        <w:rPr>
          <w:rFonts w:cs="Times New Roman"/>
          <w:kern w:val="0"/>
          <w:szCs w:val="24"/>
          <w:lang w:bidi="ar"/>
        </w:rPr>
        <w:t>，最大勘探深度</w:t>
      </w:r>
      <w:r>
        <w:rPr>
          <w:rFonts w:cs="Times New Roman"/>
          <w:kern w:val="0"/>
          <w:szCs w:val="24"/>
          <w:lang w:bidi="ar"/>
        </w:rPr>
        <w:t>5.0m</w:t>
      </w:r>
      <w:r>
        <w:rPr>
          <w:rFonts w:cs="Times New Roman"/>
          <w:kern w:val="0"/>
          <w:szCs w:val="24"/>
          <w:lang w:bidi="ar"/>
        </w:rPr>
        <w:t>内局部未揭穿，黄褐色，稍湿，稍密。</w:t>
      </w:r>
    </w:p>
    <w:p w:rsidR="00A46452" w:rsidRDefault="009A3928" w:rsidP="00182EED">
      <w:pPr>
        <w:widowControl/>
        <w:ind w:firstLine="480"/>
        <w:jc w:val="left"/>
        <w:rPr>
          <w:rFonts w:cs="Times New Roman"/>
        </w:rPr>
      </w:pPr>
      <w:r>
        <w:rPr>
          <w:rFonts w:cs="Times New Roman"/>
          <w:kern w:val="0"/>
          <w:szCs w:val="24"/>
          <w:lang w:bidi="ar"/>
        </w:rPr>
        <w:t>③</w:t>
      </w:r>
      <w:r>
        <w:rPr>
          <w:rFonts w:cs="Times New Roman"/>
          <w:kern w:val="0"/>
          <w:szCs w:val="24"/>
          <w:lang w:bidi="ar"/>
        </w:rPr>
        <w:t>细砂（</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w:t>
      </w:r>
      <w:r>
        <w:rPr>
          <w:rFonts w:cs="Times New Roman"/>
          <w:kern w:val="0"/>
          <w:szCs w:val="24"/>
          <w:lang w:bidi="ar"/>
        </w:rPr>
        <w:t>：埋深</w:t>
      </w:r>
      <w:r>
        <w:rPr>
          <w:rFonts w:cs="Times New Roman"/>
          <w:kern w:val="0"/>
          <w:szCs w:val="24"/>
          <w:lang w:bidi="ar"/>
        </w:rPr>
        <w:t>2.0</w:t>
      </w:r>
      <w:r>
        <w:rPr>
          <w:rFonts w:cs="Times New Roman"/>
          <w:kern w:val="0"/>
          <w:szCs w:val="24"/>
          <w:lang w:bidi="ar"/>
        </w:rPr>
        <w:t>～</w:t>
      </w:r>
      <w:r>
        <w:rPr>
          <w:rFonts w:cs="Times New Roman"/>
          <w:kern w:val="0"/>
          <w:szCs w:val="24"/>
          <w:lang w:bidi="ar"/>
        </w:rPr>
        <w:t>3.2m</w:t>
      </w:r>
      <w:r>
        <w:rPr>
          <w:rFonts w:cs="Times New Roman"/>
          <w:kern w:val="0"/>
          <w:szCs w:val="24"/>
          <w:lang w:bidi="ar"/>
        </w:rPr>
        <w:t>，最大勘探深度</w:t>
      </w:r>
      <w:r>
        <w:rPr>
          <w:rFonts w:cs="Times New Roman"/>
          <w:kern w:val="0"/>
          <w:szCs w:val="24"/>
          <w:lang w:bidi="ar"/>
        </w:rPr>
        <w:t>5.0m</w:t>
      </w:r>
      <w:r>
        <w:rPr>
          <w:rFonts w:cs="Times New Roman"/>
          <w:kern w:val="0"/>
          <w:szCs w:val="24"/>
          <w:lang w:bidi="ar"/>
        </w:rPr>
        <w:t>内局部未揭穿，浅黄色、青灰色，稍湿</w:t>
      </w:r>
      <w:r>
        <w:rPr>
          <w:rFonts w:cs="Times New Roman"/>
          <w:kern w:val="0"/>
          <w:szCs w:val="24"/>
          <w:lang w:bidi="ar"/>
        </w:rPr>
        <w:t>-</w:t>
      </w:r>
      <w:r>
        <w:rPr>
          <w:rFonts w:cs="Times New Roman"/>
          <w:kern w:val="0"/>
          <w:szCs w:val="24"/>
          <w:lang w:bidi="ar"/>
        </w:rPr>
        <w:t>潮湿，稍密。</w:t>
      </w:r>
    </w:p>
    <w:p w:rsidR="00A46452" w:rsidRDefault="009A3928" w:rsidP="00182EED">
      <w:pPr>
        <w:widowControl/>
        <w:ind w:firstLine="480"/>
        <w:jc w:val="left"/>
        <w:rPr>
          <w:rFonts w:cs="Times New Roman"/>
        </w:rPr>
      </w:pPr>
      <w:r>
        <w:rPr>
          <w:rFonts w:cs="Times New Roman"/>
          <w:kern w:val="0"/>
          <w:szCs w:val="24"/>
          <w:lang w:bidi="ar"/>
        </w:rPr>
        <w:t>（</w:t>
      </w:r>
      <w:r>
        <w:rPr>
          <w:rFonts w:cs="Times New Roman"/>
          <w:kern w:val="0"/>
          <w:szCs w:val="24"/>
          <w:lang w:bidi="ar"/>
        </w:rPr>
        <w:t>2</w:t>
      </w:r>
      <w:r>
        <w:rPr>
          <w:rFonts w:cs="Times New Roman"/>
          <w:kern w:val="0"/>
          <w:szCs w:val="24"/>
          <w:lang w:bidi="ar"/>
        </w:rPr>
        <w:t>）风积沙漠区</w:t>
      </w:r>
    </w:p>
    <w:p w:rsidR="00A46452" w:rsidRDefault="009A3928" w:rsidP="00182EED">
      <w:pPr>
        <w:widowControl/>
        <w:ind w:firstLine="480"/>
        <w:jc w:val="left"/>
        <w:rPr>
          <w:rFonts w:cs="Times New Roman"/>
        </w:rPr>
      </w:pPr>
      <w:r>
        <w:rPr>
          <w:rFonts w:cs="Times New Roman"/>
          <w:kern w:val="0"/>
          <w:szCs w:val="24"/>
          <w:lang w:bidi="ar"/>
        </w:rPr>
        <w:t>①</w:t>
      </w:r>
      <w:r>
        <w:rPr>
          <w:rFonts w:cs="Times New Roman"/>
          <w:kern w:val="0"/>
          <w:szCs w:val="24"/>
          <w:lang w:bidi="ar"/>
        </w:rPr>
        <w:t>细砂（</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eol</w:t>
      </w:r>
      <w:r>
        <w:rPr>
          <w:rFonts w:cs="Times New Roman"/>
          <w:kern w:val="0"/>
          <w:szCs w:val="24"/>
          <w:lang w:bidi="ar"/>
        </w:rPr>
        <w:t>）：厚度</w:t>
      </w:r>
      <w:r>
        <w:rPr>
          <w:rFonts w:cs="Times New Roman"/>
          <w:kern w:val="0"/>
          <w:szCs w:val="24"/>
          <w:lang w:bidi="ar"/>
        </w:rPr>
        <w:t>2.0</w:t>
      </w:r>
      <w:r>
        <w:rPr>
          <w:rFonts w:cs="Times New Roman"/>
          <w:kern w:val="0"/>
          <w:szCs w:val="24"/>
          <w:lang w:bidi="ar"/>
        </w:rPr>
        <w:t>～</w:t>
      </w:r>
      <w:r>
        <w:rPr>
          <w:rFonts w:cs="Times New Roman"/>
          <w:kern w:val="0"/>
          <w:szCs w:val="24"/>
          <w:lang w:bidi="ar"/>
        </w:rPr>
        <w:t>8.0m</w:t>
      </w:r>
      <w:r>
        <w:rPr>
          <w:rFonts w:cs="Times New Roman"/>
          <w:kern w:val="0"/>
          <w:szCs w:val="24"/>
          <w:lang w:bidi="ar"/>
        </w:rPr>
        <w:t>，浅黄色、黄褐色，干燥</w:t>
      </w:r>
      <w:r>
        <w:rPr>
          <w:rFonts w:cs="Times New Roman"/>
          <w:kern w:val="0"/>
          <w:szCs w:val="24"/>
          <w:lang w:bidi="ar"/>
        </w:rPr>
        <w:t>-</w:t>
      </w:r>
      <w:r>
        <w:rPr>
          <w:rFonts w:cs="Times New Roman"/>
          <w:kern w:val="0"/>
          <w:szCs w:val="24"/>
          <w:lang w:bidi="ar"/>
        </w:rPr>
        <w:t>稍湿，稍密。</w:t>
      </w:r>
      <w:r>
        <w:rPr>
          <w:rFonts w:cs="Times New Roman"/>
          <w:kern w:val="0"/>
          <w:szCs w:val="24"/>
          <w:lang w:bidi="ar"/>
        </w:rPr>
        <w:t xml:space="preserve"> </w:t>
      </w:r>
    </w:p>
    <w:p w:rsidR="00A46452" w:rsidRDefault="009A3928" w:rsidP="00182EED">
      <w:pPr>
        <w:widowControl/>
        <w:ind w:firstLine="480"/>
        <w:jc w:val="left"/>
        <w:rPr>
          <w:rFonts w:cs="Times New Roman"/>
        </w:rPr>
      </w:pPr>
      <w:r>
        <w:rPr>
          <w:rFonts w:cs="Times New Roman"/>
          <w:kern w:val="0"/>
          <w:szCs w:val="24"/>
          <w:lang w:bidi="ar"/>
        </w:rPr>
        <w:t>②</w:t>
      </w:r>
      <w:r>
        <w:rPr>
          <w:rFonts w:cs="Times New Roman"/>
          <w:kern w:val="0"/>
          <w:szCs w:val="24"/>
          <w:lang w:bidi="ar"/>
        </w:rPr>
        <w:t>粉土（</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）：厚度</w:t>
      </w:r>
      <w:r>
        <w:rPr>
          <w:rFonts w:cs="Times New Roman"/>
          <w:kern w:val="0"/>
          <w:szCs w:val="24"/>
          <w:lang w:bidi="ar"/>
        </w:rPr>
        <w:t>1.0</w:t>
      </w:r>
      <w:r>
        <w:rPr>
          <w:rFonts w:cs="Times New Roman"/>
          <w:kern w:val="0"/>
          <w:szCs w:val="24"/>
          <w:lang w:bidi="ar"/>
        </w:rPr>
        <w:t>～</w:t>
      </w:r>
      <w:r>
        <w:rPr>
          <w:rFonts w:cs="Times New Roman"/>
          <w:kern w:val="0"/>
          <w:szCs w:val="24"/>
          <w:lang w:bidi="ar"/>
        </w:rPr>
        <w:t>2.0m</w:t>
      </w:r>
      <w:r>
        <w:rPr>
          <w:rFonts w:cs="Times New Roman"/>
          <w:kern w:val="0"/>
          <w:szCs w:val="24"/>
          <w:lang w:bidi="ar"/>
        </w:rPr>
        <w:t>，最大勘探深度</w:t>
      </w:r>
      <w:r>
        <w:rPr>
          <w:rFonts w:cs="Times New Roman"/>
          <w:kern w:val="0"/>
          <w:szCs w:val="24"/>
          <w:lang w:bidi="ar"/>
        </w:rPr>
        <w:t>3.0m</w:t>
      </w:r>
      <w:r>
        <w:rPr>
          <w:rFonts w:cs="Times New Roman"/>
          <w:kern w:val="0"/>
          <w:szCs w:val="24"/>
          <w:lang w:bidi="ar"/>
        </w:rPr>
        <w:t>内局部未揭穿，浅黄色、黄褐色，干燥</w:t>
      </w:r>
      <w:r>
        <w:rPr>
          <w:rFonts w:cs="Times New Roman"/>
          <w:kern w:val="0"/>
          <w:szCs w:val="24"/>
          <w:lang w:bidi="ar"/>
        </w:rPr>
        <w:t>-</w:t>
      </w:r>
      <w:r>
        <w:rPr>
          <w:rFonts w:cs="Times New Roman"/>
          <w:kern w:val="0"/>
          <w:szCs w:val="24"/>
          <w:lang w:bidi="ar"/>
        </w:rPr>
        <w:t>稍湿，稍密。</w:t>
      </w:r>
    </w:p>
    <w:p w:rsidR="00A46452" w:rsidRDefault="009A3928" w:rsidP="00182EED">
      <w:pPr>
        <w:widowControl/>
        <w:ind w:firstLine="480"/>
        <w:jc w:val="left"/>
        <w:rPr>
          <w:rFonts w:cs="Times New Roman"/>
        </w:rPr>
      </w:pPr>
      <w:r>
        <w:rPr>
          <w:rFonts w:cs="Times New Roman"/>
          <w:kern w:val="0"/>
          <w:szCs w:val="24"/>
          <w:lang w:bidi="ar"/>
        </w:rPr>
        <w:t>③</w:t>
      </w:r>
      <w:r>
        <w:rPr>
          <w:rFonts w:cs="Times New Roman"/>
          <w:kern w:val="0"/>
          <w:szCs w:val="24"/>
          <w:lang w:bidi="ar"/>
        </w:rPr>
        <w:t>细砂（</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）：埋深</w:t>
      </w:r>
      <w:r>
        <w:rPr>
          <w:rFonts w:cs="Times New Roman"/>
          <w:kern w:val="0"/>
          <w:szCs w:val="24"/>
          <w:lang w:bidi="ar"/>
        </w:rPr>
        <w:t>1.0</w:t>
      </w:r>
      <w:r>
        <w:rPr>
          <w:rFonts w:cs="Times New Roman"/>
          <w:kern w:val="0"/>
          <w:szCs w:val="24"/>
          <w:lang w:bidi="ar"/>
        </w:rPr>
        <w:t>～</w:t>
      </w:r>
      <w:r>
        <w:rPr>
          <w:rFonts w:cs="Times New Roman"/>
          <w:kern w:val="0"/>
          <w:szCs w:val="24"/>
          <w:lang w:bidi="ar"/>
        </w:rPr>
        <w:t>10.0m</w:t>
      </w:r>
      <w:r>
        <w:rPr>
          <w:rFonts w:cs="Times New Roman"/>
          <w:kern w:val="0"/>
          <w:szCs w:val="24"/>
          <w:lang w:bidi="ar"/>
        </w:rPr>
        <w:t>，最大勘探深度</w:t>
      </w:r>
      <w:r>
        <w:rPr>
          <w:rFonts w:cs="Times New Roman"/>
          <w:kern w:val="0"/>
          <w:szCs w:val="24"/>
          <w:lang w:bidi="ar"/>
        </w:rPr>
        <w:t>3.0m</w:t>
      </w:r>
      <w:r>
        <w:rPr>
          <w:rFonts w:cs="Times New Roman"/>
          <w:kern w:val="0"/>
          <w:szCs w:val="24"/>
          <w:lang w:bidi="ar"/>
        </w:rPr>
        <w:t>内未揭穿，灰黄色、青灰色，稍湿，稍密。</w:t>
      </w:r>
    </w:p>
    <w:p w:rsidR="00A46452" w:rsidRDefault="009A3928" w:rsidP="00182EED">
      <w:pPr>
        <w:widowControl/>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3</w:t>
      </w:r>
      <w:r>
        <w:rPr>
          <w:rFonts w:cs="Times New Roman"/>
          <w:kern w:val="0"/>
          <w:szCs w:val="24"/>
          <w:lang w:bidi="ar"/>
        </w:rPr>
        <w:t>）冲洪积平原区与风积沙漠区</w:t>
      </w:r>
    </w:p>
    <w:p w:rsidR="00A46452" w:rsidRDefault="009A3928" w:rsidP="00182EED">
      <w:pPr>
        <w:widowControl/>
        <w:ind w:firstLine="480"/>
        <w:jc w:val="left"/>
        <w:rPr>
          <w:rFonts w:cs="Times New Roman"/>
          <w:kern w:val="0"/>
          <w:szCs w:val="24"/>
          <w:lang w:bidi="ar"/>
        </w:rPr>
      </w:pPr>
      <w:r>
        <w:rPr>
          <w:rFonts w:cs="Times New Roman"/>
          <w:kern w:val="0"/>
          <w:szCs w:val="24"/>
          <w:lang w:bidi="ar"/>
        </w:rPr>
        <w:t>该段线路</w:t>
      </w:r>
      <w:r>
        <w:rPr>
          <w:rFonts w:cs="Times New Roman"/>
          <w:kern w:val="0"/>
          <w:szCs w:val="24"/>
          <w:lang w:bidi="ar"/>
        </w:rPr>
        <w:t>为</w:t>
      </w:r>
      <w:r>
        <w:rPr>
          <w:rFonts w:cs="Times New Roman"/>
          <w:kern w:val="0"/>
          <w:szCs w:val="24"/>
          <w:lang w:bidi="ar"/>
        </w:rPr>
        <w:t>过渡地段，散乱分布半固定风积沙丘，高</w:t>
      </w:r>
      <w:r>
        <w:rPr>
          <w:rFonts w:cs="Times New Roman"/>
          <w:kern w:val="0"/>
          <w:szCs w:val="24"/>
          <w:lang w:bidi="ar"/>
        </w:rPr>
        <w:t>0.5</w:t>
      </w:r>
      <w:r>
        <w:rPr>
          <w:rFonts w:cs="Times New Roman"/>
          <w:kern w:val="0"/>
          <w:szCs w:val="24"/>
          <w:lang w:bidi="ar"/>
        </w:rPr>
        <w:t>～</w:t>
      </w:r>
      <w:r>
        <w:rPr>
          <w:rFonts w:cs="Times New Roman"/>
          <w:kern w:val="0"/>
          <w:szCs w:val="24"/>
          <w:lang w:bidi="ar"/>
        </w:rPr>
        <w:t>1.5m</w:t>
      </w:r>
      <w:r>
        <w:rPr>
          <w:rFonts w:cs="Times New Roman"/>
          <w:kern w:val="0"/>
          <w:szCs w:val="24"/>
          <w:lang w:bidi="ar"/>
        </w:rPr>
        <w:t>。低洼处为冲洪积粉土。地表植被少量发育，生长有红柳等。沿线地形开阔略起伏。天然地基勘探深度</w:t>
      </w:r>
      <w:r>
        <w:rPr>
          <w:rFonts w:cs="Times New Roman"/>
          <w:kern w:val="0"/>
          <w:szCs w:val="24"/>
          <w:lang w:bidi="ar"/>
        </w:rPr>
        <w:t xml:space="preserve">3.0m </w:t>
      </w:r>
      <w:r>
        <w:rPr>
          <w:rFonts w:cs="Times New Roman"/>
          <w:kern w:val="0"/>
          <w:szCs w:val="24"/>
          <w:lang w:bidi="ar"/>
        </w:rPr>
        <w:t>内地层岩性自上而下主要分为：</w:t>
      </w:r>
    </w:p>
    <w:p w:rsidR="00A46452" w:rsidRDefault="009A3928" w:rsidP="00182EED">
      <w:pPr>
        <w:widowControl/>
        <w:ind w:firstLine="480"/>
        <w:jc w:val="left"/>
        <w:rPr>
          <w:rFonts w:cs="Times New Roman"/>
        </w:rPr>
      </w:pPr>
      <w:r>
        <w:rPr>
          <w:rFonts w:cs="Times New Roman"/>
          <w:kern w:val="0"/>
          <w:szCs w:val="24"/>
          <w:lang w:bidi="ar"/>
        </w:rPr>
        <w:t>①</w:t>
      </w:r>
      <w:r>
        <w:rPr>
          <w:rFonts w:cs="Times New Roman"/>
          <w:kern w:val="0"/>
          <w:szCs w:val="24"/>
          <w:lang w:bidi="ar"/>
        </w:rPr>
        <w:t>细砂（</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eol</w:t>
      </w:r>
      <w:r>
        <w:rPr>
          <w:rFonts w:cs="Times New Roman"/>
          <w:kern w:val="0"/>
          <w:szCs w:val="24"/>
          <w:lang w:bidi="ar"/>
        </w:rPr>
        <w:t>）</w:t>
      </w:r>
      <w:r>
        <w:rPr>
          <w:rFonts w:cs="Times New Roman"/>
          <w:kern w:val="0"/>
          <w:szCs w:val="24"/>
          <w:lang w:bidi="ar"/>
        </w:rPr>
        <w:t>：厚度</w:t>
      </w:r>
      <w:r>
        <w:rPr>
          <w:rFonts w:cs="Times New Roman"/>
          <w:kern w:val="0"/>
          <w:szCs w:val="24"/>
          <w:lang w:bidi="ar"/>
        </w:rPr>
        <w:t>0.5</w:t>
      </w:r>
      <w:r>
        <w:rPr>
          <w:rFonts w:cs="Times New Roman"/>
          <w:kern w:val="0"/>
          <w:szCs w:val="24"/>
          <w:lang w:bidi="ar"/>
        </w:rPr>
        <w:t>～</w:t>
      </w:r>
      <w:r>
        <w:rPr>
          <w:rFonts w:cs="Times New Roman"/>
          <w:kern w:val="0"/>
          <w:szCs w:val="24"/>
          <w:lang w:bidi="ar"/>
        </w:rPr>
        <w:t>2.4m</w:t>
      </w:r>
      <w:r>
        <w:rPr>
          <w:rFonts w:cs="Times New Roman"/>
          <w:kern w:val="0"/>
          <w:szCs w:val="24"/>
          <w:lang w:bidi="ar"/>
        </w:rPr>
        <w:t>，浅黄色、黄褐色，干燥，稍密。</w:t>
      </w:r>
    </w:p>
    <w:p w:rsidR="00A46452" w:rsidRDefault="009A3928" w:rsidP="00182EED">
      <w:pPr>
        <w:widowControl/>
        <w:ind w:firstLine="480"/>
        <w:jc w:val="left"/>
        <w:rPr>
          <w:rFonts w:cs="Times New Roman"/>
        </w:rPr>
      </w:pPr>
      <w:r>
        <w:rPr>
          <w:rFonts w:cs="Times New Roman"/>
          <w:kern w:val="0"/>
          <w:szCs w:val="24"/>
          <w:lang w:bidi="ar"/>
        </w:rPr>
        <w:t>②</w:t>
      </w:r>
      <w:r>
        <w:rPr>
          <w:rFonts w:cs="Times New Roman"/>
          <w:kern w:val="0"/>
          <w:szCs w:val="24"/>
          <w:lang w:bidi="ar"/>
        </w:rPr>
        <w:t>粉土（</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）：一般厚度</w:t>
      </w:r>
      <w:r>
        <w:rPr>
          <w:rFonts w:cs="Times New Roman"/>
          <w:kern w:val="0"/>
          <w:szCs w:val="24"/>
          <w:lang w:bidi="ar"/>
        </w:rPr>
        <w:t>0.6</w:t>
      </w:r>
      <w:r>
        <w:rPr>
          <w:rFonts w:cs="Times New Roman"/>
          <w:kern w:val="0"/>
          <w:szCs w:val="24"/>
          <w:lang w:bidi="ar"/>
        </w:rPr>
        <w:t>～</w:t>
      </w:r>
      <w:r>
        <w:rPr>
          <w:rFonts w:cs="Times New Roman"/>
          <w:kern w:val="0"/>
          <w:szCs w:val="24"/>
          <w:lang w:bidi="ar"/>
        </w:rPr>
        <w:t>2.5m</w:t>
      </w:r>
      <w:r>
        <w:rPr>
          <w:rFonts w:cs="Times New Roman"/>
          <w:kern w:val="0"/>
          <w:szCs w:val="24"/>
          <w:lang w:bidi="ar"/>
        </w:rPr>
        <w:t>，最大勘探深度</w:t>
      </w:r>
      <w:r>
        <w:rPr>
          <w:rFonts w:cs="Times New Roman"/>
          <w:kern w:val="0"/>
          <w:szCs w:val="24"/>
          <w:lang w:bidi="ar"/>
        </w:rPr>
        <w:t xml:space="preserve">3.0m </w:t>
      </w:r>
      <w:r>
        <w:rPr>
          <w:rFonts w:cs="Times New Roman"/>
          <w:kern w:val="0"/>
          <w:szCs w:val="24"/>
          <w:lang w:bidi="ar"/>
        </w:rPr>
        <w:t>内局部未揭穿，灰黄色、黄褐色，干燥～稍湿，稍密。</w:t>
      </w:r>
    </w:p>
    <w:p w:rsidR="00A46452" w:rsidRDefault="009A3928" w:rsidP="00182EED">
      <w:pPr>
        <w:widowControl/>
        <w:ind w:firstLine="480"/>
        <w:jc w:val="left"/>
        <w:rPr>
          <w:rFonts w:cs="Times New Roman"/>
        </w:rPr>
      </w:pPr>
      <w:r>
        <w:rPr>
          <w:rFonts w:cs="Times New Roman"/>
          <w:kern w:val="0"/>
          <w:szCs w:val="24"/>
          <w:lang w:bidi="ar"/>
        </w:rPr>
        <w:t>③</w:t>
      </w:r>
      <w:r>
        <w:rPr>
          <w:rFonts w:cs="Times New Roman"/>
          <w:kern w:val="0"/>
          <w:szCs w:val="24"/>
          <w:lang w:bidi="ar"/>
        </w:rPr>
        <w:t>细砂（</w:t>
      </w:r>
      <w:r>
        <w:rPr>
          <w:rFonts w:cs="Times New Roman"/>
          <w:kern w:val="0"/>
          <w:szCs w:val="24"/>
          <w:lang w:bidi="ar"/>
        </w:rPr>
        <w:t>Q4al+pl</w:t>
      </w:r>
      <w:r>
        <w:rPr>
          <w:rFonts w:cs="Times New Roman"/>
          <w:kern w:val="0"/>
          <w:szCs w:val="24"/>
          <w:lang w:bidi="ar"/>
        </w:rPr>
        <w:t>）：埋深</w:t>
      </w:r>
      <w:r>
        <w:rPr>
          <w:rFonts w:cs="Times New Roman"/>
          <w:kern w:val="0"/>
          <w:szCs w:val="24"/>
          <w:lang w:bidi="ar"/>
        </w:rPr>
        <w:t xml:space="preserve"> 0.6</w:t>
      </w:r>
      <w:r>
        <w:rPr>
          <w:rFonts w:cs="Times New Roman"/>
          <w:kern w:val="0"/>
          <w:szCs w:val="24"/>
          <w:lang w:bidi="ar"/>
        </w:rPr>
        <w:t>～</w:t>
      </w:r>
      <w:r>
        <w:rPr>
          <w:rFonts w:cs="Times New Roman"/>
          <w:kern w:val="0"/>
          <w:szCs w:val="24"/>
          <w:lang w:bidi="ar"/>
        </w:rPr>
        <w:t>3.0m</w:t>
      </w:r>
      <w:r>
        <w:rPr>
          <w:rFonts w:cs="Times New Roman"/>
          <w:kern w:val="0"/>
          <w:szCs w:val="24"/>
          <w:lang w:bidi="ar"/>
        </w:rPr>
        <w:t>，最大勘探深度</w:t>
      </w:r>
      <w:r>
        <w:rPr>
          <w:rFonts w:cs="Times New Roman"/>
          <w:kern w:val="0"/>
          <w:szCs w:val="24"/>
          <w:lang w:bidi="ar"/>
        </w:rPr>
        <w:t xml:space="preserve"> 3.0m </w:t>
      </w:r>
      <w:r>
        <w:rPr>
          <w:rFonts w:cs="Times New Roman"/>
          <w:kern w:val="0"/>
          <w:szCs w:val="24"/>
          <w:lang w:bidi="ar"/>
        </w:rPr>
        <w:t>内未揭穿，灰黄色、青灰色，稍湿，稍密。</w:t>
      </w:r>
    </w:p>
    <w:p w:rsidR="00A46452" w:rsidRDefault="009A3928" w:rsidP="00182EED">
      <w:pPr>
        <w:widowControl/>
        <w:ind w:firstLine="480"/>
        <w:jc w:val="left"/>
        <w:rPr>
          <w:rFonts w:cs="Times New Roman"/>
        </w:rPr>
      </w:pPr>
      <w:r>
        <w:rPr>
          <w:rFonts w:cs="Times New Roman"/>
          <w:kern w:val="0"/>
          <w:szCs w:val="24"/>
          <w:lang w:bidi="ar"/>
        </w:rPr>
        <w:t>（</w:t>
      </w:r>
      <w:r>
        <w:rPr>
          <w:rFonts w:cs="Times New Roman"/>
          <w:kern w:val="0"/>
          <w:szCs w:val="24"/>
          <w:lang w:bidi="ar"/>
        </w:rPr>
        <w:t>4</w:t>
      </w:r>
      <w:r>
        <w:rPr>
          <w:rFonts w:cs="Times New Roman"/>
          <w:kern w:val="0"/>
          <w:szCs w:val="24"/>
          <w:lang w:bidi="ar"/>
        </w:rPr>
        <w:t>）柯坪山前倾斜砾质平原区</w:t>
      </w:r>
    </w:p>
    <w:p w:rsidR="00A46452" w:rsidRDefault="009A3928" w:rsidP="00182EED">
      <w:pPr>
        <w:widowControl/>
        <w:ind w:firstLine="480"/>
        <w:jc w:val="left"/>
        <w:rPr>
          <w:rFonts w:cs="Times New Roman"/>
        </w:rPr>
      </w:pPr>
      <w:r>
        <w:rPr>
          <w:rFonts w:cs="Times New Roman"/>
          <w:kern w:val="0"/>
          <w:szCs w:val="24"/>
          <w:lang w:bidi="ar"/>
        </w:rPr>
        <w:t>基地层岩性自上而下主要分为：</w:t>
      </w:r>
    </w:p>
    <w:p w:rsidR="00A46452" w:rsidRDefault="009A3928" w:rsidP="00182EED">
      <w:pPr>
        <w:widowControl/>
        <w:ind w:firstLine="480"/>
        <w:jc w:val="left"/>
        <w:rPr>
          <w:rFonts w:cs="Times New Roman"/>
        </w:rPr>
      </w:pPr>
      <w:r>
        <w:rPr>
          <w:rFonts w:cs="Times New Roman"/>
          <w:kern w:val="0"/>
          <w:szCs w:val="24"/>
          <w:lang w:bidi="ar"/>
        </w:rPr>
        <w:t>①</w:t>
      </w:r>
      <w:r>
        <w:rPr>
          <w:rFonts w:cs="Times New Roman"/>
          <w:kern w:val="0"/>
          <w:szCs w:val="24"/>
          <w:lang w:bidi="ar"/>
        </w:rPr>
        <w:t>耕植土（</w:t>
      </w:r>
      <w:r>
        <w:rPr>
          <w:rFonts w:cs="Times New Roman"/>
          <w:kern w:val="0"/>
          <w:szCs w:val="24"/>
          <w:lang w:bidi="ar"/>
        </w:rPr>
        <w:t>Q</w:t>
      </w:r>
      <w:r>
        <w:rPr>
          <w:rFonts w:cs="Times New Roman"/>
          <w:kern w:val="0"/>
          <w:szCs w:val="24"/>
          <w:vertAlign w:val="subscript"/>
          <w:lang w:bidi="ar"/>
        </w:rPr>
        <w:t>4</w:t>
      </w:r>
      <w:r>
        <w:rPr>
          <w:rFonts w:cs="Times New Roman"/>
          <w:kern w:val="0"/>
          <w:szCs w:val="24"/>
          <w:vertAlign w:val="superscript"/>
          <w:lang w:bidi="ar"/>
        </w:rPr>
        <w:t>ml</w:t>
      </w:r>
      <w:r>
        <w:rPr>
          <w:rFonts w:cs="Times New Roman"/>
          <w:kern w:val="0"/>
          <w:szCs w:val="24"/>
          <w:lang w:bidi="ar"/>
        </w:rPr>
        <w:t>）：主要为耕植土，部分为杂填土，厚度</w:t>
      </w:r>
      <w:r>
        <w:rPr>
          <w:rFonts w:cs="Times New Roman"/>
          <w:kern w:val="0"/>
          <w:szCs w:val="24"/>
          <w:lang w:bidi="ar"/>
        </w:rPr>
        <w:t xml:space="preserve"> 0.4</w:t>
      </w:r>
      <w:r>
        <w:rPr>
          <w:rFonts w:cs="Times New Roman"/>
          <w:kern w:val="0"/>
          <w:szCs w:val="24"/>
          <w:lang w:bidi="ar"/>
        </w:rPr>
        <w:t>～</w:t>
      </w:r>
      <w:r>
        <w:rPr>
          <w:rFonts w:cs="Times New Roman"/>
          <w:kern w:val="0"/>
          <w:szCs w:val="24"/>
          <w:lang w:bidi="ar"/>
        </w:rPr>
        <w:t>0.6m,</w:t>
      </w:r>
      <w:r>
        <w:rPr>
          <w:rFonts w:cs="Times New Roman"/>
          <w:kern w:val="0"/>
          <w:szCs w:val="24"/>
          <w:lang w:bidi="ar"/>
        </w:rPr>
        <w:t>浅黄色、黄褐色，干燥～稍湿，岩性主要为粉土。</w:t>
      </w:r>
    </w:p>
    <w:p w:rsidR="00A46452" w:rsidRDefault="009A3928" w:rsidP="00182EED">
      <w:pPr>
        <w:widowControl/>
        <w:ind w:firstLine="480"/>
        <w:jc w:val="left"/>
        <w:rPr>
          <w:rFonts w:cs="Times New Roman"/>
        </w:rPr>
      </w:pPr>
      <w:r>
        <w:rPr>
          <w:rFonts w:cs="Times New Roman"/>
          <w:kern w:val="0"/>
          <w:szCs w:val="24"/>
          <w:lang w:bidi="ar"/>
        </w:rPr>
        <w:t>②</w:t>
      </w:r>
      <w:r>
        <w:rPr>
          <w:rFonts w:cs="Times New Roman"/>
          <w:kern w:val="0"/>
          <w:szCs w:val="24"/>
          <w:lang w:bidi="ar"/>
        </w:rPr>
        <w:t>粉土（</w:t>
      </w:r>
      <w:r>
        <w:rPr>
          <w:rFonts w:cs="Times New Roman"/>
          <w:kern w:val="0"/>
          <w:szCs w:val="24"/>
          <w:lang w:bidi="ar"/>
        </w:rPr>
        <w:t>Q</w:t>
      </w:r>
      <w:r>
        <w:rPr>
          <w:rFonts w:cs="Times New Roman"/>
          <w:kern w:val="0"/>
          <w:szCs w:val="24"/>
          <w:vertAlign w:val="subscript"/>
          <w:lang w:bidi="ar"/>
        </w:rPr>
        <w:t>3</w:t>
      </w:r>
      <w:r>
        <w:rPr>
          <w:rFonts w:cs="Times New Roman"/>
          <w:kern w:val="0"/>
          <w:szCs w:val="24"/>
          <w:vertAlign w:val="subscript"/>
          <w:lang w:bidi="ar"/>
        </w:rPr>
        <w:t>～</w:t>
      </w:r>
      <w:r>
        <w:rPr>
          <w:rFonts w:cs="Times New Roman"/>
          <w:kern w:val="0"/>
          <w:szCs w:val="24"/>
          <w:vertAlign w:val="subscript"/>
          <w:lang w:bidi="ar"/>
        </w:rPr>
        <w:t>4</w:t>
      </w:r>
      <w:r>
        <w:rPr>
          <w:rFonts w:cs="Times New Roman"/>
          <w:kern w:val="0"/>
          <w:szCs w:val="24"/>
          <w:vertAlign w:val="superscript"/>
          <w:lang w:bidi="ar"/>
        </w:rPr>
        <w:t>al+pl</w:t>
      </w:r>
      <w:r>
        <w:rPr>
          <w:rFonts w:cs="Times New Roman"/>
          <w:kern w:val="0"/>
          <w:szCs w:val="24"/>
          <w:lang w:bidi="ar"/>
        </w:rPr>
        <w:t>）：最大勘探深度</w:t>
      </w:r>
      <w:r>
        <w:rPr>
          <w:rFonts w:cs="Times New Roman"/>
          <w:kern w:val="0"/>
          <w:szCs w:val="24"/>
          <w:lang w:bidi="ar"/>
        </w:rPr>
        <w:t xml:space="preserve">3.0m </w:t>
      </w:r>
      <w:r>
        <w:rPr>
          <w:rFonts w:cs="Times New Roman"/>
          <w:kern w:val="0"/>
          <w:szCs w:val="24"/>
          <w:lang w:bidi="ar"/>
        </w:rPr>
        <w:t>内未揭穿，灰黄色、黄褐色，稍湿，稍密。</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6.1.5.3</w:t>
      </w:r>
      <w:r>
        <w:rPr>
          <w:rFonts w:cs="Times New Roman" w:hint="default"/>
          <w:iCs/>
        </w:rPr>
        <w:t>地震</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项目区不良地质主要为强震区、地震液化等，具体特点及段落分布叙述如下</w:t>
      </w:r>
      <w:r>
        <w:rPr>
          <w:rFonts w:cs="Times New Roman"/>
          <w:kern w:val="0"/>
          <w:szCs w:val="24"/>
          <w:lang w:bidi="ar"/>
        </w:rPr>
        <w:t>:</w:t>
      </w:r>
    </w:p>
    <w:p w:rsidR="00A46452" w:rsidRDefault="009A3928">
      <w:pPr>
        <w:wordWrap w:val="0"/>
        <w:topLinePunct/>
        <w:adjustRightInd w:val="0"/>
        <w:snapToGrid w:val="0"/>
        <w:ind w:firstLine="482"/>
        <w:jc w:val="left"/>
        <w:rPr>
          <w:rFonts w:cs="Times New Roman"/>
        </w:rPr>
      </w:pPr>
      <w:r>
        <w:rPr>
          <w:rFonts w:cs="Times New Roman"/>
          <w:b/>
          <w:bCs/>
          <w:kern w:val="0"/>
          <w:szCs w:val="24"/>
          <w:lang w:bidi="ar"/>
        </w:rPr>
        <w:t>（</w:t>
      </w:r>
      <w:r>
        <w:rPr>
          <w:rFonts w:cs="Times New Roman"/>
          <w:b/>
          <w:bCs/>
          <w:kern w:val="0"/>
          <w:szCs w:val="24"/>
          <w:lang w:bidi="ar"/>
        </w:rPr>
        <w:t>1</w:t>
      </w:r>
      <w:r>
        <w:rPr>
          <w:rFonts w:cs="Times New Roman"/>
          <w:b/>
          <w:bCs/>
          <w:kern w:val="0"/>
          <w:szCs w:val="24"/>
          <w:lang w:bidi="ar"/>
        </w:rPr>
        <w:t>）强震区</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路线</w:t>
      </w:r>
      <w:r>
        <w:rPr>
          <w:rFonts w:cs="Times New Roman"/>
          <w:kern w:val="0"/>
          <w:szCs w:val="24"/>
          <w:lang w:bidi="ar"/>
        </w:rPr>
        <w:t>K68+500</w:t>
      </w:r>
      <w:r>
        <w:rPr>
          <w:rFonts w:cs="Times New Roman"/>
          <w:kern w:val="0"/>
          <w:szCs w:val="24"/>
          <w:lang w:bidi="ar"/>
        </w:rPr>
        <w:t>至线路终点区段，</w:t>
      </w:r>
      <w:r>
        <w:rPr>
          <w:rFonts w:cs="Times New Roman"/>
          <w:kern w:val="0"/>
          <w:szCs w:val="24"/>
          <w:lang w:bidi="ar"/>
        </w:rPr>
        <w:t>Ⅱ</w:t>
      </w:r>
      <w:r>
        <w:rPr>
          <w:rFonts w:cs="Times New Roman"/>
          <w:kern w:val="0"/>
          <w:szCs w:val="24"/>
          <w:lang w:bidi="ar"/>
        </w:rPr>
        <w:t>类场地基本地震动峰值加速度为</w:t>
      </w:r>
      <w:r>
        <w:rPr>
          <w:rFonts w:cs="Times New Roman"/>
          <w:kern w:val="0"/>
          <w:szCs w:val="24"/>
          <w:lang w:bidi="ar"/>
        </w:rPr>
        <w:t>0.20g</w:t>
      </w:r>
      <w:r>
        <w:rPr>
          <w:rFonts w:cs="Times New Roman"/>
          <w:kern w:val="0"/>
          <w:szCs w:val="24"/>
          <w:lang w:bidi="ar"/>
        </w:rPr>
        <w:t>，对应地震基本烈度为</w:t>
      </w:r>
      <w:r>
        <w:rPr>
          <w:rFonts w:cs="Times New Roman"/>
          <w:kern w:val="0"/>
          <w:szCs w:val="24"/>
          <w:lang w:bidi="ar"/>
        </w:rPr>
        <w:t>Ⅷ</w:t>
      </w:r>
      <w:r>
        <w:rPr>
          <w:rFonts w:cs="Times New Roman"/>
          <w:kern w:val="0"/>
          <w:szCs w:val="24"/>
          <w:lang w:bidi="ar"/>
        </w:rPr>
        <w:t>度，动反应谱特征周期</w:t>
      </w:r>
      <w:r>
        <w:rPr>
          <w:rFonts w:cs="Times New Roman"/>
          <w:kern w:val="0"/>
          <w:szCs w:val="24"/>
          <w:lang w:bidi="ar"/>
        </w:rPr>
        <w:t>0.40s</w:t>
      </w:r>
      <w:r>
        <w:rPr>
          <w:rFonts w:cs="Times New Roman"/>
          <w:kern w:val="0"/>
          <w:szCs w:val="24"/>
          <w:lang w:bidi="ar"/>
        </w:rPr>
        <w:t>，设计地震分组为第二组，区域构造稳定性较差。</w:t>
      </w:r>
      <w:r>
        <w:rPr>
          <w:rFonts w:cs="Times New Roman"/>
          <w:kern w:val="0"/>
          <w:szCs w:val="24"/>
          <w:lang w:bidi="ar"/>
        </w:rPr>
        <w:t>项目</w:t>
      </w:r>
      <w:r>
        <w:rPr>
          <w:rFonts w:cs="Times New Roman"/>
          <w:kern w:val="0"/>
          <w:szCs w:val="24"/>
          <w:lang w:bidi="ar"/>
        </w:rPr>
        <w:t>区区域断裂主要分布于南天山山区、山麓地带、塔里木盆地北缘地带及柯坪推覆构造内，主要断裂为柯坪断裂（</w:t>
      </w:r>
      <w:r>
        <w:rPr>
          <w:rFonts w:cs="Times New Roman"/>
          <w:kern w:val="0"/>
          <w:szCs w:val="24"/>
          <w:lang w:bidi="ar"/>
        </w:rPr>
        <w:t>F1</w:t>
      </w:r>
      <w:r>
        <w:rPr>
          <w:rFonts w:cs="Times New Roman"/>
          <w:kern w:val="0"/>
          <w:szCs w:val="24"/>
          <w:lang w:bidi="ar"/>
        </w:rPr>
        <w:t>）和平原区多条推测隐伏断裂。仅柯坪段线路穿过柯坪断裂（</w:t>
      </w:r>
      <w:r>
        <w:rPr>
          <w:rFonts w:cs="Times New Roman"/>
          <w:kern w:val="0"/>
          <w:szCs w:val="24"/>
          <w:lang w:bidi="ar"/>
        </w:rPr>
        <w:t>F1</w:t>
      </w:r>
      <w:r>
        <w:rPr>
          <w:rFonts w:cs="Times New Roman"/>
          <w:kern w:val="0"/>
          <w:szCs w:val="24"/>
          <w:lang w:bidi="ar"/>
        </w:rPr>
        <w:t>）对项目区影响较大。柯坪段位于南天山地震带，具有强度大，频度高，而且有不均匀分布的特点，属强震区。拟建公路存在饱和砂土及饱和粉土，根据桥梁区钻孔地震液化判别，拟建公路饱和砂土（粉土）液化判别，</w:t>
      </w:r>
      <w:r>
        <w:rPr>
          <w:rFonts w:cs="Times New Roman"/>
          <w:kern w:val="0"/>
          <w:szCs w:val="24"/>
          <w:lang w:bidi="ar"/>
        </w:rPr>
        <w:t>K81+160</w:t>
      </w:r>
      <w:r>
        <w:rPr>
          <w:rFonts w:cs="Times New Roman"/>
          <w:kern w:val="0"/>
          <w:szCs w:val="24"/>
          <w:lang w:bidi="ar"/>
        </w:rPr>
        <w:t>处地震烈度为</w:t>
      </w:r>
      <w:r>
        <w:rPr>
          <w:rFonts w:cs="Times New Roman"/>
          <w:kern w:val="0"/>
          <w:szCs w:val="24"/>
          <w:lang w:bidi="ar"/>
        </w:rPr>
        <w:t>Ⅷ</w:t>
      </w:r>
      <w:r>
        <w:rPr>
          <w:rFonts w:cs="Times New Roman"/>
          <w:kern w:val="0"/>
          <w:szCs w:val="24"/>
          <w:lang w:bidi="ar"/>
        </w:rPr>
        <w:t>度，地震动峰值加速度为</w:t>
      </w:r>
      <w:r>
        <w:rPr>
          <w:rFonts w:cs="Times New Roman"/>
          <w:kern w:val="0"/>
          <w:szCs w:val="24"/>
          <w:lang w:bidi="ar"/>
        </w:rPr>
        <w:t>0.20g</w:t>
      </w:r>
      <w:r>
        <w:rPr>
          <w:rFonts w:cs="Times New Roman"/>
          <w:kern w:val="0"/>
          <w:szCs w:val="24"/>
          <w:lang w:bidi="ar"/>
        </w:rPr>
        <w:t>，反应谱特征周期</w:t>
      </w:r>
      <w:r>
        <w:rPr>
          <w:rFonts w:cs="Times New Roman"/>
          <w:kern w:val="0"/>
          <w:szCs w:val="24"/>
          <w:lang w:bidi="ar"/>
        </w:rPr>
        <w:t>0.40s</w:t>
      </w:r>
      <w:r>
        <w:rPr>
          <w:rFonts w:cs="Times New Roman"/>
          <w:kern w:val="0"/>
          <w:szCs w:val="24"/>
          <w:lang w:bidi="ar"/>
        </w:rPr>
        <w:t>，液化指数为</w:t>
      </w:r>
      <w:r>
        <w:rPr>
          <w:rFonts w:cs="Times New Roman"/>
          <w:kern w:val="0"/>
          <w:szCs w:val="24"/>
          <w:lang w:bidi="ar"/>
        </w:rPr>
        <w:t>6.67</w:t>
      </w:r>
      <w:r>
        <w:rPr>
          <w:rFonts w:cs="Times New Roman"/>
          <w:kern w:val="0"/>
          <w:szCs w:val="24"/>
          <w:lang w:bidi="ar"/>
        </w:rPr>
        <w:t>，液化等级为中等液化</w:t>
      </w:r>
      <w:r>
        <w:rPr>
          <w:rFonts w:cs="Times New Roman"/>
          <w:kern w:val="0"/>
          <w:szCs w:val="24"/>
          <w:lang w:bidi="ar"/>
        </w:rPr>
        <w:t>，</w:t>
      </w:r>
      <w:r>
        <w:rPr>
          <w:rFonts w:cs="Times New Roman"/>
          <w:kern w:val="0"/>
          <w:szCs w:val="24"/>
          <w:lang w:bidi="ar"/>
        </w:rPr>
        <w:t>表层粉砂液化土层厚度</w:t>
      </w:r>
      <w:r>
        <w:rPr>
          <w:rFonts w:cs="Times New Roman"/>
          <w:kern w:val="0"/>
          <w:szCs w:val="24"/>
          <w:lang w:bidi="ar"/>
        </w:rPr>
        <w:t>4.5m</w:t>
      </w:r>
      <w:r>
        <w:rPr>
          <w:rFonts w:cs="Times New Roman"/>
          <w:kern w:val="0"/>
          <w:szCs w:val="24"/>
          <w:lang w:bidi="ar"/>
        </w:rPr>
        <w:t>。</w:t>
      </w:r>
      <w:r>
        <w:rPr>
          <w:rFonts w:cs="Times New Roman"/>
          <w:kern w:val="0"/>
          <w:szCs w:val="24"/>
          <w:lang w:bidi="ar"/>
        </w:rPr>
        <w:t>K</w:t>
      </w:r>
      <w:r>
        <w:rPr>
          <w:rFonts w:cs="Times New Roman"/>
          <w:kern w:val="0"/>
          <w:szCs w:val="24"/>
          <w:lang w:bidi="ar"/>
        </w:rPr>
        <w:t>85+070</w:t>
      </w:r>
      <w:r>
        <w:rPr>
          <w:rFonts w:cs="Times New Roman"/>
          <w:kern w:val="0"/>
          <w:szCs w:val="24"/>
          <w:lang w:bidi="ar"/>
        </w:rPr>
        <w:t>处地震烈度为</w:t>
      </w:r>
      <w:r>
        <w:rPr>
          <w:rFonts w:cs="Times New Roman"/>
          <w:kern w:val="0"/>
          <w:szCs w:val="24"/>
          <w:lang w:bidi="ar"/>
        </w:rPr>
        <w:t>Ⅷ</w:t>
      </w:r>
      <w:r>
        <w:rPr>
          <w:rFonts w:cs="Times New Roman"/>
          <w:kern w:val="0"/>
          <w:szCs w:val="24"/>
          <w:lang w:bidi="ar"/>
        </w:rPr>
        <w:t>度，地震动峰值加速度为</w:t>
      </w:r>
      <w:r>
        <w:rPr>
          <w:rFonts w:cs="Times New Roman"/>
          <w:kern w:val="0"/>
          <w:szCs w:val="24"/>
          <w:lang w:bidi="ar"/>
        </w:rPr>
        <w:t xml:space="preserve"> 0.20g</w:t>
      </w:r>
      <w:r>
        <w:rPr>
          <w:rFonts w:cs="Times New Roman"/>
          <w:kern w:val="0"/>
          <w:szCs w:val="24"/>
          <w:lang w:bidi="ar"/>
        </w:rPr>
        <w:t>，反应谱特征周期</w:t>
      </w:r>
      <w:r>
        <w:rPr>
          <w:rFonts w:cs="Times New Roman"/>
          <w:kern w:val="0"/>
          <w:szCs w:val="24"/>
          <w:lang w:bidi="ar"/>
        </w:rPr>
        <w:t>0.40s</w:t>
      </w:r>
      <w:r>
        <w:rPr>
          <w:rFonts w:cs="Times New Roman"/>
          <w:kern w:val="0"/>
          <w:szCs w:val="24"/>
          <w:lang w:bidi="ar"/>
        </w:rPr>
        <w:t>，液化指数为</w:t>
      </w:r>
      <w:r>
        <w:rPr>
          <w:rFonts w:cs="Times New Roman"/>
          <w:kern w:val="0"/>
          <w:szCs w:val="24"/>
          <w:lang w:bidi="ar"/>
        </w:rPr>
        <w:t>9</w:t>
      </w:r>
      <w:r>
        <w:rPr>
          <w:rFonts w:cs="Times New Roman"/>
          <w:kern w:val="0"/>
          <w:szCs w:val="24"/>
          <w:lang w:bidi="ar"/>
        </w:rPr>
        <w:t>，液化等级为中等液化</w:t>
      </w:r>
      <w:r>
        <w:rPr>
          <w:rFonts w:cs="Times New Roman"/>
          <w:kern w:val="0"/>
          <w:szCs w:val="24"/>
          <w:lang w:bidi="ar"/>
        </w:rPr>
        <w:t>，</w:t>
      </w:r>
      <w:r>
        <w:rPr>
          <w:rFonts w:cs="Times New Roman"/>
          <w:kern w:val="0"/>
          <w:szCs w:val="24"/>
          <w:lang w:bidi="ar"/>
        </w:rPr>
        <w:t>表层细砂液化土层厚度</w:t>
      </w:r>
      <w:r>
        <w:rPr>
          <w:rFonts w:cs="Times New Roman"/>
          <w:kern w:val="0"/>
          <w:szCs w:val="24"/>
          <w:lang w:bidi="ar"/>
        </w:rPr>
        <w:t>5.0m</w:t>
      </w:r>
      <w:r>
        <w:rPr>
          <w:rFonts w:cs="Times New Roman"/>
          <w:kern w:val="0"/>
          <w:szCs w:val="24"/>
          <w:lang w:bidi="ar"/>
        </w:rPr>
        <w:t>。</w:t>
      </w:r>
      <w:r>
        <w:rPr>
          <w:rFonts w:cs="Times New Roman"/>
          <w:kern w:val="0"/>
          <w:szCs w:val="24"/>
          <w:lang w:bidi="ar"/>
        </w:rPr>
        <w:t>K100+340</w:t>
      </w:r>
      <w:r>
        <w:rPr>
          <w:rFonts w:cs="Times New Roman"/>
          <w:kern w:val="0"/>
          <w:szCs w:val="24"/>
          <w:lang w:bidi="ar"/>
        </w:rPr>
        <w:t>处地震烈度为</w:t>
      </w:r>
      <w:r>
        <w:rPr>
          <w:rFonts w:cs="Times New Roman"/>
          <w:kern w:val="0"/>
          <w:szCs w:val="24"/>
          <w:lang w:bidi="ar"/>
        </w:rPr>
        <w:t>Ⅷ</w:t>
      </w:r>
      <w:r>
        <w:rPr>
          <w:rFonts w:cs="Times New Roman"/>
          <w:kern w:val="0"/>
          <w:szCs w:val="24"/>
          <w:lang w:bidi="ar"/>
        </w:rPr>
        <w:t>度，地震动峰值加速度为</w:t>
      </w:r>
      <w:r>
        <w:rPr>
          <w:rFonts w:cs="Times New Roman"/>
          <w:kern w:val="0"/>
          <w:szCs w:val="24"/>
          <w:lang w:bidi="ar"/>
        </w:rPr>
        <w:t>0.20g</w:t>
      </w:r>
      <w:r>
        <w:rPr>
          <w:rFonts w:cs="Times New Roman"/>
          <w:kern w:val="0"/>
          <w:szCs w:val="24"/>
          <w:lang w:bidi="ar"/>
        </w:rPr>
        <w:t>，反应谱特征周期</w:t>
      </w:r>
      <w:r>
        <w:rPr>
          <w:rFonts w:cs="Times New Roman"/>
          <w:kern w:val="0"/>
          <w:szCs w:val="24"/>
          <w:lang w:bidi="ar"/>
        </w:rPr>
        <w:t>0.40s</w:t>
      </w:r>
      <w:r>
        <w:rPr>
          <w:rFonts w:cs="Times New Roman"/>
          <w:kern w:val="0"/>
          <w:szCs w:val="24"/>
          <w:lang w:bidi="ar"/>
        </w:rPr>
        <w:t>，液化指数为</w:t>
      </w:r>
      <w:r>
        <w:rPr>
          <w:rFonts w:cs="Times New Roman"/>
          <w:kern w:val="0"/>
          <w:szCs w:val="24"/>
          <w:lang w:bidi="ar"/>
        </w:rPr>
        <w:t>12.5</w:t>
      </w:r>
      <w:r>
        <w:rPr>
          <w:rFonts w:cs="Times New Roman"/>
          <w:kern w:val="0"/>
          <w:szCs w:val="24"/>
          <w:lang w:bidi="ar"/>
        </w:rPr>
        <w:t>，液化等级为中等液化</w:t>
      </w:r>
      <w:r>
        <w:rPr>
          <w:rFonts w:cs="Times New Roman"/>
          <w:kern w:val="0"/>
          <w:szCs w:val="24"/>
          <w:lang w:bidi="ar"/>
        </w:rPr>
        <w:t>,</w:t>
      </w:r>
      <w:r>
        <w:rPr>
          <w:rFonts w:cs="Times New Roman"/>
          <w:kern w:val="0"/>
          <w:szCs w:val="24"/>
          <w:lang w:bidi="ar"/>
        </w:rPr>
        <w:t>表层细砂液化土层厚度</w:t>
      </w:r>
      <w:r>
        <w:rPr>
          <w:rFonts w:cs="Times New Roman"/>
          <w:kern w:val="0"/>
          <w:szCs w:val="24"/>
          <w:lang w:bidi="ar"/>
        </w:rPr>
        <w:t>2.6m</w:t>
      </w:r>
      <w:r>
        <w:rPr>
          <w:rFonts w:cs="Times New Roman"/>
          <w:kern w:val="0"/>
          <w:szCs w:val="24"/>
          <w:lang w:bidi="ar"/>
        </w:rPr>
        <w:t>。项目区桥梁抗震设防类别为</w:t>
      </w:r>
      <w:r>
        <w:rPr>
          <w:rFonts w:cs="Times New Roman"/>
          <w:kern w:val="0"/>
          <w:szCs w:val="24"/>
          <w:lang w:bidi="ar"/>
        </w:rPr>
        <w:t>B</w:t>
      </w:r>
      <w:r>
        <w:rPr>
          <w:rFonts w:cs="Times New Roman"/>
          <w:kern w:val="0"/>
          <w:szCs w:val="24"/>
          <w:lang w:bidi="ar"/>
        </w:rPr>
        <w:t>类，液化等级为中等时，应全部消除液化沉陷，或部分消除液化沉陷且对基础和上部结构进行处理，具体处理措施宜按《公路桥梁抗震设计规范》（</w:t>
      </w:r>
      <w:r>
        <w:rPr>
          <w:rFonts w:cs="Times New Roman"/>
          <w:kern w:val="0"/>
          <w:szCs w:val="24"/>
          <w:lang w:bidi="ar"/>
        </w:rPr>
        <w:t>JTG/T 2231-01-2020</w:t>
      </w:r>
      <w:r>
        <w:rPr>
          <w:rFonts w:cs="Times New Roman"/>
          <w:kern w:val="0"/>
          <w:szCs w:val="24"/>
          <w:lang w:bidi="ar"/>
        </w:rPr>
        <w:t>）</w:t>
      </w:r>
      <w:r>
        <w:rPr>
          <w:rFonts w:cs="Times New Roman"/>
          <w:kern w:val="0"/>
          <w:szCs w:val="24"/>
          <w:lang w:bidi="ar"/>
        </w:rPr>
        <w:t>4.2</w:t>
      </w:r>
      <w:r>
        <w:rPr>
          <w:rFonts w:cs="Times New Roman"/>
          <w:kern w:val="0"/>
          <w:szCs w:val="24"/>
          <w:lang w:bidi="ar"/>
        </w:rPr>
        <w:t>.6</w:t>
      </w:r>
      <w:r>
        <w:rPr>
          <w:rFonts w:cs="Times New Roman"/>
          <w:kern w:val="0"/>
          <w:szCs w:val="24"/>
          <w:lang w:bidi="ar"/>
        </w:rPr>
        <w:t>～</w:t>
      </w:r>
      <w:r>
        <w:rPr>
          <w:rFonts w:cs="Times New Roman"/>
          <w:kern w:val="0"/>
          <w:szCs w:val="24"/>
          <w:lang w:bidi="ar"/>
        </w:rPr>
        <w:t>4.2.8</w:t>
      </w:r>
      <w:r>
        <w:rPr>
          <w:rFonts w:cs="Times New Roman"/>
          <w:kern w:val="0"/>
          <w:szCs w:val="24"/>
          <w:lang w:bidi="ar"/>
        </w:rPr>
        <w:t>节并结合液化等级确定。</w:t>
      </w:r>
    </w:p>
    <w:p w:rsidR="00A46452" w:rsidRDefault="009A3928" w:rsidP="00182EED">
      <w:pPr>
        <w:wordWrap w:val="0"/>
        <w:topLinePunct/>
        <w:adjustRightInd w:val="0"/>
        <w:snapToGrid w:val="0"/>
        <w:ind w:firstLine="482"/>
        <w:jc w:val="left"/>
        <w:rPr>
          <w:rFonts w:cs="Times New Roman"/>
        </w:rPr>
      </w:pPr>
      <w:r>
        <w:rPr>
          <w:rFonts w:cs="Times New Roman"/>
          <w:b/>
          <w:bCs/>
          <w:kern w:val="0"/>
          <w:szCs w:val="24"/>
          <w:lang w:bidi="ar"/>
        </w:rPr>
        <w:t>（</w:t>
      </w:r>
      <w:r>
        <w:rPr>
          <w:rFonts w:cs="Times New Roman"/>
          <w:b/>
          <w:bCs/>
          <w:kern w:val="0"/>
          <w:szCs w:val="24"/>
          <w:lang w:bidi="ar"/>
        </w:rPr>
        <w:t>2</w:t>
      </w:r>
      <w:r>
        <w:rPr>
          <w:rFonts w:cs="Times New Roman"/>
          <w:b/>
          <w:bCs/>
          <w:kern w:val="0"/>
          <w:szCs w:val="24"/>
          <w:lang w:bidi="ar"/>
        </w:rPr>
        <w:t>）地震动峰值加速度</w:t>
      </w:r>
    </w:p>
    <w:p w:rsidR="00A46452" w:rsidRDefault="009A3928" w:rsidP="00182EED">
      <w:pPr>
        <w:wordWrap w:val="0"/>
        <w:topLinePunct/>
        <w:adjustRightInd w:val="0"/>
        <w:snapToGrid w:val="0"/>
        <w:ind w:firstLine="480"/>
        <w:jc w:val="left"/>
        <w:rPr>
          <w:rFonts w:cs="Times New Roman"/>
          <w:kern w:val="0"/>
          <w:szCs w:val="24"/>
          <w:lang w:bidi="ar"/>
        </w:rPr>
      </w:pPr>
      <w:r>
        <w:rPr>
          <w:rFonts w:cs="Times New Roman"/>
          <w:kern w:val="0"/>
          <w:szCs w:val="24"/>
          <w:lang w:bidi="ar"/>
        </w:rPr>
        <w:t>根据《中国地震动参数区划图》（</w:t>
      </w:r>
      <w:r>
        <w:rPr>
          <w:rFonts w:cs="Times New Roman"/>
          <w:kern w:val="0"/>
          <w:szCs w:val="24"/>
          <w:lang w:bidi="ar"/>
        </w:rPr>
        <w:t>GB18306-2015</w:t>
      </w:r>
      <w:r>
        <w:rPr>
          <w:rFonts w:cs="Times New Roman"/>
          <w:kern w:val="0"/>
          <w:szCs w:val="24"/>
          <w:lang w:bidi="ar"/>
        </w:rPr>
        <w:t>），</w:t>
      </w:r>
      <w:r>
        <w:rPr>
          <w:rFonts w:cs="Times New Roman"/>
          <w:kern w:val="0"/>
          <w:szCs w:val="24"/>
          <w:lang w:bidi="ar"/>
        </w:rPr>
        <w:t>拟建项目</w:t>
      </w:r>
      <w:r>
        <w:rPr>
          <w:rFonts w:cs="Times New Roman"/>
          <w:kern w:val="0"/>
          <w:szCs w:val="24"/>
          <w:lang w:bidi="ar"/>
        </w:rPr>
        <w:t>Ⅱ</w:t>
      </w:r>
      <w:r>
        <w:rPr>
          <w:rFonts w:cs="Times New Roman"/>
          <w:kern w:val="0"/>
          <w:szCs w:val="24"/>
          <w:lang w:bidi="ar"/>
        </w:rPr>
        <w:t>类场地基本地震动峰值加速度跨越三个区，第一段为</w:t>
      </w:r>
      <w:r>
        <w:rPr>
          <w:rFonts w:cs="Times New Roman"/>
          <w:kern w:val="0"/>
          <w:szCs w:val="24"/>
          <w:lang w:bidi="ar"/>
        </w:rPr>
        <w:t>0.10g</w:t>
      </w:r>
      <w:r>
        <w:rPr>
          <w:rFonts w:cs="Times New Roman"/>
          <w:kern w:val="0"/>
          <w:szCs w:val="24"/>
          <w:lang w:bidi="ar"/>
        </w:rPr>
        <w:t>（</w:t>
      </w:r>
      <w:r>
        <w:rPr>
          <w:rFonts w:cs="Times New Roman"/>
          <w:kern w:val="0"/>
          <w:szCs w:val="24"/>
          <w:lang w:bidi="ar"/>
        </w:rPr>
        <w:t>K0+000</w:t>
      </w:r>
      <w:r>
        <w:rPr>
          <w:rFonts w:cs="Times New Roman"/>
          <w:kern w:val="0"/>
          <w:szCs w:val="24"/>
          <w:lang w:bidi="ar"/>
        </w:rPr>
        <w:t>～</w:t>
      </w:r>
      <w:r>
        <w:rPr>
          <w:rFonts w:cs="Times New Roman"/>
          <w:kern w:val="0"/>
          <w:szCs w:val="24"/>
          <w:lang w:bidi="ar"/>
        </w:rPr>
        <w:t>K45+960</w:t>
      </w:r>
      <w:r>
        <w:rPr>
          <w:rFonts w:cs="Times New Roman"/>
          <w:kern w:val="0"/>
          <w:szCs w:val="24"/>
          <w:lang w:bidi="ar"/>
        </w:rPr>
        <w:t>）、第二段为</w:t>
      </w:r>
      <w:r>
        <w:rPr>
          <w:rFonts w:cs="Times New Roman"/>
          <w:kern w:val="0"/>
          <w:szCs w:val="24"/>
          <w:lang w:bidi="ar"/>
        </w:rPr>
        <w:t>0.15g</w:t>
      </w:r>
      <w:r>
        <w:rPr>
          <w:rFonts w:cs="Times New Roman"/>
          <w:kern w:val="0"/>
          <w:szCs w:val="24"/>
          <w:lang w:bidi="ar"/>
        </w:rPr>
        <w:t>（</w:t>
      </w:r>
      <w:r>
        <w:rPr>
          <w:rFonts w:cs="Times New Roman"/>
          <w:kern w:val="0"/>
          <w:szCs w:val="24"/>
          <w:lang w:bidi="ar"/>
        </w:rPr>
        <w:t>K45+960</w:t>
      </w:r>
      <w:r>
        <w:rPr>
          <w:rFonts w:cs="Times New Roman"/>
          <w:kern w:val="0"/>
          <w:szCs w:val="24"/>
          <w:lang w:bidi="ar"/>
        </w:rPr>
        <w:t>～</w:t>
      </w:r>
      <w:r>
        <w:rPr>
          <w:rFonts w:cs="Times New Roman"/>
          <w:kern w:val="0"/>
          <w:szCs w:val="24"/>
          <w:lang w:bidi="ar"/>
        </w:rPr>
        <w:t>K68+500</w:t>
      </w:r>
      <w:r>
        <w:rPr>
          <w:rFonts w:cs="Times New Roman"/>
          <w:kern w:val="0"/>
          <w:szCs w:val="24"/>
          <w:lang w:bidi="ar"/>
        </w:rPr>
        <w:t>）。</w:t>
      </w:r>
      <w:r>
        <w:rPr>
          <w:rFonts w:cs="Times New Roman"/>
          <w:kern w:val="0"/>
          <w:szCs w:val="24"/>
          <w:lang w:bidi="ar"/>
        </w:rPr>
        <w:t>Ⅱ</w:t>
      </w:r>
      <w:r>
        <w:rPr>
          <w:rFonts w:cs="Times New Roman"/>
          <w:kern w:val="0"/>
          <w:szCs w:val="24"/>
          <w:lang w:bidi="ar"/>
        </w:rPr>
        <w:t>类场地对应地震基本烈度为</w:t>
      </w:r>
      <w:r>
        <w:rPr>
          <w:rFonts w:cs="Times New Roman"/>
          <w:kern w:val="0"/>
          <w:szCs w:val="24"/>
          <w:lang w:bidi="ar"/>
        </w:rPr>
        <w:t>Ⅶ</w:t>
      </w:r>
      <w:r>
        <w:rPr>
          <w:rFonts w:cs="Times New Roman"/>
          <w:kern w:val="0"/>
          <w:szCs w:val="24"/>
          <w:lang w:bidi="ar"/>
        </w:rPr>
        <w:t>度，动反应谱特征周期</w:t>
      </w:r>
      <w:r>
        <w:rPr>
          <w:rFonts w:cs="Times New Roman"/>
          <w:kern w:val="0"/>
          <w:szCs w:val="24"/>
          <w:lang w:bidi="ar"/>
        </w:rPr>
        <w:t>0.45s</w:t>
      </w:r>
      <w:r>
        <w:rPr>
          <w:rFonts w:cs="Times New Roman"/>
          <w:kern w:val="0"/>
          <w:szCs w:val="24"/>
          <w:lang w:bidi="ar"/>
        </w:rPr>
        <w:t>，区域构造稳定性较好。第三段为</w:t>
      </w:r>
      <w:r>
        <w:rPr>
          <w:rFonts w:cs="Times New Roman"/>
          <w:kern w:val="0"/>
          <w:szCs w:val="24"/>
          <w:lang w:bidi="ar"/>
        </w:rPr>
        <w:t>0.2g</w:t>
      </w:r>
      <w:r>
        <w:rPr>
          <w:rFonts w:cs="Times New Roman"/>
          <w:kern w:val="0"/>
          <w:szCs w:val="24"/>
          <w:lang w:bidi="ar"/>
        </w:rPr>
        <w:t>（</w:t>
      </w:r>
      <w:r>
        <w:rPr>
          <w:rFonts w:cs="Times New Roman"/>
          <w:kern w:val="0"/>
          <w:szCs w:val="24"/>
          <w:lang w:bidi="ar"/>
        </w:rPr>
        <w:t>K68+500</w:t>
      </w:r>
      <w:r>
        <w:rPr>
          <w:rFonts w:cs="Times New Roman"/>
          <w:kern w:val="0"/>
          <w:szCs w:val="24"/>
          <w:lang w:bidi="ar"/>
        </w:rPr>
        <w:t>～</w:t>
      </w:r>
      <w:r>
        <w:rPr>
          <w:rFonts w:cs="Times New Roman"/>
          <w:kern w:val="0"/>
          <w:szCs w:val="24"/>
          <w:lang w:bidi="ar"/>
        </w:rPr>
        <w:t>K107+177</w:t>
      </w:r>
      <w:r>
        <w:rPr>
          <w:rFonts w:cs="Times New Roman"/>
          <w:kern w:val="0"/>
          <w:szCs w:val="24"/>
          <w:lang w:bidi="ar"/>
        </w:rPr>
        <w:t>），</w:t>
      </w:r>
      <w:r>
        <w:rPr>
          <w:rFonts w:cs="Times New Roman"/>
          <w:kern w:val="0"/>
          <w:szCs w:val="24"/>
          <w:lang w:bidi="ar"/>
        </w:rPr>
        <w:t>Ⅱ</w:t>
      </w:r>
      <w:r>
        <w:rPr>
          <w:rFonts w:cs="Times New Roman"/>
          <w:kern w:val="0"/>
          <w:szCs w:val="24"/>
          <w:lang w:bidi="ar"/>
        </w:rPr>
        <w:t>类场地基本地震动峰值加速度为</w:t>
      </w:r>
      <w:r>
        <w:rPr>
          <w:rFonts w:cs="Times New Roman"/>
          <w:kern w:val="0"/>
          <w:szCs w:val="24"/>
          <w:lang w:bidi="ar"/>
        </w:rPr>
        <w:t>0.20g</w:t>
      </w:r>
      <w:r>
        <w:rPr>
          <w:rFonts w:cs="Times New Roman"/>
          <w:kern w:val="0"/>
          <w:szCs w:val="24"/>
          <w:lang w:bidi="ar"/>
        </w:rPr>
        <w:t>，对应地震基本烈度为</w:t>
      </w:r>
      <w:r>
        <w:rPr>
          <w:rFonts w:cs="Times New Roman"/>
          <w:kern w:val="0"/>
          <w:szCs w:val="24"/>
          <w:lang w:bidi="ar"/>
        </w:rPr>
        <w:t>Ⅷ</w:t>
      </w:r>
      <w:r>
        <w:rPr>
          <w:rFonts w:cs="Times New Roman"/>
          <w:kern w:val="0"/>
          <w:szCs w:val="24"/>
          <w:lang w:bidi="ar"/>
        </w:rPr>
        <w:t>度，动反应谱特征周期</w:t>
      </w:r>
      <w:r>
        <w:rPr>
          <w:rFonts w:cs="Times New Roman"/>
          <w:kern w:val="0"/>
          <w:szCs w:val="24"/>
          <w:lang w:bidi="ar"/>
        </w:rPr>
        <w:t>0.40s</w:t>
      </w:r>
      <w:r>
        <w:rPr>
          <w:rFonts w:cs="Times New Roman"/>
          <w:kern w:val="0"/>
          <w:szCs w:val="24"/>
          <w:lang w:bidi="ar"/>
        </w:rPr>
        <w:t>，区域构造</w:t>
      </w:r>
      <w:r>
        <w:rPr>
          <w:rFonts w:cs="Times New Roman"/>
          <w:kern w:val="0"/>
          <w:szCs w:val="24"/>
          <w:lang w:bidi="ar"/>
        </w:rPr>
        <w:t>稳定性较差。</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61" w:name="_Toc24693"/>
      <w:bookmarkStart w:id="262" w:name="_Toc187080702"/>
      <w:r>
        <w:rPr>
          <w:rFonts w:cs="Times New Roman" w:hint="default"/>
          <w:sz w:val="30"/>
          <w:szCs w:val="30"/>
        </w:rPr>
        <w:t>6</w:t>
      </w:r>
      <w:r>
        <w:rPr>
          <w:rFonts w:cs="Times New Roman" w:hint="default"/>
          <w:sz w:val="30"/>
          <w:szCs w:val="30"/>
        </w:rPr>
        <w:t>.2</w:t>
      </w:r>
      <w:r>
        <w:rPr>
          <w:rFonts w:cs="Times New Roman" w:hint="default"/>
          <w:sz w:val="30"/>
          <w:szCs w:val="30"/>
        </w:rPr>
        <w:t>生态环境调查及评价</w:t>
      </w:r>
      <w:bookmarkEnd w:id="261"/>
      <w:bookmarkEnd w:id="262"/>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6.2.1</w:t>
      </w:r>
      <w:r>
        <w:rPr>
          <w:rFonts w:cs="Times New Roman" w:hint="default"/>
          <w:sz w:val="28"/>
          <w:szCs w:val="28"/>
        </w:rPr>
        <w:t>调查范围</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1</w:t>
      </w:r>
      <w:r>
        <w:rPr>
          <w:rFonts w:cs="Times New Roman"/>
          <w:kern w:val="0"/>
          <w:szCs w:val="20"/>
        </w:rPr>
        <w:t>）</w:t>
      </w:r>
      <w:r>
        <w:rPr>
          <w:rFonts w:cs="Times New Roman"/>
          <w:kern w:val="0"/>
          <w:szCs w:val="20"/>
        </w:rPr>
        <w:t>拟建项目</w:t>
      </w:r>
      <w:r>
        <w:rPr>
          <w:rFonts w:cs="Times New Roman"/>
          <w:kern w:val="0"/>
          <w:szCs w:val="24"/>
          <w:lang w:bidi="ar"/>
        </w:rPr>
        <w:t>K</w:t>
      </w:r>
      <w:r>
        <w:rPr>
          <w:rFonts w:cs="Times New Roman"/>
          <w:kern w:val="0"/>
          <w:szCs w:val="20"/>
        </w:rPr>
        <w:t>3+280</w:t>
      </w:r>
      <w:r>
        <w:rPr>
          <w:rFonts w:cs="Times New Roman"/>
          <w:kern w:val="0"/>
          <w:szCs w:val="24"/>
          <w:lang w:bidi="ar"/>
        </w:rPr>
        <w:t>～</w:t>
      </w:r>
      <w:r>
        <w:rPr>
          <w:rFonts w:cs="Times New Roman"/>
          <w:kern w:val="0"/>
          <w:szCs w:val="24"/>
          <w:lang w:bidi="ar"/>
        </w:rPr>
        <w:t>K</w:t>
      </w:r>
      <w:r>
        <w:rPr>
          <w:rFonts w:cs="Times New Roman"/>
          <w:kern w:val="0"/>
          <w:szCs w:val="20"/>
        </w:rPr>
        <w:t>3+520</w:t>
      </w:r>
      <w:r>
        <w:rPr>
          <w:rFonts w:cs="Times New Roman"/>
          <w:kern w:val="0"/>
          <w:szCs w:val="20"/>
        </w:rPr>
        <w:t>、</w:t>
      </w:r>
      <w:r>
        <w:rPr>
          <w:rFonts w:cs="Times New Roman"/>
          <w:kern w:val="0"/>
          <w:szCs w:val="24"/>
          <w:lang w:bidi="ar"/>
        </w:rPr>
        <w:t>K</w:t>
      </w:r>
      <w:r>
        <w:rPr>
          <w:rFonts w:cs="Times New Roman"/>
          <w:kern w:val="0"/>
          <w:szCs w:val="20"/>
        </w:rPr>
        <w:t>4+440</w:t>
      </w:r>
      <w:r>
        <w:rPr>
          <w:rFonts w:cs="Times New Roman"/>
          <w:kern w:val="0"/>
          <w:szCs w:val="24"/>
          <w:lang w:bidi="ar"/>
        </w:rPr>
        <w:t>～</w:t>
      </w:r>
      <w:r>
        <w:rPr>
          <w:rFonts w:cs="Times New Roman"/>
          <w:kern w:val="0"/>
          <w:szCs w:val="24"/>
          <w:lang w:bidi="ar"/>
        </w:rPr>
        <w:t>K</w:t>
      </w:r>
      <w:r>
        <w:rPr>
          <w:rFonts w:cs="Times New Roman"/>
          <w:kern w:val="0"/>
          <w:szCs w:val="20"/>
        </w:rPr>
        <w:t>4+620</w:t>
      </w:r>
      <w:r>
        <w:rPr>
          <w:rFonts w:cs="Times New Roman"/>
          <w:kern w:val="0"/>
          <w:szCs w:val="20"/>
        </w:rPr>
        <w:t>、</w:t>
      </w:r>
      <w:r>
        <w:rPr>
          <w:rFonts w:cs="Times New Roman"/>
          <w:kern w:val="0"/>
          <w:szCs w:val="24"/>
          <w:lang w:bidi="ar"/>
        </w:rPr>
        <w:t>K</w:t>
      </w:r>
      <w:r>
        <w:rPr>
          <w:rFonts w:cs="Times New Roman"/>
          <w:kern w:val="0"/>
          <w:szCs w:val="20"/>
        </w:rPr>
        <w:t>22+460</w:t>
      </w:r>
      <w:r>
        <w:rPr>
          <w:rFonts w:cs="Times New Roman"/>
          <w:kern w:val="0"/>
          <w:szCs w:val="24"/>
          <w:lang w:bidi="ar"/>
        </w:rPr>
        <w:t>～</w:t>
      </w:r>
      <w:r>
        <w:rPr>
          <w:rFonts w:cs="Times New Roman"/>
          <w:kern w:val="0"/>
          <w:szCs w:val="24"/>
          <w:lang w:bidi="ar"/>
        </w:rPr>
        <w:t>K</w:t>
      </w:r>
      <w:r>
        <w:rPr>
          <w:rFonts w:cs="Times New Roman"/>
          <w:kern w:val="0"/>
          <w:szCs w:val="20"/>
        </w:rPr>
        <w:t>24+680</w:t>
      </w:r>
      <w:r>
        <w:rPr>
          <w:rFonts w:cs="Times New Roman"/>
          <w:kern w:val="0"/>
          <w:szCs w:val="20"/>
        </w:rPr>
        <w:t>、</w:t>
      </w:r>
      <w:r>
        <w:rPr>
          <w:rFonts w:cs="Times New Roman"/>
          <w:kern w:val="0"/>
          <w:szCs w:val="24"/>
          <w:lang w:bidi="ar"/>
        </w:rPr>
        <w:t>K</w:t>
      </w:r>
      <w:r>
        <w:rPr>
          <w:rFonts w:cs="Times New Roman"/>
          <w:kern w:val="0"/>
          <w:szCs w:val="20"/>
        </w:rPr>
        <w:t>26+780</w:t>
      </w:r>
      <w:r>
        <w:rPr>
          <w:rFonts w:cs="Times New Roman"/>
          <w:kern w:val="0"/>
          <w:szCs w:val="24"/>
          <w:lang w:bidi="ar"/>
        </w:rPr>
        <w:t>～</w:t>
      </w:r>
      <w:r>
        <w:rPr>
          <w:rFonts w:cs="Times New Roman"/>
          <w:kern w:val="0"/>
          <w:szCs w:val="24"/>
          <w:lang w:bidi="ar"/>
        </w:rPr>
        <w:t>K</w:t>
      </w:r>
      <w:r>
        <w:rPr>
          <w:rFonts w:cs="Times New Roman"/>
          <w:kern w:val="0"/>
          <w:szCs w:val="20"/>
        </w:rPr>
        <w:t>32+240</w:t>
      </w:r>
      <w:r>
        <w:rPr>
          <w:rFonts w:cs="Times New Roman"/>
          <w:kern w:val="0"/>
          <w:szCs w:val="20"/>
        </w:rPr>
        <w:t>、</w:t>
      </w:r>
      <w:r>
        <w:rPr>
          <w:rFonts w:cs="Times New Roman"/>
          <w:kern w:val="0"/>
          <w:szCs w:val="24"/>
          <w:lang w:bidi="ar"/>
        </w:rPr>
        <w:t>K</w:t>
      </w:r>
      <w:r>
        <w:rPr>
          <w:rFonts w:cs="Times New Roman"/>
          <w:kern w:val="0"/>
          <w:szCs w:val="20"/>
        </w:rPr>
        <w:t>42+980</w:t>
      </w:r>
      <w:r>
        <w:rPr>
          <w:rFonts w:cs="Times New Roman"/>
          <w:kern w:val="0"/>
          <w:szCs w:val="24"/>
          <w:lang w:bidi="ar"/>
        </w:rPr>
        <w:t>～</w:t>
      </w:r>
      <w:r>
        <w:rPr>
          <w:rFonts w:cs="Times New Roman"/>
          <w:kern w:val="0"/>
          <w:szCs w:val="24"/>
          <w:lang w:bidi="ar"/>
        </w:rPr>
        <w:t>K</w:t>
      </w:r>
      <w:r>
        <w:rPr>
          <w:rFonts w:cs="Times New Roman"/>
          <w:kern w:val="0"/>
          <w:szCs w:val="20"/>
        </w:rPr>
        <w:t>45+540</w:t>
      </w:r>
      <w:r>
        <w:rPr>
          <w:rFonts w:cs="Times New Roman"/>
          <w:kern w:val="0"/>
          <w:szCs w:val="20"/>
        </w:rPr>
        <w:t>路段</w:t>
      </w:r>
      <w:r>
        <w:rPr>
          <w:rFonts w:cs="Times New Roman"/>
          <w:kern w:val="0"/>
          <w:szCs w:val="20"/>
        </w:rPr>
        <w:t>涉及</w:t>
      </w:r>
      <w:r>
        <w:rPr>
          <w:rFonts w:cs="Times New Roman"/>
          <w:kern w:val="0"/>
          <w:szCs w:val="20"/>
        </w:rPr>
        <w:t>国家二级公益林</w:t>
      </w:r>
      <w:r>
        <w:rPr>
          <w:rFonts w:cs="Times New Roman"/>
          <w:kern w:val="0"/>
          <w:szCs w:val="20"/>
        </w:rPr>
        <w:t>段</w:t>
      </w:r>
      <w:r>
        <w:rPr>
          <w:rFonts w:cs="Times New Roman"/>
          <w:kern w:val="0"/>
          <w:szCs w:val="20"/>
        </w:rPr>
        <w:t>，</w:t>
      </w:r>
      <w:r>
        <w:rPr>
          <w:rFonts w:cs="Times New Roman"/>
          <w:kern w:val="0"/>
          <w:szCs w:val="20"/>
        </w:rPr>
        <w:t>线路穿越段向两端外延</w:t>
      </w:r>
      <w:r>
        <w:rPr>
          <w:rFonts w:cs="Times New Roman"/>
          <w:kern w:val="0"/>
          <w:szCs w:val="20"/>
        </w:rPr>
        <w:t>1</w:t>
      </w:r>
      <w:r>
        <w:rPr>
          <w:rFonts w:cs="Times New Roman"/>
          <w:kern w:val="0"/>
          <w:szCs w:val="20"/>
        </w:rPr>
        <w:t>km</w:t>
      </w:r>
      <w:r>
        <w:rPr>
          <w:rFonts w:cs="Times New Roman"/>
          <w:kern w:val="0"/>
          <w:szCs w:val="20"/>
        </w:rPr>
        <w:t>、线路中心线向两侧外延</w:t>
      </w:r>
      <w:r>
        <w:rPr>
          <w:rFonts w:cs="Times New Roman"/>
          <w:kern w:val="0"/>
          <w:szCs w:val="20"/>
        </w:rPr>
        <w:t>1</w:t>
      </w:r>
      <w:r>
        <w:rPr>
          <w:rFonts w:cs="Times New Roman"/>
          <w:kern w:val="0"/>
          <w:szCs w:val="20"/>
        </w:rPr>
        <w:t>km</w:t>
      </w:r>
      <w:r>
        <w:rPr>
          <w:rFonts w:cs="Times New Roman"/>
          <w:kern w:val="0"/>
          <w:szCs w:val="20"/>
        </w:rPr>
        <w:t>，同时兼顾临时用地周边</w:t>
      </w:r>
      <w:r>
        <w:rPr>
          <w:rFonts w:cs="Times New Roman"/>
          <w:kern w:val="0"/>
          <w:szCs w:val="20"/>
        </w:rPr>
        <w:t>1</w:t>
      </w:r>
      <w:r>
        <w:rPr>
          <w:rFonts w:cs="Times New Roman"/>
          <w:kern w:val="0"/>
          <w:szCs w:val="20"/>
        </w:rPr>
        <w:t>km</w:t>
      </w:r>
      <w:r>
        <w:rPr>
          <w:rFonts w:cs="Times New Roman"/>
          <w:kern w:val="0"/>
          <w:szCs w:val="20"/>
        </w:rPr>
        <w:t>内区域。</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2</w:t>
      </w:r>
      <w:r>
        <w:rPr>
          <w:rFonts w:cs="Times New Roman"/>
          <w:kern w:val="0"/>
          <w:szCs w:val="20"/>
        </w:rPr>
        <w:t>）其他区段：线路中心线向两侧外延</w:t>
      </w:r>
      <w:r>
        <w:rPr>
          <w:rFonts w:cs="Times New Roman"/>
          <w:kern w:val="0"/>
          <w:szCs w:val="20"/>
        </w:rPr>
        <w:t>300m</w:t>
      </w:r>
      <w:r>
        <w:rPr>
          <w:rFonts w:cs="Times New Roman"/>
          <w:kern w:val="0"/>
          <w:szCs w:val="20"/>
        </w:rPr>
        <w:t>及临时用地周边</w:t>
      </w:r>
      <w:r>
        <w:rPr>
          <w:rFonts w:cs="Times New Roman"/>
          <w:kern w:val="0"/>
          <w:szCs w:val="20"/>
        </w:rPr>
        <w:t>300m</w:t>
      </w:r>
      <w:r>
        <w:rPr>
          <w:rFonts w:cs="Times New Roman"/>
          <w:kern w:val="0"/>
          <w:szCs w:val="20"/>
        </w:rPr>
        <w:t>以</w:t>
      </w:r>
      <w:r>
        <w:rPr>
          <w:rFonts w:cs="Times New Roman"/>
          <w:kern w:val="0"/>
          <w:szCs w:val="20"/>
        </w:rPr>
        <w:t>内的</w:t>
      </w:r>
      <w:r>
        <w:rPr>
          <w:rFonts w:cs="Times New Roman"/>
          <w:kern w:val="0"/>
          <w:szCs w:val="20"/>
        </w:rPr>
        <w:t>区域。</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6.2.2</w:t>
      </w:r>
      <w:r>
        <w:rPr>
          <w:rFonts w:cs="Times New Roman" w:hint="default"/>
          <w:sz w:val="28"/>
          <w:szCs w:val="28"/>
        </w:rPr>
        <w:t>调查时间</w:t>
      </w:r>
    </w:p>
    <w:p w:rsidR="00A46452" w:rsidRDefault="009A3928">
      <w:pPr>
        <w:wordWrap w:val="0"/>
        <w:topLinePunct/>
        <w:ind w:firstLine="480"/>
        <w:rPr>
          <w:rFonts w:cs="Times New Roman"/>
          <w:kern w:val="0"/>
          <w:szCs w:val="20"/>
        </w:rPr>
      </w:pPr>
      <w:r>
        <w:rPr>
          <w:rFonts w:cs="Times New Roman"/>
          <w:kern w:val="0"/>
          <w:szCs w:val="20"/>
        </w:rPr>
        <w:t>生态调查日期：</w:t>
      </w:r>
      <w:r>
        <w:rPr>
          <w:rFonts w:cs="Times New Roman"/>
          <w:kern w:val="0"/>
          <w:szCs w:val="20"/>
        </w:rPr>
        <w:t>202</w:t>
      </w:r>
      <w:r>
        <w:rPr>
          <w:rFonts w:cs="Times New Roman"/>
          <w:kern w:val="0"/>
          <w:szCs w:val="20"/>
        </w:rPr>
        <w:t>5</w:t>
      </w:r>
      <w:r>
        <w:rPr>
          <w:rFonts w:cs="Times New Roman"/>
          <w:kern w:val="0"/>
          <w:szCs w:val="20"/>
        </w:rPr>
        <w:t>年</w:t>
      </w:r>
      <w:r>
        <w:rPr>
          <w:rFonts w:cs="Times New Roman"/>
          <w:kern w:val="0"/>
          <w:szCs w:val="20"/>
        </w:rPr>
        <w:t>4</w:t>
      </w:r>
      <w:r>
        <w:rPr>
          <w:rFonts w:cs="Times New Roman"/>
          <w:kern w:val="0"/>
          <w:szCs w:val="20"/>
        </w:rPr>
        <w:t>月</w:t>
      </w:r>
      <w:r>
        <w:rPr>
          <w:rFonts w:cs="Times New Roman"/>
          <w:kern w:val="0"/>
          <w:szCs w:val="20"/>
        </w:rPr>
        <w:t>15</w:t>
      </w:r>
      <w:r>
        <w:rPr>
          <w:rFonts w:cs="Times New Roman"/>
          <w:kern w:val="0"/>
          <w:szCs w:val="20"/>
        </w:rPr>
        <w:t>日</w:t>
      </w:r>
      <w:r>
        <w:rPr>
          <w:rFonts w:cs="Times New Roman"/>
          <w:kern w:val="0"/>
          <w:szCs w:val="20"/>
        </w:rPr>
        <w:t>—</w:t>
      </w:r>
      <w:r>
        <w:rPr>
          <w:rFonts w:cs="Times New Roman"/>
          <w:kern w:val="0"/>
          <w:szCs w:val="20"/>
        </w:rPr>
        <w:t>202</w:t>
      </w:r>
      <w:r>
        <w:rPr>
          <w:rFonts w:cs="Times New Roman"/>
          <w:kern w:val="0"/>
          <w:szCs w:val="20"/>
        </w:rPr>
        <w:t>5</w:t>
      </w:r>
      <w:r>
        <w:rPr>
          <w:rFonts w:cs="Times New Roman"/>
          <w:kern w:val="0"/>
          <w:szCs w:val="20"/>
        </w:rPr>
        <w:t>年</w:t>
      </w:r>
      <w:r>
        <w:rPr>
          <w:rFonts w:cs="Times New Roman"/>
          <w:kern w:val="0"/>
          <w:szCs w:val="20"/>
        </w:rPr>
        <w:t>4</w:t>
      </w:r>
      <w:r>
        <w:rPr>
          <w:rFonts w:cs="Times New Roman"/>
          <w:kern w:val="0"/>
          <w:szCs w:val="20"/>
        </w:rPr>
        <w:t>月</w:t>
      </w:r>
      <w:r>
        <w:rPr>
          <w:rFonts w:cs="Times New Roman"/>
          <w:kern w:val="0"/>
          <w:szCs w:val="20"/>
        </w:rPr>
        <w:t>26</w:t>
      </w:r>
      <w:r>
        <w:rPr>
          <w:rFonts w:cs="Times New Roman"/>
          <w:kern w:val="0"/>
          <w:szCs w:val="20"/>
        </w:rPr>
        <w:t>日，根据《环境影响评价技术导则</w:t>
      </w:r>
      <w:r>
        <w:rPr>
          <w:rFonts w:cs="Times New Roman"/>
          <w:kern w:val="0"/>
          <w:szCs w:val="20"/>
        </w:rPr>
        <w:t xml:space="preserve"> </w:t>
      </w:r>
      <w:r>
        <w:rPr>
          <w:rFonts w:cs="Times New Roman"/>
          <w:kern w:val="0"/>
          <w:szCs w:val="20"/>
        </w:rPr>
        <w:t>生态影响》（</w:t>
      </w:r>
      <w:r>
        <w:rPr>
          <w:rFonts w:cs="Times New Roman"/>
          <w:kern w:val="0"/>
          <w:szCs w:val="20"/>
        </w:rPr>
        <w:t>HJ19-2022</w:t>
      </w:r>
      <w:r>
        <w:rPr>
          <w:rFonts w:cs="Times New Roman"/>
          <w:kern w:val="0"/>
          <w:szCs w:val="20"/>
        </w:rPr>
        <w:t>）的要求，进行野外调查，调查时间为</w:t>
      </w:r>
      <w:r>
        <w:rPr>
          <w:rFonts w:cs="Times New Roman"/>
          <w:kern w:val="0"/>
          <w:szCs w:val="20"/>
        </w:rPr>
        <w:t>12</w:t>
      </w:r>
      <w:r>
        <w:rPr>
          <w:rFonts w:cs="Times New Roman"/>
          <w:kern w:val="0"/>
          <w:szCs w:val="20"/>
        </w:rPr>
        <w:t>d</w:t>
      </w:r>
      <w:r>
        <w:rPr>
          <w:rFonts w:cs="Times New Roman"/>
          <w:kern w:val="0"/>
          <w:szCs w:val="20"/>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6.2.3</w:t>
      </w:r>
      <w:r>
        <w:rPr>
          <w:rFonts w:cs="Times New Roman" w:hint="default"/>
          <w:sz w:val="28"/>
          <w:szCs w:val="28"/>
        </w:rPr>
        <w:t>调查方法</w:t>
      </w:r>
    </w:p>
    <w:p w:rsidR="00A46452" w:rsidRDefault="009A3928" w:rsidP="00182EED">
      <w:pPr>
        <w:pStyle w:val="a5"/>
        <w:wordWrap w:val="0"/>
        <w:topLinePunct/>
        <w:spacing w:before="178" w:line="349" w:lineRule="auto"/>
        <w:ind w:left="7" w:firstLine="488"/>
        <w:rPr>
          <w:rFonts w:cs="Times New Roman" w:hint="default"/>
        </w:rPr>
      </w:pPr>
      <w:r>
        <w:rPr>
          <w:rFonts w:cs="Times New Roman" w:hint="default"/>
          <w:spacing w:val="2"/>
        </w:rPr>
        <w:t>本项目</w:t>
      </w:r>
      <w:r>
        <w:rPr>
          <w:rFonts w:cs="Times New Roman" w:hint="default"/>
          <w:spacing w:val="2"/>
        </w:rPr>
        <w:t>道路沿线、施工</w:t>
      </w:r>
      <w:r>
        <w:rPr>
          <w:rFonts w:cs="Times New Roman" w:hint="default"/>
          <w:spacing w:val="2"/>
        </w:rPr>
        <w:t>站场、</w:t>
      </w:r>
      <w:r>
        <w:rPr>
          <w:rFonts w:cs="Times New Roman" w:hint="default"/>
          <w:spacing w:val="2"/>
        </w:rPr>
        <w:t>服务区</w:t>
      </w:r>
      <w:r>
        <w:rPr>
          <w:rFonts w:cs="Times New Roman" w:hint="default"/>
          <w:spacing w:val="2"/>
        </w:rPr>
        <w:t>和</w:t>
      </w:r>
      <w:r>
        <w:rPr>
          <w:rFonts w:cs="Times New Roman" w:hint="default"/>
          <w:spacing w:val="2"/>
        </w:rPr>
        <w:t>料场区</w:t>
      </w:r>
      <w:r>
        <w:rPr>
          <w:rFonts w:cs="Times New Roman" w:hint="default"/>
          <w:spacing w:val="2"/>
        </w:rPr>
        <w:t>生态特征调查采用资料收集、现场踏勘结合遥感解译的方法。在资料收集、分析和现场踏勘调查的基础上，利用遥感</w:t>
      </w:r>
      <w:r>
        <w:rPr>
          <w:rFonts w:cs="Times New Roman" w:hint="default"/>
          <w:spacing w:val="2"/>
        </w:rPr>
        <w:t>(</w:t>
      </w:r>
      <w:r>
        <w:rPr>
          <w:rFonts w:cs="Times New Roman" w:hint="default"/>
        </w:rPr>
        <w:t>RS</w:t>
      </w:r>
      <w:r>
        <w:rPr>
          <w:rFonts w:cs="Times New Roman" w:hint="default"/>
          <w:spacing w:val="2"/>
        </w:rPr>
        <w:t>)</w:t>
      </w:r>
      <w:r>
        <w:rPr>
          <w:rFonts w:cs="Times New Roman" w:hint="default"/>
          <w:spacing w:val="2"/>
        </w:rPr>
        <w:t>、全</w:t>
      </w:r>
      <w:r>
        <w:rPr>
          <w:rFonts w:cs="Times New Roman" w:hint="default"/>
        </w:rPr>
        <w:t>球定位系统</w:t>
      </w:r>
      <w:r>
        <w:rPr>
          <w:rFonts w:cs="Times New Roman" w:hint="default"/>
        </w:rPr>
        <w:t>(GPS)</w:t>
      </w:r>
      <w:r>
        <w:rPr>
          <w:rFonts w:cs="Times New Roman" w:hint="default"/>
        </w:rPr>
        <w:t>、地理信息系统</w:t>
      </w:r>
      <w:r>
        <w:rPr>
          <w:rFonts w:cs="Times New Roman" w:hint="default"/>
        </w:rPr>
        <w:t>(GIS)</w:t>
      </w:r>
      <w:r>
        <w:rPr>
          <w:rFonts w:cs="Times New Roman" w:hint="default"/>
        </w:rPr>
        <w:t>等技术手段，</w:t>
      </w:r>
      <w:r>
        <w:rPr>
          <w:rFonts w:cs="Times New Roman" w:hint="default"/>
          <w:spacing w:val="-1"/>
        </w:rPr>
        <w:t>进行数据采集，对资料、信息和数据进行汇总、整理、分析，并完成生态制图。</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6.2.3.1</w:t>
      </w:r>
      <w:r>
        <w:rPr>
          <w:rFonts w:cs="Times New Roman" w:hint="default"/>
          <w:iCs/>
        </w:rPr>
        <w:t>资料收集法</w:t>
      </w:r>
    </w:p>
    <w:p w:rsidR="00A46452" w:rsidRDefault="009A3928">
      <w:pPr>
        <w:wordWrap w:val="0"/>
        <w:topLinePunct/>
        <w:ind w:firstLine="480"/>
        <w:rPr>
          <w:rFonts w:cs="Times New Roman"/>
          <w:kern w:val="0"/>
          <w:szCs w:val="20"/>
        </w:rPr>
      </w:pPr>
      <w:r>
        <w:rPr>
          <w:rFonts w:cs="Times New Roman"/>
          <w:kern w:val="0"/>
          <w:szCs w:val="20"/>
        </w:rPr>
        <w:t>收集可以反映评价区范围内生态现状与背景的相关资料，包括相关文字、图件、图像等，进行整理、筛选与归类，诸如当地相关部门收集该地区地方志、土地利用总体规划和林业资源调查报告等地方资料，参考《中国植物志</w:t>
      </w:r>
      <w:r>
        <w:rPr>
          <w:rFonts w:cs="Times New Roman"/>
          <w:kern w:val="0"/>
          <w:szCs w:val="20"/>
        </w:rPr>
        <w:t>》《</w:t>
      </w:r>
      <w:r>
        <w:rPr>
          <w:rFonts w:cs="Times New Roman"/>
          <w:kern w:val="0"/>
          <w:szCs w:val="20"/>
        </w:rPr>
        <w:t>新疆植被志</w:t>
      </w:r>
      <w:r>
        <w:rPr>
          <w:rFonts w:cs="Times New Roman"/>
          <w:kern w:val="0"/>
          <w:szCs w:val="20"/>
        </w:rPr>
        <w:t>》《</w:t>
      </w:r>
      <w:r>
        <w:rPr>
          <w:rFonts w:cs="Times New Roman"/>
          <w:kern w:val="0"/>
          <w:szCs w:val="20"/>
        </w:rPr>
        <w:t>新疆植被及其利用</w:t>
      </w:r>
      <w:r>
        <w:rPr>
          <w:rFonts w:cs="Times New Roman"/>
          <w:kern w:val="0"/>
          <w:szCs w:val="20"/>
        </w:rPr>
        <w:t>》《</w:t>
      </w:r>
      <w:r>
        <w:rPr>
          <w:rFonts w:cs="Times New Roman"/>
          <w:kern w:val="0"/>
          <w:szCs w:val="20"/>
        </w:rPr>
        <w:t>中国两栖爬行动物鉴定手册</w:t>
      </w:r>
      <w:r>
        <w:rPr>
          <w:rFonts w:cs="Times New Roman"/>
          <w:kern w:val="0"/>
          <w:szCs w:val="20"/>
        </w:rPr>
        <w:t>》《</w:t>
      </w:r>
      <w:r>
        <w:rPr>
          <w:rFonts w:cs="Times New Roman"/>
          <w:kern w:val="0"/>
          <w:szCs w:val="20"/>
        </w:rPr>
        <w:t>中国爬行类图谱</w:t>
      </w:r>
      <w:r>
        <w:rPr>
          <w:rFonts w:cs="Times New Roman"/>
          <w:kern w:val="0"/>
          <w:szCs w:val="20"/>
        </w:rPr>
        <w:t>》《</w:t>
      </w:r>
      <w:r>
        <w:rPr>
          <w:rFonts w:cs="Times New Roman"/>
          <w:kern w:val="0"/>
          <w:szCs w:val="20"/>
        </w:rPr>
        <w:t>中国哺乳动物分布</w:t>
      </w:r>
      <w:r>
        <w:rPr>
          <w:rFonts w:cs="Times New Roman"/>
          <w:kern w:val="0"/>
          <w:szCs w:val="20"/>
        </w:rPr>
        <w:t>》《</w:t>
      </w:r>
      <w:r>
        <w:rPr>
          <w:rFonts w:cs="Times New Roman"/>
          <w:kern w:val="0"/>
          <w:szCs w:val="20"/>
        </w:rPr>
        <w:t>中国哺乳动物种和亚种分类名录与分布大全</w:t>
      </w:r>
      <w:r>
        <w:rPr>
          <w:rFonts w:cs="Times New Roman"/>
          <w:kern w:val="0"/>
          <w:szCs w:val="20"/>
        </w:rPr>
        <w:t>》《</w:t>
      </w:r>
      <w:r>
        <w:rPr>
          <w:rFonts w:cs="Times New Roman"/>
          <w:kern w:val="0"/>
          <w:szCs w:val="20"/>
        </w:rPr>
        <w:t>中国鸟类图鉴</w:t>
      </w:r>
      <w:r>
        <w:rPr>
          <w:rFonts w:cs="Times New Roman"/>
          <w:kern w:val="0"/>
          <w:szCs w:val="20"/>
        </w:rPr>
        <w:t>》《</w:t>
      </w:r>
      <w:r>
        <w:rPr>
          <w:rFonts w:cs="Times New Roman"/>
          <w:kern w:val="0"/>
          <w:szCs w:val="20"/>
        </w:rPr>
        <w:t>中国爬行动物图鉴</w:t>
      </w:r>
      <w:r>
        <w:rPr>
          <w:rFonts w:cs="Times New Roman"/>
          <w:kern w:val="0"/>
          <w:szCs w:val="20"/>
        </w:rPr>
        <w:t>》《</w:t>
      </w:r>
      <w:r>
        <w:rPr>
          <w:rFonts w:cs="Times New Roman"/>
          <w:kern w:val="0"/>
          <w:szCs w:val="20"/>
        </w:rPr>
        <w:t>中国动物志》《中国兽类分布</w:t>
      </w:r>
      <w:r>
        <w:rPr>
          <w:rFonts w:cs="Times New Roman"/>
          <w:kern w:val="0"/>
          <w:szCs w:val="20"/>
        </w:rPr>
        <w:t>》《</w:t>
      </w:r>
      <w:r>
        <w:rPr>
          <w:rFonts w:cs="Times New Roman"/>
          <w:kern w:val="0"/>
          <w:szCs w:val="20"/>
        </w:rPr>
        <w:t>国家重点保护野生动物名录</w:t>
      </w:r>
      <w:r>
        <w:rPr>
          <w:rFonts w:cs="Times New Roman"/>
          <w:kern w:val="0"/>
          <w:szCs w:val="20"/>
        </w:rPr>
        <w:t>》《</w:t>
      </w:r>
      <w:r>
        <w:rPr>
          <w:rFonts w:cs="Times New Roman"/>
          <w:kern w:val="0"/>
          <w:szCs w:val="20"/>
        </w:rPr>
        <w:t>国家重点保护野生植物名录</w:t>
      </w:r>
      <w:r>
        <w:rPr>
          <w:rFonts w:cs="Times New Roman"/>
          <w:kern w:val="0"/>
          <w:szCs w:val="20"/>
        </w:rPr>
        <w:t>》《</w:t>
      </w:r>
      <w:r>
        <w:rPr>
          <w:rFonts w:cs="Times New Roman"/>
          <w:kern w:val="0"/>
          <w:szCs w:val="20"/>
        </w:rPr>
        <w:t>新疆维吾尔自治区人民政府关于公布新疆维吾尔自治区</w:t>
      </w:r>
      <w:r>
        <w:rPr>
          <w:rFonts w:cs="Times New Roman"/>
          <w:kern w:val="0"/>
          <w:szCs w:val="20"/>
        </w:rPr>
        <w:t>重点保护野生植物名录的通知</w:t>
      </w:r>
      <w:r>
        <w:rPr>
          <w:rFonts w:cs="Times New Roman"/>
          <w:kern w:val="0"/>
          <w:szCs w:val="20"/>
        </w:rPr>
        <w:t>》《</w:t>
      </w:r>
      <w:r>
        <w:rPr>
          <w:rFonts w:cs="Times New Roman"/>
          <w:kern w:val="0"/>
          <w:szCs w:val="20"/>
        </w:rPr>
        <w:t>自治区重点野生动物名录</w:t>
      </w:r>
      <w:r>
        <w:rPr>
          <w:rFonts w:cs="Times New Roman"/>
          <w:kern w:val="0"/>
          <w:szCs w:val="20"/>
        </w:rPr>
        <w:t>》《</w:t>
      </w:r>
      <w:r>
        <w:rPr>
          <w:rFonts w:cs="Times New Roman"/>
          <w:snapToGrid w:val="0"/>
          <w:szCs w:val="20"/>
        </w:rPr>
        <w:t>喀什噶尔</w:t>
      </w:r>
      <w:r>
        <w:rPr>
          <w:rFonts w:cs="Times New Roman"/>
          <w:snapToGrid w:val="0"/>
          <w:szCs w:val="20"/>
        </w:rPr>
        <w:t>河流域综合规划环境影响报告书</w:t>
      </w:r>
      <w:r>
        <w:rPr>
          <w:rFonts w:cs="Times New Roman"/>
          <w:snapToGrid w:val="0"/>
          <w:szCs w:val="20"/>
        </w:rPr>
        <w:t>》《</w:t>
      </w:r>
      <w:r>
        <w:rPr>
          <w:rFonts w:cs="Times New Roman"/>
          <w:snapToGrid w:val="0"/>
          <w:szCs w:val="20"/>
        </w:rPr>
        <w:t>中国淡水鱼类原色图集》（</w:t>
      </w:r>
      <w:r>
        <w:rPr>
          <w:rFonts w:cs="Times New Roman"/>
          <w:snapToGrid w:val="0"/>
          <w:szCs w:val="20"/>
        </w:rPr>
        <w:t>Ⅲ</w:t>
      </w:r>
      <w:r>
        <w:rPr>
          <w:rFonts w:cs="Times New Roman"/>
          <w:snapToGrid w:val="0"/>
          <w:szCs w:val="20"/>
        </w:rPr>
        <w:t>）《新疆水生生物与渔业</w:t>
      </w:r>
      <w:r>
        <w:rPr>
          <w:rFonts w:cs="Times New Roman"/>
          <w:snapToGrid w:val="0"/>
          <w:szCs w:val="20"/>
        </w:rPr>
        <w:t>》《</w:t>
      </w:r>
      <w:r>
        <w:rPr>
          <w:rFonts w:cs="Times New Roman"/>
          <w:snapToGrid w:val="0"/>
          <w:szCs w:val="20"/>
        </w:rPr>
        <w:t>新疆鱼类志》</w:t>
      </w:r>
      <w:r>
        <w:rPr>
          <w:rFonts w:cs="Times New Roman"/>
          <w:kern w:val="0"/>
          <w:szCs w:val="20"/>
        </w:rPr>
        <w:t>等研究资料，为后续开展现场调查与生态监测奠定基础与提供理论依据。</w:t>
      </w:r>
    </w:p>
    <w:p w:rsidR="00A46452" w:rsidRDefault="009A3928">
      <w:pPr>
        <w:pStyle w:val="42"/>
        <w:keepNext w:val="0"/>
        <w:keepLines w:val="0"/>
        <w:wordWrap w:val="0"/>
        <w:topLinePunct/>
        <w:snapToGrid w:val="0"/>
        <w:spacing w:before="156" w:after="156" w:line="240" w:lineRule="auto"/>
        <w:rPr>
          <w:rFonts w:cs="Times New Roman" w:hint="default"/>
        </w:rPr>
      </w:pPr>
      <w:r>
        <w:rPr>
          <w:rFonts w:cs="Times New Roman" w:hint="default"/>
        </w:rPr>
        <w:t>6</w:t>
      </w:r>
      <w:r>
        <w:rPr>
          <w:rFonts w:cs="Times New Roman" w:hint="default"/>
        </w:rPr>
        <w:t>.2.3.2</w:t>
      </w:r>
      <w:r>
        <w:rPr>
          <w:rFonts w:cs="Times New Roman" w:hint="default"/>
        </w:rPr>
        <w:t>现场调查法</w:t>
      </w:r>
    </w:p>
    <w:p w:rsidR="00A46452" w:rsidRDefault="009A3928">
      <w:pPr>
        <w:wordWrap w:val="0"/>
        <w:topLinePunct/>
        <w:ind w:firstLine="480"/>
        <w:rPr>
          <w:rFonts w:eastAsiaTheme="minorEastAsia" w:cs="Times New Roman"/>
          <w:kern w:val="0"/>
        </w:rPr>
      </w:pPr>
      <w:r>
        <w:rPr>
          <w:rFonts w:eastAsiaTheme="minorEastAsia" w:cs="Times New Roman"/>
          <w:kern w:val="0"/>
        </w:rPr>
        <w:t>遵循整体与重点相结合的原则，整体上兼顾该项目所涉及的各个生态保护目标，突出重点区域（如生态保护红线区、自然保护区分布区域等）和关键时段（如植物生长季）的调查，并通过实地现场踏勘，核实收集资料的准确性，以获取实际资料和数据。</w:t>
      </w:r>
    </w:p>
    <w:p w:rsidR="00A46452" w:rsidRDefault="009A3928">
      <w:pPr>
        <w:wordWrap w:val="0"/>
        <w:topLinePunct/>
        <w:ind w:firstLine="480"/>
        <w:rPr>
          <w:rFonts w:eastAsiaTheme="minorEastAsia" w:cs="Times New Roman"/>
          <w:kern w:val="0"/>
        </w:rPr>
      </w:pPr>
      <w:r>
        <w:rPr>
          <w:rFonts w:eastAsiaTheme="minorEastAsia" w:cs="Times New Roman"/>
          <w:kern w:val="0"/>
        </w:rPr>
        <w:t>生态敏感区逐一调查核实其类型、等级、分布、保护对象、功能区划、保护要求等。生态环境现状调查依据工程沿线生态系统类型，典型生态系统选取代表性样地进行调查。植被调查采用样方调查，明确典型植被类型中主要植物类型组成及盖度。</w:t>
      </w:r>
    </w:p>
    <w:p w:rsidR="00A46452" w:rsidRDefault="009A3928">
      <w:pPr>
        <w:wordWrap w:val="0"/>
        <w:topLinePunct/>
        <w:ind w:firstLine="480"/>
        <w:rPr>
          <w:rFonts w:eastAsiaTheme="minorEastAsia" w:cs="Times New Roman"/>
          <w:kern w:val="0"/>
        </w:rPr>
      </w:pPr>
      <w:r>
        <w:rPr>
          <w:rFonts w:eastAsiaTheme="minorEastAsia" w:cs="Times New Roman"/>
          <w:kern w:val="0"/>
        </w:rPr>
        <w:t>（</w:t>
      </w:r>
      <w:r>
        <w:rPr>
          <w:rFonts w:eastAsiaTheme="minorEastAsia" w:cs="Times New Roman"/>
          <w:kern w:val="0"/>
        </w:rPr>
        <w:t>1</w:t>
      </w:r>
      <w:r>
        <w:rPr>
          <w:rFonts w:eastAsiaTheme="minorEastAsia" w:cs="Times New Roman"/>
          <w:kern w:val="0"/>
        </w:rPr>
        <w:t>）</w:t>
      </w:r>
      <w:r>
        <w:rPr>
          <w:rFonts w:eastAsiaTheme="minorEastAsia" w:cs="Times New Roman"/>
          <w:kern w:val="0"/>
        </w:rPr>
        <w:t>GPS</w:t>
      </w:r>
      <w:r>
        <w:rPr>
          <w:rFonts w:eastAsiaTheme="minorEastAsia" w:cs="Times New Roman"/>
          <w:kern w:val="0"/>
        </w:rPr>
        <w:t>地面类型取样</w:t>
      </w:r>
    </w:p>
    <w:p w:rsidR="00A46452" w:rsidRDefault="009A3928">
      <w:pPr>
        <w:wordWrap w:val="0"/>
        <w:topLinePunct/>
        <w:ind w:firstLine="480"/>
        <w:rPr>
          <w:rFonts w:eastAsiaTheme="minorEastAsia" w:cs="Times New Roman"/>
          <w:kern w:val="0"/>
        </w:rPr>
      </w:pPr>
      <w:r>
        <w:rPr>
          <w:rFonts w:eastAsiaTheme="minorEastAsia" w:cs="Times New Roman"/>
          <w:kern w:val="0"/>
        </w:rPr>
        <w:t>根据室内判读的植被与土地利用类型初图，采用</w:t>
      </w:r>
      <w:r>
        <w:rPr>
          <w:rFonts w:eastAsiaTheme="minorEastAsia" w:cs="Times New Roman"/>
          <w:kern w:val="0"/>
        </w:rPr>
        <w:t>GPS</w:t>
      </w:r>
      <w:r>
        <w:rPr>
          <w:rFonts w:eastAsiaTheme="minorEastAsia" w:cs="Times New Roman"/>
          <w:kern w:val="0"/>
        </w:rPr>
        <w:t>沿拟建项目评价范围现场核实判读的正误率，并对每个</w:t>
      </w:r>
      <w:r>
        <w:rPr>
          <w:rFonts w:eastAsiaTheme="minorEastAsia" w:cs="Times New Roman"/>
          <w:kern w:val="0"/>
        </w:rPr>
        <w:t>GPS</w:t>
      </w:r>
      <w:r>
        <w:rPr>
          <w:rFonts w:eastAsiaTheme="minorEastAsia" w:cs="Times New Roman"/>
          <w:kern w:val="0"/>
        </w:rPr>
        <w:t>取样点</w:t>
      </w:r>
      <w:r>
        <w:rPr>
          <w:rFonts w:eastAsiaTheme="minorEastAsia" w:cs="Times New Roman"/>
          <w:kern w:val="0"/>
        </w:rPr>
        <w:t>做如下</w:t>
      </w:r>
      <w:r>
        <w:rPr>
          <w:rFonts w:eastAsiaTheme="minorEastAsia" w:cs="Times New Roman"/>
          <w:kern w:val="0"/>
        </w:rPr>
        <w:t>记录：</w:t>
      </w:r>
    </w:p>
    <w:p w:rsidR="00A46452" w:rsidRDefault="009A3928">
      <w:pPr>
        <w:wordWrap w:val="0"/>
        <w:topLinePunct/>
        <w:ind w:firstLine="480"/>
        <w:rPr>
          <w:rFonts w:eastAsiaTheme="minorEastAsia" w:cs="Times New Roman"/>
          <w:kern w:val="0"/>
        </w:rPr>
      </w:pPr>
      <w:r>
        <w:rPr>
          <w:rFonts w:cs="Times New Roman"/>
          <w:kern w:val="0"/>
        </w:rPr>
        <w:t>①</w:t>
      </w:r>
      <w:r>
        <w:rPr>
          <w:rFonts w:eastAsiaTheme="minorEastAsia" w:cs="Times New Roman"/>
          <w:kern w:val="0"/>
        </w:rPr>
        <w:t>海拔表读出海拔值</w:t>
      </w:r>
      <w:r>
        <w:rPr>
          <w:rFonts w:eastAsiaTheme="minorEastAsia" w:cs="Times New Roman"/>
          <w:kern w:val="0"/>
        </w:rPr>
        <w:t>（</w:t>
      </w:r>
      <w:r>
        <w:rPr>
          <w:rFonts w:eastAsiaTheme="minorEastAsia" w:cs="Times New Roman"/>
          <w:kern w:val="0"/>
        </w:rPr>
        <w:t>注意相应植被类型的垂直变化</w:t>
      </w:r>
      <w:r>
        <w:rPr>
          <w:rFonts w:eastAsiaTheme="minorEastAsia" w:cs="Times New Roman"/>
          <w:kern w:val="0"/>
        </w:rPr>
        <w:t>）</w:t>
      </w:r>
      <w:r>
        <w:rPr>
          <w:rFonts w:eastAsiaTheme="minorEastAsia" w:cs="Times New Roman"/>
          <w:kern w:val="0"/>
        </w:rPr>
        <w:t>；</w:t>
      </w:r>
    </w:p>
    <w:p w:rsidR="00A46452" w:rsidRDefault="009A3928">
      <w:pPr>
        <w:wordWrap w:val="0"/>
        <w:topLinePunct/>
        <w:ind w:firstLine="480"/>
        <w:rPr>
          <w:rFonts w:eastAsiaTheme="minorEastAsia" w:cs="Times New Roman"/>
          <w:kern w:val="0"/>
        </w:rPr>
      </w:pPr>
      <w:r>
        <w:rPr>
          <w:rFonts w:cs="Times New Roman"/>
          <w:kern w:val="0"/>
        </w:rPr>
        <w:t>②</w:t>
      </w:r>
      <w:r>
        <w:rPr>
          <w:rFonts w:eastAsiaTheme="minorEastAsia" w:cs="Times New Roman"/>
          <w:kern w:val="0"/>
        </w:rPr>
        <w:t>记录样点植被类型</w:t>
      </w:r>
      <w:r>
        <w:rPr>
          <w:rFonts w:eastAsiaTheme="minorEastAsia" w:cs="Times New Roman"/>
          <w:kern w:val="0"/>
        </w:rPr>
        <w:t>（</w:t>
      </w:r>
      <w:r>
        <w:rPr>
          <w:rFonts w:eastAsiaTheme="minorEastAsia" w:cs="Times New Roman"/>
          <w:kern w:val="0"/>
        </w:rPr>
        <w:t>群系、群系组或植被亚型</w:t>
      </w:r>
      <w:r>
        <w:rPr>
          <w:rFonts w:eastAsiaTheme="minorEastAsia" w:cs="Times New Roman"/>
          <w:kern w:val="0"/>
        </w:rPr>
        <w:t>）</w:t>
      </w:r>
      <w:r>
        <w:rPr>
          <w:rFonts w:eastAsiaTheme="minorEastAsia" w:cs="Times New Roman"/>
          <w:kern w:val="0"/>
        </w:rPr>
        <w:t>，特别是在植被类型发生明显变化的地方要做准确详细的记录；</w:t>
      </w:r>
    </w:p>
    <w:p w:rsidR="00A46452" w:rsidRDefault="009A3928">
      <w:pPr>
        <w:wordWrap w:val="0"/>
        <w:topLinePunct/>
        <w:ind w:firstLine="480"/>
        <w:rPr>
          <w:rFonts w:eastAsiaTheme="minorEastAsia" w:cs="Times New Roman"/>
          <w:kern w:val="0"/>
        </w:rPr>
      </w:pPr>
      <w:r>
        <w:rPr>
          <w:rFonts w:cs="Times New Roman"/>
          <w:kern w:val="0"/>
        </w:rPr>
        <w:t>③</w:t>
      </w:r>
      <w:r>
        <w:rPr>
          <w:rFonts w:eastAsiaTheme="minorEastAsia" w:cs="Times New Roman"/>
          <w:kern w:val="0"/>
        </w:rPr>
        <w:t>记录样点优势植物</w:t>
      </w:r>
      <w:r>
        <w:rPr>
          <w:rFonts w:eastAsiaTheme="minorEastAsia" w:cs="Times New Roman"/>
          <w:kern w:val="0"/>
        </w:rPr>
        <w:t>（</w:t>
      </w:r>
      <w:r>
        <w:rPr>
          <w:rFonts w:eastAsiaTheme="minorEastAsia" w:cs="Times New Roman"/>
          <w:kern w:val="0"/>
        </w:rPr>
        <w:t>5</w:t>
      </w:r>
      <w:r>
        <w:rPr>
          <w:rFonts w:eastAsiaTheme="minorEastAsia" w:cs="Times New Roman"/>
          <w:kern w:val="0"/>
        </w:rPr>
        <w:t>种左右</w:t>
      </w:r>
      <w:r>
        <w:rPr>
          <w:rFonts w:eastAsiaTheme="minorEastAsia" w:cs="Times New Roman"/>
          <w:kern w:val="0"/>
        </w:rPr>
        <w:t>）</w:t>
      </w:r>
      <w:r>
        <w:rPr>
          <w:rFonts w:eastAsiaTheme="minorEastAsia" w:cs="Times New Roman"/>
          <w:kern w:val="0"/>
        </w:rPr>
        <w:t>和重要物种如珍稀濒危植物；</w:t>
      </w:r>
    </w:p>
    <w:p w:rsidR="00A46452" w:rsidRDefault="009A3928">
      <w:pPr>
        <w:wordWrap w:val="0"/>
        <w:topLinePunct/>
        <w:ind w:firstLine="480"/>
        <w:rPr>
          <w:rFonts w:eastAsiaTheme="minorEastAsia" w:cs="Times New Roman"/>
          <w:kern w:val="0"/>
        </w:rPr>
      </w:pPr>
      <w:r>
        <w:rPr>
          <w:rFonts w:cs="Times New Roman"/>
          <w:kern w:val="0"/>
        </w:rPr>
        <w:t>④</w:t>
      </w:r>
      <w:r>
        <w:rPr>
          <w:rFonts w:eastAsiaTheme="minorEastAsia" w:cs="Times New Roman"/>
          <w:kern w:val="0"/>
        </w:rPr>
        <w:t>拍摄典型之植被特征</w:t>
      </w:r>
      <w:r>
        <w:rPr>
          <w:rFonts w:eastAsiaTheme="minorEastAsia" w:cs="Times New Roman"/>
          <w:kern w:val="0"/>
        </w:rPr>
        <w:t>（</w:t>
      </w:r>
      <w:r>
        <w:rPr>
          <w:rFonts w:eastAsiaTheme="minorEastAsia" w:cs="Times New Roman"/>
          <w:kern w:val="0"/>
        </w:rPr>
        <w:t>外貌与结构</w:t>
      </w:r>
      <w:r>
        <w:rPr>
          <w:rFonts w:eastAsiaTheme="minorEastAsia" w:cs="Times New Roman"/>
          <w:kern w:val="0"/>
        </w:rPr>
        <w:t>）</w:t>
      </w:r>
      <w:r>
        <w:rPr>
          <w:rFonts w:eastAsiaTheme="minorEastAsia" w:cs="Times New Roman"/>
          <w:kern w:val="0"/>
        </w:rPr>
        <w:t>；</w:t>
      </w:r>
    </w:p>
    <w:p w:rsidR="00A46452" w:rsidRDefault="009A3928">
      <w:pPr>
        <w:wordWrap w:val="0"/>
        <w:topLinePunct/>
        <w:ind w:firstLine="480"/>
        <w:rPr>
          <w:rFonts w:eastAsiaTheme="minorEastAsia" w:cs="Times New Roman"/>
          <w:kern w:val="0"/>
        </w:rPr>
      </w:pPr>
      <w:r>
        <w:rPr>
          <w:rFonts w:cs="Times New Roman"/>
          <w:kern w:val="0"/>
        </w:rPr>
        <w:t>⑤</w:t>
      </w:r>
      <w:r>
        <w:rPr>
          <w:rFonts w:eastAsiaTheme="minorEastAsia" w:cs="Times New Roman"/>
          <w:kern w:val="0"/>
        </w:rPr>
        <w:t>在视野广阔清晰之处，拍摄周围植被或景观的照片，</w:t>
      </w:r>
      <w:r>
        <w:rPr>
          <w:rFonts w:eastAsiaTheme="minorEastAsia" w:cs="Times New Roman"/>
          <w:kern w:val="0"/>
        </w:rPr>
        <w:t>GPS</w:t>
      </w:r>
      <w:r>
        <w:rPr>
          <w:rFonts w:eastAsiaTheme="minorEastAsia" w:cs="Times New Roman"/>
          <w:kern w:val="0"/>
        </w:rPr>
        <w:t>样点上作详细的表述。</w:t>
      </w:r>
    </w:p>
    <w:p w:rsidR="00A46452" w:rsidRDefault="009A3928">
      <w:pPr>
        <w:wordWrap w:val="0"/>
        <w:topLinePunct/>
        <w:ind w:firstLine="480"/>
        <w:rPr>
          <w:rFonts w:eastAsiaTheme="minorEastAsia" w:cs="Times New Roman"/>
          <w:kern w:val="0"/>
        </w:rPr>
      </w:pPr>
      <w:r>
        <w:rPr>
          <w:rFonts w:eastAsiaTheme="minorEastAsia" w:cs="Times New Roman"/>
          <w:kern w:val="0"/>
        </w:rPr>
        <w:t>（</w:t>
      </w:r>
      <w:r>
        <w:rPr>
          <w:rFonts w:eastAsiaTheme="minorEastAsia" w:cs="Times New Roman"/>
          <w:kern w:val="0"/>
        </w:rPr>
        <w:t>2</w:t>
      </w:r>
      <w:r>
        <w:rPr>
          <w:rFonts w:eastAsiaTheme="minorEastAsia" w:cs="Times New Roman"/>
          <w:kern w:val="0"/>
        </w:rPr>
        <w:t>）植物及植被调查</w:t>
      </w:r>
    </w:p>
    <w:p w:rsidR="00A46452" w:rsidRDefault="009A3928">
      <w:pPr>
        <w:wordWrap w:val="0"/>
        <w:topLinePunct/>
        <w:ind w:firstLine="480"/>
        <w:rPr>
          <w:rFonts w:eastAsiaTheme="minorEastAsia" w:cs="Times New Roman"/>
          <w:kern w:val="0"/>
        </w:rPr>
      </w:pPr>
      <w:r>
        <w:rPr>
          <w:rFonts w:eastAsiaTheme="minorEastAsia" w:cs="Times New Roman"/>
          <w:kern w:val="0"/>
        </w:rPr>
        <w:t>包括样线调查、样方调查等方法。</w:t>
      </w:r>
    </w:p>
    <w:p w:rsidR="00A46452" w:rsidRDefault="009A3928">
      <w:pPr>
        <w:wordWrap w:val="0"/>
        <w:topLinePunct/>
        <w:ind w:firstLine="480"/>
        <w:rPr>
          <w:rFonts w:eastAsiaTheme="minorEastAsia" w:cs="Times New Roman"/>
          <w:kern w:val="0"/>
        </w:rPr>
      </w:pPr>
      <w:r>
        <w:rPr>
          <w:rFonts w:eastAsiaTheme="minorEastAsia" w:cs="Times New Roman"/>
          <w:kern w:val="0"/>
        </w:rPr>
        <w:t>①</w:t>
      </w:r>
      <w:r>
        <w:rPr>
          <w:rFonts w:eastAsiaTheme="minorEastAsia" w:cs="Times New Roman"/>
          <w:kern w:val="0"/>
        </w:rPr>
        <w:t>样线调查</w:t>
      </w:r>
    </w:p>
    <w:p w:rsidR="00A46452" w:rsidRDefault="009A3928">
      <w:pPr>
        <w:wordWrap w:val="0"/>
        <w:topLinePunct/>
        <w:ind w:firstLine="480"/>
        <w:rPr>
          <w:rFonts w:eastAsiaTheme="minorEastAsia" w:cs="Times New Roman"/>
          <w:kern w:val="0"/>
        </w:rPr>
      </w:pPr>
      <w:r>
        <w:rPr>
          <w:rFonts w:eastAsiaTheme="minorEastAsia" w:cs="Times New Roman"/>
          <w:kern w:val="0"/>
        </w:rPr>
        <w:t>沿线路进行植物种类、植被调查，采取路线调查与重点调查相结</w:t>
      </w:r>
      <w:r>
        <w:rPr>
          <w:rFonts w:eastAsiaTheme="minorEastAsia" w:cs="Times New Roman"/>
          <w:kern w:val="0"/>
        </w:rPr>
        <w:t>合的</w:t>
      </w:r>
      <w:r>
        <w:rPr>
          <w:rFonts w:eastAsiaTheme="minorEastAsia" w:cs="Times New Roman"/>
          <w:kern w:val="0"/>
        </w:rPr>
        <w:t>方法进行，在重点施工区域（如站场、路基、桥墩、渣场、施工便道区、生态敏感区等）及植被状况良好的区域实行重点调查；对资源植物和珍稀濒危保护植物的调查采取本底资料搜集、野外调查和访问调查相结合的方法进行，记录沿线主要的植物种类、植被类型及珍稀保护植物。</w:t>
      </w:r>
    </w:p>
    <w:p w:rsidR="00A46452" w:rsidRDefault="009A3928">
      <w:pPr>
        <w:wordWrap w:val="0"/>
        <w:topLinePunct/>
        <w:ind w:firstLine="480"/>
        <w:rPr>
          <w:rFonts w:eastAsiaTheme="minorEastAsia" w:cs="Times New Roman"/>
          <w:kern w:val="0"/>
        </w:rPr>
      </w:pPr>
      <w:r>
        <w:rPr>
          <w:rFonts w:eastAsiaTheme="minorEastAsia" w:cs="Times New Roman"/>
          <w:kern w:val="0"/>
        </w:rPr>
        <w:t>②</w:t>
      </w:r>
      <w:r>
        <w:rPr>
          <w:rFonts w:eastAsiaTheme="minorEastAsia" w:cs="Times New Roman"/>
          <w:kern w:val="0"/>
        </w:rPr>
        <w:t>样方调查</w:t>
      </w:r>
    </w:p>
    <w:p w:rsidR="00A46452" w:rsidRDefault="009A3928">
      <w:pPr>
        <w:wordWrap w:val="0"/>
        <w:topLinePunct/>
        <w:ind w:firstLine="480"/>
        <w:rPr>
          <w:rFonts w:eastAsiaTheme="minorEastAsia" w:cs="Times New Roman"/>
          <w:kern w:val="0"/>
        </w:rPr>
      </w:pPr>
      <w:r>
        <w:rPr>
          <w:rFonts w:eastAsiaTheme="minorEastAsia" w:cs="Times New Roman"/>
          <w:kern w:val="0"/>
        </w:rPr>
        <w:t>在实地踏查的基础上，确定典型的群落地段，采用法瑞学派样地记录法进行群落调查，其中评价区乔木林主要为</w:t>
      </w:r>
      <w:r>
        <w:rPr>
          <w:rFonts w:eastAsiaTheme="minorEastAsia" w:cs="Times New Roman"/>
          <w:kern w:val="0"/>
        </w:rPr>
        <w:t>公益林</w:t>
      </w:r>
      <w:r>
        <w:rPr>
          <w:rFonts w:eastAsiaTheme="minorEastAsia" w:cs="Times New Roman"/>
          <w:kern w:val="0"/>
        </w:rPr>
        <w:t>分布的胡杨林，</w:t>
      </w:r>
      <w:r>
        <w:rPr>
          <w:rFonts w:cs="Times New Roman"/>
        </w:rPr>
        <w:t>设置天然乔木林样方为</w:t>
      </w:r>
      <w:r>
        <w:rPr>
          <w:rFonts w:cs="Times New Roman"/>
        </w:rPr>
        <w:t>10m×10m</w:t>
      </w:r>
      <w:r>
        <w:rPr>
          <w:rFonts w:cs="Times New Roman"/>
        </w:rPr>
        <w:t>；灌</w:t>
      </w:r>
      <w:r>
        <w:rPr>
          <w:rFonts w:cs="Times New Roman"/>
        </w:rPr>
        <w:t>木林样方</w:t>
      </w:r>
      <w:r>
        <w:rPr>
          <w:rFonts w:cs="Times New Roman"/>
        </w:rPr>
        <w:t>为</w:t>
      </w:r>
      <w:r>
        <w:rPr>
          <w:rFonts w:cs="Times New Roman"/>
        </w:rPr>
        <w:t>5m×5m</w:t>
      </w:r>
      <w:r>
        <w:rPr>
          <w:rFonts w:cs="Times New Roman"/>
        </w:rPr>
        <w:t>；草</w:t>
      </w:r>
      <w:r>
        <w:rPr>
          <w:rFonts w:cs="Times New Roman"/>
        </w:rPr>
        <w:t>本样方</w:t>
      </w:r>
      <w:r>
        <w:rPr>
          <w:rFonts w:cs="Times New Roman"/>
        </w:rPr>
        <w:t>为</w:t>
      </w:r>
      <w:r>
        <w:rPr>
          <w:rFonts w:cs="Times New Roman"/>
        </w:rPr>
        <w:t>1m×1m</w:t>
      </w:r>
      <w:r>
        <w:rPr>
          <w:rFonts w:eastAsiaTheme="minorEastAsia" w:cs="Times New Roman"/>
          <w:kern w:val="0"/>
        </w:rPr>
        <w:t>。记录样地的所有种类，并按</w:t>
      </w:r>
      <w:r>
        <w:rPr>
          <w:rFonts w:eastAsiaTheme="minorEastAsia" w:cs="Times New Roman"/>
          <w:kern w:val="0"/>
        </w:rPr>
        <w:t>Braun-Blanque</w:t>
      </w:r>
      <w:r>
        <w:rPr>
          <w:rFonts w:eastAsiaTheme="minorEastAsia" w:cs="Times New Roman"/>
          <w:kern w:val="0"/>
        </w:rPr>
        <w:t>t</w:t>
      </w:r>
      <w:r>
        <w:rPr>
          <w:rFonts w:eastAsiaTheme="minorEastAsia" w:cs="Times New Roman"/>
          <w:kern w:val="0"/>
        </w:rPr>
        <w:t>多优度</w:t>
      </w:r>
      <w:r>
        <w:rPr>
          <w:rFonts w:eastAsiaTheme="minorEastAsia" w:cs="Times New Roman"/>
          <w:kern w:val="0"/>
        </w:rPr>
        <w:t>—</w:t>
      </w:r>
      <w:r>
        <w:rPr>
          <w:rFonts w:eastAsiaTheme="minorEastAsia" w:cs="Times New Roman"/>
          <w:kern w:val="0"/>
        </w:rPr>
        <w:t>群聚度</w:t>
      </w:r>
      <w:r>
        <w:rPr>
          <w:rFonts w:eastAsiaTheme="minorEastAsia" w:cs="Times New Roman"/>
          <w:kern w:val="0"/>
        </w:rPr>
        <w:t>计分</w:t>
      </w:r>
      <w:r>
        <w:rPr>
          <w:rFonts w:eastAsiaTheme="minorEastAsia" w:cs="Times New Roman"/>
          <w:kern w:val="0"/>
        </w:rPr>
        <w:t>，综合</w:t>
      </w:r>
      <w:r>
        <w:rPr>
          <w:rFonts w:eastAsiaTheme="minorEastAsia" w:cs="Times New Roman"/>
          <w:kern w:val="0"/>
        </w:rPr>
        <w:t>3</w:t>
      </w:r>
      <w:r>
        <w:rPr>
          <w:rFonts w:eastAsiaTheme="minorEastAsia" w:cs="Times New Roman"/>
          <w:kern w:val="0"/>
        </w:rPr>
        <w:t>个以上典型样地资料，确定</w:t>
      </w:r>
      <w:r>
        <w:rPr>
          <w:rFonts w:eastAsiaTheme="minorEastAsia" w:cs="Times New Roman"/>
          <w:kern w:val="0"/>
        </w:rPr>
        <w:t>1</w:t>
      </w:r>
      <w:r>
        <w:rPr>
          <w:rFonts w:eastAsiaTheme="minorEastAsia" w:cs="Times New Roman"/>
          <w:kern w:val="0"/>
        </w:rPr>
        <w:t>种群落类型，并利用</w:t>
      </w:r>
      <w:r>
        <w:rPr>
          <w:rFonts w:eastAsiaTheme="minorEastAsia" w:cs="Times New Roman"/>
          <w:kern w:val="0"/>
        </w:rPr>
        <w:t>GPS</w:t>
      </w:r>
      <w:r>
        <w:rPr>
          <w:rFonts w:eastAsiaTheme="minorEastAsia" w:cs="Times New Roman"/>
          <w:kern w:val="0"/>
        </w:rPr>
        <w:t>确定样地位置。</w:t>
      </w:r>
    </w:p>
    <w:p w:rsidR="00A46452" w:rsidRDefault="009A3928">
      <w:pPr>
        <w:wordWrap w:val="0"/>
        <w:topLinePunct/>
        <w:ind w:firstLine="480"/>
        <w:rPr>
          <w:rFonts w:eastAsiaTheme="minorEastAsia" w:cs="Times New Roman"/>
          <w:kern w:val="0"/>
        </w:rPr>
      </w:pPr>
      <w:r>
        <w:rPr>
          <w:rFonts w:eastAsiaTheme="minorEastAsia" w:cs="Times New Roman"/>
          <w:kern w:val="0"/>
        </w:rPr>
        <w:t>③</w:t>
      </w:r>
      <w:r>
        <w:rPr>
          <w:rFonts w:eastAsiaTheme="minorEastAsia" w:cs="Times New Roman"/>
          <w:kern w:val="0"/>
        </w:rPr>
        <w:t>样方布点原则</w:t>
      </w:r>
    </w:p>
    <w:p w:rsidR="00A46452" w:rsidRDefault="009A3928">
      <w:pPr>
        <w:wordWrap w:val="0"/>
        <w:topLinePunct/>
        <w:ind w:firstLine="480"/>
        <w:rPr>
          <w:rFonts w:eastAsiaTheme="minorEastAsia" w:cs="Times New Roman"/>
          <w:kern w:val="0"/>
        </w:rPr>
      </w:pPr>
      <w:r>
        <w:rPr>
          <w:rFonts w:eastAsiaTheme="minorEastAsia" w:cs="Times New Roman"/>
          <w:kern w:val="0"/>
        </w:rPr>
        <w:t>植被调查取样的目的是要通过样方的研究准确地推测评价范围内植被的总体情况，所选取的样方具有代表性，能通过尽可能少的抽样获得较为准确的有关总体的特征。评价范围内植被样方调查原则是：</w:t>
      </w:r>
    </w:p>
    <w:p w:rsidR="00A46452" w:rsidRDefault="009A3928" w:rsidP="00182EED">
      <w:pPr>
        <w:pStyle w:val="a5"/>
        <w:wordWrap w:val="0"/>
        <w:topLinePunct/>
        <w:adjustRightInd w:val="0"/>
        <w:snapToGrid w:val="0"/>
        <w:spacing w:after="0"/>
        <w:ind w:firstLine="480"/>
        <w:rPr>
          <w:rFonts w:eastAsiaTheme="minorEastAsia" w:cs="Times New Roman" w:hint="default"/>
        </w:rPr>
      </w:pPr>
      <w:r>
        <w:rPr>
          <w:rFonts w:eastAsiaTheme="minorEastAsia" w:cs="Times New Roman" w:hint="default"/>
        </w:rPr>
        <w:t>I</w:t>
      </w:r>
      <w:r>
        <w:rPr>
          <w:rFonts w:eastAsiaTheme="minorEastAsia" w:cs="Times New Roman" w:hint="default"/>
        </w:rPr>
        <w:t>、尽量在重点施工区、生态敏感区以及植被良好的区域设置样点，并考虑评价范围内布点的均匀性。</w:t>
      </w:r>
    </w:p>
    <w:p w:rsidR="00A46452" w:rsidRDefault="009A3928" w:rsidP="00182EED">
      <w:pPr>
        <w:pStyle w:val="a5"/>
        <w:wordWrap w:val="0"/>
        <w:topLinePunct/>
        <w:adjustRightInd w:val="0"/>
        <w:snapToGrid w:val="0"/>
        <w:spacing w:after="0"/>
        <w:ind w:firstLine="480"/>
        <w:rPr>
          <w:rFonts w:eastAsiaTheme="minorEastAsia" w:cs="Times New Roman" w:hint="default"/>
        </w:rPr>
      </w:pPr>
      <w:r>
        <w:rPr>
          <w:rFonts w:eastAsiaTheme="minorEastAsia" w:cs="Times New Roman" w:hint="default"/>
        </w:rPr>
        <w:t>II</w:t>
      </w:r>
      <w:r>
        <w:rPr>
          <w:rFonts w:eastAsiaTheme="minorEastAsia" w:cs="Times New Roman" w:hint="default"/>
        </w:rPr>
        <w:t>、所选取的样点植被为评价范围内分布比较普遍的类型。</w:t>
      </w:r>
    </w:p>
    <w:p w:rsidR="00A46452" w:rsidRDefault="009A3928" w:rsidP="00182EED">
      <w:pPr>
        <w:pStyle w:val="a5"/>
        <w:wordWrap w:val="0"/>
        <w:topLinePunct/>
        <w:adjustRightInd w:val="0"/>
        <w:snapToGrid w:val="0"/>
        <w:spacing w:after="0"/>
        <w:ind w:firstLine="480"/>
        <w:rPr>
          <w:rFonts w:eastAsiaTheme="minorEastAsia" w:cs="Times New Roman" w:hint="default"/>
        </w:rPr>
      </w:pPr>
      <w:r>
        <w:rPr>
          <w:rFonts w:eastAsiaTheme="minorEastAsia" w:cs="Times New Roman" w:hint="default"/>
        </w:rPr>
        <w:t>Ⅲ</w:t>
      </w:r>
      <w:r>
        <w:rPr>
          <w:rFonts w:eastAsiaTheme="minorEastAsia" w:cs="Times New Roman" w:hint="default"/>
        </w:rPr>
        <w:t>、样点的设置避免对同一种植被进行重复设点，对特别重要的植被内植物变化较大的情况，可进行增加设点。</w:t>
      </w:r>
    </w:p>
    <w:p w:rsidR="00A46452" w:rsidRDefault="009A3928" w:rsidP="00182EED">
      <w:pPr>
        <w:pStyle w:val="a5"/>
        <w:wordWrap w:val="0"/>
        <w:topLinePunct/>
        <w:adjustRightInd w:val="0"/>
        <w:snapToGrid w:val="0"/>
        <w:spacing w:after="0"/>
        <w:ind w:firstLine="480"/>
        <w:rPr>
          <w:rFonts w:eastAsiaTheme="minorEastAsia" w:cs="Times New Roman" w:hint="default"/>
        </w:rPr>
      </w:pPr>
      <w:r>
        <w:rPr>
          <w:rFonts w:eastAsiaTheme="minorEastAsia" w:cs="Times New Roman" w:hint="default"/>
        </w:rPr>
        <w:t>IV</w:t>
      </w:r>
      <w:r>
        <w:rPr>
          <w:rFonts w:eastAsiaTheme="minorEastAsia" w:cs="Times New Roman" w:hint="default"/>
        </w:rPr>
        <w:t>、尽量避免非取样误差：避免选择路边易到之处；两人以上进行观察记录，消除主观因素。</w:t>
      </w:r>
    </w:p>
    <w:p w:rsidR="00A46452" w:rsidRDefault="009A3928">
      <w:pPr>
        <w:wordWrap w:val="0"/>
        <w:topLinePunct/>
        <w:adjustRightInd w:val="0"/>
        <w:snapToGrid w:val="0"/>
        <w:ind w:firstLine="480"/>
        <w:rPr>
          <w:rFonts w:eastAsiaTheme="minorEastAsia" w:cs="Times New Roman"/>
          <w:kern w:val="0"/>
        </w:rPr>
      </w:pPr>
      <w:r>
        <w:rPr>
          <w:rFonts w:eastAsiaTheme="minorEastAsia" w:cs="Times New Roman"/>
          <w:kern w:val="0"/>
        </w:rPr>
        <w:t>以上原则保证了样点的布置具有代表性，调查结果中的植被应包括评价范围内分布最普遍、最主要的植被类型。</w:t>
      </w:r>
    </w:p>
    <w:p w:rsidR="00A46452" w:rsidRDefault="009A3928">
      <w:pPr>
        <w:wordWrap w:val="0"/>
        <w:topLinePunct/>
        <w:ind w:firstLine="480"/>
        <w:rPr>
          <w:rFonts w:eastAsiaTheme="minorEastAsia" w:cs="Times New Roman"/>
          <w:kern w:val="0"/>
        </w:rPr>
      </w:pPr>
      <w:r>
        <w:rPr>
          <w:rFonts w:eastAsiaTheme="minorEastAsia" w:cs="Times New Roman"/>
          <w:kern w:val="0"/>
        </w:rPr>
        <w:t>⑤</w:t>
      </w:r>
      <w:r>
        <w:rPr>
          <w:rFonts w:eastAsiaTheme="minorEastAsia" w:cs="Times New Roman"/>
          <w:kern w:val="0"/>
        </w:rPr>
        <w:t>植物资源调查</w:t>
      </w:r>
    </w:p>
    <w:p w:rsidR="00A46452" w:rsidRDefault="009A3928">
      <w:pPr>
        <w:wordWrap w:val="0"/>
        <w:topLinePunct/>
        <w:ind w:firstLine="480"/>
        <w:rPr>
          <w:rFonts w:eastAsiaTheme="minorEastAsia" w:cs="Times New Roman"/>
          <w:kern w:val="0"/>
        </w:rPr>
      </w:pPr>
      <w:r>
        <w:rPr>
          <w:rFonts w:eastAsiaTheme="minorEastAsia" w:cs="Times New Roman"/>
          <w:kern w:val="0"/>
        </w:rPr>
        <w:t>实地调查统计和记录了评价区内的植物种类、经济植物的种类及资源状况、珍稀濒危植物的种类及生存状况等。实地调查采取路线调查与重点调查相结合的方法，对于没有原生植被的区域采取路线调查，在重点施工区域以及具有代表性、分布范围广的植被类型进行重点调查；对资源植物和珍稀濒危植物调查采取野外调查和民间访问、市场调查相结合的方法进行。对有疑问、经济植物和珍稀濒危植物采集凭证标本和拍摄照片，标本鉴定依据《新疆植被及其利用》和《中国植物志》等专著进行。</w:t>
      </w:r>
    </w:p>
    <w:p w:rsidR="00A46452" w:rsidRDefault="009A3928">
      <w:pPr>
        <w:wordWrap w:val="0"/>
        <w:topLinePunct/>
        <w:ind w:firstLine="480"/>
        <w:rPr>
          <w:rFonts w:eastAsiaTheme="minorEastAsia" w:cs="Times New Roman"/>
          <w:kern w:val="0"/>
        </w:rPr>
      </w:pPr>
      <w:r>
        <w:rPr>
          <w:rFonts w:eastAsiaTheme="minorEastAsia" w:cs="Times New Roman"/>
          <w:kern w:val="0"/>
        </w:rPr>
        <w:t>（</w:t>
      </w:r>
      <w:r>
        <w:rPr>
          <w:rFonts w:eastAsiaTheme="minorEastAsia" w:cs="Times New Roman"/>
          <w:kern w:val="0"/>
        </w:rPr>
        <w:t>3</w:t>
      </w:r>
      <w:r>
        <w:rPr>
          <w:rFonts w:eastAsiaTheme="minorEastAsia" w:cs="Times New Roman"/>
          <w:kern w:val="0"/>
        </w:rPr>
        <w:t>）陆生动物</w:t>
      </w:r>
    </w:p>
    <w:p w:rsidR="00A46452" w:rsidRDefault="009A3928">
      <w:pPr>
        <w:wordWrap w:val="0"/>
        <w:topLinePunct/>
        <w:ind w:firstLine="480"/>
        <w:rPr>
          <w:rFonts w:cs="Times New Roman"/>
          <w:kern w:val="0"/>
          <w:szCs w:val="20"/>
        </w:rPr>
      </w:pPr>
      <w:r>
        <w:rPr>
          <w:rFonts w:cs="Times New Roman"/>
          <w:kern w:val="0"/>
          <w:szCs w:val="20"/>
        </w:rPr>
        <w:t>根据《中国两栖爬行动物鉴定手册</w:t>
      </w:r>
      <w:r>
        <w:rPr>
          <w:rFonts w:cs="Times New Roman"/>
          <w:kern w:val="0"/>
          <w:szCs w:val="20"/>
        </w:rPr>
        <w:t>》《</w:t>
      </w:r>
      <w:r>
        <w:rPr>
          <w:rFonts w:cs="Times New Roman"/>
          <w:kern w:val="0"/>
          <w:szCs w:val="20"/>
        </w:rPr>
        <w:t>中国鸟类图鉴》等相关资料</w:t>
      </w:r>
      <w:r>
        <w:rPr>
          <w:rFonts w:cs="Times New Roman"/>
          <w:kern w:val="0"/>
          <w:szCs w:val="20"/>
        </w:rPr>
        <w:t>，采用样线调查和生境推测等方法，对评价区内的陆生动物种类进行调查和记录；同时，根据国家重点保护野生动物名录、新疆维吾尔自治区重点保护野生动物名录等资料，确定陆生动物保护物种和特有种。具体来说，样线调查依据评价等级按不同生境设置，其中一级评价区不少于</w:t>
      </w:r>
      <w:r>
        <w:rPr>
          <w:rFonts w:cs="Times New Roman"/>
          <w:kern w:val="0"/>
          <w:szCs w:val="20"/>
        </w:rPr>
        <w:t>5</w:t>
      </w:r>
      <w:r>
        <w:rPr>
          <w:rFonts w:cs="Times New Roman"/>
          <w:kern w:val="0"/>
          <w:szCs w:val="20"/>
        </w:rPr>
        <w:t>条样线，二级评价区不少于</w:t>
      </w:r>
      <w:r>
        <w:rPr>
          <w:rFonts w:cs="Times New Roman"/>
          <w:kern w:val="0"/>
          <w:szCs w:val="20"/>
        </w:rPr>
        <w:t>3</w:t>
      </w:r>
      <w:r>
        <w:rPr>
          <w:rFonts w:cs="Times New Roman"/>
          <w:kern w:val="0"/>
          <w:szCs w:val="20"/>
        </w:rPr>
        <w:t>条样线，记录目击动物实体的种类和数量、毛发、羽毛、足迹、粪便等，并拍照记录；生境推测</w:t>
      </w:r>
      <w:r>
        <w:rPr>
          <w:rFonts w:cs="Times New Roman"/>
          <w:kern w:val="0"/>
          <w:szCs w:val="20"/>
        </w:rPr>
        <w:t>——</w:t>
      </w:r>
      <w:r>
        <w:rPr>
          <w:rFonts w:cs="Times New Roman"/>
          <w:kern w:val="0"/>
          <w:szCs w:val="20"/>
        </w:rPr>
        <w:t>根据当地的景观类型，结合室内工作查询相关资料及实地调查，整理出物种名录。</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6.2.3.3</w:t>
      </w:r>
      <w:r>
        <w:rPr>
          <w:rFonts w:cs="Times New Roman" w:hint="default"/>
          <w:iCs/>
        </w:rPr>
        <w:t>专家和公众咨询法</w:t>
      </w:r>
    </w:p>
    <w:p w:rsidR="00A46452" w:rsidRDefault="009A3928">
      <w:pPr>
        <w:wordWrap w:val="0"/>
        <w:topLinePunct/>
        <w:ind w:firstLine="480"/>
        <w:rPr>
          <w:rFonts w:cs="Times New Roman"/>
          <w:kern w:val="0"/>
          <w:szCs w:val="20"/>
        </w:rPr>
      </w:pPr>
      <w:r>
        <w:rPr>
          <w:rFonts w:cs="Times New Roman"/>
          <w:kern w:val="0"/>
          <w:szCs w:val="20"/>
        </w:rPr>
        <w:t>通过咨询有关专家，收集公众、社会团体和相关</w:t>
      </w:r>
      <w:r>
        <w:rPr>
          <w:rFonts w:cs="Times New Roman"/>
          <w:kern w:val="0"/>
          <w:szCs w:val="20"/>
        </w:rPr>
        <w:t>管理部门对项目的意见，发现现场踏勘中遗漏的相关信息。尤其是针对动物资源调查，除了查阅文献资料和现场调查，还需通过实地走访，向受访人员展示图谱，加以确认、补充与核查当地分布的动物种类。</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6.2.3.4</w:t>
      </w:r>
      <w:r>
        <w:rPr>
          <w:rFonts w:cs="Times New Roman" w:hint="default"/>
          <w:iCs/>
        </w:rPr>
        <w:t>生态制图</w:t>
      </w:r>
    </w:p>
    <w:p w:rsidR="00A46452" w:rsidRDefault="009A3928">
      <w:pPr>
        <w:wordWrap w:val="0"/>
        <w:topLinePunct/>
        <w:ind w:firstLine="480"/>
        <w:rPr>
          <w:rFonts w:cs="Times New Roman"/>
          <w:kern w:val="0"/>
          <w:szCs w:val="20"/>
        </w:rPr>
      </w:pPr>
      <w:r>
        <w:rPr>
          <w:rFonts w:cs="Times New Roman"/>
          <w:kern w:val="0"/>
          <w:szCs w:val="20"/>
        </w:rPr>
        <w:t>以遥感影像数据作为数据源，采用</w:t>
      </w:r>
      <w:r>
        <w:rPr>
          <w:rFonts w:cs="Times New Roman"/>
          <w:kern w:val="0"/>
          <w:szCs w:val="20"/>
        </w:rPr>
        <w:t>GIS</w:t>
      </w:r>
      <w:r>
        <w:rPr>
          <w:rFonts w:cs="Times New Roman"/>
          <w:kern w:val="0"/>
          <w:szCs w:val="20"/>
        </w:rPr>
        <w:t>的空间信息技术，结合历史资料及野外调查数据等进行地面类型的数字化判读，完成数字化的土地利用图、植被类型图，进行景观质量和生态环境质量的定性和定量评价。本次调查选用</w:t>
      </w:r>
      <w:r>
        <w:rPr>
          <w:rFonts w:cs="Times New Roman"/>
          <w:kern w:val="0"/>
          <w:szCs w:val="20"/>
        </w:rPr>
        <w:t>2023</w:t>
      </w:r>
      <w:r>
        <w:rPr>
          <w:rFonts w:cs="Times New Roman"/>
          <w:kern w:val="0"/>
          <w:szCs w:val="20"/>
        </w:rPr>
        <w:t>年的</w:t>
      </w:r>
      <w:r>
        <w:rPr>
          <w:rFonts w:cs="Times New Roman"/>
          <w:kern w:val="0"/>
          <w:szCs w:val="20"/>
        </w:rPr>
        <w:t>Sentinel—2</w:t>
      </w:r>
      <w:r>
        <w:rPr>
          <w:rFonts w:cs="Times New Roman"/>
          <w:kern w:val="0"/>
          <w:szCs w:val="20"/>
        </w:rPr>
        <w:t>影像。影像地面精度为</w:t>
      </w:r>
      <w:r>
        <w:rPr>
          <w:rFonts w:cs="Times New Roman"/>
          <w:kern w:val="0"/>
          <w:szCs w:val="20"/>
        </w:rPr>
        <w:t>15m</w:t>
      </w:r>
      <w:r>
        <w:rPr>
          <w:rFonts w:cs="Times New Roman"/>
          <w:kern w:val="0"/>
          <w:szCs w:val="20"/>
        </w:rPr>
        <w:t>，借助</w:t>
      </w:r>
      <w:r>
        <w:rPr>
          <w:rFonts w:cs="Times New Roman"/>
          <w:kern w:val="0"/>
          <w:szCs w:val="20"/>
        </w:rPr>
        <w:t>ARCGIS10.</w:t>
      </w:r>
      <w:r>
        <w:rPr>
          <w:rFonts w:cs="Times New Roman"/>
          <w:kern w:val="0"/>
          <w:szCs w:val="20"/>
        </w:rPr>
        <w:t>7</w:t>
      </w:r>
      <w:r>
        <w:rPr>
          <w:rFonts w:cs="Times New Roman"/>
          <w:kern w:val="0"/>
          <w:szCs w:val="20"/>
        </w:rPr>
        <w:t>等遥感和地理信息系统软件，采用人机交互解译评价范围内土地利用、植被类型情况。通过现状植被和土地利用类型分析，确定景观要素、基质和廊道，以及斑块类型，类斑数量、纹理规模等反映景观质量和特征的参数，分析景观格局、多样性、优势度等特征，以评价景观与生态环境质量，分析工程建设区的景观变化。</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6.2.3.5</w:t>
      </w:r>
      <w:r>
        <w:rPr>
          <w:rFonts w:cs="Times New Roman" w:hint="default"/>
          <w:iCs/>
        </w:rPr>
        <w:t>生物量测定与估算</w:t>
      </w:r>
    </w:p>
    <w:p w:rsidR="00A46452" w:rsidRDefault="009A3928">
      <w:pPr>
        <w:wordWrap w:val="0"/>
        <w:topLinePunct/>
        <w:ind w:firstLine="480"/>
        <w:rPr>
          <w:rFonts w:cs="Times New Roman"/>
          <w:kern w:val="0"/>
          <w:szCs w:val="20"/>
        </w:rPr>
      </w:pPr>
      <w:r>
        <w:rPr>
          <w:rFonts w:cs="Times New Roman"/>
          <w:kern w:val="0"/>
          <w:szCs w:val="20"/>
        </w:rPr>
        <w:t>评价范围内植被生物量数据借用中国科学院生态环境研究中心专家建立的我国森林生物量的基本参数，参考《我国森林植被的生物量和净生产量》（方精云，刘国华，徐蒿龄，</w:t>
      </w:r>
      <w:r>
        <w:rPr>
          <w:rFonts w:cs="Times New Roman"/>
          <w:kern w:val="0"/>
          <w:szCs w:val="20"/>
        </w:rPr>
        <w:t>1996</w:t>
      </w:r>
      <w:r>
        <w:rPr>
          <w:rFonts w:cs="Times New Roman"/>
          <w:kern w:val="0"/>
          <w:szCs w:val="20"/>
        </w:rPr>
        <w:t>年）、《中国森林生态系统的生物量和</w:t>
      </w:r>
      <w:r>
        <w:rPr>
          <w:rFonts w:cs="Times New Roman"/>
          <w:kern w:val="0"/>
          <w:szCs w:val="20"/>
        </w:rPr>
        <w:t>生产力》（冯宗炜等，</w:t>
      </w:r>
      <w:r>
        <w:rPr>
          <w:rFonts w:cs="Times New Roman"/>
          <w:kern w:val="0"/>
          <w:szCs w:val="20"/>
        </w:rPr>
        <w:t>1999</w:t>
      </w:r>
      <w:r>
        <w:rPr>
          <w:rFonts w:cs="Times New Roman"/>
          <w:kern w:val="0"/>
          <w:szCs w:val="20"/>
        </w:rPr>
        <w:t>年）、《中国森林生物量与生产力的研究》（肖兴威，</w:t>
      </w:r>
      <w:r>
        <w:rPr>
          <w:rFonts w:cs="Times New Roman"/>
          <w:kern w:val="0"/>
          <w:szCs w:val="20"/>
        </w:rPr>
        <w:t>2005</w:t>
      </w:r>
      <w:r>
        <w:rPr>
          <w:rFonts w:cs="Times New Roman"/>
          <w:kern w:val="0"/>
          <w:szCs w:val="20"/>
        </w:rPr>
        <w:t>年）、《中国森林植被净生产量及平均生产力动态变化分析》（林业科学研究，</w:t>
      </w:r>
      <w:r>
        <w:rPr>
          <w:rFonts w:cs="Times New Roman"/>
          <w:kern w:val="0"/>
          <w:szCs w:val="20"/>
        </w:rPr>
        <w:t>2014</w:t>
      </w:r>
      <w:r>
        <w:rPr>
          <w:rFonts w:cs="Times New Roman"/>
          <w:kern w:val="0"/>
          <w:szCs w:val="20"/>
        </w:rPr>
        <w:t>年）、《中国不同植被类型净初级生产力变化特征》（陈雅敏等，</w:t>
      </w:r>
      <w:r>
        <w:rPr>
          <w:rFonts w:cs="Times New Roman"/>
          <w:kern w:val="0"/>
          <w:szCs w:val="20"/>
        </w:rPr>
        <w:t>2012</w:t>
      </w:r>
      <w:r>
        <w:rPr>
          <w:rFonts w:cs="Times New Roman"/>
          <w:kern w:val="0"/>
          <w:szCs w:val="20"/>
        </w:rPr>
        <w:t>年）等资料，并根据当地的实际情况</w:t>
      </w:r>
      <w:r>
        <w:rPr>
          <w:rFonts w:cs="Times New Roman"/>
          <w:kern w:val="0"/>
          <w:szCs w:val="20"/>
        </w:rPr>
        <w:t>做</w:t>
      </w:r>
      <w:r>
        <w:rPr>
          <w:rFonts w:cs="Times New Roman"/>
          <w:kern w:val="0"/>
          <w:szCs w:val="20"/>
        </w:rPr>
        <w:t>适当调整，估算出评价范围内各植被类型的平均生物量。</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6.2.3.6</w:t>
      </w:r>
      <w:r>
        <w:rPr>
          <w:rFonts w:cs="Times New Roman" w:hint="default"/>
          <w:iCs/>
        </w:rPr>
        <w:t>植被覆盖度</w:t>
      </w:r>
    </w:p>
    <w:p w:rsidR="00A46452" w:rsidRDefault="009A3928">
      <w:pPr>
        <w:wordWrap w:val="0"/>
        <w:topLinePunct/>
        <w:ind w:firstLine="480"/>
        <w:rPr>
          <w:rFonts w:cs="Times New Roman"/>
          <w:kern w:val="0"/>
          <w:szCs w:val="20"/>
        </w:rPr>
      </w:pPr>
      <w:r>
        <w:rPr>
          <w:rFonts w:cs="Times New Roman"/>
          <w:kern w:val="0"/>
          <w:szCs w:val="20"/>
        </w:rPr>
        <w:t>植被覆盖度可用于定量分析评价范围内的植被现状。</w:t>
      </w:r>
    </w:p>
    <w:p w:rsidR="00A46452" w:rsidRDefault="009A3928">
      <w:pPr>
        <w:wordWrap w:val="0"/>
        <w:topLinePunct/>
        <w:ind w:firstLine="480"/>
        <w:rPr>
          <w:rFonts w:cs="Times New Roman"/>
          <w:kern w:val="0"/>
          <w:szCs w:val="20"/>
        </w:rPr>
      </w:pPr>
      <w:r>
        <w:rPr>
          <w:rFonts w:cs="Times New Roman"/>
          <w:kern w:val="0"/>
          <w:szCs w:val="20"/>
        </w:rPr>
        <w:t>基于遥感估算植被覆盖度可根据区域特点和数据基础采用不同的方法，如植被指数法、回归模型、机器学习法等。</w:t>
      </w:r>
    </w:p>
    <w:p w:rsidR="00A46452" w:rsidRDefault="009A3928">
      <w:pPr>
        <w:wordWrap w:val="0"/>
        <w:topLinePunct/>
        <w:ind w:firstLine="480"/>
        <w:rPr>
          <w:rFonts w:cs="Times New Roman"/>
          <w:kern w:val="0"/>
          <w:szCs w:val="20"/>
        </w:rPr>
      </w:pPr>
      <w:r>
        <w:rPr>
          <w:rFonts w:cs="Times New Roman"/>
          <w:kern w:val="0"/>
          <w:szCs w:val="20"/>
        </w:rPr>
        <w:t>植被指数法主要是通过对</w:t>
      </w:r>
      <w:r>
        <w:rPr>
          <w:rFonts w:cs="Times New Roman"/>
          <w:kern w:val="0"/>
          <w:szCs w:val="20"/>
        </w:rPr>
        <w:t>各像元中植被类型及分布特征的分析，建立植被指数与植被覆盖度的转换关系。采用归一化植被指数（</w:t>
      </w:r>
      <w:r>
        <w:rPr>
          <w:rFonts w:cs="Times New Roman"/>
          <w:kern w:val="0"/>
          <w:szCs w:val="20"/>
        </w:rPr>
        <w:t>NDVI</w:t>
      </w:r>
      <w:r>
        <w:rPr>
          <w:rFonts w:cs="Times New Roman"/>
          <w:kern w:val="0"/>
          <w:szCs w:val="20"/>
        </w:rPr>
        <w:t>）估算植被覆盖度的方法如下：</w:t>
      </w:r>
    </w:p>
    <w:p w:rsidR="00A46452" w:rsidRDefault="009A3928" w:rsidP="00182EED">
      <w:pPr>
        <w:pStyle w:val="a5"/>
        <w:wordWrap w:val="0"/>
        <w:topLinePunct/>
        <w:spacing w:line="323" w:lineRule="exact"/>
        <w:ind w:firstLine="480"/>
        <w:jc w:val="center"/>
        <w:rPr>
          <w:rFonts w:eastAsia="Times New Roman" w:cs="Times New Roman" w:hint="default"/>
        </w:rPr>
      </w:pPr>
      <w:r>
        <w:rPr>
          <w:rFonts w:eastAsia="Times New Roman" w:cs="Times New Roman" w:hint="default"/>
          <w:position w:val="3"/>
        </w:rPr>
        <w:t>FVC=(NDVI-</w:t>
      </w:r>
      <w:r>
        <w:rPr>
          <w:rFonts w:cs="Times New Roman" w:hint="default"/>
          <w:position w:val="3"/>
        </w:rPr>
        <w:t>〖</w:t>
      </w:r>
      <w:r>
        <w:rPr>
          <w:rFonts w:eastAsia="Times New Roman" w:cs="Times New Roman" w:hint="default"/>
          <w:position w:val="3"/>
        </w:rPr>
        <w:t>NDVI</w:t>
      </w:r>
      <w:r>
        <w:rPr>
          <w:rFonts w:cs="Times New Roman" w:hint="default"/>
          <w:position w:val="3"/>
        </w:rPr>
        <w:t>〗</w:t>
      </w:r>
      <w:r>
        <w:rPr>
          <w:rFonts w:eastAsia="Times New Roman" w:cs="Times New Roman" w:hint="default"/>
          <w:position w:val="3"/>
        </w:rPr>
        <w:t>_s)/(</w:t>
      </w:r>
      <w:r>
        <w:rPr>
          <w:rFonts w:cs="Times New Roman" w:hint="default"/>
          <w:position w:val="3"/>
        </w:rPr>
        <w:t>〖</w:t>
      </w:r>
      <w:r>
        <w:rPr>
          <w:rFonts w:eastAsia="Times New Roman" w:cs="Times New Roman" w:hint="default"/>
          <w:position w:val="3"/>
        </w:rPr>
        <w:t>NDVI</w:t>
      </w:r>
      <w:r>
        <w:rPr>
          <w:rFonts w:cs="Times New Roman" w:hint="default"/>
          <w:position w:val="3"/>
        </w:rPr>
        <w:t>〗</w:t>
      </w:r>
      <w:r>
        <w:rPr>
          <w:rFonts w:eastAsia="Times New Roman" w:cs="Times New Roman" w:hint="default"/>
          <w:position w:val="3"/>
        </w:rPr>
        <w:t>_v-</w:t>
      </w:r>
      <w:r>
        <w:rPr>
          <w:rFonts w:cs="Times New Roman" w:hint="default"/>
          <w:position w:val="3"/>
        </w:rPr>
        <w:t>〖</w:t>
      </w:r>
      <w:r>
        <w:rPr>
          <w:rFonts w:eastAsia="Times New Roman" w:cs="Times New Roman" w:hint="default"/>
          <w:position w:val="3"/>
        </w:rPr>
        <w:t>NDV</w:t>
      </w:r>
      <w:r>
        <w:rPr>
          <w:rFonts w:eastAsia="Times New Roman" w:cs="Times New Roman" w:hint="default"/>
          <w:spacing w:val="-1"/>
          <w:position w:val="3"/>
        </w:rPr>
        <w:t>I</w:t>
      </w:r>
      <w:r>
        <w:rPr>
          <w:rFonts w:cs="Times New Roman" w:hint="default"/>
          <w:spacing w:val="-1"/>
          <w:position w:val="3"/>
        </w:rPr>
        <w:t>〗</w:t>
      </w:r>
      <w:r>
        <w:rPr>
          <w:rFonts w:eastAsia="Times New Roman" w:cs="Times New Roman" w:hint="default"/>
          <w:spacing w:val="-1"/>
          <w:position w:val="3"/>
        </w:rPr>
        <w:t>_s)</w:t>
      </w:r>
    </w:p>
    <w:p w:rsidR="00A46452" w:rsidRDefault="009A3928">
      <w:pPr>
        <w:pStyle w:val="a5"/>
        <w:wordWrap w:val="0"/>
        <w:topLinePunct/>
        <w:spacing w:after="0"/>
        <w:ind w:firstLine="476"/>
        <w:rPr>
          <w:rFonts w:cs="Times New Roman" w:hint="default"/>
        </w:rPr>
      </w:pPr>
      <w:r>
        <w:rPr>
          <w:rFonts w:cs="Times New Roman" w:hint="default"/>
          <w:spacing w:val="-1"/>
        </w:rPr>
        <w:t>式中：</w:t>
      </w:r>
      <w:r>
        <w:rPr>
          <w:rFonts w:eastAsia="Times New Roman" w:cs="Times New Roman" w:hint="default"/>
          <w:spacing w:val="-1"/>
        </w:rPr>
        <w:t>FVC——</w:t>
      </w:r>
      <w:r>
        <w:rPr>
          <w:rFonts w:cs="Times New Roman" w:hint="default"/>
          <w:spacing w:val="-1"/>
        </w:rPr>
        <w:t>所计算像元的植被覆盖度；</w:t>
      </w:r>
    </w:p>
    <w:p w:rsidR="00A46452" w:rsidRDefault="009A3928">
      <w:pPr>
        <w:pStyle w:val="a5"/>
        <w:wordWrap w:val="0"/>
        <w:topLinePunct/>
        <w:spacing w:after="0"/>
        <w:ind w:firstLine="476"/>
        <w:rPr>
          <w:rFonts w:cs="Times New Roman" w:hint="default"/>
        </w:rPr>
      </w:pPr>
      <w:r>
        <w:rPr>
          <w:rFonts w:eastAsia="Times New Roman" w:cs="Times New Roman" w:hint="default"/>
          <w:spacing w:val="-1"/>
        </w:rPr>
        <w:t>NDVI——</w:t>
      </w:r>
      <w:r>
        <w:rPr>
          <w:rFonts w:cs="Times New Roman" w:hint="default"/>
          <w:spacing w:val="-1"/>
        </w:rPr>
        <w:t>所计算像元的</w:t>
      </w:r>
      <w:r>
        <w:rPr>
          <w:rFonts w:eastAsia="Times New Roman" w:cs="Times New Roman" w:hint="default"/>
          <w:spacing w:val="-1"/>
        </w:rPr>
        <w:t>NDVI</w:t>
      </w:r>
      <w:r>
        <w:rPr>
          <w:rFonts w:cs="Times New Roman" w:hint="default"/>
          <w:spacing w:val="-1"/>
        </w:rPr>
        <w:t>；</w:t>
      </w:r>
    </w:p>
    <w:p w:rsidR="00A46452" w:rsidRDefault="009A3928">
      <w:pPr>
        <w:pStyle w:val="a5"/>
        <w:wordWrap w:val="0"/>
        <w:topLinePunct/>
        <w:spacing w:after="0"/>
        <w:ind w:firstLine="476"/>
        <w:rPr>
          <w:rFonts w:cs="Times New Roman" w:hint="default"/>
        </w:rPr>
      </w:pPr>
      <w:r>
        <w:rPr>
          <w:rFonts w:eastAsia="Times New Roman" w:cs="Times New Roman" w:hint="default"/>
          <w:spacing w:val="-1"/>
        </w:rPr>
        <w:t>NDVIv——</w:t>
      </w:r>
      <w:r>
        <w:rPr>
          <w:rFonts w:cs="Times New Roman" w:hint="default"/>
          <w:spacing w:val="-1"/>
        </w:rPr>
        <w:t>纯植物像元的</w:t>
      </w:r>
      <w:r>
        <w:rPr>
          <w:rFonts w:eastAsia="Times New Roman" w:cs="Times New Roman" w:hint="default"/>
          <w:spacing w:val="-1"/>
        </w:rPr>
        <w:t>NDVI</w:t>
      </w:r>
      <w:r>
        <w:rPr>
          <w:rFonts w:cs="Times New Roman" w:hint="default"/>
          <w:spacing w:val="-1"/>
        </w:rPr>
        <w:t>值；</w:t>
      </w:r>
    </w:p>
    <w:p w:rsidR="00A46452" w:rsidRDefault="009A3928">
      <w:pPr>
        <w:pStyle w:val="a5"/>
        <w:wordWrap w:val="0"/>
        <w:topLinePunct/>
        <w:spacing w:after="0"/>
        <w:ind w:firstLine="476"/>
        <w:rPr>
          <w:rFonts w:cs="Times New Roman" w:hint="default"/>
          <w:spacing w:val="-1"/>
        </w:rPr>
      </w:pPr>
      <w:r>
        <w:rPr>
          <w:rFonts w:eastAsia="Times New Roman" w:cs="Times New Roman" w:hint="default"/>
          <w:spacing w:val="-1"/>
        </w:rPr>
        <w:t>NDVIs——</w:t>
      </w:r>
      <w:r>
        <w:rPr>
          <w:rFonts w:cs="Times New Roman" w:hint="default"/>
          <w:spacing w:val="-1"/>
        </w:rPr>
        <w:t>完全无植被覆盖像元的</w:t>
      </w:r>
      <w:r>
        <w:rPr>
          <w:rFonts w:eastAsia="Times New Roman" w:cs="Times New Roman" w:hint="default"/>
          <w:spacing w:val="-1"/>
        </w:rPr>
        <w:t>NDVI</w:t>
      </w:r>
      <w:r>
        <w:rPr>
          <w:rFonts w:cs="Times New Roman" w:hint="default"/>
          <w:spacing w:val="-1"/>
        </w:rPr>
        <w:t>值。</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6.2.3.7</w:t>
      </w:r>
      <w:r>
        <w:rPr>
          <w:rFonts w:cs="Times New Roman" w:hint="default"/>
          <w:iCs/>
        </w:rPr>
        <w:t>景观生态学</w:t>
      </w:r>
    </w:p>
    <w:p w:rsidR="00A46452" w:rsidRDefault="009A3928" w:rsidP="00182EED">
      <w:pPr>
        <w:pStyle w:val="a5"/>
        <w:wordWrap w:val="0"/>
        <w:topLinePunct/>
        <w:spacing w:before="153" w:after="0"/>
        <w:ind w:left="25" w:right="13" w:firstLine="480"/>
        <w:rPr>
          <w:rFonts w:cs="Times New Roman" w:hint="default"/>
          <w:szCs w:val="20"/>
        </w:rPr>
      </w:pPr>
      <w:r>
        <w:rPr>
          <w:rFonts w:cs="Times New Roman" w:hint="default"/>
          <w:szCs w:val="20"/>
        </w:rPr>
        <w:t>景观生态学主要研究宏观尺度上景观类型的空间格局和生态过程的相互作用及其动态变化特征。景观格局是指大小和形状不一的景观斑块在空间上的排列，是各种生态过程在不同尺度上综合作用的结果。景观格局变化对生物多样性产生直接而强烈影响，其主要原因是生境丧失和破碎化。</w:t>
      </w:r>
    </w:p>
    <w:p w:rsidR="00A46452" w:rsidRDefault="009A3928" w:rsidP="00182EED">
      <w:pPr>
        <w:pStyle w:val="a5"/>
        <w:wordWrap w:val="0"/>
        <w:topLinePunct/>
        <w:spacing w:before="36" w:after="0"/>
        <w:ind w:left="22" w:right="13" w:firstLine="480"/>
        <w:rPr>
          <w:rFonts w:cs="Times New Roman" w:hint="default"/>
          <w:szCs w:val="20"/>
        </w:rPr>
      </w:pPr>
      <w:r>
        <w:rPr>
          <w:rFonts w:cs="Times New Roman" w:hint="default"/>
          <w:szCs w:val="20"/>
        </w:rPr>
        <w:t>景观变化的分析方法主要有三种：定性描述法、景观生态图叠置法和景观动态的定量化分析法。目前较常用的方法是景观动态的定量化分析法，主要是对收集的景观数据进行解译或数字化处理，建立景观类型图，通过计算景观格局指数或建立动态模型对景观面积变化和景观类型转化等进行分析，揭示景观的空间配置以及格局动态变化趋势。</w:t>
      </w:r>
    </w:p>
    <w:p w:rsidR="00A46452" w:rsidRDefault="009A3928">
      <w:pPr>
        <w:pStyle w:val="a5"/>
        <w:wordWrap w:val="0"/>
        <w:topLinePunct/>
        <w:spacing w:after="0"/>
        <w:ind w:firstLine="480"/>
        <w:rPr>
          <w:rFonts w:cs="Times New Roman" w:hint="default"/>
          <w:szCs w:val="20"/>
        </w:rPr>
      </w:pPr>
      <w:r>
        <w:rPr>
          <w:rFonts w:cs="Times New Roman" w:hint="default"/>
          <w:szCs w:val="20"/>
        </w:rPr>
        <w:t>景观指数是能够反映景观格局特征的定量化指标，分为三个级别，代表三种不同的应用尺度，即斑块级别指数、斑块类型级别指数和景观级别指数，可根据需要选取相应的指标，采用</w:t>
      </w:r>
      <w:r>
        <w:rPr>
          <w:rFonts w:cs="Times New Roman" w:hint="default"/>
          <w:szCs w:val="20"/>
        </w:rPr>
        <w:t>FRAGSTATS</w:t>
      </w:r>
      <w:r>
        <w:rPr>
          <w:rFonts w:cs="Times New Roman" w:hint="default"/>
          <w:szCs w:val="20"/>
        </w:rPr>
        <w:t>等景观格局分析软件进行计算分析。</w:t>
      </w:r>
      <w:r>
        <w:rPr>
          <w:rFonts w:cs="Times New Roman" w:hint="default"/>
          <w:szCs w:val="20"/>
        </w:rPr>
        <w:t>公路等线性工程造成的生境破碎化等累积生态影响可采用该方法评价。</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 xml:space="preserve">6.2.3.8 </w:t>
      </w:r>
      <w:r>
        <w:rPr>
          <w:rFonts w:cs="Times New Roman" w:hint="default"/>
          <w:iCs/>
        </w:rPr>
        <w:t>生态影响预测</w:t>
      </w:r>
    </w:p>
    <w:p w:rsidR="00A46452" w:rsidRDefault="009A3928">
      <w:pPr>
        <w:pStyle w:val="a5"/>
        <w:wordWrap w:val="0"/>
        <w:topLinePunct/>
        <w:spacing w:after="0"/>
        <w:ind w:firstLine="480"/>
        <w:rPr>
          <w:rFonts w:cs="Times New Roman" w:hint="default"/>
          <w:szCs w:val="20"/>
        </w:rPr>
      </w:pPr>
      <w:r>
        <w:rPr>
          <w:rFonts w:cs="Times New Roman" w:hint="default"/>
          <w:szCs w:val="20"/>
        </w:rPr>
        <w:t>结合工程的影响方式预测分析重要物种的分布、种群数量、生境状况等变化情况，分析施工活动和运行产生的噪声、灯光等对重要物种的影响，分析工程施工和运行对迁徙、洄游行为的阻隔影响，分析工程占用的生态系统类型、面积及比例；结合生物量、生产力、生态系统功能等变化情况预测分析建设项目对生态系统的影响；结合工程施工和运行引入外来物种的主要途径、物种生物学特性以及区域生态环境特点，分析建设项目实施可能导致外来物种造成生态危害的风险；</w:t>
      </w:r>
      <w:r>
        <w:rPr>
          <w:rFonts w:cs="Times New Roman" w:hint="default"/>
          <w:szCs w:val="20"/>
        </w:rPr>
        <w:t>结合水文情势、水动力和冲淤、水质（包括水温）等影响预测结果，预测分析水生生境质量、连通性以及产卵场、索饵场、越冬场等重要生境的变化情况；结合生境变化预测分析鱼类等重要水生生物的种类组成、种群结构、资源时空分布等变化情况。</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6.2.4</w:t>
      </w:r>
      <w:r>
        <w:rPr>
          <w:rFonts w:cs="Times New Roman" w:hint="default"/>
          <w:sz w:val="28"/>
          <w:szCs w:val="28"/>
        </w:rPr>
        <w:t>区域生态功能区划</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6.2.4.1</w:t>
      </w:r>
      <w:r>
        <w:rPr>
          <w:rFonts w:cs="Times New Roman" w:hint="default"/>
          <w:iCs/>
        </w:rPr>
        <w:t>区域生态功能区划</w:t>
      </w:r>
    </w:p>
    <w:p w:rsidR="00A46452" w:rsidRDefault="009A3928">
      <w:pPr>
        <w:wordWrap w:val="0"/>
        <w:topLinePunct/>
        <w:adjustRightInd w:val="0"/>
        <w:snapToGrid w:val="0"/>
        <w:ind w:firstLine="480"/>
        <w:rPr>
          <w:rFonts w:cs="Times New Roman"/>
          <w:szCs w:val="24"/>
        </w:rPr>
      </w:pPr>
      <w:r>
        <w:rPr>
          <w:rFonts w:cs="Times New Roman"/>
          <w:szCs w:val="24"/>
        </w:rPr>
        <w:t>根据《新疆生态功能区划》，本项目评价区域属于塔里木盆地暖温</w:t>
      </w:r>
      <w:r>
        <w:rPr>
          <w:rFonts w:cs="Times New Roman"/>
          <w:szCs w:val="24"/>
        </w:rPr>
        <w:t>极干旱沙漠、戈壁</w:t>
      </w:r>
      <w:r>
        <w:rPr>
          <w:rFonts w:cs="Times New Roman"/>
          <w:szCs w:val="24"/>
        </w:rPr>
        <w:t>及绿洲农业生态区</w:t>
      </w:r>
      <w:r>
        <w:rPr>
          <w:rFonts w:cs="Times New Roman"/>
          <w:szCs w:val="24"/>
        </w:rPr>
        <w:t>—</w:t>
      </w:r>
      <w:r>
        <w:rPr>
          <w:rFonts w:cs="Times New Roman"/>
          <w:szCs w:val="24"/>
        </w:rPr>
        <w:t>塔里木盆地西部、北部荒漠及绿洲农业生态亚区</w:t>
      </w:r>
      <w:r>
        <w:rPr>
          <w:rFonts w:cs="Times New Roman"/>
          <w:szCs w:val="24"/>
        </w:rPr>
        <w:t>—</w:t>
      </w:r>
      <w:r>
        <w:rPr>
          <w:rFonts w:cs="Times New Roman"/>
          <w:szCs w:val="24"/>
        </w:rPr>
        <w:t>叶尔羌河平原荒漠</w:t>
      </w:r>
      <w:r>
        <w:rPr>
          <w:rFonts w:cs="Times New Roman"/>
          <w:szCs w:val="24"/>
        </w:rPr>
        <w:t>—</w:t>
      </w:r>
      <w:r>
        <w:rPr>
          <w:rFonts w:cs="Times New Roman"/>
          <w:szCs w:val="24"/>
        </w:rPr>
        <w:t>绿洲农业及荒漠河岸林保护生态功能区。项目区沿线生态服务功能、生态敏感因子、主要生态环境问题见表</w:t>
      </w:r>
      <w:r>
        <w:rPr>
          <w:rFonts w:cs="Times New Roman" w:hint="eastAsia"/>
          <w:szCs w:val="24"/>
        </w:rPr>
        <w:t>6</w:t>
      </w:r>
      <w:r>
        <w:rPr>
          <w:rFonts w:cs="Times New Roman"/>
          <w:szCs w:val="24"/>
        </w:rPr>
        <w:t>.2-1</w:t>
      </w:r>
      <w:r>
        <w:rPr>
          <w:rFonts w:cs="Times New Roman"/>
          <w:szCs w:val="24"/>
        </w:rPr>
        <w:t>。</w:t>
      </w:r>
      <w:r>
        <w:rPr>
          <w:rFonts w:cs="Times New Roman"/>
          <w:snapToGrid w:val="0"/>
          <w:szCs w:val="24"/>
        </w:rPr>
        <w:t>本项目与新疆生态功能区划的关系见图</w:t>
      </w:r>
      <w:r>
        <w:rPr>
          <w:rFonts w:cs="Times New Roman" w:hint="eastAsia"/>
          <w:snapToGrid w:val="0"/>
          <w:szCs w:val="24"/>
        </w:rPr>
        <w:t>6</w:t>
      </w:r>
      <w:r>
        <w:rPr>
          <w:rFonts w:cs="Times New Roman"/>
          <w:snapToGrid w:val="0"/>
          <w:szCs w:val="24"/>
        </w:rPr>
        <w:t>.2-</w:t>
      </w:r>
      <w:r>
        <w:rPr>
          <w:rFonts w:cs="Times New Roman" w:hint="eastAsia"/>
          <w:snapToGrid w:val="0"/>
          <w:szCs w:val="24"/>
        </w:rPr>
        <w:t>1</w:t>
      </w:r>
      <w:r>
        <w:rPr>
          <w:rFonts w:cs="Times New Roman"/>
          <w:snapToGrid w:val="0"/>
          <w:szCs w:val="24"/>
        </w:rPr>
        <w:t>。</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hint="eastAsia"/>
          <w:szCs w:val="24"/>
        </w:rPr>
        <w:t>6</w:t>
      </w:r>
      <w:r>
        <w:rPr>
          <w:rFonts w:eastAsia="黑体" w:cs="Times New Roman"/>
          <w:szCs w:val="24"/>
        </w:rPr>
        <w:t xml:space="preserve">.2-1             </w:t>
      </w:r>
      <w:r>
        <w:rPr>
          <w:rFonts w:eastAsia="黑体" w:cs="Times New Roman"/>
          <w:szCs w:val="24"/>
        </w:rPr>
        <w:t xml:space="preserve">      </w:t>
      </w:r>
      <w:r>
        <w:rPr>
          <w:rFonts w:eastAsia="黑体" w:cs="Times New Roman"/>
          <w:szCs w:val="24"/>
        </w:rPr>
        <w:t>新疆生态功能区主要特征</w:t>
      </w: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6"/>
        <w:gridCol w:w="6596"/>
      </w:tblGrid>
      <w:tr w:rsidR="00A46452">
        <w:trPr>
          <w:trHeight w:hRule="exact" w:val="450"/>
        </w:trPr>
        <w:tc>
          <w:tcPr>
            <w:tcW w:w="1686" w:type="dxa"/>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生态区</w:t>
            </w:r>
          </w:p>
        </w:tc>
        <w:tc>
          <w:tcPr>
            <w:tcW w:w="6596" w:type="dxa"/>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Ⅳ</w:t>
            </w:r>
            <w:r>
              <w:rPr>
                <w:rFonts w:cs="Times New Roman" w:hint="default"/>
                <w:sz w:val="18"/>
                <w:szCs w:val="18"/>
              </w:rPr>
              <w:t>塔里木盆地暖温带极干旱沙漠、戈壁及绿洲农业生态区</w:t>
            </w:r>
          </w:p>
        </w:tc>
      </w:tr>
      <w:tr w:rsidR="00A46452">
        <w:trPr>
          <w:trHeight w:hRule="exact" w:val="271"/>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生态亚区</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Ⅳ1</w:t>
            </w:r>
            <w:r>
              <w:rPr>
                <w:rFonts w:cs="Times New Roman" w:hint="default"/>
                <w:sz w:val="18"/>
                <w:szCs w:val="18"/>
              </w:rPr>
              <w:t>塔里木盆地西部和北部荒漠、绿洲农业生态亚区</w:t>
            </w:r>
          </w:p>
        </w:tc>
      </w:tr>
      <w:tr w:rsidR="00A46452">
        <w:trPr>
          <w:trHeight w:hRule="exact" w:val="271"/>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生态功能区</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5</w:t>
            </w:r>
            <w:r>
              <w:rPr>
                <w:rFonts w:cs="Times New Roman" w:hint="default"/>
                <w:sz w:val="18"/>
                <w:szCs w:val="18"/>
              </w:rPr>
              <w:t>8</w:t>
            </w:r>
            <w:r>
              <w:rPr>
                <w:rFonts w:cs="Times New Roman" w:hint="default"/>
                <w:sz w:val="18"/>
                <w:szCs w:val="18"/>
              </w:rPr>
              <w:t>．叶尔羌河平原荒漠</w:t>
            </w:r>
            <w:r>
              <w:rPr>
                <w:rFonts w:cs="Times New Roman" w:hint="default"/>
                <w:sz w:val="18"/>
                <w:szCs w:val="18"/>
              </w:rPr>
              <w:t>—</w:t>
            </w:r>
            <w:r>
              <w:rPr>
                <w:rFonts w:cs="Times New Roman" w:hint="default"/>
                <w:sz w:val="18"/>
                <w:szCs w:val="18"/>
              </w:rPr>
              <w:t>绿洲农业及荒漠河岸林保护生态功能区</w:t>
            </w:r>
          </w:p>
        </w:tc>
      </w:tr>
      <w:tr w:rsidR="00A46452">
        <w:trPr>
          <w:trHeight w:hRule="exact" w:val="271"/>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隶属行政区</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叶城县、泽普县、莎车县、麦盖提县、巴楚县、柯坪县、阿瓦提县</w:t>
            </w:r>
          </w:p>
        </w:tc>
      </w:tr>
      <w:tr w:rsidR="00A46452">
        <w:trPr>
          <w:trHeight w:val="172"/>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主要生态服务功能</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农牧产品生产、荒漠化控制、油气资源、塔里木河水源补给</w:t>
            </w:r>
          </w:p>
        </w:tc>
      </w:tr>
      <w:tr w:rsidR="00A46452">
        <w:trPr>
          <w:trHeight w:val="58"/>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主要生态问题</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土壤盐渍化、风沙危害、荒漠植被及胡杨林破坏、乱挖甘草、平原水库蒸发渗漏损失严重、油气开发污染环境、土壤环境质量下降</w:t>
            </w:r>
          </w:p>
        </w:tc>
      </w:tr>
      <w:tr w:rsidR="00A46452">
        <w:trPr>
          <w:trHeight w:val="58"/>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主要生态敏感因子、敏感程度</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生物多样性和生境中度敏感、不敏感，土壤侵蚀不敏感，土地沙漠化不敏感，土壤盐渍化轻度敏感</w:t>
            </w:r>
          </w:p>
        </w:tc>
      </w:tr>
      <w:tr w:rsidR="00A46452">
        <w:trPr>
          <w:trHeight w:val="58"/>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CharCharCharCharCharCharCharCharChar"/>
              <w:wordWrap w:val="0"/>
              <w:topLinePunct/>
              <w:adjustRightInd w:val="0"/>
              <w:snapToGrid w:val="0"/>
              <w:spacing w:line="240" w:lineRule="exact"/>
              <w:ind w:firstLine="360"/>
              <w:jc w:val="center"/>
              <w:rPr>
                <w:rFonts w:cs="Times New Roman" w:hint="default"/>
                <w:sz w:val="18"/>
                <w:szCs w:val="18"/>
              </w:rPr>
            </w:pPr>
            <w:r>
              <w:rPr>
                <w:rFonts w:cs="Times New Roman" w:hint="default"/>
                <w:sz w:val="18"/>
                <w:szCs w:val="18"/>
              </w:rPr>
              <w:t>主要保护目标</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保护荒漠植被、保护荒漠河岸林、保护农田土壤环境质量</w:t>
            </w:r>
          </w:p>
        </w:tc>
      </w:tr>
      <w:tr w:rsidR="00A46452">
        <w:trPr>
          <w:trHeight w:val="58"/>
        </w:trPr>
        <w:tc>
          <w:tcPr>
            <w:tcW w:w="1686"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主要保护措施</w:t>
            </w:r>
          </w:p>
        </w:tc>
        <w:tc>
          <w:tcPr>
            <w:tcW w:w="6596"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适度开发地下水、增加向塔河输水量、退耕还林还草、废除部分平原水库、节水灌溉、加强农田投入品的使用管理</w:t>
            </w:r>
          </w:p>
        </w:tc>
      </w:tr>
      <w:tr w:rsidR="00A46452">
        <w:trPr>
          <w:trHeight w:val="58"/>
        </w:trPr>
        <w:tc>
          <w:tcPr>
            <w:tcW w:w="1686" w:type="dxa"/>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主要发展方向</w:t>
            </w:r>
          </w:p>
        </w:tc>
        <w:tc>
          <w:tcPr>
            <w:tcW w:w="6596" w:type="dxa"/>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ind w:firstLine="360"/>
              <w:jc w:val="center"/>
              <w:rPr>
                <w:rFonts w:cs="Times New Roman"/>
                <w:sz w:val="18"/>
                <w:szCs w:val="18"/>
              </w:rPr>
            </w:pPr>
            <w:r>
              <w:rPr>
                <w:rFonts w:cs="Times New Roman"/>
                <w:sz w:val="18"/>
                <w:szCs w:val="18"/>
              </w:rPr>
              <w:t>建成粮食、经济作物、林果业基地，发展农区畜牧业</w:t>
            </w:r>
          </w:p>
        </w:tc>
      </w:tr>
    </w:tbl>
    <w:p w:rsidR="00A46452" w:rsidRDefault="009A3928">
      <w:pPr>
        <w:wordWrap w:val="0"/>
        <w:topLinePunct/>
        <w:adjustRightInd w:val="0"/>
        <w:snapToGrid w:val="0"/>
        <w:ind w:firstLine="480"/>
        <w:rPr>
          <w:rFonts w:cs="Times New Roman"/>
          <w:szCs w:val="24"/>
        </w:rPr>
      </w:pPr>
      <w:r>
        <w:rPr>
          <w:rFonts w:cs="Times New Roman"/>
          <w:szCs w:val="24"/>
        </w:rPr>
        <w:t>根据《新疆生产建设兵团生态功能区划》，拟建公路所在区域位于塔里木盆地暖温荒漠及绿洲农业生态区，塔里木盆地西部、北部荒漠及绿洲农业生态亚区，</w:t>
      </w:r>
      <w:r>
        <w:rPr>
          <w:rFonts w:cs="Times New Roman"/>
          <w:szCs w:val="24"/>
        </w:rPr>
        <w:t>第</w:t>
      </w:r>
      <w:r>
        <w:rPr>
          <w:rFonts w:cs="Times New Roman"/>
          <w:szCs w:val="24"/>
        </w:rPr>
        <w:t>三师叶尔羌河平原绿洲农业、河岸荒漠林保护生态功能区，隶属团场</w:t>
      </w:r>
      <w:r>
        <w:rPr>
          <w:rFonts w:cs="Times New Roman"/>
          <w:szCs w:val="24"/>
        </w:rPr>
        <w:t>第</w:t>
      </w:r>
      <w:r>
        <w:rPr>
          <w:rFonts w:cs="Times New Roman"/>
          <w:szCs w:val="24"/>
        </w:rPr>
        <w:t>三师</w:t>
      </w:r>
      <w:r>
        <w:rPr>
          <w:rFonts w:cs="Times New Roman"/>
          <w:szCs w:val="24"/>
        </w:rPr>
        <w:t>43</w:t>
      </w:r>
      <w:r>
        <w:rPr>
          <w:rFonts w:cs="Times New Roman"/>
          <w:szCs w:val="24"/>
        </w:rPr>
        <w:t>～</w:t>
      </w:r>
      <w:r>
        <w:rPr>
          <w:rFonts w:cs="Times New Roman"/>
          <w:szCs w:val="24"/>
        </w:rPr>
        <w:t>46</w:t>
      </w:r>
      <w:r>
        <w:rPr>
          <w:rFonts w:cs="Times New Roman"/>
          <w:szCs w:val="24"/>
        </w:rPr>
        <w:t>团、</w:t>
      </w:r>
      <w:r>
        <w:rPr>
          <w:rFonts w:cs="Times New Roman"/>
          <w:szCs w:val="24"/>
        </w:rPr>
        <w:t>48</w:t>
      </w:r>
      <w:r>
        <w:rPr>
          <w:rFonts w:cs="Times New Roman"/>
          <w:szCs w:val="24"/>
        </w:rPr>
        <w:t>～</w:t>
      </w:r>
      <w:r>
        <w:rPr>
          <w:rFonts w:cs="Times New Roman"/>
          <w:szCs w:val="24"/>
        </w:rPr>
        <w:t>53</w:t>
      </w:r>
      <w:r>
        <w:rPr>
          <w:rFonts w:cs="Times New Roman"/>
          <w:szCs w:val="24"/>
        </w:rPr>
        <w:t>团、工程团、水管处、莎车农场等；沿线主要生态服务功能为农畜产品生产、荒漠化控制、土壤保持、资源植物利用；主要生态问题为河水大量引用使河岸荒漠林衰败破坏资源植物甘草、土壤盐渍化；主要保护目标为保护绿洲农田、保护荒漠及资源植被、保护河岸荒漠林；主要发展方向为保护封育河岸次生林；保护甘草资源，建立甘草生产基地，做大棉花和特色果品（贡梨、巴旦木、红枣、葡萄）业</w:t>
      </w:r>
      <w:r>
        <w:rPr>
          <w:rFonts w:cs="Times New Roman"/>
          <w:szCs w:val="24"/>
        </w:rPr>
        <w:t>。</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hint="eastAsia"/>
          <w:szCs w:val="24"/>
        </w:rPr>
        <w:t>6</w:t>
      </w:r>
      <w:r>
        <w:rPr>
          <w:rFonts w:eastAsia="黑体" w:cs="Times New Roman"/>
          <w:szCs w:val="24"/>
        </w:rPr>
        <w:t xml:space="preserve">.2-2  </w:t>
      </w:r>
      <w:r>
        <w:rPr>
          <w:rFonts w:eastAsia="黑体" w:cs="Times New Roman"/>
          <w:szCs w:val="24"/>
        </w:rPr>
        <w:t xml:space="preserve">                 </w:t>
      </w:r>
      <w:r>
        <w:rPr>
          <w:rFonts w:eastAsia="黑体" w:cs="Times New Roman"/>
          <w:szCs w:val="24"/>
        </w:rPr>
        <w:t>兵团生态功能区主要特征</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16"/>
        <w:gridCol w:w="1359"/>
        <w:gridCol w:w="5140"/>
      </w:tblGrid>
      <w:tr w:rsidR="00A46452">
        <w:trPr>
          <w:trHeight w:val="284"/>
          <w:jc w:val="center"/>
        </w:trPr>
        <w:tc>
          <w:tcPr>
            <w:tcW w:w="1184" w:type="pct"/>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生态功能分区单元</w:t>
            </w:r>
          </w:p>
        </w:tc>
        <w:tc>
          <w:tcPr>
            <w:tcW w:w="798"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生态区</w:t>
            </w:r>
          </w:p>
        </w:tc>
        <w:tc>
          <w:tcPr>
            <w:tcW w:w="3018" w:type="pc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Ⅳ</w:t>
            </w:r>
            <w:r>
              <w:rPr>
                <w:rFonts w:cs="Times New Roman"/>
                <w:sz w:val="18"/>
                <w:szCs w:val="18"/>
              </w:rPr>
              <w:t>塔里木盆地暖温荒漠及绿洲</w:t>
            </w:r>
            <w:r>
              <w:rPr>
                <w:rFonts w:cs="Times New Roman"/>
                <w:sz w:val="18"/>
                <w:szCs w:val="18"/>
              </w:rPr>
              <w:t>农业生态区</w:t>
            </w:r>
          </w:p>
        </w:tc>
      </w:tr>
      <w:tr w:rsidR="00A46452">
        <w:trPr>
          <w:trHeight w:val="284"/>
          <w:jc w:val="center"/>
        </w:trPr>
        <w:tc>
          <w:tcPr>
            <w:tcW w:w="1184"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rsidP="00182EED">
            <w:pPr>
              <w:wordWrap w:val="0"/>
              <w:topLinePunct/>
              <w:adjustRightInd w:val="0"/>
              <w:snapToGrid w:val="0"/>
              <w:spacing w:line="240" w:lineRule="exact"/>
              <w:ind w:firstLine="360"/>
              <w:jc w:val="center"/>
              <w:rPr>
                <w:rFonts w:cs="Times New Roman"/>
                <w:sz w:val="18"/>
                <w:szCs w:val="18"/>
              </w:rPr>
            </w:pPr>
          </w:p>
        </w:tc>
        <w:tc>
          <w:tcPr>
            <w:tcW w:w="79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生态亚区</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Ⅳ1</w:t>
            </w:r>
            <w:r>
              <w:rPr>
                <w:rFonts w:cs="Times New Roman"/>
                <w:sz w:val="18"/>
                <w:szCs w:val="18"/>
              </w:rPr>
              <w:t>塔里木盆地西部、北部荒漠及绿洲农业生态亚区</w:t>
            </w:r>
          </w:p>
        </w:tc>
      </w:tr>
      <w:tr w:rsidR="00A46452">
        <w:trPr>
          <w:trHeight w:val="284"/>
          <w:jc w:val="center"/>
        </w:trPr>
        <w:tc>
          <w:tcPr>
            <w:tcW w:w="1184"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rsidP="00182EED">
            <w:pPr>
              <w:wordWrap w:val="0"/>
              <w:topLinePunct/>
              <w:adjustRightInd w:val="0"/>
              <w:snapToGrid w:val="0"/>
              <w:spacing w:line="240" w:lineRule="exact"/>
              <w:ind w:firstLine="360"/>
              <w:jc w:val="center"/>
              <w:rPr>
                <w:rFonts w:cs="Times New Roman"/>
                <w:sz w:val="18"/>
                <w:szCs w:val="18"/>
              </w:rPr>
            </w:pPr>
          </w:p>
        </w:tc>
        <w:tc>
          <w:tcPr>
            <w:tcW w:w="79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生态功能区</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30.</w:t>
            </w:r>
            <w:r>
              <w:rPr>
                <w:rFonts w:cs="Times New Roman"/>
                <w:sz w:val="18"/>
                <w:szCs w:val="24"/>
              </w:rPr>
              <w:t>三师叶尔羌河平原绿洲农业、河岸荒漠林保护生态功能区</w:t>
            </w:r>
          </w:p>
        </w:tc>
      </w:tr>
      <w:tr w:rsidR="00A46452">
        <w:trPr>
          <w:trHeight w:val="284"/>
          <w:jc w:val="center"/>
        </w:trPr>
        <w:tc>
          <w:tcPr>
            <w:tcW w:w="1982"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隶属行政区</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三师</w:t>
            </w:r>
            <w:r>
              <w:rPr>
                <w:rFonts w:cs="Times New Roman"/>
                <w:sz w:val="18"/>
                <w:szCs w:val="24"/>
              </w:rPr>
              <w:t>43</w:t>
            </w:r>
            <w:r>
              <w:rPr>
                <w:rFonts w:cs="Times New Roman"/>
                <w:sz w:val="18"/>
                <w:szCs w:val="24"/>
              </w:rPr>
              <w:t>～</w:t>
            </w:r>
            <w:r>
              <w:rPr>
                <w:rFonts w:cs="Times New Roman"/>
                <w:sz w:val="18"/>
                <w:szCs w:val="24"/>
              </w:rPr>
              <w:t>46</w:t>
            </w:r>
            <w:r>
              <w:rPr>
                <w:rFonts w:cs="Times New Roman"/>
                <w:sz w:val="18"/>
                <w:szCs w:val="24"/>
              </w:rPr>
              <w:t>团、</w:t>
            </w:r>
            <w:r>
              <w:rPr>
                <w:rFonts w:cs="Times New Roman"/>
                <w:sz w:val="18"/>
                <w:szCs w:val="24"/>
              </w:rPr>
              <w:t>48</w:t>
            </w:r>
            <w:r>
              <w:rPr>
                <w:rFonts w:cs="Times New Roman"/>
                <w:sz w:val="18"/>
                <w:szCs w:val="24"/>
              </w:rPr>
              <w:t>～</w:t>
            </w:r>
            <w:r>
              <w:rPr>
                <w:rFonts w:cs="Times New Roman"/>
                <w:sz w:val="18"/>
                <w:szCs w:val="24"/>
              </w:rPr>
              <w:t>53</w:t>
            </w:r>
            <w:r>
              <w:rPr>
                <w:rFonts w:cs="Times New Roman"/>
                <w:sz w:val="18"/>
                <w:szCs w:val="24"/>
              </w:rPr>
              <w:t>团、工程团、水管处、莎车农场等</w:t>
            </w:r>
          </w:p>
        </w:tc>
      </w:tr>
      <w:tr w:rsidR="00A46452">
        <w:trPr>
          <w:trHeight w:val="284"/>
          <w:jc w:val="center"/>
        </w:trPr>
        <w:tc>
          <w:tcPr>
            <w:tcW w:w="1982"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主要生态服务功能</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农畜产品生产、荒漠化控制、土壤保持、资源植物利用</w:t>
            </w:r>
          </w:p>
        </w:tc>
      </w:tr>
      <w:tr w:rsidR="00A46452">
        <w:trPr>
          <w:trHeight w:val="284"/>
          <w:jc w:val="center"/>
        </w:trPr>
        <w:tc>
          <w:tcPr>
            <w:tcW w:w="1982"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主要生态环境问题</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河水大量引用使河岸荒漠林衰败破坏资源植物甘草、土壤盐渍化</w:t>
            </w:r>
          </w:p>
        </w:tc>
      </w:tr>
      <w:tr w:rsidR="00A46452">
        <w:trPr>
          <w:trHeight w:val="284"/>
          <w:jc w:val="center"/>
        </w:trPr>
        <w:tc>
          <w:tcPr>
            <w:tcW w:w="1982"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主要保护目标</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保护绿洲农田、保护荒漠及资源植被、保护河岸荒漠林</w:t>
            </w:r>
          </w:p>
        </w:tc>
      </w:tr>
      <w:tr w:rsidR="00A46452">
        <w:trPr>
          <w:trHeight w:val="284"/>
          <w:jc w:val="center"/>
        </w:trPr>
        <w:tc>
          <w:tcPr>
            <w:tcW w:w="1982" w:type="pct"/>
            <w:gridSpan w:val="2"/>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主要保护措施</w:t>
            </w:r>
          </w:p>
        </w:tc>
        <w:tc>
          <w:tcPr>
            <w:tcW w:w="3018"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适度开发地下水，节水灌溉，大力发展农田和生态防护林建设，禁止乱挖野生资源植物甘草</w:t>
            </w:r>
          </w:p>
        </w:tc>
      </w:tr>
      <w:tr w:rsidR="00A46452">
        <w:trPr>
          <w:trHeight w:val="284"/>
          <w:jc w:val="center"/>
        </w:trPr>
        <w:tc>
          <w:tcPr>
            <w:tcW w:w="1982" w:type="pct"/>
            <w:gridSpan w:val="2"/>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18"/>
              </w:rPr>
              <w:t>主要发展方向</w:t>
            </w:r>
          </w:p>
        </w:tc>
        <w:tc>
          <w:tcPr>
            <w:tcW w:w="3018"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rsidP="00182EED">
            <w:pPr>
              <w:wordWrap w:val="0"/>
              <w:topLinePunct/>
              <w:adjustRightInd w:val="0"/>
              <w:snapToGrid w:val="0"/>
              <w:spacing w:line="240" w:lineRule="exact"/>
              <w:ind w:firstLine="360"/>
              <w:jc w:val="center"/>
              <w:rPr>
                <w:rFonts w:cs="Times New Roman"/>
                <w:sz w:val="18"/>
                <w:szCs w:val="18"/>
              </w:rPr>
            </w:pPr>
            <w:r>
              <w:rPr>
                <w:rFonts w:cs="Times New Roman"/>
                <w:sz w:val="18"/>
                <w:szCs w:val="24"/>
              </w:rPr>
              <w:t>保护封育河岸次生林；保护甘草资源，建立甘草生产基地，做大棉花和特色果品（贡梨、巴旦木、红枣、葡萄</w:t>
            </w:r>
            <w:r>
              <w:rPr>
                <w:rFonts w:cs="Times New Roman"/>
                <w:sz w:val="18"/>
                <w:szCs w:val="24"/>
              </w:rPr>
              <w:t>）产</w:t>
            </w:r>
            <w:r>
              <w:rPr>
                <w:rFonts w:cs="Times New Roman"/>
                <w:sz w:val="18"/>
                <w:szCs w:val="24"/>
              </w:rPr>
              <w:t>业</w:t>
            </w:r>
          </w:p>
        </w:tc>
      </w:tr>
    </w:tbl>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6.2.4.2</w:t>
      </w:r>
      <w:r>
        <w:rPr>
          <w:rFonts w:cs="Times New Roman" w:hint="default"/>
          <w:iCs/>
        </w:rPr>
        <w:t>项目生态单元</w:t>
      </w:r>
    </w:p>
    <w:p w:rsidR="00A46452" w:rsidRDefault="009A3928">
      <w:pPr>
        <w:wordWrap w:val="0"/>
        <w:topLinePunct/>
        <w:adjustRightInd w:val="0"/>
        <w:snapToGrid w:val="0"/>
        <w:ind w:firstLine="480"/>
        <w:rPr>
          <w:rFonts w:cs="Times New Roman"/>
          <w:snapToGrid w:val="0"/>
          <w:szCs w:val="24"/>
        </w:rPr>
      </w:pPr>
      <w:r>
        <w:rPr>
          <w:rFonts w:cs="Times New Roman"/>
          <w:szCs w:val="24"/>
        </w:rPr>
        <w:t>拟建公路沿线土地利用类型包括</w:t>
      </w:r>
      <w:r>
        <w:rPr>
          <w:rFonts w:cs="Times New Roman"/>
          <w:szCs w:val="24"/>
        </w:rPr>
        <w:t>耕地</w:t>
      </w:r>
      <w:r>
        <w:rPr>
          <w:rFonts w:cs="Times New Roman"/>
          <w:szCs w:val="24"/>
        </w:rPr>
        <w:t>、林地、农村道路、</w:t>
      </w:r>
      <w:r>
        <w:rPr>
          <w:rFonts w:cs="Times New Roman"/>
          <w:szCs w:val="24"/>
        </w:rPr>
        <w:t>草地</w:t>
      </w:r>
      <w:r>
        <w:rPr>
          <w:rFonts w:cs="Times New Roman"/>
          <w:szCs w:val="24"/>
        </w:rPr>
        <w:t>、荒漠，土壤类型主要为灌淤土、草甸土、盐土、风沙土。植被有自然植被和人工植被，自然植被主要为多枝柽柳、梭梭、沙蓬、芦苇、骆驼刺；人工植被主要新疆杨、枣树、梨树、桃树等。农作物主要为小麦、玉米、棉花。动物以中小型啮齿动物和鸟类为主。</w:t>
      </w:r>
      <w:r>
        <w:rPr>
          <w:rFonts w:cs="Times New Roman"/>
          <w:snapToGrid w:val="0"/>
          <w:szCs w:val="24"/>
          <w:lang w:val="zh-CN"/>
        </w:rPr>
        <w:t>本项目全线生态单元详见表</w:t>
      </w:r>
      <w:r>
        <w:rPr>
          <w:rFonts w:cs="Times New Roman" w:hint="eastAsia"/>
          <w:snapToGrid w:val="0"/>
          <w:szCs w:val="24"/>
        </w:rPr>
        <w:t>6</w:t>
      </w:r>
      <w:r>
        <w:rPr>
          <w:rFonts w:cs="Times New Roman"/>
          <w:snapToGrid w:val="0"/>
          <w:szCs w:val="24"/>
          <w:lang w:val="zh-CN"/>
        </w:rPr>
        <w:t>.2-3</w:t>
      </w:r>
      <w:r>
        <w:rPr>
          <w:rFonts w:cs="Times New Roman"/>
          <w:snapToGrid w:val="0"/>
          <w:szCs w:val="24"/>
          <w:lang w:val="zh-CN"/>
        </w:rPr>
        <w:t>。</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hint="eastAsia"/>
          <w:szCs w:val="24"/>
        </w:rPr>
        <w:t>6</w:t>
      </w:r>
      <w:r>
        <w:rPr>
          <w:rFonts w:eastAsia="黑体" w:cs="Times New Roman"/>
          <w:szCs w:val="24"/>
        </w:rPr>
        <w:t xml:space="preserve">.2-3              </w:t>
      </w:r>
      <w:r>
        <w:rPr>
          <w:rFonts w:eastAsia="黑体" w:cs="Times New Roman"/>
          <w:szCs w:val="24"/>
        </w:rPr>
        <w:t>工程沿线两侧生态系统分区一览表</w:t>
      </w:r>
    </w:p>
    <w:tbl>
      <w:tblPr>
        <w:tblW w:w="873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78"/>
        <w:gridCol w:w="1505"/>
        <w:gridCol w:w="1391"/>
        <w:gridCol w:w="802"/>
        <w:gridCol w:w="1624"/>
        <w:gridCol w:w="984"/>
        <w:gridCol w:w="1848"/>
      </w:tblGrid>
      <w:tr w:rsidR="00A46452">
        <w:trPr>
          <w:trHeight w:val="604"/>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b/>
                <w:bCs/>
                <w:sz w:val="18"/>
                <w:szCs w:val="18"/>
              </w:rPr>
            </w:pPr>
            <w:r>
              <w:rPr>
                <w:rFonts w:cs="Times New Roman"/>
                <w:b/>
                <w:bCs/>
                <w:kern w:val="0"/>
                <w:sz w:val="18"/>
                <w:szCs w:val="18"/>
                <w:lang w:bidi="ar"/>
              </w:rPr>
              <w:t>序号</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b/>
                <w:bCs/>
                <w:sz w:val="18"/>
                <w:szCs w:val="18"/>
              </w:rPr>
            </w:pPr>
            <w:r>
              <w:rPr>
                <w:rFonts w:cs="Times New Roman"/>
                <w:b/>
                <w:bCs/>
                <w:kern w:val="0"/>
                <w:sz w:val="18"/>
                <w:szCs w:val="18"/>
                <w:lang w:bidi="ar"/>
              </w:rPr>
              <w:t>起讫桩号</w:t>
            </w:r>
          </w:p>
        </w:tc>
        <w:tc>
          <w:tcPr>
            <w:tcW w:w="139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b/>
                <w:bCs/>
                <w:sz w:val="18"/>
                <w:szCs w:val="18"/>
              </w:rPr>
            </w:pPr>
            <w:r>
              <w:rPr>
                <w:rFonts w:cs="Times New Roman"/>
                <w:b/>
                <w:bCs/>
                <w:sz w:val="18"/>
                <w:szCs w:val="18"/>
              </w:rPr>
              <w:t>公路沿线土地利用情况</w:t>
            </w:r>
          </w:p>
        </w:tc>
        <w:tc>
          <w:tcPr>
            <w:tcW w:w="80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sz w:val="18"/>
                <w:szCs w:val="18"/>
              </w:rPr>
            </w:pPr>
            <w:r>
              <w:rPr>
                <w:rFonts w:cs="Times New Roman"/>
                <w:b/>
                <w:bCs/>
                <w:kern w:val="0"/>
                <w:sz w:val="18"/>
                <w:szCs w:val="18"/>
                <w:lang w:bidi="ar"/>
              </w:rPr>
              <w:t>土壤类型</w:t>
            </w:r>
          </w:p>
        </w:tc>
        <w:tc>
          <w:tcPr>
            <w:tcW w:w="162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sz w:val="18"/>
                <w:szCs w:val="18"/>
              </w:rPr>
            </w:pPr>
            <w:r>
              <w:rPr>
                <w:rFonts w:cs="Times New Roman"/>
                <w:b/>
                <w:bCs/>
                <w:kern w:val="0"/>
                <w:sz w:val="18"/>
                <w:szCs w:val="18"/>
                <w:lang w:bidi="ar"/>
              </w:rPr>
              <w:t>植被类型</w:t>
            </w:r>
          </w:p>
        </w:tc>
        <w:tc>
          <w:tcPr>
            <w:tcW w:w="98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kern w:val="0"/>
                <w:sz w:val="18"/>
                <w:szCs w:val="18"/>
                <w:lang w:bidi="ar"/>
              </w:rPr>
            </w:pPr>
            <w:r>
              <w:rPr>
                <w:rFonts w:cs="Times New Roman"/>
                <w:b/>
                <w:bCs/>
                <w:kern w:val="0"/>
                <w:sz w:val="18"/>
                <w:szCs w:val="18"/>
                <w:lang w:bidi="ar"/>
              </w:rPr>
              <w:t>景观</w:t>
            </w:r>
          </w:p>
          <w:p w:rsidR="00A46452" w:rsidRDefault="009A3928">
            <w:pPr>
              <w:wordWrap w:val="0"/>
              <w:topLinePunct/>
              <w:adjustRightInd w:val="0"/>
              <w:snapToGrid w:val="0"/>
              <w:spacing w:line="240" w:lineRule="exact"/>
              <w:ind w:firstLineChars="0" w:firstLine="0"/>
              <w:jc w:val="center"/>
              <w:textAlignment w:val="center"/>
              <w:rPr>
                <w:rFonts w:cs="Times New Roman"/>
                <w:b/>
                <w:bCs/>
                <w:kern w:val="0"/>
                <w:sz w:val="18"/>
                <w:szCs w:val="18"/>
                <w:lang w:bidi="ar"/>
              </w:rPr>
            </w:pPr>
            <w:r>
              <w:rPr>
                <w:rFonts w:cs="Times New Roman"/>
                <w:b/>
                <w:bCs/>
                <w:kern w:val="0"/>
                <w:sz w:val="18"/>
                <w:szCs w:val="18"/>
                <w:lang w:bidi="ar"/>
              </w:rPr>
              <w:t>类型</w:t>
            </w:r>
          </w:p>
        </w:tc>
        <w:tc>
          <w:tcPr>
            <w:tcW w:w="1848"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b/>
                <w:bCs/>
                <w:kern w:val="0"/>
                <w:sz w:val="18"/>
                <w:szCs w:val="18"/>
                <w:lang w:bidi="ar"/>
              </w:rPr>
            </w:pPr>
            <w:r>
              <w:rPr>
                <w:rFonts w:cs="Times New Roman"/>
                <w:b/>
                <w:bCs/>
                <w:kern w:val="0"/>
                <w:sz w:val="18"/>
                <w:szCs w:val="18"/>
                <w:lang w:bidi="ar"/>
              </w:rPr>
              <w:t>生态现状</w:t>
            </w:r>
          </w:p>
        </w:tc>
      </w:tr>
      <w:tr w:rsidR="00A46452">
        <w:trPr>
          <w:trHeight w:val="28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kern w:val="0"/>
                <w:sz w:val="18"/>
                <w:szCs w:val="18"/>
                <w:lang w:bidi="ar"/>
              </w:rPr>
              <w:t>1</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K0+000</w:t>
            </w:r>
            <w:r>
              <w:rPr>
                <w:rFonts w:cs="Times New Roman"/>
                <w:sz w:val="18"/>
                <w:szCs w:val="18"/>
              </w:rPr>
              <w:t>～</w:t>
            </w:r>
            <w:r>
              <w:rPr>
                <w:rFonts w:cs="Times New Roman"/>
                <w:sz w:val="18"/>
                <w:szCs w:val="18"/>
              </w:rPr>
              <w:t>K32+000</w:t>
            </w:r>
          </w:p>
          <w:p w:rsidR="00A46452" w:rsidRDefault="00A46452">
            <w:pPr>
              <w:wordWrap w:val="0"/>
              <w:topLinePunct/>
              <w:adjustRightInd w:val="0"/>
              <w:snapToGrid w:val="0"/>
              <w:spacing w:line="240" w:lineRule="exact"/>
              <w:ind w:firstLineChars="0" w:firstLine="0"/>
              <w:textAlignment w:val="center"/>
              <w:rPr>
                <w:rFonts w:cs="Times New Roman"/>
                <w:sz w:val="18"/>
                <w:szCs w:val="18"/>
              </w:rPr>
            </w:pPr>
          </w:p>
        </w:tc>
        <w:tc>
          <w:tcPr>
            <w:tcW w:w="139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农田、公路用地</w:t>
            </w:r>
          </w:p>
        </w:tc>
        <w:tc>
          <w:tcPr>
            <w:tcW w:w="802" w:type="dxa"/>
            <w:tcBorders>
              <w:tl2br w:val="nil"/>
              <w:tr2bl w:val="nil"/>
            </w:tcBorders>
            <w:shd w:val="clear" w:color="auto" w:fill="auto"/>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棕漠土、结壳盐土</w:t>
            </w:r>
          </w:p>
        </w:tc>
        <w:tc>
          <w:tcPr>
            <w:tcW w:w="1624" w:type="dxa"/>
            <w:tcBorders>
              <w:tl2br w:val="nil"/>
              <w:tr2bl w:val="nil"/>
            </w:tcBorders>
            <w:shd w:val="clear" w:color="auto" w:fill="auto"/>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人工植被，主要为农田及防护林</w:t>
            </w:r>
          </w:p>
        </w:tc>
        <w:tc>
          <w:tcPr>
            <w:tcW w:w="984" w:type="dxa"/>
            <w:tcBorders>
              <w:tl2br w:val="nil"/>
              <w:tr2bl w:val="nil"/>
            </w:tcBorders>
            <w:shd w:val="clear" w:color="auto" w:fill="auto"/>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绿洲农业生态景观</w:t>
            </w:r>
          </w:p>
        </w:tc>
        <w:tc>
          <w:tcPr>
            <w:tcW w:w="1848" w:type="dxa"/>
            <w:tcBorders>
              <w:tl2br w:val="nil"/>
              <w:tr2bl w:val="nil"/>
            </w:tcBorders>
            <w:shd w:val="clear" w:color="auto" w:fill="auto"/>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此段公路沿线地形平缓，土地利用类型为耕地，植被类型为农作物及防护林，农作物以</w:t>
            </w:r>
            <w:r>
              <w:rPr>
                <w:rFonts w:cs="Times New Roman"/>
                <w:sz w:val="18"/>
                <w:szCs w:val="18"/>
              </w:rPr>
              <w:t>小麦</w:t>
            </w:r>
            <w:r>
              <w:rPr>
                <w:rFonts w:cs="Times New Roman"/>
                <w:sz w:val="18"/>
                <w:szCs w:val="18"/>
              </w:rPr>
              <w:t>、棉花为主，树种有杨树、沙枣树等，动物以中小型啮齿动物和鸟类为主</w:t>
            </w:r>
          </w:p>
        </w:tc>
      </w:tr>
      <w:tr w:rsidR="00A46452">
        <w:trPr>
          <w:trHeight w:val="28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kern w:val="0"/>
                <w:sz w:val="18"/>
                <w:szCs w:val="18"/>
                <w:lang w:bidi="ar"/>
              </w:rPr>
              <w:t>2</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K32+000</w:t>
            </w:r>
            <w:r>
              <w:rPr>
                <w:rFonts w:cs="Times New Roman"/>
                <w:sz w:val="18"/>
                <w:szCs w:val="18"/>
              </w:rPr>
              <w:t>～</w:t>
            </w:r>
            <w:r>
              <w:rPr>
                <w:rFonts w:cs="Times New Roman"/>
                <w:sz w:val="18"/>
                <w:szCs w:val="18"/>
              </w:rPr>
              <w:t>K43+500</w:t>
            </w:r>
          </w:p>
        </w:tc>
        <w:tc>
          <w:tcPr>
            <w:tcW w:w="1391"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草地、林地、荒漠</w:t>
            </w:r>
          </w:p>
        </w:tc>
        <w:tc>
          <w:tcPr>
            <w:tcW w:w="802"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潮土、结壳盐土、草甸盐土、荒漠风沙土</w:t>
            </w:r>
          </w:p>
        </w:tc>
        <w:tc>
          <w:tcPr>
            <w:tcW w:w="1624"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天然植被主要有芦苇、</w:t>
            </w:r>
            <w:r>
              <w:rPr>
                <w:rFonts w:cs="Times New Roman"/>
                <w:sz w:val="18"/>
                <w:szCs w:val="18"/>
              </w:rPr>
              <w:t>胡杨</w:t>
            </w:r>
            <w:r>
              <w:rPr>
                <w:rFonts w:cs="Times New Roman"/>
                <w:sz w:val="18"/>
                <w:szCs w:val="18"/>
              </w:rPr>
              <w:t>及柽柳等</w:t>
            </w:r>
          </w:p>
        </w:tc>
        <w:tc>
          <w:tcPr>
            <w:tcW w:w="984"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荒漠</w:t>
            </w:r>
            <w:r>
              <w:rPr>
                <w:rFonts w:cs="Times New Roman"/>
                <w:sz w:val="18"/>
                <w:szCs w:val="18"/>
              </w:rPr>
              <w:t>沙丘</w:t>
            </w:r>
            <w:r>
              <w:rPr>
                <w:rFonts w:cs="Times New Roman"/>
                <w:sz w:val="18"/>
                <w:szCs w:val="18"/>
              </w:rPr>
              <w:t>植被景观</w:t>
            </w:r>
          </w:p>
        </w:tc>
        <w:tc>
          <w:tcPr>
            <w:tcW w:w="1848"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沙丘植被稀少区域易产生风沙（沙害）现象。微地貌主要有草灌丛平坦沙地、草灌丛固定沙丘、草灌丛半固定沙丘、流动沙丘等。该动物以中小型啮齿动物和鸟类为主</w:t>
            </w:r>
          </w:p>
        </w:tc>
      </w:tr>
      <w:tr w:rsidR="00A46452">
        <w:trPr>
          <w:trHeight w:val="28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kern w:val="0"/>
                <w:sz w:val="18"/>
                <w:szCs w:val="18"/>
                <w:lang w:bidi="ar"/>
              </w:rPr>
              <w:t>3</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K43+500</w:t>
            </w:r>
            <w:r>
              <w:rPr>
                <w:rFonts w:cs="Times New Roman"/>
                <w:sz w:val="18"/>
                <w:szCs w:val="18"/>
              </w:rPr>
              <w:t>～</w:t>
            </w:r>
            <w:r>
              <w:rPr>
                <w:rFonts w:cs="Times New Roman"/>
                <w:sz w:val="18"/>
                <w:szCs w:val="18"/>
              </w:rPr>
              <w:t>K61+300</w:t>
            </w:r>
          </w:p>
          <w:p w:rsidR="00A46452" w:rsidRDefault="00A46452">
            <w:pPr>
              <w:wordWrap w:val="0"/>
              <w:topLinePunct/>
              <w:adjustRightInd w:val="0"/>
              <w:snapToGrid w:val="0"/>
              <w:spacing w:line="240" w:lineRule="exact"/>
              <w:ind w:firstLineChars="0" w:firstLine="0"/>
              <w:textAlignment w:val="center"/>
              <w:rPr>
                <w:rFonts w:cs="Times New Roman"/>
                <w:sz w:val="18"/>
                <w:szCs w:val="18"/>
              </w:rPr>
            </w:pPr>
          </w:p>
        </w:tc>
        <w:tc>
          <w:tcPr>
            <w:tcW w:w="1391"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沙地、荒漠草地</w:t>
            </w:r>
          </w:p>
        </w:tc>
        <w:tc>
          <w:tcPr>
            <w:tcW w:w="802"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潮土、结壳盐土、草甸盐土、荒漠风沙土</w:t>
            </w:r>
          </w:p>
        </w:tc>
        <w:tc>
          <w:tcPr>
            <w:tcW w:w="1624"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天然植被，主要</w:t>
            </w:r>
            <w:r>
              <w:rPr>
                <w:rFonts w:cs="Times New Roman"/>
                <w:sz w:val="18"/>
                <w:szCs w:val="18"/>
              </w:rPr>
              <w:t>胡杨、</w:t>
            </w:r>
            <w:r>
              <w:rPr>
                <w:rFonts w:cs="Times New Roman"/>
                <w:sz w:val="18"/>
                <w:szCs w:val="18"/>
              </w:rPr>
              <w:t>柽柳、</w:t>
            </w:r>
            <w:r>
              <w:rPr>
                <w:rFonts w:cs="Times New Roman"/>
                <w:sz w:val="18"/>
                <w:szCs w:val="18"/>
              </w:rPr>
              <w:t>骆驼刺等；</w:t>
            </w:r>
            <w:r>
              <w:rPr>
                <w:rFonts w:cs="Times New Roman"/>
                <w:sz w:val="18"/>
                <w:szCs w:val="18"/>
              </w:rPr>
              <w:t>人工植被，主要为农田及防护林；</w:t>
            </w:r>
          </w:p>
        </w:tc>
        <w:tc>
          <w:tcPr>
            <w:tcW w:w="984"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荒漠</w:t>
            </w:r>
            <w:r>
              <w:rPr>
                <w:rFonts w:cs="Times New Roman"/>
                <w:sz w:val="18"/>
                <w:szCs w:val="18"/>
              </w:rPr>
              <w:t>植被</w:t>
            </w:r>
            <w:r>
              <w:rPr>
                <w:rFonts w:cs="Times New Roman"/>
                <w:sz w:val="18"/>
                <w:szCs w:val="18"/>
              </w:rPr>
              <w:t>景观</w:t>
            </w:r>
          </w:p>
        </w:tc>
        <w:tc>
          <w:tcPr>
            <w:tcW w:w="1848" w:type="dxa"/>
            <w:tcBorders>
              <w:tl2br w:val="nil"/>
              <w:tr2bl w:val="nil"/>
            </w:tcBorders>
            <w:shd w:val="clear" w:color="auto" w:fill="auto"/>
            <w:vAlign w:val="center"/>
          </w:tcPr>
          <w:p w:rsidR="00A46452" w:rsidRDefault="009A3928">
            <w:pPr>
              <w:wordWrap w:val="0"/>
              <w:topLinePunct/>
              <w:spacing w:line="220" w:lineRule="exact"/>
              <w:ind w:firstLineChars="0" w:firstLine="0"/>
              <w:rPr>
                <w:rFonts w:cs="Times New Roman"/>
                <w:sz w:val="18"/>
                <w:szCs w:val="18"/>
              </w:rPr>
            </w:pPr>
            <w:r>
              <w:rPr>
                <w:rFonts w:cs="Times New Roman"/>
                <w:sz w:val="18"/>
                <w:szCs w:val="18"/>
              </w:rPr>
              <w:t>此段属于新建段，属于冲积平原地貌，该段地形较平坦，地势开阔，地表植被以</w:t>
            </w:r>
            <w:r>
              <w:rPr>
                <w:rFonts w:cs="Times New Roman"/>
                <w:sz w:val="18"/>
                <w:szCs w:val="18"/>
              </w:rPr>
              <w:t>胡杨、骆驼刺</w:t>
            </w:r>
            <w:r>
              <w:rPr>
                <w:rFonts w:cs="Times New Roman"/>
                <w:sz w:val="18"/>
                <w:szCs w:val="18"/>
              </w:rPr>
              <w:t>及柽柳等为主，动物以中小型啮齿动物和鸟类为主。该区域地层岩性主要以粉土、粉砂、细砂为主。</w:t>
            </w:r>
            <w:r>
              <w:rPr>
                <w:rFonts w:cs="Times New Roman"/>
                <w:sz w:val="18"/>
                <w:szCs w:val="18"/>
              </w:rPr>
              <w:t>该段植被盖度约为</w:t>
            </w:r>
            <w:r>
              <w:rPr>
                <w:rFonts w:cs="Times New Roman"/>
                <w:sz w:val="18"/>
                <w:szCs w:val="18"/>
              </w:rPr>
              <w:t>20%</w:t>
            </w:r>
            <w:r>
              <w:rPr>
                <w:rFonts w:cs="Times New Roman"/>
                <w:sz w:val="18"/>
                <w:szCs w:val="18"/>
              </w:rPr>
              <w:t>左右，在部分水土条件较好的区域，有胀果甘草伴生胡杨分布。</w:t>
            </w:r>
          </w:p>
        </w:tc>
      </w:tr>
      <w:tr w:rsidR="00A46452">
        <w:trPr>
          <w:trHeight w:val="28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kern w:val="0"/>
                <w:sz w:val="18"/>
                <w:szCs w:val="18"/>
                <w:lang w:bidi="ar"/>
              </w:rPr>
              <w:t>4</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K61+300</w:t>
            </w:r>
            <w:r>
              <w:rPr>
                <w:rFonts w:cs="Times New Roman"/>
                <w:sz w:val="18"/>
                <w:szCs w:val="18"/>
              </w:rPr>
              <w:t>～</w:t>
            </w:r>
            <w:r>
              <w:rPr>
                <w:rFonts w:cs="Times New Roman"/>
                <w:sz w:val="18"/>
                <w:szCs w:val="18"/>
              </w:rPr>
              <w:t>K86+960</w:t>
            </w:r>
          </w:p>
          <w:p w:rsidR="00A46452" w:rsidRDefault="00A46452">
            <w:pPr>
              <w:wordWrap w:val="0"/>
              <w:topLinePunct/>
              <w:adjustRightInd w:val="0"/>
              <w:snapToGrid w:val="0"/>
              <w:spacing w:line="240" w:lineRule="exact"/>
              <w:ind w:firstLineChars="0" w:firstLine="0"/>
              <w:textAlignment w:val="center"/>
              <w:rPr>
                <w:rFonts w:cs="Times New Roman"/>
                <w:sz w:val="18"/>
                <w:szCs w:val="18"/>
              </w:rPr>
            </w:pPr>
          </w:p>
        </w:tc>
        <w:tc>
          <w:tcPr>
            <w:tcW w:w="139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荒漠</w:t>
            </w:r>
            <w:r>
              <w:rPr>
                <w:rFonts w:cs="Times New Roman"/>
                <w:iCs/>
                <w:sz w:val="18"/>
                <w:szCs w:val="18"/>
                <w:lang w:val="zh-CN"/>
              </w:rPr>
              <w:t>、</w:t>
            </w:r>
            <w:r>
              <w:rPr>
                <w:rFonts w:cs="Times New Roman"/>
                <w:iCs/>
                <w:sz w:val="18"/>
                <w:szCs w:val="18"/>
              </w:rPr>
              <w:t>耕</w:t>
            </w:r>
            <w:r>
              <w:rPr>
                <w:rFonts w:cs="Times New Roman"/>
                <w:iCs/>
                <w:sz w:val="18"/>
                <w:szCs w:val="18"/>
                <w:lang w:val="zh-CN"/>
              </w:rPr>
              <w:t>地、灌木林地</w:t>
            </w:r>
          </w:p>
        </w:tc>
        <w:tc>
          <w:tcPr>
            <w:tcW w:w="80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iCs/>
                <w:sz w:val="18"/>
                <w:szCs w:val="18"/>
                <w:lang w:val="zh-CN"/>
              </w:rPr>
              <w:t>草甸土</w:t>
            </w:r>
          </w:p>
        </w:tc>
        <w:tc>
          <w:tcPr>
            <w:tcW w:w="162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iCs/>
                <w:sz w:val="18"/>
                <w:szCs w:val="18"/>
                <w:lang w:val="zh-CN"/>
              </w:rPr>
              <w:t>河漫滩草甸、灌木半灌木荒漠、人工林</w:t>
            </w:r>
          </w:p>
        </w:tc>
        <w:tc>
          <w:tcPr>
            <w:tcW w:w="98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荒漠</w:t>
            </w:r>
          </w:p>
        </w:tc>
        <w:tc>
          <w:tcPr>
            <w:tcW w:w="1848"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此路段沿线地形平缓，灌木包括怪柳、沙蓬、骆驼刺等，草本为芦苇、乔木主要为人工种植新疆杨、沙拐枣。动物以中小型啮齿动物和鸟类为主</w:t>
            </w:r>
          </w:p>
        </w:tc>
      </w:tr>
      <w:tr w:rsidR="00A46452">
        <w:trPr>
          <w:trHeight w:val="554"/>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kern w:val="0"/>
                <w:sz w:val="18"/>
                <w:szCs w:val="18"/>
                <w:lang w:bidi="ar"/>
              </w:rPr>
              <w:t>5</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K86+960</w:t>
            </w:r>
            <w:r>
              <w:rPr>
                <w:rFonts w:cs="Times New Roman"/>
                <w:sz w:val="18"/>
                <w:szCs w:val="18"/>
              </w:rPr>
              <w:t>～</w:t>
            </w:r>
            <w:r>
              <w:rPr>
                <w:rFonts w:cs="Times New Roman"/>
                <w:sz w:val="18"/>
                <w:szCs w:val="18"/>
              </w:rPr>
              <w:t>K97+000</w:t>
            </w:r>
          </w:p>
        </w:tc>
        <w:tc>
          <w:tcPr>
            <w:tcW w:w="139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iCs/>
                <w:sz w:val="18"/>
                <w:szCs w:val="18"/>
              </w:rPr>
              <w:t>绿化带</w:t>
            </w:r>
            <w:r>
              <w:rPr>
                <w:rFonts w:cs="Times New Roman"/>
                <w:iCs/>
                <w:sz w:val="18"/>
                <w:szCs w:val="18"/>
                <w:lang w:val="zh-CN"/>
              </w:rPr>
              <w:t>、公路用地</w:t>
            </w:r>
          </w:p>
        </w:tc>
        <w:tc>
          <w:tcPr>
            <w:tcW w:w="80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iCs/>
                <w:sz w:val="18"/>
                <w:szCs w:val="18"/>
              </w:rPr>
              <w:t>灌淤土</w:t>
            </w:r>
          </w:p>
        </w:tc>
        <w:tc>
          <w:tcPr>
            <w:tcW w:w="162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iCs/>
                <w:sz w:val="18"/>
                <w:szCs w:val="18"/>
                <w:lang w:val="zh-CN"/>
              </w:rPr>
              <w:t>灌溉绿洲和耕地、</w:t>
            </w:r>
            <w:r>
              <w:rPr>
                <w:rFonts w:cs="Times New Roman"/>
                <w:sz w:val="18"/>
                <w:szCs w:val="18"/>
              </w:rPr>
              <w:t>人工林</w:t>
            </w:r>
          </w:p>
        </w:tc>
        <w:tc>
          <w:tcPr>
            <w:tcW w:w="98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农业</w:t>
            </w:r>
          </w:p>
        </w:tc>
        <w:tc>
          <w:tcPr>
            <w:tcW w:w="1848"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此路段沿线地形平缓，</w:t>
            </w:r>
            <w:r>
              <w:rPr>
                <w:rFonts w:cs="Times New Roman"/>
                <w:sz w:val="18"/>
                <w:szCs w:val="18"/>
              </w:rPr>
              <w:t>主要为</w:t>
            </w:r>
            <w:r>
              <w:rPr>
                <w:rFonts w:cs="Times New Roman"/>
                <w:sz w:val="18"/>
                <w:szCs w:val="18"/>
              </w:rPr>
              <w:t>。</w:t>
            </w:r>
          </w:p>
        </w:tc>
      </w:tr>
      <w:tr w:rsidR="00A46452">
        <w:trPr>
          <w:trHeight w:val="280"/>
          <w:jc w:val="center"/>
        </w:trPr>
        <w:tc>
          <w:tcPr>
            <w:tcW w:w="0" w:type="auto"/>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kern w:val="0"/>
                <w:sz w:val="18"/>
                <w:szCs w:val="18"/>
                <w:lang w:bidi="ar"/>
              </w:rPr>
            </w:pPr>
            <w:r>
              <w:rPr>
                <w:rFonts w:cs="Times New Roman"/>
                <w:kern w:val="0"/>
                <w:sz w:val="18"/>
                <w:szCs w:val="18"/>
                <w:lang w:bidi="ar"/>
              </w:rPr>
              <w:t>6</w:t>
            </w:r>
          </w:p>
        </w:tc>
        <w:tc>
          <w:tcPr>
            <w:tcW w:w="150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textAlignment w:val="center"/>
              <w:rPr>
                <w:rFonts w:cs="Times New Roman"/>
                <w:kern w:val="0"/>
                <w:sz w:val="18"/>
                <w:szCs w:val="18"/>
                <w:lang w:bidi="ar"/>
              </w:rPr>
            </w:pPr>
            <w:r>
              <w:rPr>
                <w:rFonts w:cs="Times New Roman"/>
                <w:kern w:val="0"/>
                <w:sz w:val="18"/>
                <w:szCs w:val="18"/>
                <w:lang w:bidi="ar"/>
              </w:rPr>
              <w:t>K97+000</w:t>
            </w:r>
            <w:r>
              <w:rPr>
                <w:rFonts w:cs="Times New Roman"/>
                <w:kern w:val="0"/>
                <w:sz w:val="18"/>
                <w:szCs w:val="18"/>
                <w:lang w:bidi="ar"/>
              </w:rPr>
              <w:t>～</w:t>
            </w:r>
            <w:r>
              <w:rPr>
                <w:rFonts w:cs="Times New Roman"/>
                <w:kern w:val="0"/>
                <w:sz w:val="18"/>
                <w:szCs w:val="18"/>
                <w:lang w:bidi="ar"/>
              </w:rPr>
              <w:t>K107+177</w:t>
            </w:r>
          </w:p>
          <w:p w:rsidR="00A46452" w:rsidRDefault="00A46452">
            <w:pPr>
              <w:wordWrap w:val="0"/>
              <w:topLinePunct/>
              <w:adjustRightInd w:val="0"/>
              <w:snapToGrid w:val="0"/>
              <w:spacing w:line="240" w:lineRule="exact"/>
              <w:ind w:firstLineChars="0" w:firstLine="0"/>
              <w:textAlignment w:val="center"/>
              <w:rPr>
                <w:rFonts w:cs="Times New Roman"/>
                <w:kern w:val="0"/>
                <w:sz w:val="18"/>
                <w:szCs w:val="18"/>
                <w:lang w:bidi="ar"/>
              </w:rPr>
            </w:pPr>
          </w:p>
        </w:tc>
        <w:tc>
          <w:tcPr>
            <w:tcW w:w="139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iCs/>
                <w:sz w:val="18"/>
                <w:szCs w:val="18"/>
              </w:rPr>
            </w:pPr>
            <w:r>
              <w:rPr>
                <w:rFonts w:cs="Times New Roman"/>
                <w:sz w:val="18"/>
                <w:szCs w:val="18"/>
                <w:lang w:val="zh-CN"/>
              </w:rPr>
              <w:t>公路用地、</w:t>
            </w:r>
            <w:r>
              <w:rPr>
                <w:rFonts w:cs="Times New Roman"/>
                <w:sz w:val="18"/>
                <w:szCs w:val="18"/>
              </w:rPr>
              <w:t>绿洲农业区</w:t>
            </w:r>
          </w:p>
        </w:tc>
        <w:tc>
          <w:tcPr>
            <w:tcW w:w="80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rPr>
                <w:rFonts w:cs="Times New Roman"/>
                <w:iCs/>
                <w:sz w:val="18"/>
                <w:szCs w:val="18"/>
              </w:rPr>
            </w:pPr>
            <w:r>
              <w:rPr>
                <w:rFonts w:cs="Times New Roman"/>
                <w:sz w:val="18"/>
                <w:szCs w:val="18"/>
              </w:rPr>
              <w:t>草甸土</w:t>
            </w:r>
          </w:p>
        </w:tc>
        <w:tc>
          <w:tcPr>
            <w:tcW w:w="162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iCs/>
                <w:sz w:val="18"/>
                <w:szCs w:val="18"/>
                <w:lang w:val="zh-CN"/>
              </w:rPr>
            </w:pPr>
            <w:r>
              <w:rPr>
                <w:rFonts w:cs="Times New Roman"/>
                <w:sz w:val="18"/>
                <w:szCs w:val="18"/>
              </w:rPr>
              <w:t>草甸盐土、荒漠风沙土、潮土、结壳盐土</w:t>
            </w:r>
          </w:p>
        </w:tc>
        <w:tc>
          <w:tcPr>
            <w:tcW w:w="984"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绿洲农业生态景观</w:t>
            </w:r>
          </w:p>
        </w:tc>
        <w:tc>
          <w:tcPr>
            <w:tcW w:w="1848"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此路段沿线地形平缓，农作物为小麦、棉花，等，动物以中小型啮齿动物和鸟类为主</w:t>
            </w:r>
          </w:p>
        </w:tc>
      </w:tr>
    </w:tbl>
    <w:p w:rsidR="00A46452" w:rsidRDefault="009A3928">
      <w:pPr>
        <w:wordWrap w:val="0"/>
        <w:topLinePunct/>
        <w:adjustRightInd w:val="0"/>
        <w:snapToGrid w:val="0"/>
        <w:ind w:firstLine="480"/>
        <w:jc w:val="left"/>
        <w:rPr>
          <w:rFonts w:cs="Times New Roman"/>
          <w:kern w:val="0"/>
          <w:szCs w:val="24"/>
          <w:lang w:bidi="ar"/>
        </w:rPr>
      </w:pPr>
      <w:r>
        <w:rPr>
          <w:rFonts w:cs="Times New Roman"/>
        </w:rPr>
        <w:t>（</w:t>
      </w:r>
      <w:r>
        <w:rPr>
          <w:rFonts w:cs="Times New Roman"/>
        </w:rPr>
        <w:t>1</w:t>
      </w:r>
      <w:r>
        <w:rPr>
          <w:rFonts w:cs="Times New Roman"/>
        </w:rPr>
        <w:t>）</w:t>
      </w:r>
      <w:r>
        <w:rPr>
          <w:rFonts w:cs="Times New Roman"/>
          <w:kern w:val="0"/>
          <w:szCs w:val="24"/>
          <w:lang w:bidi="ar"/>
        </w:rPr>
        <w:t>K0+000</w:t>
      </w:r>
      <w:r>
        <w:rPr>
          <w:rFonts w:cs="Times New Roman"/>
          <w:kern w:val="0"/>
          <w:szCs w:val="24"/>
          <w:lang w:bidi="ar"/>
        </w:rPr>
        <w:t>～</w:t>
      </w:r>
      <w:r>
        <w:rPr>
          <w:rFonts w:cs="Times New Roman"/>
          <w:kern w:val="0"/>
          <w:szCs w:val="24"/>
          <w:lang w:bidi="ar"/>
        </w:rPr>
        <w:t>K32+000</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该路段位于冲洪积细土平原区。地形平坦，局部略有起伏，海拔</w:t>
      </w:r>
      <w:r>
        <w:rPr>
          <w:rFonts w:cs="Times New Roman"/>
          <w:kern w:val="0"/>
          <w:szCs w:val="24"/>
          <w:lang w:bidi="ar"/>
        </w:rPr>
        <w:t>1070m</w:t>
      </w:r>
      <w:r>
        <w:rPr>
          <w:rFonts w:cs="Times New Roman"/>
          <w:kern w:val="0"/>
          <w:szCs w:val="24"/>
          <w:lang w:bidi="ar"/>
        </w:rPr>
        <w:t>～</w:t>
      </w:r>
      <w:r>
        <w:rPr>
          <w:rFonts w:cs="Times New Roman"/>
          <w:kern w:val="0"/>
          <w:szCs w:val="24"/>
          <w:lang w:bidi="ar"/>
        </w:rPr>
        <w:t>1090m</w:t>
      </w:r>
      <w:r>
        <w:rPr>
          <w:rFonts w:cs="Times New Roman"/>
          <w:kern w:val="0"/>
          <w:szCs w:val="24"/>
          <w:lang w:bidi="ar"/>
        </w:rPr>
        <w:t>，地形坡度约</w:t>
      </w:r>
      <w:r>
        <w:rPr>
          <w:rFonts w:cs="Times New Roman"/>
          <w:kern w:val="0"/>
          <w:szCs w:val="24"/>
          <w:lang w:bidi="ar"/>
        </w:rPr>
        <w:t>0.7‰</w:t>
      </w:r>
      <w:r>
        <w:rPr>
          <w:rFonts w:cs="Times New Roman"/>
          <w:kern w:val="0"/>
          <w:szCs w:val="24"/>
          <w:lang w:bidi="ar"/>
        </w:rPr>
        <w:t>，沿线穿越耕地、荒地、胡杨林。</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2</w:t>
      </w:r>
      <w:r>
        <w:rPr>
          <w:rFonts w:cs="Times New Roman"/>
          <w:kern w:val="0"/>
          <w:szCs w:val="24"/>
          <w:lang w:bidi="ar"/>
        </w:rPr>
        <w:t>）</w:t>
      </w:r>
      <w:r>
        <w:rPr>
          <w:rFonts w:cs="Times New Roman"/>
          <w:kern w:val="0"/>
          <w:szCs w:val="24"/>
          <w:lang w:bidi="ar"/>
        </w:rPr>
        <w:t>K32+000</w:t>
      </w:r>
      <w:r>
        <w:rPr>
          <w:rFonts w:cs="Times New Roman"/>
          <w:kern w:val="0"/>
          <w:szCs w:val="24"/>
          <w:lang w:bidi="ar"/>
        </w:rPr>
        <w:t>～</w:t>
      </w:r>
      <w:r>
        <w:rPr>
          <w:rFonts w:cs="Times New Roman"/>
          <w:kern w:val="0"/>
          <w:szCs w:val="24"/>
          <w:lang w:bidi="ar"/>
        </w:rPr>
        <w:t>K43+500</w:t>
      </w:r>
    </w:p>
    <w:p w:rsidR="00A46452" w:rsidRDefault="009A3928">
      <w:pPr>
        <w:wordWrap w:val="0"/>
        <w:topLinePunct/>
        <w:adjustRightInd w:val="0"/>
        <w:snapToGrid w:val="0"/>
        <w:ind w:firstLine="480"/>
        <w:jc w:val="left"/>
        <w:rPr>
          <w:rFonts w:cs="Times New Roman"/>
        </w:rPr>
      </w:pPr>
      <w:r>
        <w:rPr>
          <w:rFonts w:cs="Times New Roman"/>
          <w:kern w:val="0"/>
          <w:szCs w:val="24"/>
          <w:lang w:bidi="ar"/>
        </w:rPr>
        <w:t>该段位于风积沙漠区。整体地形南低、北高，高程一般分布在</w:t>
      </w:r>
      <w:r>
        <w:rPr>
          <w:rFonts w:cs="Times New Roman"/>
          <w:kern w:val="0"/>
          <w:szCs w:val="24"/>
          <w:lang w:bidi="ar"/>
        </w:rPr>
        <w:t>1075</w:t>
      </w:r>
      <w:r>
        <w:rPr>
          <w:rFonts w:cs="Times New Roman"/>
          <w:kern w:val="0"/>
          <w:szCs w:val="24"/>
          <w:lang w:bidi="ar"/>
        </w:rPr>
        <w:t>～</w:t>
      </w:r>
      <w:r>
        <w:rPr>
          <w:rFonts w:cs="Times New Roman"/>
          <w:kern w:val="0"/>
          <w:szCs w:val="24"/>
          <w:lang w:bidi="ar"/>
        </w:rPr>
        <w:t>1095m</w:t>
      </w:r>
      <w:r>
        <w:rPr>
          <w:rFonts w:cs="Times New Roman"/>
          <w:kern w:val="0"/>
          <w:szCs w:val="24"/>
          <w:lang w:bidi="ar"/>
        </w:rPr>
        <w:t>间，地形坡度在</w:t>
      </w:r>
      <w:r>
        <w:rPr>
          <w:rFonts w:cs="Times New Roman"/>
          <w:kern w:val="0"/>
          <w:szCs w:val="24"/>
          <w:lang w:bidi="ar"/>
        </w:rPr>
        <w:t>1.8‰</w:t>
      </w:r>
      <w:r>
        <w:rPr>
          <w:rFonts w:cs="Times New Roman"/>
          <w:kern w:val="0"/>
          <w:szCs w:val="24"/>
          <w:lang w:bidi="ar"/>
        </w:rPr>
        <w:t>左右，沿线主要分布为移动沙丘，半固定沙丘。</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3</w:t>
      </w:r>
      <w:r>
        <w:rPr>
          <w:rFonts w:cs="Times New Roman"/>
          <w:kern w:val="0"/>
          <w:szCs w:val="24"/>
          <w:lang w:bidi="ar"/>
        </w:rPr>
        <w:t>）</w:t>
      </w:r>
      <w:r>
        <w:rPr>
          <w:rFonts w:cs="Times New Roman"/>
          <w:kern w:val="0"/>
          <w:szCs w:val="24"/>
          <w:lang w:bidi="ar"/>
        </w:rPr>
        <w:t>K43+500</w:t>
      </w:r>
      <w:r>
        <w:rPr>
          <w:rFonts w:cs="Times New Roman"/>
          <w:kern w:val="0"/>
          <w:szCs w:val="24"/>
          <w:lang w:bidi="ar"/>
        </w:rPr>
        <w:t>～</w:t>
      </w:r>
      <w:r>
        <w:rPr>
          <w:rFonts w:cs="Times New Roman"/>
          <w:kern w:val="0"/>
          <w:szCs w:val="24"/>
          <w:lang w:bidi="ar"/>
        </w:rPr>
        <w:t>K61+300</w:t>
      </w:r>
    </w:p>
    <w:p w:rsidR="00A46452" w:rsidRDefault="009A3928">
      <w:pPr>
        <w:wordWrap w:val="0"/>
        <w:topLinePunct/>
        <w:adjustRightInd w:val="0"/>
        <w:snapToGrid w:val="0"/>
        <w:ind w:firstLine="480"/>
        <w:jc w:val="left"/>
        <w:rPr>
          <w:rFonts w:cs="Times New Roman"/>
        </w:rPr>
      </w:pPr>
      <w:r>
        <w:rPr>
          <w:rFonts w:cs="Times New Roman"/>
          <w:kern w:val="0"/>
          <w:szCs w:val="24"/>
          <w:lang w:bidi="ar"/>
        </w:rPr>
        <w:t>该路段位于冲洪积细土平原区。地形平坦开阔，局部略有起伏，零星分布低矮粉土丘及风积沙丘，海拔</w:t>
      </w:r>
      <w:r>
        <w:rPr>
          <w:rFonts w:cs="Times New Roman"/>
          <w:kern w:val="0"/>
          <w:szCs w:val="24"/>
          <w:lang w:bidi="ar"/>
        </w:rPr>
        <w:t>1070m</w:t>
      </w:r>
      <w:r>
        <w:rPr>
          <w:rFonts w:cs="Times New Roman"/>
          <w:kern w:val="0"/>
          <w:szCs w:val="24"/>
          <w:lang w:bidi="ar"/>
        </w:rPr>
        <w:t>～</w:t>
      </w:r>
      <w:r>
        <w:rPr>
          <w:rFonts w:cs="Times New Roman"/>
          <w:kern w:val="0"/>
          <w:szCs w:val="24"/>
          <w:lang w:bidi="ar"/>
        </w:rPr>
        <w:t>1085m</w:t>
      </w:r>
      <w:r>
        <w:rPr>
          <w:rFonts w:cs="Times New Roman"/>
          <w:kern w:val="0"/>
          <w:szCs w:val="24"/>
          <w:lang w:bidi="ar"/>
        </w:rPr>
        <w:t>，地形坡度</w:t>
      </w:r>
      <w:r>
        <w:rPr>
          <w:rFonts w:cs="Times New Roman"/>
          <w:kern w:val="0"/>
          <w:szCs w:val="24"/>
          <w:lang w:bidi="ar"/>
        </w:rPr>
        <w:t>0.8‰</w:t>
      </w:r>
      <w:r>
        <w:rPr>
          <w:rFonts w:cs="Times New Roman"/>
          <w:kern w:val="0"/>
          <w:szCs w:val="24"/>
          <w:lang w:bidi="ar"/>
        </w:rPr>
        <w:t>～</w:t>
      </w:r>
      <w:r>
        <w:rPr>
          <w:rFonts w:cs="Times New Roman"/>
          <w:kern w:val="0"/>
          <w:szCs w:val="24"/>
          <w:lang w:bidi="ar"/>
        </w:rPr>
        <w:t>1.</w:t>
      </w:r>
      <w:r>
        <w:rPr>
          <w:rFonts w:cs="Times New Roman"/>
          <w:kern w:val="0"/>
          <w:szCs w:val="24"/>
          <w:lang w:bidi="ar"/>
        </w:rPr>
        <w:t>1‰</w:t>
      </w:r>
      <w:r>
        <w:rPr>
          <w:rFonts w:cs="Times New Roman"/>
          <w:kern w:val="0"/>
          <w:szCs w:val="24"/>
          <w:lang w:bidi="ar"/>
        </w:rPr>
        <w:t>，沿线穿越荒地、局部为风积沙区。</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4</w:t>
      </w:r>
      <w:r>
        <w:rPr>
          <w:rFonts w:cs="Times New Roman"/>
          <w:kern w:val="0"/>
          <w:szCs w:val="24"/>
          <w:lang w:bidi="ar"/>
        </w:rPr>
        <w:t>）</w:t>
      </w:r>
      <w:r>
        <w:rPr>
          <w:rFonts w:cs="Times New Roman"/>
          <w:kern w:val="0"/>
          <w:szCs w:val="24"/>
          <w:lang w:bidi="ar"/>
        </w:rPr>
        <w:t>K61+300</w:t>
      </w:r>
      <w:r>
        <w:rPr>
          <w:rFonts w:cs="Times New Roman"/>
          <w:kern w:val="0"/>
          <w:szCs w:val="24"/>
          <w:lang w:bidi="ar"/>
        </w:rPr>
        <w:t>～</w:t>
      </w:r>
      <w:r>
        <w:rPr>
          <w:rFonts w:cs="Times New Roman"/>
          <w:kern w:val="0"/>
          <w:szCs w:val="24"/>
          <w:lang w:bidi="ar"/>
        </w:rPr>
        <w:t>K86+960</w:t>
      </w:r>
    </w:p>
    <w:p w:rsidR="00A46452" w:rsidRDefault="009A3928">
      <w:pPr>
        <w:wordWrap w:val="0"/>
        <w:topLinePunct/>
        <w:adjustRightInd w:val="0"/>
        <w:snapToGrid w:val="0"/>
        <w:ind w:firstLine="480"/>
        <w:jc w:val="left"/>
        <w:rPr>
          <w:rFonts w:cs="Times New Roman"/>
          <w:kern w:val="0"/>
          <w:szCs w:val="24"/>
          <w:lang w:bidi="ar"/>
        </w:rPr>
      </w:pPr>
      <w:r>
        <w:rPr>
          <w:rFonts w:cs="Times New Roman"/>
          <w:kern w:val="0"/>
          <w:szCs w:val="24"/>
          <w:lang w:bidi="ar"/>
        </w:rPr>
        <w:t>该路段位于柯坪山前倾斜砾质平原区。地形平坦开阔，局部略有起伏，海拔</w:t>
      </w:r>
      <w:r>
        <w:rPr>
          <w:rFonts w:cs="Times New Roman"/>
          <w:kern w:val="0"/>
          <w:szCs w:val="24"/>
          <w:lang w:bidi="ar"/>
        </w:rPr>
        <w:t>1080m</w:t>
      </w:r>
      <w:r>
        <w:rPr>
          <w:rFonts w:cs="Times New Roman"/>
          <w:kern w:val="0"/>
          <w:szCs w:val="24"/>
          <w:lang w:bidi="ar"/>
        </w:rPr>
        <w:t>～</w:t>
      </w:r>
      <w:r>
        <w:rPr>
          <w:rFonts w:cs="Times New Roman"/>
          <w:kern w:val="0"/>
          <w:szCs w:val="24"/>
          <w:lang w:bidi="ar"/>
        </w:rPr>
        <w:t>1120m</w:t>
      </w:r>
      <w:r>
        <w:rPr>
          <w:rFonts w:cs="Times New Roman"/>
          <w:kern w:val="0"/>
          <w:szCs w:val="24"/>
          <w:lang w:bidi="ar"/>
        </w:rPr>
        <w:t>，地形坡度</w:t>
      </w:r>
      <w:r>
        <w:rPr>
          <w:rFonts w:cs="Times New Roman"/>
          <w:kern w:val="0"/>
          <w:szCs w:val="24"/>
          <w:lang w:bidi="ar"/>
        </w:rPr>
        <w:t>1.1‰</w:t>
      </w:r>
      <w:r>
        <w:rPr>
          <w:rFonts w:cs="Times New Roman"/>
          <w:kern w:val="0"/>
          <w:szCs w:val="24"/>
          <w:lang w:bidi="ar"/>
        </w:rPr>
        <w:t>～</w:t>
      </w:r>
      <w:r>
        <w:rPr>
          <w:rFonts w:cs="Times New Roman"/>
          <w:kern w:val="0"/>
          <w:szCs w:val="24"/>
          <w:lang w:bidi="ar"/>
        </w:rPr>
        <w:t>2.8‰</w:t>
      </w:r>
      <w:r>
        <w:rPr>
          <w:rFonts w:cs="Times New Roman"/>
          <w:kern w:val="0"/>
          <w:szCs w:val="24"/>
          <w:lang w:bidi="ar"/>
        </w:rPr>
        <w:t>，沿线穿越荒地、耕地、</w:t>
      </w:r>
      <w:r>
        <w:rPr>
          <w:rFonts w:cs="Times New Roman"/>
          <w:kern w:val="0"/>
          <w:szCs w:val="24"/>
          <w:lang w:bidi="ar"/>
        </w:rPr>
        <w:t>柯坪河</w:t>
      </w:r>
      <w:r>
        <w:rPr>
          <w:rFonts w:cs="Times New Roman"/>
          <w:kern w:val="0"/>
          <w:szCs w:val="24"/>
          <w:lang w:bidi="ar"/>
        </w:rPr>
        <w:t>，部分为已建道路。</w:t>
      </w:r>
    </w:p>
    <w:p w:rsidR="00A46452" w:rsidRDefault="009A3928">
      <w:pPr>
        <w:wordWrap w:val="0"/>
        <w:topLinePunct/>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5</w:t>
      </w:r>
      <w:r>
        <w:rPr>
          <w:rFonts w:cs="Times New Roman"/>
          <w:kern w:val="0"/>
          <w:szCs w:val="24"/>
          <w:lang w:bidi="ar"/>
        </w:rPr>
        <w:t>）</w:t>
      </w:r>
      <w:r>
        <w:rPr>
          <w:rFonts w:cs="Times New Roman"/>
          <w:kern w:val="0"/>
          <w:szCs w:val="24"/>
          <w:lang w:bidi="ar"/>
        </w:rPr>
        <w:t>K86+960</w:t>
      </w:r>
      <w:r>
        <w:rPr>
          <w:rFonts w:cs="Times New Roman"/>
          <w:kern w:val="0"/>
          <w:szCs w:val="24"/>
          <w:lang w:bidi="ar"/>
        </w:rPr>
        <w:t>～</w:t>
      </w:r>
      <w:r>
        <w:rPr>
          <w:rFonts w:cs="Times New Roman"/>
          <w:kern w:val="0"/>
          <w:szCs w:val="24"/>
          <w:lang w:bidi="ar"/>
        </w:rPr>
        <w:t>K97+000</w:t>
      </w:r>
    </w:p>
    <w:p w:rsidR="00A46452" w:rsidRDefault="009A3928">
      <w:pPr>
        <w:wordWrap w:val="0"/>
        <w:topLinePunct/>
        <w:ind w:firstLine="480"/>
        <w:jc w:val="left"/>
        <w:rPr>
          <w:rFonts w:cs="Times New Roman"/>
          <w:kern w:val="0"/>
          <w:szCs w:val="24"/>
          <w:lang w:bidi="ar"/>
        </w:rPr>
      </w:pPr>
      <w:r>
        <w:rPr>
          <w:rFonts w:cs="Times New Roman"/>
          <w:kern w:val="0"/>
          <w:szCs w:val="24"/>
          <w:lang w:bidi="ar"/>
        </w:rPr>
        <w:t>该</w:t>
      </w:r>
      <w:r>
        <w:rPr>
          <w:rFonts w:cs="Times New Roman"/>
          <w:kern w:val="0"/>
          <w:szCs w:val="24"/>
          <w:lang w:bidi="ar"/>
        </w:rPr>
        <w:t>路段位于柯坪山前冲洪积扇区。冲洪积扇向北倾斜，地形起伏开阔，</w:t>
      </w:r>
      <w:r>
        <w:rPr>
          <w:rFonts w:cs="Times New Roman"/>
          <w:kern w:val="0"/>
          <w:szCs w:val="24"/>
          <w:lang w:bidi="ar"/>
        </w:rPr>
        <w:t>海拔</w:t>
      </w:r>
      <w:r>
        <w:rPr>
          <w:rFonts w:cs="Times New Roman"/>
          <w:kern w:val="0"/>
          <w:szCs w:val="24"/>
          <w:lang w:bidi="ar"/>
        </w:rPr>
        <w:t>高程</w:t>
      </w:r>
      <w:r>
        <w:rPr>
          <w:rFonts w:cs="Times New Roman"/>
          <w:kern w:val="0"/>
          <w:szCs w:val="24"/>
          <w:lang w:bidi="ar"/>
        </w:rPr>
        <w:t>1100</w:t>
      </w:r>
      <w:r>
        <w:rPr>
          <w:rFonts w:cs="Times New Roman"/>
          <w:kern w:val="0"/>
          <w:szCs w:val="24"/>
          <w:lang w:bidi="ar"/>
        </w:rPr>
        <w:t>～</w:t>
      </w:r>
      <w:r>
        <w:rPr>
          <w:rFonts w:cs="Times New Roman"/>
          <w:kern w:val="0"/>
          <w:szCs w:val="24"/>
          <w:lang w:bidi="ar"/>
        </w:rPr>
        <w:t>1180m</w:t>
      </w:r>
      <w:r>
        <w:rPr>
          <w:rFonts w:cs="Times New Roman"/>
          <w:kern w:val="0"/>
          <w:szCs w:val="24"/>
          <w:lang w:bidi="ar"/>
        </w:rPr>
        <w:t>。</w:t>
      </w:r>
      <w:r>
        <w:rPr>
          <w:rFonts w:cs="Times New Roman"/>
          <w:kern w:val="0"/>
          <w:szCs w:val="24"/>
          <w:lang w:bidi="ar"/>
        </w:rPr>
        <w:t>海拔</w:t>
      </w:r>
      <w:r>
        <w:rPr>
          <w:rFonts w:cs="Times New Roman"/>
          <w:kern w:val="0"/>
          <w:szCs w:val="24"/>
          <w:lang w:bidi="ar"/>
        </w:rPr>
        <w:t>1100m</w:t>
      </w:r>
      <w:r>
        <w:rPr>
          <w:rFonts w:cs="Times New Roman"/>
          <w:kern w:val="0"/>
          <w:szCs w:val="24"/>
          <w:lang w:bidi="ar"/>
        </w:rPr>
        <w:t>～</w:t>
      </w:r>
      <w:r>
        <w:rPr>
          <w:rFonts w:cs="Times New Roman"/>
          <w:kern w:val="0"/>
          <w:szCs w:val="24"/>
          <w:lang w:bidi="ar"/>
        </w:rPr>
        <w:t>1180m</w:t>
      </w:r>
      <w:r>
        <w:rPr>
          <w:rFonts w:cs="Times New Roman"/>
          <w:kern w:val="0"/>
          <w:szCs w:val="24"/>
          <w:lang w:bidi="ar"/>
        </w:rPr>
        <w:t>，地形坡度</w:t>
      </w:r>
      <w:r>
        <w:rPr>
          <w:rFonts w:cs="Times New Roman"/>
          <w:kern w:val="0"/>
          <w:szCs w:val="24"/>
          <w:lang w:bidi="ar"/>
        </w:rPr>
        <w:t>3.0</w:t>
      </w:r>
      <w:r>
        <w:rPr>
          <w:rFonts w:cs="Times New Roman"/>
          <w:kern w:val="0"/>
          <w:szCs w:val="24"/>
          <w:lang w:bidi="ar"/>
        </w:rPr>
        <w:t>％～</w:t>
      </w:r>
      <w:r>
        <w:rPr>
          <w:rFonts w:cs="Times New Roman"/>
          <w:kern w:val="0"/>
          <w:szCs w:val="24"/>
          <w:lang w:bidi="ar"/>
        </w:rPr>
        <w:t>7.0</w:t>
      </w:r>
      <w:r>
        <w:rPr>
          <w:rFonts w:cs="Times New Roman"/>
          <w:kern w:val="0"/>
          <w:szCs w:val="24"/>
          <w:lang w:bidi="ar"/>
        </w:rPr>
        <w:t>％，沿线现状路旁侧绿化林带及若干冲沟。</w:t>
      </w:r>
      <w:r>
        <w:rPr>
          <w:rFonts w:cs="Times New Roman"/>
          <w:kern w:val="0"/>
          <w:szCs w:val="24"/>
          <w:lang w:bidi="ar"/>
        </w:rPr>
        <w:t xml:space="preserve"> </w:t>
      </w:r>
    </w:p>
    <w:p w:rsidR="00A46452" w:rsidRDefault="009A3928">
      <w:pPr>
        <w:wordWrap w:val="0"/>
        <w:topLinePunct/>
        <w:ind w:firstLine="480"/>
        <w:jc w:val="left"/>
        <w:rPr>
          <w:rFonts w:cs="Times New Roman"/>
          <w:kern w:val="0"/>
          <w:szCs w:val="24"/>
          <w:lang w:bidi="ar"/>
        </w:rPr>
      </w:pPr>
      <w:r>
        <w:rPr>
          <w:rFonts w:cs="Times New Roman"/>
          <w:kern w:val="0"/>
          <w:szCs w:val="24"/>
          <w:lang w:bidi="ar"/>
        </w:rPr>
        <w:t>（</w:t>
      </w:r>
      <w:r>
        <w:rPr>
          <w:rFonts w:cs="Times New Roman"/>
          <w:kern w:val="0"/>
          <w:szCs w:val="24"/>
          <w:lang w:bidi="ar"/>
        </w:rPr>
        <w:t>6</w:t>
      </w:r>
      <w:r>
        <w:rPr>
          <w:rFonts w:cs="Times New Roman"/>
          <w:kern w:val="0"/>
          <w:szCs w:val="24"/>
          <w:lang w:bidi="ar"/>
        </w:rPr>
        <w:t>）</w:t>
      </w:r>
      <w:r>
        <w:rPr>
          <w:rFonts w:cs="Times New Roman"/>
          <w:kern w:val="0"/>
          <w:szCs w:val="24"/>
          <w:lang w:bidi="ar"/>
        </w:rPr>
        <w:t>K97+000</w:t>
      </w:r>
      <w:r>
        <w:rPr>
          <w:rFonts w:cs="Times New Roman"/>
          <w:kern w:val="0"/>
          <w:szCs w:val="24"/>
          <w:lang w:bidi="ar"/>
        </w:rPr>
        <w:t>～</w:t>
      </w:r>
      <w:r>
        <w:rPr>
          <w:rFonts w:cs="Times New Roman"/>
          <w:kern w:val="0"/>
          <w:szCs w:val="24"/>
          <w:lang w:bidi="ar"/>
        </w:rPr>
        <w:t>K107+177</w:t>
      </w:r>
    </w:p>
    <w:p w:rsidR="00A46452" w:rsidRDefault="009A3928">
      <w:pPr>
        <w:wordWrap w:val="0"/>
        <w:topLinePunct/>
        <w:ind w:firstLine="480"/>
        <w:jc w:val="left"/>
        <w:rPr>
          <w:rFonts w:cs="Times New Roman"/>
          <w:kern w:val="0"/>
          <w:szCs w:val="24"/>
          <w:lang w:bidi="ar"/>
        </w:rPr>
      </w:pPr>
      <w:r>
        <w:rPr>
          <w:rFonts w:cs="Times New Roman"/>
          <w:kern w:val="0"/>
          <w:szCs w:val="24"/>
          <w:lang w:bidi="ar"/>
        </w:rPr>
        <w:t>该路段位</w:t>
      </w:r>
      <w:r>
        <w:rPr>
          <w:rFonts w:cs="Times New Roman"/>
          <w:kern w:val="0"/>
          <w:szCs w:val="24"/>
          <w:lang w:bidi="ar"/>
        </w:rPr>
        <w:t>于柯坪冲洪积细粒土平原区地形平坦，局部略有起伏，海拔</w:t>
      </w:r>
      <w:r>
        <w:rPr>
          <w:rFonts w:cs="Times New Roman"/>
          <w:kern w:val="0"/>
          <w:szCs w:val="24"/>
          <w:lang w:bidi="ar"/>
        </w:rPr>
        <w:t>1100m</w:t>
      </w:r>
      <w:r>
        <w:rPr>
          <w:rFonts w:cs="Times New Roman"/>
          <w:kern w:val="0"/>
          <w:szCs w:val="24"/>
          <w:lang w:bidi="ar"/>
        </w:rPr>
        <w:t>～</w:t>
      </w:r>
      <w:r>
        <w:rPr>
          <w:rFonts w:cs="Times New Roman"/>
          <w:kern w:val="0"/>
          <w:szCs w:val="24"/>
          <w:lang w:bidi="ar"/>
        </w:rPr>
        <w:t>1150m</w:t>
      </w:r>
      <w:r>
        <w:rPr>
          <w:rFonts w:cs="Times New Roman"/>
          <w:kern w:val="0"/>
          <w:szCs w:val="24"/>
          <w:lang w:bidi="ar"/>
        </w:rPr>
        <w:t>，地形坡度约</w:t>
      </w:r>
      <w:r>
        <w:rPr>
          <w:rFonts w:cs="Times New Roman"/>
          <w:kern w:val="0"/>
          <w:szCs w:val="24"/>
          <w:lang w:bidi="ar"/>
        </w:rPr>
        <w:t>3‰</w:t>
      </w:r>
      <w:r>
        <w:rPr>
          <w:rFonts w:cs="Times New Roman"/>
          <w:kern w:val="0"/>
          <w:szCs w:val="24"/>
          <w:lang w:bidi="ar"/>
        </w:rPr>
        <w:t>，沿线穿越城区边缘、耕地、绿化带。</w:t>
      </w:r>
      <w:r>
        <w:rPr>
          <w:rFonts w:cs="Times New Roman"/>
          <w:kern w:val="0"/>
          <w:szCs w:val="24"/>
          <w:lang w:bidi="ar"/>
        </w:rPr>
        <w:t xml:space="preserve"> </w:t>
      </w:r>
    </w:p>
    <w:p w:rsidR="00A46452" w:rsidRDefault="009A3928">
      <w:pPr>
        <w:wordWrap w:val="0"/>
        <w:topLinePunct/>
        <w:ind w:firstLine="480"/>
        <w:jc w:val="left"/>
        <w:rPr>
          <w:rFonts w:cs="Times New Roman"/>
        </w:rPr>
      </w:pPr>
      <w:r>
        <w:rPr>
          <w:rFonts w:cs="Times New Roman"/>
          <w:kern w:val="0"/>
          <w:szCs w:val="24"/>
          <w:lang w:bidi="ar"/>
        </w:rPr>
        <w:t>（</w:t>
      </w:r>
      <w:r>
        <w:rPr>
          <w:rFonts w:cs="Times New Roman"/>
          <w:kern w:val="0"/>
          <w:szCs w:val="24"/>
          <w:lang w:bidi="ar"/>
        </w:rPr>
        <w:t>7</w:t>
      </w:r>
      <w:r>
        <w:rPr>
          <w:rFonts w:cs="Times New Roman"/>
          <w:kern w:val="0"/>
          <w:szCs w:val="24"/>
          <w:lang w:bidi="ar"/>
        </w:rPr>
        <w:t>）</w:t>
      </w:r>
      <w:r>
        <w:rPr>
          <w:rFonts w:cs="Times New Roman"/>
        </w:rPr>
        <w:t>临时占地周围土壤与植被环境概况</w:t>
      </w:r>
    </w:p>
    <w:p w:rsidR="00A46452" w:rsidRDefault="009A3928">
      <w:pPr>
        <w:wordWrap w:val="0"/>
        <w:topLinePunct/>
        <w:adjustRightInd w:val="0"/>
        <w:snapToGrid w:val="0"/>
        <w:ind w:firstLine="480"/>
        <w:textAlignment w:val="center"/>
        <w:rPr>
          <w:rFonts w:cs="Times New Roman"/>
        </w:rPr>
      </w:pPr>
      <w:r>
        <w:rPr>
          <w:rFonts w:cs="Times New Roman"/>
        </w:rPr>
        <w:t>工程</w:t>
      </w:r>
      <w:r>
        <w:rPr>
          <w:rFonts w:cs="Times New Roman"/>
        </w:rPr>
        <w:t>设计</w:t>
      </w:r>
      <w:r>
        <w:rPr>
          <w:rFonts w:cs="Times New Roman"/>
        </w:rPr>
        <w:t>设置弃土场</w:t>
      </w:r>
      <w:r>
        <w:rPr>
          <w:rFonts w:cs="Times New Roman"/>
        </w:rPr>
        <w:t>3</w:t>
      </w:r>
      <w:r>
        <w:rPr>
          <w:rFonts w:cs="Times New Roman"/>
        </w:rPr>
        <w:t>处，均位于生态保护红线外，风积沙料场远离城镇，料场开采后的迹地不会影响公路景观，选址合理。</w:t>
      </w:r>
    </w:p>
    <w:p w:rsidR="00A46452" w:rsidRDefault="009A3928">
      <w:pPr>
        <w:pStyle w:val="31"/>
        <w:keepNext w:val="0"/>
        <w:keepLines w:val="0"/>
        <w:wordWrap w:val="0"/>
        <w:topLinePunct/>
        <w:adjustRightInd w:val="0"/>
        <w:snapToGrid w:val="0"/>
        <w:spacing w:before="156" w:after="156" w:line="240" w:lineRule="auto"/>
        <w:rPr>
          <w:rFonts w:cs="Times New Roman" w:hint="default"/>
          <w:sz w:val="28"/>
          <w:szCs w:val="28"/>
        </w:rPr>
      </w:pPr>
      <w:r>
        <w:rPr>
          <w:rFonts w:cs="Times New Roman" w:hint="default"/>
          <w:sz w:val="28"/>
          <w:szCs w:val="28"/>
        </w:rPr>
        <w:t>6</w:t>
      </w:r>
      <w:r>
        <w:rPr>
          <w:rFonts w:cs="Times New Roman" w:hint="default"/>
          <w:sz w:val="28"/>
          <w:szCs w:val="28"/>
        </w:rPr>
        <w:t>.2.5</w:t>
      </w:r>
      <w:r>
        <w:rPr>
          <w:rFonts w:cs="Times New Roman" w:hint="default"/>
          <w:sz w:val="28"/>
          <w:szCs w:val="28"/>
        </w:rPr>
        <w:t>植被现状</w:t>
      </w:r>
    </w:p>
    <w:p w:rsidR="00A46452" w:rsidRDefault="009A3928">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w:t>
      </w:r>
      <w:r>
        <w:rPr>
          <w:rFonts w:cs="Times New Roman" w:hint="default"/>
          <w:iCs/>
        </w:rPr>
        <w:t>.2.5.1</w:t>
      </w:r>
      <w:r>
        <w:rPr>
          <w:rFonts w:cs="Times New Roman" w:hint="default"/>
          <w:iCs/>
        </w:rPr>
        <w:t>植被分类原则及系统</w:t>
      </w:r>
    </w:p>
    <w:p w:rsidR="00A46452" w:rsidRDefault="009A3928">
      <w:pPr>
        <w:wordWrap w:val="0"/>
        <w:topLinePunct/>
        <w:ind w:firstLine="480"/>
        <w:rPr>
          <w:rFonts w:cs="Times New Roman"/>
          <w:kern w:val="0"/>
          <w:szCs w:val="20"/>
        </w:rPr>
      </w:pPr>
      <w:r>
        <w:rPr>
          <w:rFonts w:cs="Times New Roman"/>
          <w:kern w:val="0"/>
          <w:szCs w:val="20"/>
        </w:rPr>
        <w:t>依据《中国植被》和《新疆植被及其利用》等重要植被专著中采用的分类系统，遵循群落学－生态学的分类原则，采用</w:t>
      </w:r>
      <w:r>
        <w:rPr>
          <w:rFonts w:cs="Times New Roman"/>
          <w:kern w:val="0"/>
          <w:szCs w:val="20"/>
        </w:rPr>
        <w:t>3</w:t>
      </w:r>
      <w:r>
        <w:rPr>
          <w:rFonts w:cs="Times New Roman"/>
          <w:kern w:val="0"/>
          <w:szCs w:val="20"/>
        </w:rPr>
        <w:t>个主级分类单位，即植被型（高级分类单位）、群系（中级分类单位）和群丛（低级分类单位），各级再设亚级或辅助单位。</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1</w:t>
      </w:r>
      <w:r>
        <w:rPr>
          <w:rFonts w:cs="Times New Roman"/>
          <w:kern w:val="0"/>
          <w:szCs w:val="20"/>
        </w:rPr>
        <w:t>）植被高级分类单位－植被型以群落生态外貌特征为依据，群落外貌和结构主要决定于优势种或标志种以及与之伴生的相关植物的生活型。生活型的划分首先从演化形态学的角度分作木本、半木本、草本、叶状体植物等；以下按主轴木质化程度及寿命长短分出乔木、灌木、半灌木、多年生草本、一年生草本等类群；又按体态分针</w:t>
      </w:r>
      <w:r>
        <w:rPr>
          <w:rFonts w:cs="Times New Roman"/>
          <w:kern w:val="0"/>
          <w:szCs w:val="20"/>
        </w:rPr>
        <w:t>叶、阔叶、簇生叶、退化叶等；再下以发育节律分为常绿、落叶等等。一般群落主要结构单元中的优势种生活型相同或相似，对水热条件生态一致的植物群落联合为植被型。</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2</w:t>
      </w:r>
      <w:r>
        <w:rPr>
          <w:rFonts w:cs="Times New Roman"/>
          <w:kern w:val="0"/>
          <w:szCs w:val="20"/>
        </w:rPr>
        <w:t>）植被中级分类单位－群系在群落结构和外貌特征相同的前提下，以主要层优势种（建群种）或共建种为依据。群落的基本特征取决于群落主要层次的优势种或标志种，采用优势种或标志种为植被类型分类的基本原则，能够简明快速地判定植被类型。</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3</w:t>
      </w:r>
      <w:r>
        <w:rPr>
          <w:rFonts w:cs="Times New Roman"/>
          <w:kern w:val="0"/>
          <w:szCs w:val="20"/>
        </w:rPr>
        <w:t>）植被基本分类单位－群丛以群落种类组成（具有正常的植物种类）、群落结构、生态外貌、群落动态变化和生物生产力等特征相同为依据。通常将层片结构相同，各层片优势种或共优种（标志种）相同的植物群落，划归为同一群丛。</w:t>
      </w:r>
    </w:p>
    <w:p w:rsidR="00A46452" w:rsidRDefault="009A3928">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w:t>
      </w:r>
      <w:r>
        <w:rPr>
          <w:rFonts w:cs="Times New Roman" w:hint="default"/>
          <w:iCs/>
        </w:rPr>
        <w:t>.2.5.2</w:t>
      </w:r>
      <w:r>
        <w:rPr>
          <w:rFonts w:cs="Times New Roman" w:hint="default"/>
          <w:iCs/>
        </w:rPr>
        <w:t>区域自然植被区系类型</w:t>
      </w:r>
    </w:p>
    <w:p w:rsidR="00A46452" w:rsidRDefault="009A3928">
      <w:pPr>
        <w:wordWrap w:val="0"/>
        <w:topLinePunct/>
        <w:ind w:firstLine="480"/>
        <w:rPr>
          <w:rFonts w:cs="Times New Roman"/>
          <w:kern w:val="0"/>
          <w:szCs w:val="20"/>
        </w:rPr>
      </w:pPr>
      <w:r>
        <w:rPr>
          <w:rFonts w:cs="Times New Roman"/>
          <w:kern w:val="0"/>
          <w:szCs w:val="20"/>
        </w:rPr>
        <w:t>1</w:t>
      </w:r>
      <w:r>
        <w:rPr>
          <w:rFonts w:cs="Times New Roman"/>
          <w:kern w:val="0"/>
          <w:szCs w:val="20"/>
        </w:rPr>
        <w:t>、植被区系类型</w:t>
      </w:r>
    </w:p>
    <w:p w:rsidR="00A46452" w:rsidRDefault="009A3928">
      <w:pPr>
        <w:wordWrap w:val="0"/>
        <w:topLinePunct/>
        <w:ind w:firstLine="480"/>
        <w:rPr>
          <w:rFonts w:cs="Times New Roman"/>
          <w:kern w:val="0"/>
          <w:szCs w:val="20"/>
        </w:rPr>
      </w:pPr>
      <w:r>
        <w:rPr>
          <w:rFonts w:cs="Times New Roman"/>
          <w:kern w:val="0"/>
          <w:szCs w:val="20"/>
        </w:rPr>
        <w:t>按中国植被区划，工程区属于塔里木盆地裸露荒漠、稀疏灌木、半灌木荒漠区。基于野外调查资料，参照《中国植被志》编研标准，评价区内有植被的地区共存在四种植被型组，即灌丛、草甸、荒漠和农业植被。</w:t>
      </w:r>
    </w:p>
    <w:p w:rsidR="00A46452" w:rsidRDefault="009A3928">
      <w:pPr>
        <w:ind w:firstLine="480"/>
        <w:rPr>
          <w:rFonts w:cs="Times New Roman"/>
          <w:szCs w:val="24"/>
        </w:rPr>
      </w:pPr>
      <w:r>
        <w:rPr>
          <w:rFonts w:cs="Times New Roman"/>
          <w:szCs w:val="24"/>
        </w:rPr>
        <w:t>图木舒克市在中国植物地理区划中属于新疆荒漠区（亚非荒漠区的</w:t>
      </w:r>
      <w:r>
        <w:rPr>
          <w:rFonts w:cs="Times New Roman"/>
          <w:szCs w:val="24"/>
        </w:rPr>
        <w:t>一部分），东疆～南疆荒漠亚区（亚中荒漠亚区的一部分），塔里木荒漠省，喀什荒漠亚省。图木舒克市植被类型总体上为温带干旱荒漠灌丛植被，自然植被主要分布有合头草、猪毛菜、盐爪爪、琵琶柴、梭梭柴、花花柴、疏叶骆驼刺、红柳、假木贼、芦苇等，植被盖度约</w:t>
      </w:r>
      <w:r>
        <w:rPr>
          <w:rFonts w:cs="Times New Roman"/>
          <w:szCs w:val="24"/>
        </w:rPr>
        <w:t>5.0</w:t>
      </w:r>
      <w:r>
        <w:rPr>
          <w:rFonts w:cs="Times New Roman"/>
          <w:szCs w:val="24"/>
        </w:rPr>
        <w:t>%</w:t>
      </w:r>
      <w:r>
        <w:rPr>
          <w:rFonts w:cs="Times New Roman"/>
          <w:szCs w:val="24"/>
        </w:rPr>
        <w:t>～</w:t>
      </w:r>
      <w:r>
        <w:rPr>
          <w:rFonts w:cs="Times New Roman"/>
          <w:szCs w:val="24"/>
        </w:rPr>
        <w:t>15.0%</w:t>
      </w:r>
      <w:r>
        <w:rPr>
          <w:rFonts w:cs="Times New Roman"/>
          <w:szCs w:val="24"/>
        </w:rPr>
        <w:t>。农业植被主要有冬小麦、玉米、棉花、马铃薯、油菜、豌豆等，有桃、梨、杏、枣、无花果、石榴等果树。人工植被有人工草地、人工林地，以侧柏、新疆圆柏、新疆杨、旱杨和柽柳为主。</w:t>
      </w:r>
    </w:p>
    <w:p w:rsidR="00A46452" w:rsidRDefault="009A3928">
      <w:pPr>
        <w:wordWrap w:val="0"/>
        <w:topLinePunct/>
        <w:ind w:firstLine="480"/>
        <w:rPr>
          <w:rFonts w:cs="Times New Roman"/>
          <w:kern w:val="0"/>
          <w:szCs w:val="20"/>
        </w:rPr>
      </w:pPr>
      <w:r>
        <w:rPr>
          <w:rFonts w:cs="Times New Roman"/>
          <w:szCs w:val="24"/>
        </w:rPr>
        <w:t>项目</w:t>
      </w:r>
      <w:r>
        <w:rPr>
          <w:rFonts w:cs="Times New Roman"/>
          <w:szCs w:val="24"/>
        </w:rPr>
        <w:t>区植被类型总体上为温带干旱荒漠灌丛植被，自然植被主要分布有盐爪爪、梭梭柴、花花</w:t>
      </w:r>
      <w:r>
        <w:rPr>
          <w:rFonts w:cs="Times New Roman"/>
          <w:szCs w:val="24"/>
        </w:rPr>
        <w:t>柴、疏叶骆驼刺、柽柳、芦苇等，草灌丛荒漠的植被盖度约</w:t>
      </w:r>
      <w:r>
        <w:rPr>
          <w:rFonts w:cs="Times New Roman"/>
          <w:szCs w:val="24"/>
        </w:rPr>
        <w:t>5.0</w:t>
      </w:r>
      <w:r>
        <w:rPr>
          <w:rFonts w:cs="Times New Roman"/>
          <w:szCs w:val="24"/>
        </w:rPr>
        <w:t>%</w:t>
      </w:r>
      <w:r>
        <w:rPr>
          <w:rFonts w:cs="Times New Roman"/>
          <w:szCs w:val="24"/>
        </w:rPr>
        <w:t>～</w:t>
      </w:r>
      <w:r>
        <w:rPr>
          <w:rFonts w:cs="Times New Roman"/>
          <w:szCs w:val="24"/>
        </w:rPr>
        <w:t>15.0%</w:t>
      </w:r>
      <w:r>
        <w:rPr>
          <w:rFonts w:cs="Times New Roman"/>
          <w:szCs w:val="24"/>
        </w:rPr>
        <w:t>。</w:t>
      </w:r>
      <w:r>
        <w:rPr>
          <w:rFonts w:cs="Times New Roman"/>
          <w:kern w:val="0"/>
          <w:szCs w:val="20"/>
        </w:rPr>
        <w:t>项目评价区植被类型图见图</w:t>
      </w:r>
      <w:r>
        <w:rPr>
          <w:rFonts w:cs="Times New Roman" w:hint="eastAsia"/>
          <w:kern w:val="0"/>
          <w:szCs w:val="20"/>
        </w:rPr>
        <w:t>6</w:t>
      </w:r>
      <w:r>
        <w:rPr>
          <w:rFonts w:cs="Times New Roman"/>
          <w:kern w:val="0"/>
          <w:szCs w:val="20"/>
        </w:rPr>
        <w:t>.2-</w:t>
      </w:r>
      <w:r>
        <w:rPr>
          <w:rFonts w:cs="Times New Roman" w:hint="eastAsia"/>
          <w:kern w:val="0"/>
          <w:szCs w:val="20"/>
        </w:rPr>
        <w:t>4</w:t>
      </w:r>
      <w:r>
        <w:rPr>
          <w:rFonts w:cs="Times New Roman"/>
          <w:kern w:val="0"/>
          <w:szCs w:val="20"/>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4</w:t>
      </w:r>
      <w:r>
        <w:rPr>
          <w:rFonts w:ascii="Times New Roman" w:hAnsi="Times New Roman" w:cs="Times New Roman" w:hint="default"/>
          <w:sz w:val="24"/>
          <w:szCs w:val="24"/>
        </w:rPr>
        <w:t xml:space="preserve">                 </w:t>
      </w:r>
      <w:r>
        <w:rPr>
          <w:rFonts w:ascii="Times New Roman" w:hAnsi="Times New Roman" w:cs="Times New Roman" w:hint="default"/>
          <w:sz w:val="24"/>
          <w:szCs w:val="24"/>
        </w:rPr>
        <w:t>区域主要</w:t>
      </w:r>
      <w:r>
        <w:rPr>
          <w:rFonts w:ascii="Times New Roman" w:hAnsi="Times New Roman" w:cs="Times New Roman" w:hint="default"/>
          <w:kern w:val="0"/>
          <w:sz w:val="24"/>
          <w:szCs w:val="24"/>
        </w:rPr>
        <w:t>野生植物名录及分布</w:t>
      </w:r>
    </w:p>
    <w:tbl>
      <w:tblPr>
        <w:tblW w:w="0"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0"/>
        <w:gridCol w:w="3973"/>
        <w:gridCol w:w="1701"/>
        <w:gridCol w:w="783"/>
        <w:gridCol w:w="1258"/>
      </w:tblGrid>
      <w:tr w:rsidR="00A46452">
        <w:trPr>
          <w:trHeight w:val="32"/>
        </w:trPr>
        <w:tc>
          <w:tcPr>
            <w:tcW w:w="700" w:type="dxa"/>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序号</w:t>
            </w:r>
          </w:p>
        </w:tc>
        <w:tc>
          <w:tcPr>
            <w:tcW w:w="3973" w:type="dxa"/>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学名（拉丁名）</w:t>
            </w:r>
          </w:p>
        </w:tc>
        <w:tc>
          <w:tcPr>
            <w:tcW w:w="1701" w:type="dxa"/>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中文名称</w:t>
            </w:r>
          </w:p>
        </w:tc>
        <w:tc>
          <w:tcPr>
            <w:tcW w:w="783" w:type="dxa"/>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占地范围</w:t>
            </w:r>
          </w:p>
        </w:tc>
        <w:tc>
          <w:tcPr>
            <w:tcW w:w="1258" w:type="dxa"/>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备注</w:t>
            </w: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Karelinia caspia (Pall.) Less.</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花花柴</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Alhagi sparsifolia Shap.</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骆驼刺</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3</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Lycium ruthenicum Murray</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黑果枸杞</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国家</w:t>
            </w:r>
            <w:r>
              <w:rPr>
                <w:rFonts w:cs="Times New Roman"/>
                <w:sz w:val="18"/>
                <w:szCs w:val="18"/>
              </w:rPr>
              <w:t>Ⅱ</w:t>
            </w:r>
            <w:r>
              <w:rPr>
                <w:rFonts w:cs="Times New Roman"/>
                <w:sz w:val="18"/>
                <w:szCs w:val="18"/>
              </w:rPr>
              <w:t>级</w:t>
            </w: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4</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xml:space="preserve">Glycyrrhiza </w:t>
            </w:r>
            <w:r>
              <w:rPr>
                <w:rFonts w:cs="Times New Roman"/>
                <w:i/>
                <w:sz w:val="18"/>
                <w:szCs w:val="18"/>
              </w:rPr>
              <w:t>uralensis Fisch</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甘草</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国家</w:t>
            </w:r>
            <w:r>
              <w:rPr>
                <w:rFonts w:cs="Times New Roman"/>
                <w:sz w:val="18"/>
                <w:szCs w:val="18"/>
              </w:rPr>
              <w:t>Ⅱ</w:t>
            </w:r>
            <w:r>
              <w:rPr>
                <w:rFonts w:cs="Times New Roman"/>
                <w:sz w:val="18"/>
                <w:szCs w:val="18"/>
              </w:rPr>
              <w:t>级</w:t>
            </w: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5</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Apocynum venetum Linn.</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罗布麻</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6</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Calamagrostis epigeios (Linn.) Roth</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拂子茅</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7</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Suaeda glauca (Bunge) Bunge</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碱蓬</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8</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Kalidium foliatum (Pall.) Moq.</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盐爪爪</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9</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Sophora alopecuroides Linn.</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苦豆子</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10</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xml:space="preserve">Phragmites australis (Cav.) </w:t>
            </w:r>
            <w:r>
              <w:rPr>
                <w:rFonts w:cs="Times New Roman"/>
                <w:i/>
                <w:sz w:val="18"/>
                <w:szCs w:val="18"/>
              </w:rPr>
              <w:t>Trin. ex Steud.</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芦苇</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11</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Halocnemum strobilaceum (Pall.) Bieb.</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盐节木</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12</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Halostachys caspica C.A.Mey. ex Schrenk</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盐穗木</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13</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Achnatherum splendens (Trin.) Nevski</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芨芨草</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14</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Nitraria tangutorum Bobr.</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白刺</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15</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Populus euphratica Oliv.</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胡杨</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16</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xml:space="preserve">Tamarix </w:t>
            </w:r>
            <w:r>
              <w:rPr>
                <w:rFonts w:cs="Times New Roman"/>
                <w:i/>
                <w:sz w:val="18"/>
                <w:szCs w:val="18"/>
              </w:rPr>
              <w:t>hispida Willd.</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刚毛柽柳</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17</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 Tamarix laxa Willd.</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短穗柽柳</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18</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Peganum harmala Linn.</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骆驼蓬</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19</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Calligonum mongolicum Turcz.</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沙拐枣</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20</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Calligonum roborovskii A. Los.</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塔里木沙拐枣</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21</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Populus pruinosa Schrenk</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pacing w:val="5"/>
                <w:sz w:val="21"/>
              </w:rPr>
              <w:t>灰胡杨</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自治区</w:t>
            </w:r>
            <w:r>
              <w:rPr>
                <w:rFonts w:cs="Times New Roman"/>
                <w:sz w:val="18"/>
                <w:szCs w:val="18"/>
              </w:rPr>
              <w:t>Ⅰ</w:t>
            </w:r>
            <w:r>
              <w:rPr>
                <w:rFonts w:cs="Times New Roman"/>
                <w:sz w:val="18"/>
                <w:szCs w:val="18"/>
              </w:rPr>
              <w:t>级</w:t>
            </w: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22</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Cistanche deserticola Ma</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肉苁蓉</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国家</w:t>
            </w:r>
            <w:r>
              <w:rPr>
                <w:rFonts w:cs="Times New Roman"/>
                <w:sz w:val="18"/>
                <w:szCs w:val="18"/>
              </w:rPr>
              <w:t>Ⅱ</w:t>
            </w:r>
            <w:r>
              <w:rPr>
                <w:rFonts w:cs="Times New Roman"/>
                <w:sz w:val="18"/>
                <w:szCs w:val="18"/>
              </w:rPr>
              <w:t>级</w:t>
            </w: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23</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Reaumuria songonica (PalL)Maxim.</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琵琶柴</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24</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Ephedra przewalskii Stapf</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膜果麻黄</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25</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Tamarix ramosissima Ledeb.</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多枝柽柳</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26</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Launaea polydichotoma (Ostenf.)</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河西菊</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27</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Launaea polydichotoma (Ostenf.)</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白麻</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28</w:t>
            </w:r>
          </w:p>
        </w:tc>
        <w:tc>
          <w:tcPr>
            <w:tcW w:w="397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Launaea polydichotoma (Ostenf.)</w:t>
            </w:r>
          </w:p>
        </w:tc>
        <w:tc>
          <w:tcPr>
            <w:tcW w:w="1701"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铃铛刺</w:t>
            </w:r>
          </w:p>
        </w:tc>
        <w:tc>
          <w:tcPr>
            <w:tcW w:w="78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r w:rsidR="00A46452">
        <w:trPr>
          <w:trHeight w:val="32"/>
        </w:trPr>
        <w:tc>
          <w:tcPr>
            <w:tcW w:w="700" w:type="dxa"/>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29</w:t>
            </w:r>
          </w:p>
        </w:tc>
        <w:tc>
          <w:tcPr>
            <w:tcW w:w="3973"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i/>
                <w:sz w:val="18"/>
                <w:szCs w:val="18"/>
              </w:rPr>
            </w:pPr>
            <w:r>
              <w:rPr>
                <w:rFonts w:cs="Times New Roman"/>
                <w:i/>
                <w:sz w:val="18"/>
                <w:szCs w:val="18"/>
              </w:rPr>
              <w:t>Phragmites australis</w:t>
            </w:r>
          </w:p>
        </w:tc>
        <w:tc>
          <w:tcPr>
            <w:tcW w:w="1701"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芦苇</w:t>
            </w:r>
          </w:p>
        </w:tc>
        <w:tc>
          <w:tcPr>
            <w:tcW w:w="783"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idowControl/>
              <w:topLinePunct/>
              <w:spacing w:line="240" w:lineRule="exact"/>
              <w:ind w:firstLineChars="0" w:firstLine="0"/>
              <w:jc w:val="center"/>
              <w:rPr>
                <w:rFonts w:cs="Times New Roman"/>
                <w:sz w:val="18"/>
                <w:szCs w:val="18"/>
              </w:rPr>
            </w:pPr>
            <w:r>
              <w:rPr>
                <w:rFonts w:cs="Times New Roman"/>
                <w:sz w:val="18"/>
                <w:szCs w:val="18"/>
              </w:rPr>
              <w:t>+</w:t>
            </w:r>
          </w:p>
        </w:tc>
        <w:tc>
          <w:tcPr>
            <w:tcW w:w="1258" w:type="dxa"/>
            <w:tcBorders>
              <w:top w:val="single" w:sz="4" w:space="0" w:color="auto"/>
              <w:left w:val="single" w:sz="4" w:space="0" w:color="auto"/>
              <w:bottom w:val="single" w:sz="12" w:space="0" w:color="auto"/>
              <w:right w:val="single" w:sz="12" w:space="0" w:color="auto"/>
              <w:tl2br w:val="nil"/>
              <w:tr2bl w:val="nil"/>
            </w:tcBorders>
            <w:vAlign w:val="center"/>
          </w:tcPr>
          <w:p w:rsidR="00A46452" w:rsidRDefault="00A46452">
            <w:pPr>
              <w:widowControl/>
              <w:topLinePunct/>
              <w:spacing w:line="240" w:lineRule="exact"/>
              <w:ind w:firstLineChars="0" w:firstLine="0"/>
              <w:jc w:val="center"/>
              <w:rPr>
                <w:rFonts w:cs="Times New Roman"/>
                <w:sz w:val="18"/>
                <w:szCs w:val="18"/>
              </w:rPr>
            </w:pPr>
          </w:p>
        </w:tc>
      </w:tr>
    </w:tbl>
    <w:p w:rsidR="00A46452" w:rsidRDefault="009A3928">
      <w:pPr>
        <w:widowControl/>
        <w:topLinePunct/>
        <w:spacing w:line="240" w:lineRule="auto"/>
        <w:ind w:firstLineChars="0" w:firstLine="0"/>
        <w:jc w:val="left"/>
        <w:rPr>
          <w:rFonts w:cs="Times New Roman"/>
          <w:kern w:val="0"/>
          <w:sz w:val="21"/>
        </w:rPr>
      </w:pPr>
      <w:r>
        <w:rPr>
          <w:rFonts w:cs="Times New Roman"/>
          <w:kern w:val="0"/>
          <w:sz w:val="21"/>
        </w:rPr>
        <w:t>注：</w:t>
      </w:r>
      <w:r>
        <w:rPr>
          <w:rFonts w:cs="Times New Roman"/>
          <w:kern w:val="0"/>
          <w:sz w:val="21"/>
        </w:rPr>
        <w:t>+</w:t>
      </w:r>
      <w:r>
        <w:rPr>
          <w:rFonts w:cs="Times New Roman"/>
          <w:kern w:val="0"/>
          <w:sz w:val="21"/>
        </w:rPr>
        <w:t>常见种</w:t>
      </w:r>
      <w:r>
        <w:rPr>
          <w:rFonts w:cs="Times New Roman"/>
          <w:kern w:val="0"/>
          <w:sz w:val="21"/>
        </w:rPr>
        <w:t xml:space="preserve">          -</w:t>
      </w:r>
      <w:r>
        <w:rPr>
          <w:rFonts w:cs="Times New Roman"/>
          <w:kern w:val="0"/>
          <w:sz w:val="21"/>
        </w:rPr>
        <w:t>偶见种</w:t>
      </w:r>
    </w:p>
    <w:p w:rsidR="00A46452" w:rsidRDefault="009A3928">
      <w:pPr>
        <w:wordWrap w:val="0"/>
        <w:topLinePunct/>
        <w:ind w:firstLine="480"/>
        <w:rPr>
          <w:rFonts w:cs="Times New Roman"/>
          <w:kern w:val="0"/>
          <w:szCs w:val="20"/>
        </w:rPr>
      </w:pPr>
      <w:r>
        <w:rPr>
          <w:rFonts w:cs="Times New Roman"/>
          <w:kern w:val="0"/>
          <w:szCs w:val="20"/>
        </w:rPr>
        <w:t>胡杨为高大乔木，可利用</w:t>
      </w:r>
      <w:r>
        <w:rPr>
          <w:rFonts w:cs="Times New Roman"/>
          <w:kern w:val="0"/>
          <w:szCs w:val="20"/>
        </w:rPr>
        <w:t>2m~6m</w:t>
      </w:r>
      <w:r>
        <w:rPr>
          <w:rFonts w:cs="Times New Roman"/>
          <w:kern w:val="0"/>
          <w:szCs w:val="20"/>
        </w:rPr>
        <w:t>左右的地下水，集中分布于老河道及古河泛流地带。一般呈条状或带状分布。随着河流改道的时间增长，地下水位更为下降，胡杨的生长状况越来越差，其中大部分中小树已枯死，仅少量大树存活的地段，由根蘖次生的胡杨亦全部枯死。因此，沿老河道可见枯林，其间点缀少量绿树的衰败景观。</w:t>
      </w:r>
    </w:p>
    <w:p w:rsidR="00A46452" w:rsidRDefault="009A3928">
      <w:pPr>
        <w:wordWrap w:val="0"/>
        <w:topLinePunct/>
        <w:ind w:firstLine="480"/>
        <w:rPr>
          <w:rFonts w:cs="Times New Roman"/>
          <w:kern w:val="0"/>
          <w:szCs w:val="20"/>
        </w:rPr>
      </w:pPr>
      <w:r>
        <w:rPr>
          <w:rFonts w:cs="Times New Roman"/>
          <w:kern w:val="0"/>
          <w:szCs w:val="20"/>
        </w:rPr>
        <w:t>灌木植物主要以利用</w:t>
      </w:r>
      <w:r>
        <w:rPr>
          <w:rFonts w:cs="Times New Roman"/>
          <w:kern w:val="0"/>
          <w:szCs w:val="20"/>
        </w:rPr>
        <w:t>4m~6m</w:t>
      </w:r>
      <w:r>
        <w:rPr>
          <w:rFonts w:cs="Times New Roman"/>
          <w:kern w:val="0"/>
          <w:szCs w:val="20"/>
        </w:rPr>
        <w:t>的地下水为主，且分布范围广泛。因不同的植物对环境条件的适应能力和方式不同，故分布区域有较大的区别，如：塔克拉玛干柽柳不仅能利用较深的地下水，而且抗沙埋的能力很强，使其成为茫茫沙海中为数不多的先锋植物。多枝柽柳、刚毛柽柳虽能利用一定深度的地下水，但不耐沙埋，因此只分布于沙漠边缘的低地或半固定沙丘上。塔克拉玛干沙拐枣具有相当长的水平根和很强的根蘖繁殖能力，不仅能利用地下水，而且可充分利用沙漠湿沙层水，因此，在沙漠中占有一席之地。较多地分布于丘间洼地，沙丘下部。</w:t>
      </w:r>
    </w:p>
    <w:p w:rsidR="00A46452" w:rsidRDefault="009A3928">
      <w:pPr>
        <w:wordWrap w:val="0"/>
        <w:topLinePunct/>
        <w:ind w:firstLine="480"/>
        <w:rPr>
          <w:rFonts w:cs="Times New Roman"/>
          <w:kern w:val="0"/>
          <w:szCs w:val="20"/>
        </w:rPr>
      </w:pPr>
      <w:r>
        <w:rPr>
          <w:rFonts w:cs="Times New Roman"/>
          <w:kern w:val="0"/>
          <w:szCs w:val="20"/>
        </w:rPr>
        <w:t>多年生草本植物主要以利</w:t>
      </w:r>
      <w:r>
        <w:rPr>
          <w:rFonts w:cs="Times New Roman"/>
          <w:kern w:val="0"/>
          <w:szCs w:val="20"/>
        </w:rPr>
        <w:t>用</w:t>
      </w:r>
      <w:r>
        <w:rPr>
          <w:rFonts w:cs="Times New Roman"/>
          <w:kern w:val="0"/>
          <w:szCs w:val="20"/>
        </w:rPr>
        <w:t>2m</w:t>
      </w:r>
      <w:r>
        <w:rPr>
          <w:rFonts w:cs="Times New Roman"/>
          <w:kern w:val="0"/>
          <w:szCs w:val="20"/>
        </w:rPr>
        <w:t>左右的浅层地下水为主，集中分布于丘间洼地或平坦低地，一般呈片状或条状分布。此类植物都具有较强的耐盐碱可正常生长、繁殖（根蘖），若地下水下降，则可造成片死亡。</w:t>
      </w:r>
    </w:p>
    <w:p w:rsidR="00A46452" w:rsidRDefault="009A3928">
      <w:pPr>
        <w:wordWrap w:val="0"/>
        <w:topLinePunct/>
        <w:ind w:firstLine="480"/>
        <w:rPr>
          <w:rFonts w:cs="Times New Roman"/>
          <w:kern w:val="0"/>
          <w:szCs w:val="20"/>
        </w:rPr>
      </w:pPr>
      <w:r>
        <w:rPr>
          <w:rFonts w:cs="Times New Roman"/>
          <w:kern w:val="0"/>
          <w:szCs w:val="20"/>
        </w:rPr>
        <w:t>一年生草本植物以利用天然降水为主，主要分布于丘间洼地，冲沟及落沙坡地段。沙漠中一年生草本的根系较发达，可充分利用降雨后渗入沙丘的湿沙层水分，使其能正常生长和完全生活周期。一年生草本种子具有很强的生命力，当环境条件不利，可多年保持其活力。若遇到适宜的条件，无论春、夏、秋季都可萌发生长。</w:t>
      </w:r>
    </w:p>
    <w:p w:rsidR="00A46452" w:rsidRDefault="009A3928">
      <w:pPr>
        <w:wordWrap w:val="0"/>
        <w:topLinePunct/>
        <w:ind w:firstLine="480"/>
        <w:rPr>
          <w:rFonts w:cs="Times New Roman"/>
          <w:kern w:val="0"/>
          <w:szCs w:val="20"/>
        </w:rPr>
      </w:pPr>
      <w:r>
        <w:rPr>
          <w:rFonts w:cs="Times New Roman"/>
          <w:kern w:val="0"/>
          <w:szCs w:val="20"/>
        </w:rPr>
        <w:t>综上所述，沿线植物分布具有以下特点：</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1</w:t>
      </w:r>
      <w:r>
        <w:rPr>
          <w:rFonts w:cs="Times New Roman"/>
          <w:kern w:val="0"/>
          <w:szCs w:val="20"/>
        </w:rPr>
        <w:t>）由沙漠边缘到腹地，</w:t>
      </w:r>
      <w:r>
        <w:rPr>
          <w:rFonts w:cs="Times New Roman"/>
          <w:kern w:val="0"/>
          <w:szCs w:val="20"/>
        </w:rPr>
        <w:t>随着地下水位降低，干旱程度加强，组成植物的耐旱性亦增强，如：沙漠腹地以超旱生的灌木（塔克拉玛干柽柳）为主，而沙漠边缘则多为胡杨，多枝柽柳及一年生草本。</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2</w:t>
      </w:r>
      <w:r>
        <w:rPr>
          <w:rFonts w:cs="Times New Roman"/>
          <w:kern w:val="0"/>
          <w:szCs w:val="20"/>
        </w:rPr>
        <w:t>）植物因利用水的方式不同，在沙漠中占据不同的部位的地域。深根型植物占据沙丘的中上部乃至顶部，如：塔克拉玛干柽柳；浅根型和水平根发达的植物则分布于丘间洼地、平地及沙丘中下部，如：多年生草本、塔克拉玛干沙拐枣等；利用短期降雨者则多分布于沙丘底部或能产生径流的丘间洼地或冲沟，如：一年生草本植物。</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3</w:t>
      </w:r>
      <w:r>
        <w:rPr>
          <w:rFonts w:cs="Times New Roman"/>
          <w:kern w:val="0"/>
          <w:szCs w:val="20"/>
        </w:rPr>
        <w:t>）依靠天然降水的植物，随着年间的水变化，在分布范围和数量上变幅较大，具有一定的不稳定性，如：一年生草本植物。</w:t>
      </w:r>
    </w:p>
    <w:p w:rsidR="00A46452" w:rsidRDefault="009A3928">
      <w:pPr>
        <w:wordWrap w:val="0"/>
        <w:topLinePunct/>
        <w:ind w:firstLine="480"/>
        <w:rPr>
          <w:rFonts w:cs="Times New Roman"/>
          <w:kern w:val="0"/>
          <w:szCs w:val="20"/>
        </w:rPr>
      </w:pPr>
      <w:r>
        <w:rPr>
          <w:rFonts w:cs="Times New Roman"/>
          <w:kern w:val="0"/>
          <w:szCs w:val="20"/>
        </w:rPr>
        <w:t>2</w:t>
      </w:r>
      <w:r>
        <w:rPr>
          <w:rFonts w:cs="Times New Roman"/>
          <w:kern w:val="0"/>
          <w:szCs w:val="20"/>
        </w:rPr>
        <w:t>、</w:t>
      </w:r>
      <w:r>
        <w:rPr>
          <w:rFonts w:cs="Times New Roman"/>
          <w:kern w:val="0"/>
          <w:szCs w:val="20"/>
        </w:rPr>
        <w:t>重点保护植被</w:t>
      </w:r>
    </w:p>
    <w:p w:rsidR="00A46452" w:rsidRDefault="009A3928">
      <w:pPr>
        <w:wordWrap w:val="0"/>
        <w:topLinePunct/>
        <w:ind w:firstLine="480"/>
        <w:rPr>
          <w:rFonts w:cs="Times New Roman"/>
          <w:kern w:val="0"/>
          <w:szCs w:val="20"/>
        </w:rPr>
      </w:pPr>
      <w:r>
        <w:rPr>
          <w:rFonts w:cs="Times New Roman"/>
          <w:kern w:val="0"/>
          <w:szCs w:val="20"/>
        </w:rPr>
        <w:t>根据《国家重点保护野生植物名录》（国家林业和草原局、农业农村部</w:t>
      </w:r>
      <w:r>
        <w:rPr>
          <w:rFonts w:cs="Times New Roman"/>
          <w:kern w:val="0"/>
          <w:szCs w:val="20"/>
        </w:rPr>
        <w:t>2021</w:t>
      </w:r>
      <w:r>
        <w:rPr>
          <w:rFonts w:cs="Times New Roman"/>
          <w:kern w:val="0"/>
          <w:szCs w:val="20"/>
        </w:rPr>
        <w:t>年第</w:t>
      </w:r>
      <w:r>
        <w:rPr>
          <w:rFonts w:cs="Times New Roman"/>
          <w:kern w:val="0"/>
          <w:szCs w:val="20"/>
        </w:rPr>
        <w:t>15</w:t>
      </w:r>
      <w:r>
        <w:rPr>
          <w:rFonts w:cs="Times New Roman"/>
          <w:kern w:val="0"/>
          <w:szCs w:val="20"/>
        </w:rPr>
        <w:t>号）、《新疆国家重点保护野生植物名录》（新疆维吾尔自治区林业和草原局与农业农村厅）、《新疆维吾尔自治区重点保护野生植物名录》（新政发〔</w:t>
      </w:r>
      <w:r>
        <w:rPr>
          <w:rFonts w:cs="Times New Roman"/>
          <w:kern w:val="0"/>
          <w:szCs w:val="20"/>
        </w:rPr>
        <w:t>2023</w:t>
      </w:r>
      <w:r>
        <w:rPr>
          <w:rFonts w:cs="Times New Roman"/>
          <w:kern w:val="0"/>
          <w:szCs w:val="20"/>
        </w:rPr>
        <w:t>〕</w:t>
      </w:r>
      <w:r>
        <w:rPr>
          <w:rFonts w:cs="Times New Roman"/>
          <w:kern w:val="0"/>
          <w:szCs w:val="20"/>
        </w:rPr>
        <w:t>63</w:t>
      </w:r>
      <w:r>
        <w:rPr>
          <w:rFonts w:cs="Times New Roman"/>
          <w:kern w:val="0"/>
          <w:szCs w:val="20"/>
        </w:rPr>
        <w:t>号），评价范围有保护植物</w:t>
      </w:r>
      <w:r>
        <w:rPr>
          <w:rFonts w:cs="Times New Roman"/>
          <w:kern w:val="0"/>
          <w:szCs w:val="20"/>
        </w:rPr>
        <w:t>4</w:t>
      </w:r>
      <w:r>
        <w:rPr>
          <w:rFonts w:cs="Times New Roman"/>
          <w:kern w:val="0"/>
          <w:szCs w:val="20"/>
        </w:rPr>
        <w:t>种：肉苁蓉、胀果甘草、黑果枸杞为国家</w:t>
      </w:r>
      <w:r>
        <w:rPr>
          <w:rFonts w:cs="Times New Roman"/>
          <w:kern w:val="0"/>
          <w:szCs w:val="20"/>
        </w:rPr>
        <w:t>Ⅱ</w:t>
      </w:r>
      <w:r>
        <w:rPr>
          <w:rFonts w:cs="Times New Roman"/>
          <w:kern w:val="0"/>
          <w:szCs w:val="20"/>
        </w:rPr>
        <w:t>级重点保护植物；灰胡杨为自治区</w:t>
      </w:r>
      <w:r>
        <w:rPr>
          <w:rFonts w:cs="Times New Roman"/>
          <w:kern w:val="0"/>
          <w:szCs w:val="20"/>
        </w:rPr>
        <w:t>Ⅰ</w:t>
      </w:r>
      <w:r>
        <w:rPr>
          <w:rFonts w:cs="Times New Roman"/>
          <w:kern w:val="0"/>
          <w:szCs w:val="20"/>
        </w:rPr>
        <w:t>级重点保护植物。这些保护植物在塔里木盆地均有广泛分布，属于</w:t>
      </w:r>
      <w:r>
        <w:rPr>
          <w:rFonts w:cs="Times New Roman"/>
          <w:kern w:val="0"/>
          <w:szCs w:val="20"/>
        </w:rPr>
        <w:t>地区广布种。评价区域内根据中国生物物种多样性红色名录（</w:t>
      </w:r>
      <w:r>
        <w:rPr>
          <w:rFonts w:cs="Times New Roman"/>
          <w:kern w:val="0"/>
          <w:szCs w:val="20"/>
        </w:rPr>
        <w:t>2021</w:t>
      </w:r>
      <w:r>
        <w:rPr>
          <w:rFonts w:cs="Times New Roman"/>
          <w:kern w:val="0"/>
          <w:szCs w:val="20"/>
        </w:rPr>
        <w:t>），保护的植被濒危等级属于数据缺乏或无危的情况，不属于濒危种类，也不属于极小群落野生植物。项目区评价区保护植物调查结果见表</w:t>
      </w:r>
      <w:r>
        <w:rPr>
          <w:rFonts w:cs="Times New Roman" w:hint="eastAsia"/>
          <w:kern w:val="0"/>
          <w:szCs w:val="20"/>
        </w:rPr>
        <w:t>6</w:t>
      </w:r>
      <w:r>
        <w:rPr>
          <w:rFonts w:cs="Times New Roman"/>
          <w:kern w:val="0"/>
          <w:szCs w:val="20"/>
        </w:rPr>
        <w:t>.2-</w:t>
      </w:r>
      <w:r>
        <w:rPr>
          <w:rFonts w:cs="Times New Roman" w:hint="eastAsia"/>
          <w:kern w:val="0"/>
          <w:szCs w:val="20"/>
        </w:rPr>
        <w:t>5</w:t>
      </w:r>
      <w:r>
        <w:rPr>
          <w:rFonts w:cs="Times New Roman"/>
          <w:kern w:val="0"/>
          <w:szCs w:val="20"/>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5</w:t>
      </w:r>
      <w:r>
        <w:rPr>
          <w:rFonts w:ascii="Times New Roman" w:hAnsi="Times New Roman" w:cs="Times New Roman" w:hint="default"/>
          <w:sz w:val="24"/>
          <w:szCs w:val="24"/>
        </w:rPr>
        <w:t xml:space="preserve">                 </w:t>
      </w:r>
      <w:r>
        <w:rPr>
          <w:rFonts w:ascii="Times New Roman" w:hAnsi="Times New Roman" w:cs="Times New Roman" w:hint="default"/>
          <w:sz w:val="24"/>
          <w:szCs w:val="24"/>
        </w:rPr>
        <w:t>重要野生植物调查结果统计表</w:t>
      </w:r>
    </w:p>
    <w:tbl>
      <w:tblPr>
        <w:tblStyle w:val="TableNormal"/>
        <w:tblW w:w="507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10"/>
        <w:gridCol w:w="1233"/>
        <w:gridCol w:w="1146"/>
        <w:gridCol w:w="672"/>
        <w:gridCol w:w="792"/>
        <w:gridCol w:w="1296"/>
        <w:gridCol w:w="1320"/>
        <w:gridCol w:w="1590"/>
      </w:tblGrid>
      <w:tr w:rsidR="00A46452">
        <w:trPr>
          <w:trHeight w:val="824"/>
        </w:trPr>
        <w:tc>
          <w:tcPr>
            <w:tcW w:w="242"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8"/>
                <w:sz w:val="21"/>
                <w:szCs w:val="21"/>
              </w:rPr>
              <w:t>序</w:t>
            </w:r>
            <w:r>
              <w:rPr>
                <w:spacing w:val="-38"/>
                <w:sz w:val="21"/>
                <w:szCs w:val="21"/>
              </w:rPr>
              <w:t xml:space="preserve"> </w:t>
            </w:r>
            <w:r>
              <w:rPr>
                <w:spacing w:val="8"/>
                <w:sz w:val="21"/>
                <w:szCs w:val="21"/>
              </w:rPr>
              <w:t>号</w:t>
            </w:r>
          </w:p>
        </w:tc>
        <w:tc>
          <w:tcPr>
            <w:tcW w:w="72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7"/>
                <w:sz w:val="21"/>
                <w:szCs w:val="21"/>
              </w:rPr>
              <w:t>物种名称</w:t>
            </w:r>
          </w:p>
        </w:tc>
        <w:tc>
          <w:tcPr>
            <w:tcW w:w="67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7"/>
                <w:sz w:val="21"/>
                <w:szCs w:val="21"/>
              </w:rPr>
              <w:t>保护级别</w:t>
            </w:r>
          </w:p>
        </w:tc>
        <w:tc>
          <w:tcPr>
            <w:tcW w:w="39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濒危</w:t>
            </w:r>
            <w:r>
              <w:rPr>
                <w:spacing w:val="3"/>
                <w:sz w:val="21"/>
                <w:szCs w:val="21"/>
              </w:rPr>
              <w:t>等级</w:t>
            </w:r>
          </w:p>
        </w:tc>
        <w:tc>
          <w:tcPr>
            <w:tcW w:w="46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6"/>
                <w:sz w:val="21"/>
                <w:szCs w:val="21"/>
              </w:rPr>
              <w:t>特有种</w:t>
            </w:r>
            <w:r>
              <w:rPr>
                <w:sz w:val="21"/>
                <w:szCs w:val="21"/>
              </w:rPr>
              <w:t>（是/否）</w:t>
            </w:r>
          </w:p>
        </w:tc>
        <w:tc>
          <w:tcPr>
            <w:tcW w:w="76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6"/>
                <w:sz w:val="21"/>
                <w:szCs w:val="21"/>
              </w:rPr>
              <w:t>极小种群</w:t>
            </w:r>
            <w:r>
              <w:rPr>
                <w:spacing w:val="12"/>
                <w:sz w:val="21"/>
                <w:szCs w:val="21"/>
              </w:rPr>
              <w:t>野生植物</w:t>
            </w:r>
            <w:r>
              <w:rPr>
                <w:sz w:val="21"/>
                <w:szCs w:val="21"/>
              </w:rPr>
              <w:t>（是/否）</w:t>
            </w:r>
          </w:p>
        </w:tc>
        <w:tc>
          <w:tcPr>
            <w:tcW w:w="780"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资料来源</w:t>
            </w:r>
          </w:p>
        </w:tc>
        <w:tc>
          <w:tcPr>
            <w:tcW w:w="939"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lang w:eastAsia="zh-CN"/>
              </w:rPr>
            </w:pPr>
            <w:r>
              <w:rPr>
                <w:spacing w:val="7"/>
                <w:sz w:val="21"/>
                <w:szCs w:val="21"/>
                <w:lang w:eastAsia="zh-CN"/>
              </w:rPr>
              <w:t>工程占用情况</w:t>
            </w:r>
          </w:p>
          <w:p w:rsidR="00A46452" w:rsidRDefault="009A3928">
            <w:pPr>
              <w:pStyle w:val="TableText"/>
              <w:wordWrap w:val="0"/>
              <w:topLinePunct/>
              <w:spacing w:line="240" w:lineRule="auto"/>
              <w:ind w:firstLineChars="0" w:firstLine="0"/>
              <w:jc w:val="center"/>
              <w:rPr>
                <w:sz w:val="21"/>
                <w:szCs w:val="21"/>
                <w:lang w:eastAsia="zh-CN"/>
              </w:rPr>
            </w:pPr>
            <w:r>
              <w:rPr>
                <w:spacing w:val="3"/>
                <w:sz w:val="21"/>
                <w:szCs w:val="21"/>
                <w:lang w:eastAsia="zh-CN"/>
              </w:rPr>
              <w:t>（是/否）</w:t>
            </w:r>
          </w:p>
        </w:tc>
      </w:tr>
      <w:tr w:rsidR="00A46452">
        <w:trPr>
          <w:trHeight w:val="276"/>
        </w:trPr>
        <w:tc>
          <w:tcPr>
            <w:tcW w:w="242"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lang w:eastAsia="en-US"/>
              </w:rPr>
            </w:pPr>
            <w:r>
              <w:rPr>
                <w:rFonts w:eastAsia="Times New Roman" w:cs="Times New Roman"/>
                <w:lang w:eastAsia="en-US"/>
              </w:rPr>
              <w:t>1</w:t>
            </w:r>
          </w:p>
        </w:tc>
        <w:tc>
          <w:tcPr>
            <w:tcW w:w="72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肉苁蓉</w:t>
            </w:r>
          </w:p>
        </w:tc>
        <w:tc>
          <w:tcPr>
            <w:tcW w:w="67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2"/>
                <w:sz w:val="21"/>
                <w:szCs w:val="21"/>
              </w:rPr>
              <w:t>国家</w:t>
            </w:r>
            <w:r>
              <w:rPr>
                <w:spacing w:val="2"/>
                <w:sz w:val="21"/>
                <w:szCs w:val="21"/>
                <w:lang w:eastAsia="zh-CN"/>
              </w:rPr>
              <w:t>Ⅱ</w:t>
            </w:r>
            <w:r>
              <w:rPr>
                <w:spacing w:val="2"/>
                <w:sz w:val="21"/>
                <w:szCs w:val="21"/>
              </w:rPr>
              <w:t>级</w:t>
            </w:r>
          </w:p>
        </w:tc>
        <w:tc>
          <w:tcPr>
            <w:tcW w:w="39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无危</w:t>
            </w:r>
          </w:p>
        </w:tc>
        <w:tc>
          <w:tcPr>
            <w:tcW w:w="46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6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80"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lang w:eastAsia="zh-CN"/>
              </w:rPr>
            </w:pPr>
            <w:r>
              <w:rPr>
                <w:spacing w:val="8"/>
                <w:sz w:val="21"/>
                <w:szCs w:val="21"/>
                <w:lang w:eastAsia="zh-CN"/>
              </w:rPr>
              <w:t>现场调查、文献记录、历史</w:t>
            </w:r>
            <w:r>
              <w:rPr>
                <w:spacing w:val="6"/>
                <w:sz w:val="21"/>
                <w:szCs w:val="21"/>
                <w:lang w:eastAsia="zh-CN"/>
              </w:rPr>
              <w:t>调查资料</w:t>
            </w:r>
          </w:p>
        </w:tc>
        <w:tc>
          <w:tcPr>
            <w:tcW w:w="939"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lang w:eastAsia="zh-CN"/>
              </w:rPr>
            </w:pPr>
            <w:r>
              <w:rPr>
                <w:spacing w:val="-13"/>
                <w:sz w:val="21"/>
                <w:szCs w:val="21"/>
                <w:lang w:eastAsia="zh-CN"/>
              </w:rPr>
              <w:t>否</w:t>
            </w:r>
          </w:p>
        </w:tc>
      </w:tr>
      <w:tr w:rsidR="00A46452">
        <w:trPr>
          <w:trHeight w:val="276"/>
        </w:trPr>
        <w:tc>
          <w:tcPr>
            <w:tcW w:w="242"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lang w:eastAsia="en-US"/>
              </w:rPr>
            </w:pPr>
            <w:r>
              <w:rPr>
                <w:rFonts w:eastAsia="Times New Roman" w:cs="Times New Roman"/>
                <w:lang w:eastAsia="en-US"/>
              </w:rPr>
              <w:t>2</w:t>
            </w:r>
          </w:p>
        </w:tc>
        <w:tc>
          <w:tcPr>
            <w:tcW w:w="72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7"/>
                <w:sz w:val="21"/>
                <w:szCs w:val="21"/>
              </w:rPr>
              <w:t>胀果甘草</w:t>
            </w:r>
          </w:p>
        </w:tc>
        <w:tc>
          <w:tcPr>
            <w:tcW w:w="67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2"/>
                <w:sz w:val="21"/>
                <w:szCs w:val="21"/>
              </w:rPr>
              <w:t>国家</w:t>
            </w:r>
            <w:r>
              <w:rPr>
                <w:spacing w:val="2"/>
                <w:sz w:val="21"/>
                <w:szCs w:val="21"/>
                <w:lang w:eastAsia="zh-CN"/>
              </w:rPr>
              <w:t>Ⅱ</w:t>
            </w:r>
            <w:r>
              <w:rPr>
                <w:spacing w:val="2"/>
                <w:sz w:val="21"/>
                <w:szCs w:val="21"/>
              </w:rPr>
              <w:t>级</w:t>
            </w:r>
          </w:p>
        </w:tc>
        <w:tc>
          <w:tcPr>
            <w:tcW w:w="39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无危</w:t>
            </w:r>
          </w:p>
        </w:tc>
        <w:tc>
          <w:tcPr>
            <w:tcW w:w="46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6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2"/>
                <w:szCs w:val="28"/>
                <w:lang w:eastAsia="en-US"/>
              </w:rPr>
            </w:pPr>
          </w:p>
        </w:tc>
        <w:tc>
          <w:tcPr>
            <w:tcW w:w="939"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22"/>
                <w:szCs w:val="28"/>
                <w:lang w:eastAsia="en-US"/>
              </w:rPr>
            </w:pPr>
            <w:r>
              <w:rPr>
                <w:rFonts w:cs="Times New Roman"/>
                <w:spacing w:val="-13"/>
                <w:sz w:val="22"/>
                <w:szCs w:val="28"/>
                <w:lang w:eastAsia="en-US"/>
              </w:rPr>
              <w:t>否</w:t>
            </w:r>
          </w:p>
        </w:tc>
      </w:tr>
      <w:tr w:rsidR="00A46452">
        <w:trPr>
          <w:trHeight w:val="282"/>
        </w:trPr>
        <w:tc>
          <w:tcPr>
            <w:tcW w:w="242" w:type="pct"/>
            <w:tcBorders>
              <w:tl2br w:val="nil"/>
              <w:tr2bl w:val="nil"/>
            </w:tcBorders>
            <w:vAlign w:val="center"/>
          </w:tcPr>
          <w:p w:rsidR="00A46452" w:rsidRDefault="009A3928">
            <w:pPr>
              <w:wordWrap w:val="0"/>
              <w:topLinePunct/>
              <w:spacing w:line="240" w:lineRule="auto"/>
              <w:ind w:firstLineChars="0" w:firstLine="0"/>
              <w:jc w:val="center"/>
              <w:rPr>
                <w:rFonts w:eastAsia="Times New Roman" w:cs="Times New Roman"/>
                <w:lang w:eastAsia="en-US"/>
              </w:rPr>
            </w:pPr>
            <w:r>
              <w:rPr>
                <w:rFonts w:eastAsia="Times New Roman" w:cs="Times New Roman"/>
                <w:lang w:eastAsia="en-US"/>
              </w:rPr>
              <w:t>3</w:t>
            </w:r>
          </w:p>
        </w:tc>
        <w:tc>
          <w:tcPr>
            <w:tcW w:w="72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5"/>
                <w:sz w:val="21"/>
                <w:szCs w:val="21"/>
              </w:rPr>
              <w:t>黑果枸杞</w:t>
            </w:r>
          </w:p>
        </w:tc>
        <w:tc>
          <w:tcPr>
            <w:tcW w:w="67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2"/>
                <w:sz w:val="21"/>
                <w:szCs w:val="21"/>
              </w:rPr>
              <w:t>国家</w:t>
            </w:r>
            <w:r>
              <w:rPr>
                <w:spacing w:val="2"/>
                <w:sz w:val="21"/>
                <w:szCs w:val="21"/>
                <w:lang w:eastAsia="zh-CN"/>
              </w:rPr>
              <w:t>Ⅱ</w:t>
            </w:r>
            <w:r>
              <w:rPr>
                <w:spacing w:val="2"/>
                <w:sz w:val="21"/>
                <w:szCs w:val="21"/>
              </w:rPr>
              <w:t>级</w:t>
            </w:r>
          </w:p>
        </w:tc>
        <w:tc>
          <w:tcPr>
            <w:tcW w:w="397"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pacing w:val="3"/>
                <w:sz w:val="21"/>
                <w:szCs w:val="21"/>
              </w:rPr>
              <w:t>无危</w:t>
            </w:r>
          </w:p>
        </w:tc>
        <w:tc>
          <w:tcPr>
            <w:tcW w:w="468"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66" w:type="pct"/>
            <w:tcBorders>
              <w:tl2br w:val="nil"/>
              <w:tr2bl w:val="nil"/>
            </w:tcBorders>
            <w:vAlign w:val="center"/>
          </w:tcPr>
          <w:p w:rsidR="00A46452" w:rsidRDefault="009A3928">
            <w:pPr>
              <w:pStyle w:val="TableText"/>
              <w:wordWrap w:val="0"/>
              <w:topLinePunct/>
              <w:spacing w:line="240" w:lineRule="auto"/>
              <w:ind w:firstLineChars="0" w:firstLine="0"/>
              <w:jc w:val="center"/>
              <w:rPr>
                <w:sz w:val="21"/>
                <w:szCs w:val="21"/>
              </w:rPr>
            </w:pPr>
            <w:r>
              <w:rPr>
                <w:sz w:val="21"/>
                <w:szCs w:val="21"/>
              </w:rPr>
              <w:t>否</w:t>
            </w:r>
          </w:p>
        </w:tc>
        <w:tc>
          <w:tcPr>
            <w:tcW w:w="7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2"/>
                <w:szCs w:val="28"/>
                <w:lang w:eastAsia="en-US"/>
              </w:rPr>
            </w:pPr>
          </w:p>
        </w:tc>
        <w:tc>
          <w:tcPr>
            <w:tcW w:w="939"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22"/>
                <w:szCs w:val="28"/>
                <w:lang w:eastAsia="en-US"/>
              </w:rPr>
            </w:pPr>
            <w:r>
              <w:rPr>
                <w:rFonts w:cs="Times New Roman"/>
                <w:spacing w:val="-13"/>
                <w:sz w:val="22"/>
                <w:szCs w:val="28"/>
                <w:lang w:eastAsia="en-US"/>
              </w:rPr>
              <w:t>否</w:t>
            </w:r>
          </w:p>
        </w:tc>
      </w:tr>
      <w:tr w:rsidR="00A46452">
        <w:trPr>
          <w:trHeight w:val="282"/>
        </w:trPr>
        <w:tc>
          <w:tcPr>
            <w:tcW w:w="242" w:type="pct"/>
            <w:tcBorders>
              <w:tl2br w:val="nil"/>
              <w:tr2bl w:val="nil"/>
            </w:tcBorders>
            <w:vAlign w:val="center"/>
          </w:tcPr>
          <w:p w:rsidR="00A46452" w:rsidRDefault="009A3928">
            <w:pPr>
              <w:wordWrap w:val="0"/>
              <w:topLinePunct/>
              <w:spacing w:line="240" w:lineRule="auto"/>
              <w:ind w:firstLineChars="0" w:firstLine="0"/>
              <w:jc w:val="center"/>
              <w:rPr>
                <w:rFonts w:cs="Times New Roman"/>
              </w:rPr>
            </w:pPr>
            <w:r>
              <w:rPr>
                <w:rFonts w:cs="Times New Roman"/>
              </w:rPr>
              <w:t>4</w:t>
            </w:r>
          </w:p>
        </w:tc>
        <w:tc>
          <w:tcPr>
            <w:tcW w:w="728" w:type="pct"/>
            <w:tcBorders>
              <w:tl2br w:val="nil"/>
              <w:tr2bl w:val="nil"/>
            </w:tcBorders>
            <w:vAlign w:val="center"/>
          </w:tcPr>
          <w:p w:rsidR="00A46452" w:rsidRDefault="009A3928">
            <w:pPr>
              <w:pStyle w:val="TableText"/>
              <w:wordWrap w:val="0"/>
              <w:topLinePunct/>
              <w:spacing w:line="240" w:lineRule="auto"/>
              <w:ind w:firstLineChars="0" w:firstLine="0"/>
              <w:jc w:val="center"/>
              <w:rPr>
                <w:rFonts w:eastAsia="宋体"/>
                <w:spacing w:val="5"/>
                <w:sz w:val="21"/>
                <w:szCs w:val="21"/>
                <w:lang w:eastAsia="zh-CN"/>
              </w:rPr>
            </w:pPr>
            <w:r>
              <w:rPr>
                <w:spacing w:val="5"/>
                <w:sz w:val="21"/>
                <w:szCs w:val="21"/>
                <w:lang w:eastAsia="zh-CN"/>
              </w:rPr>
              <w:t>灰胡杨</w:t>
            </w:r>
          </w:p>
        </w:tc>
        <w:tc>
          <w:tcPr>
            <w:tcW w:w="677" w:type="pct"/>
            <w:tcBorders>
              <w:tl2br w:val="nil"/>
              <w:tr2bl w:val="nil"/>
            </w:tcBorders>
            <w:vAlign w:val="center"/>
          </w:tcPr>
          <w:p w:rsidR="00A46452" w:rsidRDefault="009A3928">
            <w:pPr>
              <w:pStyle w:val="TableText"/>
              <w:wordWrap w:val="0"/>
              <w:topLinePunct/>
              <w:spacing w:line="240" w:lineRule="auto"/>
              <w:ind w:firstLineChars="0" w:firstLine="0"/>
              <w:jc w:val="center"/>
              <w:rPr>
                <w:rFonts w:eastAsia="宋体"/>
                <w:spacing w:val="2"/>
                <w:sz w:val="21"/>
                <w:szCs w:val="21"/>
                <w:lang w:eastAsia="zh-CN"/>
              </w:rPr>
            </w:pPr>
            <w:r>
              <w:rPr>
                <w:spacing w:val="2"/>
                <w:sz w:val="21"/>
                <w:szCs w:val="21"/>
                <w:lang w:eastAsia="zh-CN"/>
              </w:rPr>
              <w:t>自治区Ⅰ级</w:t>
            </w:r>
          </w:p>
        </w:tc>
        <w:tc>
          <w:tcPr>
            <w:tcW w:w="397" w:type="pct"/>
            <w:tcBorders>
              <w:tl2br w:val="nil"/>
              <w:tr2bl w:val="nil"/>
            </w:tcBorders>
            <w:vAlign w:val="center"/>
          </w:tcPr>
          <w:p w:rsidR="00A46452" w:rsidRDefault="009A3928">
            <w:pPr>
              <w:pStyle w:val="TableText"/>
              <w:wordWrap w:val="0"/>
              <w:topLinePunct/>
              <w:spacing w:line="240" w:lineRule="auto"/>
              <w:ind w:firstLineChars="0" w:firstLine="0"/>
              <w:jc w:val="center"/>
              <w:rPr>
                <w:rFonts w:eastAsia="宋体"/>
                <w:spacing w:val="3"/>
                <w:sz w:val="21"/>
                <w:szCs w:val="21"/>
                <w:lang w:eastAsia="zh-CN"/>
              </w:rPr>
            </w:pPr>
            <w:r>
              <w:rPr>
                <w:spacing w:val="3"/>
                <w:sz w:val="21"/>
                <w:szCs w:val="21"/>
                <w:lang w:eastAsia="zh-CN"/>
              </w:rPr>
              <w:t>渐危</w:t>
            </w:r>
          </w:p>
        </w:tc>
        <w:tc>
          <w:tcPr>
            <w:tcW w:w="468" w:type="pct"/>
            <w:tcBorders>
              <w:tl2br w:val="nil"/>
              <w:tr2bl w:val="nil"/>
            </w:tcBorders>
            <w:vAlign w:val="center"/>
          </w:tcPr>
          <w:p w:rsidR="00A46452" w:rsidRDefault="009A3928">
            <w:pPr>
              <w:pStyle w:val="TableText"/>
              <w:wordWrap w:val="0"/>
              <w:topLinePunct/>
              <w:spacing w:line="240" w:lineRule="auto"/>
              <w:ind w:firstLineChars="0" w:firstLine="0"/>
              <w:jc w:val="center"/>
              <w:rPr>
                <w:rFonts w:eastAsia="宋体"/>
                <w:sz w:val="21"/>
                <w:szCs w:val="21"/>
                <w:lang w:eastAsia="zh-CN"/>
              </w:rPr>
            </w:pPr>
            <w:r>
              <w:rPr>
                <w:sz w:val="21"/>
                <w:szCs w:val="21"/>
                <w:lang w:eastAsia="zh-CN"/>
              </w:rPr>
              <w:t>否</w:t>
            </w:r>
          </w:p>
        </w:tc>
        <w:tc>
          <w:tcPr>
            <w:tcW w:w="766" w:type="pct"/>
            <w:tcBorders>
              <w:tl2br w:val="nil"/>
              <w:tr2bl w:val="nil"/>
            </w:tcBorders>
            <w:vAlign w:val="center"/>
          </w:tcPr>
          <w:p w:rsidR="00A46452" w:rsidRDefault="009A3928">
            <w:pPr>
              <w:pStyle w:val="TableText"/>
              <w:wordWrap w:val="0"/>
              <w:topLinePunct/>
              <w:spacing w:line="240" w:lineRule="auto"/>
              <w:ind w:firstLineChars="0" w:firstLine="0"/>
              <w:jc w:val="center"/>
              <w:rPr>
                <w:rFonts w:eastAsia="宋体"/>
                <w:sz w:val="21"/>
                <w:szCs w:val="21"/>
                <w:lang w:eastAsia="zh-CN"/>
              </w:rPr>
            </w:pPr>
            <w:r>
              <w:rPr>
                <w:sz w:val="21"/>
                <w:szCs w:val="21"/>
                <w:lang w:eastAsia="zh-CN"/>
              </w:rPr>
              <w:t>否</w:t>
            </w:r>
          </w:p>
        </w:tc>
        <w:tc>
          <w:tcPr>
            <w:tcW w:w="780" w:type="pct"/>
            <w:vMerge/>
            <w:tcBorders>
              <w:tl2br w:val="nil"/>
              <w:tr2bl w:val="nil"/>
            </w:tcBorders>
            <w:vAlign w:val="center"/>
          </w:tcPr>
          <w:p w:rsidR="00A46452" w:rsidRDefault="00A46452">
            <w:pPr>
              <w:wordWrap w:val="0"/>
              <w:topLinePunct/>
              <w:spacing w:line="240" w:lineRule="auto"/>
              <w:ind w:firstLineChars="0" w:firstLine="0"/>
              <w:jc w:val="center"/>
              <w:rPr>
                <w:rFonts w:cs="Times New Roman"/>
                <w:sz w:val="22"/>
                <w:szCs w:val="28"/>
                <w:lang w:eastAsia="en-US"/>
              </w:rPr>
            </w:pPr>
          </w:p>
        </w:tc>
        <w:tc>
          <w:tcPr>
            <w:tcW w:w="939" w:type="pct"/>
            <w:tcBorders>
              <w:tl2br w:val="nil"/>
              <w:tr2bl w:val="nil"/>
            </w:tcBorders>
            <w:vAlign w:val="center"/>
          </w:tcPr>
          <w:p w:rsidR="00A46452" w:rsidRDefault="009A3928">
            <w:pPr>
              <w:wordWrap w:val="0"/>
              <w:topLinePunct/>
              <w:spacing w:line="240" w:lineRule="auto"/>
              <w:ind w:firstLineChars="0" w:firstLine="0"/>
              <w:jc w:val="center"/>
              <w:rPr>
                <w:rFonts w:cs="Times New Roman"/>
                <w:spacing w:val="-13"/>
                <w:sz w:val="22"/>
                <w:szCs w:val="28"/>
              </w:rPr>
            </w:pPr>
            <w:r>
              <w:rPr>
                <w:rFonts w:cs="Times New Roman"/>
                <w:spacing w:val="-13"/>
                <w:sz w:val="22"/>
                <w:szCs w:val="28"/>
              </w:rPr>
              <w:t>否</w:t>
            </w:r>
          </w:p>
        </w:tc>
      </w:tr>
    </w:tbl>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1</w:t>
      </w:r>
      <w:r>
        <w:rPr>
          <w:rFonts w:cs="Times New Roman"/>
          <w:kern w:val="0"/>
          <w:szCs w:val="20"/>
        </w:rPr>
        <w:t>）肉苁蓉</w:t>
      </w:r>
    </w:p>
    <w:p w:rsidR="00A46452" w:rsidRDefault="009A3928">
      <w:pPr>
        <w:wordWrap w:val="0"/>
        <w:topLinePunct/>
        <w:ind w:firstLine="480"/>
        <w:rPr>
          <w:rFonts w:cs="Times New Roman"/>
          <w:kern w:val="0"/>
          <w:szCs w:val="20"/>
        </w:rPr>
      </w:pPr>
      <w:r>
        <w:rPr>
          <w:rFonts w:cs="Times New Roman"/>
          <w:kern w:val="0"/>
          <w:szCs w:val="20"/>
        </w:rPr>
        <w:t>肉苁蓉，拉丁学名（</w:t>
      </w:r>
      <w:r>
        <w:rPr>
          <w:rFonts w:cs="Times New Roman"/>
          <w:i/>
          <w:iCs/>
          <w:kern w:val="0"/>
          <w:szCs w:val="20"/>
        </w:rPr>
        <w:t>Cistanche deserticola</w:t>
      </w:r>
      <w:r>
        <w:rPr>
          <w:rFonts w:cs="Times New Roman"/>
          <w:kern w:val="0"/>
          <w:szCs w:val="20"/>
        </w:rPr>
        <w:t>），肉苁蓉属列当科濒危种，别名大芸、苁蓉、查干告亚（蒙语）。肉苁蓉是一种寄生在沙漠灌木柽柳、梭梭根部的寄生植物，从寄主植物根部中吸取养分及水分。素有</w:t>
      </w:r>
      <w:r>
        <w:rPr>
          <w:rFonts w:cs="Times New Roman"/>
          <w:kern w:val="0"/>
          <w:szCs w:val="20"/>
        </w:rPr>
        <w:t>“</w:t>
      </w:r>
      <w:r>
        <w:rPr>
          <w:rFonts w:cs="Times New Roman"/>
          <w:kern w:val="0"/>
          <w:szCs w:val="20"/>
        </w:rPr>
        <w:t>沙漠人参</w:t>
      </w:r>
      <w:r>
        <w:rPr>
          <w:rFonts w:cs="Times New Roman"/>
          <w:kern w:val="0"/>
          <w:szCs w:val="20"/>
        </w:rPr>
        <w:t>”</w:t>
      </w:r>
      <w:r>
        <w:rPr>
          <w:rFonts w:cs="Times New Roman"/>
          <w:kern w:val="0"/>
          <w:szCs w:val="20"/>
        </w:rPr>
        <w:t>之美誉，具有极高的药用价值，是中国传统的名贵中药材。喜生于轻度盐渍化的松软沙地上，一般生长在沙地或半固定沙丘、干涸河床、湖盆低地等，生境条件很差。公路经过的沙漠段柽柳灌丛中有分布，现场调查中未见。</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2</w:t>
      </w:r>
      <w:r>
        <w:rPr>
          <w:rFonts w:cs="Times New Roman"/>
          <w:kern w:val="0"/>
          <w:szCs w:val="20"/>
        </w:rPr>
        <w:t>）胀果甘草</w:t>
      </w:r>
    </w:p>
    <w:p w:rsidR="00A46452" w:rsidRDefault="009A3928">
      <w:pPr>
        <w:wordWrap w:val="0"/>
        <w:topLinePunct/>
        <w:ind w:firstLine="480"/>
        <w:rPr>
          <w:rFonts w:cs="Times New Roman"/>
          <w:kern w:val="0"/>
          <w:szCs w:val="20"/>
        </w:rPr>
      </w:pPr>
      <w:r>
        <w:rPr>
          <w:rFonts w:cs="Times New Roman"/>
          <w:kern w:val="0"/>
          <w:szCs w:val="20"/>
        </w:rPr>
        <w:t>胀果甘草，拉丁学名（</w:t>
      </w:r>
      <w:r>
        <w:rPr>
          <w:rFonts w:cs="Times New Roman"/>
          <w:i/>
          <w:iCs/>
          <w:kern w:val="0"/>
          <w:szCs w:val="20"/>
        </w:rPr>
        <w:t>Glycyrrhiza  inflata</w:t>
      </w:r>
      <w:r>
        <w:rPr>
          <w:rFonts w:cs="Times New Roman"/>
          <w:kern w:val="0"/>
          <w:szCs w:val="20"/>
        </w:rPr>
        <w:t>），被子植物，豆科，多年生草本，高</w:t>
      </w:r>
      <w:r>
        <w:rPr>
          <w:rFonts w:cs="Times New Roman"/>
          <w:kern w:val="0"/>
          <w:szCs w:val="20"/>
        </w:rPr>
        <w:t>30cm</w:t>
      </w:r>
      <w:r>
        <w:rPr>
          <w:rFonts w:cs="Times New Roman"/>
          <w:kern w:val="0"/>
          <w:szCs w:val="20"/>
        </w:rPr>
        <w:t>～</w:t>
      </w:r>
      <w:r>
        <w:rPr>
          <w:rFonts w:cs="Times New Roman"/>
          <w:kern w:val="0"/>
          <w:szCs w:val="20"/>
        </w:rPr>
        <w:t>80cm</w:t>
      </w:r>
      <w:r>
        <w:rPr>
          <w:rFonts w:cs="Times New Roman"/>
          <w:kern w:val="0"/>
          <w:szCs w:val="20"/>
        </w:rPr>
        <w:t>，叶面绿色，光亮。边缘起伏。总状花序腋生，较松散，花紫色。荚果紫红色，长椭圆形，饱满。生于盐渍化砂地。胀果甘草随地下水位、土壤含盐和土壤质地的变化，可以与多种耐盐植物组成不同的群落。在砂质或砂壤质轻盐化草甸土上，地下水深</w:t>
      </w:r>
      <w:r>
        <w:rPr>
          <w:rFonts w:cs="Times New Roman"/>
          <w:kern w:val="0"/>
          <w:szCs w:val="20"/>
        </w:rPr>
        <w:t>1m</w:t>
      </w:r>
      <w:r>
        <w:rPr>
          <w:rFonts w:cs="Times New Roman"/>
          <w:kern w:val="0"/>
          <w:szCs w:val="20"/>
        </w:rPr>
        <w:t>～</w:t>
      </w:r>
      <w:r>
        <w:rPr>
          <w:rFonts w:cs="Times New Roman"/>
          <w:kern w:val="0"/>
          <w:szCs w:val="20"/>
        </w:rPr>
        <w:t>2m</w:t>
      </w:r>
      <w:r>
        <w:rPr>
          <w:rFonts w:cs="Times New Roman"/>
          <w:kern w:val="0"/>
          <w:szCs w:val="20"/>
        </w:rPr>
        <w:t>，水土条件良好，形成茂密的群落，胀果甘草高可达</w:t>
      </w:r>
      <w:r>
        <w:rPr>
          <w:rFonts w:cs="Times New Roman"/>
          <w:kern w:val="0"/>
          <w:szCs w:val="20"/>
        </w:rPr>
        <w:t>1m</w:t>
      </w:r>
      <w:r>
        <w:rPr>
          <w:rFonts w:cs="Times New Roman"/>
          <w:kern w:val="0"/>
          <w:szCs w:val="20"/>
        </w:rPr>
        <w:t>。公路经过的河流两岸水土条件较好的灌丛、胡杨林及农田四周、灌渠两侧均有分布。</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3</w:t>
      </w:r>
      <w:r>
        <w:rPr>
          <w:rFonts w:cs="Times New Roman"/>
          <w:kern w:val="0"/>
          <w:szCs w:val="20"/>
        </w:rPr>
        <w:t>）黑果枸杞</w:t>
      </w:r>
    </w:p>
    <w:p w:rsidR="00A46452" w:rsidRDefault="009A3928">
      <w:pPr>
        <w:wordWrap w:val="0"/>
        <w:topLinePunct/>
        <w:ind w:firstLine="480"/>
        <w:rPr>
          <w:rFonts w:cs="Times New Roman"/>
          <w:kern w:val="0"/>
          <w:szCs w:val="20"/>
        </w:rPr>
      </w:pPr>
      <w:r>
        <w:rPr>
          <w:rFonts w:cs="Times New Roman"/>
          <w:kern w:val="0"/>
          <w:szCs w:val="20"/>
        </w:rPr>
        <w:t>黑果枸杞，拉丁学名（</w:t>
      </w:r>
      <w:r>
        <w:rPr>
          <w:rFonts w:cs="Times New Roman"/>
          <w:i/>
          <w:iCs/>
          <w:kern w:val="0"/>
          <w:szCs w:val="20"/>
        </w:rPr>
        <w:t>Lycium ruthenicum</w:t>
      </w:r>
      <w:r>
        <w:rPr>
          <w:rFonts w:cs="Times New Roman"/>
          <w:kern w:val="0"/>
          <w:szCs w:val="20"/>
        </w:rPr>
        <w:t>），是茄科枸杞属的灌木植物；茎多分枝，小枝顶端刺状；叶肥厚肉质，线状披针形或</w:t>
      </w:r>
      <w:r>
        <w:rPr>
          <w:rFonts w:cs="Times New Roman"/>
          <w:kern w:val="0"/>
          <w:szCs w:val="20"/>
        </w:rPr>
        <w:t>线状倒披针形，灰绿色，顶端钝圆；花萼窄钟状，果时稍增大成半球状；花冠漏斗状，浅紫色；雄蕊稍伸出，花部疏被绒毛；浆果球状，紫黑色；花期</w:t>
      </w:r>
      <w:r>
        <w:rPr>
          <w:rFonts w:cs="Times New Roman"/>
          <w:kern w:val="0"/>
          <w:szCs w:val="20"/>
        </w:rPr>
        <w:t>5-8</w:t>
      </w:r>
      <w:r>
        <w:rPr>
          <w:rFonts w:cs="Times New Roman"/>
          <w:kern w:val="0"/>
          <w:szCs w:val="20"/>
        </w:rPr>
        <w:t>月；果期</w:t>
      </w:r>
      <w:r>
        <w:rPr>
          <w:rFonts w:cs="Times New Roman"/>
          <w:kern w:val="0"/>
          <w:szCs w:val="20"/>
        </w:rPr>
        <w:t>8-10</w:t>
      </w:r>
      <w:r>
        <w:rPr>
          <w:rFonts w:cs="Times New Roman"/>
          <w:kern w:val="0"/>
          <w:szCs w:val="20"/>
        </w:rPr>
        <w:t>月。黑果枸杞的适应性很强，耐寒、耐高温、耐盐碱、耐干旱。喜光，全光照下发育健壮，在庇荫下生长细弱，花果极少。对土壤要求不严，沙土、沙壤土、粘土、盐碱地均可生长。</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4</w:t>
      </w:r>
      <w:r>
        <w:rPr>
          <w:rFonts w:cs="Times New Roman"/>
          <w:kern w:val="0"/>
          <w:szCs w:val="20"/>
        </w:rPr>
        <w:t>）灰胡杨</w:t>
      </w:r>
    </w:p>
    <w:p w:rsidR="00A46452" w:rsidRDefault="009A3928">
      <w:pPr>
        <w:wordWrap w:val="0"/>
        <w:topLinePunct/>
        <w:ind w:firstLine="480"/>
        <w:rPr>
          <w:rFonts w:cs="Times New Roman"/>
          <w:kern w:val="0"/>
          <w:szCs w:val="20"/>
        </w:rPr>
      </w:pPr>
      <w:r>
        <w:rPr>
          <w:rFonts w:cs="Times New Roman"/>
          <w:kern w:val="0"/>
          <w:szCs w:val="20"/>
        </w:rPr>
        <w:t>灰胡杨（</w:t>
      </w:r>
      <w:r>
        <w:rPr>
          <w:rFonts w:cs="Times New Roman"/>
          <w:i/>
          <w:iCs/>
          <w:kern w:val="0"/>
          <w:szCs w:val="20"/>
        </w:rPr>
        <w:t>Populus pruinosa Schrenk</w:t>
      </w:r>
      <w:r>
        <w:rPr>
          <w:rFonts w:cs="Times New Roman"/>
          <w:kern w:val="0"/>
          <w:szCs w:val="20"/>
        </w:rPr>
        <w:t>）是杨柳科、杨属小乔木，高可达</w:t>
      </w:r>
      <w:r>
        <w:rPr>
          <w:rFonts w:cs="Times New Roman"/>
          <w:kern w:val="0"/>
          <w:szCs w:val="20"/>
        </w:rPr>
        <w:t>20m</w:t>
      </w:r>
      <w:r>
        <w:rPr>
          <w:rFonts w:cs="Times New Roman"/>
          <w:kern w:val="0"/>
          <w:szCs w:val="20"/>
        </w:rPr>
        <w:t>。属于先花后叶的树种，</w:t>
      </w:r>
      <w:r>
        <w:rPr>
          <w:rFonts w:cs="Times New Roman"/>
          <w:kern w:val="0"/>
          <w:szCs w:val="20"/>
        </w:rPr>
        <w:t>4</w:t>
      </w:r>
      <w:r>
        <w:rPr>
          <w:rFonts w:cs="Times New Roman"/>
          <w:kern w:val="0"/>
          <w:szCs w:val="20"/>
        </w:rPr>
        <w:t>月下旬至</w:t>
      </w:r>
      <w:r>
        <w:rPr>
          <w:rFonts w:cs="Times New Roman"/>
          <w:kern w:val="0"/>
          <w:szCs w:val="20"/>
        </w:rPr>
        <w:t>5</w:t>
      </w:r>
      <w:r>
        <w:rPr>
          <w:rFonts w:cs="Times New Roman"/>
          <w:kern w:val="0"/>
          <w:szCs w:val="20"/>
        </w:rPr>
        <w:t>月初为其扬花期，在这一时段需水量不大，地下水和降水基本能</w:t>
      </w:r>
      <w:r>
        <w:rPr>
          <w:rFonts w:cs="Times New Roman"/>
          <w:kern w:val="0"/>
          <w:szCs w:val="20"/>
        </w:rPr>
        <w:t>满足其生长要求，</w:t>
      </w:r>
      <w:r>
        <w:rPr>
          <w:rFonts w:cs="Times New Roman"/>
          <w:kern w:val="0"/>
          <w:szCs w:val="20"/>
        </w:rPr>
        <w:t>5</w:t>
      </w:r>
      <w:r>
        <w:rPr>
          <w:rFonts w:cs="Times New Roman"/>
          <w:kern w:val="0"/>
          <w:szCs w:val="20"/>
        </w:rPr>
        <w:t>月中旬至</w:t>
      </w:r>
      <w:r>
        <w:rPr>
          <w:rFonts w:cs="Times New Roman"/>
          <w:kern w:val="0"/>
          <w:szCs w:val="20"/>
        </w:rPr>
        <w:t>8</w:t>
      </w:r>
      <w:r>
        <w:rPr>
          <w:rFonts w:cs="Times New Roman"/>
          <w:kern w:val="0"/>
          <w:szCs w:val="20"/>
        </w:rPr>
        <w:t>月中旬进入积累营养的旺盛生长期，需要较多水分。进入</w:t>
      </w:r>
      <w:r>
        <w:rPr>
          <w:rFonts w:cs="Times New Roman"/>
          <w:kern w:val="0"/>
          <w:szCs w:val="20"/>
        </w:rPr>
        <w:t>8</w:t>
      </w:r>
      <w:r>
        <w:rPr>
          <w:rFonts w:cs="Times New Roman"/>
          <w:kern w:val="0"/>
          <w:szCs w:val="20"/>
        </w:rPr>
        <w:t>月下旬果实成熟开始落种，此时需要漫流的地表水配合种子才能着床。进入</w:t>
      </w:r>
      <w:r>
        <w:rPr>
          <w:rFonts w:cs="Times New Roman"/>
          <w:kern w:val="0"/>
          <w:szCs w:val="20"/>
        </w:rPr>
        <w:t>9</w:t>
      </w:r>
      <w:r>
        <w:rPr>
          <w:rFonts w:cs="Times New Roman"/>
          <w:kern w:val="0"/>
          <w:szCs w:val="20"/>
        </w:rPr>
        <w:t>月至</w:t>
      </w:r>
      <w:r>
        <w:rPr>
          <w:rFonts w:cs="Times New Roman"/>
          <w:kern w:val="0"/>
          <w:szCs w:val="20"/>
        </w:rPr>
        <w:t>10</w:t>
      </w:r>
      <w:r>
        <w:rPr>
          <w:rFonts w:cs="Times New Roman"/>
          <w:kern w:val="0"/>
          <w:szCs w:val="20"/>
        </w:rPr>
        <w:t>月中旬生长速度减缓，需水量明显下降灰胡杨适应于温带矮半灌木荒漠和灌木荒漠环境。它具有耐干旱、耐盐碱、抗风沙等优良特性，能够在极端环境下生长。自</w:t>
      </w:r>
      <w:r>
        <w:rPr>
          <w:rFonts w:cs="Times New Roman"/>
          <w:kern w:val="0"/>
          <w:szCs w:val="20"/>
        </w:rPr>
        <w:t>10</w:t>
      </w:r>
      <w:r>
        <w:rPr>
          <w:rFonts w:cs="Times New Roman"/>
          <w:kern w:val="0"/>
          <w:szCs w:val="20"/>
        </w:rPr>
        <w:t>月下旬开始落叶，进入漫长的冬季休眠期，基本不需要水分。</w:t>
      </w:r>
      <w:r>
        <w:rPr>
          <w:rFonts w:cs="Times New Roman"/>
          <w:b/>
          <w:bCs/>
          <w:kern w:val="0"/>
          <w:szCs w:val="20"/>
        </w:rPr>
        <w:t>目前根据</w:t>
      </w:r>
      <w:r>
        <w:rPr>
          <w:rFonts w:cs="Times New Roman" w:hint="eastAsia"/>
          <w:b/>
          <w:bCs/>
          <w:kern w:val="0"/>
          <w:szCs w:val="20"/>
        </w:rPr>
        <w:t>项目</w:t>
      </w:r>
      <w:r>
        <w:rPr>
          <w:rFonts w:cs="Times New Roman"/>
          <w:b/>
          <w:bCs/>
          <w:kern w:val="0"/>
          <w:szCs w:val="20"/>
        </w:rPr>
        <w:t>林调</w:t>
      </w:r>
      <w:r>
        <w:rPr>
          <w:rFonts w:cs="Times New Roman" w:hint="eastAsia"/>
          <w:b/>
          <w:bCs/>
          <w:kern w:val="0"/>
          <w:szCs w:val="20"/>
        </w:rPr>
        <w:t>报告</w:t>
      </w:r>
      <w:r>
        <w:rPr>
          <w:rFonts w:cs="Times New Roman"/>
          <w:b/>
          <w:bCs/>
          <w:kern w:val="0"/>
          <w:szCs w:val="20"/>
        </w:rPr>
        <w:t>，项目占地区域涉及乔木</w:t>
      </w:r>
      <w:r>
        <w:rPr>
          <w:rFonts w:cs="Times New Roman" w:hint="eastAsia"/>
          <w:b/>
          <w:bCs/>
          <w:kern w:val="0"/>
          <w:szCs w:val="20"/>
        </w:rPr>
        <w:t>有</w:t>
      </w:r>
      <w:r>
        <w:rPr>
          <w:rFonts w:cs="Times New Roman"/>
          <w:b/>
          <w:bCs/>
          <w:kern w:val="0"/>
          <w:szCs w:val="20"/>
        </w:rPr>
        <w:t>胡杨</w:t>
      </w:r>
      <w:r>
        <w:rPr>
          <w:rFonts w:cs="Times New Roman" w:hint="eastAsia"/>
          <w:b/>
          <w:bCs/>
          <w:kern w:val="0"/>
          <w:szCs w:val="20"/>
        </w:rPr>
        <w:t>，</w:t>
      </w:r>
      <w:r>
        <w:rPr>
          <w:rFonts w:cs="Times New Roman" w:hint="eastAsia"/>
          <w:b/>
          <w:bCs/>
          <w:kern w:val="0"/>
          <w:szCs w:val="20"/>
        </w:rPr>
        <w:t>不涉及</w:t>
      </w:r>
      <w:r>
        <w:rPr>
          <w:rFonts w:cs="Times New Roman" w:hint="eastAsia"/>
          <w:b/>
          <w:bCs/>
          <w:kern w:val="0"/>
          <w:szCs w:val="20"/>
        </w:rPr>
        <w:t>自治区重点保护野生植物——灰胡杨</w:t>
      </w:r>
      <w:r>
        <w:rPr>
          <w:rFonts w:cs="Times New Roman"/>
          <w:b/>
          <w:bCs/>
          <w:kern w:val="0"/>
          <w:szCs w:val="20"/>
        </w:rPr>
        <w:t>。</w:t>
      </w:r>
      <w:r>
        <w:rPr>
          <w:rFonts w:cs="Times New Roman"/>
          <w:kern w:val="0"/>
          <w:szCs w:val="20"/>
        </w:rPr>
        <w:t>‌</w:t>
      </w:r>
    </w:p>
    <w:p w:rsidR="00A46452" w:rsidRDefault="009A3928">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w:t>
      </w:r>
      <w:r>
        <w:rPr>
          <w:rFonts w:cs="Times New Roman" w:hint="default"/>
          <w:iCs/>
        </w:rPr>
        <w:t>.2.5.3</w:t>
      </w:r>
      <w:r>
        <w:rPr>
          <w:rFonts w:cs="Times New Roman" w:hint="default"/>
          <w:iCs/>
        </w:rPr>
        <w:t>评价区植被分类系统</w:t>
      </w:r>
    </w:p>
    <w:p w:rsidR="00A46452" w:rsidRDefault="009A3928">
      <w:pPr>
        <w:wordWrap w:val="0"/>
        <w:topLinePunct/>
        <w:ind w:firstLine="480"/>
        <w:rPr>
          <w:rFonts w:cs="Times New Roman"/>
          <w:kern w:val="0"/>
          <w:szCs w:val="20"/>
        </w:rPr>
      </w:pPr>
      <w:r>
        <w:rPr>
          <w:rFonts w:cs="Times New Roman"/>
          <w:kern w:val="0"/>
          <w:szCs w:val="20"/>
        </w:rPr>
        <w:t>（</w:t>
      </w:r>
      <w:r>
        <w:rPr>
          <w:rFonts w:cs="Times New Roman"/>
          <w:kern w:val="0"/>
          <w:szCs w:val="20"/>
        </w:rPr>
        <w:t>1</w:t>
      </w:r>
      <w:r>
        <w:rPr>
          <w:rFonts w:cs="Times New Roman"/>
          <w:kern w:val="0"/>
          <w:szCs w:val="20"/>
        </w:rPr>
        <w:t>）主要植被类型及物种组成</w:t>
      </w:r>
    </w:p>
    <w:p w:rsidR="00A46452" w:rsidRDefault="009A3928">
      <w:pPr>
        <w:wordWrap w:val="0"/>
        <w:topLinePunct/>
        <w:adjustRightInd w:val="0"/>
        <w:snapToGrid w:val="0"/>
        <w:ind w:firstLine="480"/>
        <w:rPr>
          <w:rFonts w:cs="Times New Roman"/>
          <w:snapToGrid w:val="0"/>
          <w:lang w:val="zh-CN"/>
        </w:rPr>
      </w:pPr>
      <w:r>
        <w:rPr>
          <w:rFonts w:cs="Times New Roman"/>
          <w:kern w:val="0"/>
          <w:szCs w:val="20"/>
        </w:rPr>
        <w:t>根据野外实地调查，结合遥感卫星影像判读，并依据《新疆植被及其利用》的分类系统，</w:t>
      </w:r>
      <w:r>
        <w:rPr>
          <w:rFonts w:cs="Times New Roman"/>
          <w:snapToGrid w:val="0"/>
          <w:lang w:val="zh-CN"/>
        </w:rPr>
        <w:t>评价区范围内的天然植被类型主要为</w:t>
      </w:r>
      <w:r>
        <w:rPr>
          <w:rFonts w:cs="Times New Roman"/>
          <w:kern w:val="0"/>
          <w:szCs w:val="20"/>
        </w:rPr>
        <w:t>灌丛、草甸、荒漠和农业植被</w:t>
      </w:r>
      <w:r>
        <w:rPr>
          <w:rFonts w:cs="Times New Roman"/>
          <w:snapToGrid w:val="0"/>
          <w:lang w:val="zh-CN"/>
        </w:rPr>
        <w:t>。可划分为</w:t>
      </w:r>
      <w:r>
        <w:rPr>
          <w:rFonts w:cs="Times New Roman"/>
          <w:snapToGrid w:val="0"/>
          <w:lang w:val="zh-CN"/>
        </w:rPr>
        <w:t>3</w:t>
      </w:r>
      <w:r>
        <w:rPr>
          <w:rFonts w:cs="Times New Roman"/>
          <w:snapToGrid w:val="0"/>
          <w:lang w:val="zh-CN"/>
        </w:rPr>
        <w:t>个植被型组、</w:t>
      </w:r>
      <w:r>
        <w:rPr>
          <w:rFonts w:cs="Times New Roman"/>
          <w:snapToGrid w:val="0"/>
          <w:lang w:val="zh-CN"/>
        </w:rPr>
        <w:t>3</w:t>
      </w:r>
      <w:r>
        <w:rPr>
          <w:rFonts w:cs="Times New Roman"/>
          <w:snapToGrid w:val="0"/>
          <w:lang w:val="zh-CN"/>
        </w:rPr>
        <w:t>个植被型、</w:t>
      </w:r>
      <w:r>
        <w:rPr>
          <w:rFonts w:cs="Times New Roman"/>
          <w:snapToGrid w:val="0"/>
        </w:rPr>
        <w:t>3</w:t>
      </w:r>
      <w:r>
        <w:rPr>
          <w:rFonts w:cs="Times New Roman"/>
          <w:snapToGrid w:val="0"/>
          <w:lang w:val="zh-CN"/>
        </w:rPr>
        <w:t>个植被亚型、</w:t>
      </w:r>
      <w:r>
        <w:rPr>
          <w:rFonts w:cs="Times New Roman"/>
          <w:snapToGrid w:val="0"/>
        </w:rPr>
        <w:t>4</w:t>
      </w:r>
      <w:r>
        <w:rPr>
          <w:rFonts w:cs="Times New Roman"/>
          <w:snapToGrid w:val="0"/>
          <w:lang w:val="zh-CN"/>
        </w:rPr>
        <w:t>个群系。具体内容见表</w:t>
      </w:r>
      <w:r>
        <w:rPr>
          <w:rFonts w:cs="Times New Roman" w:hint="eastAsia"/>
          <w:snapToGrid w:val="0"/>
        </w:rPr>
        <w:t>6</w:t>
      </w:r>
      <w:r>
        <w:rPr>
          <w:rFonts w:cs="Times New Roman"/>
          <w:snapToGrid w:val="0"/>
          <w:lang w:val="zh-CN"/>
        </w:rPr>
        <w:t>.2-</w:t>
      </w:r>
      <w:r>
        <w:rPr>
          <w:rFonts w:cs="Times New Roman" w:hint="eastAsia"/>
          <w:snapToGrid w:val="0"/>
        </w:rPr>
        <w:t>6</w:t>
      </w:r>
      <w:r>
        <w:rPr>
          <w:rFonts w:cs="Times New Roman"/>
          <w:snapToGrid w:val="0"/>
          <w:lang w:val="zh-CN"/>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napToGrid w:val="0"/>
          <w:lang w:val="zh-CN"/>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6</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评价区范围内主要植物类型</w:t>
      </w:r>
    </w:p>
    <w:tbl>
      <w:tblPr>
        <w:tblStyle w:val="affff7"/>
        <w:tblW w:w="5000" w:type="pct"/>
        <w:jc w:val="center"/>
        <w:tblBorders>
          <w:insideH w:val="single" w:sz="6" w:space="0" w:color="auto"/>
          <w:insideV w:val="single" w:sz="6" w:space="0" w:color="auto"/>
        </w:tblBorders>
        <w:tblLook w:val="04A0" w:firstRow="1" w:lastRow="0" w:firstColumn="1" w:lastColumn="0" w:noHBand="0" w:noVBand="1"/>
      </w:tblPr>
      <w:tblGrid>
        <w:gridCol w:w="873"/>
        <w:gridCol w:w="909"/>
        <w:gridCol w:w="908"/>
        <w:gridCol w:w="903"/>
        <w:gridCol w:w="1034"/>
        <w:gridCol w:w="1812"/>
        <w:gridCol w:w="1097"/>
        <w:gridCol w:w="979"/>
      </w:tblGrid>
      <w:tr w:rsidR="00A46452">
        <w:trPr>
          <w:trHeight w:val="358"/>
          <w:jc w:val="center"/>
        </w:trPr>
        <w:tc>
          <w:tcPr>
            <w:tcW w:w="1046" w:type="pct"/>
            <w:gridSpan w:val="2"/>
            <w:vMerge w:val="restar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植被型组</w:t>
            </w:r>
          </w:p>
        </w:tc>
        <w:tc>
          <w:tcPr>
            <w:tcW w:w="533" w:type="pct"/>
            <w:vMerge w:val="restar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植被型</w:t>
            </w:r>
          </w:p>
        </w:tc>
        <w:tc>
          <w:tcPr>
            <w:tcW w:w="530" w:type="pct"/>
            <w:vMerge w:val="restar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植被亚型</w:t>
            </w:r>
          </w:p>
        </w:tc>
        <w:tc>
          <w:tcPr>
            <w:tcW w:w="607" w:type="pct"/>
            <w:vMerge w:val="restar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群系</w:t>
            </w:r>
          </w:p>
        </w:tc>
        <w:tc>
          <w:tcPr>
            <w:tcW w:w="1064" w:type="pct"/>
            <w:vMerge w:val="restar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分布区域</w:t>
            </w:r>
          </w:p>
        </w:tc>
        <w:tc>
          <w:tcPr>
            <w:tcW w:w="1219" w:type="pct"/>
            <w:gridSpan w:val="2"/>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工程占地面积</w:t>
            </w:r>
          </w:p>
        </w:tc>
      </w:tr>
      <w:tr w:rsidR="00A46452">
        <w:trPr>
          <w:trHeight w:val="358"/>
          <w:jc w:val="center"/>
        </w:trPr>
        <w:tc>
          <w:tcPr>
            <w:tcW w:w="1046" w:type="pct"/>
            <w:gridSpan w:val="2"/>
            <w:vMerge/>
          </w:tcPr>
          <w:p w:rsidR="00A46452" w:rsidRDefault="00A46452">
            <w:pPr>
              <w:wordWrap w:val="0"/>
              <w:topLinePunct/>
              <w:spacing w:line="240" w:lineRule="auto"/>
              <w:ind w:firstLineChars="0" w:firstLine="0"/>
              <w:jc w:val="center"/>
              <w:rPr>
                <w:rFonts w:eastAsiaTheme="minorEastAsia" w:cs="Times New Roman"/>
                <w:bCs/>
                <w:kern w:val="0"/>
                <w:sz w:val="21"/>
              </w:rPr>
            </w:pPr>
          </w:p>
        </w:tc>
        <w:tc>
          <w:tcPr>
            <w:tcW w:w="533" w:type="pct"/>
            <w:vMerge/>
          </w:tcPr>
          <w:p w:rsidR="00A46452" w:rsidRDefault="00A46452">
            <w:pPr>
              <w:wordWrap w:val="0"/>
              <w:topLinePunct/>
              <w:spacing w:line="240" w:lineRule="auto"/>
              <w:ind w:firstLineChars="0" w:firstLine="0"/>
              <w:jc w:val="center"/>
              <w:rPr>
                <w:rFonts w:eastAsiaTheme="minorEastAsia" w:cs="Times New Roman"/>
                <w:bCs/>
                <w:kern w:val="0"/>
                <w:sz w:val="21"/>
              </w:rPr>
            </w:pPr>
          </w:p>
        </w:tc>
        <w:tc>
          <w:tcPr>
            <w:tcW w:w="530" w:type="pct"/>
            <w:vMerge/>
          </w:tcPr>
          <w:p w:rsidR="00A46452" w:rsidRDefault="00A46452">
            <w:pPr>
              <w:wordWrap w:val="0"/>
              <w:topLinePunct/>
              <w:spacing w:line="240" w:lineRule="auto"/>
              <w:ind w:firstLineChars="0" w:firstLine="0"/>
              <w:jc w:val="center"/>
              <w:rPr>
                <w:rFonts w:eastAsiaTheme="minorEastAsia" w:cs="Times New Roman"/>
                <w:bCs/>
                <w:kern w:val="0"/>
                <w:sz w:val="21"/>
              </w:rPr>
            </w:pPr>
          </w:p>
        </w:tc>
        <w:tc>
          <w:tcPr>
            <w:tcW w:w="607" w:type="pct"/>
            <w:vMerge/>
          </w:tcPr>
          <w:p w:rsidR="00A46452" w:rsidRDefault="00A46452">
            <w:pPr>
              <w:wordWrap w:val="0"/>
              <w:topLinePunct/>
              <w:spacing w:line="240" w:lineRule="auto"/>
              <w:ind w:firstLineChars="0" w:firstLine="0"/>
              <w:jc w:val="center"/>
              <w:rPr>
                <w:rFonts w:eastAsiaTheme="minorEastAsia" w:cs="Times New Roman"/>
                <w:bCs/>
                <w:kern w:val="0"/>
                <w:sz w:val="21"/>
              </w:rPr>
            </w:pPr>
          </w:p>
        </w:tc>
        <w:tc>
          <w:tcPr>
            <w:tcW w:w="1064" w:type="pct"/>
            <w:vMerge/>
          </w:tcPr>
          <w:p w:rsidR="00A46452" w:rsidRDefault="00A46452">
            <w:pPr>
              <w:wordWrap w:val="0"/>
              <w:topLinePunct/>
              <w:spacing w:line="240" w:lineRule="auto"/>
              <w:ind w:firstLineChars="0" w:firstLine="0"/>
              <w:jc w:val="center"/>
              <w:rPr>
                <w:rFonts w:eastAsiaTheme="minorEastAsia" w:cs="Times New Roman"/>
                <w:bCs/>
                <w:kern w:val="0"/>
                <w:sz w:val="21"/>
              </w:rPr>
            </w:pPr>
          </w:p>
        </w:tc>
        <w:tc>
          <w:tcPr>
            <w:tcW w:w="644" w:type="pc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占地面积（</w:t>
            </w:r>
            <w:r>
              <w:rPr>
                <w:rFonts w:eastAsiaTheme="minorEastAsia" w:cs="Times New Roman"/>
                <w:bCs/>
                <w:kern w:val="0"/>
                <w:sz w:val="21"/>
              </w:rPr>
              <w:t>hm</w:t>
            </w:r>
            <w:r>
              <w:rPr>
                <w:rFonts w:eastAsiaTheme="minorEastAsia" w:cs="Times New Roman"/>
                <w:bCs/>
                <w:kern w:val="0"/>
                <w:sz w:val="21"/>
                <w:vertAlign w:val="superscript"/>
              </w:rPr>
              <w:t>2</w:t>
            </w:r>
            <w:r>
              <w:rPr>
                <w:rFonts w:eastAsiaTheme="minorEastAsia" w:cs="Times New Roman"/>
                <w:bCs/>
                <w:kern w:val="0"/>
                <w:sz w:val="21"/>
              </w:rPr>
              <w:t>）</w:t>
            </w:r>
          </w:p>
        </w:tc>
        <w:tc>
          <w:tcPr>
            <w:tcW w:w="574" w:type="pct"/>
          </w:tcPr>
          <w:p w:rsidR="00A46452" w:rsidRDefault="009A3928">
            <w:pPr>
              <w:wordWrap w:val="0"/>
              <w:topLinePunct/>
              <w:spacing w:line="240" w:lineRule="auto"/>
              <w:ind w:firstLineChars="0" w:firstLine="0"/>
              <w:jc w:val="center"/>
              <w:rPr>
                <w:rFonts w:eastAsiaTheme="minorEastAsia" w:cs="Times New Roman"/>
                <w:bCs/>
                <w:kern w:val="0"/>
                <w:sz w:val="21"/>
              </w:rPr>
            </w:pPr>
            <w:r>
              <w:rPr>
                <w:rFonts w:eastAsiaTheme="minorEastAsia" w:cs="Times New Roman"/>
                <w:bCs/>
                <w:kern w:val="0"/>
                <w:sz w:val="21"/>
              </w:rPr>
              <w:t>占用比例（</w:t>
            </w:r>
            <w:r>
              <w:rPr>
                <w:rFonts w:eastAsiaTheme="minorEastAsia" w:cs="Times New Roman"/>
                <w:bCs/>
                <w:kern w:val="0"/>
                <w:sz w:val="21"/>
              </w:rPr>
              <w:t>%</w:t>
            </w:r>
            <w:r>
              <w:rPr>
                <w:rFonts w:eastAsiaTheme="minorEastAsia" w:cs="Times New Roman"/>
                <w:bCs/>
                <w:kern w:val="0"/>
                <w:sz w:val="21"/>
              </w:rPr>
              <w:t>）</w:t>
            </w:r>
          </w:p>
        </w:tc>
      </w:tr>
      <w:tr w:rsidR="00A46452">
        <w:trPr>
          <w:trHeight w:val="252"/>
          <w:jc w:val="center"/>
        </w:trPr>
        <w:tc>
          <w:tcPr>
            <w:tcW w:w="512" w:type="pct"/>
            <w:vMerge w:val="restar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Ⅰ</w:t>
            </w:r>
            <w:r>
              <w:rPr>
                <w:rFonts w:eastAsiaTheme="minorEastAsia" w:cs="Times New Roman"/>
                <w:kern w:val="0"/>
                <w:sz w:val="21"/>
              </w:rPr>
              <w:t>、自然植被</w:t>
            </w:r>
          </w:p>
        </w:tc>
        <w:tc>
          <w:tcPr>
            <w:tcW w:w="534"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森林</w:t>
            </w:r>
          </w:p>
        </w:tc>
        <w:tc>
          <w:tcPr>
            <w:tcW w:w="533"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落叶阔叶林</w:t>
            </w:r>
          </w:p>
        </w:tc>
        <w:tc>
          <w:tcPr>
            <w:tcW w:w="530"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温带落叶小叶林</w:t>
            </w:r>
          </w:p>
        </w:tc>
        <w:tc>
          <w:tcPr>
            <w:tcW w:w="607"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胡杨群系</w:t>
            </w:r>
          </w:p>
        </w:tc>
        <w:tc>
          <w:tcPr>
            <w:tcW w:w="1064"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国家公益林</w:t>
            </w:r>
          </w:p>
        </w:tc>
        <w:tc>
          <w:tcPr>
            <w:tcW w:w="1097"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22.9712</w:t>
            </w:r>
          </w:p>
        </w:tc>
        <w:tc>
          <w:tcPr>
            <w:tcW w:w="979"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7.64</w:t>
            </w:r>
          </w:p>
        </w:tc>
      </w:tr>
      <w:tr w:rsidR="00A46452">
        <w:trPr>
          <w:trHeight w:val="104"/>
          <w:jc w:val="center"/>
        </w:trPr>
        <w:tc>
          <w:tcPr>
            <w:tcW w:w="512"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534"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灌丛</w:t>
            </w:r>
          </w:p>
        </w:tc>
        <w:tc>
          <w:tcPr>
            <w:tcW w:w="533"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灌丛植被</w:t>
            </w:r>
          </w:p>
        </w:tc>
        <w:tc>
          <w:tcPr>
            <w:tcW w:w="530"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荒漠</w:t>
            </w:r>
          </w:p>
        </w:tc>
        <w:tc>
          <w:tcPr>
            <w:tcW w:w="607"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多枝柽柳群系</w:t>
            </w:r>
          </w:p>
        </w:tc>
        <w:tc>
          <w:tcPr>
            <w:tcW w:w="1064"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沙地、灌区周围等荒漠区</w:t>
            </w:r>
          </w:p>
        </w:tc>
        <w:tc>
          <w:tcPr>
            <w:tcW w:w="1097"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35.43</w:t>
            </w:r>
          </w:p>
        </w:tc>
        <w:tc>
          <w:tcPr>
            <w:tcW w:w="979"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11.78</w:t>
            </w:r>
          </w:p>
        </w:tc>
      </w:tr>
      <w:tr w:rsidR="00A46452">
        <w:trPr>
          <w:trHeight w:val="597"/>
          <w:jc w:val="center"/>
        </w:trPr>
        <w:tc>
          <w:tcPr>
            <w:tcW w:w="512"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534" w:type="pct"/>
            <w:vMerge w:val="restar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草甸</w:t>
            </w:r>
          </w:p>
        </w:tc>
        <w:tc>
          <w:tcPr>
            <w:tcW w:w="533" w:type="pct"/>
            <w:vMerge w:val="restar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草甸植被</w:t>
            </w:r>
          </w:p>
        </w:tc>
        <w:tc>
          <w:tcPr>
            <w:tcW w:w="530" w:type="pct"/>
            <w:vMerge w:val="restar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低地、河漫滩盐化草甸</w:t>
            </w:r>
          </w:p>
        </w:tc>
        <w:tc>
          <w:tcPr>
            <w:tcW w:w="607" w:type="pct"/>
            <w:shd w:val="clear" w:color="auto" w:fill="auto"/>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芦苇</w:t>
            </w:r>
          </w:p>
        </w:tc>
        <w:tc>
          <w:tcPr>
            <w:tcW w:w="1064" w:type="pct"/>
            <w:shd w:val="clear" w:color="auto" w:fill="auto"/>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盐碱草地及荒地</w:t>
            </w:r>
          </w:p>
        </w:tc>
        <w:tc>
          <w:tcPr>
            <w:tcW w:w="1097"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41.7</w:t>
            </w:r>
          </w:p>
        </w:tc>
        <w:tc>
          <w:tcPr>
            <w:tcW w:w="979"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13.86</w:t>
            </w:r>
          </w:p>
        </w:tc>
      </w:tr>
      <w:tr w:rsidR="00A46452">
        <w:trPr>
          <w:trHeight w:val="266"/>
          <w:jc w:val="center"/>
        </w:trPr>
        <w:tc>
          <w:tcPr>
            <w:tcW w:w="512"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534"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533"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530"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607" w:type="pct"/>
            <w:shd w:val="clear" w:color="auto" w:fill="auto"/>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骆驼刺</w:t>
            </w:r>
          </w:p>
        </w:tc>
        <w:tc>
          <w:tcPr>
            <w:tcW w:w="1064" w:type="pct"/>
            <w:shd w:val="clear" w:color="auto" w:fill="auto"/>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沙地及荒地</w:t>
            </w:r>
          </w:p>
        </w:tc>
        <w:tc>
          <w:tcPr>
            <w:tcW w:w="1097"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56.21</w:t>
            </w:r>
          </w:p>
        </w:tc>
        <w:tc>
          <w:tcPr>
            <w:tcW w:w="979"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18.69</w:t>
            </w:r>
          </w:p>
        </w:tc>
      </w:tr>
      <w:tr w:rsidR="00A46452">
        <w:trPr>
          <w:trHeight w:val="386"/>
          <w:jc w:val="center"/>
        </w:trPr>
        <w:tc>
          <w:tcPr>
            <w:tcW w:w="512" w:type="pct"/>
            <w:vMerge w:val="restar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Ⅱ</w:t>
            </w:r>
            <w:r>
              <w:rPr>
                <w:rFonts w:eastAsiaTheme="minorEastAsia" w:cs="Times New Roman"/>
                <w:kern w:val="0"/>
                <w:sz w:val="21"/>
              </w:rPr>
              <w:t>、人工植被</w:t>
            </w:r>
          </w:p>
        </w:tc>
        <w:tc>
          <w:tcPr>
            <w:tcW w:w="3268" w:type="pct"/>
            <w:gridSpan w:val="5"/>
          </w:tcPr>
          <w:p w:rsidR="00A46452" w:rsidRDefault="009A3928">
            <w:pPr>
              <w:wordWrap w:val="0"/>
              <w:topLinePunct/>
              <w:spacing w:line="240" w:lineRule="auto"/>
              <w:ind w:firstLineChars="0" w:firstLine="0"/>
              <w:rPr>
                <w:rFonts w:eastAsiaTheme="minorEastAsia" w:cs="Times New Roman"/>
                <w:kern w:val="0"/>
                <w:sz w:val="21"/>
              </w:rPr>
            </w:pPr>
            <w:r>
              <w:rPr>
                <w:rFonts w:eastAsiaTheme="minorEastAsia" w:cs="Times New Roman"/>
                <w:kern w:val="0"/>
                <w:sz w:val="21"/>
              </w:rPr>
              <w:t>一、人工林</w:t>
            </w:r>
          </w:p>
        </w:tc>
        <w:tc>
          <w:tcPr>
            <w:tcW w:w="1097"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80.75</w:t>
            </w:r>
          </w:p>
        </w:tc>
        <w:tc>
          <w:tcPr>
            <w:tcW w:w="979"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26.84</w:t>
            </w:r>
          </w:p>
        </w:tc>
      </w:tr>
      <w:tr w:rsidR="00A46452">
        <w:trPr>
          <w:trHeight w:val="266"/>
          <w:jc w:val="center"/>
        </w:trPr>
        <w:tc>
          <w:tcPr>
            <w:tcW w:w="512" w:type="pct"/>
            <w:vMerge/>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3268" w:type="pct"/>
            <w:gridSpan w:val="5"/>
          </w:tcPr>
          <w:p w:rsidR="00A46452" w:rsidRDefault="009A3928">
            <w:pPr>
              <w:wordWrap w:val="0"/>
              <w:topLinePunct/>
              <w:spacing w:line="240" w:lineRule="auto"/>
              <w:ind w:firstLineChars="0" w:firstLine="0"/>
              <w:rPr>
                <w:rFonts w:eastAsiaTheme="minorEastAsia" w:cs="Times New Roman"/>
                <w:kern w:val="0"/>
                <w:sz w:val="21"/>
              </w:rPr>
            </w:pPr>
            <w:r>
              <w:rPr>
                <w:rFonts w:eastAsiaTheme="minorEastAsia" w:cs="Times New Roman"/>
                <w:kern w:val="0"/>
                <w:sz w:val="21"/>
              </w:rPr>
              <w:t>二、耕地</w:t>
            </w:r>
          </w:p>
        </w:tc>
        <w:tc>
          <w:tcPr>
            <w:tcW w:w="1097"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34.27</w:t>
            </w:r>
          </w:p>
        </w:tc>
        <w:tc>
          <w:tcPr>
            <w:tcW w:w="979"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11.39</w:t>
            </w:r>
          </w:p>
        </w:tc>
      </w:tr>
      <w:tr w:rsidR="00A46452">
        <w:trPr>
          <w:trHeight w:val="632"/>
          <w:jc w:val="center"/>
        </w:trPr>
        <w:tc>
          <w:tcPr>
            <w:tcW w:w="512" w:type="pct"/>
          </w:tcPr>
          <w:p w:rsidR="00A46452" w:rsidRDefault="009A3928">
            <w:pPr>
              <w:wordWrap w:val="0"/>
              <w:topLinePunct/>
              <w:spacing w:line="240" w:lineRule="auto"/>
              <w:ind w:firstLineChars="0" w:firstLine="0"/>
              <w:jc w:val="center"/>
              <w:rPr>
                <w:rFonts w:eastAsiaTheme="minorEastAsia" w:cs="Times New Roman"/>
                <w:kern w:val="0"/>
                <w:sz w:val="21"/>
              </w:rPr>
            </w:pPr>
            <w:r>
              <w:rPr>
                <w:rFonts w:eastAsiaTheme="minorEastAsia" w:cs="Times New Roman"/>
                <w:kern w:val="0"/>
                <w:sz w:val="21"/>
              </w:rPr>
              <w:t>Ⅲ</w:t>
            </w:r>
            <w:r>
              <w:rPr>
                <w:rFonts w:eastAsiaTheme="minorEastAsia" w:cs="Times New Roman"/>
                <w:kern w:val="0"/>
                <w:sz w:val="21"/>
              </w:rPr>
              <w:t>、非植被</w:t>
            </w:r>
          </w:p>
        </w:tc>
        <w:tc>
          <w:tcPr>
            <w:tcW w:w="3268" w:type="pct"/>
            <w:gridSpan w:val="5"/>
          </w:tcPr>
          <w:p w:rsidR="00A46452" w:rsidRDefault="009A3928">
            <w:pPr>
              <w:wordWrap w:val="0"/>
              <w:topLinePunct/>
              <w:spacing w:line="240" w:lineRule="auto"/>
              <w:ind w:firstLineChars="0" w:firstLine="0"/>
              <w:rPr>
                <w:rFonts w:eastAsiaTheme="minorEastAsia" w:cs="Times New Roman"/>
                <w:kern w:val="0"/>
                <w:sz w:val="21"/>
              </w:rPr>
            </w:pPr>
            <w:r>
              <w:rPr>
                <w:rFonts w:eastAsiaTheme="minorEastAsia" w:cs="Times New Roman"/>
                <w:kern w:val="0"/>
                <w:sz w:val="21"/>
              </w:rPr>
              <w:t>一、建筑、交通用地、</w:t>
            </w:r>
            <w:r>
              <w:rPr>
                <w:rFonts w:eastAsiaTheme="minorEastAsia" w:cs="Times New Roman"/>
                <w:kern w:val="0"/>
                <w:sz w:val="21"/>
              </w:rPr>
              <w:t>水域、</w:t>
            </w:r>
            <w:r>
              <w:rPr>
                <w:rFonts w:eastAsiaTheme="minorEastAsia" w:cs="Times New Roman"/>
                <w:kern w:val="0"/>
                <w:sz w:val="21"/>
              </w:rPr>
              <w:t>未利用地</w:t>
            </w:r>
          </w:p>
        </w:tc>
        <w:tc>
          <w:tcPr>
            <w:tcW w:w="1097"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29.47</w:t>
            </w:r>
          </w:p>
        </w:tc>
        <w:tc>
          <w:tcPr>
            <w:tcW w:w="979" w:type="dxa"/>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9.80</w:t>
            </w:r>
          </w:p>
        </w:tc>
      </w:tr>
      <w:tr w:rsidR="00A46452">
        <w:trPr>
          <w:trHeight w:val="266"/>
          <w:jc w:val="center"/>
        </w:trPr>
        <w:tc>
          <w:tcPr>
            <w:tcW w:w="512" w:type="pct"/>
          </w:tcPr>
          <w:p w:rsidR="00A46452" w:rsidRDefault="00A46452">
            <w:pPr>
              <w:wordWrap w:val="0"/>
              <w:topLinePunct/>
              <w:spacing w:line="240" w:lineRule="auto"/>
              <w:ind w:firstLineChars="0" w:firstLine="0"/>
              <w:jc w:val="center"/>
              <w:rPr>
                <w:rFonts w:eastAsiaTheme="minorEastAsia" w:cs="Times New Roman"/>
                <w:kern w:val="0"/>
                <w:sz w:val="21"/>
              </w:rPr>
            </w:pPr>
          </w:p>
        </w:tc>
        <w:tc>
          <w:tcPr>
            <w:tcW w:w="3268" w:type="pct"/>
            <w:gridSpan w:val="5"/>
            <w:shd w:val="clear" w:color="auto" w:fill="auto"/>
          </w:tcPr>
          <w:p w:rsidR="00A46452" w:rsidRDefault="009A3928">
            <w:pPr>
              <w:wordWrap w:val="0"/>
              <w:topLinePunct/>
              <w:spacing w:line="240" w:lineRule="auto"/>
              <w:ind w:firstLineChars="0" w:firstLine="0"/>
              <w:rPr>
                <w:rFonts w:eastAsiaTheme="minorEastAsia" w:cs="Times New Roman"/>
                <w:kern w:val="0"/>
                <w:sz w:val="21"/>
              </w:rPr>
            </w:pPr>
            <w:r>
              <w:rPr>
                <w:rFonts w:eastAsiaTheme="minorEastAsia" w:cs="Times New Roman"/>
                <w:kern w:val="0"/>
                <w:sz w:val="21"/>
              </w:rPr>
              <w:t>合计</w:t>
            </w:r>
          </w:p>
        </w:tc>
        <w:tc>
          <w:tcPr>
            <w:tcW w:w="1097" w:type="dxa"/>
            <w:shd w:val="clear" w:color="auto" w:fill="auto"/>
          </w:tcPr>
          <w:p w:rsidR="00A46452" w:rsidRDefault="009A3928">
            <w:pPr>
              <w:widowControl/>
              <w:spacing w:line="240" w:lineRule="auto"/>
              <w:ind w:firstLineChars="0" w:firstLine="0"/>
              <w:jc w:val="center"/>
              <w:textAlignment w:val="center"/>
              <w:rPr>
                <w:rFonts w:cs="Times New Roman"/>
                <w:kern w:val="0"/>
                <w:sz w:val="21"/>
                <w:lang w:bidi="ar"/>
              </w:rPr>
            </w:pPr>
            <w:r>
              <w:rPr>
                <w:rFonts w:cs="Times New Roman"/>
                <w:kern w:val="0"/>
                <w:sz w:val="21"/>
                <w:lang w:bidi="ar"/>
              </w:rPr>
              <w:t>300.80</w:t>
            </w:r>
          </w:p>
        </w:tc>
        <w:tc>
          <w:tcPr>
            <w:tcW w:w="574" w:type="pct"/>
            <w:shd w:val="clear" w:color="auto" w:fill="auto"/>
          </w:tcPr>
          <w:p w:rsidR="00A46452" w:rsidRDefault="009A3928">
            <w:pPr>
              <w:wordWrap w:val="0"/>
              <w:topLinePunct/>
              <w:spacing w:line="240" w:lineRule="auto"/>
              <w:ind w:firstLineChars="0" w:firstLine="0"/>
              <w:jc w:val="center"/>
              <w:textAlignment w:val="center"/>
              <w:rPr>
                <w:rFonts w:cs="Times New Roman"/>
                <w:kern w:val="0"/>
                <w:sz w:val="21"/>
                <w:lang w:bidi="ar"/>
              </w:rPr>
            </w:pPr>
            <w:r>
              <w:rPr>
                <w:rFonts w:cs="Times New Roman"/>
                <w:kern w:val="0"/>
                <w:sz w:val="21"/>
                <w:lang w:bidi="ar"/>
              </w:rPr>
              <w:t>100.00</w:t>
            </w:r>
          </w:p>
        </w:tc>
      </w:tr>
    </w:tbl>
    <w:p w:rsidR="00A46452" w:rsidRDefault="009A3928">
      <w:pPr>
        <w:wordWrap w:val="0"/>
        <w:topLinePunct/>
        <w:ind w:firstLine="480"/>
        <w:rPr>
          <w:rFonts w:cs="Times New Roman"/>
        </w:rPr>
      </w:pPr>
      <w:r>
        <w:rPr>
          <w:rFonts w:cs="Times New Roman"/>
        </w:rPr>
        <w:t>（</w:t>
      </w:r>
      <w:r>
        <w:rPr>
          <w:rFonts w:cs="Times New Roman"/>
        </w:rPr>
        <w:t>2</w:t>
      </w:r>
      <w:r>
        <w:rPr>
          <w:rFonts w:cs="Times New Roman"/>
        </w:rPr>
        <w:t>）主要植被类型的特征</w:t>
      </w:r>
    </w:p>
    <w:p w:rsidR="00A46452" w:rsidRDefault="009A3928">
      <w:pPr>
        <w:wordWrap w:val="0"/>
        <w:topLinePunct/>
        <w:ind w:firstLine="482"/>
        <w:rPr>
          <w:rFonts w:cs="Times New Roman"/>
          <w:b/>
        </w:rPr>
      </w:pPr>
      <w:r>
        <w:rPr>
          <w:rFonts w:cs="Times New Roman"/>
          <w:b/>
        </w:rPr>
        <w:fldChar w:fldCharType="begin"/>
      </w:r>
      <w:r>
        <w:rPr>
          <w:rFonts w:cs="Times New Roman"/>
          <w:b/>
        </w:rPr>
        <w:instrText xml:space="preserve"> = 1 \* ALPHABETIC </w:instrText>
      </w:r>
      <w:r>
        <w:rPr>
          <w:rFonts w:cs="Times New Roman"/>
          <w:b/>
        </w:rPr>
        <w:fldChar w:fldCharType="separate"/>
      </w:r>
      <w:r>
        <w:rPr>
          <w:rFonts w:cs="Times New Roman"/>
          <w:b/>
        </w:rPr>
        <w:t>A</w:t>
      </w:r>
      <w:r>
        <w:rPr>
          <w:rFonts w:cs="Times New Roman"/>
          <w:b/>
        </w:rPr>
        <w:fldChar w:fldCharType="end"/>
      </w:r>
      <w:r>
        <w:rPr>
          <w:rFonts w:cs="Times New Roman"/>
          <w:b/>
        </w:rPr>
        <w:t>天然植被</w:t>
      </w:r>
    </w:p>
    <w:p w:rsidR="00A46452" w:rsidRDefault="009A3928">
      <w:pPr>
        <w:wordWrap w:val="0"/>
        <w:topLinePunct/>
        <w:adjustRightInd w:val="0"/>
        <w:snapToGrid w:val="0"/>
        <w:ind w:firstLine="480"/>
        <w:textAlignment w:val="center"/>
        <w:rPr>
          <w:rFonts w:cs="Times New Roman"/>
          <w:snapToGrid w:val="0"/>
        </w:rPr>
      </w:pPr>
      <w:r>
        <w:rPr>
          <w:rFonts w:cs="Times New Roman"/>
          <w:snapToGrid w:val="0"/>
          <w:lang w:val="zh-CN"/>
        </w:rPr>
        <w:fldChar w:fldCharType="begin"/>
      </w:r>
      <w:r>
        <w:rPr>
          <w:rFonts w:cs="Times New Roman"/>
          <w:snapToGrid w:val="0"/>
        </w:rPr>
        <w:instrText xml:space="preserve"> = 1 \* GB3 </w:instrText>
      </w:r>
      <w:r>
        <w:rPr>
          <w:rFonts w:cs="Times New Roman"/>
          <w:snapToGrid w:val="0"/>
          <w:lang w:val="zh-CN"/>
        </w:rPr>
        <w:fldChar w:fldCharType="separate"/>
      </w:r>
      <w:r>
        <w:rPr>
          <w:rFonts w:cs="Times New Roman"/>
          <w:snapToGrid w:val="0"/>
        </w:rPr>
        <w:t>①</w:t>
      </w:r>
      <w:r>
        <w:rPr>
          <w:rFonts w:cs="Times New Roman"/>
          <w:snapToGrid w:val="0"/>
          <w:lang w:val="zh-CN"/>
        </w:rPr>
        <w:fldChar w:fldCharType="end"/>
      </w:r>
      <w:r>
        <w:rPr>
          <w:rFonts w:cs="Times New Roman"/>
          <w:snapToGrid w:val="0"/>
          <w:lang w:val="zh-CN"/>
        </w:rPr>
        <w:t>胡杨群系</w:t>
      </w:r>
    </w:p>
    <w:p w:rsidR="00A46452" w:rsidRDefault="009A3928">
      <w:pPr>
        <w:wordWrap w:val="0"/>
        <w:topLinePunct/>
        <w:adjustRightInd w:val="0"/>
        <w:snapToGrid w:val="0"/>
        <w:ind w:firstLine="480"/>
        <w:textAlignment w:val="center"/>
        <w:rPr>
          <w:rFonts w:cs="Times New Roman"/>
          <w:snapToGrid w:val="0"/>
          <w:lang w:val="zh-CN"/>
        </w:rPr>
      </w:pPr>
      <w:r>
        <w:rPr>
          <w:rFonts w:cs="Times New Roman"/>
          <w:snapToGrid w:val="0"/>
          <w:lang w:val="zh-CN"/>
        </w:rPr>
        <w:t>胡杨</w:t>
      </w:r>
      <w:r>
        <w:rPr>
          <w:rFonts w:cs="Times New Roman"/>
          <w:snapToGrid w:val="0"/>
        </w:rPr>
        <w:t>（</w:t>
      </w:r>
      <w:r>
        <w:rPr>
          <w:rFonts w:cs="Times New Roman"/>
          <w:i/>
          <w:iCs/>
          <w:snapToGrid w:val="0"/>
        </w:rPr>
        <w:t>Populus euphratica Oliv.</w:t>
      </w:r>
      <w:r>
        <w:rPr>
          <w:rFonts w:cs="Times New Roman"/>
          <w:snapToGrid w:val="0"/>
        </w:rPr>
        <w:t>）</w:t>
      </w:r>
      <w:r>
        <w:rPr>
          <w:rFonts w:cs="Times New Roman"/>
          <w:snapToGrid w:val="0"/>
          <w:lang w:val="zh-CN"/>
        </w:rPr>
        <w:t>群系多生长在沙漠中</w:t>
      </w:r>
      <w:r>
        <w:rPr>
          <w:rFonts w:cs="Times New Roman"/>
          <w:snapToGrid w:val="0"/>
        </w:rPr>
        <w:t>，</w:t>
      </w:r>
      <w:r>
        <w:rPr>
          <w:rFonts w:cs="Times New Roman"/>
          <w:snapToGrid w:val="0"/>
          <w:lang w:val="zh-CN"/>
        </w:rPr>
        <w:t>耐寒、耐旱、耐盐碱、抗风沙</w:t>
      </w:r>
      <w:r>
        <w:rPr>
          <w:rFonts w:cs="Times New Roman"/>
          <w:snapToGrid w:val="0"/>
        </w:rPr>
        <w:t>，</w:t>
      </w:r>
      <w:r>
        <w:rPr>
          <w:rFonts w:cs="Times New Roman"/>
          <w:snapToGrid w:val="0"/>
          <w:lang w:val="zh-CN"/>
        </w:rPr>
        <w:t>具有很强的生命力</w:t>
      </w:r>
      <w:r>
        <w:rPr>
          <w:rFonts w:cs="Times New Roman"/>
          <w:snapToGrid w:val="0"/>
        </w:rPr>
        <w:t>，</w:t>
      </w:r>
      <w:r>
        <w:rPr>
          <w:rFonts w:cs="Times New Roman"/>
          <w:snapToGrid w:val="0"/>
          <w:lang w:val="zh-CN"/>
        </w:rPr>
        <w:t>该群系的群落盖度约为</w:t>
      </w:r>
      <w:r>
        <w:rPr>
          <w:rFonts w:cs="Times New Roman"/>
          <w:snapToGrid w:val="0"/>
        </w:rPr>
        <w:t>4</w:t>
      </w:r>
      <w:r>
        <w:rPr>
          <w:rFonts w:cs="Times New Roman"/>
          <w:snapToGrid w:val="0"/>
        </w:rPr>
        <w:t>5%</w:t>
      </w:r>
      <w:r>
        <w:rPr>
          <w:rFonts w:eastAsia="微软雅黑" w:cs="Times New Roman"/>
          <w:snapToGrid w:val="0"/>
          <w:lang w:val="zh-CN"/>
        </w:rPr>
        <w:t>〜</w:t>
      </w:r>
      <w:r>
        <w:rPr>
          <w:rFonts w:cs="Times New Roman"/>
          <w:snapToGrid w:val="0"/>
        </w:rPr>
        <w:t>60%</w:t>
      </w:r>
      <w:r>
        <w:rPr>
          <w:rFonts w:cs="Times New Roman"/>
          <w:snapToGrid w:val="0"/>
          <w:lang w:val="zh-CN"/>
        </w:rPr>
        <w:t>。群落中的伴生植物主要有刚毛柽柳、多枝柽柳，其次是芦苇等。</w:t>
      </w:r>
    </w:p>
    <w:p w:rsidR="00A46452" w:rsidRDefault="009A3928">
      <w:pPr>
        <w:wordWrap w:val="0"/>
        <w:topLinePunct/>
        <w:adjustRightInd w:val="0"/>
        <w:snapToGrid w:val="0"/>
        <w:ind w:firstLine="480"/>
        <w:textAlignment w:val="center"/>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多枝柽柳群系</w:t>
      </w:r>
    </w:p>
    <w:p w:rsidR="00A46452" w:rsidRDefault="009A3928">
      <w:pPr>
        <w:wordWrap w:val="0"/>
        <w:topLinePunct/>
        <w:ind w:firstLine="480"/>
        <w:textAlignment w:val="center"/>
        <w:rPr>
          <w:rFonts w:cs="Times New Roman"/>
          <w:snapToGrid w:val="0"/>
          <w:lang w:val="zh-CN"/>
        </w:rPr>
      </w:pPr>
      <w:r>
        <w:rPr>
          <w:rFonts w:cs="Times New Roman"/>
          <w:snapToGrid w:val="0"/>
          <w:lang w:val="zh-CN"/>
        </w:rPr>
        <w:t>多枝柽柳（</w:t>
      </w:r>
      <w:r>
        <w:rPr>
          <w:rFonts w:cs="Times New Roman"/>
          <w:i/>
          <w:iCs/>
          <w:snapToGrid w:val="0"/>
          <w:lang w:val="zh-CN"/>
        </w:rPr>
        <w:t>Tamarix ramosissima Ledeb.</w:t>
      </w:r>
      <w:r>
        <w:rPr>
          <w:rFonts w:cs="Times New Roman"/>
          <w:snapToGrid w:val="0"/>
          <w:lang w:val="zh-CN"/>
        </w:rPr>
        <w:t>）群系为温带及亚热带树种，喜光、耐旱、耐寒，亦较耐水湿，极耐修剪、刈割，该群系的群落总覆盖度在</w:t>
      </w:r>
      <w:r>
        <w:rPr>
          <w:rFonts w:cs="Times New Roman"/>
          <w:snapToGrid w:val="0"/>
          <w:lang w:val="zh-CN"/>
        </w:rPr>
        <w:t>25%</w:t>
      </w:r>
      <w:r>
        <w:rPr>
          <w:rFonts w:eastAsia="等线" w:cs="Times New Roman"/>
          <w:snapToGrid w:val="0"/>
          <w:lang w:val="zh-CN"/>
        </w:rPr>
        <w:t>～</w:t>
      </w:r>
      <w:r>
        <w:rPr>
          <w:rFonts w:cs="Times New Roman"/>
          <w:snapToGrid w:val="0"/>
          <w:lang w:val="zh-CN"/>
        </w:rPr>
        <w:t>40%</w:t>
      </w:r>
      <w:r>
        <w:rPr>
          <w:rFonts w:cs="Times New Roman"/>
          <w:snapToGrid w:val="0"/>
          <w:lang w:val="zh-CN"/>
        </w:rPr>
        <w:t>之间。群落中的伴生植物主要有苦豆子、</w:t>
      </w:r>
      <w:r>
        <w:rPr>
          <w:rFonts w:cs="Times New Roman"/>
          <w:snapToGrid w:val="0"/>
        </w:rPr>
        <w:t>骆驼刺、</w:t>
      </w:r>
      <w:r>
        <w:rPr>
          <w:rFonts w:cs="Times New Roman"/>
          <w:snapToGrid w:val="0"/>
          <w:lang w:val="zh-CN"/>
        </w:rPr>
        <w:t>盐爪爪、盐穗木、芦苇、拂子茅等。</w:t>
      </w:r>
    </w:p>
    <w:p w:rsidR="00A46452" w:rsidRDefault="009A3928">
      <w:pPr>
        <w:wordWrap w:val="0"/>
        <w:topLinePunct/>
        <w:adjustRightInd w:val="0"/>
        <w:snapToGrid w:val="0"/>
        <w:ind w:firstLine="480"/>
        <w:textAlignment w:val="center"/>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fldChar w:fldCharType="end"/>
      </w:r>
      <w:r>
        <w:rPr>
          <w:rFonts w:cs="Times New Roman"/>
          <w:snapToGrid w:val="0"/>
        </w:rPr>
        <w:t>芦苇群系</w:t>
      </w:r>
    </w:p>
    <w:p w:rsidR="00A46452" w:rsidRDefault="009A3928">
      <w:pPr>
        <w:wordWrap w:val="0"/>
        <w:topLinePunct/>
        <w:adjustRightInd w:val="0"/>
        <w:snapToGrid w:val="0"/>
        <w:ind w:firstLine="480"/>
        <w:textAlignment w:val="center"/>
        <w:rPr>
          <w:rFonts w:cs="Times New Roman"/>
          <w:snapToGrid w:val="0"/>
          <w:lang w:val="zh-CN"/>
        </w:rPr>
      </w:pPr>
      <w:r>
        <w:rPr>
          <w:rFonts w:cs="Times New Roman"/>
          <w:snapToGrid w:val="0"/>
        </w:rPr>
        <w:t>芦苇（</w:t>
      </w:r>
      <w:r>
        <w:rPr>
          <w:rFonts w:cs="Times New Roman"/>
          <w:i/>
          <w:iCs/>
          <w:snapToGrid w:val="0"/>
          <w:lang w:val="zh-CN"/>
        </w:rPr>
        <w:t>Phragmites australis</w:t>
      </w:r>
      <w:r>
        <w:rPr>
          <w:rFonts w:cs="Times New Roman"/>
          <w:snapToGrid w:val="0"/>
        </w:rPr>
        <w:t>）</w:t>
      </w:r>
      <w:r>
        <w:rPr>
          <w:rFonts w:cs="Times New Roman"/>
          <w:snapToGrid w:val="0"/>
          <w:lang w:val="zh-CN"/>
        </w:rPr>
        <w:t xml:space="preserve"> </w:t>
      </w:r>
      <w:r>
        <w:rPr>
          <w:rFonts w:cs="Times New Roman"/>
          <w:snapToGrid w:val="0"/>
          <w:lang w:val="zh-CN"/>
        </w:rPr>
        <w:t>主要沿</w:t>
      </w:r>
      <w:r>
        <w:rPr>
          <w:rFonts w:cs="Times New Roman"/>
          <w:snapToGrid w:val="0"/>
        </w:rPr>
        <w:t>项目区周边河道和沟渠及农田排水渠两侧</w:t>
      </w:r>
      <w:r>
        <w:rPr>
          <w:rFonts w:cs="Times New Roman"/>
          <w:snapToGrid w:val="0"/>
          <w:lang w:val="zh-CN"/>
        </w:rPr>
        <w:t>呈带状或斑块状分布，该群系的群落盖度约为</w:t>
      </w:r>
      <w:r>
        <w:rPr>
          <w:rFonts w:cs="Times New Roman"/>
          <w:snapToGrid w:val="0"/>
        </w:rPr>
        <w:t>2</w:t>
      </w:r>
      <w:r>
        <w:rPr>
          <w:rFonts w:cs="Times New Roman"/>
          <w:snapToGrid w:val="0"/>
        </w:rPr>
        <w:t>5%</w:t>
      </w:r>
      <w:r>
        <w:rPr>
          <w:rFonts w:eastAsia="微软雅黑" w:cs="Times New Roman"/>
          <w:snapToGrid w:val="0"/>
          <w:lang w:val="zh-CN"/>
        </w:rPr>
        <w:t>〜</w:t>
      </w:r>
      <w:r>
        <w:rPr>
          <w:rFonts w:eastAsia="微软雅黑" w:cs="Times New Roman"/>
          <w:snapToGrid w:val="0"/>
        </w:rPr>
        <w:t>4</w:t>
      </w:r>
      <w:r>
        <w:rPr>
          <w:rFonts w:cs="Times New Roman"/>
          <w:snapToGrid w:val="0"/>
        </w:rPr>
        <w:t>0%</w:t>
      </w:r>
      <w:r>
        <w:rPr>
          <w:rFonts w:cs="Times New Roman"/>
          <w:snapToGrid w:val="0"/>
          <w:lang w:val="zh-CN"/>
        </w:rPr>
        <w:t>。芦苇根系发达，能利用河岸浅层地下水或洪水漫灌带来的水分。</w:t>
      </w:r>
      <w:r>
        <w:rPr>
          <w:rFonts w:cs="Times New Roman"/>
          <w:snapToGrid w:val="0"/>
        </w:rPr>
        <w:t>由于项目区干</w:t>
      </w:r>
      <w:r>
        <w:rPr>
          <w:rFonts w:cs="Times New Roman"/>
          <w:snapToGrid w:val="0"/>
          <w:lang w:val="zh-CN"/>
        </w:rPr>
        <w:t>旱少雨、蒸发强烈，存在土壤盐渍化问题。芦苇是耐盐碱能力较强的植物，能在轻、中度盐渍化土壤上生长良好，甚至成为盐碱湿地的优势种。芦苇常形成单优势种群落或接近单优势种群落，在靠近河岸林区域，可能与胡杨、沙枣的幼苗或灌木层伴生，</w:t>
      </w:r>
      <w:r>
        <w:rPr>
          <w:rFonts w:cs="Times New Roman"/>
          <w:snapToGrid w:val="0"/>
        </w:rPr>
        <w:t>在盐分较高区域，与</w:t>
      </w:r>
      <w:r>
        <w:rPr>
          <w:rFonts w:cs="Times New Roman"/>
          <w:snapToGrid w:val="0"/>
          <w:lang w:val="zh-CN"/>
        </w:rPr>
        <w:t>柽柳、</w:t>
      </w:r>
      <w:r>
        <w:rPr>
          <w:rFonts w:cs="Times New Roman"/>
          <w:snapToGrid w:val="0"/>
        </w:rPr>
        <w:t>骆驼刺、</w:t>
      </w:r>
      <w:r>
        <w:rPr>
          <w:rFonts w:cs="Times New Roman"/>
          <w:snapToGrid w:val="0"/>
          <w:lang w:val="zh-CN"/>
        </w:rPr>
        <w:t>盐穗木、碱蓬等（在盐分较高的区域）。</w:t>
      </w:r>
    </w:p>
    <w:p w:rsidR="00A46452" w:rsidRDefault="009A3928">
      <w:pPr>
        <w:wordWrap w:val="0"/>
        <w:topLinePunct/>
        <w:adjustRightInd w:val="0"/>
        <w:snapToGrid w:val="0"/>
        <w:ind w:firstLine="480"/>
        <w:textAlignment w:val="center"/>
        <w:rPr>
          <w:rFonts w:cs="Times New Roman"/>
          <w:snapToGrid w:val="0"/>
        </w:rPr>
      </w:pPr>
      <w:r>
        <w:rPr>
          <w:rFonts w:cs="Times New Roman"/>
          <w:snapToGrid w:val="0"/>
          <w:lang w:val="zh-CN"/>
        </w:rPr>
        <w:t>④</w:t>
      </w:r>
      <w:r>
        <w:rPr>
          <w:rFonts w:cs="Times New Roman"/>
          <w:snapToGrid w:val="0"/>
          <w:lang w:val="zh-CN"/>
        </w:rPr>
        <w:t>骆驼刺</w:t>
      </w:r>
      <w:r>
        <w:rPr>
          <w:rFonts w:cs="Times New Roman"/>
          <w:snapToGrid w:val="0"/>
        </w:rPr>
        <w:t>群系</w:t>
      </w:r>
    </w:p>
    <w:p w:rsidR="00A46452" w:rsidRDefault="009A3928">
      <w:pPr>
        <w:wordWrap w:val="0"/>
        <w:topLinePunct/>
        <w:adjustRightInd w:val="0"/>
        <w:snapToGrid w:val="0"/>
        <w:ind w:firstLine="480"/>
        <w:textAlignment w:val="center"/>
        <w:rPr>
          <w:rFonts w:cs="Times New Roman"/>
          <w:snapToGrid w:val="0"/>
        </w:rPr>
      </w:pPr>
      <w:r>
        <w:rPr>
          <w:rFonts w:cs="Times New Roman"/>
          <w:snapToGrid w:val="0"/>
          <w:lang w:val="zh-CN"/>
        </w:rPr>
        <w:t>骆驼刺（</w:t>
      </w:r>
      <w:r>
        <w:rPr>
          <w:rFonts w:cs="Times New Roman"/>
          <w:i/>
          <w:iCs/>
          <w:snapToGrid w:val="0"/>
          <w:lang w:val="zh-CN"/>
        </w:rPr>
        <w:t>Alhagi camelorum Fisch.</w:t>
      </w:r>
      <w:r>
        <w:rPr>
          <w:rFonts w:cs="Times New Roman"/>
          <w:snapToGrid w:val="0"/>
          <w:lang w:val="zh-CN"/>
        </w:rPr>
        <w:t>）是豆科骆驼刺属半灌木草本植物，高</w:t>
      </w:r>
      <w:r>
        <w:rPr>
          <w:rFonts w:cs="Times New Roman"/>
          <w:snapToGrid w:val="0"/>
          <w:lang w:val="zh-CN"/>
        </w:rPr>
        <w:t>25cm~40cm</w:t>
      </w:r>
      <w:r>
        <w:rPr>
          <w:rFonts w:cs="Times New Roman"/>
          <w:snapToGrid w:val="0"/>
          <w:lang w:val="zh-CN"/>
        </w:rPr>
        <w:t>。它的茎直立，有细条纹，无毛或幼茎有短柔毛，从基部分枝。生长在荒漠地区的沙地、河岸、农田边，该群系的</w:t>
      </w:r>
      <w:r>
        <w:rPr>
          <w:rFonts w:cs="Times New Roman"/>
          <w:snapToGrid w:val="0"/>
          <w:lang w:val="zh-CN"/>
        </w:rPr>
        <w:t>群落盖度约为</w:t>
      </w:r>
      <w:r>
        <w:rPr>
          <w:rFonts w:cs="Times New Roman"/>
          <w:snapToGrid w:val="0"/>
        </w:rPr>
        <w:t>15</w:t>
      </w:r>
      <w:r>
        <w:rPr>
          <w:rFonts w:cs="Times New Roman"/>
          <w:snapToGrid w:val="0"/>
        </w:rPr>
        <w:t>%</w:t>
      </w:r>
      <w:r>
        <w:rPr>
          <w:rFonts w:eastAsia="微软雅黑" w:cs="Times New Roman"/>
          <w:snapToGrid w:val="0"/>
          <w:lang w:val="zh-CN"/>
        </w:rPr>
        <w:t>〜</w:t>
      </w:r>
      <w:r>
        <w:rPr>
          <w:rFonts w:eastAsia="微软雅黑" w:cs="Times New Roman"/>
          <w:snapToGrid w:val="0"/>
        </w:rPr>
        <w:t>3</w:t>
      </w:r>
      <w:r>
        <w:rPr>
          <w:rFonts w:cs="Times New Roman"/>
          <w:snapToGrid w:val="0"/>
        </w:rPr>
        <w:t>0%</w:t>
      </w:r>
      <w:r>
        <w:rPr>
          <w:rFonts w:cs="Times New Roman"/>
          <w:snapToGrid w:val="0"/>
          <w:lang w:val="zh-CN"/>
        </w:rPr>
        <w:t>。耐旱，耐盐碱，抗涝，适应力很强。性喜光、强健耐寒、耐旱、耐贫瘠土壤，喜欢沙漠地带或通气、排水良好处。骆驼刺在群落中通常与其他耐旱植物共同生长，形成稳定的生态系统。它的根系发达，能够适应沙埋，具有良好的防风固沙作用，有助于保持土壤稳定和减少风。</w:t>
      </w:r>
    </w:p>
    <w:p w:rsidR="00A46452" w:rsidRDefault="009A3928">
      <w:pPr>
        <w:wordWrap w:val="0"/>
        <w:topLinePunct/>
        <w:ind w:firstLine="482"/>
        <w:rPr>
          <w:rFonts w:cs="Times New Roman"/>
          <w:b/>
        </w:rPr>
      </w:pPr>
      <w:r>
        <w:rPr>
          <w:rFonts w:cs="Times New Roman"/>
          <w:b/>
        </w:rPr>
        <w:fldChar w:fldCharType="begin"/>
      </w:r>
      <w:r>
        <w:rPr>
          <w:rFonts w:cs="Times New Roman"/>
          <w:b/>
        </w:rPr>
        <w:instrText xml:space="preserve"> = 2 \* ALPHABETIC </w:instrText>
      </w:r>
      <w:r>
        <w:rPr>
          <w:rFonts w:cs="Times New Roman"/>
          <w:b/>
        </w:rPr>
        <w:fldChar w:fldCharType="separate"/>
      </w:r>
      <w:r>
        <w:rPr>
          <w:rFonts w:cs="Times New Roman"/>
          <w:b/>
        </w:rPr>
        <w:t>B</w:t>
      </w:r>
      <w:r>
        <w:rPr>
          <w:rFonts w:cs="Times New Roman"/>
          <w:b/>
        </w:rPr>
        <w:fldChar w:fldCharType="end"/>
      </w:r>
      <w:r>
        <w:rPr>
          <w:rFonts w:cs="Times New Roman"/>
          <w:b/>
        </w:rPr>
        <w:t>人工植被</w:t>
      </w:r>
    </w:p>
    <w:p w:rsidR="00A46452" w:rsidRDefault="009A3928">
      <w:pPr>
        <w:wordWrap w:val="0"/>
        <w:topLinePunct/>
        <w:ind w:firstLine="480"/>
        <w:rPr>
          <w:rFonts w:cs="Times New Roman"/>
          <w:snapToGrid w:val="0"/>
        </w:rPr>
      </w:pPr>
      <w:r>
        <w:rPr>
          <w:rFonts w:cs="Times New Roman"/>
          <w:snapToGrid w:val="0"/>
        </w:rPr>
        <w:t>①</w:t>
      </w:r>
      <w:r>
        <w:rPr>
          <w:rFonts w:cs="Times New Roman"/>
          <w:snapToGrid w:val="0"/>
        </w:rPr>
        <w:t>耕地</w:t>
      </w:r>
    </w:p>
    <w:p w:rsidR="00A46452" w:rsidRDefault="009A3928">
      <w:pPr>
        <w:wordWrap w:val="0"/>
        <w:topLinePunct/>
        <w:ind w:firstLine="480"/>
        <w:rPr>
          <w:rFonts w:cs="Times New Roman"/>
          <w:snapToGrid w:val="0"/>
        </w:rPr>
      </w:pPr>
      <w:r>
        <w:rPr>
          <w:rFonts w:cs="Times New Roman"/>
          <w:snapToGrid w:val="0"/>
        </w:rPr>
        <w:t>评价区内的耕地主要种植有小麦</w:t>
      </w:r>
      <w:r>
        <w:rPr>
          <w:rFonts w:cs="Times New Roman"/>
          <w:i/>
          <w:iCs/>
          <w:snapToGrid w:val="0"/>
        </w:rPr>
        <w:t>Triticum aestivum</w:t>
      </w:r>
      <w:r>
        <w:rPr>
          <w:rFonts w:cs="Times New Roman"/>
          <w:snapToGrid w:val="0"/>
        </w:rPr>
        <w:t>、玉米</w:t>
      </w:r>
      <w:r>
        <w:rPr>
          <w:rFonts w:cs="Times New Roman"/>
          <w:i/>
          <w:iCs/>
          <w:snapToGrid w:val="0"/>
        </w:rPr>
        <w:t>Zea mays</w:t>
      </w:r>
      <w:r>
        <w:rPr>
          <w:rFonts w:cs="Times New Roman"/>
          <w:snapToGrid w:val="0"/>
        </w:rPr>
        <w:t>、棉花</w:t>
      </w:r>
      <w:r>
        <w:rPr>
          <w:rFonts w:cs="Times New Roman"/>
          <w:i/>
          <w:iCs/>
          <w:snapToGrid w:val="0"/>
        </w:rPr>
        <w:t>Gosspium spp</w:t>
      </w:r>
      <w:r>
        <w:rPr>
          <w:rFonts w:cs="Times New Roman"/>
          <w:snapToGrid w:val="0"/>
        </w:rPr>
        <w:t>等经济作物，主要分布于评价区内第</w:t>
      </w:r>
      <w:r>
        <w:rPr>
          <w:rFonts w:cs="Times New Roman"/>
          <w:snapToGrid w:val="0"/>
        </w:rPr>
        <w:t>三</w:t>
      </w:r>
      <w:r>
        <w:rPr>
          <w:rFonts w:cs="Times New Roman"/>
          <w:snapToGrid w:val="0"/>
        </w:rPr>
        <w:t>师、</w:t>
      </w:r>
      <w:r>
        <w:rPr>
          <w:rFonts w:cs="Times New Roman"/>
          <w:snapToGrid w:val="0"/>
        </w:rPr>
        <w:t>柯坪县、乌什县</w:t>
      </w:r>
      <w:r>
        <w:rPr>
          <w:rFonts w:cs="Times New Roman"/>
          <w:snapToGrid w:val="0"/>
        </w:rPr>
        <w:t>等各个乡镇、灌区范围内。</w:t>
      </w:r>
    </w:p>
    <w:p w:rsidR="00A46452" w:rsidRDefault="009A3928">
      <w:pPr>
        <w:wordWrap w:val="0"/>
        <w:topLinePunct/>
        <w:ind w:firstLine="480"/>
        <w:rPr>
          <w:rFonts w:cs="Times New Roman"/>
          <w:snapToGrid w:val="0"/>
        </w:rPr>
      </w:pPr>
      <w:r>
        <w:rPr>
          <w:rFonts w:cs="Times New Roman"/>
          <w:snapToGrid w:val="0"/>
        </w:rPr>
        <w:t>②</w:t>
      </w:r>
      <w:r>
        <w:rPr>
          <w:rFonts w:cs="Times New Roman"/>
          <w:snapToGrid w:val="0"/>
        </w:rPr>
        <w:t>人工林</w:t>
      </w:r>
    </w:p>
    <w:p w:rsidR="00A46452" w:rsidRDefault="009A3928">
      <w:pPr>
        <w:wordWrap w:val="0"/>
        <w:topLinePunct/>
        <w:ind w:firstLine="480"/>
        <w:rPr>
          <w:rFonts w:cs="Times New Roman"/>
          <w:snapToGrid w:val="0"/>
        </w:rPr>
      </w:pPr>
      <w:r>
        <w:rPr>
          <w:rFonts w:cs="Times New Roman"/>
          <w:snapToGrid w:val="0"/>
        </w:rPr>
        <w:t>评价区内的人工经济林和农田防护林，树种主要是以核桃、苹果、枣树等为主的经济果林，以新疆杨、沙枣树、胡杨为主的防护林。</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3</w:t>
      </w:r>
      <w:r>
        <w:rPr>
          <w:rFonts w:cs="Times New Roman"/>
          <w:snapToGrid w:val="0"/>
        </w:rPr>
        <w:t>）植被演替规律</w:t>
      </w:r>
    </w:p>
    <w:p w:rsidR="00A46452" w:rsidRDefault="009A3928">
      <w:pPr>
        <w:wordWrap w:val="0"/>
        <w:topLinePunct/>
        <w:ind w:firstLine="480"/>
        <w:rPr>
          <w:rFonts w:cs="Times New Roman"/>
          <w:snapToGrid w:val="0"/>
        </w:rPr>
      </w:pPr>
      <w:r>
        <w:rPr>
          <w:rFonts w:cs="Times New Roman"/>
          <w:snapToGrid w:val="0"/>
        </w:rPr>
        <w:t>评价区绿洲农业区，人为干扰大、人工干扰小的区域仅为风积沙荒漠区、盐碱荒漠区等，荒漠区仍少量分布有以柽柳、骆驼刺等壳为建群种或优势种的灌木丛和草本植被。</w:t>
      </w:r>
    </w:p>
    <w:p w:rsidR="00A46452" w:rsidRDefault="009A3928">
      <w:pPr>
        <w:wordWrap w:val="0"/>
        <w:topLinePunct/>
        <w:ind w:firstLine="480"/>
        <w:rPr>
          <w:rFonts w:cs="Times New Roman"/>
          <w:snapToGrid w:val="0"/>
        </w:rPr>
      </w:pPr>
      <w:r>
        <w:rPr>
          <w:rFonts w:cs="Times New Roman"/>
          <w:snapToGrid w:val="0"/>
        </w:rPr>
        <w:t>采用</w:t>
      </w:r>
      <w:r>
        <w:rPr>
          <w:rFonts w:cs="Times New Roman"/>
          <w:snapToGrid w:val="0"/>
        </w:rPr>
        <w:t>ENVI5.2</w:t>
      </w:r>
      <w:r>
        <w:rPr>
          <w:rFonts w:cs="Times New Roman"/>
          <w:snapToGrid w:val="0"/>
        </w:rPr>
        <w:t>软件对区域遥感卫星影像进行监督分类处理得到的植被现状图输入</w:t>
      </w:r>
      <w:r>
        <w:rPr>
          <w:rFonts w:cs="Times New Roman"/>
          <w:snapToGrid w:val="0"/>
        </w:rPr>
        <w:t>ArcGIS10.7</w:t>
      </w:r>
      <w:r>
        <w:rPr>
          <w:rFonts w:cs="Times New Roman"/>
          <w:snapToGrid w:val="0"/>
        </w:rPr>
        <w:t>，采用</w:t>
      </w:r>
      <w:r>
        <w:rPr>
          <w:rFonts w:cs="Times New Roman"/>
          <w:snapToGrid w:val="0"/>
        </w:rPr>
        <w:t>ArcGIS10.7</w:t>
      </w:r>
      <w:r>
        <w:rPr>
          <w:rFonts w:cs="Times New Roman"/>
          <w:snapToGrid w:val="0"/>
        </w:rPr>
        <w:t>提供的缓冲区分析功能，对拟建公路评价范围内的各类型植被分布面积进</w:t>
      </w:r>
      <w:r>
        <w:rPr>
          <w:rFonts w:cs="Times New Roman"/>
          <w:snapToGrid w:val="0"/>
        </w:rPr>
        <w:t>行统计与分析，各植被类型面积统计见表</w:t>
      </w:r>
      <w:r>
        <w:rPr>
          <w:rFonts w:cs="Times New Roman" w:hint="eastAsia"/>
          <w:snapToGrid w:val="0"/>
        </w:rPr>
        <w:t>6</w:t>
      </w:r>
      <w:r>
        <w:rPr>
          <w:rFonts w:cs="Times New Roman"/>
          <w:snapToGrid w:val="0"/>
        </w:rPr>
        <w:t>.2-</w:t>
      </w:r>
      <w:r>
        <w:rPr>
          <w:rFonts w:cs="Times New Roman" w:hint="eastAsia"/>
          <w:snapToGrid w:val="0"/>
        </w:rPr>
        <w:t>7</w:t>
      </w:r>
      <w:r>
        <w:rPr>
          <w:rFonts w:cs="Times New Roman"/>
          <w:snapToGrid w:val="0"/>
        </w:rPr>
        <w:t>。</w:t>
      </w:r>
    </w:p>
    <w:p w:rsidR="00A46452" w:rsidRDefault="00A46452">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p>
    <w:p w:rsidR="00A46452" w:rsidRDefault="00A46452">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7</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评价区植物分布面积及比例</w:t>
      </w:r>
    </w:p>
    <w:tbl>
      <w:tblPr>
        <w:tblStyle w:val="affff7"/>
        <w:tblW w:w="0" w:type="auto"/>
        <w:jc w:val="center"/>
        <w:tblBorders>
          <w:insideH w:val="single" w:sz="6" w:space="0" w:color="auto"/>
          <w:insideV w:val="single" w:sz="6" w:space="0" w:color="auto"/>
        </w:tblBorders>
        <w:tblLook w:val="04A0" w:firstRow="1" w:lastRow="0" w:firstColumn="1" w:lastColumn="0" w:noHBand="0" w:noVBand="1"/>
      </w:tblPr>
      <w:tblGrid>
        <w:gridCol w:w="1987"/>
        <w:gridCol w:w="1270"/>
        <w:gridCol w:w="1393"/>
        <w:gridCol w:w="1236"/>
        <w:gridCol w:w="1393"/>
        <w:gridCol w:w="1236"/>
      </w:tblGrid>
      <w:tr w:rsidR="00A46452">
        <w:trPr>
          <w:trHeight w:val="358"/>
          <w:jc w:val="center"/>
        </w:trPr>
        <w:tc>
          <w:tcPr>
            <w:tcW w:w="0" w:type="auto"/>
            <w:vMerge w:val="restart"/>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植被亚型</w:t>
            </w:r>
          </w:p>
        </w:tc>
        <w:tc>
          <w:tcPr>
            <w:tcW w:w="0" w:type="auto"/>
            <w:vMerge w:val="restart"/>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植被群系</w:t>
            </w:r>
          </w:p>
        </w:tc>
        <w:tc>
          <w:tcPr>
            <w:tcW w:w="0" w:type="auto"/>
            <w:gridSpan w:val="2"/>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评价区（</w:t>
            </w:r>
            <w:r>
              <w:rPr>
                <w:rFonts w:cs="Times New Roman"/>
                <w:bCs/>
                <w:kern w:val="0"/>
                <w:sz w:val="21"/>
              </w:rPr>
              <w:t>116.14</w:t>
            </w:r>
            <w:r>
              <w:rPr>
                <w:rFonts w:cs="Times New Roman"/>
                <w:bCs/>
                <w:kern w:val="0"/>
                <w:sz w:val="21"/>
              </w:rPr>
              <w:t>km</w:t>
            </w:r>
            <w:r>
              <w:rPr>
                <w:rFonts w:cs="Times New Roman"/>
                <w:bCs/>
                <w:kern w:val="0"/>
                <w:sz w:val="21"/>
                <w:vertAlign w:val="superscript"/>
              </w:rPr>
              <w:t>2</w:t>
            </w:r>
            <w:r>
              <w:rPr>
                <w:rFonts w:cs="Times New Roman"/>
                <w:bCs/>
                <w:kern w:val="0"/>
                <w:sz w:val="21"/>
              </w:rPr>
              <w:t>）</w:t>
            </w:r>
          </w:p>
        </w:tc>
        <w:tc>
          <w:tcPr>
            <w:tcW w:w="0" w:type="auto"/>
            <w:gridSpan w:val="2"/>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工程占地（</w:t>
            </w:r>
            <w:r>
              <w:rPr>
                <w:rFonts w:cs="Times New Roman"/>
                <w:bCs/>
                <w:kern w:val="0"/>
                <w:sz w:val="21"/>
              </w:rPr>
              <w:t>3.01km</w:t>
            </w:r>
            <w:r>
              <w:rPr>
                <w:rFonts w:cs="Times New Roman"/>
                <w:bCs/>
                <w:kern w:val="0"/>
                <w:sz w:val="21"/>
                <w:vertAlign w:val="superscript"/>
              </w:rPr>
              <w:t>2</w:t>
            </w:r>
            <w:r>
              <w:rPr>
                <w:rFonts w:cs="Times New Roman"/>
                <w:bCs/>
                <w:kern w:val="0"/>
                <w:sz w:val="21"/>
              </w:rPr>
              <w:t>）</w:t>
            </w:r>
          </w:p>
        </w:tc>
      </w:tr>
      <w:tr w:rsidR="00A46452">
        <w:trPr>
          <w:trHeight w:val="358"/>
          <w:jc w:val="center"/>
        </w:trPr>
        <w:tc>
          <w:tcPr>
            <w:tcW w:w="0" w:type="auto"/>
            <w:vMerge/>
          </w:tcPr>
          <w:p w:rsidR="00A46452" w:rsidRDefault="00A46452">
            <w:pPr>
              <w:wordWrap w:val="0"/>
              <w:topLinePunct/>
              <w:spacing w:line="240" w:lineRule="atLeast"/>
              <w:ind w:firstLineChars="0" w:firstLine="0"/>
              <w:jc w:val="center"/>
              <w:rPr>
                <w:rFonts w:cs="Times New Roman"/>
                <w:bCs/>
                <w:kern w:val="0"/>
                <w:sz w:val="21"/>
              </w:rPr>
            </w:pPr>
          </w:p>
        </w:tc>
        <w:tc>
          <w:tcPr>
            <w:tcW w:w="0" w:type="auto"/>
            <w:vMerge/>
          </w:tcPr>
          <w:p w:rsidR="00A46452" w:rsidRDefault="00A46452">
            <w:pPr>
              <w:wordWrap w:val="0"/>
              <w:topLinePunct/>
              <w:spacing w:line="240" w:lineRule="atLeast"/>
              <w:ind w:firstLineChars="0" w:firstLine="0"/>
              <w:jc w:val="center"/>
              <w:rPr>
                <w:rFonts w:cs="Times New Roman"/>
                <w:bCs/>
                <w:kern w:val="0"/>
                <w:sz w:val="21"/>
              </w:rPr>
            </w:pPr>
          </w:p>
        </w:tc>
        <w:tc>
          <w:tcPr>
            <w:tcW w:w="0" w:type="auto"/>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面积（</w:t>
            </w:r>
            <w:r>
              <w:rPr>
                <w:rFonts w:cs="Times New Roman"/>
                <w:bCs/>
                <w:kern w:val="0"/>
                <w:sz w:val="21"/>
              </w:rPr>
              <w:t>km</w:t>
            </w:r>
            <w:r>
              <w:rPr>
                <w:rFonts w:cs="Times New Roman"/>
                <w:bCs/>
                <w:kern w:val="0"/>
                <w:sz w:val="21"/>
                <w:vertAlign w:val="superscript"/>
              </w:rPr>
              <w:t>2</w:t>
            </w:r>
            <w:r>
              <w:rPr>
                <w:rFonts w:cs="Times New Roman"/>
                <w:bCs/>
                <w:kern w:val="0"/>
                <w:sz w:val="21"/>
              </w:rPr>
              <w:t>）</w:t>
            </w:r>
          </w:p>
        </w:tc>
        <w:tc>
          <w:tcPr>
            <w:tcW w:w="0" w:type="auto"/>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比例（</w:t>
            </w:r>
            <w:r>
              <w:rPr>
                <w:rFonts w:cs="Times New Roman"/>
                <w:bCs/>
                <w:kern w:val="0"/>
                <w:sz w:val="21"/>
              </w:rPr>
              <w:t>%</w:t>
            </w:r>
            <w:r>
              <w:rPr>
                <w:rFonts w:cs="Times New Roman"/>
                <w:bCs/>
                <w:kern w:val="0"/>
                <w:sz w:val="21"/>
              </w:rPr>
              <w:t>）</w:t>
            </w:r>
          </w:p>
        </w:tc>
        <w:tc>
          <w:tcPr>
            <w:tcW w:w="0" w:type="auto"/>
            <w:shd w:val="clear" w:color="auto" w:fill="auto"/>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面积（</w:t>
            </w:r>
            <w:r>
              <w:rPr>
                <w:rFonts w:cs="Times New Roman"/>
                <w:bCs/>
                <w:kern w:val="0"/>
                <w:sz w:val="21"/>
              </w:rPr>
              <w:t>km</w:t>
            </w:r>
            <w:r>
              <w:rPr>
                <w:rFonts w:cs="Times New Roman"/>
                <w:bCs/>
                <w:kern w:val="0"/>
                <w:sz w:val="21"/>
                <w:vertAlign w:val="superscript"/>
              </w:rPr>
              <w:t>2</w:t>
            </w:r>
            <w:r>
              <w:rPr>
                <w:rFonts w:cs="Times New Roman"/>
                <w:bCs/>
                <w:kern w:val="0"/>
                <w:sz w:val="21"/>
              </w:rPr>
              <w:t>）</w:t>
            </w:r>
          </w:p>
        </w:tc>
        <w:tc>
          <w:tcPr>
            <w:tcW w:w="0" w:type="auto"/>
            <w:shd w:val="clear" w:color="auto" w:fill="auto"/>
          </w:tcPr>
          <w:p w:rsidR="00A46452" w:rsidRDefault="009A3928">
            <w:pPr>
              <w:wordWrap w:val="0"/>
              <w:topLinePunct/>
              <w:spacing w:line="240" w:lineRule="atLeast"/>
              <w:ind w:firstLineChars="0" w:firstLine="0"/>
              <w:jc w:val="center"/>
              <w:rPr>
                <w:rFonts w:cs="Times New Roman"/>
                <w:bCs/>
                <w:kern w:val="0"/>
                <w:sz w:val="21"/>
              </w:rPr>
            </w:pPr>
            <w:r>
              <w:rPr>
                <w:rFonts w:cs="Times New Roman"/>
                <w:bCs/>
                <w:kern w:val="0"/>
                <w:sz w:val="21"/>
              </w:rPr>
              <w:t>比例（</w:t>
            </w:r>
            <w:r>
              <w:rPr>
                <w:rFonts w:cs="Times New Roman"/>
                <w:bCs/>
                <w:kern w:val="0"/>
                <w:sz w:val="21"/>
              </w:rPr>
              <w:t>%</w:t>
            </w:r>
            <w:r>
              <w:rPr>
                <w:rFonts w:cs="Times New Roman"/>
                <w:bCs/>
                <w:kern w:val="0"/>
                <w:sz w:val="21"/>
              </w:rPr>
              <w:t>）</w:t>
            </w:r>
          </w:p>
        </w:tc>
      </w:tr>
      <w:tr w:rsidR="00A46452">
        <w:trPr>
          <w:trHeight w:val="252"/>
          <w:jc w:val="center"/>
        </w:trPr>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温带落叶小叶林</w:t>
            </w:r>
          </w:p>
        </w:tc>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胡杨群系</w:t>
            </w:r>
          </w:p>
        </w:tc>
        <w:tc>
          <w:tcPr>
            <w:tcW w:w="1393"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15.94</w:t>
            </w:r>
          </w:p>
        </w:tc>
        <w:tc>
          <w:tcPr>
            <w:tcW w:w="1236"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13.72</w:t>
            </w:r>
          </w:p>
        </w:tc>
        <w:tc>
          <w:tcPr>
            <w:tcW w:w="1393"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0.43</w:t>
            </w:r>
          </w:p>
        </w:tc>
        <w:tc>
          <w:tcPr>
            <w:tcW w:w="1236"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14.29</w:t>
            </w:r>
          </w:p>
        </w:tc>
      </w:tr>
      <w:tr w:rsidR="00A46452">
        <w:trPr>
          <w:trHeight w:val="104"/>
          <w:jc w:val="center"/>
        </w:trPr>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低地、河漫滩盐化草甸</w:t>
            </w:r>
          </w:p>
        </w:tc>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芦苇群系</w:t>
            </w:r>
          </w:p>
        </w:tc>
        <w:tc>
          <w:tcPr>
            <w:tcW w:w="1393"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3.22</w:t>
            </w:r>
          </w:p>
        </w:tc>
        <w:tc>
          <w:tcPr>
            <w:tcW w:w="1236"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2.77</w:t>
            </w:r>
          </w:p>
        </w:tc>
        <w:tc>
          <w:tcPr>
            <w:tcW w:w="1393" w:type="dxa"/>
            <w:shd w:val="clear" w:color="auto" w:fill="auto"/>
          </w:tcPr>
          <w:p w:rsidR="00A46452" w:rsidRDefault="009A3928">
            <w:pPr>
              <w:widowControl/>
              <w:spacing w:line="240" w:lineRule="atLeast"/>
              <w:ind w:firstLineChars="0" w:firstLine="0"/>
              <w:jc w:val="center"/>
              <w:textAlignment w:val="bottom"/>
              <w:rPr>
                <w:rFonts w:cs="Times New Roman"/>
                <w:kern w:val="0"/>
                <w:sz w:val="21"/>
              </w:rPr>
            </w:pPr>
            <w:r>
              <w:rPr>
                <w:rFonts w:cs="Times New Roman"/>
                <w:kern w:val="0"/>
                <w:sz w:val="21"/>
                <w:lang w:bidi="ar"/>
              </w:rPr>
              <w:t>0.41</w:t>
            </w:r>
          </w:p>
        </w:tc>
        <w:tc>
          <w:tcPr>
            <w:tcW w:w="1236" w:type="dxa"/>
            <w:shd w:val="clear" w:color="auto" w:fill="auto"/>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13.62</w:t>
            </w:r>
          </w:p>
        </w:tc>
      </w:tr>
      <w:tr w:rsidR="00A46452">
        <w:trPr>
          <w:trHeight w:val="104"/>
          <w:jc w:val="center"/>
        </w:trPr>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灌木荒漠</w:t>
            </w:r>
          </w:p>
        </w:tc>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多枝柽柳群系</w:t>
            </w:r>
          </w:p>
        </w:tc>
        <w:tc>
          <w:tcPr>
            <w:tcW w:w="1393"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30.69</w:t>
            </w:r>
          </w:p>
        </w:tc>
        <w:tc>
          <w:tcPr>
            <w:tcW w:w="1236"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26.43</w:t>
            </w:r>
          </w:p>
        </w:tc>
        <w:tc>
          <w:tcPr>
            <w:tcW w:w="1393"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0.35</w:t>
            </w:r>
          </w:p>
        </w:tc>
        <w:tc>
          <w:tcPr>
            <w:tcW w:w="1236" w:type="dxa"/>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11.63</w:t>
            </w:r>
          </w:p>
        </w:tc>
      </w:tr>
      <w:tr w:rsidR="00A46452">
        <w:trPr>
          <w:trHeight w:val="104"/>
          <w:jc w:val="center"/>
        </w:trPr>
        <w:tc>
          <w:tcPr>
            <w:tcW w:w="0" w:type="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荒漠草地</w:t>
            </w:r>
          </w:p>
        </w:tc>
        <w:tc>
          <w:tcPr>
            <w:tcW w:w="0" w:type="auto"/>
            <w:shd w:val="clear" w:color="auto" w:fill="auto"/>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骆驼刺群系</w:t>
            </w:r>
          </w:p>
        </w:tc>
        <w:tc>
          <w:tcPr>
            <w:tcW w:w="1393" w:type="dxa"/>
            <w:shd w:val="clear" w:color="auto" w:fill="auto"/>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4.56</w:t>
            </w:r>
          </w:p>
        </w:tc>
        <w:tc>
          <w:tcPr>
            <w:tcW w:w="1236" w:type="dxa"/>
            <w:shd w:val="clear" w:color="auto" w:fill="auto"/>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3.93</w:t>
            </w:r>
          </w:p>
        </w:tc>
        <w:tc>
          <w:tcPr>
            <w:tcW w:w="1393" w:type="dxa"/>
            <w:shd w:val="clear" w:color="auto" w:fill="auto"/>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0.56</w:t>
            </w:r>
          </w:p>
        </w:tc>
        <w:tc>
          <w:tcPr>
            <w:tcW w:w="1236" w:type="dxa"/>
            <w:shd w:val="clear" w:color="auto" w:fill="auto"/>
          </w:tcPr>
          <w:p w:rsidR="00A46452" w:rsidRDefault="009A3928">
            <w:pPr>
              <w:widowControl/>
              <w:spacing w:line="240" w:lineRule="atLeast"/>
              <w:ind w:firstLineChars="0" w:firstLine="0"/>
              <w:jc w:val="center"/>
              <w:textAlignment w:val="center"/>
              <w:rPr>
                <w:rFonts w:cs="Times New Roman"/>
                <w:kern w:val="0"/>
                <w:sz w:val="21"/>
              </w:rPr>
            </w:pPr>
            <w:r>
              <w:rPr>
                <w:rFonts w:cs="Times New Roman"/>
                <w:kern w:val="0"/>
                <w:sz w:val="21"/>
                <w:lang w:bidi="ar"/>
              </w:rPr>
              <w:t>18.60</w:t>
            </w:r>
          </w:p>
        </w:tc>
      </w:tr>
      <w:tr w:rsidR="00A46452">
        <w:trPr>
          <w:trHeight w:val="266"/>
          <w:jc w:val="center"/>
        </w:trPr>
        <w:tc>
          <w:tcPr>
            <w:tcW w:w="3257" w:type="dxa"/>
            <w:gridSpan w:val="2"/>
          </w:tcPr>
          <w:p w:rsidR="00A46452" w:rsidRDefault="009A3928">
            <w:pPr>
              <w:wordWrap w:val="0"/>
              <w:topLinePunct/>
              <w:spacing w:line="240" w:lineRule="atLeast"/>
              <w:ind w:firstLineChars="0" w:firstLine="0"/>
              <w:jc w:val="center"/>
              <w:rPr>
                <w:rFonts w:cs="Times New Roman"/>
                <w:kern w:val="0"/>
                <w:sz w:val="21"/>
              </w:rPr>
            </w:pPr>
            <w:r>
              <w:rPr>
                <w:rFonts w:cs="Times New Roman"/>
                <w:kern w:val="0"/>
                <w:sz w:val="21"/>
              </w:rPr>
              <w:t>合计</w:t>
            </w:r>
          </w:p>
        </w:tc>
        <w:tc>
          <w:tcPr>
            <w:tcW w:w="1393" w:type="dxa"/>
            <w:shd w:val="clear" w:color="auto" w:fill="auto"/>
          </w:tcPr>
          <w:p w:rsidR="00A46452" w:rsidRDefault="009A3928">
            <w:pPr>
              <w:widowControl/>
              <w:spacing w:line="240" w:lineRule="atLeast"/>
              <w:ind w:firstLineChars="0" w:firstLine="0"/>
              <w:jc w:val="center"/>
              <w:textAlignment w:val="center"/>
              <w:rPr>
                <w:rFonts w:cs="Times New Roman"/>
                <w:kern w:val="0"/>
                <w:sz w:val="21"/>
                <w:lang w:bidi="ar"/>
              </w:rPr>
            </w:pPr>
            <w:r>
              <w:rPr>
                <w:rFonts w:cs="Times New Roman"/>
                <w:kern w:val="0"/>
                <w:sz w:val="21"/>
                <w:lang w:bidi="ar"/>
              </w:rPr>
              <w:t xml:space="preserve">54.41 </w:t>
            </w:r>
          </w:p>
        </w:tc>
        <w:tc>
          <w:tcPr>
            <w:tcW w:w="1236" w:type="dxa"/>
            <w:shd w:val="clear" w:color="auto" w:fill="auto"/>
          </w:tcPr>
          <w:p w:rsidR="00A46452" w:rsidRDefault="009A3928">
            <w:pPr>
              <w:widowControl/>
              <w:spacing w:line="240" w:lineRule="atLeast"/>
              <w:ind w:firstLineChars="0" w:firstLine="0"/>
              <w:jc w:val="center"/>
              <w:textAlignment w:val="center"/>
              <w:rPr>
                <w:rFonts w:cs="Times New Roman"/>
                <w:kern w:val="0"/>
                <w:sz w:val="21"/>
                <w:lang w:bidi="ar"/>
              </w:rPr>
            </w:pPr>
            <w:r>
              <w:rPr>
                <w:rFonts w:cs="Times New Roman"/>
                <w:kern w:val="0"/>
                <w:sz w:val="21"/>
                <w:lang w:bidi="ar"/>
              </w:rPr>
              <w:t xml:space="preserve">46.85 </w:t>
            </w:r>
          </w:p>
        </w:tc>
        <w:tc>
          <w:tcPr>
            <w:tcW w:w="1393" w:type="dxa"/>
            <w:shd w:val="clear" w:color="auto" w:fill="auto"/>
          </w:tcPr>
          <w:p w:rsidR="00A46452" w:rsidRDefault="009A3928">
            <w:pPr>
              <w:widowControl/>
              <w:spacing w:line="240" w:lineRule="atLeast"/>
              <w:ind w:firstLineChars="0" w:firstLine="0"/>
              <w:jc w:val="center"/>
              <w:textAlignment w:val="center"/>
              <w:rPr>
                <w:rFonts w:cs="Times New Roman"/>
                <w:kern w:val="0"/>
                <w:sz w:val="21"/>
                <w:lang w:bidi="ar"/>
              </w:rPr>
            </w:pPr>
            <w:r>
              <w:rPr>
                <w:rFonts w:cs="Times New Roman"/>
                <w:kern w:val="0"/>
                <w:sz w:val="21"/>
                <w:lang w:bidi="ar"/>
              </w:rPr>
              <w:t xml:space="preserve">1.75 </w:t>
            </w:r>
          </w:p>
        </w:tc>
        <w:tc>
          <w:tcPr>
            <w:tcW w:w="1236" w:type="dxa"/>
            <w:shd w:val="clear" w:color="auto" w:fill="auto"/>
          </w:tcPr>
          <w:p w:rsidR="00A46452" w:rsidRDefault="009A3928">
            <w:pPr>
              <w:widowControl/>
              <w:spacing w:line="240" w:lineRule="atLeast"/>
              <w:ind w:firstLineChars="0" w:firstLine="0"/>
              <w:jc w:val="center"/>
              <w:textAlignment w:val="center"/>
              <w:rPr>
                <w:rFonts w:cs="Times New Roman"/>
                <w:kern w:val="0"/>
                <w:sz w:val="21"/>
                <w:lang w:bidi="ar"/>
              </w:rPr>
            </w:pPr>
            <w:r>
              <w:rPr>
                <w:rFonts w:cs="Times New Roman"/>
                <w:kern w:val="0"/>
                <w:sz w:val="21"/>
                <w:lang w:bidi="ar"/>
              </w:rPr>
              <w:t xml:space="preserve">58.14 </w:t>
            </w:r>
          </w:p>
        </w:tc>
      </w:tr>
    </w:tbl>
    <w:p w:rsidR="00A46452" w:rsidRDefault="009A3928">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w:t>
      </w:r>
      <w:r>
        <w:rPr>
          <w:rFonts w:cs="Times New Roman" w:hint="default"/>
          <w:iCs/>
        </w:rPr>
        <w:t>.2.5.4</w:t>
      </w:r>
      <w:r>
        <w:rPr>
          <w:rFonts w:cs="Times New Roman" w:hint="default"/>
          <w:iCs/>
        </w:rPr>
        <w:t>陆生植物调查</w:t>
      </w:r>
    </w:p>
    <w:p w:rsidR="00A46452" w:rsidRDefault="009A3928">
      <w:pPr>
        <w:wordWrap w:val="0"/>
        <w:topLinePunct/>
        <w:ind w:firstLine="480"/>
        <w:rPr>
          <w:rFonts w:cs="Times New Roman"/>
          <w:snapToGrid w:val="0"/>
        </w:rPr>
      </w:pPr>
      <w:r>
        <w:rPr>
          <w:rFonts w:cs="Times New Roman"/>
          <w:snapToGrid w:val="0"/>
        </w:rPr>
        <w:t>为掌握项目评价区植被情况，本次调查主要采用现场调查、布设样方和资料收集等方式。根据拟建公路矢量与涉及敏感生态目标矢量叠加对比发现，拟建公路</w:t>
      </w:r>
      <w:r>
        <w:rPr>
          <w:rFonts w:cs="Times New Roman"/>
          <w:snapToGrid w:val="0"/>
        </w:rPr>
        <w:t>K</w:t>
      </w:r>
      <w:r>
        <w:rPr>
          <w:rFonts w:cs="Times New Roman"/>
          <w:snapToGrid w:val="0"/>
        </w:rPr>
        <w:t>3+280</w:t>
      </w:r>
      <w:r>
        <w:rPr>
          <w:rFonts w:cs="Times New Roman"/>
          <w:snapToGrid w:val="0"/>
        </w:rPr>
        <w:t>~K</w:t>
      </w:r>
      <w:r>
        <w:rPr>
          <w:rFonts w:cs="Times New Roman"/>
          <w:snapToGrid w:val="0"/>
        </w:rPr>
        <w:t>3+520</w:t>
      </w:r>
      <w:r>
        <w:rPr>
          <w:rFonts w:cs="Times New Roman"/>
          <w:snapToGrid w:val="0"/>
        </w:rPr>
        <w:t>、</w:t>
      </w:r>
      <w:r>
        <w:rPr>
          <w:rFonts w:cs="Times New Roman"/>
          <w:snapToGrid w:val="0"/>
        </w:rPr>
        <w:t>K</w:t>
      </w:r>
      <w:r>
        <w:rPr>
          <w:rFonts w:cs="Times New Roman"/>
          <w:snapToGrid w:val="0"/>
        </w:rPr>
        <w:t>4+440</w:t>
      </w:r>
      <w:r>
        <w:rPr>
          <w:rFonts w:cs="Times New Roman"/>
          <w:snapToGrid w:val="0"/>
        </w:rPr>
        <w:t>~K</w:t>
      </w:r>
      <w:r>
        <w:rPr>
          <w:rFonts w:cs="Times New Roman"/>
          <w:snapToGrid w:val="0"/>
        </w:rPr>
        <w:t>4+620</w:t>
      </w:r>
      <w:r>
        <w:rPr>
          <w:rFonts w:cs="Times New Roman"/>
          <w:snapToGrid w:val="0"/>
        </w:rPr>
        <w:t>、</w:t>
      </w:r>
      <w:r>
        <w:rPr>
          <w:rFonts w:cs="Times New Roman"/>
          <w:snapToGrid w:val="0"/>
        </w:rPr>
        <w:t>K</w:t>
      </w:r>
      <w:r>
        <w:rPr>
          <w:rFonts w:cs="Times New Roman"/>
          <w:snapToGrid w:val="0"/>
        </w:rPr>
        <w:t>22+460</w:t>
      </w:r>
      <w:r>
        <w:rPr>
          <w:rFonts w:cs="Times New Roman"/>
          <w:snapToGrid w:val="0"/>
        </w:rPr>
        <w:t>~K</w:t>
      </w:r>
      <w:r>
        <w:rPr>
          <w:rFonts w:cs="Times New Roman"/>
          <w:snapToGrid w:val="0"/>
        </w:rPr>
        <w:t>24+680</w:t>
      </w:r>
      <w:r>
        <w:rPr>
          <w:rFonts w:cs="Times New Roman"/>
          <w:snapToGrid w:val="0"/>
        </w:rPr>
        <w:t>、</w:t>
      </w:r>
      <w:r>
        <w:rPr>
          <w:rFonts w:cs="Times New Roman"/>
          <w:snapToGrid w:val="0"/>
        </w:rPr>
        <w:t>K</w:t>
      </w:r>
      <w:r>
        <w:rPr>
          <w:rFonts w:cs="Times New Roman"/>
          <w:snapToGrid w:val="0"/>
        </w:rPr>
        <w:t>26+780</w:t>
      </w:r>
      <w:r>
        <w:rPr>
          <w:rFonts w:cs="Times New Roman"/>
          <w:snapToGrid w:val="0"/>
        </w:rPr>
        <w:t>~K</w:t>
      </w:r>
      <w:r>
        <w:rPr>
          <w:rFonts w:cs="Times New Roman"/>
          <w:snapToGrid w:val="0"/>
        </w:rPr>
        <w:t>32+240</w:t>
      </w:r>
      <w:r>
        <w:rPr>
          <w:rFonts w:cs="Times New Roman"/>
          <w:snapToGrid w:val="0"/>
        </w:rPr>
        <w:t>、</w:t>
      </w:r>
      <w:r>
        <w:rPr>
          <w:rFonts w:cs="Times New Roman"/>
          <w:snapToGrid w:val="0"/>
        </w:rPr>
        <w:t>K</w:t>
      </w:r>
      <w:r>
        <w:rPr>
          <w:rFonts w:cs="Times New Roman"/>
          <w:snapToGrid w:val="0"/>
        </w:rPr>
        <w:t>42+980</w:t>
      </w:r>
      <w:r>
        <w:rPr>
          <w:rFonts w:cs="Times New Roman"/>
          <w:snapToGrid w:val="0"/>
        </w:rPr>
        <w:t>~K</w:t>
      </w:r>
      <w:r>
        <w:rPr>
          <w:rFonts w:cs="Times New Roman"/>
          <w:snapToGrid w:val="0"/>
        </w:rPr>
        <w:t>45+540</w:t>
      </w:r>
      <w:r>
        <w:rPr>
          <w:rFonts w:cs="Times New Roman"/>
          <w:snapToGrid w:val="0"/>
        </w:rPr>
        <w:t>建设段评价范围内涉及国家二级公益林，，</w:t>
      </w:r>
      <w:r>
        <w:rPr>
          <w:rFonts w:cs="Times New Roman"/>
        </w:rPr>
        <w:t>本次为了调查清楚沿线公益林生长情况，</w:t>
      </w:r>
      <w:r>
        <w:rPr>
          <w:rFonts w:cs="Times New Roman"/>
          <w:snapToGrid w:val="0"/>
        </w:rPr>
        <w:t>根据《环境影响评价技术导则</w:t>
      </w:r>
      <w:r>
        <w:rPr>
          <w:rFonts w:cs="Times New Roman"/>
          <w:snapToGrid w:val="0"/>
        </w:rPr>
        <w:t xml:space="preserve"> </w:t>
      </w:r>
      <w:r>
        <w:rPr>
          <w:rFonts w:cs="Times New Roman"/>
          <w:snapToGrid w:val="0"/>
        </w:rPr>
        <w:t>公路建设项目》（</w:t>
      </w:r>
      <w:r>
        <w:rPr>
          <w:rFonts w:cs="Times New Roman"/>
          <w:snapToGrid w:val="0"/>
        </w:rPr>
        <w:t>HJ1358-2024</w:t>
      </w:r>
      <w:r>
        <w:rPr>
          <w:rFonts w:cs="Times New Roman"/>
          <w:snapToGrid w:val="0"/>
        </w:rPr>
        <w:t>）相关要求判定</w:t>
      </w:r>
      <w:r>
        <w:rPr>
          <w:rFonts w:cs="Times New Roman"/>
        </w:rPr>
        <w:t>要求，对沿线公益林分布路段，按照群系类型进行了生态调查。</w:t>
      </w:r>
      <w:r>
        <w:rPr>
          <w:rFonts w:cs="Times New Roman"/>
          <w:snapToGrid w:val="0"/>
        </w:rPr>
        <w:t>根据《环境影响评价技术导则</w:t>
      </w:r>
      <w:r>
        <w:rPr>
          <w:rFonts w:cs="Times New Roman"/>
          <w:snapToGrid w:val="0"/>
        </w:rPr>
        <w:t xml:space="preserve"> </w:t>
      </w:r>
      <w:r>
        <w:rPr>
          <w:rFonts w:cs="Times New Roman"/>
          <w:snapToGrid w:val="0"/>
        </w:rPr>
        <w:t>公路建设项目》（</w:t>
      </w:r>
      <w:r>
        <w:rPr>
          <w:rFonts w:cs="Times New Roman"/>
          <w:snapToGrid w:val="0"/>
        </w:rPr>
        <w:t>HJ1358-2024</w:t>
      </w:r>
      <w:r>
        <w:rPr>
          <w:rFonts w:cs="Times New Roman"/>
          <w:snapToGrid w:val="0"/>
        </w:rPr>
        <w:t>）相关要求</w:t>
      </w:r>
      <w:r>
        <w:rPr>
          <w:rFonts w:cs="Times New Roman"/>
          <w:snapToGrid w:val="0"/>
        </w:rPr>
        <w:t>“</w:t>
      </w:r>
      <w:r>
        <w:rPr>
          <w:rFonts w:cs="Times New Roman"/>
          <w:snapToGrid w:val="0"/>
        </w:rPr>
        <w:t>设置样方调查自然植被现状时，应按群落类型合理设置样方数量并根据群落特征合理设定样方的位置和面积；评价等级为二级的路段每类群落设置样方不少于</w:t>
      </w:r>
      <w:r>
        <w:rPr>
          <w:rFonts w:cs="Times New Roman"/>
          <w:snapToGrid w:val="0"/>
        </w:rPr>
        <w:t>3</w:t>
      </w:r>
      <w:r>
        <w:rPr>
          <w:rFonts w:cs="Times New Roman"/>
          <w:snapToGrid w:val="0"/>
        </w:rPr>
        <w:t>个</w:t>
      </w:r>
      <w:r>
        <w:rPr>
          <w:rFonts w:cs="Times New Roman"/>
          <w:snapToGrid w:val="0"/>
        </w:rPr>
        <w:t>”</w:t>
      </w:r>
      <w:r>
        <w:rPr>
          <w:rFonts w:cs="Times New Roman"/>
          <w:snapToGrid w:val="0"/>
        </w:rPr>
        <w:t>。样方布设情况见表</w:t>
      </w:r>
      <w:r>
        <w:rPr>
          <w:rFonts w:cs="Times New Roman"/>
          <w:snapToGrid w:val="0"/>
        </w:rPr>
        <w:t>4.2-7</w:t>
      </w:r>
      <w:r>
        <w:rPr>
          <w:rFonts w:cs="Times New Roman"/>
          <w:snapToGrid w:val="0"/>
        </w:rPr>
        <w:t>，样方样线分布图见图</w:t>
      </w:r>
      <w:r>
        <w:rPr>
          <w:rFonts w:cs="Times New Roman"/>
          <w:snapToGrid w:val="0"/>
        </w:rPr>
        <w:t>4.2-4</w:t>
      </w:r>
      <w:r>
        <w:rPr>
          <w:rFonts w:cs="Times New Roman"/>
          <w:snapToGrid w:val="0"/>
        </w:rPr>
        <w:t>。</w:t>
      </w:r>
    </w:p>
    <w:p w:rsidR="00A46452" w:rsidRDefault="009A3928">
      <w:pPr>
        <w:wordWrap w:val="0"/>
        <w:topLinePunct/>
        <w:ind w:firstLine="480"/>
        <w:rPr>
          <w:rFonts w:cs="Times New Roman"/>
          <w:snapToGrid w:val="0"/>
        </w:rPr>
      </w:pPr>
      <w:r>
        <w:rPr>
          <w:rFonts w:cs="Times New Roman"/>
          <w:snapToGrid w:val="0"/>
        </w:rPr>
        <w:t>通过本次实地调查评价区主要有胡杨群落、柽柳群落、</w:t>
      </w:r>
      <w:r>
        <w:rPr>
          <w:rFonts w:cs="Times New Roman"/>
          <w:snapToGrid w:val="0"/>
        </w:rPr>
        <w:t>芦苇群落和</w:t>
      </w:r>
      <w:r>
        <w:rPr>
          <w:rFonts w:cs="Times New Roman"/>
          <w:snapToGrid w:val="0"/>
        </w:rPr>
        <w:t>骆驼刺群落，对每个群落均布设</w:t>
      </w:r>
      <w:r>
        <w:rPr>
          <w:rFonts w:cs="Times New Roman"/>
          <w:snapToGrid w:val="0"/>
        </w:rPr>
        <w:t>3</w:t>
      </w:r>
      <w:r>
        <w:rPr>
          <w:rFonts w:cs="Times New Roman"/>
          <w:snapToGrid w:val="0"/>
        </w:rPr>
        <w:t>个样</w:t>
      </w:r>
      <w:r>
        <w:rPr>
          <w:rFonts w:cs="Times New Roman"/>
          <w:snapToGrid w:val="0"/>
        </w:rPr>
        <w:t>方。共设置植被调查样地</w:t>
      </w:r>
      <w:r>
        <w:rPr>
          <w:rFonts w:cs="Times New Roman"/>
          <w:snapToGrid w:val="0"/>
        </w:rPr>
        <w:t>12</w:t>
      </w:r>
      <w:r>
        <w:rPr>
          <w:rFonts w:cs="Times New Roman"/>
          <w:snapToGrid w:val="0"/>
        </w:rPr>
        <w:t>个，其中</w:t>
      </w:r>
      <w:r>
        <w:rPr>
          <w:rFonts w:cs="Times New Roman"/>
          <w:snapToGrid w:val="0"/>
        </w:rPr>
        <w:t>1m×1m</w:t>
      </w:r>
      <w:r>
        <w:rPr>
          <w:rFonts w:cs="Times New Roman"/>
          <w:snapToGrid w:val="0"/>
        </w:rPr>
        <w:t>草本样方</w:t>
      </w:r>
      <w:r>
        <w:rPr>
          <w:rFonts w:cs="Times New Roman"/>
          <w:snapToGrid w:val="0"/>
        </w:rPr>
        <w:t>3</w:t>
      </w:r>
      <w:r>
        <w:rPr>
          <w:rFonts w:cs="Times New Roman"/>
          <w:snapToGrid w:val="0"/>
        </w:rPr>
        <w:t>个，</w:t>
      </w:r>
      <w:r>
        <w:rPr>
          <w:rFonts w:cs="Times New Roman"/>
          <w:snapToGrid w:val="0"/>
        </w:rPr>
        <w:t>5m×5m</w:t>
      </w:r>
      <w:r>
        <w:rPr>
          <w:rFonts w:cs="Times New Roman"/>
          <w:snapToGrid w:val="0"/>
        </w:rPr>
        <w:t>草本</w:t>
      </w:r>
      <w:r>
        <w:rPr>
          <w:rFonts w:cs="Times New Roman"/>
          <w:snapToGrid w:val="0"/>
        </w:rPr>
        <w:t>样方</w:t>
      </w:r>
      <w:r>
        <w:rPr>
          <w:rFonts w:cs="Times New Roman"/>
          <w:snapToGrid w:val="0"/>
        </w:rPr>
        <w:t>3</w:t>
      </w:r>
      <w:r>
        <w:rPr>
          <w:rFonts w:cs="Times New Roman"/>
          <w:snapToGrid w:val="0"/>
        </w:rPr>
        <w:t>个，</w:t>
      </w:r>
      <w:r>
        <w:rPr>
          <w:rFonts w:cs="Times New Roman"/>
          <w:snapToGrid w:val="0"/>
        </w:rPr>
        <w:t>5m×5m</w:t>
      </w:r>
      <w:r>
        <w:rPr>
          <w:rFonts w:cs="Times New Roman"/>
          <w:snapToGrid w:val="0"/>
        </w:rPr>
        <w:t>灌木样方</w:t>
      </w:r>
      <w:r>
        <w:rPr>
          <w:rFonts w:cs="Times New Roman"/>
          <w:snapToGrid w:val="0"/>
        </w:rPr>
        <w:t>3</w:t>
      </w:r>
      <w:r>
        <w:rPr>
          <w:rFonts w:cs="Times New Roman"/>
          <w:snapToGrid w:val="0"/>
        </w:rPr>
        <w:t>个，</w:t>
      </w:r>
      <w:r>
        <w:rPr>
          <w:rFonts w:cs="Times New Roman"/>
          <w:snapToGrid w:val="0"/>
        </w:rPr>
        <w:t>10m×10m</w:t>
      </w:r>
      <w:r>
        <w:rPr>
          <w:rFonts w:cs="Times New Roman"/>
          <w:snapToGrid w:val="0"/>
        </w:rPr>
        <w:t>乔木样方</w:t>
      </w:r>
      <w:r>
        <w:rPr>
          <w:rFonts w:cs="Times New Roman"/>
          <w:snapToGrid w:val="0"/>
        </w:rPr>
        <w:t>3</w:t>
      </w:r>
      <w:r>
        <w:rPr>
          <w:rFonts w:cs="Times New Roman"/>
          <w:snapToGrid w:val="0"/>
        </w:rPr>
        <w:t>个。详细样方调查情况见下表。</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8</w:t>
      </w:r>
      <w:r>
        <w:rPr>
          <w:rFonts w:ascii="Times New Roman" w:hAnsi="Times New Roman" w:cs="Times New Roman" w:hint="default"/>
          <w:sz w:val="24"/>
          <w:szCs w:val="24"/>
        </w:rPr>
        <w:t xml:space="preserve">                      </w:t>
      </w:r>
      <w:r>
        <w:rPr>
          <w:rFonts w:ascii="Times New Roman" w:hAnsi="Times New Roman" w:cs="Times New Roman" w:hint="default"/>
          <w:sz w:val="24"/>
          <w:szCs w:val="24"/>
        </w:rPr>
        <w:t>植物样方调查表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40"/>
        <w:gridCol w:w="1158"/>
        <w:gridCol w:w="118"/>
        <w:gridCol w:w="1049"/>
        <w:gridCol w:w="1192"/>
        <w:gridCol w:w="1000"/>
        <w:gridCol w:w="943"/>
        <w:gridCol w:w="63"/>
        <w:gridCol w:w="1475"/>
      </w:tblGrid>
      <w:tr w:rsidR="00A46452">
        <w:trPr>
          <w:trHeight w:val="170"/>
          <w:jc w:val="center"/>
        </w:trPr>
        <w:tc>
          <w:tcPr>
            <w:tcW w:w="5000" w:type="pct"/>
            <w:gridSpan w:val="10"/>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rPr>
                <w:rFonts w:cs="Times New Roman"/>
              </w:rPr>
            </w:pPr>
            <w:r>
              <w:rPr>
                <w:rFonts w:cs="Times New Roman"/>
                <w:b/>
                <w:bCs/>
                <w:sz w:val="22"/>
                <w:szCs w:val="28"/>
              </w:rPr>
              <w:t>陆生生态二级评价区样方</w:t>
            </w:r>
          </w:p>
        </w:tc>
      </w:tr>
      <w:tr w:rsidR="00A46452">
        <w:trPr>
          <w:trHeight w:val="90"/>
          <w:jc w:val="center"/>
        </w:trPr>
        <w:tc>
          <w:tcPr>
            <w:tcW w:w="1640" w:type="pct"/>
            <w:gridSpan w:val="4"/>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群系名称</w:t>
            </w:r>
          </w:p>
        </w:tc>
        <w:tc>
          <w:tcPr>
            <w:tcW w:w="3359" w:type="pct"/>
            <w:gridSpan w:val="6"/>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胡杨柳群系</w:t>
            </w:r>
          </w:p>
        </w:tc>
      </w:tr>
      <w:tr w:rsidR="00A46452">
        <w:trPr>
          <w:trHeight w:val="340"/>
          <w:jc w:val="center"/>
        </w:trPr>
        <w:tc>
          <w:tcPr>
            <w:tcW w:w="398" w:type="pct"/>
            <w:tcBorders>
              <w:top w:val="single" w:sz="12" w:space="0" w:color="auto"/>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18"/>
                <w:szCs w:val="18"/>
              </w:rPr>
            </w:pPr>
            <w:r>
              <w:rPr>
                <w:rFonts w:cs="Times New Roman"/>
                <w:b/>
                <w:bCs/>
                <w:spacing w:val="-8"/>
                <w:sz w:val="18"/>
                <w:szCs w:val="18"/>
              </w:rPr>
              <w:t>序号</w:t>
            </w:r>
          </w:p>
        </w:tc>
        <w:tc>
          <w:tcPr>
            <w:tcW w:w="493" w:type="pct"/>
            <w:tcBorders>
              <w:top w:val="single" w:sz="12" w:space="0" w:color="auto"/>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样方</w:t>
            </w:r>
          </w:p>
        </w:tc>
        <w:tc>
          <w:tcPr>
            <w:tcW w:w="1365" w:type="pct"/>
            <w:gridSpan w:val="3"/>
            <w:tcBorders>
              <w:top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群系坐标</w:t>
            </w:r>
          </w:p>
        </w:tc>
        <w:tc>
          <w:tcPr>
            <w:tcW w:w="700" w:type="pct"/>
            <w:tcBorders>
              <w:top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植物种</w:t>
            </w:r>
          </w:p>
        </w:tc>
        <w:tc>
          <w:tcPr>
            <w:tcW w:w="587" w:type="pct"/>
            <w:tcBorders>
              <w:top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样方盖度（</w:t>
            </w:r>
            <w:r>
              <w:rPr>
                <w:rFonts w:cs="Times New Roman"/>
                <w:b/>
                <w:bCs/>
                <w:spacing w:val="-8"/>
                <w:sz w:val="18"/>
                <w:szCs w:val="18"/>
              </w:rPr>
              <w:t>%</w:t>
            </w:r>
            <w:r>
              <w:rPr>
                <w:rFonts w:cs="Times New Roman"/>
                <w:b/>
                <w:bCs/>
                <w:spacing w:val="-8"/>
                <w:sz w:val="18"/>
                <w:szCs w:val="18"/>
              </w:rPr>
              <w:t>）</w:t>
            </w:r>
          </w:p>
        </w:tc>
        <w:tc>
          <w:tcPr>
            <w:tcW w:w="554" w:type="pct"/>
            <w:tcBorders>
              <w:top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平均高度（</w:t>
            </w:r>
            <w:r>
              <w:rPr>
                <w:rFonts w:cs="Times New Roman"/>
                <w:b/>
                <w:bCs/>
                <w:spacing w:val="-8"/>
                <w:sz w:val="18"/>
                <w:szCs w:val="18"/>
              </w:rPr>
              <w:t>cm</w:t>
            </w:r>
            <w:r>
              <w:rPr>
                <w:rFonts w:cs="Times New Roman"/>
                <w:b/>
                <w:bCs/>
                <w:spacing w:val="-8"/>
                <w:sz w:val="18"/>
                <w:szCs w:val="18"/>
              </w:rPr>
              <w:t>）</w:t>
            </w:r>
          </w:p>
        </w:tc>
        <w:tc>
          <w:tcPr>
            <w:tcW w:w="899" w:type="pct"/>
            <w:gridSpan w:val="2"/>
            <w:tcBorders>
              <w:top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18"/>
                <w:szCs w:val="18"/>
              </w:rPr>
              <w:t>样方范围内植物数量</w:t>
            </w:r>
          </w:p>
        </w:tc>
      </w:tr>
      <w:tr w:rsidR="00A46452">
        <w:trPr>
          <w:trHeight w:val="90"/>
          <w:jc w:val="center"/>
        </w:trPr>
        <w:tc>
          <w:tcPr>
            <w:tcW w:w="398" w:type="pct"/>
            <w:tcBorders>
              <w:left w:val="single" w:sz="12" w:space="0" w:color="auto"/>
            </w:tcBorders>
            <w:shd w:val="clear" w:color="auto" w:fill="auto"/>
            <w:vAlign w:val="center"/>
          </w:tcPr>
          <w:p w:rsidR="00A46452" w:rsidRDefault="009A3928">
            <w:pPr>
              <w:wordWrap w:val="0"/>
              <w:topLinePunct/>
              <w:spacing w:line="240" w:lineRule="exact"/>
              <w:ind w:firstLineChars="0" w:firstLine="0"/>
              <w:jc w:val="center"/>
              <w:textAlignment w:val="baseline"/>
              <w:rPr>
                <w:rFonts w:cs="Times New Roman"/>
                <w:b/>
                <w:bCs/>
                <w:spacing w:val="-8"/>
                <w:sz w:val="18"/>
                <w:szCs w:val="18"/>
              </w:rPr>
            </w:pPr>
            <w:r>
              <w:rPr>
                <w:rFonts w:cs="Times New Roman"/>
                <w:b/>
                <w:bCs/>
                <w:spacing w:val="-8"/>
                <w:sz w:val="18"/>
                <w:szCs w:val="18"/>
              </w:rPr>
              <w:t>1</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E79.27663</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 xml:space="preserve">N39.86748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胡杨</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31</w:t>
            </w:r>
          </w:p>
        </w:tc>
        <w:tc>
          <w:tcPr>
            <w:tcW w:w="55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38</w:t>
            </w:r>
            <w:r>
              <w:rPr>
                <w:rFonts w:cs="Times New Roman"/>
                <w:spacing w:val="-8"/>
                <w:sz w:val="18"/>
                <w:szCs w:val="18"/>
              </w:rPr>
              <w:t>0</w:t>
            </w:r>
          </w:p>
        </w:tc>
        <w:tc>
          <w:tcPr>
            <w:tcW w:w="89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r>
      <w:tr w:rsidR="00A46452">
        <w:trPr>
          <w:trHeight w:val="269"/>
          <w:jc w:val="center"/>
        </w:trPr>
        <w:tc>
          <w:tcPr>
            <w:tcW w:w="398" w:type="pct"/>
            <w:vMerge w:val="restart"/>
            <w:tcBorders>
              <w:left w:val="single" w:sz="12" w:space="0" w:color="auto"/>
            </w:tcBorders>
            <w:shd w:val="clear" w:color="auto" w:fill="auto"/>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c>
          <w:tcPr>
            <w:tcW w:w="493" w:type="pct"/>
            <w:vMerge w:val="restar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c>
          <w:tcPr>
            <w:tcW w:w="1365" w:type="pct"/>
            <w:gridSpan w:val="3"/>
            <w:vMerge w:val="restar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79.34809</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40.00719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胡杨</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20</w:t>
            </w:r>
          </w:p>
        </w:tc>
        <w:tc>
          <w:tcPr>
            <w:tcW w:w="55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4</w:t>
            </w:r>
            <w:r>
              <w:rPr>
                <w:rFonts w:cs="Times New Roman"/>
                <w:spacing w:val="-8"/>
                <w:sz w:val="18"/>
                <w:szCs w:val="18"/>
              </w:rPr>
              <w:t>2</w:t>
            </w:r>
            <w:r>
              <w:rPr>
                <w:rFonts w:cs="Times New Roman"/>
                <w:spacing w:val="-8"/>
                <w:sz w:val="18"/>
                <w:szCs w:val="18"/>
              </w:rPr>
              <w:t>0</w:t>
            </w:r>
          </w:p>
        </w:tc>
        <w:tc>
          <w:tcPr>
            <w:tcW w:w="89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r>
      <w:tr w:rsidR="00A46452">
        <w:trPr>
          <w:trHeight w:val="286"/>
          <w:jc w:val="center"/>
        </w:trPr>
        <w:tc>
          <w:tcPr>
            <w:tcW w:w="398" w:type="pct"/>
            <w:vMerge/>
            <w:tcBorders>
              <w:left w:val="single" w:sz="12" w:space="0" w:color="auto"/>
            </w:tcBorders>
            <w:shd w:val="clear" w:color="auto" w:fill="auto"/>
            <w:vAlign w:val="center"/>
          </w:tcPr>
          <w:p w:rsidR="00A46452" w:rsidRDefault="00A46452">
            <w:pPr>
              <w:wordWrap w:val="0"/>
              <w:topLinePunct/>
              <w:spacing w:line="240" w:lineRule="exact"/>
              <w:ind w:firstLineChars="0" w:firstLine="0"/>
              <w:jc w:val="center"/>
              <w:textAlignment w:val="baseline"/>
              <w:rPr>
                <w:rFonts w:cs="Times New Roman"/>
                <w:spacing w:val="-8"/>
                <w:sz w:val="18"/>
                <w:szCs w:val="18"/>
              </w:rPr>
            </w:pPr>
          </w:p>
        </w:tc>
        <w:tc>
          <w:tcPr>
            <w:tcW w:w="493" w:type="pct"/>
            <w:vMerge/>
            <w:tcBorders>
              <w:left w:val="single" w:sz="12" w:space="0" w:color="auto"/>
            </w:tcBorders>
            <w:vAlign w:val="center"/>
          </w:tcPr>
          <w:p w:rsidR="00A46452" w:rsidRDefault="00A46452">
            <w:pPr>
              <w:wordWrap w:val="0"/>
              <w:topLinePunct/>
              <w:spacing w:line="240" w:lineRule="exact"/>
              <w:ind w:firstLineChars="0" w:firstLine="0"/>
              <w:jc w:val="center"/>
              <w:textAlignment w:val="baseline"/>
              <w:rPr>
                <w:rFonts w:cs="Times New Roman"/>
                <w:spacing w:val="-8"/>
                <w:sz w:val="18"/>
                <w:szCs w:val="18"/>
              </w:rPr>
            </w:pPr>
          </w:p>
        </w:tc>
        <w:tc>
          <w:tcPr>
            <w:tcW w:w="1365" w:type="pct"/>
            <w:gridSpan w:val="3"/>
            <w:vMerge/>
            <w:vAlign w:val="center"/>
          </w:tcPr>
          <w:p w:rsidR="00A46452" w:rsidRDefault="00A46452">
            <w:pPr>
              <w:wordWrap w:val="0"/>
              <w:topLinePunct/>
              <w:spacing w:line="240" w:lineRule="exact"/>
              <w:ind w:firstLineChars="0" w:firstLine="0"/>
              <w:jc w:val="center"/>
              <w:textAlignment w:val="baseline"/>
              <w:rPr>
                <w:rFonts w:cs="Times New Roman"/>
                <w:spacing w:val="-8"/>
                <w:sz w:val="18"/>
                <w:szCs w:val="18"/>
              </w:rPr>
            </w:pP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骆驼刺</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r>
              <w:rPr>
                <w:rFonts w:cs="Times New Roman"/>
                <w:spacing w:val="-8"/>
                <w:sz w:val="18"/>
                <w:szCs w:val="18"/>
              </w:rPr>
              <w:t>5</w:t>
            </w:r>
          </w:p>
        </w:tc>
        <w:tc>
          <w:tcPr>
            <w:tcW w:w="55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7</w:t>
            </w:r>
            <w:r>
              <w:rPr>
                <w:rFonts w:cs="Times New Roman"/>
                <w:spacing w:val="-8"/>
                <w:sz w:val="18"/>
                <w:szCs w:val="18"/>
              </w:rPr>
              <w:t>0</w:t>
            </w:r>
          </w:p>
        </w:tc>
        <w:tc>
          <w:tcPr>
            <w:tcW w:w="89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8</w:t>
            </w:r>
          </w:p>
        </w:tc>
      </w:tr>
      <w:tr w:rsidR="00A46452">
        <w:trPr>
          <w:trHeight w:val="303"/>
          <w:jc w:val="center"/>
        </w:trPr>
        <w:tc>
          <w:tcPr>
            <w:tcW w:w="398" w:type="pct"/>
            <w:tcBorders>
              <w:left w:val="single" w:sz="12" w:space="0" w:color="auto"/>
            </w:tcBorders>
            <w:shd w:val="clear" w:color="auto" w:fill="auto"/>
            <w:vAlign w:val="center"/>
          </w:tcPr>
          <w:p w:rsidR="00A46452" w:rsidRDefault="009A3928">
            <w:pPr>
              <w:wordWrap w:val="0"/>
              <w:topLinePunct/>
              <w:spacing w:line="240" w:lineRule="exact"/>
              <w:ind w:firstLineChars="0" w:firstLine="0"/>
              <w:jc w:val="center"/>
              <w:textAlignment w:val="baseline"/>
              <w:rPr>
                <w:rFonts w:cs="Times New Roman"/>
                <w:b/>
                <w:bCs/>
                <w:spacing w:val="-8"/>
                <w:sz w:val="18"/>
                <w:szCs w:val="18"/>
              </w:rPr>
            </w:pPr>
            <w:r>
              <w:rPr>
                <w:rFonts w:cs="Times New Roman"/>
                <w:spacing w:val="-8"/>
                <w:sz w:val="18"/>
                <w:szCs w:val="18"/>
              </w:rPr>
              <w:t>3</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79.34137</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40.05498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胡杨</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c>
          <w:tcPr>
            <w:tcW w:w="55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315</w:t>
            </w:r>
          </w:p>
        </w:tc>
        <w:tc>
          <w:tcPr>
            <w:tcW w:w="89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r>
      <w:tr w:rsidR="00A46452">
        <w:trPr>
          <w:trHeight w:val="379"/>
          <w:jc w:val="center"/>
        </w:trPr>
        <w:tc>
          <w:tcPr>
            <w:tcW w:w="1571" w:type="pct"/>
            <w:gridSpan w:val="3"/>
            <w:tcBorders>
              <w:left w:val="single" w:sz="12" w:space="0" w:color="auto"/>
            </w:tcBorders>
            <w:shd w:val="clear" w:color="auto" w:fill="auto"/>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群系名称</w:t>
            </w:r>
          </w:p>
        </w:tc>
        <w:tc>
          <w:tcPr>
            <w:tcW w:w="3428" w:type="pct"/>
            <w:gridSpan w:val="7"/>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z w:val="20"/>
                <w:szCs w:val="20"/>
              </w:rPr>
              <w:t>柽柳群系</w:t>
            </w:r>
          </w:p>
        </w:tc>
      </w:tr>
      <w:tr w:rsidR="00A46452">
        <w:trPr>
          <w:trHeight w:val="379"/>
          <w:jc w:val="center"/>
        </w:trPr>
        <w:tc>
          <w:tcPr>
            <w:tcW w:w="398" w:type="pct"/>
            <w:tcBorders>
              <w:left w:val="single" w:sz="12" w:space="0" w:color="auto"/>
              <w:right w:val="single" w:sz="12" w:space="0" w:color="auto"/>
            </w:tcBorders>
            <w:shd w:val="clear" w:color="auto" w:fill="auto"/>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序号</w:t>
            </w:r>
          </w:p>
        </w:tc>
        <w:tc>
          <w:tcPr>
            <w:tcW w:w="493" w:type="pct"/>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样方</w:t>
            </w:r>
          </w:p>
        </w:tc>
        <w:tc>
          <w:tcPr>
            <w:tcW w:w="1365" w:type="pct"/>
            <w:gridSpan w:val="3"/>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群系名称</w:t>
            </w:r>
            <w:r>
              <w:rPr>
                <w:rFonts w:cs="Times New Roman"/>
                <w:b/>
                <w:bCs/>
                <w:spacing w:val="-8"/>
                <w:sz w:val="18"/>
                <w:szCs w:val="18"/>
              </w:rPr>
              <w:t>/</w:t>
            </w:r>
            <w:r>
              <w:rPr>
                <w:rFonts w:cs="Times New Roman"/>
                <w:b/>
                <w:bCs/>
                <w:spacing w:val="-8"/>
                <w:sz w:val="18"/>
                <w:szCs w:val="18"/>
              </w:rPr>
              <w:t>坐标</w:t>
            </w:r>
          </w:p>
        </w:tc>
        <w:tc>
          <w:tcPr>
            <w:tcW w:w="700" w:type="pct"/>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植物种</w:t>
            </w:r>
          </w:p>
        </w:tc>
        <w:tc>
          <w:tcPr>
            <w:tcW w:w="587" w:type="pct"/>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样方盖度（</w:t>
            </w:r>
            <w:r>
              <w:rPr>
                <w:rFonts w:cs="Times New Roman"/>
                <w:b/>
                <w:bCs/>
                <w:spacing w:val="-8"/>
                <w:sz w:val="18"/>
                <w:szCs w:val="18"/>
              </w:rPr>
              <w:t>%</w:t>
            </w:r>
            <w:r>
              <w:rPr>
                <w:rFonts w:cs="Times New Roman"/>
                <w:b/>
                <w:bCs/>
                <w:spacing w:val="-8"/>
                <w:sz w:val="18"/>
                <w:szCs w:val="18"/>
              </w:rPr>
              <w:t>）</w:t>
            </w:r>
          </w:p>
        </w:tc>
        <w:tc>
          <w:tcPr>
            <w:tcW w:w="589" w:type="pct"/>
            <w:gridSpan w:val="2"/>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平均高度（</w:t>
            </w:r>
            <w:r>
              <w:rPr>
                <w:rFonts w:cs="Times New Roman"/>
                <w:b/>
                <w:bCs/>
                <w:spacing w:val="-8"/>
                <w:sz w:val="18"/>
                <w:szCs w:val="18"/>
              </w:rPr>
              <w:t>cm</w:t>
            </w:r>
            <w:r>
              <w:rPr>
                <w:rFonts w:cs="Times New Roman"/>
                <w:b/>
                <w:bCs/>
                <w:spacing w:val="-8"/>
                <w:sz w:val="18"/>
                <w:szCs w:val="18"/>
              </w:rPr>
              <w:t>）</w:t>
            </w:r>
          </w:p>
        </w:tc>
        <w:tc>
          <w:tcPr>
            <w:tcW w:w="864" w:type="pct"/>
            <w:tcBorders>
              <w:left w:val="single" w:sz="12" w:space="0" w:color="auto"/>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样方范围内植物数量</w:t>
            </w:r>
          </w:p>
        </w:tc>
      </w:tr>
      <w:tr w:rsidR="00A46452">
        <w:trPr>
          <w:trHeight w:val="337"/>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4</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79.24973</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39.87579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柽柳</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8</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165</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r>
      <w:tr w:rsidR="00A46452">
        <w:trPr>
          <w:trHeight w:val="286"/>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79.33802</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39.98957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柽柳</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7</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155</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r>
      <w:tr w:rsidR="00A46452">
        <w:trPr>
          <w:trHeight w:val="252"/>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6</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79.28497</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40.18030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柽柳</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160</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r>
      <w:tr w:rsidR="00A46452">
        <w:trPr>
          <w:trHeight w:val="251"/>
          <w:jc w:val="center"/>
        </w:trPr>
        <w:tc>
          <w:tcPr>
            <w:tcW w:w="891" w:type="pct"/>
            <w:gridSpan w:val="2"/>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群系名称</w:t>
            </w:r>
          </w:p>
        </w:tc>
        <w:tc>
          <w:tcPr>
            <w:tcW w:w="4108" w:type="pct"/>
            <w:gridSpan w:val="8"/>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z w:val="20"/>
                <w:szCs w:val="20"/>
              </w:rPr>
              <w:t>骆驼刺</w:t>
            </w:r>
            <w:r>
              <w:rPr>
                <w:rFonts w:cs="Times New Roman"/>
                <w:b/>
                <w:bCs/>
                <w:sz w:val="20"/>
                <w:szCs w:val="20"/>
              </w:rPr>
              <w:t>群系</w:t>
            </w:r>
          </w:p>
        </w:tc>
      </w:tr>
      <w:tr w:rsidR="00A46452">
        <w:trPr>
          <w:trHeight w:val="90"/>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18"/>
                <w:szCs w:val="18"/>
              </w:rPr>
            </w:pPr>
            <w:r>
              <w:rPr>
                <w:rFonts w:cs="Times New Roman"/>
                <w:b/>
                <w:bCs/>
                <w:spacing w:val="-8"/>
                <w:sz w:val="20"/>
                <w:szCs w:val="20"/>
              </w:rPr>
              <w:t>序号</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样方</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群系名称</w:t>
            </w:r>
            <w:r>
              <w:rPr>
                <w:rFonts w:cs="Times New Roman"/>
                <w:b/>
                <w:bCs/>
                <w:spacing w:val="-8"/>
                <w:sz w:val="18"/>
                <w:szCs w:val="18"/>
              </w:rPr>
              <w:t>/</w:t>
            </w:r>
            <w:r>
              <w:rPr>
                <w:rFonts w:cs="Times New Roman"/>
                <w:b/>
                <w:bCs/>
                <w:spacing w:val="-8"/>
                <w:sz w:val="18"/>
                <w:szCs w:val="18"/>
              </w:rPr>
              <w:t>坐标</w:t>
            </w:r>
          </w:p>
        </w:tc>
        <w:tc>
          <w:tcPr>
            <w:tcW w:w="700" w:type="pct"/>
            <w:tcBorders>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植物种</w:t>
            </w:r>
          </w:p>
        </w:tc>
        <w:tc>
          <w:tcPr>
            <w:tcW w:w="587"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样方盖度（</w:t>
            </w:r>
            <w:r>
              <w:rPr>
                <w:rFonts w:cs="Times New Roman"/>
                <w:b/>
                <w:bCs/>
                <w:spacing w:val="-8"/>
                <w:sz w:val="18"/>
                <w:szCs w:val="18"/>
              </w:rPr>
              <w:t>%</w:t>
            </w:r>
            <w:r>
              <w:rPr>
                <w:rFonts w:cs="Times New Roman"/>
                <w:b/>
                <w:bCs/>
                <w:spacing w:val="-8"/>
                <w:sz w:val="18"/>
                <w:szCs w:val="18"/>
              </w:rPr>
              <w:t>）</w:t>
            </w:r>
          </w:p>
        </w:tc>
        <w:tc>
          <w:tcPr>
            <w:tcW w:w="589" w:type="pct"/>
            <w:gridSpan w:val="2"/>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平均高度（</w:t>
            </w:r>
            <w:r>
              <w:rPr>
                <w:rFonts w:cs="Times New Roman"/>
                <w:b/>
                <w:bCs/>
                <w:spacing w:val="-8"/>
                <w:sz w:val="18"/>
                <w:szCs w:val="18"/>
              </w:rPr>
              <w:t>cm</w:t>
            </w:r>
            <w:r>
              <w:rPr>
                <w:rFonts w:cs="Times New Roman"/>
                <w:b/>
                <w:bCs/>
                <w:spacing w:val="-8"/>
                <w:sz w:val="18"/>
                <w:szCs w:val="18"/>
              </w:rPr>
              <w:t>）</w:t>
            </w:r>
          </w:p>
        </w:tc>
        <w:tc>
          <w:tcPr>
            <w:tcW w:w="864"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样方范围内植物数量</w:t>
            </w:r>
          </w:p>
        </w:tc>
      </w:tr>
      <w:tr w:rsidR="00A46452">
        <w:trPr>
          <w:trHeight w:val="212"/>
          <w:jc w:val="center"/>
        </w:trPr>
        <w:tc>
          <w:tcPr>
            <w:tcW w:w="398" w:type="pct"/>
            <w:vMerge w:val="restar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7</w:t>
            </w:r>
          </w:p>
        </w:tc>
        <w:tc>
          <w:tcPr>
            <w:tcW w:w="493" w:type="pct"/>
            <w:vMerge w:val="restar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c>
          <w:tcPr>
            <w:tcW w:w="1365" w:type="pct"/>
            <w:gridSpan w:val="3"/>
            <w:vMerge w:val="restart"/>
            <w:vAlign w:val="center"/>
          </w:tcPr>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E</w:t>
            </w:r>
            <w:r>
              <w:rPr>
                <w:rFonts w:cs="Times New Roman"/>
                <w:spacing w:val="-8"/>
                <w:sz w:val="18"/>
                <w:szCs w:val="18"/>
              </w:rPr>
              <w:t>79.29979</w:t>
            </w:r>
          </w:p>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N</w:t>
            </w:r>
            <w:r>
              <w:rPr>
                <w:rFonts w:cs="Times New Roman"/>
                <w:spacing w:val="-8"/>
                <w:sz w:val="18"/>
                <w:szCs w:val="18"/>
              </w:rPr>
              <w:t xml:space="preserve">40.29483 </w:t>
            </w:r>
          </w:p>
          <w:p w:rsidR="00A46452" w:rsidRDefault="00A46452">
            <w:pPr>
              <w:wordWrap w:val="0"/>
              <w:topLinePunct/>
              <w:spacing w:line="240" w:lineRule="exact"/>
              <w:ind w:firstLineChars="0" w:firstLine="0"/>
              <w:jc w:val="center"/>
              <w:rPr>
                <w:rFonts w:cs="Times New Roman"/>
                <w:spacing w:val="-8"/>
                <w:sz w:val="18"/>
                <w:szCs w:val="18"/>
              </w:rPr>
            </w:pP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骆驼刺</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20</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r>
              <w:rPr>
                <w:rFonts w:cs="Times New Roman"/>
                <w:spacing w:val="-8"/>
                <w:sz w:val="18"/>
                <w:szCs w:val="18"/>
              </w:rPr>
              <w:t>5</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r>
      <w:tr w:rsidR="00A46452">
        <w:trPr>
          <w:trHeight w:val="127"/>
          <w:jc w:val="center"/>
        </w:trPr>
        <w:tc>
          <w:tcPr>
            <w:tcW w:w="398" w:type="pct"/>
            <w:vMerge/>
            <w:tcBorders>
              <w:left w:val="single" w:sz="12" w:space="0" w:color="auto"/>
            </w:tcBorders>
            <w:vAlign w:val="center"/>
          </w:tcPr>
          <w:p w:rsidR="00A46452" w:rsidRDefault="00A46452">
            <w:pPr>
              <w:wordWrap w:val="0"/>
              <w:topLinePunct/>
              <w:spacing w:line="240" w:lineRule="exact"/>
              <w:ind w:firstLineChars="0" w:firstLine="0"/>
              <w:jc w:val="center"/>
              <w:textAlignment w:val="baseline"/>
              <w:rPr>
                <w:rFonts w:cs="Times New Roman"/>
              </w:rPr>
            </w:pPr>
          </w:p>
        </w:tc>
        <w:tc>
          <w:tcPr>
            <w:tcW w:w="493" w:type="pct"/>
            <w:vMerge/>
            <w:tcBorders>
              <w:left w:val="single" w:sz="12" w:space="0" w:color="auto"/>
            </w:tcBorders>
            <w:vAlign w:val="center"/>
          </w:tcPr>
          <w:p w:rsidR="00A46452" w:rsidRDefault="00A46452">
            <w:pPr>
              <w:wordWrap w:val="0"/>
              <w:topLinePunct/>
              <w:spacing w:line="240" w:lineRule="exact"/>
              <w:ind w:firstLineChars="0" w:firstLine="0"/>
              <w:jc w:val="center"/>
              <w:textAlignment w:val="baseline"/>
              <w:rPr>
                <w:rFonts w:cs="Times New Roman"/>
              </w:rPr>
            </w:pPr>
          </w:p>
        </w:tc>
        <w:tc>
          <w:tcPr>
            <w:tcW w:w="1365" w:type="pct"/>
            <w:gridSpan w:val="3"/>
            <w:vMerge/>
            <w:vAlign w:val="center"/>
          </w:tcPr>
          <w:p w:rsidR="00A46452" w:rsidRDefault="00A46452">
            <w:pPr>
              <w:wordWrap w:val="0"/>
              <w:topLinePunct/>
              <w:spacing w:line="240" w:lineRule="exact"/>
              <w:ind w:firstLineChars="0" w:firstLine="0"/>
              <w:jc w:val="center"/>
              <w:textAlignment w:val="baseline"/>
              <w:rPr>
                <w:rFonts w:cs="Times New Roman"/>
              </w:rPr>
            </w:pP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芦苇</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8</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16</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15</w:t>
            </w:r>
          </w:p>
        </w:tc>
      </w:tr>
      <w:tr w:rsidR="00A46452">
        <w:trPr>
          <w:trHeight w:val="269"/>
          <w:jc w:val="center"/>
        </w:trPr>
        <w:tc>
          <w:tcPr>
            <w:tcW w:w="398" w:type="pct"/>
            <w:vMerge w:val="restar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8</w:t>
            </w:r>
          </w:p>
        </w:tc>
        <w:tc>
          <w:tcPr>
            <w:tcW w:w="493" w:type="pct"/>
            <w:vMerge w:val="restar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c>
          <w:tcPr>
            <w:tcW w:w="1365" w:type="pct"/>
            <w:gridSpan w:val="3"/>
            <w:vMerge w:val="restart"/>
            <w:vAlign w:val="center"/>
          </w:tcPr>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E</w:t>
            </w:r>
            <w:r>
              <w:rPr>
                <w:rFonts w:cs="Times New Roman"/>
                <w:spacing w:val="-8"/>
                <w:sz w:val="18"/>
                <w:szCs w:val="18"/>
              </w:rPr>
              <w:t>79.31000</w:t>
            </w:r>
          </w:p>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N</w:t>
            </w:r>
            <w:r>
              <w:rPr>
                <w:rFonts w:cs="Times New Roman"/>
                <w:spacing w:val="-8"/>
                <w:sz w:val="18"/>
                <w:szCs w:val="18"/>
              </w:rPr>
              <w:t xml:space="preserve">40.36282 </w:t>
            </w:r>
          </w:p>
          <w:p w:rsidR="00A46452" w:rsidRDefault="00A46452">
            <w:pPr>
              <w:wordWrap w:val="0"/>
              <w:topLinePunct/>
              <w:spacing w:line="240" w:lineRule="exact"/>
              <w:ind w:firstLineChars="0" w:firstLine="0"/>
              <w:jc w:val="center"/>
              <w:textAlignment w:val="baseline"/>
              <w:rPr>
                <w:rFonts w:cs="Times New Roman"/>
                <w:spacing w:val="-8"/>
                <w:sz w:val="18"/>
                <w:szCs w:val="18"/>
              </w:rPr>
            </w:pP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骆驼刺</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10</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r>
              <w:rPr>
                <w:rFonts w:cs="Times New Roman"/>
                <w:spacing w:val="-8"/>
                <w:sz w:val="18"/>
                <w:szCs w:val="18"/>
              </w:rPr>
              <w:t>2</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r>
      <w:tr w:rsidR="00A46452">
        <w:trPr>
          <w:trHeight w:val="355"/>
          <w:jc w:val="center"/>
        </w:trPr>
        <w:tc>
          <w:tcPr>
            <w:tcW w:w="398" w:type="pct"/>
            <w:vMerge/>
            <w:tcBorders>
              <w:left w:val="single" w:sz="12" w:space="0" w:color="auto"/>
            </w:tcBorders>
            <w:vAlign w:val="center"/>
          </w:tcPr>
          <w:p w:rsidR="00A46452" w:rsidRDefault="00A46452">
            <w:pPr>
              <w:wordWrap w:val="0"/>
              <w:topLinePunct/>
              <w:spacing w:line="240" w:lineRule="exact"/>
              <w:ind w:firstLineChars="0" w:firstLine="0"/>
              <w:jc w:val="center"/>
              <w:textAlignment w:val="baseline"/>
              <w:rPr>
                <w:rFonts w:cs="Times New Roman"/>
              </w:rPr>
            </w:pPr>
          </w:p>
        </w:tc>
        <w:tc>
          <w:tcPr>
            <w:tcW w:w="493" w:type="pct"/>
            <w:vMerge/>
            <w:tcBorders>
              <w:left w:val="single" w:sz="12" w:space="0" w:color="auto"/>
            </w:tcBorders>
            <w:vAlign w:val="center"/>
          </w:tcPr>
          <w:p w:rsidR="00A46452" w:rsidRDefault="00A46452">
            <w:pPr>
              <w:wordWrap w:val="0"/>
              <w:topLinePunct/>
              <w:spacing w:line="240" w:lineRule="exact"/>
              <w:ind w:firstLineChars="0" w:firstLine="0"/>
              <w:jc w:val="center"/>
              <w:textAlignment w:val="baseline"/>
              <w:rPr>
                <w:rFonts w:cs="Times New Roman"/>
              </w:rPr>
            </w:pPr>
          </w:p>
        </w:tc>
        <w:tc>
          <w:tcPr>
            <w:tcW w:w="1365" w:type="pct"/>
            <w:gridSpan w:val="3"/>
            <w:vMerge/>
            <w:vAlign w:val="center"/>
          </w:tcPr>
          <w:p w:rsidR="00A46452" w:rsidRDefault="00A46452">
            <w:pPr>
              <w:wordWrap w:val="0"/>
              <w:topLinePunct/>
              <w:spacing w:line="240" w:lineRule="exact"/>
              <w:ind w:firstLineChars="0" w:firstLine="0"/>
              <w:jc w:val="center"/>
              <w:textAlignment w:val="baseline"/>
              <w:rPr>
                <w:rFonts w:cs="Times New Roman"/>
              </w:rPr>
            </w:pP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芦苇</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9</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11</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8</w:t>
            </w:r>
          </w:p>
        </w:tc>
      </w:tr>
      <w:tr w:rsidR="00A46452">
        <w:trPr>
          <w:trHeight w:val="217"/>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9</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79.29728</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 xml:space="preserve">40.19411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骆驼刺</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25</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r>
              <w:rPr>
                <w:rFonts w:cs="Times New Roman"/>
                <w:spacing w:val="-8"/>
                <w:sz w:val="18"/>
                <w:szCs w:val="18"/>
              </w:rPr>
              <w:t>0</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5</w:t>
            </w:r>
          </w:p>
        </w:tc>
      </w:tr>
      <w:tr w:rsidR="00A46452">
        <w:trPr>
          <w:trHeight w:val="406"/>
          <w:jc w:val="center"/>
        </w:trPr>
        <w:tc>
          <w:tcPr>
            <w:tcW w:w="891" w:type="pct"/>
            <w:gridSpan w:val="2"/>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群系名称</w:t>
            </w:r>
          </w:p>
        </w:tc>
        <w:tc>
          <w:tcPr>
            <w:tcW w:w="3243" w:type="pct"/>
            <w:gridSpan w:val="7"/>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芦苇</w:t>
            </w:r>
            <w:r>
              <w:rPr>
                <w:rFonts w:cs="Times New Roman"/>
                <w:b/>
                <w:bCs/>
                <w:spacing w:val="-8"/>
                <w:sz w:val="20"/>
                <w:szCs w:val="20"/>
              </w:rPr>
              <w:t>群系</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b/>
                <w:bCs/>
                <w:spacing w:val="-8"/>
                <w:sz w:val="20"/>
                <w:szCs w:val="20"/>
              </w:rPr>
              <w:t>样方面积</w:t>
            </w:r>
          </w:p>
        </w:tc>
      </w:tr>
      <w:tr w:rsidR="00A46452">
        <w:trPr>
          <w:trHeight w:val="406"/>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18"/>
                <w:szCs w:val="18"/>
              </w:rPr>
            </w:pPr>
            <w:r>
              <w:rPr>
                <w:rFonts w:cs="Times New Roman"/>
                <w:b/>
                <w:bCs/>
                <w:spacing w:val="-8"/>
                <w:sz w:val="18"/>
                <w:szCs w:val="18"/>
              </w:rPr>
              <w:t>序号</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样方编号</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群系名称</w:t>
            </w:r>
            <w:r>
              <w:rPr>
                <w:rFonts w:cs="Times New Roman"/>
                <w:b/>
                <w:bCs/>
                <w:spacing w:val="-8"/>
                <w:sz w:val="18"/>
                <w:szCs w:val="18"/>
              </w:rPr>
              <w:t>/</w:t>
            </w:r>
            <w:r>
              <w:rPr>
                <w:rFonts w:cs="Times New Roman"/>
                <w:b/>
                <w:bCs/>
                <w:spacing w:val="-8"/>
                <w:sz w:val="18"/>
                <w:szCs w:val="18"/>
              </w:rPr>
              <w:t>坐标</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b/>
                <w:bCs/>
                <w:spacing w:val="-8"/>
                <w:sz w:val="20"/>
                <w:szCs w:val="20"/>
              </w:rPr>
            </w:pPr>
            <w:r>
              <w:rPr>
                <w:rFonts w:cs="Times New Roman"/>
                <w:b/>
                <w:bCs/>
                <w:spacing w:val="-8"/>
                <w:sz w:val="18"/>
                <w:szCs w:val="18"/>
              </w:rPr>
              <w:t>植物种</w:t>
            </w:r>
          </w:p>
        </w:tc>
        <w:tc>
          <w:tcPr>
            <w:tcW w:w="587" w:type="pct"/>
            <w:tcBorders>
              <w:righ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样方盖度（</w:t>
            </w:r>
            <w:r>
              <w:rPr>
                <w:rFonts w:cs="Times New Roman"/>
                <w:b/>
                <w:bCs/>
                <w:spacing w:val="-8"/>
                <w:sz w:val="18"/>
                <w:szCs w:val="18"/>
              </w:rPr>
              <w:t>%</w:t>
            </w:r>
            <w:r>
              <w:rPr>
                <w:rFonts w:cs="Times New Roman"/>
                <w:b/>
                <w:bCs/>
                <w:spacing w:val="-8"/>
                <w:sz w:val="18"/>
                <w:szCs w:val="18"/>
              </w:rPr>
              <w:t>）</w:t>
            </w:r>
          </w:p>
        </w:tc>
        <w:tc>
          <w:tcPr>
            <w:tcW w:w="589" w:type="pct"/>
            <w:gridSpan w:val="2"/>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平均高度（</w:t>
            </w:r>
            <w:r>
              <w:rPr>
                <w:rFonts w:cs="Times New Roman"/>
                <w:b/>
                <w:bCs/>
                <w:spacing w:val="-8"/>
                <w:sz w:val="18"/>
                <w:szCs w:val="18"/>
              </w:rPr>
              <w:t>cm</w:t>
            </w:r>
            <w:r>
              <w:rPr>
                <w:rFonts w:cs="Times New Roman"/>
                <w:b/>
                <w:bCs/>
                <w:spacing w:val="-8"/>
                <w:sz w:val="18"/>
                <w:szCs w:val="18"/>
              </w:rPr>
              <w:t>）</w:t>
            </w:r>
          </w:p>
        </w:tc>
        <w:tc>
          <w:tcPr>
            <w:tcW w:w="864"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b/>
                <w:bCs/>
                <w:sz w:val="22"/>
                <w:szCs w:val="28"/>
              </w:rPr>
            </w:pPr>
            <w:r>
              <w:rPr>
                <w:rFonts w:cs="Times New Roman"/>
                <w:b/>
                <w:bCs/>
                <w:spacing w:val="-8"/>
                <w:sz w:val="18"/>
                <w:szCs w:val="18"/>
              </w:rPr>
              <w:t>样方范围内植物数量</w:t>
            </w:r>
          </w:p>
        </w:tc>
      </w:tr>
      <w:tr w:rsidR="00A46452">
        <w:trPr>
          <w:trHeight w:val="354"/>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10</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w:t>
            </w:r>
          </w:p>
        </w:tc>
        <w:tc>
          <w:tcPr>
            <w:tcW w:w="1365" w:type="pct"/>
            <w:gridSpan w:val="3"/>
            <w:vAlign w:val="center"/>
          </w:tcPr>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E</w:t>
            </w:r>
            <w:r>
              <w:rPr>
                <w:rFonts w:cs="Times New Roman"/>
                <w:spacing w:val="-8"/>
                <w:sz w:val="18"/>
                <w:szCs w:val="18"/>
              </w:rPr>
              <w:t>79.33855</w:t>
            </w:r>
          </w:p>
          <w:p w:rsidR="00A46452" w:rsidRDefault="009A3928">
            <w:pPr>
              <w:wordWrap w:val="0"/>
              <w:topLinePunct/>
              <w:spacing w:line="240" w:lineRule="exact"/>
              <w:ind w:firstLineChars="0" w:firstLine="0"/>
              <w:jc w:val="center"/>
              <w:rPr>
                <w:rFonts w:cs="Times New Roman"/>
                <w:spacing w:val="-8"/>
                <w:sz w:val="18"/>
                <w:szCs w:val="18"/>
              </w:rPr>
            </w:pPr>
            <w:r>
              <w:rPr>
                <w:rFonts w:cs="Times New Roman"/>
                <w:spacing w:val="-8"/>
                <w:sz w:val="18"/>
                <w:szCs w:val="18"/>
              </w:rPr>
              <w:t>N</w:t>
            </w:r>
            <w:r>
              <w:rPr>
                <w:rFonts w:cs="Times New Roman"/>
                <w:spacing w:val="-8"/>
                <w:sz w:val="18"/>
                <w:szCs w:val="18"/>
              </w:rPr>
              <w:t xml:space="preserve">40.03030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芦苇</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15</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26</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12</w:t>
            </w:r>
          </w:p>
        </w:tc>
      </w:tr>
      <w:tr w:rsidR="00A46452">
        <w:trPr>
          <w:trHeight w:val="320"/>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11</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79.34313</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w:t>
            </w:r>
            <w:r>
              <w:rPr>
                <w:rFonts w:cs="Times New Roman"/>
                <w:spacing w:val="-8"/>
                <w:sz w:val="18"/>
                <w:szCs w:val="18"/>
              </w:rPr>
              <w:t>40.07151</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芦苇</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10</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24</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14</w:t>
            </w:r>
          </w:p>
        </w:tc>
      </w:tr>
      <w:tr w:rsidR="00A46452">
        <w:trPr>
          <w:trHeight w:val="330"/>
          <w:jc w:val="center"/>
        </w:trPr>
        <w:tc>
          <w:tcPr>
            <w:tcW w:w="398"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12</w:t>
            </w:r>
          </w:p>
        </w:tc>
        <w:tc>
          <w:tcPr>
            <w:tcW w:w="493" w:type="pct"/>
            <w:tcBorders>
              <w:left w:val="single" w:sz="12" w:space="0" w:color="auto"/>
            </w:tcBorders>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w:t>
            </w:r>
          </w:p>
        </w:tc>
        <w:tc>
          <w:tcPr>
            <w:tcW w:w="1365" w:type="pct"/>
            <w:gridSpan w:val="3"/>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E</w:t>
            </w:r>
            <w:r>
              <w:rPr>
                <w:rFonts w:cs="Times New Roman"/>
                <w:spacing w:val="-8"/>
                <w:sz w:val="18"/>
                <w:szCs w:val="18"/>
              </w:rPr>
              <w:t>79.31820</w:t>
            </w:r>
          </w:p>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N4</w:t>
            </w:r>
            <w:r>
              <w:rPr>
                <w:rFonts w:cs="Times New Roman"/>
                <w:spacing w:val="-8"/>
                <w:sz w:val="18"/>
                <w:szCs w:val="18"/>
              </w:rPr>
              <w:t xml:space="preserve">0.49934 </w:t>
            </w:r>
          </w:p>
        </w:tc>
        <w:tc>
          <w:tcPr>
            <w:tcW w:w="700"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芦苇</w:t>
            </w:r>
          </w:p>
        </w:tc>
        <w:tc>
          <w:tcPr>
            <w:tcW w:w="587"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35</w:t>
            </w:r>
          </w:p>
        </w:tc>
        <w:tc>
          <w:tcPr>
            <w:tcW w:w="589" w:type="pct"/>
            <w:gridSpan w:val="2"/>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38</w:t>
            </w:r>
          </w:p>
        </w:tc>
        <w:tc>
          <w:tcPr>
            <w:tcW w:w="864" w:type="pct"/>
            <w:vAlign w:val="center"/>
          </w:tcPr>
          <w:p w:rsidR="00A46452" w:rsidRDefault="009A3928">
            <w:pPr>
              <w:wordWrap w:val="0"/>
              <w:topLinePunct/>
              <w:spacing w:line="240" w:lineRule="exact"/>
              <w:ind w:firstLineChars="0" w:firstLine="0"/>
              <w:jc w:val="center"/>
              <w:textAlignment w:val="baseline"/>
              <w:rPr>
                <w:rFonts w:cs="Times New Roman"/>
                <w:spacing w:val="-8"/>
                <w:sz w:val="18"/>
                <w:szCs w:val="18"/>
              </w:rPr>
            </w:pPr>
            <w:r>
              <w:rPr>
                <w:rFonts w:cs="Times New Roman"/>
                <w:spacing w:val="-8"/>
                <w:sz w:val="18"/>
                <w:szCs w:val="18"/>
              </w:rPr>
              <w:t>18</w:t>
            </w:r>
          </w:p>
        </w:tc>
      </w:tr>
    </w:tbl>
    <w:p w:rsidR="00A46452" w:rsidRDefault="009A3928">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w:t>
      </w:r>
      <w:r>
        <w:rPr>
          <w:rFonts w:cs="Times New Roman" w:hint="default"/>
          <w:iCs/>
        </w:rPr>
        <w:t>.2.5.5</w:t>
      </w:r>
      <w:r>
        <w:rPr>
          <w:rFonts w:cs="Times New Roman" w:hint="default"/>
          <w:iCs/>
        </w:rPr>
        <w:t>评价区植被覆盖度</w:t>
      </w:r>
    </w:p>
    <w:p w:rsidR="00A46452" w:rsidRDefault="009A3928">
      <w:pPr>
        <w:ind w:firstLine="480"/>
        <w:rPr>
          <w:rFonts w:cs="Times New Roman"/>
          <w:szCs w:val="32"/>
        </w:rPr>
      </w:pPr>
      <w:r>
        <w:rPr>
          <w:rFonts w:cs="Times New Roman"/>
          <w:szCs w:val="32"/>
        </w:rPr>
        <w:t>植被覆盖度可用于定量分析评价范围内的植被现状，植被指数法主要是通过对各像元中植被类型及分布特征的分析，本次调查选用</w:t>
      </w:r>
      <w:r>
        <w:rPr>
          <w:rFonts w:cs="Times New Roman"/>
          <w:szCs w:val="32"/>
        </w:rPr>
        <w:t>2023</w:t>
      </w:r>
      <w:r>
        <w:rPr>
          <w:rFonts w:cs="Times New Roman"/>
          <w:szCs w:val="32"/>
        </w:rPr>
        <w:t>年的</w:t>
      </w:r>
      <w:r>
        <w:rPr>
          <w:rFonts w:cs="Times New Roman"/>
          <w:szCs w:val="32"/>
        </w:rPr>
        <w:t>Sentinel—2A</w:t>
      </w:r>
      <w:r>
        <w:rPr>
          <w:rFonts w:cs="Times New Roman"/>
          <w:szCs w:val="32"/>
        </w:rPr>
        <w:t>影像，影像地面精度为</w:t>
      </w:r>
      <w:r>
        <w:rPr>
          <w:rFonts w:cs="Times New Roman"/>
          <w:szCs w:val="32"/>
        </w:rPr>
        <w:t>15m</w:t>
      </w:r>
      <w:r>
        <w:rPr>
          <w:rFonts w:cs="Times New Roman"/>
          <w:szCs w:val="32"/>
        </w:rPr>
        <w:t>，哨兵</w:t>
      </w:r>
      <w:r>
        <w:rPr>
          <w:rFonts w:cs="Times New Roman"/>
          <w:szCs w:val="32"/>
        </w:rPr>
        <w:t>-2A</w:t>
      </w:r>
      <w:r>
        <w:rPr>
          <w:rFonts w:cs="Times New Roman"/>
          <w:szCs w:val="32"/>
        </w:rPr>
        <w:t>数据是唯一一个在红边范围含有三个波段的数据，这对监测植被健康信息非常有效。利用此数据建立植被指数与植被覆盖度的转换关系。采用归一化植被指数（</w:t>
      </w:r>
      <w:r>
        <w:rPr>
          <w:rFonts w:cs="Times New Roman"/>
          <w:szCs w:val="32"/>
        </w:rPr>
        <w:t>NDVI</w:t>
      </w:r>
      <w:r>
        <w:rPr>
          <w:rFonts w:cs="Times New Roman"/>
          <w:szCs w:val="32"/>
        </w:rPr>
        <w:t>）估算植被覆盖度的方法如下：</w:t>
      </w:r>
    </w:p>
    <w:p w:rsidR="00A46452" w:rsidRDefault="009A3928">
      <w:pPr>
        <w:wordWrap w:val="0"/>
        <w:overflowPunct w:val="0"/>
        <w:ind w:firstLineChars="1000" w:firstLine="2400"/>
        <w:rPr>
          <w:rFonts w:eastAsia="Times New Roman" w:cs="Times New Roman"/>
          <w:szCs w:val="32"/>
        </w:rPr>
      </w:pPr>
      <w:r>
        <w:rPr>
          <w:rFonts w:eastAsia="Times New Roman" w:cs="Times New Roman"/>
          <w:szCs w:val="32"/>
        </w:rPr>
        <w:t>FVC=(NDVI-NDVIs)/(NDVIv-N</w:t>
      </w:r>
      <w:r>
        <w:rPr>
          <w:rFonts w:eastAsia="Times New Roman" w:cs="Times New Roman"/>
          <w:spacing w:val="-1"/>
          <w:szCs w:val="32"/>
        </w:rPr>
        <w:t>DVIs)</w:t>
      </w:r>
    </w:p>
    <w:p w:rsidR="00A46452" w:rsidRDefault="009A3928">
      <w:pPr>
        <w:wordWrap w:val="0"/>
        <w:overflowPunct w:val="0"/>
        <w:ind w:firstLine="464"/>
        <w:rPr>
          <w:rFonts w:cs="Times New Roman"/>
          <w:spacing w:val="-4"/>
          <w:szCs w:val="22"/>
        </w:rPr>
      </w:pPr>
      <w:r>
        <w:rPr>
          <w:rFonts w:cs="Times New Roman"/>
          <w:spacing w:val="-4"/>
          <w:szCs w:val="22"/>
        </w:rPr>
        <w:t>式中：</w:t>
      </w:r>
      <w:r>
        <w:rPr>
          <w:rFonts w:eastAsia="Times New Roman" w:cs="Times New Roman"/>
          <w:spacing w:val="-4"/>
          <w:szCs w:val="22"/>
        </w:rPr>
        <w:t>FVC——</w:t>
      </w:r>
      <w:r>
        <w:rPr>
          <w:rFonts w:cs="Times New Roman"/>
          <w:spacing w:val="-4"/>
          <w:szCs w:val="22"/>
        </w:rPr>
        <w:t>所计算像元的植被覆盖度；</w:t>
      </w:r>
    </w:p>
    <w:p w:rsidR="00A46452" w:rsidRDefault="009A3928">
      <w:pPr>
        <w:wordWrap w:val="0"/>
        <w:overflowPunct w:val="0"/>
        <w:ind w:firstLineChars="500" w:firstLine="1180"/>
        <w:rPr>
          <w:rFonts w:cs="Times New Roman"/>
          <w:szCs w:val="22"/>
        </w:rPr>
      </w:pPr>
      <w:r>
        <w:rPr>
          <w:rFonts w:eastAsia="Times New Roman" w:cs="Times New Roman"/>
          <w:spacing w:val="-2"/>
          <w:szCs w:val="22"/>
        </w:rPr>
        <w:t>NDVI——</w:t>
      </w:r>
      <w:r>
        <w:rPr>
          <w:rFonts w:cs="Times New Roman"/>
          <w:spacing w:val="-2"/>
          <w:szCs w:val="22"/>
        </w:rPr>
        <w:t>所计算像元的</w:t>
      </w:r>
      <w:r>
        <w:rPr>
          <w:rFonts w:eastAsia="Times New Roman" w:cs="Times New Roman"/>
          <w:spacing w:val="-2"/>
          <w:szCs w:val="22"/>
        </w:rPr>
        <w:t>NDVI</w:t>
      </w:r>
      <w:r>
        <w:rPr>
          <w:rFonts w:cs="Times New Roman"/>
          <w:spacing w:val="-2"/>
          <w:szCs w:val="22"/>
        </w:rPr>
        <w:t>值；</w:t>
      </w:r>
    </w:p>
    <w:p w:rsidR="00A46452" w:rsidRDefault="009A3928">
      <w:pPr>
        <w:wordWrap w:val="0"/>
        <w:overflowPunct w:val="0"/>
        <w:ind w:firstLineChars="500" w:firstLine="1180"/>
        <w:rPr>
          <w:rFonts w:cs="Times New Roman"/>
          <w:szCs w:val="22"/>
        </w:rPr>
      </w:pPr>
      <w:r>
        <w:rPr>
          <w:rFonts w:eastAsia="Times New Roman" w:cs="Times New Roman"/>
          <w:spacing w:val="-2"/>
          <w:szCs w:val="22"/>
        </w:rPr>
        <w:t>NDVIv——</w:t>
      </w:r>
      <w:r>
        <w:rPr>
          <w:rFonts w:cs="Times New Roman"/>
          <w:spacing w:val="-2"/>
          <w:szCs w:val="22"/>
        </w:rPr>
        <w:t>纯植物像元的</w:t>
      </w:r>
      <w:r>
        <w:rPr>
          <w:rFonts w:eastAsia="Times New Roman" w:cs="Times New Roman"/>
          <w:spacing w:val="-2"/>
          <w:szCs w:val="22"/>
        </w:rPr>
        <w:t>NDVI</w:t>
      </w:r>
      <w:r>
        <w:rPr>
          <w:rFonts w:cs="Times New Roman"/>
          <w:spacing w:val="-2"/>
          <w:szCs w:val="22"/>
        </w:rPr>
        <w:t>值；</w:t>
      </w:r>
    </w:p>
    <w:p w:rsidR="00A46452" w:rsidRDefault="009A3928">
      <w:pPr>
        <w:wordWrap w:val="0"/>
        <w:overflowPunct w:val="0"/>
        <w:ind w:firstLineChars="500" w:firstLine="1190"/>
        <w:rPr>
          <w:rFonts w:cs="Times New Roman"/>
          <w:szCs w:val="22"/>
        </w:rPr>
      </w:pPr>
      <w:r>
        <w:rPr>
          <w:rFonts w:eastAsia="Times New Roman" w:cs="Times New Roman"/>
          <w:spacing w:val="-1"/>
          <w:szCs w:val="22"/>
        </w:rPr>
        <w:t>NDVIs——</w:t>
      </w:r>
      <w:r>
        <w:rPr>
          <w:rFonts w:cs="Times New Roman"/>
          <w:spacing w:val="-1"/>
          <w:szCs w:val="22"/>
        </w:rPr>
        <w:t>完全无植被覆盖像元的</w:t>
      </w:r>
      <w:r>
        <w:rPr>
          <w:rFonts w:eastAsia="Times New Roman" w:cs="Times New Roman"/>
          <w:spacing w:val="-1"/>
          <w:szCs w:val="22"/>
        </w:rPr>
        <w:t>NDVI</w:t>
      </w:r>
      <w:r>
        <w:rPr>
          <w:rFonts w:cs="Times New Roman"/>
          <w:spacing w:val="-1"/>
          <w:szCs w:val="22"/>
        </w:rPr>
        <w:t>值。</w:t>
      </w:r>
    </w:p>
    <w:p w:rsidR="00A46452" w:rsidRDefault="009A3928">
      <w:pPr>
        <w:ind w:firstLine="480"/>
        <w:rPr>
          <w:rFonts w:cs="Times New Roman"/>
          <w:szCs w:val="32"/>
        </w:rPr>
      </w:pPr>
      <w:r>
        <w:rPr>
          <w:rFonts w:cs="Times New Roman"/>
          <w:szCs w:val="32"/>
        </w:rPr>
        <w:t>根据遥感解译工程评价范围内不同盖度植被统计见表</w:t>
      </w:r>
      <w:r>
        <w:rPr>
          <w:rFonts w:cs="Times New Roman"/>
          <w:szCs w:val="32"/>
        </w:rPr>
        <w:t>4.2-8</w:t>
      </w:r>
      <w:r>
        <w:rPr>
          <w:rFonts w:cs="Times New Roman"/>
          <w:szCs w:val="32"/>
        </w:rPr>
        <w:t>，评价范围植被盖度分布见图</w:t>
      </w:r>
      <w:r>
        <w:rPr>
          <w:rFonts w:cs="Times New Roman"/>
          <w:szCs w:val="32"/>
        </w:rPr>
        <w:t>4.2-5</w:t>
      </w:r>
      <w:r>
        <w:rPr>
          <w:rFonts w:cs="Times New Roman"/>
          <w:szCs w:val="32"/>
        </w:rPr>
        <w:t>。</w:t>
      </w:r>
    </w:p>
    <w:p w:rsidR="00A46452" w:rsidRDefault="009A3928">
      <w:pPr>
        <w:topLinePunct/>
        <w:adjustRightInd w:val="0"/>
        <w:snapToGrid w:val="0"/>
        <w:spacing w:line="240" w:lineRule="auto"/>
        <w:ind w:firstLineChars="0" w:firstLine="0"/>
        <w:jc w:val="left"/>
        <w:rPr>
          <w:rFonts w:eastAsia="黑体" w:cs="Times New Roman"/>
          <w:szCs w:val="24"/>
        </w:rPr>
      </w:pPr>
      <w:r>
        <w:rPr>
          <w:rFonts w:eastAsia="黑体" w:cs="Times New Roman"/>
          <w:szCs w:val="24"/>
        </w:rPr>
        <w:t>表</w:t>
      </w:r>
      <w:r>
        <w:rPr>
          <w:rFonts w:eastAsia="黑体" w:cs="Times New Roman" w:hint="eastAsia"/>
          <w:szCs w:val="24"/>
        </w:rPr>
        <w:t>6</w:t>
      </w:r>
      <w:r>
        <w:rPr>
          <w:rFonts w:eastAsia="黑体" w:cs="Times New Roman"/>
          <w:szCs w:val="24"/>
        </w:rPr>
        <w:t>.2-</w:t>
      </w:r>
      <w:r>
        <w:rPr>
          <w:rFonts w:eastAsia="黑体" w:cs="Times New Roman" w:hint="eastAsia"/>
          <w:szCs w:val="24"/>
        </w:rPr>
        <w:t>9</w:t>
      </w:r>
      <w:r>
        <w:rPr>
          <w:rFonts w:eastAsia="黑体" w:cs="Times New Roman"/>
          <w:szCs w:val="24"/>
        </w:rPr>
        <w:t xml:space="preserve">                 </w:t>
      </w:r>
      <w:r>
        <w:rPr>
          <w:rFonts w:eastAsia="黑体" w:cs="Times New Roman"/>
          <w:szCs w:val="24"/>
        </w:rPr>
        <w:t>评价范围植被覆盖度统计表</w:t>
      </w:r>
    </w:p>
    <w:tbl>
      <w:tblPr>
        <w:tblW w:w="4998" w:type="pc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ook w:val="04A0" w:firstRow="1" w:lastRow="0" w:firstColumn="1" w:lastColumn="0" w:noHBand="0" w:noVBand="1"/>
      </w:tblPr>
      <w:tblGrid>
        <w:gridCol w:w="2476"/>
        <w:gridCol w:w="2478"/>
        <w:gridCol w:w="1901"/>
        <w:gridCol w:w="1657"/>
      </w:tblGrid>
      <w:tr w:rsidR="00A46452">
        <w:trPr>
          <w:trHeight w:val="321"/>
        </w:trPr>
        <w:tc>
          <w:tcPr>
            <w:tcW w:w="2479" w:type="dxa"/>
            <w:tcBorders>
              <w:top w:val="single" w:sz="12" w:space="0" w:color="auto"/>
            </w:tcBorders>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序号</w:t>
            </w:r>
          </w:p>
        </w:tc>
        <w:tc>
          <w:tcPr>
            <w:tcW w:w="2480" w:type="dxa"/>
            <w:tcBorders>
              <w:top w:val="single" w:sz="12" w:space="0" w:color="auto"/>
            </w:tcBorders>
          </w:tcPr>
          <w:p w:rsidR="00A46452" w:rsidRDefault="009A3928">
            <w:pPr>
              <w:widowControl/>
              <w:topLinePunct/>
              <w:spacing w:line="240" w:lineRule="auto"/>
              <w:ind w:firstLineChars="0" w:firstLine="0"/>
              <w:jc w:val="center"/>
              <w:textAlignment w:val="top"/>
              <w:rPr>
                <w:rFonts w:cs="Times New Roman"/>
                <w:lang w:eastAsia="en-US"/>
              </w:rPr>
            </w:pPr>
            <w:r>
              <w:rPr>
                <w:rFonts w:cs="Times New Roman"/>
                <w:kern w:val="0"/>
                <w:lang w:bidi="ar"/>
              </w:rPr>
              <w:t>植被覆盖度</w:t>
            </w:r>
          </w:p>
        </w:tc>
        <w:tc>
          <w:tcPr>
            <w:tcW w:w="1902" w:type="dxa"/>
            <w:tcBorders>
              <w:top w:val="single" w:sz="12" w:space="0" w:color="auto"/>
            </w:tcBorders>
          </w:tcPr>
          <w:p w:rsidR="00A46452" w:rsidRDefault="009A3928">
            <w:pPr>
              <w:widowControl/>
              <w:topLinePunct/>
              <w:spacing w:line="240" w:lineRule="auto"/>
              <w:ind w:firstLineChars="0" w:firstLine="0"/>
              <w:jc w:val="center"/>
              <w:textAlignment w:val="top"/>
              <w:rPr>
                <w:rFonts w:cs="Times New Roman"/>
                <w:lang w:eastAsia="en-US"/>
              </w:rPr>
            </w:pPr>
            <w:r>
              <w:rPr>
                <w:rFonts w:cs="Times New Roman"/>
                <w:kern w:val="0"/>
                <w:lang w:bidi="ar"/>
              </w:rPr>
              <w:t>面积（</w:t>
            </w:r>
            <w:r>
              <w:rPr>
                <w:rFonts w:cs="Times New Roman"/>
                <w:kern w:val="0"/>
                <w:lang w:bidi="ar"/>
              </w:rPr>
              <w:t>km²</w:t>
            </w:r>
            <w:r>
              <w:rPr>
                <w:rFonts w:cs="Times New Roman"/>
                <w:kern w:val="0"/>
                <w:lang w:bidi="ar"/>
              </w:rPr>
              <w:t>）</w:t>
            </w:r>
          </w:p>
        </w:tc>
        <w:tc>
          <w:tcPr>
            <w:tcW w:w="1658" w:type="dxa"/>
            <w:tcBorders>
              <w:top w:val="single" w:sz="12" w:space="0" w:color="auto"/>
            </w:tcBorders>
          </w:tcPr>
          <w:p w:rsidR="00A46452" w:rsidRDefault="009A3928">
            <w:pPr>
              <w:widowControl/>
              <w:topLinePunct/>
              <w:spacing w:line="240" w:lineRule="auto"/>
              <w:ind w:firstLineChars="0" w:firstLine="0"/>
              <w:jc w:val="center"/>
              <w:textAlignment w:val="top"/>
              <w:rPr>
                <w:rFonts w:cs="Times New Roman"/>
                <w:lang w:eastAsia="en-US"/>
              </w:rPr>
            </w:pPr>
            <w:r>
              <w:rPr>
                <w:rFonts w:cs="Times New Roman"/>
                <w:kern w:val="0"/>
                <w:lang w:bidi="ar"/>
              </w:rPr>
              <w:t>百分比</w:t>
            </w:r>
          </w:p>
        </w:tc>
      </w:tr>
      <w:tr w:rsidR="00A46452">
        <w:trPr>
          <w:trHeight w:val="345"/>
        </w:trPr>
        <w:tc>
          <w:tcPr>
            <w:tcW w:w="2479"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1</w:t>
            </w:r>
          </w:p>
        </w:tc>
        <w:tc>
          <w:tcPr>
            <w:tcW w:w="2480" w:type="dxa"/>
          </w:tcPr>
          <w:p w:rsidR="00A46452" w:rsidRDefault="009A3928">
            <w:pPr>
              <w:widowControl/>
              <w:topLinePunct/>
              <w:spacing w:line="240" w:lineRule="auto"/>
              <w:ind w:firstLineChars="0" w:firstLine="0"/>
              <w:jc w:val="center"/>
              <w:textAlignment w:val="top"/>
              <w:rPr>
                <w:rFonts w:cs="Times New Roman"/>
              </w:rPr>
            </w:pPr>
            <w:r>
              <w:rPr>
                <w:rFonts w:cs="Times New Roman"/>
                <w:kern w:val="0"/>
                <w:lang w:bidi="ar"/>
              </w:rPr>
              <w:t>&lt;10%</w:t>
            </w:r>
          </w:p>
        </w:tc>
        <w:tc>
          <w:tcPr>
            <w:tcW w:w="1902"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19.71</w:t>
            </w:r>
          </w:p>
        </w:tc>
        <w:tc>
          <w:tcPr>
            <w:tcW w:w="1658" w:type="dxa"/>
            <w:vAlign w:val="center"/>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16.97</w:t>
            </w:r>
          </w:p>
        </w:tc>
      </w:tr>
      <w:tr w:rsidR="00A46452">
        <w:trPr>
          <w:trHeight w:val="345"/>
        </w:trPr>
        <w:tc>
          <w:tcPr>
            <w:tcW w:w="2479"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2</w:t>
            </w:r>
          </w:p>
        </w:tc>
        <w:tc>
          <w:tcPr>
            <w:tcW w:w="2480" w:type="dxa"/>
          </w:tcPr>
          <w:p w:rsidR="00A46452" w:rsidRDefault="009A3928">
            <w:pPr>
              <w:widowControl/>
              <w:topLinePunct/>
              <w:spacing w:line="240" w:lineRule="auto"/>
              <w:ind w:firstLineChars="0" w:firstLine="0"/>
              <w:jc w:val="center"/>
              <w:textAlignment w:val="top"/>
              <w:rPr>
                <w:rFonts w:cs="Times New Roman"/>
              </w:rPr>
            </w:pPr>
            <w:r>
              <w:rPr>
                <w:rFonts w:cs="Times New Roman"/>
                <w:kern w:val="0"/>
                <w:lang w:bidi="ar"/>
              </w:rPr>
              <w:t>10%</w:t>
            </w:r>
            <w:r>
              <w:rPr>
                <w:rFonts w:cs="Times New Roman"/>
                <w:kern w:val="0"/>
                <w:lang w:bidi="ar"/>
              </w:rPr>
              <w:t>～</w:t>
            </w:r>
            <w:r>
              <w:rPr>
                <w:rFonts w:cs="Times New Roman"/>
                <w:kern w:val="0"/>
                <w:lang w:bidi="ar"/>
              </w:rPr>
              <w:t>30%</w:t>
            </w:r>
          </w:p>
        </w:tc>
        <w:tc>
          <w:tcPr>
            <w:tcW w:w="1902"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64.59</w:t>
            </w:r>
          </w:p>
        </w:tc>
        <w:tc>
          <w:tcPr>
            <w:tcW w:w="1658" w:type="dxa"/>
            <w:vAlign w:val="center"/>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55.61</w:t>
            </w:r>
          </w:p>
        </w:tc>
      </w:tr>
      <w:tr w:rsidR="00A46452">
        <w:trPr>
          <w:trHeight w:val="345"/>
        </w:trPr>
        <w:tc>
          <w:tcPr>
            <w:tcW w:w="2479"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3</w:t>
            </w:r>
          </w:p>
        </w:tc>
        <w:tc>
          <w:tcPr>
            <w:tcW w:w="2480" w:type="dxa"/>
          </w:tcPr>
          <w:p w:rsidR="00A46452" w:rsidRDefault="009A3928">
            <w:pPr>
              <w:widowControl/>
              <w:topLinePunct/>
              <w:spacing w:line="240" w:lineRule="auto"/>
              <w:ind w:firstLineChars="0" w:firstLine="0"/>
              <w:jc w:val="center"/>
              <w:textAlignment w:val="top"/>
              <w:rPr>
                <w:rFonts w:cs="Times New Roman"/>
              </w:rPr>
            </w:pPr>
            <w:r>
              <w:rPr>
                <w:rFonts w:cs="Times New Roman"/>
                <w:kern w:val="0"/>
                <w:lang w:bidi="ar"/>
              </w:rPr>
              <w:t>30%</w:t>
            </w:r>
            <w:r>
              <w:rPr>
                <w:rFonts w:cs="Times New Roman"/>
                <w:kern w:val="0"/>
                <w:lang w:bidi="ar"/>
              </w:rPr>
              <w:t>～</w:t>
            </w:r>
            <w:r>
              <w:rPr>
                <w:rFonts w:cs="Times New Roman"/>
                <w:kern w:val="0"/>
                <w:lang w:bidi="ar"/>
              </w:rPr>
              <w:t>50%</w:t>
            </w:r>
          </w:p>
        </w:tc>
        <w:tc>
          <w:tcPr>
            <w:tcW w:w="1902"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9.14</w:t>
            </w:r>
          </w:p>
        </w:tc>
        <w:tc>
          <w:tcPr>
            <w:tcW w:w="1658" w:type="dxa"/>
            <w:vAlign w:val="center"/>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7.87</w:t>
            </w:r>
          </w:p>
        </w:tc>
      </w:tr>
      <w:tr w:rsidR="00A46452">
        <w:trPr>
          <w:trHeight w:val="344"/>
        </w:trPr>
        <w:tc>
          <w:tcPr>
            <w:tcW w:w="2479"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4</w:t>
            </w:r>
          </w:p>
        </w:tc>
        <w:tc>
          <w:tcPr>
            <w:tcW w:w="2480" w:type="dxa"/>
          </w:tcPr>
          <w:p w:rsidR="00A46452" w:rsidRDefault="009A3928">
            <w:pPr>
              <w:widowControl/>
              <w:topLinePunct/>
              <w:spacing w:line="240" w:lineRule="auto"/>
              <w:ind w:firstLineChars="0" w:firstLine="0"/>
              <w:jc w:val="center"/>
              <w:textAlignment w:val="top"/>
              <w:rPr>
                <w:rFonts w:cs="Times New Roman"/>
              </w:rPr>
            </w:pPr>
            <w:r>
              <w:rPr>
                <w:rFonts w:cs="Times New Roman"/>
                <w:kern w:val="0"/>
                <w:lang w:bidi="ar"/>
              </w:rPr>
              <w:t>50%</w:t>
            </w:r>
            <w:r>
              <w:rPr>
                <w:rFonts w:cs="Times New Roman"/>
                <w:kern w:val="0"/>
                <w:lang w:bidi="ar"/>
              </w:rPr>
              <w:t>～</w:t>
            </w:r>
            <w:r>
              <w:rPr>
                <w:rFonts w:cs="Times New Roman"/>
                <w:kern w:val="0"/>
                <w:lang w:bidi="ar"/>
              </w:rPr>
              <w:t>70%</w:t>
            </w:r>
          </w:p>
        </w:tc>
        <w:tc>
          <w:tcPr>
            <w:tcW w:w="1902"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3.86</w:t>
            </w:r>
          </w:p>
        </w:tc>
        <w:tc>
          <w:tcPr>
            <w:tcW w:w="1658" w:type="dxa"/>
            <w:vAlign w:val="center"/>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 xml:space="preserve">3.32 </w:t>
            </w:r>
          </w:p>
        </w:tc>
      </w:tr>
      <w:tr w:rsidR="00A46452">
        <w:trPr>
          <w:trHeight w:val="342"/>
        </w:trPr>
        <w:tc>
          <w:tcPr>
            <w:tcW w:w="2479"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5</w:t>
            </w:r>
          </w:p>
        </w:tc>
        <w:tc>
          <w:tcPr>
            <w:tcW w:w="2480" w:type="dxa"/>
          </w:tcPr>
          <w:p w:rsidR="00A46452" w:rsidRDefault="009A3928">
            <w:pPr>
              <w:widowControl/>
              <w:topLinePunct/>
              <w:spacing w:line="240" w:lineRule="auto"/>
              <w:ind w:firstLineChars="0" w:firstLine="0"/>
              <w:jc w:val="center"/>
              <w:textAlignment w:val="top"/>
              <w:rPr>
                <w:rFonts w:cs="Times New Roman"/>
              </w:rPr>
            </w:pPr>
            <w:r>
              <w:rPr>
                <w:rFonts w:cs="Times New Roman"/>
                <w:kern w:val="0"/>
                <w:lang w:bidi="ar"/>
              </w:rPr>
              <w:t>&gt;70%</w:t>
            </w:r>
          </w:p>
        </w:tc>
        <w:tc>
          <w:tcPr>
            <w:tcW w:w="1902" w:type="dxa"/>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18.84</w:t>
            </w:r>
          </w:p>
        </w:tc>
        <w:tc>
          <w:tcPr>
            <w:tcW w:w="1658" w:type="dxa"/>
            <w:vAlign w:val="center"/>
          </w:tcPr>
          <w:p w:rsidR="00A46452" w:rsidRDefault="009A3928">
            <w:pPr>
              <w:widowControl/>
              <w:topLinePunct/>
              <w:spacing w:line="240" w:lineRule="auto"/>
              <w:ind w:firstLineChars="0" w:firstLine="0"/>
              <w:jc w:val="center"/>
              <w:textAlignment w:val="top"/>
              <w:rPr>
                <w:rFonts w:cs="Times New Roman"/>
                <w:kern w:val="0"/>
                <w:lang w:bidi="ar"/>
              </w:rPr>
            </w:pPr>
            <w:r>
              <w:rPr>
                <w:rFonts w:cs="Times New Roman"/>
                <w:kern w:val="0"/>
                <w:lang w:bidi="ar"/>
              </w:rPr>
              <w:t>16.22</w:t>
            </w:r>
          </w:p>
        </w:tc>
      </w:tr>
      <w:tr w:rsidR="00A46452">
        <w:trPr>
          <w:trHeight w:val="349"/>
        </w:trPr>
        <w:tc>
          <w:tcPr>
            <w:tcW w:w="4959" w:type="dxa"/>
            <w:gridSpan w:val="2"/>
            <w:tcBorders>
              <w:bottom w:val="single" w:sz="12" w:space="0" w:color="auto"/>
            </w:tcBorders>
          </w:tcPr>
          <w:p w:rsidR="00A46452" w:rsidRDefault="009A3928">
            <w:pPr>
              <w:widowControl/>
              <w:topLinePunct/>
              <w:spacing w:line="240" w:lineRule="auto"/>
              <w:ind w:firstLineChars="0" w:firstLine="0"/>
              <w:jc w:val="center"/>
              <w:textAlignment w:val="top"/>
              <w:rPr>
                <w:rFonts w:cs="Times New Roman"/>
                <w:lang w:eastAsia="en-US"/>
              </w:rPr>
            </w:pPr>
            <w:r>
              <w:rPr>
                <w:rFonts w:cs="Times New Roman"/>
                <w:kern w:val="0"/>
                <w:lang w:bidi="ar"/>
              </w:rPr>
              <w:t>合计</w:t>
            </w:r>
          </w:p>
        </w:tc>
        <w:tc>
          <w:tcPr>
            <w:tcW w:w="1902" w:type="dxa"/>
            <w:tcBorders>
              <w:bottom w:val="single" w:sz="12" w:space="0" w:color="auto"/>
            </w:tcBorders>
            <w:vAlign w:val="center"/>
          </w:tcPr>
          <w:p w:rsidR="00A46452" w:rsidRDefault="009A3928">
            <w:pPr>
              <w:widowControl/>
              <w:topLinePunct/>
              <w:spacing w:line="240" w:lineRule="auto"/>
              <w:ind w:firstLineChars="0" w:firstLine="0"/>
              <w:jc w:val="center"/>
              <w:textAlignment w:val="center"/>
              <w:rPr>
                <w:rFonts w:cs="Times New Roman"/>
              </w:rPr>
            </w:pPr>
            <w:r>
              <w:rPr>
                <w:rFonts w:cs="Times New Roman"/>
                <w:kern w:val="0"/>
                <w:lang w:bidi="ar"/>
              </w:rPr>
              <w:t>116.14</w:t>
            </w:r>
          </w:p>
        </w:tc>
        <w:tc>
          <w:tcPr>
            <w:tcW w:w="1658" w:type="dxa"/>
            <w:tcBorders>
              <w:bottom w:val="single" w:sz="12" w:space="0" w:color="auto"/>
            </w:tcBorders>
            <w:vAlign w:val="center"/>
          </w:tcPr>
          <w:p w:rsidR="00A46452" w:rsidRDefault="009A3928">
            <w:pPr>
              <w:widowControl/>
              <w:topLinePunct/>
              <w:spacing w:line="240" w:lineRule="auto"/>
              <w:ind w:firstLineChars="0" w:firstLine="0"/>
              <w:jc w:val="center"/>
              <w:textAlignment w:val="center"/>
              <w:rPr>
                <w:rFonts w:cs="Times New Roman"/>
              </w:rPr>
            </w:pPr>
            <w:r>
              <w:rPr>
                <w:rFonts w:cs="Times New Roman"/>
                <w:kern w:val="0"/>
                <w:lang w:bidi="ar"/>
              </w:rPr>
              <w:t>100.00</w:t>
            </w:r>
          </w:p>
        </w:tc>
      </w:tr>
    </w:tbl>
    <w:p w:rsidR="00A46452" w:rsidRDefault="009A3928">
      <w:pPr>
        <w:tabs>
          <w:tab w:val="center" w:pos="1249"/>
          <w:tab w:val="right" w:pos="2376"/>
        </w:tabs>
        <w:ind w:firstLine="480"/>
        <w:rPr>
          <w:rFonts w:cs="Times New Roman"/>
          <w:szCs w:val="32"/>
        </w:rPr>
      </w:pPr>
      <w:r>
        <w:rPr>
          <w:rFonts w:cs="Times New Roman"/>
          <w:szCs w:val="32"/>
        </w:rPr>
        <w:t>根据遥感解译和实地考察，评价区的植被覆盖度在</w:t>
      </w:r>
      <w:r>
        <w:rPr>
          <w:rFonts w:cs="Times New Roman"/>
          <w:szCs w:val="32"/>
        </w:rPr>
        <w:t>10%</w:t>
      </w:r>
      <w:r>
        <w:rPr>
          <w:rFonts w:cs="Times New Roman"/>
          <w:szCs w:val="32"/>
        </w:rPr>
        <w:t>～</w:t>
      </w:r>
      <w:r>
        <w:rPr>
          <w:rFonts w:cs="Times New Roman"/>
          <w:szCs w:val="32"/>
        </w:rPr>
        <w:t>30%</w:t>
      </w:r>
      <w:r>
        <w:rPr>
          <w:rFonts w:cs="Times New Roman"/>
          <w:szCs w:val="32"/>
        </w:rPr>
        <w:t>的区域面积最大，此区域主要是一些稀疏荒漠植被，评价区面积的</w:t>
      </w:r>
      <w:r>
        <w:rPr>
          <w:rFonts w:cs="Times New Roman"/>
          <w:szCs w:val="32"/>
        </w:rPr>
        <w:t>64.59%</w:t>
      </w:r>
      <w:r>
        <w:rPr>
          <w:rFonts w:cs="Times New Roman"/>
          <w:szCs w:val="32"/>
        </w:rPr>
        <w:t>；其次是植被覆盖度在小于</w:t>
      </w:r>
      <w:r>
        <w:rPr>
          <w:rFonts w:cs="Times New Roman"/>
          <w:szCs w:val="32"/>
        </w:rPr>
        <w:t>10%</w:t>
      </w:r>
      <w:r>
        <w:rPr>
          <w:rFonts w:cs="Times New Roman"/>
          <w:szCs w:val="32"/>
        </w:rPr>
        <w:t>之间，此盖度的区域占到了评价区面积的</w:t>
      </w:r>
      <w:r>
        <w:rPr>
          <w:rFonts w:cs="Times New Roman"/>
          <w:szCs w:val="32"/>
        </w:rPr>
        <w:t>19.71%</w:t>
      </w:r>
      <w:r>
        <w:rPr>
          <w:rFonts w:cs="Times New Roman"/>
          <w:szCs w:val="32"/>
        </w:rPr>
        <w:t>，主要是以沙地、裸岩石砾地和裸土地为主；植被覆盖度＞</w:t>
      </w:r>
      <w:r>
        <w:rPr>
          <w:rFonts w:cs="Times New Roman"/>
          <w:szCs w:val="32"/>
        </w:rPr>
        <w:t>70%</w:t>
      </w:r>
      <w:r>
        <w:rPr>
          <w:rFonts w:cs="Times New Roman"/>
          <w:szCs w:val="32"/>
        </w:rPr>
        <w:t>，主要以公路两侧的农生生态系统为主，约占评价区面积的</w:t>
      </w:r>
      <w:r>
        <w:rPr>
          <w:rFonts w:cs="Times New Roman"/>
          <w:szCs w:val="32"/>
        </w:rPr>
        <w:t>18.84%</w:t>
      </w:r>
      <w:r>
        <w:rPr>
          <w:rFonts w:cs="Times New Roman"/>
          <w:szCs w:val="32"/>
        </w:rPr>
        <w:t>。总体来看评价植被覆盖较低，平均植被覆盖度约为</w:t>
      </w:r>
      <w:r>
        <w:rPr>
          <w:rFonts w:cs="Times New Roman"/>
          <w:szCs w:val="32"/>
        </w:rPr>
        <w:t>25.43%</w:t>
      </w:r>
      <w:r>
        <w:rPr>
          <w:rFonts w:cs="Times New Roman"/>
          <w:szCs w:val="32"/>
        </w:rPr>
        <w:t>，主要是原因</w:t>
      </w:r>
      <w:r>
        <w:rPr>
          <w:rFonts w:cs="Times New Roman"/>
          <w:szCs w:val="32"/>
        </w:rPr>
        <w:t>①</w:t>
      </w:r>
      <w:r>
        <w:rPr>
          <w:rFonts w:cs="Times New Roman"/>
          <w:szCs w:val="32"/>
        </w:rPr>
        <w:t>远离海洋，属于温带大陆性气候，终年干旱，昼夜温差大，光照强，夏季高温，冬季寒冷。这种干旱的气候条件不利于植被的生</w:t>
      </w:r>
      <w:r>
        <w:rPr>
          <w:rFonts w:cs="Times New Roman"/>
          <w:szCs w:val="32"/>
        </w:rPr>
        <w:t>长和存活；</w:t>
      </w:r>
      <w:r>
        <w:rPr>
          <w:rFonts w:cs="Times New Roman"/>
          <w:szCs w:val="32"/>
        </w:rPr>
        <w:t>②</w:t>
      </w:r>
      <w:r>
        <w:rPr>
          <w:rFonts w:cs="Times New Roman"/>
          <w:szCs w:val="32"/>
        </w:rPr>
        <w:t>土壤普遍积盐，形成大面积的原生或残余盐土，土壤有机质含量少，不利于植物生长。</w:t>
      </w:r>
    </w:p>
    <w:p w:rsidR="00A46452" w:rsidRDefault="009A3928">
      <w:pPr>
        <w:pStyle w:val="31"/>
        <w:keepNext w:val="0"/>
        <w:keepLines w:val="0"/>
        <w:wordWrap w:val="0"/>
        <w:topLinePunct/>
        <w:adjustRightInd w:val="0"/>
        <w:snapToGrid w:val="0"/>
        <w:spacing w:before="156" w:after="156" w:line="240" w:lineRule="auto"/>
        <w:rPr>
          <w:rFonts w:cs="Times New Roman" w:hint="default"/>
        </w:rPr>
      </w:pPr>
      <w:r>
        <w:rPr>
          <w:rFonts w:cs="Times New Roman" w:hint="default"/>
        </w:rPr>
        <w:t>6</w:t>
      </w:r>
      <w:r>
        <w:rPr>
          <w:rFonts w:cs="Times New Roman" w:hint="default"/>
        </w:rPr>
        <w:t>.2.6</w:t>
      </w:r>
      <w:r>
        <w:rPr>
          <w:rFonts w:cs="Times New Roman" w:hint="default"/>
        </w:rPr>
        <w:t>陆生动物现状评价</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6.2.6.1</w:t>
      </w:r>
      <w:r>
        <w:rPr>
          <w:rFonts w:cs="Times New Roman" w:hint="default"/>
          <w:iCs/>
        </w:rPr>
        <w:t>区域野生动物资源</w:t>
      </w:r>
    </w:p>
    <w:p w:rsidR="00A46452" w:rsidRDefault="009A3928">
      <w:pPr>
        <w:ind w:firstLine="480"/>
        <w:rPr>
          <w:rFonts w:cs="Times New Roman"/>
        </w:rPr>
      </w:pPr>
      <w:r>
        <w:rPr>
          <w:rFonts w:cs="Times New Roman"/>
        </w:rPr>
        <w:t>对拟建公路评价区范围内的陆生动物现状进行实地调查的基础上，查阅并参考《中国动物志》（两栖纲）《中国两栖纲和爬行纲动物校正名录</w:t>
      </w:r>
      <w:r>
        <w:rPr>
          <w:rFonts w:cs="Times New Roman"/>
        </w:rPr>
        <w:t>》《</w:t>
      </w:r>
      <w:r>
        <w:rPr>
          <w:rFonts w:cs="Times New Roman"/>
        </w:rPr>
        <w:t>中国鸟类分类与分布名录（第</w:t>
      </w:r>
      <w:r>
        <w:rPr>
          <w:rFonts w:cs="Times New Roman"/>
        </w:rPr>
        <w:t>2</w:t>
      </w:r>
      <w:r>
        <w:rPr>
          <w:rFonts w:cs="Times New Roman"/>
        </w:rPr>
        <w:t>版）》《中国爬行动物图鉴》等相关资料。</w:t>
      </w:r>
    </w:p>
    <w:p w:rsidR="00A46452" w:rsidRDefault="009A3928">
      <w:pPr>
        <w:ind w:firstLine="480"/>
        <w:rPr>
          <w:rFonts w:cs="Times New Roman"/>
        </w:rPr>
      </w:pPr>
      <w:r>
        <w:rPr>
          <w:rFonts w:cs="Times New Roman"/>
        </w:rPr>
        <w:t>根据实地考察及对相关资料进行综合分析，项目区塔里木盆地北侧，野生动物地理区划上属古北界、中亚亚界、蒙新区、西部荒漠亚区、塔里木盆地小区。通过现场调查和走访，综合文献资</w:t>
      </w:r>
      <w:r>
        <w:rPr>
          <w:rFonts w:cs="Times New Roman"/>
        </w:rPr>
        <w:t>料整理，工程区因地形地貌单一，植被覆盖度不高和区域受人为活动的干扰，评价区动物资源并不丰富，种群密度很低，没有大型动物分布，分布的动物种类和数量都较少。根据本次对评价区的野外调查与附近村民的走访数据，结合前人的调查数据以及相关文献，得到评价区及其附近分布有陆生脊椎动物以鸟类的种类与数量为最多，本项目区栖息分布着各种野生脊椎动物</w:t>
      </w:r>
      <w:r>
        <w:rPr>
          <w:rFonts w:cs="Times New Roman"/>
        </w:rPr>
        <w:t>6</w:t>
      </w:r>
      <w:r>
        <w:rPr>
          <w:rFonts w:cs="Times New Roman"/>
        </w:rPr>
        <w:t>6</w:t>
      </w:r>
      <w:r>
        <w:rPr>
          <w:rFonts w:cs="Times New Roman"/>
        </w:rPr>
        <w:t>种，各种野生脊椎动物分布状况见表</w:t>
      </w:r>
      <w:r>
        <w:rPr>
          <w:rFonts w:cs="Times New Roman" w:hint="eastAsia"/>
        </w:rPr>
        <w:t>6</w:t>
      </w:r>
      <w:r>
        <w:rPr>
          <w:rFonts w:cs="Times New Roman"/>
        </w:rPr>
        <w:t>.2-</w:t>
      </w:r>
      <w:r>
        <w:rPr>
          <w:rFonts w:cs="Times New Roman" w:hint="eastAsia"/>
        </w:rPr>
        <w:t>10</w:t>
      </w:r>
      <w:r>
        <w:rPr>
          <w:rFonts w:cs="Times New Roman"/>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10</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评价区</w:t>
      </w:r>
      <w:r>
        <w:rPr>
          <w:rFonts w:ascii="Times New Roman" w:hAnsi="Times New Roman" w:cs="Times New Roman" w:hint="default"/>
          <w:sz w:val="24"/>
          <w:szCs w:val="24"/>
        </w:rPr>
        <w:t>主要</w:t>
      </w:r>
      <w:r>
        <w:rPr>
          <w:rFonts w:ascii="Times New Roman" w:hAnsi="Times New Roman" w:cs="Times New Roman" w:hint="default"/>
          <w:sz w:val="24"/>
          <w:szCs w:val="24"/>
        </w:rPr>
        <w:t>脊椎动物名录及其种类和分布</w:t>
      </w:r>
    </w:p>
    <w:tbl>
      <w:tblPr>
        <w:tblStyle w:val="TableNormal"/>
        <w:tblW w:w="499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46"/>
        <w:gridCol w:w="1919"/>
        <w:gridCol w:w="3263"/>
        <w:gridCol w:w="1284"/>
        <w:gridCol w:w="399"/>
        <w:gridCol w:w="399"/>
        <w:gridCol w:w="406"/>
      </w:tblGrid>
      <w:tr w:rsidR="00A46452">
        <w:trPr>
          <w:trHeight w:val="322"/>
          <w:jc w:val="center"/>
        </w:trPr>
        <w:tc>
          <w:tcPr>
            <w:tcW w:w="388"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18"/>
                <w:szCs w:val="18"/>
              </w:rPr>
            </w:pPr>
            <w:r>
              <w:rPr>
                <w:spacing w:val="-4"/>
                <w:sz w:val="18"/>
                <w:szCs w:val="18"/>
              </w:rPr>
              <w:t>序号</w:t>
            </w:r>
          </w:p>
        </w:tc>
        <w:tc>
          <w:tcPr>
            <w:tcW w:w="1153"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18"/>
                <w:szCs w:val="18"/>
              </w:rPr>
            </w:pPr>
            <w:r>
              <w:rPr>
                <w:spacing w:val="-4"/>
                <w:sz w:val="18"/>
                <w:szCs w:val="18"/>
              </w:rPr>
              <w:t>种名</w:t>
            </w:r>
          </w:p>
        </w:tc>
        <w:tc>
          <w:tcPr>
            <w:tcW w:w="1962"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18"/>
                <w:szCs w:val="18"/>
              </w:rPr>
            </w:pPr>
            <w:r>
              <w:rPr>
                <w:spacing w:val="-3"/>
                <w:sz w:val="18"/>
                <w:szCs w:val="18"/>
              </w:rPr>
              <w:t>拉丁学名</w:t>
            </w:r>
          </w:p>
        </w:tc>
        <w:tc>
          <w:tcPr>
            <w:tcW w:w="772" w:type="pct"/>
            <w:vMerge w:val="restart"/>
            <w:tcBorders>
              <w:tl2br w:val="nil"/>
              <w:tr2bl w:val="nil"/>
            </w:tcBorders>
            <w:vAlign w:val="center"/>
          </w:tcPr>
          <w:p w:rsidR="00A46452" w:rsidRDefault="009A3928">
            <w:pPr>
              <w:pStyle w:val="TableText"/>
              <w:wordWrap w:val="0"/>
              <w:topLinePunct/>
              <w:spacing w:line="240" w:lineRule="auto"/>
              <w:ind w:firstLineChars="0" w:firstLine="0"/>
              <w:jc w:val="center"/>
              <w:rPr>
                <w:sz w:val="18"/>
                <w:szCs w:val="18"/>
              </w:rPr>
            </w:pPr>
            <w:r>
              <w:rPr>
                <w:spacing w:val="-6"/>
                <w:sz w:val="18"/>
                <w:szCs w:val="18"/>
              </w:rPr>
              <w:t>留居特性</w:t>
            </w:r>
          </w:p>
        </w:tc>
        <w:tc>
          <w:tcPr>
            <w:tcW w:w="722" w:type="pct"/>
            <w:gridSpan w:val="3"/>
            <w:tcBorders>
              <w:right w:val="single" w:sz="4" w:space="0" w:color="auto"/>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分布及频度</w:t>
            </w:r>
          </w:p>
        </w:tc>
      </w:tr>
      <w:tr w:rsidR="00A46452">
        <w:trPr>
          <w:trHeight w:val="306"/>
          <w:jc w:val="center"/>
        </w:trPr>
        <w:tc>
          <w:tcPr>
            <w:tcW w:w="388" w:type="pct"/>
            <w:vMerge/>
            <w:tcBorders>
              <w:tl2br w:val="nil"/>
              <w:tr2bl w:val="nil"/>
            </w:tcBorders>
          </w:tcPr>
          <w:p w:rsidR="00A46452" w:rsidRDefault="00A46452">
            <w:pPr>
              <w:wordWrap w:val="0"/>
              <w:topLinePunct/>
              <w:spacing w:line="240" w:lineRule="auto"/>
              <w:ind w:firstLineChars="0" w:firstLine="0"/>
              <w:jc w:val="center"/>
              <w:rPr>
                <w:rFonts w:cs="Times New Roman"/>
                <w:lang w:eastAsia="en-US"/>
              </w:rPr>
            </w:pPr>
          </w:p>
        </w:tc>
        <w:tc>
          <w:tcPr>
            <w:tcW w:w="1153" w:type="pct"/>
            <w:vMerge/>
            <w:tcBorders>
              <w:tl2br w:val="nil"/>
              <w:tr2bl w:val="nil"/>
            </w:tcBorders>
          </w:tcPr>
          <w:p w:rsidR="00A46452" w:rsidRDefault="00A46452">
            <w:pPr>
              <w:wordWrap w:val="0"/>
              <w:topLinePunct/>
              <w:spacing w:line="240" w:lineRule="auto"/>
              <w:ind w:firstLineChars="0" w:firstLine="0"/>
              <w:jc w:val="center"/>
              <w:rPr>
                <w:rFonts w:cs="Times New Roman"/>
                <w:lang w:eastAsia="en-US"/>
              </w:rPr>
            </w:pPr>
          </w:p>
        </w:tc>
        <w:tc>
          <w:tcPr>
            <w:tcW w:w="1962" w:type="pct"/>
            <w:vMerge/>
            <w:tcBorders>
              <w:tl2br w:val="nil"/>
              <w:tr2bl w:val="nil"/>
            </w:tcBorders>
          </w:tcPr>
          <w:p w:rsidR="00A46452" w:rsidRDefault="00A46452">
            <w:pPr>
              <w:wordWrap w:val="0"/>
              <w:topLinePunct/>
              <w:spacing w:line="240" w:lineRule="auto"/>
              <w:ind w:firstLineChars="0" w:firstLine="0"/>
              <w:jc w:val="center"/>
              <w:rPr>
                <w:rFonts w:cs="Times New Roman"/>
                <w:lang w:eastAsia="en-US"/>
              </w:rPr>
            </w:pPr>
          </w:p>
        </w:tc>
        <w:tc>
          <w:tcPr>
            <w:tcW w:w="772" w:type="pct"/>
            <w:vMerge/>
            <w:tcBorders>
              <w:tl2br w:val="nil"/>
              <w:tr2bl w:val="nil"/>
            </w:tcBorders>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Ⅰ</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Ⅱ</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Ⅲ</w:t>
            </w:r>
          </w:p>
        </w:tc>
      </w:tr>
      <w:tr w:rsidR="00A46452">
        <w:trPr>
          <w:trHeight w:val="238"/>
          <w:jc w:val="center"/>
        </w:trPr>
        <w:tc>
          <w:tcPr>
            <w:tcW w:w="5000" w:type="pct"/>
            <w:gridSpan w:val="7"/>
            <w:tcBorders>
              <w:right w:val="single" w:sz="4" w:space="0" w:color="auto"/>
              <w:tl2br w:val="nil"/>
              <w:tr2bl w:val="nil"/>
            </w:tcBorders>
          </w:tcPr>
          <w:p w:rsidR="00A46452" w:rsidRDefault="009A3928">
            <w:pPr>
              <w:wordWrap w:val="0"/>
              <w:topLinePunct/>
              <w:spacing w:line="240" w:lineRule="auto"/>
              <w:ind w:firstLineChars="0" w:firstLine="0"/>
              <w:jc w:val="center"/>
              <w:rPr>
                <w:rFonts w:cs="Times New Roman"/>
                <w:b/>
                <w:bCs/>
                <w:szCs w:val="40"/>
                <w:lang w:eastAsia="en-US"/>
              </w:rPr>
            </w:pPr>
            <w:r>
              <w:rPr>
                <w:rFonts w:cs="Times New Roman"/>
                <w:b/>
                <w:bCs/>
                <w:spacing w:val="-5"/>
                <w:lang w:eastAsia="en-US"/>
              </w:rPr>
              <w:t>鱼类</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1</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塔里木裂腹鱼</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Schizothorax biddulp</w:t>
            </w:r>
            <w:r>
              <w:rPr>
                <w:rFonts w:eastAsia="Times New Roman" w:cs="Times New Roman"/>
                <w:i/>
                <w:iCs/>
                <w:spacing w:val="-1"/>
                <w:position w:val="3"/>
                <w:sz w:val="18"/>
                <w:szCs w:val="18"/>
                <w:lang w:eastAsia="en-US"/>
              </w:rPr>
              <w:t>hi</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50"/>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2</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z w:val="18"/>
                <w:szCs w:val="18"/>
              </w:rPr>
              <w:t>球吻条鳅</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position w:val="3"/>
                <w:sz w:val="18"/>
                <w:szCs w:val="18"/>
                <w:lang w:eastAsia="en-US"/>
              </w:rPr>
              <w:t>Triplophysa bombifrons</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3</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lang w:eastAsia="zh-CN"/>
              </w:rPr>
            </w:pPr>
            <w:r>
              <w:rPr>
                <w:spacing w:val="-1"/>
                <w:sz w:val="18"/>
                <w:szCs w:val="18"/>
                <w:lang w:eastAsia="zh-CN"/>
              </w:rPr>
              <w:t>扁吻鱼（新疆大头鱼）</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Aspiorhynchus</w:t>
            </w:r>
            <w:r>
              <w:rPr>
                <w:rFonts w:eastAsia="Times New Roman" w:cs="Times New Roman"/>
                <w:i/>
                <w:iCs/>
                <w:spacing w:val="4"/>
                <w:position w:val="3"/>
                <w:sz w:val="18"/>
                <w:szCs w:val="18"/>
                <w:lang w:eastAsia="en-US"/>
              </w:rPr>
              <w:t xml:space="preserve"> </w:t>
            </w:r>
            <w:r>
              <w:rPr>
                <w:rFonts w:eastAsia="Times New Roman" w:cs="Times New Roman"/>
                <w:i/>
                <w:iCs/>
                <w:position w:val="3"/>
                <w:sz w:val="18"/>
                <w:szCs w:val="18"/>
                <w:lang w:eastAsia="en-US"/>
              </w:rPr>
              <w:t>laticeps</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4</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绿蟾蜍</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Bufo</w:t>
            </w:r>
            <w:r>
              <w:rPr>
                <w:rFonts w:eastAsia="Times New Roman" w:cs="Times New Roman"/>
                <w:i/>
                <w:iCs/>
                <w:spacing w:val="4"/>
                <w:position w:val="3"/>
                <w:sz w:val="18"/>
                <w:szCs w:val="18"/>
                <w:lang w:eastAsia="en-US"/>
              </w:rPr>
              <w:t xml:space="preserve"> </w:t>
            </w:r>
            <w:r>
              <w:rPr>
                <w:rFonts w:eastAsia="Times New Roman" w:cs="Times New Roman"/>
                <w:i/>
                <w:iCs/>
                <w:position w:val="3"/>
                <w:sz w:val="18"/>
                <w:szCs w:val="18"/>
                <w:lang w:eastAsia="en-US"/>
              </w:rPr>
              <w:t>viridis</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1542" w:type="pct"/>
            <w:gridSpan w:val="2"/>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爬行类</w:t>
            </w:r>
          </w:p>
        </w:tc>
        <w:tc>
          <w:tcPr>
            <w:tcW w:w="196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5</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新疆鬣蜥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Agama</w:t>
            </w:r>
            <w:r>
              <w:rPr>
                <w:rFonts w:eastAsia="Times New Roman" w:cs="Times New Roman"/>
                <w:i/>
                <w:iCs/>
                <w:spacing w:val="9"/>
                <w:position w:val="3"/>
                <w:sz w:val="18"/>
                <w:szCs w:val="18"/>
                <w:lang w:eastAsia="en-US"/>
              </w:rPr>
              <w:t xml:space="preserve"> </w:t>
            </w:r>
            <w:r>
              <w:rPr>
                <w:rFonts w:eastAsia="Times New Roman" w:cs="Times New Roman"/>
                <w:i/>
                <w:iCs/>
                <w:position w:val="3"/>
                <w:sz w:val="18"/>
                <w:szCs w:val="18"/>
                <w:lang w:eastAsia="en-US"/>
              </w:rPr>
              <w:t>stoliczkana</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6</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南疆沙蜥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Phrynocephalus</w:t>
            </w:r>
            <w:r>
              <w:rPr>
                <w:rFonts w:eastAsia="Times New Roman" w:cs="Times New Roman"/>
                <w:i/>
                <w:iCs/>
                <w:spacing w:val="-21"/>
                <w:position w:val="3"/>
                <w:sz w:val="18"/>
                <w:szCs w:val="18"/>
                <w:lang w:eastAsia="en-US"/>
              </w:rPr>
              <w:t xml:space="preserve"> </w:t>
            </w:r>
            <w:r>
              <w:rPr>
                <w:rFonts w:eastAsia="Times New Roman" w:cs="Times New Roman"/>
                <w:i/>
                <w:iCs/>
                <w:spacing w:val="1"/>
                <w:position w:val="3"/>
                <w:sz w:val="18"/>
                <w:szCs w:val="18"/>
                <w:lang w:eastAsia="en-US"/>
              </w:rPr>
              <w:t>forsythi</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90"/>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7</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密点麻蜥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Eremisa</w:t>
            </w:r>
            <w:r>
              <w:rPr>
                <w:rFonts w:eastAsia="Times New Roman" w:cs="Times New Roman"/>
                <w:i/>
                <w:iCs/>
                <w:spacing w:val="2"/>
                <w:position w:val="1"/>
                <w:sz w:val="18"/>
                <w:szCs w:val="18"/>
                <w:lang w:eastAsia="en-US"/>
              </w:rPr>
              <w:t xml:space="preserve"> </w:t>
            </w:r>
            <w:r>
              <w:rPr>
                <w:rFonts w:eastAsia="Times New Roman" w:cs="Times New Roman"/>
                <w:i/>
                <w:iCs/>
                <w:position w:val="1"/>
                <w:sz w:val="18"/>
                <w:szCs w:val="18"/>
                <w:lang w:eastAsia="en-US"/>
              </w:rPr>
              <w:t>multiocellata</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8</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荒漠麻蜥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Eremias</w:t>
            </w:r>
            <w:r>
              <w:rPr>
                <w:rFonts w:eastAsia="Times New Roman" w:cs="Times New Roman"/>
                <w:i/>
                <w:iCs/>
                <w:spacing w:val="-22"/>
                <w:position w:val="3"/>
                <w:sz w:val="18"/>
                <w:szCs w:val="18"/>
                <w:lang w:eastAsia="en-US"/>
              </w:rPr>
              <w:t xml:space="preserve"> </w:t>
            </w:r>
            <w:r>
              <w:rPr>
                <w:rFonts w:eastAsia="Times New Roman" w:cs="Times New Roman"/>
                <w:i/>
                <w:iCs/>
                <w:spacing w:val="1"/>
                <w:position w:val="3"/>
                <w:sz w:val="18"/>
                <w:szCs w:val="18"/>
                <w:lang w:eastAsia="en-US"/>
              </w:rPr>
              <w:t>przewalskii</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7"/>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9</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4"/>
                <w:sz w:val="18"/>
                <w:szCs w:val="18"/>
              </w:rPr>
              <w:t>红沙蟒</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Eryx</w:t>
            </w:r>
            <w:r>
              <w:rPr>
                <w:rFonts w:eastAsia="Times New Roman" w:cs="Times New Roman"/>
                <w:i/>
                <w:iCs/>
                <w:spacing w:val="2"/>
                <w:position w:val="3"/>
                <w:sz w:val="18"/>
                <w:szCs w:val="18"/>
                <w:lang w:eastAsia="en-US"/>
              </w:rPr>
              <w:t xml:space="preserve"> </w:t>
            </w:r>
            <w:r>
              <w:rPr>
                <w:rFonts w:eastAsia="Times New Roman" w:cs="Times New Roman"/>
                <w:i/>
                <w:iCs/>
                <w:position w:val="3"/>
                <w:sz w:val="18"/>
                <w:szCs w:val="18"/>
                <w:lang w:eastAsia="en-US"/>
              </w:rPr>
              <w:t>miliaris</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10</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棋斑游蛇</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Natrix</w:t>
            </w:r>
            <w:r>
              <w:rPr>
                <w:rFonts w:eastAsia="Times New Roman" w:cs="Times New Roman"/>
                <w:i/>
                <w:iCs/>
                <w:spacing w:val="7"/>
                <w:position w:val="1"/>
                <w:sz w:val="18"/>
                <w:szCs w:val="18"/>
                <w:lang w:eastAsia="en-US"/>
              </w:rPr>
              <w:t xml:space="preserve"> </w:t>
            </w:r>
            <w:r>
              <w:rPr>
                <w:rFonts w:eastAsia="Times New Roman" w:cs="Times New Roman"/>
                <w:i/>
                <w:iCs/>
                <w:position w:val="1"/>
                <w:sz w:val="18"/>
                <w:szCs w:val="18"/>
                <w:lang w:eastAsia="en-US"/>
              </w:rPr>
              <w:t>tessellata</w:t>
            </w:r>
          </w:p>
        </w:tc>
        <w:tc>
          <w:tcPr>
            <w:tcW w:w="772"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1"/>
                <w:sz w:val="18"/>
                <w:szCs w:val="18"/>
                <w:lang w:eastAsia="en-US"/>
              </w:rPr>
              <w:t>11</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4"/>
                <w:sz w:val="18"/>
                <w:szCs w:val="18"/>
              </w:rPr>
              <w:t>鸬鹚</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Phalacrocorax carbo</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12</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凤头</w:t>
            </w:r>
            <w:r>
              <w:rPr>
                <w:spacing w:val="-2"/>
                <w:sz w:val="18"/>
                <w:szCs w:val="18"/>
                <w:lang w:eastAsia="zh-CN"/>
              </w:rPr>
              <w:t>䴙䴘</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Podiceps</w:t>
            </w:r>
            <w:r>
              <w:rPr>
                <w:rFonts w:eastAsia="Times New Roman" w:cs="Times New Roman"/>
                <w:i/>
                <w:iCs/>
                <w:spacing w:val="5"/>
                <w:position w:val="3"/>
                <w:sz w:val="18"/>
                <w:szCs w:val="18"/>
                <w:lang w:eastAsia="en-US"/>
              </w:rPr>
              <w:t xml:space="preserve"> </w:t>
            </w:r>
            <w:r>
              <w:rPr>
                <w:rFonts w:eastAsia="Times New Roman" w:cs="Times New Roman"/>
                <w:i/>
                <w:iCs/>
                <w:position w:val="3"/>
                <w:sz w:val="18"/>
                <w:szCs w:val="18"/>
                <w:lang w:eastAsia="en-US"/>
              </w:rPr>
              <w:t>cristatus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13</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5"/>
                <w:sz w:val="18"/>
                <w:szCs w:val="18"/>
              </w:rPr>
              <w:t>赤麻鸭</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2"/>
                <w:sz w:val="18"/>
                <w:szCs w:val="18"/>
                <w:lang w:eastAsia="en-US"/>
              </w:rPr>
              <w:t>Tadornaferruginea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14</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绿头鸭</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3"/>
                <w:position w:val="3"/>
                <w:sz w:val="18"/>
                <w:szCs w:val="18"/>
                <w:lang w:eastAsia="en-US"/>
              </w:rPr>
              <w:t>Anasplatyrhynchos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15</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z w:val="18"/>
                <w:szCs w:val="18"/>
              </w:rPr>
              <w:t>鸢</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Milvus</w:t>
            </w:r>
            <w:r>
              <w:rPr>
                <w:rFonts w:eastAsia="Times New Roman" w:cs="Times New Roman"/>
                <w:i/>
                <w:iCs/>
                <w:spacing w:val="7"/>
                <w:position w:val="1"/>
                <w:sz w:val="18"/>
                <w:szCs w:val="18"/>
                <w:lang w:eastAsia="en-US"/>
              </w:rPr>
              <w:t xml:space="preserve"> </w:t>
            </w:r>
            <w:r>
              <w:rPr>
                <w:rFonts w:eastAsia="Times New Roman" w:cs="Times New Roman"/>
                <w:i/>
                <w:iCs/>
                <w:position w:val="1"/>
                <w:sz w:val="18"/>
                <w:szCs w:val="18"/>
                <w:lang w:eastAsia="en-US"/>
              </w:rPr>
              <w:t>korschum</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16</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5"/>
                <w:sz w:val="18"/>
                <w:szCs w:val="18"/>
              </w:rPr>
              <w:t>苍鹰</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Accipiter</w:t>
            </w:r>
            <w:r>
              <w:rPr>
                <w:rFonts w:eastAsia="Times New Roman" w:cs="Times New Roman"/>
                <w:i/>
                <w:iCs/>
                <w:spacing w:val="-10"/>
                <w:position w:val="3"/>
                <w:sz w:val="18"/>
                <w:szCs w:val="18"/>
                <w:lang w:eastAsia="en-US"/>
              </w:rPr>
              <w:t xml:space="preserve"> </w:t>
            </w:r>
            <w:r>
              <w:rPr>
                <w:rFonts w:eastAsia="Times New Roman" w:cs="Times New Roman"/>
                <w:i/>
                <w:iCs/>
                <w:spacing w:val="1"/>
                <w:position w:val="3"/>
                <w:sz w:val="18"/>
                <w:szCs w:val="18"/>
                <w:lang w:eastAsia="en-US"/>
              </w:rPr>
              <w:t>gentilis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17</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6"/>
                <w:sz w:val="18"/>
                <w:szCs w:val="18"/>
              </w:rPr>
              <w:t>红隼</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Faloco</w:t>
            </w:r>
            <w:r>
              <w:rPr>
                <w:rFonts w:eastAsia="Times New Roman" w:cs="Times New Roman"/>
                <w:i/>
                <w:iCs/>
                <w:spacing w:val="4"/>
                <w:position w:val="1"/>
                <w:sz w:val="18"/>
                <w:szCs w:val="18"/>
                <w:lang w:eastAsia="en-US"/>
              </w:rPr>
              <w:t xml:space="preserve"> </w:t>
            </w:r>
            <w:r>
              <w:rPr>
                <w:rFonts w:eastAsia="Times New Roman" w:cs="Times New Roman"/>
                <w:i/>
                <w:iCs/>
                <w:position w:val="1"/>
                <w:sz w:val="18"/>
                <w:szCs w:val="18"/>
                <w:lang w:eastAsia="en-US"/>
              </w:rPr>
              <w:t>tinnunculus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18</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环颈雉</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Phasianus</w:t>
            </w:r>
            <w:r>
              <w:rPr>
                <w:rFonts w:eastAsia="Times New Roman" w:cs="Times New Roman"/>
                <w:i/>
                <w:iCs/>
                <w:spacing w:val="5"/>
                <w:position w:val="1"/>
                <w:sz w:val="18"/>
                <w:szCs w:val="18"/>
                <w:lang w:eastAsia="en-US"/>
              </w:rPr>
              <w:t xml:space="preserve"> </w:t>
            </w:r>
            <w:r>
              <w:rPr>
                <w:rFonts w:eastAsia="Times New Roman" w:cs="Times New Roman"/>
                <w:i/>
                <w:iCs/>
                <w:position w:val="1"/>
                <w:sz w:val="18"/>
                <w:szCs w:val="18"/>
                <w:lang w:eastAsia="en-US"/>
              </w:rPr>
              <w:t>colchicus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0"/>
                <w:sz w:val="18"/>
                <w:szCs w:val="18"/>
                <w:lang w:eastAsia="en-US"/>
              </w:rPr>
              <w:t>19</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4"/>
                <w:sz w:val="18"/>
                <w:szCs w:val="18"/>
              </w:rPr>
              <w:t>银鸥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z w:val="18"/>
                <w:szCs w:val="18"/>
                <w:lang w:eastAsia="en-US"/>
              </w:rPr>
              <w:t>Larus argentatus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20</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4"/>
                <w:sz w:val="18"/>
                <w:szCs w:val="18"/>
              </w:rPr>
              <w:t>红嘴鸥</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Larus</w:t>
            </w:r>
            <w:r>
              <w:rPr>
                <w:rFonts w:eastAsia="Times New Roman" w:cs="Times New Roman"/>
                <w:i/>
                <w:iCs/>
                <w:spacing w:val="7"/>
                <w:position w:val="1"/>
                <w:sz w:val="18"/>
                <w:szCs w:val="18"/>
                <w:lang w:eastAsia="en-US"/>
              </w:rPr>
              <w:t xml:space="preserve"> </w:t>
            </w:r>
            <w:r>
              <w:rPr>
                <w:rFonts w:eastAsia="Times New Roman" w:cs="Times New Roman"/>
                <w:i/>
                <w:iCs/>
                <w:position w:val="1"/>
                <w:sz w:val="18"/>
                <w:szCs w:val="18"/>
                <w:lang w:eastAsia="en-US"/>
              </w:rPr>
              <w:t>ridibundus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21</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6"/>
                <w:sz w:val="18"/>
                <w:szCs w:val="18"/>
              </w:rPr>
              <w:t>原鸽</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Columba livia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22</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5"/>
                <w:sz w:val="18"/>
                <w:szCs w:val="18"/>
              </w:rPr>
              <w:t>欧斑鸠</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Streptopelia turtur</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41"/>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23</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灰斑鸠</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Streptopelia decaocto</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r>
      <w:tr w:rsidR="00A46452">
        <w:trPr>
          <w:trHeight w:val="242"/>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24</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沙百灵</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Calandrella rugescens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20"/>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25</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2"/>
                <w:sz w:val="18"/>
                <w:szCs w:val="18"/>
              </w:rPr>
              <w:t>凤头百灵</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Galerida cristata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26</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紫翅椋鸟</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Sturnus vulgaris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S</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27</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5"/>
                <w:sz w:val="18"/>
                <w:szCs w:val="18"/>
              </w:rPr>
              <w:t>喜鹊</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sz w:val="18"/>
                <w:szCs w:val="18"/>
                <w:lang w:eastAsia="en-US"/>
              </w:rPr>
              <w:t>Pica</w:t>
            </w:r>
            <w:r>
              <w:rPr>
                <w:rFonts w:eastAsia="Times New Roman" w:cs="Times New Roman"/>
                <w:i/>
                <w:iCs/>
                <w:spacing w:val="-15"/>
                <w:sz w:val="18"/>
                <w:szCs w:val="18"/>
                <w:lang w:eastAsia="en-US"/>
              </w:rPr>
              <w:t xml:space="preserve"> </w:t>
            </w:r>
            <w:r>
              <w:rPr>
                <w:rFonts w:eastAsia="Times New Roman" w:cs="Times New Roman"/>
                <w:i/>
                <w:iCs/>
                <w:spacing w:val="2"/>
                <w:sz w:val="18"/>
                <w:szCs w:val="18"/>
                <w:lang w:eastAsia="en-US"/>
              </w:rPr>
              <w:t>pica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28</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小嘴乌鸦</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sz w:val="18"/>
                <w:szCs w:val="18"/>
                <w:lang w:eastAsia="en-US"/>
              </w:rPr>
              <w:t>Corvua corone</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29</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漠即鸟</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Oenanthe deserti</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30</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3"/>
                <w:sz w:val="18"/>
                <w:szCs w:val="18"/>
              </w:rPr>
              <w:t>沙白喉莺</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Sylvia</w:t>
            </w:r>
            <w:r>
              <w:rPr>
                <w:rFonts w:eastAsia="Times New Roman" w:cs="Times New Roman"/>
                <w:i/>
                <w:iCs/>
                <w:spacing w:val="2"/>
                <w:position w:val="3"/>
                <w:sz w:val="18"/>
                <w:szCs w:val="18"/>
                <w:lang w:eastAsia="en-US"/>
              </w:rPr>
              <w:t xml:space="preserve"> </w:t>
            </w:r>
            <w:r>
              <w:rPr>
                <w:rFonts w:eastAsia="Times New Roman" w:cs="Times New Roman"/>
                <w:i/>
                <w:iCs/>
                <w:position w:val="3"/>
                <w:sz w:val="18"/>
                <w:szCs w:val="18"/>
                <w:lang w:eastAsia="en-US"/>
              </w:rPr>
              <w:t>minula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31</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4"/>
                <w:sz w:val="18"/>
                <w:szCs w:val="18"/>
              </w:rPr>
              <w:t>漠雀</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Rhodopechys</w:t>
            </w:r>
            <w:r>
              <w:rPr>
                <w:rFonts w:eastAsia="Times New Roman" w:cs="Times New Roman"/>
                <w:i/>
                <w:iCs/>
                <w:spacing w:val="4"/>
                <w:position w:val="3"/>
                <w:sz w:val="18"/>
                <w:szCs w:val="18"/>
                <w:lang w:eastAsia="en-US"/>
              </w:rPr>
              <w:t xml:space="preserve"> </w:t>
            </w:r>
            <w:r>
              <w:rPr>
                <w:rFonts w:eastAsia="Times New Roman" w:cs="Times New Roman"/>
                <w:i/>
                <w:iCs/>
                <w:position w:val="3"/>
                <w:sz w:val="18"/>
                <w:szCs w:val="18"/>
                <w:lang w:eastAsia="en-US"/>
              </w:rPr>
              <w:t>githagineus</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B</w:t>
            </w:r>
          </w:p>
        </w:tc>
        <w:tc>
          <w:tcPr>
            <w:tcW w:w="240"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32</w:t>
            </w:r>
          </w:p>
        </w:tc>
        <w:tc>
          <w:tcPr>
            <w:tcW w:w="1153" w:type="pct"/>
            <w:tcBorders>
              <w:tl2br w:val="nil"/>
              <w:tr2bl w:val="nil"/>
            </w:tcBorders>
          </w:tcPr>
          <w:p w:rsidR="00A46452" w:rsidRDefault="009A3928">
            <w:pPr>
              <w:pStyle w:val="TableText"/>
              <w:wordWrap w:val="0"/>
              <w:topLinePunct/>
              <w:spacing w:line="240" w:lineRule="auto"/>
              <w:ind w:firstLineChars="0" w:firstLine="0"/>
              <w:jc w:val="center"/>
              <w:rPr>
                <w:sz w:val="18"/>
                <w:szCs w:val="18"/>
              </w:rPr>
            </w:pPr>
            <w:r>
              <w:rPr>
                <w:spacing w:val="-6"/>
                <w:sz w:val="18"/>
                <w:szCs w:val="18"/>
              </w:rPr>
              <w:t>黑鹳</w:t>
            </w:r>
          </w:p>
        </w:tc>
        <w:tc>
          <w:tcPr>
            <w:tcW w:w="196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sz w:val="18"/>
                <w:szCs w:val="18"/>
                <w:lang w:eastAsia="en-US"/>
              </w:rPr>
              <w:t>Ciconia nigra</w:t>
            </w:r>
          </w:p>
        </w:tc>
        <w:tc>
          <w:tcPr>
            <w:tcW w:w="772"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33</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2"/>
                <w:sz w:val="18"/>
                <w:szCs w:val="18"/>
              </w:rPr>
              <w:t>斑嘴鹈鹕</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Pelecanus</w:t>
            </w:r>
            <w:r>
              <w:rPr>
                <w:rFonts w:eastAsia="Times New Roman" w:cs="Times New Roman"/>
                <w:i/>
                <w:iCs/>
                <w:spacing w:val="-19"/>
                <w:position w:val="3"/>
                <w:sz w:val="18"/>
                <w:szCs w:val="18"/>
                <w:lang w:eastAsia="en-US"/>
              </w:rPr>
              <w:t xml:space="preserve"> </w:t>
            </w:r>
            <w:r>
              <w:rPr>
                <w:rFonts w:eastAsia="Times New Roman" w:cs="Times New Roman"/>
                <w:i/>
                <w:iCs/>
                <w:spacing w:val="1"/>
                <w:position w:val="3"/>
                <w:sz w:val="18"/>
                <w:szCs w:val="18"/>
                <w:lang w:eastAsia="en-US"/>
              </w:rPr>
              <w:t>philioppensis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34</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棕尾鵟</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Buteo</w:t>
            </w:r>
            <w:r>
              <w:rPr>
                <w:rFonts w:eastAsia="Times New Roman" w:cs="Times New Roman"/>
                <w:i/>
                <w:iCs/>
                <w:spacing w:val="6"/>
                <w:position w:val="3"/>
                <w:sz w:val="18"/>
                <w:szCs w:val="18"/>
                <w:lang w:eastAsia="en-US"/>
              </w:rPr>
              <w:t xml:space="preserve"> </w:t>
            </w:r>
            <w:r>
              <w:rPr>
                <w:rFonts w:eastAsia="Times New Roman" w:cs="Times New Roman"/>
                <w:i/>
                <w:iCs/>
                <w:position w:val="3"/>
                <w:sz w:val="18"/>
                <w:szCs w:val="18"/>
                <w:lang w:eastAsia="en-US"/>
              </w:rPr>
              <w:t>rufinus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35</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普通鵟</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Buteo</w:t>
            </w:r>
            <w:r>
              <w:rPr>
                <w:rFonts w:eastAsia="Times New Roman" w:cs="Times New Roman"/>
                <w:i/>
                <w:iCs/>
                <w:spacing w:val="4"/>
                <w:position w:val="1"/>
                <w:sz w:val="18"/>
                <w:szCs w:val="18"/>
                <w:lang w:eastAsia="en-US"/>
              </w:rPr>
              <w:t xml:space="preserve"> </w:t>
            </w:r>
            <w:r>
              <w:rPr>
                <w:rFonts w:eastAsia="Times New Roman" w:cs="Times New Roman"/>
                <w:i/>
                <w:iCs/>
                <w:position w:val="1"/>
                <w:sz w:val="18"/>
                <w:szCs w:val="18"/>
                <w:lang w:eastAsia="en-US"/>
              </w:rPr>
              <w:t>buteo</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36</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6"/>
                <w:sz w:val="18"/>
                <w:szCs w:val="18"/>
              </w:rPr>
              <w:t>小雕</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position w:val="3"/>
                <w:sz w:val="18"/>
                <w:szCs w:val="18"/>
                <w:lang w:eastAsia="en-US"/>
              </w:rPr>
              <w:t>Aquila</w:t>
            </w:r>
            <w:r>
              <w:rPr>
                <w:rFonts w:eastAsia="Times New Roman" w:cs="Times New Roman"/>
                <w:i/>
                <w:iCs/>
                <w:spacing w:val="-21"/>
                <w:position w:val="3"/>
                <w:sz w:val="18"/>
                <w:szCs w:val="18"/>
                <w:lang w:eastAsia="en-US"/>
              </w:rPr>
              <w:t xml:space="preserve"> </w:t>
            </w:r>
            <w:r>
              <w:rPr>
                <w:rFonts w:eastAsia="Times New Roman" w:cs="Times New Roman"/>
                <w:i/>
                <w:iCs/>
                <w:spacing w:val="2"/>
                <w:position w:val="3"/>
                <w:sz w:val="18"/>
                <w:szCs w:val="18"/>
                <w:lang w:eastAsia="en-US"/>
              </w:rPr>
              <w:t>pennatus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37</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12"/>
                <w:sz w:val="18"/>
                <w:szCs w:val="18"/>
              </w:rPr>
              <w:t>白尾鹞</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sz w:val="18"/>
                <w:szCs w:val="18"/>
                <w:lang w:eastAsia="en-US"/>
              </w:rPr>
              <w:t>Circus cyaneus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38</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4"/>
                <w:sz w:val="18"/>
                <w:szCs w:val="18"/>
              </w:rPr>
              <w:t>燕隼</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Falco</w:t>
            </w:r>
            <w:r>
              <w:rPr>
                <w:rFonts w:eastAsia="Times New Roman" w:cs="Times New Roman"/>
                <w:i/>
                <w:iCs/>
                <w:spacing w:val="4"/>
                <w:position w:val="1"/>
                <w:sz w:val="18"/>
                <w:szCs w:val="18"/>
                <w:lang w:eastAsia="en-US"/>
              </w:rPr>
              <w:t xml:space="preserve"> </w:t>
            </w:r>
            <w:r>
              <w:rPr>
                <w:rFonts w:eastAsia="Times New Roman" w:cs="Times New Roman"/>
                <w:i/>
                <w:iCs/>
                <w:position w:val="1"/>
                <w:sz w:val="18"/>
                <w:szCs w:val="18"/>
                <w:lang w:eastAsia="en-US"/>
              </w:rPr>
              <w:t>subbuteo</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39</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5"/>
                <w:sz w:val="18"/>
                <w:szCs w:val="18"/>
              </w:rPr>
              <w:t>灰鹤</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sz w:val="18"/>
                <w:szCs w:val="18"/>
                <w:lang w:eastAsia="en-US"/>
              </w:rPr>
              <w:t>Grus grus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40</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姬田鸡</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sz w:val="18"/>
                <w:szCs w:val="18"/>
                <w:lang w:eastAsia="en-US"/>
              </w:rPr>
              <w:t>Porzana</w:t>
            </w:r>
            <w:r>
              <w:rPr>
                <w:rFonts w:eastAsia="Times New Roman" w:cs="Times New Roman"/>
                <w:i/>
                <w:iCs/>
                <w:spacing w:val="-10"/>
                <w:sz w:val="18"/>
                <w:szCs w:val="18"/>
                <w:lang w:eastAsia="en-US"/>
              </w:rPr>
              <w:t xml:space="preserve"> </w:t>
            </w:r>
            <w:r>
              <w:rPr>
                <w:rFonts w:eastAsia="Times New Roman" w:cs="Times New Roman"/>
                <w:i/>
                <w:iCs/>
                <w:spacing w:val="1"/>
                <w:sz w:val="18"/>
                <w:szCs w:val="18"/>
                <w:lang w:eastAsia="en-US"/>
              </w:rPr>
              <w:t>parva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41</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黑腹沙鸡</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Pterocles Paradoxus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42</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2"/>
                <w:sz w:val="18"/>
                <w:szCs w:val="18"/>
              </w:rPr>
              <w:t>纵纹腹小鸮</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Athene</w:t>
            </w:r>
            <w:r>
              <w:rPr>
                <w:rFonts w:eastAsia="Times New Roman" w:cs="Times New Roman"/>
                <w:i/>
                <w:iCs/>
                <w:spacing w:val="7"/>
                <w:position w:val="1"/>
                <w:sz w:val="18"/>
                <w:szCs w:val="18"/>
                <w:lang w:eastAsia="en-US"/>
              </w:rPr>
              <w:t xml:space="preserve"> </w:t>
            </w:r>
            <w:r>
              <w:rPr>
                <w:rFonts w:eastAsia="Times New Roman" w:cs="Times New Roman"/>
                <w:i/>
                <w:iCs/>
                <w:position w:val="1"/>
                <w:sz w:val="18"/>
                <w:szCs w:val="18"/>
                <w:lang w:eastAsia="en-US"/>
              </w:rPr>
              <w:t>noctua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43</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长耳鸮</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z w:val="18"/>
                <w:szCs w:val="18"/>
                <w:lang w:eastAsia="en-US"/>
              </w:rPr>
              <w:t>Asio</w:t>
            </w:r>
            <w:r>
              <w:rPr>
                <w:rFonts w:eastAsia="Times New Roman" w:cs="Times New Roman"/>
                <w:i/>
                <w:iCs/>
                <w:spacing w:val="10"/>
                <w:sz w:val="18"/>
                <w:szCs w:val="18"/>
                <w:lang w:eastAsia="en-US"/>
              </w:rPr>
              <w:t xml:space="preserve"> </w:t>
            </w:r>
            <w:r>
              <w:rPr>
                <w:rFonts w:eastAsia="Times New Roman" w:cs="Times New Roman"/>
                <w:i/>
                <w:iCs/>
                <w:sz w:val="18"/>
                <w:szCs w:val="18"/>
                <w:lang w:eastAsia="en-US"/>
              </w:rPr>
              <w:t>otus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44</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12"/>
                <w:sz w:val="18"/>
                <w:szCs w:val="18"/>
              </w:rPr>
              <w:t>白额雁</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3"/>
                <w:sz w:val="18"/>
                <w:szCs w:val="18"/>
                <w:lang w:eastAsia="en-US"/>
              </w:rPr>
              <w:t>Anser</w:t>
            </w:r>
            <w:r>
              <w:rPr>
                <w:rFonts w:eastAsia="Times New Roman" w:cs="Times New Roman"/>
                <w:i/>
                <w:iCs/>
                <w:spacing w:val="3"/>
                <w:position w:val="3"/>
                <w:sz w:val="18"/>
                <w:szCs w:val="18"/>
                <w:lang w:eastAsia="en-US"/>
              </w:rPr>
              <w:t xml:space="preserve"> </w:t>
            </w:r>
            <w:r>
              <w:rPr>
                <w:rFonts w:eastAsia="Times New Roman" w:cs="Times New Roman"/>
                <w:i/>
                <w:iCs/>
                <w:position w:val="3"/>
                <w:sz w:val="18"/>
                <w:szCs w:val="18"/>
                <w:lang w:eastAsia="en-US"/>
              </w:rPr>
              <w:t>albifrons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45</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2"/>
                <w:sz w:val="18"/>
                <w:szCs w:val="18"/>
              </w:rPr>
              <w:t>翘鼻麻鸭</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position w:val="1"/>
                <w:sz w:val="18"/>
                <w:szCs w:val="18"/>
                <w:lang w:eastAsia="en-US"/>
              </w:rPr>
              <w:t>Tadorna tadorna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46</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3"/>
                <w:sz w:val="18"/>
                <w:szCs w:val="18"/>
              </w:rPr>
              <w:t>针尾鸭</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z w:val="18"/>
                <w:szCs w:val="18"/>
                <w:lang w:eastAsia="en-US"/>
              </w:rPr>
              <w:t>Anas</w:t>
            </w:r>
            <w:r>
              <w:rPr>
                <w:rFonts w:eastAsia="Times New Roman" w:cs="Times New Roman"/>
                <w:i/>
                <w:iCs/>
                <w:spacing w:val="12"/>
                <w:sz w:val="18"/>
                <w:szCs w:val="18"/>
                <w:lang w:eastAsia="en-US"/>
              </w:rPr>
              <w:t xml:space="preserve"> </w:t>
            </w:r>
            <w:r>
              <w:rPr>
                <w:rFonts w:eastAsia="Times New Roman" w:cs="Times New Roman"/>
                <w:i/>
                <w:iCs/>
                <w:sz w:val="18"/>
                <w:szCs w:val="18"/>
                <w:lang w:eastAsia="en-US"/>
              </w:rPr>
              <w:t>acuta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47</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5"/>
                <w:sz w:val="18"/>
                <w:szCs w:val="18"/>
              </w:rPr>
              <w:t>赤膀鸭</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z w:val="18"/>
                <w:szCs w:val="18"/>
                <w:lang w:eastAsia="en-US"/>
              </w:rPr>
              <w:t>Anas</w:t>
            </w:r>
            <w:r>
              <w:rPr>
                <w:rFonts w:eastAsia="Times New Roman" w:cs="Times New Roman"/>
                <w:i/>
                <w:iCs/>
                <w:spacing w:val="6"/>
                <w:sz w:val="18"/>
                <w:szCs w:val="18"/>
                <w:lang w:eastAsia="en-US"/>
              </w:rPr>
              <w:t xml:space="preserve"> </w:t>
            </w:r>
            <w:r>
              <w:rPr>
                <w:rFonts w:eastAsia="Times New Roman" w:cs="Times New Roman"/>
                <w:i/>
                <w:iCs/>
                <w:sz w:val="18"/>
                <w:szCs w:val="18"/>
                <w:lang w:eastAsia="en-US"/>
              </w:rPr>
              <w:t>strepera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48</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9"/>
                <w:sz w:val="18"/>
                <w:szCs w:val="18"/>
              </w:rPr>
              <w:t>白眼潜鸭</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Aythya nyroca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49</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z w:val="18"/>
                <w:szCs w:val="18"/>
              </w:rPr>
            </w:pPr>
            <w:r>
              <w:rPr>
                <w:spacing w:val="-2"/>
                <w:sz w:val="18"/>
                <w:szCs w:val="18"/>
              </w:rPr>
              <w:t>斑胸田鸡</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3"/>
                <w:sz w:val="18"/>
                <w:szCs w:val="18"/>
                <w:lang w:eastAsia="en-US"/>
              </w:rPr>
              <w:t>Porzanaporzana</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50</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蓝胸佛法僧</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Coracias</w:t>
            </w:r>
            <w:r>
              <w:rPr>
                <w:rFonts w:eastAsia="Times New Roman" w:cs="Times New Roman"/>
                <w:i/>
                <w:iCs/>
                <w:spacing w:val="16"/>
                <w:w w:val="102"/>
                <w:position w:val="3"/>
                <w:sz w:val="18"/>
                <w:szCs w:val="18"/>
                <w:lang w:eastAsia="en-US"/>
              </w:rPr>
              <w:t xml:space="preserve"> </w:t>
            </w:r>
            <w:r>
              <w:rPr>
                <w:rFonts w:eastAsia="Times New Roman" w:cs="Times New Roman"/>
                <w:i/>
                <w:iCs/>
                <w:spacing w:val="-1"/>
                <w:position w:val="3"/>
                <w:sz w:val="18"/>
                <w:szCs w:val="18"/>
                <w:lang w:eastAsia="en-US"/>
              </w:rPr>
              <w:t>garrulous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51</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大天鹅</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1"/>
                <w:sz w:val="18"/>
                <w:szCs w:val="18"/>
                <w:lang w:eastAsia="en-US"/>
              </w:rPr>
              <w:t>Cygnus cygnus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R</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52</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塔里木兔</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Lepus</w:t>
            </w:r>
            <w:r>
              <w:rPr>
                <w:rFonts w:eastAsia="Times New Roman" w:cs="Times New Roman"/>
                <w:i/>
                <w:iCs/>
                <w:spacing w:val="-14"/>
                <w:position w:val="3"/>
                <w:sz w:val="18"/>
                <w:szCs w:val="18"/>
                <w:lang w:eastAsia="en-US"/>
              </w:rPr>
              <w:t xml:space="preserve"> </w:t>
            </w:r>
            <w:r>
              <w:rPr>
                <w:rFonts w:eastAsia="Times New Roman" w:cs="Times New Roman"/>
                <w:i/>
                <w:iCs/>
                <w:spacing w:val="1"/>
                <w:position w:val="3"/>
                <w:sz w:val="18"/>
                <w:szCs w:val="18"/>
                <w:lang w:eastAsia="en-US"/>
              </w:rPr>
              <w:t>yarkandensis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2"/>
                <w:sz w:val="18"/>
                <w:szCs w:val="18"/>
                <w:lang w:eastAsia="en-US"/>
              </w:rPr>
              <w:t>++</w:t>
            </w: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53</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三趾心颅跳鼠</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Salpingotus kozlovi</w:t>
            </w:r>
          </w:p>
        </w:tc>
        <w:tc>
          <w:tcPr>
            <w:tcW w:w="772" w:type="pct"/>
            <w:tcBorders>
              <w:tl2br w:val="nil"/>
              <w:tr2bl w:val="nil"/>
            </w:tcBorders>
            <w:shd w:val="clear" w:color="auto" w:fill="auto"/>
          </w:tcPr>
          <w:p w:rsidR="00A46452" w:rsidRDefault="009A3928">
            <w:pPr>
              <w:tabs>
                <w:tab w:val="left" w:pos="701"/>
              </w:tabs>
              <w:wordWrap w:val="0"/>
              <w:topLinePunct/>
              <w:spacing w:line="240" w:lineRule="auto"/>
              <w:ind w:firstLineChars="0" w:firstLine="0"/>
              <w:jc w:val="center"/>
              <w:rPr>
                <w:rFonts w:cs="Times New Roman"/>
                <w:lang w:eastAsia="en-US"/>
              </w:rPr>
            </w:pPr>
            <w:r>
              <w:rPr>
                <w:rFonts w:eastAsia="Arial" w:cs="Times New Roman"/>
                <w:u w:val="single"/>
                <w:lang w:eastAsia="en-US"/>
              </w:rPr>
              <w:tab/>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54</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长耳跳兔</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1"/>
                <w:sz w:val="18"/>
                <w:szCs w:val="18"/>
                <w:lang w:eastAsia="en-US"/>
              </w:rPr>
              <w:t>Euchoreutes naso</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55</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子午沙鼠</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Meriones</w:t>
            </w:r>
            <w:r>
              <w:rPr>
                <w:rFonts w:eastAsia="Times New Roman" w:cs="Times New Roman"/>
                <w:i/>
                <w:iCs/>
                <w:spacing w:val="4"/>
                <w:position w:val="1"/>
                <w:sz w:val="18"/>
                <w:szCs w:val="18"/>
                <w:lang w:eastAsia="en-US"/>
              </w:rPr>
              <w:t xml:space="preserve"> </w:t>
            </w:r>
            <w:r>
              <w:rPr>
                <w:rFonts w:eastAsia="Times New Roman" w:cs="Times New Roman"/>
                <w:i/>
                <w:iCs/>
                <w:position w:val="1"/>
                <w:sz w:val="18"/>
                <w:szCs w:val="18"/>
                <w:lang w:eastAsia="en-US"/>
              </w:rPr>
              <w:t>meridianus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56</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大耳猥</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Hemiechinus</w:t>
            </w:r>
            <w:r>
              <w:rPr>
                <w:rFonts w:eastAsia="Times New Roman" w:cs="Times New Roman"/>
                <w:i/>
                <w:iCs/>
                <w:spacing w:val="5"/>
                <w:position w:val="1"/>
                <w:sz w:val="18"/>
                <w:szCs w:val="18"/>
                <w:lang w:eastAsia="en-US"/>
              </w:rPr>
              <w:t xml:space="preserve"> </w:t>
            </w:r>
            <w:r>
              <w:rPr>
                <w:rFonts w:eastAsia="Times New Roman" w:cs="Times New Roman"/>
                <w:i/>
                <w:iCs/>
                <w:position w:val="1"/>
                <w:sz w:val="18"/>
                <w:szCs w:val="18"/>
                <w:lang w:eastAsia="en-US"/>
              </w:rPr>
              <w:t>auritus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57</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赤狐</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20"/>
                <w:szCs w:val="20"/>
                <w:lang w:eastAsia="en-US"/>
              </w:rPr>
            </w:pPr>
            <w:r>
              <w:rPr>
                <w:rFonts w:eastAsia="Times New Roman" w:cs="Times New Roman"/>
                <w:i/>
                <w:iCs/>
                <w:spacing w:val="-3"/>
                <w:position w:val="3"/>
                <w:sz w:val="20"/>
                <w:szCs w:val="20"/>
                <w:lang w:eastAsia="en-US"/>
              </w:rPr>
              <w:t>Vulpes</w:t>
            </w:r>
            <w:r>
              <w:rPr>
                <w:rFonts w:eastAsia="Times New Roman" w:cs="Times New Roman"/>
                <w:i/>
                <w:iCs/>
                <w:spacing w:val="33"/>
                <w:w w:val="101"/>
                <w:position w:val="3"/>
                <w:sz w:val="20"/>
                <w:szCs w:val="20"/>
                <w:lang w:eastAsia="en-US"/>
              </w:rPr>
              <w:t xml:space="preserve"> </w:t>
            </w:r>
            <w:r>
              <w:rPr>
                <w:rFonts w:eastAsia="Times New Roman" w:cs="Times New Roman"/>
                <w:i/>
                <w:iCs/>
                <w:spacing w:val="-3"/>
                <w:position w:val="3"/>
                <w:sz w:val="20"/>
                <w:szCs w:val="20"/>
                <w:lang w:eastAsia="en-US"/>
              </w:rPr>
              <w:t>Vulpes</w:t>
            </w:r>
          </w:p>
        </w:tc>
        <w:tc>
          <w:tcPr>
            <w:tcW w:w="772" w:type="pct"/>
            <w:tcBorders>
              <w:tl2br w:val="nil"/>
              <w:tr2bl w:val="nil"/>
            </w:tcBorders>
            <w:shd w:val="clear" w:color="auto" w:fill="auto"/>
          </w:tcPr>
          <w:p w:rsidR="00A46452" w:rsidRDefault="009A3928">
            <w:pPr>
              <w:tabs>
                <w:tab w:val="left" w:pos="701"/>
              </w:tabs>
              <w:wordWrap w:val="0"/>
              <w:topLinePunct/>
              <w:spacing w:line="240" w:lineRule="auto"/>
              <w:ind w:firstLineChars="0" w:firstLine="0"/>
              <w:jc w:val="center"/>
              <w:rPr>
                <w:rFonts w:cs="Times New Roman"/>
                <w:lang w:eastAsia="en-US"/>
              </w:rPr>
            </w:pPr>
            <w:r>
              <w:rPr>
                <w:rFonts w:eastAsia="Arial" w:cs="Times New Roman"/>
                <w:u w:val="single"/>
                <w:lang w:eastAsia="en-US"/>
              </w:rPr>
              <w:tab/>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58</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沙狐</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20"/>
                <w:szCs w:val="20"/>
                <w:lang w:eastAsia="en-US"/>
              </w:rPr>
            </w:pPr>
            <w:r>
              <w:rPr>
                <w:rFonts w:eastAsia="Times New Roman" w:cs="Times New Roman"/>
                <w:i/>
                <w:iCs/>
                <w:position w:val="3"/>
                <w:sz w:val="20"/>
                <w:szCs w:val="20"/>
                <w:lang w:eastAsia="en-US"/>
              </w:rPr>
              <w:t>Vulpes</w:t>
            </w:r>
            <w:r>
              <w:rPr>
                <w:rFonts w:eastAsia="Times New Roman" w:cs="Times New Roman"/>
                <w:i/>
                <w:iCs/>
                <w:spacing w:val="14"/>
                <w:position w:val="3"/>
                <w:sz w:val="20"/>
                <w:szCs w:val="20"/>
                <w:lang w:eastAsia="en-US"/>
              </w:rPr>
              <w:t xml:space="preserve"> </w:t>
            </w:r>
            <w:r>
              <w:rPr>
                <w:rFonts w:eastAsia="Times New Roman" w:cs="Times New Roman"/>
                <w:i/>
                <w:iCs/>
                <w:position w:val="3"/>
                <w:sz w:val="20"/>
                <w:szCs w:val="20"/>
                <w:lang w:eastAsia="en-US"/>
              </w:rPr>
              <w:t>corsac</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305"/>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59</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虎鼬</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20"/>
                <w:szCs w:val="20"/>
                <w:lang w:eastAsia="en-US"/>
              </w:rPr>
            </w:pPr>
            <w:r>
              <w:rPr>
                <w:rFonts w:eastAsia="Times New Roman" w:cs="Times New Roman"/>
                <w:i/>
                <w:iCs/>
                <w:spacing w:val="2"/>
                <w:position w:val="3"/>
                <w:sz w:val="20"/>
                <w:szCs w:val="20"/>
                <w:lang w:eastAsia="en-US"/>
              </w:rPr>
              <w:t>Vormela</w:t>
            </w:r>
            <w:r>
              <w:rPr>
                <w:rFonts w:eastAsia="Times New Roman" w:cs="Times New Roman"/>
                <w:i/>
                <w:iCs/>
                <w:spacing w:val="-8"/>
                <w:position w:val="3"/>
                <w:sz w:val="20"/>
                <w:szCs w:val="20"/>
                <w:lang w:eastAsia="en-US"/>
              </w:rPr>
              <w:t xml:space="preserve"> </w:t>
            </w:r>
            <w:r>
              <w:rPr>
                <w:rFonts w:eastAsia="Times New Roman" w:cs="Times New Roman"/>
                <w:i/>
                <w:iCs/>
                <w:spacing w:val="2"/>
                <w:position w:val="3"/>
                <w:sz w:val="20"/>
                <w:szCs w:val="20"/>
                <w:lang w:eastAsia="en-US"/>
              </w:rPr>
              <w:t>personata</w:t>
            </w:r>
          </w:p>
        </w:tc>
        <w:tc>
          <w:tcPr>
            <w:tcW w:w="772"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304"/>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60</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狗獾</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Meles</w:t>
            </w:r>
            <w:r>
              <w:rPr>
                <w:rFonts w:eastAsia="Times New Roman" w:cs="Times New Roman"/>
                <w:i/>
                <w:iCs/>
                <w:spacing w:val="5"/>
                <w:position w:val="1"/>
                <w:sz w:val="18"/>
                <w:szCs w:val="18"/>
                <w:lang w:eastAsia="en-US"/>
              </w:rPr>
              <w:t xml:space="preserve"> </w:t>
            </w:r>
            <w:r>
              <w:rPr>
                <w:rFonts w:eastAsia="Times New Roman" w:cs="Times New Roman"/>
                <w:i/>
                <w:iCs/>
                <w:position w:val="1"/>
                <w:sz w:val="18"/>
                <w:szCs w:val="18"/>
                <w:lang w:eastAsia="en-US"/>
              </w:rPr>
              <w:t>meles</w:t>
            </w:r>
          </w:p>
        </w:tc>
        <w:tc>
          <w:tcPr>
            <w:tcW w:w="77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3"/>
                <w:position w:val="-2"/>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304"/>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61</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野猪</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2"/>
                <w:position w:val="3"/>
                <w:sz w:val="18"/>
                <w:szCs w:val="18"/>
                <w:lang w:eastAsia="en-US"/>
              </w:rPr>
              <w:t>Sus scrofa</w:t>
            </w:r>
          </w:p>
        </w:tc>
        <w:tc>
          <w:tcPr>
            <w:tcW w:w="772" w:type="pct"/>
            <w:tcBorders>
              <w:tl2br w:val="nil"/>
              <w:tr2bl w:val="nil"/>
            </w:tcBorders>
            <w:shd w:val="clear" w:color="auto" w:fill="auto"/>
          </w:tcPr>
          <w:p w:rsidR="00A46452" w:rsidRDefault="009A3928">
            <w:pPr>
              <w:tabs>
                <w:tab w:val="left" w:pos="701"/>
              </w:tabs>
              <w:wordWrap w:val="0"/>
              <w:topLinePunct/>
              <w:spacing w:line="240" w:lineRule="auto"/>
              <w:ind w:firstLineChars="0" w:firstLine="0"/>
              <w:jc w:val="center"/>
              <w:rPr>
                <w:rFonts w:cs="Times New Roman"/>
                <w:lang w:eastAsia="en-US"/>
              </w:rPr>
            </w:pPr>
            <w:r>
              <w:rPr>
                <w:rFonts w:eastAsia="Arial" w:cs="Times New Roman"/>
                <w:u w:val="single"/>
                <w:lang w:eastAsia="en-US"/>
              </w:rPr>
              <w:tab/>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62</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马鹿</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Cervus elaphus</w:t>
            </w:r>
          </w:p>
        </w:tc>
        <w:tc>
          <w:tcPr>
            <w:tcW w:w="772" w:type="pct"/>
            <w:tcBorders>
              <w:tl2br w:val="nil"/>
              <w:tr2bl w:val="nil"/>
            </w:tcBorders>
            <w:shd w:val="clear" w:color="auto" w:fill="auto"/>
          </w:tcPr>
          <w:p w:rsidR="00A46452" w:rsidRDefault="009A3928">
            <w:pPr>
              <w:tabs>
                <w:tab w:val="left" w:pos="701"/>
              </w:tabs>
              <w:wordWrap w:val="0"/>
              <w:topLinePunct/>
              <w:spacing w:line="240" w:lineRule="auto"/>
              <w:ind w:firstLineChars="0" w:firstLine="0"/>
              <w:jc w:val="center"/>
              <w:rPr>
                <w:rFonts w:cs="Times New Roman"/>
                <w:lang w:eastAsia="en-US"/>
              </w:rPr>
            </w:pPr>
            <w:r>
              <w:rPr>
                <w:rFonts w:eastAsia="Arial" w:cs="Times New Roman"/>
                <w:u w:val="single"/>
                <w:lang w:eastAsia="en-US"/>
              </w:rPr>
              <w:tab/>
            </w: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sz w:val="19"/>
                <w:lang w:eastAsia="en-US"/>
              </w:rPr>
            </w:pPr>
          </w:p>
        </w:tc>
      </w:tr>
      <w:tr w:rsidR="00A46452">
        <w:trPr>
          <w:trHeight w:val="239"/>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63</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草原班猫</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Felis</w:t>
            </w:r>
            <w:r>
              <w:rPr>
                <w:rFonts w:eastAsia="Times New Roman" w:cs="Times New Roman"/>
                <w:i/>
                <w:iCs/>
                <w:spacing w:val="1"/>
                <w:position w:val="1"/>
                <w:sz w:val="18"/>
                <w:szCs w:val="18"/>
                <w:lang w:eastAsia="en-US"/>
              </w:rPr>
              <w:t xml:space="preserve"> </w:t>
            </w:r>
            <w:r>
              <w:rPr>
                <w:rFonts w:eastAsia="Times New Roman" w:cs="Times New Roman"/>
                <w:i/>
                <w:iCs/>
                <w:position w:val="1"/>
                <w:sz w:val="18"/>
                <w:szCs w:val="18"/>
                <w:lang w:eastAsia="en-US"/>
              </w:rPr>
              <w:t>silvestris</w:t>
            </w:r>
          </w:p>
        </w:tc>
        <w:tc>
          <w:tcPr>
            <w:tcW w:w="772"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r>
      <w:tr w:rsidR="00A46452">
        <w:trPr>
          <w:trHeight w:val="238"/>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64</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鹅喉羚</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spacing w:val="-1"/>
                <w:position w:val="3"/>
                <w:sz w:val="18"/>
                <w:szCs w:val="18"/>
                <w:lang w:eastAsia="en-US"/>
              </w:rPr>
              <w:t>Gazella subgutturosa</w:t>
            </w:r>
          </w:p>
        </w:tc>
        <w:tc>
          <w:tcPr>
            <w:tcW w:w="772"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r>
      <w:tr w:rsidR="00A46452">
        <w:trPr>
          <w:trHeight w:val="304"/>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65</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伶鼬</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Mustela</w:t>
            </w:r>
            <w:r>
              <w:rPr>
                <w:rFonts w:eastAsia="Times New Roman" w:cs="Times New Roman"/>
                <w:i/>
                <w:iCs/>
                <w:spacing w:val="5"/>
                <w:position w:val="1"/>
                <w:sz w:val="18"/>
                <w:szCs w:val="18"/>
                <w:lang w:eastAsia="en-US"/>
              </w:rPr>
              <w:t xml:space="preserve"> </w:t>
            </w:r>
            <w:r>
              <w:rPr>
                <w:rFonts w:eastAsia="Times New Roman" w:cs="Times New Roman"/>
                <w:i/>
                <w:iCs/>
                <w:position w:val="1"/>
                <w:sz w:val="18"/>
                <w:szCs w:val="18"/>
                <w:lang w:eastAsia="en-US"/>
              </w:rPr>
              <w:t>nivalis</w:t>
            </w:r>
          </w:p>
        </w:tc>
        <w:tc>
          <w:tcPr>
            <w:tcW w:w="772"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r w:rsidR="00A46452">
        <w:trPr>
          <w:trHeight w:val="304"/>
          <w:jc w:val="center"/>
        </w:trPr>
        <w:tc>
          <w:tcPr>
            <w:tcW w:w="388" w:type="pct"/>
            <w:tcBorders>
              <w:tl2br w:val="nil"/>
              <w:tr2bl w:val="nil"/>
            </w:tcBorders>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pacing w:val="-4"/>
                <w:sz w:val="18"/>
                <w:szCs w:val="18"/>
                <w:lang w:eastAsia="en-US"/>
              </w:rPr>
              <w:t>66</w:t>
            </w:r>
          </w:p>
        </w:tc>
        <w:tc>
          <w:tcPr>
            <w:tcW w:w="1153" w:type="pct"/>
            <w:tcBorders>
              <w:tl2br w:val="nil"/>
              <w:tr2bl w:val="nil"/>
            </w:tcBorders>
            <w:shd w:val="clear" w:color="auto" w:fill="auto"/>
          </w:tcPr>
          <w:p w:rsidR="00A46452" w:rsidRDefault="009A3928">
            <w:pPr>
              <w:pStyle w:val="TableText"/>
              <w:wordWrap w:val="0"/>
              <w:topLinePunct/>
              <w:spacing w:line="240" w:lineRule="auto"/>
              <w:ind w:firstLineChars="0" w:firstLine="0"/>
              <w:jc w:val="center"/>
              <w:rPr>
                <w:spacing w:val="-2"/>
                <w:sz w:val="18"/>
                <w:szCs w:val="18"/>
              </w:rPr>
            </w:pPr>
            <w:r>
              <w:rPr>
                <w:spacing w:val="-2"/>
                <w:sz w:val="18"/>
                <w:szCs w:val="18"/>
              </w:rPr>
              <w:t>艾鼬</w:t>
            </w:r>
          </w:p>
        </w:tc>
        <w:tc>
          <w:tcPr>
            <w:tcW w:w="1962"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i/>
                <w:iCs/>
                <w:position w:val="1"/>
                <w:sz w:val="18"/>
                <w:szCs w:val="18"/>
                <w:lang w:eastAsia="en-US"/>
              </w:rPr>
              <w:t>Mustela</w:t>
            </w:r>
            <w:r>
              <w:rPr>
                <w:rFonts w:eastAsia="Times New Roman" w:cs="Times New Roman"/>
                <w:i/>
                <w:iCs/>
                <w:spacing w:val="6"/>
                <w:position w:val="1"/>
                <w:sz w:val="18"/>
                <w:szCs w:val="18"/>
                <w:lang w:eastAsia="en-US"/>
              </w:rPr>
              <w:t xml:space="preserve"> </w:t>
            </w:r>
            <w:r>
              <w:rPr>
                <w:rFonts w:eastAsia="Times New Roman" w:cs="Times New Roman"/>
                <w:i/>
                <w:iCs/>
                <w:position w:val="1"/>
                <w:sz w:val="18"/>
                <w:szCs w:val="18"/>
                <w:lang w:eastAsia="en-US"/>
              </w:rPr>
              <w:t>eversmanni</w:t>
            </w:r>
          </w:p>
        </w:tc>
        <w:tc>
          <w:tcPr>
            <w:tcW w:w="772"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0" w:type="pct"/>
            <w:tcBorders>
              <w:tl2br w:val="nil"/>
              <w:tr2bl w:val="nil"/>
            </w:tcBorders>
            <w:shd w:val="clear" w:color="auto" w:fill="auto"/>
          </w:tcPr>
          <w:p w:rsidR="00A46452" w:rsidRDefault="00A46452">
            <w:pPr>
              <w:wordWrap w:val="0"/>
              <w:topLinePunct/>
              <w:spacing w:line="240" w:lineRule="auto"/>
              <w:ind w:firstLineChars="0" w:firstLine="0"/>
              <w:jc w:val="center"/>
              <w:rPr>
                <w:rFonts w:cs="Times New Roman"/>
                <w:lang w:eastAsia="en-US"/>
              </w:rPr>
            </w:pPr>
          </w:p>
        </w:tc>
        <w:tc>
          <w:tcPr>
            <w:tcW w:w="241" w:type="pct"/>
            <w:tcBorders>
              <w:tl2br w:val="nil"/>
              <w:tr2bl w:val="nil"/>
            </w:tcBorders>
            <w:shd w:val="clear" w:color="auto" w:fill="auto"/>
          </w:tcPr>
          <w:p w:rsidR="00A46452" w:rsidRDefault="009A3928">
            <w:pPr>
              <w:wordWrap w:val="0"/>
              <w:topLinePunct/>
              <w:spacing w:line="240" w:lineRule="auto"/>
              <w:ind w:firstLineChars="0" w:firstLine="0"/>
              <w:jc w:val="center"/>
              <w:rPr>
                <w:rFonts w:eastAsia="Times New Roman" w:cs="Times New Roman"/>
                <w:sz w:val="18"/>
                <w:szCs w:val="18"/>
                <w:lang w:eastAsia="en-US"/>
              </w:rPr>
            </w:pPr>
            <w:r>
              <w:rPr>
                <w:rFonts w:eastAsia="Times New Roman" w:cs="Times New Roman"/>
                <w:sz w:val="18"/>
                <w:szCs w:val="18"/>
                <w:lang w:eastAsia="en-US"/>
              </w:rPr>
              <w:t>±</w:t>
            </w:r>
          </w:p>
        </w:tc>
      </w:tr>
    </w:tbl>
    <w:p w:rsidR="00A46452" w:rsidRDefault="009A3928">
      <w:pPr>
        <w:pStyle w:val="a5"/>
        <w:spacing w:after="0" w:line="240" w:lineRule="exact"/>
        <w:ind w:firstLineChars="0" w:firstLine="0"/>
        <w:rPr>
          <w:rFonts w:cs="Times New Roman" w:hint="default"/>
          <w:sz w:val="18"/>
          <w:szCs w:val="18"/>
        </w:rPr>
      </w:pPr>
      <w:r>
        <w:rPr>
          <w:rFonts w:cs="Times New Roman" w:hint="default"/>
          <w:spacing w:val="-2"/>
          <w:sz w:val="18"/>
          <w:szCs w:val="18"/>
        </w:rPr>
        <w:t>注</w:t>
      </w:r>
      <w:r>
        <w:rPr>
          <w:rFonts w:cs="Times New Roman" w:hint="default"/>
          <w:spacing w:val="-32"/>
          <w:sz w:val="18"/>
          <w:szCs w:val="18"/>
        </w:rPr>
        <w:t>：（</w:t>
      </w:r>
      <w:r>
        <w:rPr>
          <w:rFonts w:eastAsia="Times New Roman" w:cs="Times New Roman" w:hint="default"/>
          <w:spacing w:val="-2"/>
          <w:sz w:val="18"/>
          <w:szCs w:val="18"/>
        </w:rPr>
        <w:t>1</w:t>
      </w:r>
      <w:r>
        <w:rPr>
          <w:rFonts w:cs="Times New Roman" w:hint="default"/>
          <w:spacing w:val="-2"/>
          <w:sz w:val="18"/>
          <w:szCs w:val="18"/>
        </w:rPr>
        <w:t>）</w:t>
      </w:r>
      <w:r>
        <w:rPr>
          <w:rFonts w:eastAsia="Times New Roman" w:cs="Times New Roman" w:hint="default"/>
          <w:spacing w:val="-2"/>
          <w:sz w:val="18"/>
          <w:szCs w:val="18"/>
        </w:rPr>
        <w:t>R—</w:t>
      </w:r>
      <w:r>
        <w:rPr>
          <w:rFonts w:cs="Times New Roman" w:hint="default"/>
          <w:spacing w:val="-2"/>
          <w:sz w:val="18"/>
          <w:szCs w:val="18"/>
        </w:rPr>
        <w:t>留鸟；</w:t>
      </w:r>
      <w:r>
        <w:rPr>
          <w:rFonts w:cs="Times New Roman" w:hint="default"/>
          <w:spacing w:val="87"/>
          <w:sz w:val="18"/>
          <w:szCs w:val="18"/>
        </w:rPr>
        <w:t xml:space="preserve"> </w:t>
      </w:r>
      <w:r>
        <w:rPr>
          <w:rFonts w:eastAsia="Times New Roman" w:cs="Times New Roman" w:hint="default"/>
          <w:spacing w:val="-2"/>
          <w:sz w:val="18"/>
          <w:szCs w:val="18"/>
        </w:rPr>
        <w:t>B—</w:t>
      </w:r>
      <w:r>
        <w:rPr>
          <w:rFonts w:cs="Times New Roman" w:hint="default"/>
          <w:spacing w:val="-2"/>
          <w:sz w:val="18"/>
          <w:szCs w:val="18"/>
        </w:rPr>
        <w:t>繁殖鸟；</w:t>
      </w:r>
      <w:r>
        <w:rPr>
          <w:rFonts w:cs="Times New Roman" w:hint="default"/>
          <w:spacing w:val="41"/>
          <w:sz w:val="18"/>
          <w:szCs w:val="18"/>
        </w:rPr>
        <w:t xml:space="preserve">  </w:t>
      </w:r>
      <w:r>
        <w:rPr>
          <w:rFonts w:eastAsia="Times New Roman" w:cs="Times New Roman" w:hint="default"/>
          <w:spacing w:val="-2"/>
          <w:sz w:val="18"/>
          <w:szCs w:val="18"/>
        </w:rPr>
        <w:t>W—</w:t>
      </w:r>
      <w:r>
        <w:rPr>
          <w:rFonts w:cs="Times New Roman" w:hint="default"/>
          <w:spacing w:val="-2"/>
          <w:sz w:val="18"/>
          <w:szCs w:val="18"/>
        </w:rPr>
        <w:t>冬候鸟；</w:t>
      </w:r>
      <w:r>
        <w:rPr>
          <w:rFonts w:cs="Times New Roman" w:hint="default"/>
          <w:spacing w:val="-2"/>
          <w:sz w:val="18"/>
          <w:szCs w:val="18"/>
        </w:rPr>
        <w:t xml:space="preserve">   </w:t>
      </w:r>
      <w:r>
        <w:rPr>
          <w:rFonts w:eastAsia="Times New Roman" w:cs="Times New Roman" w:hint="default"/>
          <w:spacing w:val="-2"/>
          <w:sz w:val="18"/>
          <w:szCs w:val="18"/>
        </w:rPr>
        <w:t>S—</w:t>
      </w:r>
      <w:r>
        <w:rPr>
          <w:rFonts w:cs="Times New Roman" w:hint="default"/>
          <w:spacing w:val="-2"/>
          <w:sz w:val="18"/>
          <w:szCs w:val="18"/>
        </w:rPr>
        <w:t>夏候鸟；</w:t>
      </w:r>
      <w:r>
        <w:rPr>
          <w:rFonts w:cs="Times New Roman" w:hint="default"/>
          <w:spacing w:val="-2"/>
          <w:sz w:val="18"/>
          <w:szCs w:val="18"/>
        </w:rPr>
        <w:t>（</w:t>
      </w:r>
      <w:r>
        <w:rPr>
          <w:rFonts w:eastAsia="Times New Roman" w:cs="Times New Roman" w:hint="default"/>
          <w:spacing w:val="-2"/>
          <w:sz w:val="18"/>
          <w:szCs w:val="18"/>
        </w:rPr>
        <w:t>2</w:t>
      </w:r>
      <w:r>
        <w:rPr>
          <w:rFonts w:cs="Times New Roman" w:hint="default"/>
          <w:spacing w:val="-2"/>
          <w:sz w:val="18"/>
          <w:szCs w:val="18"/>
        </w:rPr>
        <w:t>）</w:t>
      </w:r>
      <w:r>
        <w:rPr>
          <w:rFonts w:eastAsia="Times New Roman" w:cs="Times New Roman" w:hint="default"/>
          <w:spacing w:val="-2"/>
          <w:sz w:val="18"/>
          <w:szCs w:val="18"/>
        </w:rPr>
        <w:t xml:space="preserve"> ±</w:t>
      </w:r>
      <w:r>
        <w:rPr>
          <w:rFonts w:eastAsia="Times New Roman" w:cs="Times New Roman" w:hint="default"/>
          <w:spacing w:val="-23"/>
          <w:sz w:val="18"/>
          <w:szCs w:val="18"/>
        </w:rPr>
        <w:t xml:space="preserve"> </w:t>
      </w:r>
      <w:r>
        <w:rPr>
          <w:rFonts w:cs="Times New Roman" w:hint="default"/>
          <w:spacing w:val="-2"/>
          <w:sz w:val="18"/>
          <w:szCs w:val="18"/>
        </w:rPr>
        <w:t>：偶见种；</w:t>
      </w:r>
      <w:r>
        <w:rPr>
          <w:rFonts w:cs="Times New Roman" w:hint="default"/>
          <w:spacing w:val="-2"/>
          <w:sz w:val="18"/>
          <w:szCs w:val="18"/>
        </w:rPr>
        <w:t xml:space="preserve">   </w:t>
      </w:r>
      <w:r>
        <w:rPr>
          <w:rFonts w:eastAsia="Times New Roman" w:cs="Times New Roman" w:hint="default"/>
          <w:spacing w:val="-2"/>
          <w:sz w:val="18"/>
          <w:szCs w:val="18"/>
        </w:rPr>
        <w:t>+</w:t>
      </w:r>
      <w:r>
        <w:rPr>
          <w:rFonts w:eastAsia="Times New Roman" w:cs="Times New Roman" w:hint="default"/>
          <w:spacing w:val="-23"/>
          <w:sz w:val="18"/>
          <w:szCs w:val="18"/>
        </w:rPr>
        <w:t xml:space="preserve"> </w:t>
      </w:r>
      <w:r>
        <w:rPr>
          <w:rFonts w:cs="Times New Roman" w:hint="default"/>
          <w:spacing w:val="-2"/>
          <w:sz w:val="18"/>
          <w:szCs w:val="18"/>
        </w:rPr>
        <w:t>：常见种</w:t>
      </w:r>
      <w:r>
        <w:rPr>
          <w:rFonts w:cs="Times New Roman" w:hint="default"/>
          <w:spacing w:val="-3"/>
          <w:sz w:val="18"/>
          <w:szCs w:val="18"/>
        </w:rPr>
        <w:t>；</w:t>
      </w:r>
      <w:r>
        <w:rPr>
          <w:rFonts w:cs="Times New Roman" w:hint="default"/>
          <w:spacing w:val="-3"/>
          <w:sz w:val="18"/>
          <w:szCs w:val="18"/>
        </w:rPr>
        <w:t xml:space="preserve">  </w:t>
      </w:r>
      <w:r>
        <w:rPr>
          <w:rFonts w:eastAsia="Times New Roman" w:cs="Times New Roman" w:hint="default"/>
          <w:spacing w:val="-3"/>
          <w:sz w:val="18"/>
          <w:szCs w:val="18"/>
        </w:rPr>
        <w:t>++</w:t>
      </w:r>
      <w:r>
        <w:rPr>
          <w:rFonts w:cs="Times New Roman" w:hint="default"/>
          <w:spacing w:val="-3"/>
          <w:sz w:val="18"/>
          <w:szCs w:val="18"/>
        </w:rPr>
        <w:t>：</w:t>
      </w:r>
    </w:p>
    <w:p w:rsidR="00A46452" w:rsidRDefault="009A3928">
      <w:pPr>
        <w:pStyle w:val="a5"/>
        <w:spacing w:after="0" w:line="240" w:lineRule="exact"/>
        <w:ind w:firstLineChars="0" w:firstLine="0"/>
        <w:rPr>
          <w:rFonts w:cs="Times New Roman" w:hint="default"/>
          <w:sz w:val="18"/>
          <w:szCs w:val="18"/>
        </w:rPr>
      </w:pPr>
      <w:r>
        <w:rPr>
          <w:rFonts w:cs="Times New Roman" w:hint="default"/>
          <w:sz w:val="18"/>
          <w:szCs w:val="18"/>
        </w:rPr>
        <w:t>多见种；</w:t>
      </w:r>
      <w:r>
        <w:rPr>
          <w:rFonts w:cs="Times New Roman" w:hint="default"/>
          <w:sz w:val="18"/>
          <w:szCs w:val="18"/>
        </w:rPr>
        <w:t>（</w:t>
      </w:r>
      <w:r>
        <w:rPr>
          <w:rFonts w:eastAsia="Times New Roman" w:cs="Times New Roman" w:hint="default"/>
          <w:sz w:val="18"/>
          <w:szCs w:val="18"/>
        </w:rPr>
        <w:t>3</w:t>
      </w:r>
      <w:r>
        <w:rPr>
          <w:rFonts w:cs="Times New Roman" w:hint="default"/>
          <w:sz w:val="18"/>
          <w:szCs w:val="18"/>
        </w:rPr>
        <w:t>）</w:t>
      </w:r>
      <w:r>
        <w:rPr>
          <w:rFonts w:eastAsia="Times New Roman" w:cs="Times New Roman" w:hint="default"/>
          <w:sz w:val="18"/>
          <w:szCs w:val="18"/>
        </w:rPr>
        <w:t>Ⅰ</w:t>
      </w:r>
      <w:r>
        <w:rPr>
          <w:rFonts w:cs="Times New Roman" w:hint="default"/>
          <w:sz w:val="18"/>
          <w:szCs w:val="18"/>
        </w:rPr>
        <w:t>胡杨林区；</w:t>
      </w:r>
      <w:r>
        <w:rPr>
          <w:rFonts w:eastAsia="Times New Roman" w:cs="Times New Roman" w:hint="default"/>
          <w:sz w:val="18"/>
          <w:szCs w:val="18"/>
        </w:rPr>
        <w:t>Ⅱ</w:t>
      </w:r>
      <w:r>
        <w:rPr>
          <w:rFonts w:cs="Times New Roman" w:hint="default"/>
          <w:sz w:val="18"/>
          <w:szCs w:val="18"/>
        </w:rPr>
        <w:t>柽柳灌丛区；</w:t>
      </w:r>
      <w:r>
        <w:rPr>
          <w:rFonts w:eastAsia="Times New Roman" w:cs="Times New Roman" w:hint="default"/>
          <w:sz w:val="18"/>
          <w:szCs w:val="18"/>
        </w:rPr>
        <w:t>Ⅲ</w:t>
      </w:r>
      <w:r>
        <w:rPr>
          <w:rFonts w:cs="Times New Roman" w:hint="default"/>
          <w:spacing w:val="-1"/>
          <w:sz w:val="18"/>
          <w:szCs w:val="18"/>
        </w:rPr>
        <w:t>半灌木荒漠区</w:t>
      </w:r>
      <w:r>
        <w:rPr>
          <w:rFonts w:cs="Times New Roman"/>
          <w:spacing w:val="-1"/>
          <w:sz w:val="18"/>
          <w:szCs w:val="18"/>
        </w:rPr>
        <w:t>。</w:t>
      </w:r>
    </w:p>
    <w:p w:rsidR="00A46452" w:rsidRDefault="009A3928">
      <w:pPr>
        <w:pStyle w:val="42"/>
        <w:snapToGrid w:val="0"/>
        <w:spacing w:before="156" w:after="156" w:line="240" w:lineRule="auto"/>
        <w:rPr>
          <w:rFonts w:cs="Times New Roman" w:hint="default"/>
          <w:iCs/>
        </w:rPr>
      </w:pPr>
      <w:r>
        <w:rPr>
          <w:rFonts w:cs="Times New Roman" w:hint="default"/>
          <w:iCs/>
        </w:rPr>
        <w:t>6</w:t>
      </w:r>
      <w:r>
        <w:rPr>
          <w:rFonts w:cs="Times New Roman" w:hint="default"/>
          <w:iCs/>
        </w:rPr>
        <w:t>.2.6.2</w:t>
      </w:r>
      <w:r>
        <w:rPr>
          <w:rFonts w:cs="Times New Roman" w:hint="default"/>
          <w:iCs/>
        </w:rPr>
        <w:t>动物样线调查</w:t>
      </w:r>
    </w:p>
    <w:p w:rsidR="00A46452" w:rsidRDefault="009A3928">
      <w:pPr>
        <w:ind w:firstLine="480"/>
        <w:rPr>
          <w:rFonts w:cs="Times New Roman"/>
        </w:rPr>
      </w:pPr>
      <w:r>
        <w:rPr>
          <w:rFonts w:cs="Times New Roman"/>
        </w:rPr>
        <w:t>野生动物调查主要采用样线法，样线法是指观测者在观测样地内沿着选定的一条线路记录一定空间范围内出现的物种相关信息的方法。本次评价按照《生物多样</w:t>
      </w:r>
      <w:r>
        <w:rPr>
          <w:rFonts w:cs="Times New Roman"/>
        </w:rPr>
        <w:t xml:space="preserve"> </w:t>
      </w:r>
      <w:r>
        <w:rPr>
          <w:rFonts w:cs="Times New Roman"/>
        </w:rPr>
        <w:t>性观测技术导则</w:t>
      </w:r>
      <w:r>
        <w:rPr>
          <w:rFonts w:cs="Times New Roman"/>
        </w:rPr>
        <w:t xml:space="preserve"> </w:t>
      </w:r>
      <w:r>
        <w:rPr>
          <w:rFonts w:cs="Times New Roman"/>
        </w:rPr>
        <w:t>陆生哺乳动物》</w:t>
      </w:r>
      <w:r>
        <w:rPr>
          <w:rFonts w:cs="Times New Roman"/>
        </w:rPr>
        <w:t>（</w:t>
      </w:r>
      <w:r>
        <w:rPr>
          <w:rFonts w:cs="Times New Roman"/>
        </w:rPr>
        <w:t>HJ710.3-2014</w:t>
      </w:r>
      <w:r>
        <w:rPr>
          <w:rFonts w:cs="Times New Roman"/>
        </w:rPr>
        <w:t>）、《生物多样性观测技术导则</w:t>
      </w:r>
      <w:r>
        <w:rPr>
          <w:rFonts w:cs="Times New Roman"/>
        </w:rPr>
        <w:t xml:space="preserve"> </w:t>
      </w:r>
      <w:r>
        <w:rPr>
          <w:rFonts w:cs="Times New Roman"/>
        </w:rPr>
        <w:t>鸟类》</w:t>
      </w:r>
      <w:r>
        <w:rPr>
          <w:rFonts w:cs="Times New Roman"/>
        </w:rPr>
        <w:t>（</w:t>
      </w:r>
      <w:r>
        <w:rPr>
          <w:rFonts w:cs="Times New Roman"/>
        </w:rPr>
        <w:t>HJ 710.4-2014</w:t>
      </w:r>
      <w:r>
        <w:rPr>
          <w:rFonts w:cs="Times New Roman"/>
        </w:rPr>
        <w:t>）、《生物多样性观测技术导则</w:t>
      </w:r>
      <w:r>
        <w:rPr>
          <w:rFonts w:cs="Times New Roman"/>
        </w:rPr>
        <w:t xml:space="preserve"> </w:t>
      </w:r>
      <w:r>
        <w:rPr>
          <w:rFonts w:cs="Times New Roman"/>
        </w:rPr>
        <w:t>爬行动物》</w:t>
      </w:r>
      <w:r>
        <w:rPr>
          <w:rFonts w:cs="Times New Roman"/>
        </w:rPr>
        <w:t>（</w:t>
      </w:r>
      <w:r>
        <w:rPr>
          <w:rFonts w:cs="Times New Roman"/>
        </w:rPr>
        <w:t>HJ710.5-2014</w:t>
      </w:r>
      <w:r>
        <w:rPr>
          <w:rFonts w:cs="Times New Roman"/>
        </w:rPr>
        <w:t>）、《生物多样性观测技术导则</w:t>
      </w:r>
      <w:r>
        <w:rPr>
          <w:rFonts w:cs="Times New Roman"/>
        </w:rPr>
        <w:t xml:space="preserve"> </w:t>
      </w:r>
      <w:r>
        <w:rPr>
          <w:rFonts w:cs="Times New Roman"/>
        </w:rPr>
        <w:t>两栖动物》</w:t>
      </w:r>
      <w:r>
        <w:rPr>
          <w:rFonts w:cs="Times New Roman"/>
        </w:rPr>
        <w:t>（</w:t>
      </w:r>
      <w:r>
        <w:rPr>
          <w:rFonts w:cs="Times New Roman"/>
        </w:rPr>
        <w:t>HJ710.6-2014</w:t>
      </w:r>
      <w:r>
        <w:rPr>
          <w:rFonts w:cs="Times New Roman"/>
        </w:rPr>
        <w:t>）等确定的技术方法，对评价区域各类野生动物开展了调查。</w:t>
      </w:r>
    </w:p>
    <w:p w:rsidR="00A46452" w:rsidRDefault="009A3928">
      <w:pPr>
        <w:ind w:firstLine="480"/>
        <w:rPr>
          <w:rFonts w:cs="Times New Roman"/>
        </w:rPr>
      </w:pPr>
      <w:r>
        <w:rPr>
          <w:rFonts w:cs="Times New Roman"/>
        </w:rPr>
        <w:t>根据《环境影响评价技术导则</w:t>
      </w:r>
      <w:r>
        <w:rPr>
          <w:rFonts w:cs="Times New Roman"/>
        </w:rPr>
        <w:t xml:space="preserve"> </w:t>
      </w:r>
      <w:r>
        <w:rPr>
          <w:rFonts w:cs="Times New Roman"/>
        </w:rPr>
        <w:t>公路建设项目》（</w:t>
      </w:r>
      <w:r>
        <w:rPr>
          <w:rFonts w:cs="Times New Roman"/>
        </w:rPr>
        <w:t>HJ1358-2024</w:t>
      </w:r>
      <w:r>
        <w:rPr>
          <w:rFonts w:cs="Times New Roman"/>
        </w:rPr>
        <w:t>）相关要求，设置样线调查野生动物现状时，应按生境类型合理设置样线数量并根据野生动物习性合理设定样线的位置和长度；设置</w:t>
      </w:r>
      <w:r>
        <w:rPr>
          <w:rFonts w:cs="Times New Roman"/>
        </w:rPr>
        <w:t>3</w:t>
      </w:r>
      <w:r>
        <w:rPr>
          <w:rFonts w:cs="Times New Roman"/>
        </w:rPr>
        <w:t>条样线。</w:t>
      </w:r>
    </w:p>
    <w:p w:rsidR="00A46452" w:rsidRDefault="009A3928">
      <w:pPr>
        <w:ind w:firstLine="480"/>
        <w:rPr>
          <w:rFonts w:eastAsiaTheme="minorEastAsia" w:cs="Times New Roman"/>
          <w:kern w:val="0"/>
        </w:rPr>
      </w:pPr>
      <w:r>
        <w:rPr>
          <w:rFonts w:cs="Times New Roman"/>
        </w:rPr>
        <w:t>本次在荒漠生态系统规划</w:t>
      </w:r>
      <w:r>
        <w:rPr>
          <w:rFonts w:cs="Times New Roman"/>
        </w:rPr>
        <w:t>4</w:t>
      </w:r>
      <w:r>
        <w:rPr>
          <w:rFonts w:cs="Times New Roman"/>
        </w:rPr>
        <w:t>条动物沿线调查路线</w:t>
      </w:r>
      <w:r>
        <w:rPr>
          <w:rFonts w:cs="Times New Roman"/>
        </w:rPr>
        <w:t>，每条样线长度为</w:t>
      </w:r>
      <w:r>
        <w:rPr>
          <w:rFonts w:cs="Times New Roman"/>
        </w:rPr>
        <w:t>1.2</w:t>
      </w:r>
      <w:r>
        <w:rPr>
          <w:rFonts w:cs="Times New Roman"/>
        </w:rPr>
        <w:t>km</w:t>
      </w:r>
      <w:r>
        <w:rPr>
          <w:rFonts w:cs="Times New Roman"/>
        </w:rPr>
        <w:t>~2</w:t>
      </w:r>
      <w:r>
        <w:rPr>
          <w:rFonts w:cs="Times New Roman"/>
        </w:rPr>
        <w:t>km</w:t>
      </w:r>
      <w:r>
        <w:rPr>
          <w:rFonts w:cs="Times New Roman"/>
        </w:rPr>
        <w:t>不等。观测时行进速度为</w:t>
      </w:r>
      <w:r>
        <w:rPr>
          <w:rFonts w:cs="Times New Roman"/>
        </w:rPr>
        <w:t>2</w:t>
      </w:r>
      <w:r>
        <w:rPr>
          <w:rFonts w:cs="Times New Roman"/>
        </w:rPr>
        <w:t>km</w:t>
      </w:r>
      <w:r>
        <w:rPr>
          <w:rFonts w:cs="Times New Roman"/>
        </w:rPr>
        <w:t>/h</w:t>
      </w:r>
      <w:r>
        <w:rPr>
          <w:rFonts w:cs="Times New Roman"/>
        </w:rPr>
        <w:t>~</w:t>
      </w:r>
      <w:r>
        <w:rPr>
          <w:rFonts w:cs="Times New Roman"/>
        </w:rPr>
        <w:t>3</w:t>
      </w:r>
      <w:r>
        <w:rPr>
          <w:rFonts w:cs="Times New Roman"/>
        </w:rPr>
        <w:t>km</w:t>
      </w:r>
      <w:r>
        <w:rPr>
          <w:rFonts w:cs="Times New Roman"/>
        </w:rPr>
        <w:t>/h</w:t>
      </w:r>
      <w:r>
        <w:rPr>
          <w:rFonts w:cs="Times New Roman"/>
        </w:rPr>
        <w:t>。针对一些不容易捕捉的哺乳动物及两栖类动物，借助其遗留下的且易于鉴定的活动痕迹，推测动物的种类，估算其种类和数量。本次调查，工程占地区未见鸟类营巢，未见大型兽类栖息活动；现场样线调查时未见塔里木兔、</w:t>
      </w:r>
      <w:r>
        <w:rPr>
          <w:rFonts w:cs="Times New Roman"/>
        </w:rPr>
        <w:t>赤狐和马鹿</w:t>
      </w:r>
      <w:r>
        <w:rPr>
          <w:rFonts w:cs="Times New Roman"/>
        </w:rPr>
        <w:t>等哺乳类保护动物，</w:t>
      </w:r>
      <w:r>
        <w:rPr>
          <w:rFonts w:cs="Times New Roman"/>
        </w:rPr>
        <w:t>但经现场与相关人员咨询交流所知，公路评价区会有塔里木兔</w:t>
      </w:r>
      <w:r>
        <w:rPr>
          <w:rFonts w:cs="Times New Roman"/>
        </w:rPr>
        <w:t>、鹅喉羚</w:t>
      </w:r>
      <w:r>
        <w:rPr>
          <w:rFonts w:cs="Times New Roman"/>
        </w:rPr>
        <w:t>和马鹿出现</w:t>
      </w:r>
      <w:r>
        <w:rPr>
          <w:rFonts w:cs="Times New Roman"/>
        </w:rPr>
        <w:t>，由于项目区地处干旱荒漠区，动物生境较差，已难见大中型的野生动物，鸟类</w:t>
      </w:r>
      <w:r>
        <w:rPr>
          <w:rFonts w:cs="Times New Roman"/>
        </w:rPr>
        <w:t>多见</w:t>
      </w:r>
      <w:r>
        <w:rPr>
          <w:rFonts w:cs="Times New Roman"/>
        </w:rPr>
        <w:t>麻雀、</w:t>
      </w:r>
      <w:r>
        <w:rPr>
          <w:rFonts w:cs="Times New Roman"/>
        </w:rPr>
        <w:t>喜鹊、</w:t>
      </w:r>
      <w:r>
        <w:rPr>
          <w:rFonts w:cs="Times New Roman"/>
        </w:rPr>
        <w:t>凤头百灵、家燕、乌鸦等常见鸟类。</w:t>
      </w:r>
      <w:r>
        <w:rPr>
          <w:rFonts w:eastAsiaTheme="minorEastAsia" w:cs="Times New Roman"/>
          <w:kern w:val="0"/>
        </w:rPr>
        <w:t>具体评价区动物样线</w:t>
      </w:r>
      <w:r>
        <w:rPr>
          <w:rFonts w:eastAsiaTheme="minorEastAsia" w:cs="Times New Roman"/>
          <w:kern w:val="0"/>
        </w:rPr>
        <w:t>及生境见表</w:t>
      </w:r>
      <w:r>
        <w:rPr>
          <w:rFonts w:eastAsiaTheme="minorEastAsia" w:cs="Times New Roman" w:hint="eastAsia"/>
          <w:kern w:val="0"/>
        </w:rPr>
        <w:t>6</w:t>
      </w:r>
      <w:r>
        <w:rPr>
          <w:rFonts w:eastAsiaTheme="minorEastAsia" w:cs="Times New Roman"/>
          <w:kern w:val="0"/>
        </w:rPr>
        <w:t>.2-1</w:t>
      </w:r>
      <w:r>
        <w:rPr>
          <w:rFonts w:eastAsiaTheme="minorEastAsia" w:cs="Times New Roman" w:hint="eastAsia"/>
          <w:kern w:val="0"/>
        </w:rPr>
        <w:t>1</w:t>
      </w:r>
      <w:r>
        <w:rPr>
          <w:rFonts w:eastAsiaTheme="minorEastAsia" w:cs="Times New Roman"/>
          <w:kern w:val="0"/>
        </w:rPr>
        <w:t>，动物样线分布情况见图</w:t>
      </w:r>
      <w:r>
        <w:rPr>
          <w:rFonts w:eastAsiaTheme="minorEastAsia" w:cs="Times New Roman" w:hint="eastAsia"/>
          <w:kern w:val="0"/>
        </w:rPr>
        <w:t>6</w:t>
      </w:r>
      <w:r>
        <w:rPr>
          <w:rFonts w:eastAsiaTheme="minorEastAsia" w:cs="Times New Roman"/>
          <w:kern w:val="0"/>
        </w:rPr>
        <w:t>.2-</w:t>
      </w:r>
      <w:r>
        <w:rPr>
          <w:rFonts w:eastAsiaTheme="minorEastAsia" w:cs="Times New Roman" w:hint="eastAsia"/>
          <w:kern w:val="0"/>
        </w:rPr>
        <w:t>5</w:t>
      </w:r>
      <w:r>
        <w:rPr>
          <w:rFonts w:eastAsiaTheme="minorEastAsia" w:cs="Times New Roman"/>
          <w:kern w:val="0"/>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1</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评价区动物样线及生境一览表</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4"/>
        <w:gridCol w:w="806"/>
        <w:gridCol w:w="1403"/>
        <w:gridCol w:w="1400"/>
        <w:gridCol w:w="1040"/>
        <w:gridCol w:w="873"/>
        <w:gridCol w:w="1583"/>
        <w:gridCol w:w="864"/>
      </w:tblGrid>
      <w:tr w:rsidR="00A46452">
        <w:tc>
          <w:tcPr>
            <w:tcW w:w="444"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序号</w:t>
            </w:r>
          </w:p>
        </w:tc>
        <w:tc>
          <w:tcPr>
            <w:tcW w:w="806"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样线号</w:t>
            </w:r>
          </w:p>
        </w:tc>
        <w:tc>
          <w:tcPr>
            <w:tcW w:w="140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起点</w:t>
            </w:r>
          </w:p>
        </w:tc>
        <w:tc>
          <w:tcPr>
            <w:tcW w:w="1400"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终点</w:t>
            </w:r>
          </w:p>
        </w:tc>
        <w:tc>
          <w:tcPr>
            <w:tcW w:w="1040" w:type="dxa"/>
            <w:vAlign w:val="center"/>
          </w:tcPr>
          <w:p w:rsidR="00A46452" w:rsidRDefault="009A3928">
            <w:pPr>
              <w:pStyle w:val="TableText"/>
              <w:spacing w:line="200" w:lineRule="atLeast"/>
              <w:ind w:firstLineChars="0" w:firstLine="0"/>
              <w:jc w:val="center"/>
              <w:rPr>
                <w:rFonts w:eastAsia="宋体"/>
                <w:kern w:val="0"/>
                <w:sz w:val="18"/>
                <w:szCs w:val="18"/>
              </w:rPr>
            </w:pPr>
            <w:r>
              <w:rPr>
                <w:rFonts w:eastAsia="宋体"/>
                <w:spacing w:val="-4"/>
                <w:sz w:val="18"/>
                <w:szCs w:val="18"/>
                <w:lang w:eastAsia="zh-CN"/>
              </w:rPr>
              <w:t>海拔</w:t>
            </w:r>
            <w:r>
              <w:rPr>
                <w:rFonts w:eastAsia="宋体"/>
                <w:spacing w:val="-12"/>
                <w:sz w:val="18"/>
                <w:szCs w:val="18"/>
              </w:rPr>
              <w:t>（</w:t>
            </w:r>
            <w:r>
              <w:rPr>
                <w:rFonts w:eastAsia="宋体"/>
                <w:spacing w:val="-12"/>
                <w:sz w:val="18"/>
                <w:szCs w:val="18"/>
              </w:rPr>
              <w:t>m</w:t>
            </w:r>
            <w:r>
              <w:rPr>
                <w:rFonts w:eastAsia="宋体"/>
                <w:spacing w:val="-12"/>
                <w:sz w:val="18"/>
                <w:szCs w:val="18"/>
              </w:rPr>
              <w:t>）</w:t>
            </w:r>
          </w:p>
        </w:tc>
        <w:tc>
          <w:tcPr>
            <w:tcW w:w="873" w:type="dxa"/>
            <w:vAlign w:val="center"/>
          </w:tcPr>
          <w:p w:rsidR="00A46452" w:rsidRDefault="009A3928">
            <w:pPr>
              <w:pStyle w:val="TableText"/>
              <w:spacing w:line="200" w:lineRule="atLeast"/>
              <w:ind w:firstLineChars="0" w:firstLine="0"/>
              <w:jc w:val="center"/>
              <w:rPr>
                <w:rFonts w:eastAsia="宋体"/>
                <w:kern w:val="0"/>
                <w:sz w:val="18"/>
                <w:szCs w:val="18"/>
              </w:rPr>
            </w:pPr>
            <w:r>
              <w:rPr>
                <w:rFonts w:eastAsia="宋体"/>
                <w:spacing w:val="-4"/>
                <w:sz w:val="18"/>
                <w:szCs w:val="18"/>
              </w:rPr>
              <w:t>平均</w:t>
            </w:r>
            <w:r>
              <w:rPr>
                <w:rFonts w:eastAsia="宋体"/>
                <w:spacing w:val="-4"/>
                <w:sz w:val="18"/>
                <w:szCs w:val="18"/>
                <w:lang w:eastAsia="zh-CN"/>
              </w:rPr>
              <w:t>速度</w:t>
            </w:r>
            <w:r>
              <w:rPr>
                <w:rFonts w:eastAsia="宋体"/>
                <w:spacing w:val="-4"/>
                <w:sz w:val="18"/>
                <w:szCs w:val="18"/>
              </w:rPr>
              <w:t>km/h</w:t>
            </w:r>
            <w:r>
              <w:rPr>
                <w:rFonts w:eastAsia="宋体"/>
                <w:spacing w:val="-4"/>
                <w:sz w:val="18"/>
                <w:szCs w:val="18"/>
              </w:rPr>
              <w:t>）</w:t>
            </w:r>
          </w:p>
        </w:tc>
        <w:tc>
          <w:tcPr>
            <w:tcW w:w="1583" w:type="dxa"/>
            <w:vAlign w:val="center"/>
          </w:tcPr>
          <w:p w:rsidR="00A46452" w:rsidRDefault="009A3928">
            <w:pPr>
              <w:pStyle w:val="TableText"/>
              <w:spacing w:line="200" w:lineRule="atLeast"/>
              <w:ind w:firstLineChars="0" w:firstLine="0"/>
              <w:jc w:val="center"/>
              <w:rPr>
                <w:rFonts w:eastAsia="宋体"/>
                <w:kern w:val="0"/>
                <w:sz w:val="18"/>
                <w:szCs w:val="18"/>
                <w:lang w:eastAsia="zh-CN"/>
              </w:rPr>
            </w:pPr>
            <w:r>
              <w:rPr>
                <w:rFonts w:eastAsia="宋体"/>
                <w:kern w:val="0"/>
                <w:sz w:val="18"/>
                <w:szCs w:val="18"/>
                <w:lang w:eastAsia="zh-CN"/>
              </w:rPr>
              <w:t>调查记录内容</w:t>
            </w:r>
          </w:p>
        </w:tc>
        <w:tc>
          <w:tcPr>
            <w:tcW w:w="864" w:type="dxa"/>
            <w:vAlign w:val="center"/>
          </w:tcPr>
          <w:p w:rsidR="00A46452" w:rsidRDefault="009A3928">
            <w:pPr>
              <w:pStyle w:val="TableText"/>
              <w:spacing w:line="200" w:lineRule="atLeast"/>
              <w:ind w:firstLineChars="0" w:firstLine="0"/>
              <w:jc w:val="center"/>
              <w:rPr>
                <w:rFonts w:eastAsia="宋体"/>
                <w:kern w:val="0"/>
                <w:sz w:val="18"/>
                <w:szCs w:val="18"/>
              </w:rPr>
            </w:pPr>
            <w:r>
              <w:rPr>
                <w:rFonts w:eastAsia="宋体"/>
                <w:spacing w:val="-3"/>
                <w:sz w:val="18"/>
                <w:szCs w:val="18"/>
              </w:rPr>
              <w:t>调查记录人员</w:t>
            </w:r>
          </w:p>
        </w:tc>
      </w:tr>
      <w:tr w:rsidR="00A46452">
        <w:tc>
          <w:tcPr>
            <w:tcW w:w="444"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1</w:t>
            </w:r>
          </w:p>
        </w:tc>
        <w:tc>
          <w:tcPr>
            <w:tcW w:w="806"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动物调查样线</w:t>
            </w:r>
          </w:p>
        </w:tc>
        <w:tc>
          <w:tcPr>
            <w:tcW w:w="140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E79°15'28.816"</w:t>
            </w:r>
          </w:p>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N39°52'16.025"</w:t>
            </w:r>
          </w:p>
        </w:tc>
        <w:tc>
          <w:tcPr>
            <w:tcW w:w="1400"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E79°16'04.842"</w:t>
            </w:r>
          </w:p>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N39°52'15.269"</w:t>
            </w:r>
          </w:p>
        </w:tc>
        <w:tc>
          <w:tcPr>
            <w:tcW w:w="1040" w:type="dxa"/>
            <w:vAlign w:val="center"/>
          </w:tcPr>
          <w:p w:rsidR="00A46452" w:rsidRDefault="009A3928">
            <w:pPr>
              <w:spacing w:line="200" w:lineRule="atLeast"/>
              <w:ind w:firstLineChars="0" w:firstLine="0"/>
              <w:jc w:val="center"/>
              <w:rPr>
                <w:rFonts w:cs="Times New Roman"/>
                <w:kern w:val="0"/>
                <w:sz w:val="18"/>
                <w:szCs w:val="18"/>
              </w:rPr>
            </w:pPr>
            <w:r>
              <w:rPr>
                <w:rFonts w:cs="Times New Roman"/>
                <w:spacing w:val="-2"/>
                <w:sz w:val="18"/>
                <w:szCs w:val="18"/>
              </w:rPr>
              <w:t>1087-1088</w:t>
            </w:r>
          </w:p>
        </w:tc>
        <w:tc>
          <w:tcPr>
            <w:tcW w:w="87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1.3</w:t>
            </w:r>
          </w:p>
        </w:tc>
        <w:tc>
          <w:tcPr>
            <w:tcW w:w="158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子午沙鼠</w:t>
            </w:r>
            <w:r>
              <w:rPr>
                <w:rFonts w:cs="Times New Roman"/>
                <w:kern w:val="0"/>
                <w:sz w:val="18"/>
                <w:szCs w:val="18"/>
              </w:rPr>
              <w:t>1</w:t>
            </w:r>
            <w:r>
              <w:rPr>
                <w:rFonts w:cs="Times New Roman"/>
                <w:kern w:val="0"/>
                <w:sz w:val="18"/>
                <w:szCs w:val="18"/>
              </w:rPr>
              <w:t>只</w:t>
            </w:r>
            <w:r>
              <w:rPr>
                <w:rFonts w:cs="Times New Roman"/>
                <w:kern w:val="0"/>
                <w:sz w:val="18"/>
                <w:szCs w:val="18"/>
              </w:rPr>
              <w:t>、</w:t>
            </w:r>
            <w:r>
              <w:rPr>
                <w:rFonts w:cs="Times New Roman"/>
                <w:kern w:val="0"/>
                <w:sz w:val="18"/>
                <w:szCs w:val="18"/>
              </w:rPr>
              <w:t>麻雀</w:t>
            </w:r>
            <w:r>
              <w:rPr>
                <w:rFonts w:cs="Times New Roman"/>
                <w:kern w:val="0"/>
                <w:sz w:val="18"/>
                <w:szCs w:val="18"/>
              </w:rPr>
              <w:t>4</w:t>
            </w:r>
            <w:r>
              <w:rPr>
                <w:rFonts w:cs="Times New Roman"/>
                <w:kern w:val="0"/>
                <w:sz w:val="18"/>
                <w:szCs w:val="18"/>
              </w:rPr>
              <w:t>只</w:t>
            </w:r>
            <w:r>
              <w:rPr>
                <w:rFonts w:cs="Times New Roman"/>
                <w:kern w:val="0"/>
                <w:sz w:val="18"/>
                <w:szCs w:val="18"/>
              </w:rPr>
              <w:t>、</w:t>
            </w:r>
            <w:r>
              <w:rPr>
                <w:rFonts w:cs="Times New Roman"/>
                <w:kern w:val="0"/>
                <w:sz w:val="18"/>
                <w:szCs w:val="18"/>
              </w:rPr>
              <w:t>喜鹊</w:t>
            </w:r>
            <w:r>
              <w:rPr>
                <w:rFonts w:cs="Times New Roman"/>
                <w:sz w:val="18"/>
                <w:szCs w:val="18"/>
              </w:rPr>
              <w:t>2</w:t>
            </w:r>
            <w:r>
              <w:rPr>
                <w:rFonts w:cs="Times New Roman"/>
                <w:sz w:val="18"/>
                <w:szCs w:val="18"/>
              </w:rPr>
              <w:t>只</w:t>
            </w:r>
          </w:p>
        </w:tc>
        <w:tc>
          <w:tcPr>
            <w:tcW w:w="864"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吴智慧、唐普恩等</w:t>
            </w:r>
          </w:p>
        </w:tc>
      </w:tr>
      <w:tr w:rsidR="00A46452">
        <w:trPr>
          <w:trHeight w:val="1179"/>
        </w:trPr>
        <w:tc>
          <w:tcPr>
            <w:tcW w:w="444"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2</w:t>
            </w:r>
          </w:p>
        </w:tc>
        <w:tc>
          <w:tcPr>
            <w:tcW w:w="806"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2#</w:t>
            </w:r>
            <w:r>
              <w:rPr>
                <w:rFonts w:cs="Times New Roman"/>
                <w:kern w:val="0"/>
                <w:sz w:val="18"/>
                <w:szCs w:val="18"/>
              </w:rPr>
              <w:t>动物调查样线</w:t>
            </w:r>
          </w:p>
        </w:tc>
        <w:tc>
          <w:tcPr>
            <w:tcW w:w="140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E79°20'25.900"</w:t>
            </w:r>
          </w:p>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N40°00'11.050"</w:t>
            </w:r>
          </w:p>
        </w:tc>
        <w:tc>
          <w:tcPr>
            <w:tcW w:w="1400"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E79°20'49.909"</w:t>
            </w:r>
          </w:p>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N40°00'43.874"</w:t>
            </w:r>
          </w:p>
        </w:tc>
        <w:tc>
          <w:tcPr>
            <w:tcW w:w="1040" w:type="dxa"/>
            <w:vAlign w:val="center"/>
          </w:tcPr>
          <w:p w:rsidR="00A46452" w:rsidRDefault="009A3928">
            <w:pPr>
              <w:spacing w:line="200" w:lineRule="atLeast"/>
              <w:ind w:firstLineChars="0" w:firstLine="0"/>
              <w:jc w:val="center"/>
              <w:rPr>
                <w:rFonts w:cs="Times New Roman"/>
                <w:kern w:val="0"/>
                <w:sz w:val="18"/>
                <w:szCs w:val="18"/>
              </w:rPr>
            </w:pPr>
            <w:r>
              <w:rPr>
                <w:rFonts w:cs="Times New Roman"/>
                <w:spacing w:val="-1"/>
                <w:sz w:val="18"/>
                <w:szCs w:val="18"/>
              </w:rPr>
              <w:t>1081-1080</w:t>
            </w:r>
          </w:p>
        </w:tc>
        <w:tc>
          <w:tcPr>
            <w:tcW w:w="87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1.4</w:t>
            </w:r>
          </w:p>
        </w:tc>
        <w:tc>
          <w:tcPr>
            <w:tcW w:w="1583"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乌鸦</w:t>
            </w:r>
            <w:r>
              <w:rPr>
                <w:rFonts w:cs="Times New Roman"/>
                <w:kern w:val="0"/>
                <w:sz w:val="18"/>
                <w:szCs w:val="18"/>
              </w:rPr>
              <w:t>2</w:t>
            </w:r>
            <w:r>
              <w:rPr>
                <w:rFonts w:cs="Times New Roman"/>
                <w:kern w:val="0"/>
                <w:sz w:val="18"/>
                <w:szCs w:val="18"/>
              </w:rPr>
              <w:t>只</w:t>
            </w:r>
            <w:r>
              <w:rPr>
                <w:rFonts w:cs="Times New Roman"/>
                <w:kern w:val="0"/>
                <w:sz w:val="18"/>
                <w:szCs w:val="18"/>
              </w:rPr>
              <w:t>、</w:t>
            </w:r>
            <w:r>
              <w:rPr>
                <w:rFonts w:cs="Times New Roman"/>
                <w:kern w:val="0"/>
                <w:sz w:val="18"/>
                <w:szCs w:val="18"/>
              </w:rPr>
              <w:t>南疆沙蜥</w:t>
            </w:r>
            <w:r>
              <w:rPr>
                <w:rFonts w:cs="Times New Roman"/>
                <w:kern w:val="0"/>
                <w:sz w:val="18"/>
                <w:szCs w:val="18"/>
              </w:rPr>
              <w:t>1</w:t>
            </w:r>
            <w:r>
              <w:rPr>
                <w:rFonts w:cs="Times New Roman"/>
                <w:kern w:val="0"/>
                <w:sz w:val="18"/>
                <w:szCs w:val="18"/>
              </w:rPr>
              <w:t>只</w:t>
            </w:r>
          </w:p>
        </w:tc>
        <w:tc>
          <w:tcPr>
            <w:tcW w:w="864" w:type="dxa"/>
            <w:vAlign w:val="center"/>
          </w:tcPr>
          <w:p w:rsidR="00A46452" w:rsidRDefault="009A3928">
            <w:pPr>
              <w:widowControl/>
              <w:spacing w:line="200" w:lineRule="atLeast"/>
              <w:ind w:firstLineChars="0" w:firstLine="0"/>
              <w:jc w:val="center"/>
              <w:rPr>
                <w:rFonts w:cs="Times New Roman"/>
                <w:kern w:val="0"/>
                <w:sz w:val="18"/>
                <w:szCs w:val="18"/>
              </w:rPr>
            </w:pPr>
            <w:r>
              <w:rPr>
                <w:rFonts w:cs="Times New Roman"/>
                <w:kern w:val="0"/>
                <w:sz w:val="18"/>
                <w:szCs w:val="18"/>
              </w:rPr>
              <w:t>吴智慧、唐普恩等</w:t>
            </w:r>
          </w:p>
        </w:tc>
      </w:tr>
      <w:tr w:rsidR="00A46452">
        <w:tc>
          <w:tcPr>
            <w:tcW w:w="444"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3</w:t>
            </w:r>
          </w:p>
        </w:tc>
        <w:tc>
          <w:tcPr>
            <w:tcW w:w="806"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3#</w:t>
            </w:r>
            <w:r>
              <w:rPr>
                <w:rFonts w:cs="Times New Roman"/>
                <w:kern w:val="0"/>
                <w:sz w:val="18"/>
                <w:szCs w:val="18"/>
              </w:rPr>
              <w:t>动物调查样线</w:t>
            </w:r>
          </w:p>
        </w:tc>
        <w:tc>
          <w:tcPr>
            <w:tcW w:w="1403"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E79°21'10.049"</w:t>
            </w:r>
          </w:p>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N40°03'48.438"</w:t>
            </w:r>
          </w:p>
        </w:tc>
        <w:tc>
          <w:tcPr>
            <w:tcW w:w="1400"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E79°20'39.074"</w:t>
            </w:r>
          </w:p>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N40°04'49.390"</w:t>
            </w:r>
          </w:p>
        </w:tc>
        <w:tc>
          <w:tcPr>
            <w:tcW w:w="1040" w:type="dxa"/>
            <w:vAlign w:val="center"/>
          </w:tcPr>
          <w:p w:rsidR="00A46452" w:rsidRDefault="009A3928">
            <w:pPr>
              <w:spacing w:line="240" w:lineRule="atLeast"/>
              <w:ind w:firstLineChars="0" w:firstLine="0"/>
              <w:jc w:val="center"/>
              <w:rPr>
                <w:rFonts w:cs="Times New Roman"/>
                <w:kern w:val="0"/>
                <w:sz w:val="18"/>
                <w:szCs w:val="18"/>
              </w:rPr>
            </w:pPr>
            <w:r>
              <w:rPr>
                <w:rFonts w:cs="Times New Roman"/>
                <w:spacing w:val="-1"/>
                <w:sz w:val="18"/>
                <w:szCs w:val="18"/>
              </w:rPr>
              <w:t>1078</w:t>
            </w:r>
            <w:r>
              <w:rPr>
                <w:rFonts w:cs="Times New Roman"/>
                <w:spacing w:val="-1"/>
                <w:sz w:val="18"/>
                <w:szCs w:val="18"/>
              </w:rPr>
              <w:t>-</w:t>
            </w:r>
            <w:r>
              <w:rPr>
                <w:rFonts w:cs="Times New Roman"/>
                <w:spacing w:val="-1"/>
                <w:sz w:val="18"/>
                <w:szCs w:val="18"/>
              </w:rPr>
              <w:t>1079</w:t>
            </w:r>
          </w:p>
        </w:tc>
        <w:tc>
          <w:tcPr>
            <w:tcW w:w="873"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1.5</w:t>
            </w:r>
          </w:p>
        </w:tc>
        <w:tc>
          <w:tcPr>
            <w:tcW w:w="1583" w:type="dxa"/>
            <w:vAlign w:val="center"/>
          </w:tcPr>
          <w:p w:rsidR="00A46452" w:rsidRDefault="009A3928">
            <w:pPr>
              <w:spacing w:line="240" w:lineRule="atLeast"/>
              <w:ind w:firstLineChars="0" w:firstLine="0"/>
              <w:jc w:val="center"/>
              <w:rPr>
                <w:rFonts w:cs="Times New Roman"/>
                <w:kern w:val="0"/>
                <w:sz w:val="18"/>
                <w:szCs w:val="18"/>
              </w:rPr>
            </w:pPr>
            <w:r>
              <w:rPr>
                <w:rFonts w:cs="Times New Roman"/>
                <w:sz w:val="18"/>
                <w:szCs w:val="18"/>
              </w:rPr>
              <w:t>南疆沙蜥</w:t>
            </w:r>
            <w:r>
              <w:rPr>
                <w:rFonts w:cs="Times New Roman"/>
                <w:sz w:val="18"/>
                <w:szCs w:val="18"/>
              </w:rPr>
              <w:t>1</w:t>
            </w:r>
            <w:r>
              <w:rPr>
                <w:rFonts w:cs="Times New Roman"/>
                <w:sz w:val="18"/>
                <w:szCs w:val="18"/>
              </w:rPr>
              <w:t>只、</w:t>
            </w:r>
            <w:r>
              <w:rPr>
                <w:rFonts w:cs="Times New Roman"/>
                <w:sz w:val="18"/>
                <w:szCs w:val="18"/>
              </w:rPr>
              <w:t>岩鸽</w:t>
            </w:r>
            <w:r>
              <w:rPr>
                <w:rFonts w:cs="Times New Roman"/>
                <w:sz w:val="18"/>
                <w:szCs w:val="18"/>
              </w:rPr>
              <w:t>1</w:t>
            </w:r>
            <w:r>
              <w:rPr>
                <w:rFonts w:cs="Times New Roman"/>
                <w:sz w:val="18"/>
                <w:szCs w:val="18"/>
              </w:rPr>
              <w:t>只</w:t>
            </w:r>
            <w:r>
              <w:rPr>
                <w:rFonts w:cs="Times New Roman"/>
                <w:sz w:val="18"/>
                <w:szCs w:val="18"/>
              </w:rPr>
              <w:t>、寒鸦</w:t>
            </w:r>
            <w:r>
              <w:rPr>
                <w:rFonts w:cs="Times New Roman"/>
                <w:sz w:val="18"/>
                <w:szCs w:val="18"/>
              </w:rPr>
              <w:t>2</w:t>
            </w:r>
            <w:r>
              <w:rPr>
                <w:rFonts w:cs="Times New Roman"/>
                <w:sz w:val="18"/>
                <w:szCs w:val="18"/>
              </w:rPr>
              <w:t>只</w:t>
            </w:r>
          </w:p>
        </w:tc>
        <w:tc>
          <w:tcPr>
            <w:tcW w:w="864"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吴智慧、唐普恩等</w:t>
            </w:r>
          </w:p>
        </w:tc>
      </w:tr>
      <w:tr w:rsidR="00A46452">
        <w:tc>
          <w:tcPr>
            <w:tcW w:w="444"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4</w:t>
            </w:r>
          </w:p>
        </w:tc>
        <w:tc>
          <w:tcPr>
            <w:tcW w:w="806"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4</w:t>
            </w:r>
            <w:r>
              <w:rPr>
                <w:rFonts w:cs="Times New Roman"/>
                <w:kern w:val="0"/>
                <w:sz w:val="18"/>
                <w:szCs w:val="18"/>
              </w:rPr>
              <w:t>#</w:t>
            </w:r>
            <w:r>
              <w:rPr>
                <w:rFonts w:cs="Times New Roman"/>
                <w:kern w:val="0"/>
                <w:sz w:val="18"/>
                <w:szCs w:val="18"/>
              </w:rPr>
              <w:t>动物调查样线</w:t>
            </w:r>
          </w:p>
        </w:tc>
        <w:tc>
          <w:tcPr>
            <w:tcW w:w="1403"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E79°17'31.366"</w:t>
            </w:r>
          </w:p>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N40°09'58.593"</w:t>
            </w:r>
          </w:p>
        </w:tc>
        <w:tc>
          <w:tcPr>
            <w:tcW w:w="1400"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E79°17'50.178"</w:t>
            </w:r>
          </w:p>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N40°11'07.152"</w:t>
            </w:r>
          </w:p>
        </w:tc>
        <w:tc>
          <w:tcPr>
            <w:tcW w:w="1040" w:type="dxa"/>
            <w:vAlign w:val="center"/>
          </w:tcPr>
          <w:p w:rsidR="00A46452" w:rsidRDefault="009A3928">
            <w:pPr>
              <w:spacing w:line="240" w:lineRule="atLeast"/>
              <w:ind w:firstLineChars="0" w:firstLine="0"/>
              <w:jc w:val="center"/>
              <w:rPr>
                <w:rFonts w:cs="Times New Roman"/>
                <w:spacing w:val="-1"/>
                <w:sz w:val="18"/>
                <w:szCs w:val="18"/>
              </w:rPr>
            </w:pPr>
            <w:r>
              <w:rPr>
                <w:rFonts w:cs="Times New Roman"/>
                <w:spacing w:val="-1"/>
                <w:sz w:val="18"/>
                <w:szCs w:val="18"/>
              </w:rPr>
              <w:t>1080</w:t>
            </w:r>
            <w:r>
              <w:rPr>
                <w:rFonts w:cs="Times New Roman"/>
                <w:spacing w:val="-1"/>
                <w:sz w:val="18"/>
                <w:szCs w:val="18"/>
              </w:rPr>
              <w:t>-</w:t>
            </w:r>
            <w:r>
              <w:rPr>
                <w:rFonts w:cs="Times New Roman"/>
                <w:spacing w:val="-1"/>
                <w:sz w:val="18"/>
                <w:szCs w:val="18"/>
              </w:rPr>
              <w:t>1081</w:t>
            </w:r>
          </w:p>
        </w:tc>
        <w:tc>
          <w:tcPr>
            <w:tcW w:w="873"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1.5</w:t>
            </w:r>
          </w:p>
        </w:tc>
        <w:tc>
          <w:tcPr>
            <w:tcW w:w="1583" w:type="dxa"/>
            <w:vAlign w:val="center"/>
          </w:tcPr>
          <w:p w:rsidR="00A46452" w:rsidRDefault="009A3928">
            <w:pPr>
              <w:spacing w:line="240" w:lineRule="atLeast"/>
              <w:ind w:firstLineChars="0" w:firstLine="0"/>
              <w:jc w:val="center"/>
              <w:rPr>
                <w:rFonts w:cs="Times New Roman"/>
                <w:kern w:val="0"/>
                <w:sz w:val="18"/>
                <w:szCs w:val="18"/>
              </w:rPr>
            </w:pPr>
            <w:r>
              <w:rPr>
                <w:rFonts w:cs="Times New Roman"/>
                <w:sz w:val="18"/>
                <w:szCs w:val="18"/>
              </w:rPr>
              <w:t>南疆沙蜥</w:t>
            </w:r>
            <w:r>
              <w:rPr>
                <w:rFonts w:cs="Times New Roman"/>
                <w:sz w:val="18"/>
                <w:szCs w:val="18"/>
              </w:rPr>
              <w:t>2</w:t>
            </w:r>
            <w:r>
              <w:rPr>
                <w:rFonts w:cs="Times New Roman"/>
                <w:sz w:val="18"/>
                <w:szCs w:val="18"/>
              </w:rPr>
              <w:t>只、</w:t>
            </w:r>
            <w:r>
              <w:rPr>
                <w:rFonts w:cs="Times New Roman"/>
                <w:sz w:val="18"/>
                <w:szCs w:val="18"/>
              </w:rPr>
              <w:t>荒漠麻蜥</w:t>
            </w:r>
            <w:r>
              <w:rPr>
                <w:rFonts w:cs="Times New Roman"/>
                <w:sz w:val="18"/>
                <w:szCs w:val="18"/>
              </w:rPr>
              <w:t>1</w:t>
            </w:r>
            <w:r>
              <w:rPr>
                <w:rFonts w:cs="Times New Roman"/>
                <w:sz w:val="18"/>
                <w:szCs w:val="18"/>
              </w:rPr>
              <w:t>只、麻雀</w:t>
            </w:r>
            <w:r>
              <w:rPr>
                <w:rFonts w:cs="Times New Roman"/>
                <w:sz w:val="18"/>
                <w:szCs w:val="18"/>
              </w:rPr>
              <w:t>4</w:t>
            </w:r>
            <w:r>
              <w:rPr>
                <w:rFonts w:cs="Times New Roman"/>
                <w:sz w:val="18"/>
                <w:szCs w:val="18"/>
              </w:rPr>
              <w:t>只、</w:t>
            </w:r>
            <w:r>
              <w:rPr>
                <w:rFonts w:cs="Times New Roman"/>
                <w:sz w:val="18"/>
                <w:szCs w:val="18"/>
              </w:rPr>
              <w:t>岩鸽</w:t>
            </w:r>
            <w:r>
              <w:rPr>
                <w:rFonts w:cs="Times New Roman"/>
                <w:sz w:val="18"/>
                <w:szCs w:val="18"/>
              </w:rPr>
              <w:t>1</w:t>
            </w:r>
            <w:r>
              <w:rPr>
                <w:rFonts w:cs="Times New Roman"/>
                <w:sz w:val="18"/>
                <w:szCs w:val="18"/>
              </w:rPr>
              <w:t>只</w:t>
            </w:r>
          </w:p>
        </w:tc>
        <w:tc>
          <w:tcPr>
            <w:tcW w:w="864" w:type="dxa"/>
            <w:vAlign w:val="center"/>
          </w:tcPr>
          <w:p w:rsidR="00A46452" w:rsidRDefault="009A3928">
            <w:pPr>
              <w:widowControl/>
              <w:spacing w:line="240" w:lineRule="atLeast"/>
              <w:ind w:firstLineChars="0" w:firstLine="0"/>
              <w:jc w:val="center"/>
              <w:rPr>
                <w:rFonts w:cs="Times New Roman"/>
                <w:kern w:val="0"/>
                <w:sz w:val="18"/>
                <w:szCs w:val="18"/>
              </w:rPr>
            </w:pPr>
            <w:r>
              <w:rPr>
                <w:rFonts w:cs="Times New Roman"/>
                <w:kern w:val="0"/>
                <w:sz w:val="18"/>
                <w:szCs w:val="18"/>
              </w:rPr>
              <w:t>吴智慧、唐普恩等</w:t>
            </w:r>
          </w:p>
        </w:tc>
      </w:tr>
    </w:tbl>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2</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样线调查野生动物分布情况</w:t>
      </w:r>
    </w:p>
    <w:tbl>
      <w:tblPr>
        <w:tblW w:w="84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766"/>
        <w:gridCol w:w="1418"/>
        <w:gridCol w:w="567"/>
        <w:gridCol w:w="709"/>
        <w:gridCol w:w="567"/>
        <w:gridCol w:w="425"/>
        <w:gridCol w:w="651"/>
        <w:gridCol w:w="2042"/>
        <w:gridCol w:w="888"/>
      </w:tblGrid>
      <w:tr w:rsidR="00A46452">
        <w:trPr>
          <w:trHeight w:val="283"/>
        </w:trPr>
        <w:tc>
          <w:tcPr>
            <w:tcW w:w="37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序号</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物种名称</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学名</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纲</w:t>
            </w:r>
          </w:p>
        </w:tc>
        <w:tc>
          <w:tcPr>
            <w:tcW w:w="709"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目</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保护级别</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是否特有种</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分布区域</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资料来源</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子午沙鼠</w:t>
            </w:r>
          </w:p>
        </w:tc>
        <w:tc>
          <w:tcPr>
            <w:tcW w:w="1418" w:type="dxa"/>
            <w:tcBorders>
              <w:tl2br w:val="nil"/>
              <w:tr2bl w:val="nil"/>
            </w:tcBorders>
            <w:vAlign w:val="center"/>
          </w:tcPr>
          <w:p w:rsidR="00A46452" w:rsidRDefault="009A3928">
            <w:pPr>
              <w:spacing w:line="240" w:lineRule="auto"/>
              <w:ind w:firstLineChars="0" w:firstLine="0"/>
              <w:jc w:val="center"/>
              <w:rPr>
                <w:rFonts w:eastAsia="Helvetica" w:cs="Times New Roman"/>
                <w:i/>
                <w:iCs/>
                <w:sz w:val="18"/>
                <w:szCs w:val="18"/>
                <w:shd w:val="clear" w:color="auto" w:fill="FFFFFF"/>
              </w:rPr>
            </w:pPr>
            <w:r>
              <w:rPr>
                <w:rFonts w:cs="Times New Roman"/>
                <w:i/>
                <w:sz w:val="18"/>
                <w:szCs w:val="18"/>
                <w:lang w:val="sv-SE"/>
              </w:rPr>
              <w:t>Meriones  meridianus</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哺乳纲</w:t>
            </w:r>
          </w:p>
        </w:tc>
        <w:tc>
          <w:tcPr>
            <w:tcW w:w="709" w:type="dxa"/>
            <w:tcBorders>
              <w:tl2br w:val="nil"/>
              <w:tr2bl w:val="nil"/>
            </w:tcBorders>
            <w:vAlign w:val="center"/>
          </w:tcPr>
          <w:p w:rsidR="00A46452" w:rsidRDefault="009A3928">
            <w:pPr>
              <w:spacing w:line="240" w:lineRule="auto"/>
              <w:ind w:firstLineChars="0" w:firstLine="0"/>
              <w:jc w:val="center"/>
              <w:rPr>
                <w:rStyle w:val="affd"/>
                <w:rFonts w:cs="Times New Roman"/>
                <w:sz w:val="18"/>
                <w:szCs w:val="18"/>
                <w:shd w:val="clear" w:color="auto" w:fill="FFFFFF"/>
              </w:rPr>
            </w:pPr>
            <w:r>
              <w:rPr>
                <w:rFonts w:cs="Times New Roman"/>
                <w:sz w:val="18"/>
                <w:szCs w:val="18"/>
              </w:rPr>
              <w:t>啮齿目</w:t>
            </w:r>
          </w:p>
        </w:tc>
        <w:tc>
          <w:tcPr>
            <w:tcW w:w="567" w:type="dxa"/>
            <w:tcBorders>
              <w:tl2br w:val="nil"/>
              <w:tr2bl w:val="nil"/>
            </w:tcBorders>
            <w:vAlign w:val="center"/>
          </w:tcPr>
          <w:p w:rsidR="00A46452" w:rsidRDefault="009A3928">
            <w:pPr>
              <w:spacing w:line="240" w:lineRule="auto"/>
              <w:ind w:firstLineChars="0" w:firstLine="0"/>
              <w:jc w:val="center"/>
              <w:rPr>
                <w:rStyle w:val="affd"/>
                <w:rFonts w:cs="Times New Roman"/>
                <w:sz w:val="18"/>
                <w:szCs w:val="18"/>
                <w:shd w:val="clear" w:color="auto" w:fill="FFFFFF"/>
              </w:rPr>
            </w:pPr>
            <w:r>
              <w:rPr>
                <w:rFonts w:cs="Times New Roman"/>
                <w:sz w:val="18"/>
                <w:szCs w:val="18"/>
              </w:rPr>
              <w:t>仓鼠科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南疆沙蜥</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Phrynocephalus  forsythia</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hyperlink r:id="rId45" w:tgtFrame="https://baike.so.com/doc/_blank" w:history="1">
              <w:r>
                <w:rPr>
                  <w:rStyle w:val="affd"/>
                  <w:rFonts w:cs="Times New Roman"/>
                  <w:i w:val="0"/>
                  <w:sz w:val="18"/>
                  <w:szCs w:val="18"/>
                  <w:shd w:val="clear" w:color="auto" w:fill="FFFFFF"/>
                </w:rPr>
                <w:t>爬行纲</w:t>
              </w:r>
            </w:hyperlink>
          </w:p>
        </w:tc>
        <w:tc>
          <w:tcPr>
            <w:tcW w:w="709" w:type="dxa"/>
            <w:tcBorders>
              <w:tl2br w:val="nil"/>
              <w:tr2bl w:val="nil"/>
            </w:tcBorders>
            <w:vAlign w:val="center"/>
          </w:tcPr>
          <w:p w:rsidR="00A46452" w:rsidRDefault="009A3928">
            <w:pPr>
              <w:spacing w:line="240" w:lineRule="auto"/>
              <w:ind w:firstLineChars="0" w:firstLine="0"/>
              <w:jc w:val="center"/>
              <w:rPr>
                <w:rStyle w:val="affd"/>
                <w:rFonts w:cs="Times New Roman"/>
                <w:i w:val="0"/>
                <w:sz w:val="18"/>
                <w:szCs w:val="18"/>
                <w:shd w:val="clear" w:color="auto" w:fill="FFFFFF"/>
              </w:rPr>
            </w:pPr>
            <w:r>
              <w:rPr>
                <w:rStyle w:val="affd"/>
                <w:rFonts w:cs="Times New Roman"/>
                <w:i w:val="0"/>
                <w:sz w:val="18"/>
                <w:szCs w:val="18"/>
                <w:shd w:val="clear" w:color="auto" w:fill="FFFFFF"/>
              </w:rPr>
              <w:t>有鳞目</w:t>
            </w:r>
          </w:p>
        </w:tc>
        <w:tc>
          <w:tcPr>
            <w:tcW w:w="567" w:type="dxa"/>
            <w:tcBorders>
              <w:tl2br w:val="nil"/>
              <w:tr2bl w:val="nil"/>
            </w:tcBorders>
            <w:vAlign w:val="center"/>
          </w:tcPr>
          <w:p w:rsidR="00A46452" w:rsidRDefault="009A3928">
            <w:pPr>
              <w:spacing w:line="240" w:lineRule="auto"/>
              <w:ind w:firstLineChars="0" w:firstLine="0"/>
              <w:jc w:val="center"/>
              <w:rPr>
                <w:rStyle w:val="affd"/>
                <w:rFonts w:cs="Times New Roman"/>
                <w:i w:val="0"/>
                <w:sz w:val="18"/>
                <w:szCs w:val="18"/>
                <w:shd w:val="clear" w:color="auto" w:fill="FFFFFF"/>
              </w:rPr>
            </w:pPr>
            <w:r>
              <w:rPr>
                <w:rStyle w:val="affd"/>
                <w:rFonts w:cs="Times New Roman"/>
                <w:i w:val="0"/>
                <w:sz w:val="18"/>
                <w:szCs w:val="18"/>
                <w:shd w:val="clear" w:color="auto" w:fill="FFFFFF"/>
              </w:rPr>
              <w:t>鬣蜥科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r>
              <w:rPr>
                <w:rFonts w:cs="Times New Roman"/>
                <w:sz w:val="18"/>
                <w:szCs w:val="18"/>
              </w:rPr>
              <w:t>、</w:t>
            </w:r>
            <w:r>
              <w:rPr>
                <w:rFonts w:cs="Times New Roman"/>
                <w:sz w:val="18"/>
                <w:szCs w:val="18"/>
              </w:rPr>
              <w:t>3#</w:t>
            </w:r>
            <w:r>
              <w:rPr>
                <w:rFonts w:cs="Times New Roman"/>
                <w:sz w:val="18"/>
                <w:szCs w:val="18"/>
              </w:rPr>
              <w:t>、</w:t>
            </w:r>
            <w:r>
              <w:rPr>
                <w:rFonts w:cs="Times New Roman"/>
                <w:sz w:val="18"/>
                <w:szCs w:val="18"/>
              </w:rPr>
              <w:t>4#</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荒漠麻蜥</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Eremias przewalskii</w:t>
            </w:r>
          </w:p>
        </w:tc>
        <w:tc>
          <w:tcPr>
            <w:tcW w:w="567" w:type="dxa"/>
            <w:tcBorders>
              <w:tl2br w:val="nil"/>
              <w:tr2bl w:val="nil"/>
            </w:tcBorders>
            <w:vAlign w:val="center"/>
          </w:tcPr>
          <w:p w:rsidR="00A46452" w:rsidRDefault="009A3928">
            <w:pPr>
              <w:spacing w:line="240" w:lineRule="auto"/>
              <w:ind w:firstLineChars="0" w:firstLine="0"/>
              <w:jc w:val="center"/>
              <w:rPr>
                <w:rFonts w:cs="Times New Roman"/>
              </w:rPr>
            </w:pPr>
            <w:hyperlink r:id="rId46" w:tgtFrame="https://baike.so.com/doc/_blank" w:history="1">
              <w:r>
                <w:rPr>
                  <w:rStyle w:val="affd"/>
                  <w:rFonts w:cs="Times New Roman"/>
                  <w:i w:val="0"/>
                  <w:sz w:val="18"/>
                  <w:szCs w:val="18"/>
                  <w:shd w:val="clear" w:color="auto" w:fill="FFFFFF"/>
                </w:rPr>
                <w:t>爬行纲</w:t>
              </w:r>
            </w:hyperlink>
          </w:p>
        </w:tc>
        <w:tc>
          <w:tcPr>
            <w:tcW w:w="709" w:type="dxa"/>
            <w:tcBorders>
              <w:tl2br w:val="nil"/>
              <w:tr2bl w:val="nil"/>
            </w:tcBorders>
            <w:vAlign w:val="center"/>
          </w:tcPr>
          <w:p w:rsidR="00A46452" w:rsidRDefault="009A3928">
            <w:pPr>
              <w:spacing w:line="240" w:lineRule="auto"/>
              <w:ind w:firstLineChars="0" w:firstLine="0"/>
              <w:jc w:val="center"/>
              <w:rPr>
                <w:rStyle w:val="affd"/>
                <w:rFonts w:cs="Times New Roman"/>
                <w:i w:val="0"/>
                <w:sz w:val="18"/>
                <w:szCs w:val="18"/>
                <w:shd w:val="clear" w:color="auto" w:fill="FFFFFF"/>
              </w:rPr>
            </w:pPr>
            <w:r>
              <w:rPr>
                <w:rStyle w:val="affd"/>
                <w:rFonts w:cs="Times New Roman"/>
                <w:i w:val="0"/>
                <w:sz w:val="18"/>
                <w:szCs w:val="18"/>
                <w:shd w:val="clear" w:color="auto" w:fill="FFFFFF"/>
              </w:rPr>
              <w:t>有鳞目</w:t>
            </w:r>
          </w:p>
        </w:tc>
        <w:tc>
          <w:tcPr>
            <w:tcW w:w="567" w:type="dxa"/>
            <w:tcBorders>
              <w:tl2br w:val="nil"/>
              <w:tr2bl w:val="nil"/>
            </w:tcBorders>
            <w:vAlign w:val="center"/>
          </w:tcPr>
          <w:p w:rsidR="00A46452" w:rsidRDefault="009A3928">
            <w:pPr>
              <w:spacing w:line="240" w:lineRule="auto"/>
              <w:ind w:firstLineChars="0" w:firstLine="0"/>
              <w:jc w:val="center"/>
              <w:rPr>
                <w:rStyle w:val="affd"/>
                <w:rFonts w:cs="Times New Roman"/>
                <w:i w:val="0"/>
                <w:sz w:val="18"/>
                <w:szCs w:val="18"/>
                <w:shd w:val="clear" w:color="auto" w:fill="FFFFFF"/>
              </w:rPr>
            </w:pPr>
            <w:r>
              <w:rPr>
                <w:rStyle w:val="affd"/>
                <w:rFonts w:cs="Times New Roman"/>
                <w:i w:val="0"/>
                <w:sz w:val="18"/>
                <w:szCs w:val="18"/>
                <w:shd w:val="clear" w:color="auto" w:fill="FFFFFF"/>
              </w:rPr>
              <w:t>蜥蜴</w:t>
            </w:r>
            <w:r>
              <w:rPr>
                <w:rStyle w:val="affd"/>
                <w:rFonts w:cs="Times New Roman"/>
                <w:i w:val="0"/>
                <w:sz w:val="18"/>
                <w:szCs w:val="18"/>
                <w:shd w:val="clear" w:color="auto" w:fill="FFFFFF"/>
              </w:rPr>
              <w:t>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p>
        </w:tc>
        <w:tc>
          <w:tcPr>
            <w:tcW w:w="766"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乌鸦</w:t>
            </w:r>
          </w:p>
        </w:tc>
        <w:tc>
          <w:tcPr>
            <w:tcW w:w="1418"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i/>
                <w:sz w:val="18"/>
                <w:szCs w:val="18"/>
              </w:rPr>
            </w:pPr>
            <w:r>
              <w:rPr>
                <w:rFonts w:cs="Times New Roman"/>
                <w:i/>
                <w:sz w:val="18"/>
                <w:szCs w:val="18"/>
                <w:lang w:val="sv-SE"/>
              </w:rPr>
              <w:t>Corvus</w:t>
            </w:r>
          </w:p>
        </w:tc>
        <w:tc>
          <w:tcPr>
            <w:tcW w:w="567"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shd w:val="clear" w:color="auto" w:fill="FFFFFF"/>
              </w:rPr>
            </w:pPr>
            <w:hyperlink r:id="rId47" w:tgtFrame="https://baike.so.com/doc/_blank" w:history="1">
              <w:r>
                <w:rPr>
                  <w:rStyle w:val="affd"/>
                  <w:rFonts w:cs="Times New Roman"/>
                  <w:i w:val="0"/>
                  <w:sz w:val="18"/>
                  <w:szCs w:val="18"/>
                  <w:shd w:val="clear" w:color="auto" w:fill="FFFFFF"/>
                </w:rPr>
                <w:t>鸟纲</w:t>
              </w:r>
            </w:hyperlink>
          </w:p>
        </w:tc>
        <w:tc>
          <w:tcPr>
            <w:tcW w:w="709"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shd w:val="clear" w:color="auto" w:fill="FFFFFF"/>
              </w:rPr>
            </w:pPr>
            <w:r>
              <w:rPr>
                <w:rStyle w:val="affd"/>
                <w:rFonts w:cs="Times New Roman"/>
                <w:i w:val="0"/>
                <w:sz w:val="18"/>
                <w:szCs w:val="18"/>
                <w:shd w:val="clear" w:color="auto" w:fill="FFFFFF"/>
              </w:rPr>
              <w:t>雀形目</w:t>
            </w:r>
          </w:p>
        </w:tc>
        <w:tc>
          <w:tcPr>
            <w:tcW w:w="567"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shd w:val="clear" w:color="auto" w:fill="FFFFFF"/>
              </w:rPr>
            </w:pPr>
            <w:r>
              <w:rPr>
                <w:rStyle w:val="affd"/>
                <w:rFonts w:cs="Times New Roman"/>
                <w:i w:val="0"/>
                <w:sz w:val="18"/>
                <w:szCs w:val="18"/>
                <w:shd w:val="clear" w:color="auto" w:fill="FFFFFF"/>
              </w:rPr>
              <w:t>鸦科</w:t>
            </w:r>
          </w:p>
        </w:tc>
        <w:tc>
          <w:tcPr>
            <w:tcW w:w="425"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r>
              <w:rPr>
                <w:rFonts w:cs="Times New Roman"/>
                <w:sz w:val="18"/>
                <w:szCs w:val="18"/>
              </w:rPr>
              <w:t>调查样线附近荒漠植被</w:t>
            </w:r>
          </w:p>
        </w:tc>
        <w:tc>
          <w:tcPr>
            <w:tcW w:w="888"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家燕</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Hirundo rustica</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鸟纲</w:t>
            </w:r>
          </w:p>
        </w:tc>
        <w:tc>
          <w:tcPr>
            <w:tcW w:w="709"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雀形目</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燕科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麻雀</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Passer montanus</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鸟纲</w:t>
            </w:r>
          </w:p>
        </w:tc>
        <w:tc>
          <w:tcPr>
            <w:tcW w:w="709"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雀形目</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文鸟科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w:t>
            </w:r>
            <w:r>
              <w:rPr>
                <w:rFonts w:cs="Times New Roman"/>
                <w:sz w:val="18"/>
                <w:szCs w:val="18"/>
              </w:rPr>
              <w:t>4#</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岩鸽</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Columba rupestris</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鸟纲</w:t>
            </w:r>
          </w:p>
        </w:tc>
        <w:tc>
          <w:tcPr>
            <w:tcW w:w="709"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鸽形目</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鸠鸽科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w:t>
            </w:r>
            <w:r>
              <w:rPr>
                <w:rFonts w:cs="Times New Roman"/>
                <w:sz w:val="18"/>
                <w:szCs w:val="18"/>
              </w:rPr>
              <w:t>4#</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r w:rsidR="00A46452">
        <w:trPr>
          <w:trHeight w:val="283"/>
        </w:trPr>
        <w:tc>
          <w:tcPr>
            <w:tcW w:w="37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w:t>
            </w:r>
          </w:p>
        </w:tc>
        <w:tc>
          <w:tcPr>
            <w:tcW w:w="766"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寒鸦</w:t>
            </w:r>
          </w:p>
        </w:tc>
        <w:tc>
          <w:tcPr>
            <w:tcW w:w="1418" w:type="dxa"/>
            <w:tcBorders>
              <w:tl2br w:val="nil"/>
              <w:tr2bl w:val="nil"/>
            </w:tcBorders>
            <w:vAlign w:val="center"/>
          </w:tcPr>
          <w:p w:rsidR="00A46452" w:rsidRDefault="009A3928">
            <w:pPr>
              <w:spacing w:line="240" w:lineRule="auto"/>
              <w:ind w:firstLineChars="0" w:firstLine="0"/>
              <w:jc w:val="center"/>
              <w:rPr>
                <w:rFonts w:cs="Times New Roman"/>
                <w:i/>
                <w:sz w:val="18"/>
                <w:szCs w:val="18"/>
                <w:lang w:val="sv-SE"/>
              </w:rPr>
            </w:pPr>
            <w:r>
              <w:rPr>
                <w:rFonts w:cs="Times New Roman"/>
                <w:i/>
                <w:sz w:val="18"/>
                <w:szCs w:val="18"/>
                <w:lang w:val="sv-SE"/>
              </w:rPr>
              <w:t>Corvus monedula</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鸟纲</w:t>
            </w:r>
          </w:p>
        </w:tc>
        <w:tc>
          <w:tcPr>
            <w:tcW w:w="709"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Style w:val="affd"/>
                <w:rFonts w:cs="Times New Roman"/>
                <w:i w:val="0"/>
                <w:sz w:val="18"/>
                <w:szCs w:val="18"/>
                <w:shd w:val="clear" w:color="auto" w:fill="FFFFFF"/>
              </w:rPr>
              <w:t>雀形目</w:t>
            </w:r>
          </w:p>
        </w:tc>
        <w:tc>
          <w:tcPr>
            <w:tcW w:w="567"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Style w:val="affd"/>
                <w:rFonts w:cs="Times New Roman"/>
                <w:i w:val="0"/>
                <w:sz w:val="18"/>
                <w:szCs w:val="18"/>
                <w:shd w:val="clear" w:color="auto" w:fill="FFFFFF"/>
              </w:rPr>
              <w:t>鸦科</w:t>
            </w:r>
          </w:p>
        </w:tc>
        <w:tc>
          <w:tcPr>
            <w:tcW w:w="425"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c>
          <w:tcPr>
            <w:tcW w:w="651"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否</w:t>
            </w:r>
          </w:p>
        </w:tc>
        <w:tc>
          <w:tcPr>
            <w:tcW w:w="2042"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r>
              <w:rPr>
                <w:rFonts w:cs="Times New Roman"/>
                <w:sz w:val="18"/>
                <w:szCs w:val="18"/>
              </w:rPr>
              <w:t>调查样线附近</w:t>
            </w:r>
          </w:p>
        </w:tc>
        <w:tc>
          <w:tcPr>
            <w:tcW w:w="888"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现场调查</w:t>
            </w:r>
          </w:p>
        </w:tc>
      </w:tr>
    </w:tbl>
    <w:p w:rsidR="00A46452" w:rsidRDefault="009A3928">
      <w:pPr>
        <w:ind w:firstLine="480"/>
        <w:rPr>
          <w:rFonts w:cs="Times New Roman"/>
        </w:rPr>
      </w:pPr>
      <w:r>
        <w:rPr>
          <w:rFonts w:cs="Times New Roman"/>
        </w:rPr>
        <w:t>现场样线调查时未见塔里木兔、鹅喉羚等哺乳类保护动物，样线调查过程中由于项目区地处干旱荒漠区，动物生境较差，人类活动频繁，已难见大中型的野生动物，鸟类多见寒鸦、麻雀、凤头百灵、家燕、乌鸦、岩鸽等常见；爬行类主要是荒漠麻蜥、南疆沙蜥等；哺乳类有子午沙鼠。</w:t>
      </w:r>
    </w:p>
    <w:p w:rsidR="00A46452" w:rsidRDefault="009A3928">
      <w:pPr>
        <w:pStyle w:val="42"/>
        <w:snapToGrid w:val="0"/>
        <w:spacing w:before="156" w:after="156" w:line="240" w:lineRule="auto"/>
        <w:rPr>
          <w:rFonts w:cs="Times New Roman" w:hint="default"/>
          <w:iCs/>
        </w:rPr>
      </w:pPr>
      <w:r>
        <w:rPr>
          <w:rFonts w:cs="Times New Roman" w:hint="default"/>
          <w:iCs/>
        </w:rPr>
        <w:t>6</w:t>
      </w:r>
      <w:r>
        <w:rPr>
          <w:rFonts w:cs="Times New Roman" w:hint="default"/>
          <w:iCs/>
        </w:rPr>
        <w:t>.2.6.3</w:t>
      </w:r>
      <w:r>
        <w:rPr>
          <w:rFonts w:cs="Times New Roman" w:hint="default"/>
          <w:iCs/>
        </w:rPr>
        <w:t>拟建公路沿线野生动物情况</w:t>
      </w:r>
    </w:p>
    <w:p w:rsidR="00A46452" w:rsidRDefault="009A3928">
      <w:pPr>
        <w:ind w:firstLine="480"/>
        <w:rPr>
          <w:rFonts w:cs="Times New Roman"/>
        </w:rPr>
      </w:pPr>
      <w:r>
        <w:rPr>
          <w:rFonts w:cs="Times New Roman"/>
        </w:rPr>
        <w:t>评价区范围内动物区系属于古北界、中亚亚界、蒙新区，包括西部荒漠亚区、塔里木盆地、中温带荒漠动物群、平原灌丛荒漠草原动物群。</w:t>
      </w:r>
    </w:p>
    <w:p w:rsidR="00A46452" w:rsidRDefault="009A3928">
      <w:pPr>
        <w:ind w:firstLine="480"/>
        <w:rPr>
          <w:rFonts w:cs="Times New Roman"/>
          <w:kern w:val="0"/>
          <w:szCs w:val="24"/>
          <w:lang w:bidi="ar"/>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kern w:val="0"/>
          <w:szCs w:val="24"/>
          <w:lang w:bidi="ar"/>
        </w:rPr>
        <w:t>K0+000</w:t>
      </w:r>
      <w:r>
        <w:rPr>
          <w:rFonts w:cs="Times New Roman"/>
          <w:kern w:val="0"/>
          <w:szCs w:val="24"/>
          <w:lang w:bidi="ar"/>
        </w:rPr>
        <w:t>～</w:t>
      </w:r>
      <w:r>
        <w:rPr>
          <w:rFonts w:cs="Times New Roman"/>
          <w:kern w:val="0"/>
          <w:szCs w:val="24"/>
          <w:lang w:bidi="ar"/>
        </w:rPr>
        <w:t>K32+000</w:t>
      </w:r>
      <w:r>
        <w:rPr>
          <w:rFonts w:cs="Times New Roman"/>
          <w:kern w:val="0"/>
          <w:szCs w:val="24"/>
          <w:lang w:bidi="ar"/>
        </w:rPr>
        <w:t>段</w:t>
      </w:r>
    </w:p>
    <w:p w:rsidR="00A46452" w:rsidRDefault="009A3928">
      <w:pPr>
        <w:ind w:firstLine="480"/>
        <w:rPr>
          <w:rFonts w:cs="Times New Roman"/>
        </w:rPr>
      </w:pPr>
      <w:r>
        <w:rPr>
          <w:rFonts w:cs="Times New Roman"/>
        </w:rPr>
        <w:t>该路段位于第</w:t>
      </w:r>
      <w:r>
        <w:rPr>
          <w:rFonts w:cs="Times New Roman"/>
        </w:rPr>
        <w:t>三</w:t>
      </w:r>
      <w:r>
        <w:rPr>
          <w:rFonts w:cs="Times New Roman"/>
        </w:rPr>
        <w:t>师</w:t>
      </w:r>
      <w:r>
        <w:rPr>
          <w:rFonts w:cs="Times New Roman"/>
        </w:rPr>
        <w:t>图木舒克</w:t>
      </w:r>
      <w:r>
        <w:rPr>
          <w:rFonts w:cs="Times New Roman"/>
        </w:rPr>
        <w:t>市建设区和农田区，由于人类活动干扰大，无国家或自治区级保护的野生动物出没。根据收集资料，评价区域野生动物主要以兽类啮齿类动物为主，鸟类有麻雀、燕子、喜鹊、乌鸦等，种类和数量较少。</w:t>
      </w:r>
    </w:p>
    <w:p w:rsidR="00A46452" w:rsidRDefault="009A3928">
      <w:pPr>
        <w:ind w:firstLine="480"/>
        <w:rPr>
          <w:rFonts w:cs="Times New Roman"/>
          <w:kern w:val="0"/>
          <w:szCs w:val="24"/>
          <w:lang w:bidi="ar"/>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kern w:val="0"/>
          <w:szCs w:val="24"/>
          <w:lang w:bidi="ar"/>
        </w:rPr>
        <w:t>K32+000</w:t>
      </w:r>
      <w:r>
        <w:rPr>
          <w:rFonts w:cs="Times New Roman"/>
          <w:kern w:val="0"/>
          <w:szCs w:val="24"/>
          <w:lang w:bidi="ar"/>
        </w:rPr>
        <w:t>～</w:t>
      </w:r>
      <w:r>
        <w:rPr>
          <w:rFonts w:cs="Times New Roman"/>
          <w:kern w:val="0"/>
          <w:szCs w:val="24"/>
          <w:lang w:bidi="ar"/>
        </w:rPr>
        <w:t>K43+500</w:t>
      </w:r>
      <w:r>
        <w:rPr>
          <w:rFonts w:cs="Times New Roman"/>
          <w:kern w:val="0"/>
          <w:szCs w:val="24"/>
          <w:lang w:bidi="ar"/>
        </w:rPr>
        <w:t>段</w:t>
      </w:r>
    </w:p>
    <w:p w:rsidR="00A46452" w:rsidRDefault="009A3928">
      <w:pPr>
        <w:ind w:firstLine="480"/>
        <w:rPr>
          <w:rFonts w:cs="Times New Roman"/>
        </w:rPr>
      </w:pPr>
      <w:r>
        <w:rPr>
          <w:rFonts w:cs="Times New Roman"/>
        </w:rPr>
        <w:t>该路段位于</w:t>
      </w:r>
      <w:r>
        <w:rPr>
          <w:rFonts w:cs="Times New Roman"/>
        </w:rPr>
        <w:t>巴楚县</w:t>
      </w:r>
      <w:r>
        <w:rPr>
          <w:rFonts w:cs="Times New Roman"/>
        </w:rPr>
        <w:t>荒漠区，属于</w:t>
      </w:r>
      <w:r>
        <w:rPr>
          <w:rFonts w:cs="Times New Roman"/>
        </w:rPr>
        <w:t>风积沙漠区</w:t>
      </w:r>
      <w:r>
        <w:rPr>
          <w:rFonts w:cs="Times New Roman"/>
        </w:rPr>
        <w:t>，该段地形较平坦，地势开阔，地表植被以芦苇</w:t>
      </w:r>
      <w:r>
        <w:rPr>
          <w:rFonts w:cs="Times New Roman"/>
        </w:rPr>
        <w:t>和柽柳</w:t>
      </w:r>
      <w:r>
        <w:rPr>
          <w:rFonts w:cs="Times New Roman"/>
        </w:rPr>
        <w:t>等为主</w:t>
      </w:r>
      <w:r>
        <w:rPr>
          <w:rFonts w:cs="Times New Roman"/>
        </w:rPr>
        <w:t>，</w:t>
      </w:r>
      <w:r>
        <w:rPr>
          <w:rFonts w:cs="Times New Roman"/>
        </w:rPr>
        <w:t>植被覆盖度＜</w:t>
      </w:r>
      <w:r>
        <w:rPr>
          <w:rFonts w:cs="Times New Roman"/>
        </w:rPr>
        <w:t>10%</w:t>
      </w:r>
      <w:r>
        <w:rPr>
          <w:rFonts w:cs="Times New Roman"/>
        </w:rPr>
        <w:t>。由于人类活动干扰大，无国家或自治区级保护的野生动物出没。根据收集资料，评价区域野生动物主要以兽类啮齿类动物为主，鸟类有麻雀、燕子、喜鹊、乌鸦等，种类和数量较少</w:t>
      </w:r>
      <w:r>
        <w:rPr>
          <w:rFonts w:cs="Times New Roman"/>
        </w:rPr>
        <w:t>，</w:t>
      </w:r>
      <w:r>
        <w:rPr>
          <w:rFonts w:cs="Times New Roman"/>
        </w:rPr>
        <w:t>爬行类有荒漠麻蜥和南疆沙蜥</w:t>
      </w:r>
      <w:r>
        <w:rPr>
          <w:rFonts w:cs="Times New Roman"/>
        </w:rPr>
        <w:t>。</w:t>
      </w:r>
    </w:p>
    <w:p w:rsidR="00A46452" w:rsidRDefault="009A3928">
      <w:pPr>
        <w:adjustRightInd w:val="0"/>
        <w:snapToGrid w:val="0"/>
        <w:ind w:firstLine="480"/>
        <w:rPr>
          <w:rFonts w:cs="Times New Roman"/>
          <w:kern w:val="0"/>
          <w:szCs w:val="24"/>
          <w:lang w:bidi="ar"/>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fldChar w:fldCharType="end"/>
      </w:r>
      <w:r>
        <w:rPr>
          <w:rFonts w:cs="Times New Roman"/>
          <w:kern w:val="0"/>
          <w:szCs w:val="24"/>
          <w:lang w:bidi="ar"/>
        </w:rPr>
        <w:t>K43+500</w:t>
      </w:r>
      <w:r>
        <w:rPr>
          <w:rFonts w:cs="Times New Roman"/>
          <w:kern w:val="0"/>
          <w:szCs w:val="24"/>
          <w:lang w:bidi="ar"/>
        </w:rPr>
        <w:t>～</w:t>
      </w:r>
      <w:r>
        <w:rPr>
          <w:rFonts w:cs="Times New Roman"/>
          <w:kern w:val="0"/>
          <w:szCs w:val="24"/>
          <w:lang w:bidi="ar"/>
        </w:rPr>
        <w:t>K61+300</w:t>
      </w:r>
      <w:r>
        <w:rPr>
          <w:rFonts w:cs="Times New Roman"/>
          <w:kern w:val="0"/>
          <w:szCs w:val="24"/>
          <w:lang w:bidi="ar"/>
        </w:rPr>
        <w:t>段</w:t>
      </w:r>
    </w:p>
    <w:p w:rsidR="00A46452" w:rsidRDefault="009A3928">
      <w:pPr>
        <w:adjustRightInd w:val="0"/>
        <w:snapToGrid w:val="0"/>
        <w:ind w:firstLine="480"/>
        <w:rPr>
          <w:rFonts w:cs="Times New Roman"/>
        </w:rPr>
      </w:pPr>
      <w:r>
        <w:rPr>
          <w:rFonts w:cs="Times New Roman"/>
          <w:kern w:val="0"/>
          <w:szCs w:val="24"/>
          <w:lang w:bidi="ar"/>
        </w:rPr>
        <w:t>该路段</w:t>
      </w:r>
      <w:r>
        <w:rPr>
          <w:rFonts w:cs="Times New Roman"/>
          <w:kern w:val="0"/>
          <w:szCs w:val="24"/>
          <w:lang w:bidi="ar"/>
        </w:rPr>
        <w:t>位于冲洪积细土平原区</w:t>
      </w:r>
      <w:r>
        <w:rPr>
          <w:rFonts w:cs="Times New Roman"/>
        </w:rPr>
        <w:t>，该区域春夏季多风，降水稀少，特别于沙丘植被稀少区域易产生风沙</w:t>
      </w:r>
      <w:r>
        <w:rPr>
          <w:rFonts w:cs="Times New Roman"/>
        </w:rPr>
        <w:t>掩盖</w:t>
      </w:r>
      <w:r>
        <w:rPr>
          <w:rFonts w:cs="Times New Roman"/>
        </w:rPr>
        <w:t>。微地貌主要有草灌丛平坦沙地、草灌丛固定沙丘、草灌丛半固定沙丘、流动沙丘等。</w:t>
      </w:r>
    </w:p>
    <w:p w:rsidR="00A46452" w:rsidRDefault="009A3928">
      <w:pPr>
        <w:adjustRightInd w:val="0"/>
        <w:snapToGrid w:val="0"/>
        <w:ind w:firstLine="480"/>
        <w:rPr>
          <w:rFonts w:cs="Times New Roman"/>
        </w:rPr>
      </w:pPr>
      <w:r>
        <w:rPr>
          <w:rFonts w:cs="Times New Roman"/>
        </w:rPr>
        <w:t>该段自然植被覆盖，主要有少量的芦苇、柽柳、骆驼刺等。植被覆盖度约为</w:t>
      </w:r>
      <w:r>
        <w:rPr>
          <w:rFonts w:cs="Times New Roman"/>
        </w:rPr>
        <w:t>5</w:t>
      </w:r>
      <w:r>
        <w:rPr>
          <w:rFonts w:cs="Times New Roman"/>
        </w:rPr>
        <w:t>%</w:t>
      </w:r>
      <w:r>
        <w:rPr>
          <w:rFonts w:cs="Times New Roman"/>
        </w:rPr>
        <w:t>～</w:t>
      </w:r>
      <w:r>
        <w:rPr>
          <w:rFonts w:cs="Times New Roman"/>
        </w:rPr>
        <w:t>15%</w:t>
      </w:r>
      <w:r>
        <w:rPr>
          <w:rFonts w:cs="Times New Roman"/>
        </w:rPr>
        <w:t>。根据收集资料，评价范围内的兽类中，以小型兽类为主体，其栖息生境十分广泛。其中有柽柳沙鼠、毛脚跳鼠、大沙鼠多生活于灌丛、荒漠林地处，鸟类有麻雀、乌鸦栖息在灌木林。</w:t>
      </w:r>
    </w:p>
    <w:p w:rsidR="00A46452" w:rsidRDefault="009A3928">
      <w:pPr>
        <w:adjustRightInd w:val="0"/>
        <w:snapToGrid w:val="0"/>
        <w:ind w:firstLine="480"/>
        <w:rPr>
          <w:rFonts w:cs="Times New Roman"/>
          <w:kern w:val="0"/>
          <w:szCs w:val="24"/>
          <w:lang w:bidi="ar"/>
        </w:rPr>
      </w:pPr>
      <w:r>
        <w:rPr>
          <w:rFonts w:cs="Times New Roman"/>
          <w:snapToGrid w:val="0"/>
        </w:rPr>
        <w:t>④</w:t>
      </w:r>
      <w:r>
        <w:rPr>
          <w:rFonts w:cs="Times New Roman"/>
          <w:kern w:val="0"/>
          <w:szCs w:val="24"/>
          <w:lang w:bidi="ar"/>
        </w:rPr>
        <w:t>K61+300</w:t>
      </w:r>
      <w:r>
        <w:rPr>
          <w:rFonts w:cs="Times New Roman"/>
          <w:kern w:val="0"/>
          <w:szCs w:val="24"/>
          <w:lang w:bidi="ar"/>
        </w:rPr>
        <w:t>～</w:t>
      </w:r>
      <w:r>
        <w:rPr>
          <w:rFonts w:cs="Times New Roman"/>
          <w:kern w:val="0"/>
          <w:szCs w:val="24"/>
          <w:lang w:bidi="ar"/>
        </w:rPr>
        <w:t>K86+960</w:t>
      </w:r>
      <w:r>
        <w:rPr>
          <w:rFonts w:cs="Times New Roman"/>
          <w:kern w:val="0"/>
          <w:szCs w:val="24"/>
          <w:lang w:bidi="ar"/>
        </w:rPr>
        <w:t>段</w:t>
      </w:r>
    </w:p>
    <w:p w:rsidR="00A46452" w:rsidRDefault="009A3928">
      <w:pPr>
        <w:adjustRightInd w:val="0"/>
        <w:snapToGrid w:val="0"/>
        <w:ind w:firstLine="480"/>
        <w:rPr>
          <w:rFonts w:cs="Times New Roman"/>
          <w:snapToGrid w:val="0"/>
          <w:lang w:val="zh-CN"/>
        </w:rPr>
      </w:pPr>
      <w:r>
        <w:rPr>
          <w:rFonts w:cs="Times New Roman"/>
        </w:rPr>
        <w:t>该路段位于</w:t>
      </w:r>
      <w:r>
        <w:rPr>
          <w:rFonts w:cs="Times New Roman"/>
          <w:kern w:val="0"/>
          <w:szCs w:val="24"/>
          <w:lang w:bidi="ar"/>
        </w:rPr>
        <w:t>柯坪山前倾斜砾质平原区</w:t>
      </w:r>
      <w:r>
        <w:rPr>
          <w:rFonts w:cs="Times New Roman"/>
        </w:rPr>
        <w:t>，</w:t>
      </w:r>
      <w:r>
        <w:rPr>
          <w:rFonts w:cs="Times New Roman"/>
        </w:rPr>
        <w:t>地</w:t>
      </w:r>
      <w:r>
        <w:rPr>
          <w:rFonts w:cs="Times New Roman"/>
          <w:kern w:val="0"/>
          <w:szCs w:val="24"/>
          <w:lang w:bidi="ar"/>
        </w:rPr>
        <w:t>形平坦开阔，沿线穿越荒地、耕地、</w:t>
      </w:r>
      <w:r>
        <w:rPr>
          <w:rFonts w:cs="Times New Roman"/>
          <w:kern w:val="0"/>
          <w:szCs w:val="24"/>
          <w:lang w:bidi="ar"/>
        </w:rPr>
        <w:t>柯坪河</w:t>
      </w:r>
      <w:r>
        <w:rPr>
          <w:rFonts w:cs="Times New Roman"/>
          <w:kern w:val="0"/>
          <w:szCs w:val="24"/>
          <w:lang w:bidi="ar"/>
        </w:rPr>
        <w:t>，部分为已建道路</w:t>
      </w:r>
      <w:r>
        <w:rPr>
          <w:rFonts w:cs="Times New Roman"/>
          <w:kern w:val="0"/>
          <w:szCs w:val="24"/>
          <w:lang w:bidi="ar"/>
        </w:rPr>
        <w:t>。</w:t>
      </w:r>
      <w:r>
        <w:rPr>
          <w:rFonts w:cs="Times New Roman"/>
        </w:rPr>
        <w:t>评价区域野生动物主要以兽类啮齿类动物为主，鸟类有麻雀、燕子、喜鹊</w:t>
      </w:r>
      <w:r>
        <w:rPr>
          <w:rFonts w:cs="Times New Roman"/>
        </w:rPr>
        <w:t>、乌鸦等，种类和数量较少。此外该路段在</w:t>
      </w:r>
      <w:r>
        <w:rPr>
          <w:rFonts w:cs="Times New Roman"/>
          <w:bCs/>
          <w:snapToGrid w:val="0"/>
        </w:rPr>
        <w:t>K</w:t>
      </w:r>
      <w:r>
        <w:rPr>
          <w:rFonts w:cs="Times New Roman"/>
          <w:bCs/>
          <w:snapToGrid w:val="0"/>
        </w:rPr>
        <w:t>81</w:t>
      </w:r>
      <w:r>
        <w:rPr>
          <w:rFonts w:cs="Times New Roman"/>
          <w:bCs/>
          <w:snapToGrid w:val="0"/>
        </w:rPr>
        <w:t>+</w:t>
      </w:r>
      <w:r>
        <w:rPr>
          <w:rFonts w:cs="Times New Roman"/>
          <w:bCs/>
          <w:snapToGrid w:val="0"/>
        </w:rPr>
        <w:t>115</w:t>
      </w:r>
      <w:r>
        <w:rPr>
          <w:rFonts w:cs="Times New Roman"/>
          <w:bCs/>
          <w:snapToGrid w:val="0"/>
        </w:rPr>
        <w:t>段</w:t>
      </w:r>
      <w:r>
        <w:rPr>
          <w:rFonts w:cs="Times New Roman"/>
        </w:rPr>
        <w:t>跨越了苏贝希沟</w:t>
      </w:r>
      <w:r>
        <w:rPr>
          <w:rFonts w:cs="Times New Roman"/>
        </w:rPr>
        <w:t>-</w:t>
      </w:r>
      <w:r>
        <w:rPr>
          <w:rFonts w:cs="Times New Roman"/>
        </w:rPr>
        <w:t>加依洛萨依河，河流的丰水期、平水期为</w:t>
      </w:r>
      <w:r>
        <w:rPr>
          <w:rFonts w:cs="Times New Roman"/>
        </w:rPr>
        <w:t>7</w:t>
      </w:r>
      <w:r>
        <w:rPr>
          <w:rFonts w:cs="Times New Roman"/>
        </w:rPr>
        <w:t>月</w:t>
      </w:r>
      <w:r>
        <w:rPr>
          <w:rFonts w:cs="Times New Roman"/>
        </w:rPr>
        <w:t>-9</w:t>
      </w:r>
      <w:r>
        <w:rPr>
          <w:rFonts w:cs="Times New Roman"/>
        </w:rPr>
        <w:t>月</w:t>
      </w:r>
      <w:r>
        <w:rPr>
          <w:rFonts w:cs="Times New Roman"/>
        </w:rPr>
        <w:t>，</w:t>
      </w:r>
      <w:r>
        <w:rPr>
          <w:rFonts w:cs="Times New Roman"/>
        </w:rPr>
        <w:t>项目区施工河段无鱼类三场分布。</w:t>
      </w:r>
    </w:p>
    <w:p w:rsidR="00A46452" w:rsidRDefault="009A3928">
      <w:pPr>
        <w:adjustRightInd w:val="0"/>
        <w:snapToGrid w:val="0"/>
        <w:ind w:firstLine="480"/>
        <w:rPr>
          <w:rFonts w:cs="Times New Roman"/>
          <w:kern w:val="0"/>
          <w:szCs w:val="24"/>
          <w:lang w:bidi="ar"/>
        </w:rPr>
      </w:pPr>
      <w:r>
        <w:rPr>
          <w:rFonts w:cs="Times New Roman"/>
          <w:snapToGrid w:val="0"/>
          <w:lang w:val="zh-CN"/>
        </w:rPr>
        <w:fldChar w:fldCharType="begin"/>
      </w:r>
      <w:r>
        <w:rPr>
          <w:rFonts w:cs="Times New Roman"/>
          <w:snapToGrid w:val="0"/>
          <w:lang w:val="zh-CN"/>
        </w:rPr>
        <w:instrText xml:space="preserve"> = 5 \* GB3 </w:instrText>
      </w:r>
      <w:r>
        <w:rPr>
          <w:rFonts w:cs="Times New Roman"/>
          <w:snapToGrid w:val="0"/>
          <w:lang w:val="zh-CN"/>
        </w:rPr>
        <w:fldChar w:fldCharType="separate"/>
      </w:r>
      <w:r>
        <w:rPr>
          <w:rFonts w:cs="Times New Roman"/>
          <w:snapToGrid w:val="0"/>
          <w:lang w:val="zh-CN"/>
        </w:rPr>
        <w:t>⑤</w:t>
      </w:r>
      <w:r>
        <w:rPr>
          <w:rFonts w:cs="Times New Roman"/>
          <w:snapToGrid w:val="0"/>
          <w:lang w:val="zh-CN"/>
        </w:rPr>
        <w:fldChar w:fldCharType="end"/>
      </w:r>
      <w:r>
        <w:rPr>
          <w:rFonts w:cs="Times New Roman"/>
          <w:kern w:val="0"/>
          <w:szCs w:val="24"/>
          <w:lang w:bidi="ar"/>
        </w:rPr>
        <w:t>K86+960</w:t>
      </w:r>
      <w:r>
        <w:rPr>
          <w:rFonts w:cs="Times New Roman"/>
          <w:kern w:val="0"/>
          <w:szCs w:val="24"/>
          <w:lang w:bidi="ar"/>
        </w:rPr>
        <w:t>～</w:t>
      </w:r>
      <w:r>
        <w:rPr>
          <w:rFonts w:cs="Times New Roman"/>
          <w:kern w:val="0"/>
          <w:szCs w:val="24"/>
          <w:lang w:bidi="ar"/>
        </w:rPr>
        <w:t>K107+177</w:t>
      </w:r>
      <w:r>
        <w:rPr>
          <w:rFonts w:cs="Times New Roman"/>
          <w:kern w:val="0"/>
          <w:szCs w:val="24"/>
          <w:lang w:bidi="ar"/>
        </w:rPr>
        <w:t>段</w:t>
      </w:r>
    </w:p>
    <w:p w:rsidR="00A46452" w:rsidRDefault="009A3928">
      <w:pPr>
        <w:adjustRightInd w:val="0"/>
        <w:snapToGrid w:val="0"/>
        <w:ind w:firstLine="480"/>
        <w:rPr>
          <w:rFonts w:cs="Times New Roman"/>
        </w:rPr>
      </w:pPr>
      <w:r>
        <w:rPr>
          <w:rFonts w:cs="Times New Roman"/>
        </w:rPr>
        <w:t>该路段</w:t>
      </w:r>
      <w:r>
        <w:rPr>
          <w:rFonts w:cs="Times New Roman"/>
        </w:rPr>
        <w:t>位于</w:t>
      </w:r>
      <w:r>
        <w:rPr>
          <w:rFonts w:cs="Times New Roman"/>
          <w:kern w:val="0"/>
          <w:szCs w:val="24"/>
          <w:lang w:bidi="ar"/>
        </w:rPr>
        <w:t>柯坪山前冲洪积扇区</w:t>
      </w:r>
      <w:r>
        <w:rPr>
          <w:rFonts w:cs="Times New Roman"/>
        </w:rPr>
        <w:t>，</w:t>
      </w:r>
      <w:r>
        <w:rPr>
          <w:rFonts w:cs="Times New Roman"/>
          <w:kern w:val="0"/>
          <w:szCs w:val="24"/>
          <w:lang w:bidi="ar"/>
        </w:rPr>
        <w:t>沿线现状路旁侧绿化林带及若干冲沟</w:t>
      </w:r>
      <w:r>
        <w:rPr>
          <w:rFonts w:cs="Times New Roman"/>
        </w:rPr>
        <w:t>。根据收集资料，评价区域野生动物主要以兽类啮齿类动物为主，鸟类有麻雀、燕子、喜鹊、乌鸦等，种类和数量较少。</w:t>
      </w:r>
    </w:p>
    <w:p w:rsidR="00A46452" w:rsidRDefault="009A3928">
      <w:pPr>
        <w:pStyle w:val="42"/>
        <w:spacing w:before="156" w:after="156"/>
        <w:rPr>
          <w:rFonts w:cs="Times New Roman" w:hint="default"/>
          <w:iCs/>
        </w:rPr>
      </w:pPr>
      <w:r>
        <w:rPr>
          <w:rFonts w:cs="Times New Roman" w:hint="default"/>
          <w:iCs/>
        </w:rPr>
        <w:t>6</w:t>
      </w:r>
      <w:r>
        <w:rPr>
          <w:rFonts w:cs="Times New Roman" w:hint="default"/>
          <w:iCs/>
        </w:rPr>
        <w:t>.2.6.4</w:t>
      </w:r>
      <w:r>
        <w:rPr>
          <w:rFonts w:cs="Times New Roman" w:hint="default"/>
          <w:iCs/>
        </w:rPr>
        <w:t>调查区重点保护野生动物</w:t>
      </w:r>
    </w:p>
    <w:p w:rsidR="00A46452" w:rsidRDefault="009A3928">
      <w:pPr>
        <w:adjustRightInd w:val="0"/>
        <w:snapToGrid w:val="0"/>
        <w:ind w:firstLine="480"/>
        <w:rPr>
          <w:rFonts w:cs="Times New Roman"/>
          <w:snapToGrid w:val="0"/>
          <w:lang w:val="zh-CN"/>
        </w:rPr>
      </w:pPr>
      <w:r>
        <w:rPr>
          <w:rFonts w:cs="Times New Roman"/>
          <w:snapToGrid w:val="0"/>
          <w:lang w:val="zh-CN"/>
        </w:rPr>
        <w:t>根据《国家重点保护野生动物名录》（国家林业和草原局、农业农村部</w:t>
      </w:r>
      <w:r>
        <w:rPr>
          <w:rFonts w:cs="Times New Roman"/>
          <w:snapToGrid w:val="0"/>
          <w:lang w:val="zh-CN"/>
        </w:rPr>
        <w:t>2021</w:t>
      </w:r>
      <w:r>
        <w:rPr>
          <w:rFonts w:cs="Times New Roman"/>
          <w:snapToGrid w:val="0"/>
          <w:lang w:val="zh-CN"/>
        </w:rPr>
        <w:t>年第</w:t>
      </w:r>
      <w:r>
        <w:rPr>
          <w:rFonts w:cs="Times New Roman"/>
          <w:snapToGrid w:val="0"/>
          <w:lang w:val="zh-CN"/>
        </w:rPr>
        <w:t>3</w:t>
      </w:r>
      <w:r>
        <w:rPr>
          <w:rFonts w:cs="Times New Roman"/>
          <w:snapToGrid w:val="0"/>
          <w:lang w:val="zh-CN"/>
        </w:rPr>
        <w:t>号）、《新疆国家重点保护野生动物名录》《新疆维吾尔自治区重点保护野生动物名录（修正）》（新政发〔</w:t>
      </w:r>
      <w:r>
        <w:rPr>
          <w:rFonts w:cs="Times New Roman"/>
          <w:snapToGrid w:val="0"/>
          <w:lang w:val="zh-CN"/>
        </w:rPr>
        <w:t>2022</w:t>
      </w:r>
      <w:r>
        <w:rPr>
          <w:rFonts w:cs="Times New Roman"/>
          <w:snapToGrid w:val="0"/>
          <w:lang w:val="zh-CN"/>
        </w:rPr>
        <w:t>〕</w:t>
      </w:r>
      <w:r>
        <w:rPr>
          <w:rFonts w:cs="Times New Roman"/>
          <w:snapToGrid w:val="0"/>
          <w:lang w:val="zh-CN"/>
        </w:rPr>
        <w:t>75</w:t>
      </w:r>
      <w:r>
        <w:rPr>
          <w:rFonts w:cs="Times New Roman"/>
          <w:snapToGrid w:val="0"/>
          <w:lang w:val="zh-CN"/>
        </w:rPr>
        <w:t>号）、《有重要生态、科学、社会价值的陆生野生动物名录》（国家林业和草原局公告</w:t>
      </w:r>
      <w:r>
        <w:rPr>
          <w:rFonts w:cs="Times New Roman"/>
          <w:snapToGrid w:val="0"/>
          <w:lang w:val="zh-CN"/>
        </w:rPr>
        <w:t>2023</w:t>
      </w:r>
      <w:r>
        <w:rPr>
          <w:rFonts w:cs="Times New Roman"/>
          <w:snapToGrid w:val="0"/>
          <w:lang w:val="zh-CN"/>
        </w:rPr>
        <w:t>年第</w:t>
      </w:r>
      <w:r>
        <w:rPr>
          <w:rFonts w:cs="Times New Roman"/>
          <w:snapToGrid w:val="0"/>
          <w:lang w:val="zh-CN"/>
        </w:rPr>
        <w:t>17</w:t>
      </w:r>
      <w:r>
        <w:rPr>
          <w:rFonts w:cs="Times New Roman"/>
          <w:snapToGrid w:val="0"/>
          <w:lang w:val="zh-CN"/>
        </w:rPr>
        <w:t>号），评价区域常见重点保护动物</w:t>
      </w:r>
      <w:r>
        <w:rPr>
          <w:rFonts w:cs="Times New Roman"/>
          <w:snapToGrid w:val="0"/>
        </w:rPr>
        <w:t>9</w:t>
      </w:r>
      <w:r>
        <w:rPr>
          <w:rFonts w:cs="Times New Roman"/>
          <w:snapToGrid w:val="0"/>
          <w:lang w:val="zh-CN"/>
        </w:rPr>
        <w:t>种（</w:t>
      </w:r>
      <w:r>
        <w:rPr>
          <w:rFonts w:cs="Times New Roman"/>
          <w:snapToGrid w:val="0"/>
        </w:rPr>
        <w:t>塔里木兔、</w:t>
      </w:r>
      <w:r>
        <w:rPr>
          <w:rFonts w:cs="Times New Roman"/>
          <w:snapToGrid w:val="0"/>
          <w:lang w:val="zh-CN"/>
        </w:rPr>
        <w:t>鹅喉羚、鸢、苍鹰、红隼、沙狐、赤狐、黑鹳、蓝胸佛法僧），见表</w:t>
      </w:r>
      <w:r>
        <w:rPr>
          <w:rFonts w:cs="Times New Roman" w:hint="eastAsia"/>
          <w:snapToGrid w:val="0"/>
        </w:rPr>
        <w:t>6</w:t>
      </w:r>
      <w:r>
        <w:rPr>
          <w:rFonts w:cs="Times New Roman"/>
          <w:snapToGrid w:val="0"/>
        </w:rPr>
        <w:t>.2-1</w:t>
      </w:r>
      <w:r>
        <w:rPr>
          <w:rFonts w:cs="Times New Roman" w:hint="eastAsia"/>
          <w:snapToGrid w:val="0"/>
        </w:rPr>
        <w:t>3</w:t>
      </w:r>
      <w:r>
        <w:rPr>
          <w:rFonts w:cs="Times New Roman"/>
          <w:snapToGrid w:val="0"/>
          <w:lang w:val="zh-CN"/>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3</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区域重点保护野生动物情况</w:t>
      </w:r>
    </w:p>
    <w:tbl>
      <w:tblPr>
        <w:tblStyle w:val="TableNormal"/>
        <w:tblW w:w="845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18"/>
        <w:gridCol w:w="1504"/>
        <w:gridCol w:w="914"/>
        <w:gridCol w:w="488"/>
        <w:gridCol w:w="700"/>
        <w:gridCol w:w="3042"/>
        <w:gridCol w:w="755"/>
        <w:gridCol w:w="736"/>
      </w:tblGrid>
      <w:tr w:rsidR="00A46452">
        <w:trPr>
          <w:trHeight w:val="559"/>
          <w:jc w:val="center"/>
        </w:trPr>
        <w:tc>
          <w:tcPr>
            <w:tcW w:w="31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序号</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2"/>
                <w:sz w:val="18"/>
                <w:szCs w:val="18"/>
                <w:lang w:eastAsia="zh-CN"/>
              </w:rPr>
              <w:t>物种名称</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2"/>
                <w:sz w:val="18"/>
                <w:szCs w:val="18"/>
                <w:lang w:eastAsia="zh-CN"/>
              </w:rPr>
              <w:t>（中文名</w:t>
            </w:r>
            <w:r>
              <w:rPr>
                <w:rFonts w:eastAsiaTheme="minorEastAsia"/>
                <w:spacing w:val="-2"/>
                <w:sz w:val="18"/>
                <w:szCs w:val="18"/>
                <w:lang w:eastAsia="zh-CN"/>
              </w:rPr>
              <w:t>/</w:t>
            </w:r>
            <w:r>
              <w:rPr>
                <w:rFonts w:eastAsiaTheme="minorEastAsia"/>
                <w:spacing w:val="-2"/>
                <w:sz w:val="18"/>
                <w:szCs w:val="18"/>
                <w:lang w:eastAsia="zh-CN"/>
              </w:rPr>
              <w:t>拉丁名）</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4"/>
                <w:sz w:val="18"/>
                <w:szCs w:val="18"/>
              </w:rPr>
              <w:t>保护</w:t>
            </w:r>
            <w:r>
              <w:rPr>
                <w:rFonts w:eastAsiaTheme="minorEastAsia"/>
                <w:spacing w:val="-5"/>
                <w:sz w:val="18"/>
                <w:szCs w:val="18"/>
              </w:rPr>
              <w:t>级别</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濒危等级</w:t>
            </w:r>
          </w:p>
        </w:tc>
        <w:tc>
          <w:tcPr>
            <w:tcW w:w="700" w:type="dxa"/>
            <w:tcBorders>
              <w:tl2br w:val="nil"/>
              <w:tr2bl w:val="nil"/>
            </w:tcBorders>
            <w:vAlign w:val="center"/>
          </w:tcPr>
          <w:p w:rsidR="00A46452" w:rsidRDefault="009A3928">
            <w:pPr>
              <w:pStyle w:val="TableText"/>
              <w:tabs>
                <w:tab w:val="left" w:pos="108"/>
              </w:tabs>
              <w:wordWrap w:val="0"/>
              <w:spacing w:line="240" w:lineRule="exact"/>
              <w:ind w:firstLineChars="0" w:firstLine="0"/>
              <w:jc w:val="center"/>
              <w:rPr>
                <w:rFonts w:eastAsiaTheme="minorEastAsia"/>
                <w:sz w:val="18"/>
                <w:szCs w:val="18"/>
              </w:rPr>
            </w:pPr>
            <w:r>
              <w:rPr>
                <w:rFonts w:eastAsiaTheme="minorEastAsia"/>
                <w:spacing w:val="-4"/>
                <w:sz w:val="18"/>
                <w:szCs w:val="18"/>
              </w:rPr>
              <w:t>特有</w:t>
            </w:r>
            <w:r>
              <w:rPr>
                <w:rFonts w:eastAsiaTheme="minorEastAsia"/>
                <w:spacing w:val="-5"/>
                <w:sz w:val="18"/>
                <w:szCs w:val="18"/>
              </w:rPr>
              <w:t>种（是</w:t>
            </w:r>
            <w:r>
              <w:rPr>
                <w:rFonts w:eastAsiaTheme="minorEastAsia"/>
                <w:spacing w:val="-1"/>
                <w:sz w:val="18"/>
                <w:szCs w:val="18"/>
              </w:rPr>
              <w:t>/</w:t>
            </w:r>
            <w:r>
              <w:rPr>
                <w:rFonts w:eastAsiaTheme="minorEastAsia"/>
                <w:spacing w:val="-1"/>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2"/>
                <w:sz w:val="18"/>
                <w:szCs w:val="18"/>
              </w:rPr>
              <w:t>生态学特征</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5"/>
                <w:sz w:val="18"/>
                <w:szCs w:val="18"/>
              </w:rPr>
              <w:t>资料来</w:t>
            </w:r>
            <w:r>
              <w:rPr>
                <w:rFonts w:eastAsiaTheme="minorEastAsia"/>
                <w:sz w:val="18"/>
                <w:szCs w:val="18"/>
              </w:rPr>
              <w:t xml:space="preserve"> </w:t>
            </w:r>
            <w:r>
              <w:rPr>
                <w:rFonts w:eastAsiaTheme="minorEastAsia"/>
                <w:sz w:val="18"/>
                <w:szCs w:val="18"/>
              </w:rPr>
              <w:t>源</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4"/>
                <w:sz w:val="18"/>
                <w:szCs w:val="18"/>
                <w:lang w:eastAsia="zh-CN"/>
              </w:rPr>
              <w:t>工程</w:t>
            </w:r>
            <w:r>
              <w:rPr>
                <w:rFonts w:eastAsiaTheme="minorEastAsia"/>
                <w:spacing w:val="-4"/>
                <w:sz w:val="18"/>
                <w:szCs w:val="18"/>
                <w:lang w:eastAsia="zh-CN"/>
              </w:rPr>
              <w:t>涉及</w:t>
            </w:r>
            <w:r>
              <w:rPr>
                <w:rFonts w:eastAsiaTheme="minorEastAsia"/>
                <w:spacing w:val="-3"/>
                <w:sz w:val="18"/>
                <w:szCs w:val="18"/>
                <w:lang w:eastAsia="zh-CN"/>
              </w:rPr>
              <w:t>情况</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6"/>
                <w:sz w:val="18"/>
                <w:szCs w:val="18"/>
                <w:lang w:eastAsia="zh-CN"/>
              </w:rPr>
              <w:t>（是</w:t>
            </w:r>
            <w:r>
              <w:rPr>
                <w:rFonts w:eastAsiaTheme="minorEastAsia"/>
                <w:spacing w:val="-6"/>
                <w:sz w:val="18"/>
                <w:szCs w:val="18"/>
                <w:lang w:eastAsia="zh-CN"/>
              </w:rPr>
              <w:t>/</w:t>
            </w:r>
            <w:r>
              <w:rPr>
                <w:rFonts w:eastAsiaTheme="minorEastAsia"/>
                <w:spacing w:val="-7"/>
                <w:sz w:val="18"/>
                <w:szCs w:val="18"/>
                <w:lang w:eastAsia="zh-CN"/>
              </w:rPr>
              <w:t>否）</w:t>
            </w:r>
          </w:p>
        </w:tc>
      </w:tr>
      <w:tr w:rsidR="00A46452">
        <w:trPr>
          <w:trHeight w:val="494"/>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rPr>
              <w:t>1</w:t>
            </w:r>
            <w:r>
              <w:rPr>
                <w:rFonts w:eastAsiaTheme="minorEastAsia" w:cs="Times New Roman"/>
                <w:sz w:val="18"/>
                <w:szCs w:val="18"/>
                <w:lang w:eastAsia="en-US"/>
              </w:rPr>
              <w:t>1</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2"/>
                <w:sz w:val="18"/>
                <w:szCs w:val="18"/>
              </w:rPr>
              <w:t>塔里木兔</w:t>
            </w:r>
          </w:p>
          <w:p w:rsidR="00A46452" w:rsidRDefault="009A3928">
            <w:pPr>
              <w:wordWrap w:val="0"/>
              <w:spacing w:line="240" w:lineRule="exact"/>
              <w:ind w:firstLineChars="0" w:firstLine="0"/>
              <w:jc w:val="center"/>
              <w:rPr>
                <w:rFonts w:eastAsiaTheme="minorEastAsia" w:cs="Times New Roman"/>
                <w:spacing w:val="-13"/>
                <w:position w:val="2"/>
                <w:sz w:val="18"/>
                <w:szCs w:val="18"/>
              </w:rPr>
            </w:pPr>
            <w:r>
              <w:rPr>
                <w:rFonts w:eastAsiaTheme="minorEastAsia" w:cs="Times New Roman"/>
                <w:i/>
                <w:iCs/>
                <w:spacing w:val="-4"/>
                <w:position w:val="2"/>
                <w:sz w:val="18"/>
                <w:szCs w:val="18"/>
                <w:lang w:eastAsia="en-US"/>
              </w:rPr>
              <w:t>Lepusyarkandensis</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3"/>
                <w:sz w:val="18"/>
                <w:szCs w:val="18"/>
              </w:rPr>
            </w:pPr>
            <w:r>
              <w:rPr>
                <w:rFonts w:eastAsiaTheme="minorEastAsia"/>
                <w:spacing w:val="-13"/>
                <w:sz w:val="18"/>
                <w:szCs w:val="18"/>
              </w:rPr>
              <w:t>国家</w:t>
            </w:r>
            <w:r>
              <w:rPr>
                <w:rFonts w:eastAsiaTheme="minorEastAsia"/>
                <w:sz w:val="18"/>
                <w:szCs w:val="18"/>
              </w:rPr>
              <w:t xml:space="preserve"> </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textDirection w:val="tbRlV"/>
            <w:vAlign w:val="center"/>
          </w:tcPr>
          <w:p w:rsidR="00A46452" w:rsidRDefault="009A3928">
            <w:pPr>
              <w:pStyle w:val="TableText"/>
              <w:wordWrap w:val="0"/>
              <w:spacing w:line="240" w:lineRule="exact"/>
              <w:ind w:firstLineChars="0" w:firstLine="0"/>
              <w:jc w:val="center"/>
              <w:rPr>
                <w:rFonts w:eastAsiaTheme="minorEastAsia"/>
                <w:spacing w:val="-1"/>
                <w:sz w:val="18"/>
                <w:szCs w:val="18"/>
              </w:rPr>
            </w:pPr>
            <w:r>
              <w:rPr>
                <w:rFonts w:eastAsiaTheme="minorEastAsia"/>
                <w:spacing w:val="-1"/>
                <w:sz w:val="18"/>
                <w:szCs w:val="18"/>
              </w:rPr>
              <w:t>近</w:t>
            </w:r>
            <w:r>
              <w:rPr>
                <w:rFonts w:eastAsiaTheme="minorEastAsia"/>
                <w:spacing w:val="31"/>
                <w:sz w:val="18"/>
                <w:szCs w:val="18"/>
              </w:rPr>
              <w:t xml:space="preserve"> </w:t>
            </w:r>
            <w:r>
              <w:rPr>
                <w:rFonts w:eastAsiaTheme="minorEastAsia"/>
                <w:spacing w:val="-1"/>
                <w:sz w:val="18"/>
                <w:szCs w:val="18"/>
              </w:rPr>
              <w:t>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是</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pacing w:val="-1"/>
                <w:sz w:val="18"/>
                <w:szCs w:val="18"/>
                <w:lang w:eastAsia="zh-CN"/>
              </w:rPr>
            </w:pPr>
            <w:r>
              <w:rPr>
                <w:rFonts w:eastAsiaTheme="minorEastAsia"/>
                <w:spacing w:val="-1"/>
                <w:sz w:val="18"/>
                <w:szCs w:val="18"/>
                <w:lang w:eastAsia="zh-CN"/>
              </w:rPr>
              <w:t>栖息在塔里木盆地海拔</w:t>
            </w:r>
            <w:r>
              <w:rPr>
                <w:rFonts w:eastAsiaTheme="minorEastAsia"/>
                <w:spacing w:val="-1"/>
                <w:sz w:val="18"/>
                <w:szCs w:val="18"/>
                <w:lang w:eastAsia="zh-CN"/>
              </w:rPr>
              <w:t>900~1200m</w:t>
            </w:r>
            <w:r>
              <w:rPr>
                <w:rFonts w:eastAsiaTheme="minorEastAsia"/>
                <w:spacing w:val="-1"/>
                <w:sz w:val="18"/>
                <w:szCs w:val="18"/>
                <w:lang w:eastAsia="zh-CN"/>
              </w:rPr>
              <w:t>的河流和罗布泊附近，以及沿河两岸的胡杨和红柳林中、盆地中央的塔克拉玛干沙漠四周的半沙漠草原和塔里木河河水泛滥地区等，一般在早晨和黄昏活动，大多活动在长有红柳的松软沙丘地带，挖掘芦苇、罗布麻、甘草、骆驼刺等植物的根为食</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3"/>
                <w:sz w:val="18"/>
                <w:szCs w:val="18"/>
                <w:lang w:eastAsia="zh-CN"/>
              </w:rPr>
              <w:t>现场调</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20"/>
                <w:sz w:val="18"/>
                <w:szCs w:val="18"/>
                <w:lang w:eastAsia="zh-CN"/>
              </w:rPr>
              <w:t>查、历史</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3"/>
                <w:sz w:val="18"/>
                <w:szCs w:val="18"/>
                <w:lang w:eastAsia="zh-CN"/>
              </w:rPr>
              <w:t>调查资</w:t>
            </w:r>
          </w:p>
          <w:p w:rsidR="00A46452" w:rsidRDefault="009A3928">
            <w:pPr>
              <w:pStyle w:val="TableText"/>
              <w:wordWrap w:val="0"/>
              <w:spacing w:line="240" w:lineRule="exact"/>
              <w:ind w:firstLineChars="0" w:firstLine="0"/>
              <w:jc w:val="center"/>
              <w:rPr>
                <w:rFonts w:eastAsiaTheme="minorEastAsia"/>
                <w:spacing w:val="-4"/>
                <w:sz w:val="18"/>
                <w:szCs w:val="18"/>
              </w:rPr>
            </w:pPr>
            <w:r>
              <w:rPr>
                <w:rFonts w:eastAsiaTheme="minorEastAsia"/>
                <w:sz w:val="18"/>
                <w:szCs w:val="18"/>
                <w:lang w:eastAsia="zh-CN"/>
              </w:rPr>
              <w:t>料</w:t>
            </w:r>
          </w:p>
        </w:tc>
        <w:tc>
          <w:tcPr>
            <w:tcW w:w="736" w:type="dxa"/>
            <w:tcBorders>
              <w:tl2br w:val="nil"/>
              <w:tr2bl w:val="nil"/>
            </w:tcBorders>
            <w:vAlign w:val="center"/>
          </w:tcPr>
          <w:p w:rsidR="00A46452" w:rsidRDefault="00A46452">
            <w:pPr>
              <w:wordWrap w:val="0"/>
              <w:spacing w:line="240" w:lineRule="exact"/>
              <w:ind w:firstLineChars="0" w:firstLine="0"/>
              <w:jc w:val="center"/>
              <w:rPr>
                <w:rFonts w:eastAsiaTheme="minorEastAsia" w:cs="Times New Roman"/>
                <w:sz w:val="18"/>
                <w:szCs w:val="18"/>
              </w:rPr>
            </w:pPr>
          </w:p>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254"/>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2</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4"/>
                <w:position w:val="2"/>
                <w:sz w:val="18"/>
                <w:szCs w:val="18"/>
              </w:rPr>
            </w:pPr>
            <w:r>
              <w:rPr>
                <w:rFonts w:eastAsiaTheme="minorEastAsia"/>
                <w:spacing w:val="-4"/>
                <w:position w:val="2"/>
                <w:sz w:val="18"/>
                <w:szCs w:val="18"/>
              </w:rPr>
              <w:t>赤狐</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13"/>
                <w:position w:val="2"/>
                <w:sz w:val="18"/>
                <w:szCs w:val="18"/>
                <w:lang w:eastAsia="zh-CN"/>
              </w:rPr>
              <w:t>（</w:t>
            </w:r>
            <w:r>
              <w:rPr>
                <w:rFonts w:eastAsiaTheme="minorEastAsia"/>
                <w:i/>
                <w:iCs/>
                <w:spacing w:val="-4"/>
                <w:position w:val="2"/>
                <w:sz w:val="18"/>
                <w:szCs w:val="18"/>
              </w:rPr>
              <w:t>Vulpes vulpes</w:t>
            </w:r>
            <w:r>
              <w:rPr>
                <w:rFonts w:eastAsiaTheme="minorEastAsia"/>
                <w:i/>
                <w:iCs/>
                <w:spacing w:val="-4"/>
                <w:position w:val="2"/>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近危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lang w:eastAsia="zh-CN"/>
              </w:rPr>
            </w:pPr>
            <w:r>
              <w:rPr>
                <w:rFonts w:eastAsiaTheme="minorEastAsia"/>
                <w:spacing w:val="-1"/>
                <w:sz w:val="18"/>
                <w:szCs w:val="18"/>
                <w:lang w:eastAsia="zh-CN"/>
              </w:rPr>
              <w:t>主要栖息于干草原、荒漠和半荒漠地带，远离农田、森林和灌木丛，喜欢在草原和半沙漠中生活。一般居于其他动物的弃洞、土穴、树洞中，夜行性。以啮齿类动物为主要食物，鸟类</w:t>
            </w:r>
            <w:r>
              <w:rPr>
                <w:rFonts w:eastAsiaTheme="minorEastAsia"/>
                <w:spacing w:val="-2"/>
                <w:sz w:val="18"/>
                <w:szCs w:val="18"/>
                <w:lang w:eastAsia="zh-CN"/>
              </w:rPr>
              <w:t>和昆虫次之。赤狐往往是几只住在一个洞穴，其中包括一雌数雄，并且每个狐群有赤狐一定的领域</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4"/>
                <w:sz w:val="18"/>
                <w:szCs w:val="18"/>
              </w:rPr>
              <w:t>历史调查资料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905"/>
          <w:jc w:val="center"/>
        </w:trPr>
        <w:tc>
          <w:tcPr>
            <w:tcW w:w="318" w:type="dxa"/>
            <w:tcBorders>
              <w:tl2br w:val="nil"/>
              <w:tr2bl w:val="nil"/>
            </w:tcBorders>
            <w:vAlign w:val="center"/>
          </w:tcPr>
          <w:p w:rsidR="00A46452" w:rsidRDefault="00A46452">
            <w:pPr>
              <w:wordWrap w:val="0"/>
              <w:spacing w:line="240" w:lineRule="exact"/>
              <w:ind w:firstLineChars="0" w:firstLine="0"/>
              <w:jc w:val="center"/>
              <w:rPr>
                <w:rFonts w:eastAsiaTheme="minorEastAsia" w:cs="Times New Roman"/>
                <w:sz w:val="18"/>
                <w:szCs w:val="18"/>
                <w:lang w:eastAsia="en-US"/>
              </w:rPr>
            </w:pPr>
          </w:p>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3</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
                <w:sz w:val="18"/>
                <w:szCs w:val="18"/>
              </w:rPr>
            </w:pPr>
            <w:r>
              <w:rPr>
                <w:rFonts w:eastAsiaTheme="minorEastAsia"/>
                <w:spacing w:val="-1"/>
                <w:sz w:val="18"/>
                <w:szCs w:val="18"/>
              </w:rPr>
              <w:t>鹅喉羚</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i/>
                <w:iCs/>
                <w:spacing w:val="-1"/>
                <w:sz w:val="18"/>
                <w:szCs w:val="18"/>
                <w:lang w:eastAsia="zh-CN"/>
              </w:rPr>
              <w:t>（</w:t>
            </w:r>
            <w:r>
              <w:rPr>
                <w:rFonts w:eastAsiaTheme="minorEastAsia"/>
                <w:i/>
                <w:iCs/>
                <w:spacing w:val="-1"/>
                <w:sz w:val="18"/>
                <w:szCs w:val="18"/>
              </w:rPr>
              <w:t>Gazella</w:t>
            </w:r>
            <w:r>
              <w:rPr>
                <w:rFonts w:eastAsiaTheme="minorEastAsia"/>
                <w:i/>
                <w:iCs/>
                <w:spacing w:val="3"/>
                <w:sz w:val="18"/>
                <w:szCs w:val="18"/>
              </w:rPr>
              <w:t xml:space="preserve"> </w:t>
            </w:r>
            <w:r>
              <w:rPr>
                <w:rFonts w:eastAsiaTheme="minorEastAsia"/>
                <w:i/>
                <w:iCs/>
                <w:spacing w:val="-1"/>
                <w:sz w:val="18"/>
                <w:szCs w:val="18"/>
              </w:rPr>
              <w:t>subgutturosa</w:t>
            </w:r>
            <w:r>
              <w:rPr>
                <w:rFonts w:eastAsiaTheme="minorEastAsia"/>
                <w:i/>
                <w:iCs/>
                <w:spacing w:val="-1"/>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易危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lang w:eastAsia="zh-CN"/>
              </w:rPr>
            </w:pPr>
            <w:r>
              <w:rPr>
                <w:rFonts w:eastAsiaTheme="minorEastAsia"/>
                <w:spacing w:val="1"/>
                <w:sz w:val="18"/>
                <w:szCs w:val="18"/>
                <w:lang w:eastAsia="zh-CN"/>
              </w:rPr>
              <w:t>栖息在海拔</w:t>
            </w:r>
            <w:r>
              <w:rPr>
                <w:rFonts w:eastAsiaTheme="minorEastAsia"/>
                <w:spacing w:val="-34"/>
                <w:sz w:val="18"/>
                <w:szCs w:val="18"/>
                <w:lang w:eastAsia="zh-CN"/>
              </w:rPr>
              <w:t xml:space="preserve"> </w:t>
            </w:r>
            <w:r>
              <w:rPr>
                <w:rFonts w:eastAsiaTheme="minorEastAsia"/>
                <w:spacing w:val="1"/>
                <w:sz w:val="18"/>
                <w:szCs w:val="18"/>
                <w:lang w:eastAsia="zh-CN"/>
              </w:rPr>
              <w:t>300m</w:t>
            </w:r>
            <w:r>
              <w:rPr>
                <w:rFonts w:eastAsiaTheme="minorEastAsia"/>
                <w:spacing w:val="1"/>
                <w:sz w:val="18"/>
                <w:szCs w:val="18"/>
                <w:lang w:eastAsia="zh-CN"/>
              </w:rPr>
              <w:t>～</w:t>
            </w:r>
            <w:r>
              <w:rPr>
                <w:rFonts w:eastAsiaTheme="minorEastAsia"/>
                <w:spacing w:val="1"/>
                <w:sz w:val="18"/>
                <w:szCs w:val="18"/>
                <w:lang w:eastAsia="zh-CN"/>
              </w:rPr>
              <w:t>6000m</w:t>
            </w:r>
            <w:r>
              <w:rPr>
                <w:rFonts w:eastAsiaTheme="minorEastAsia"/>
                <w:spacing w:val="1"/>
                <w:sz w:val="18"/>
                <w:szCs w:val="18"/>
                <w:lang w:eastAsia="zh-CN"/>
              </w:rPr>
              <w:t>之间的干燥荒凉的</w:t>
            </w:r>
            <w:r>
              <w:rPr>
                <w:rFonts w:eastAsiaTheme="minorEastAsia"/>
                <w:spacing w:val="-1"/>
                <w:sz w:val="18"/>
                <w:szCs w:val="18"/>
                <w:lang w:eastAsia="zh-CN"/>
              </w:rPr>
              <w:t>荒漠地区，耐旱性强，以荒漠中的猪毛莱属、雅葱属、蒿属及禾本科、藜科植物为食</w:t>
            </w:r>
            <w:r>
              <w:rPr>
                <w:rFonts w:eastAsiaTheme="minorEastAsia"/>
                <w:spacing w:val="-2"/>
                <w:sz w:val="18"/>
                <w:szCs w:val="18"/>
                <w:lang w:eastAsia="zh-CN"/>
              </w:rPr>
              <w:t>。鹅喉羚多白天活</w:t>
            </w:r>
            <w:r>
              <w:rPr>
                <w:rFonts w:eastAsiaTheme="minorEastAsia"/>
                <w:spacing w:val="-2"/>
                <w:sz w:val="18"/>
                <w:szCs w:val="18"/>
                <w:lang w:eastAsia="zh-CN"/>
              </w:rPr>
              <w:t>动</w:t>
            </w:r>
            <w:r>
              <w:rPr>
                <w:rFonts w:eastAsiaTheme="minorEastAsia"/>
                <w:spacing w:val="-2"/>
                <w:sz w:val="18"/>
                <w:szCs w:val="18"/>
                <w:lang w:eastAsia="zh-CN"/>
              </w:rPr>
              <w:t>常结成几只至几十只的小群活动，善于奔跑。</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4"/>
                <w:sz w:val="18"/>
                <w:szCs w:val="18"/>
              </w:rPr>
              <w:t>历史调</w:t>
            </w:r>
            <w:r>
              <w:rPr>
                <w:rFonts w:eastAsiaTheme="minorEastAsia"/>
                <w:spacing w:val="1"/>
                <w:sz w:val="18"/>
                <w:szCs w:val="18"/>
              </w:rPr>
              <w:t xml:space="preserve"> </w:t>
            </w:r>
            <w:r>
              <w:rPr>
                <w:rFonts w:eastAsiaTheme="minorEastAsia"/>
                <w:spacing w:val="-4"/>
                <w:sz w:val="18"/>
                <w:szCs w:val="18"/>
              </w:rPr>
              <w:t>查资料</w:t>
            </w:r>
          </w:p>
        </w:tc>
        <w:tc>
          <w:tcPr>
            <w:tcW w:w="736" w:type="dxa"/>
            <w:tcBorders>
              <w:tl2br w:val="nil"/>
              <w:tr2bl w:val="nil"/>
            </w:tcBorders>
            <w:vAlign w:val="center"/>
          </w:tcPr>
          <w:p w:rsidR="00A46452" w:rsidRDefault="00A46452">
            <w:pPr>
              <w:wordWrap w:val="0"/>
              <w:spacing w:line="240" w:lineRule="exact"/>
              <w:ind w:firstLineChars="0" w:firstLine="0"/>
              <w:jc w:val="center"/>
              <w:rPr>
                <w:rFonts w:eastAsiaTheme="minorEastAsia" w:cs="Times New Roman"/>
                <w:sz w:val="18"/>
                <w:szCs w:val="18"/>
                <w:lang w:eastAsia="en-US"/>
              </w:rPr>
            </w:pPr>
          </w:p>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1504"/>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4</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2"/>
                <w:sz w:val="18"/>
                <w:szCs w:val="18"/>
              </w:rPr>
            </w:pPr>
            <w:r>
              <w:rPr>
                <w:rFonts w:eastAsiaTheme="minorEastAsia"/>
                <w:spacing w:val="-2"/>
                <w:sz w:val="18"/>
                <w:szCs w:val="18"/>
              </w:rPr>
              <w:t>红隼</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i/>
                <w:iCs/>
                <w:spacing w:val="-2"/>
                <w:sz w:val="18"/>
                <w:szCs w:val="18"/>
                <w:lang w:eastAsia="zh-CN"/>
              </w:rPr>
              <w:t>（</w:t>
            </w:r>
            <w:r>
              <w:rPr>
                <w:rFonts w:eastAsiaTheme="minorEastAsia"/>
                <w:i/>
                <w:iCs/>
                <w:spacing w:val="-2"/>
                <w:sz w:val="18"/>
                <w:szCs w:val="18"/>
              </w:rPr>
              <w:t>Falco</w:t>
            </w:r>
            <w:r>
              <w:rPr>
                <w:rFonts w:eastAsiaTheme="minorEastAsia"/>
                <w:i/>
                <w:iCs/>
                <w:spacing w:val="2"/>
                <w:sz w:val="18"/>
                <w:szCs w:val="18"/>
              </w:rPr>
              <w:t xml:space="preserve"> </w:t>
            </w:r>
            <w:r>
              <w:rPr>
                <w:rFonts w:eastAsiaTheme="minorEastAsia"/>
                <w:i/>
                <w:iCs/>
                <w:spacing w:val="-1"/>
                <w:sz w:val="18"/>
                <w:szCs w:val="18"/>
              </w:rPr>
              <w:t>tinnunculus</w:t>
            </w:r>
            <w:r>
              <w:rPr>
                <w:rFonts w:eastAsiaTheme="minorEastAsia"/>
                <w:i/>
                <w:iCs/>
                <w:spacing w:val="-1"/>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无危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rPr>
            </w:pPr>
            <w:r>
              <w:rPr>
                <w:rFonts w:eastAsiaTheme="minorEastAsia"/>
                <w:spacing w:val="-1"/>
                <w:sz w:val="18"/>
                <w:szCs w:val="18"/>
                <w:lang w:eastAsia="zh-CN"/>
              </w:rPr>
              <w:t>栖息于草原、旷野、森林平原、山区植物稀疏的混合林、开垦耕地、旷野灌丛草地、林缘、林间空地、疏林和有稀疏树木生长的旷野、河谷和农田地区。</w:t>
            </w:r>
            <w:r>
              <w:rPr>
                <w:rFonts w:eastAsiaTheme="minorEastAsia"/>
                <w:spacing w:val="-1"/>
                <w:sz w:val="18"/>
                <w:szCs w:val="18"/>
              </w:rPr>
              <w:t>吃大型昆虫、鸟和小</w:t>
            </w:r>
            <w:r>
              <w:rPr>
                <w:rFonts w:eastAsiaTheme="minorEastAsia"/>
                <w:spacing w:val="-3"/>
                <w:sz w:val="18"/>
                <w:szCs w:val="18"/>
              </w:rPr>
              <w:t>哺乳动物。</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3"/>
                <w:sz w:val="18"/>
                <w:szCs w:val="18"/>
                <w:lang w:eastAsia="zh-CN"/>
              </w:rPr>
              <w:t>现场调</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20"/>
                <w:sz w:val="18"/>
                <w:szCs w:val="18"/>
                <w:lang w:eastAsia="zh-CN"/>
              </w:rPr>
              <w:t>查、历史</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3"/>
                <w:sz w:val="18"/>
                <w:szCs w:val="18"/>
                <w:lang w:eastAsia="zh-CN"/>
              </w:rPr>
              <w:t>调查资</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z w:val="18"/>
                <w:szCs w:val="18"/>
                <w:lang w:eastAsia="zh-CN"/>
              </w:rPr>
              <w:t>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1204"/>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5</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2"/>
                <w:position w:val="2"/>
                <w:sz w:val="18"/>
                <w:szCs w:val="18"/>
              </w:rPr>
            </w:pPr>
            <w:r>
              <w:rPr>
                <w:rFonts w:eastAsiaTheme="minorEastAsia"/>
                <w:spacing w:val="-2"/>
                <w:position w:val="2"/>
                <w:sz w:val="18"/>
                <w:szCs w:val="18"/>
              </w:rPr>
              <w:t>沙狐</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2"/>
                <w:position w:val="2"/>
                <w:sz w:val="18"/>
                <w:szCs w:val="18"/>
                <w:lang w:eastAsia="zh-CN"/>
              </w:rPr>
              <w:t>（</w:t>
            </w:r>
            <w:r>
              <w:rPr>
                <w:rFonts w:eastAsiaTheme="minorEastAsia"/>
                <w:i/>
                <w:iCs/>
                <w:spacing w:val="-2"/>
                <w:position w:val="2"/>
                <w:sz w:val="18"/>
                <w:szCs w:val="18"/>
              </w:rPr>
              <w:t>Vulpes corsac</w:t>
            </w:r>
            <w:r>
              <w:rPr>
                <w:rFonts w:eastAsiaTheme="minorEastAsia"/>
                <w:i/>
                <w:iCs/>
                <w:spacing w:val="-2"/>
                <w:position w:val="2"/>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近危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rPr>
            </w:pPr>
            <w:r>
              <w:rPr>
                <w:rFonts w:eastAsiaTheme="minorEastAsia"/>
                <w:spacing w:val="-1"/>
                <w:sz w:val="18"/>
                <w:szCs w:val="18"/>
                <w:lang w:eastAsia="zh-CN"/>
              </w:rPr>
              <w:t>主要栖息于干草原、荒漠和半荒漠地带，远离农田、森林和灌木丛，喜欢在草原和半沙漠中生活。以啮齿类动物为主要食物，鸟类</w:t>
            </w:r>
            <w:r>
              <w:rPr>
                <w:rFonts w:eastAsiaTheme="minorEastAsia"/>
                <w:spacing w:val="-2"/>
                <w:sz w:val="18"/>
                <w:szCs w:val="18"/>
              </w:rPr>
              <w:t>和昆虫次之。</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4"/>
                <w:sz w:val="18"/>
                <w:szCs w:val="18"/>
              </w:rPr>
              <w:t>历史调</w:t>
            </w:r>
            <w:r>
              <w:rPr>
                <w:rFonts w:eastAsiaTheme="minorEastAsia"/>
                <w:spacing w:val="1"/>
                <w:sz w:val="18"/>
                <w:szCs w:val="18"/>
              </w:rPr>
              <w:t xml:space="preserve"> </w:t>
            </w:r>
            <w:r>
              <w:rPr>
                <w:rFonts w:eastAsiaTheme="minorEastAsia"/>
                <w:spacing w:val="-4"/>
                <w:sz w:val="18"/>
                <w:szCs w:val="18"/>
              </w:rPr>
              <w:t>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905"/>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6</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
                <w:sz w:val="18"/>
                <w:szCs w:val="18"/>
              </w:rPr>
            </w:pPr>
            <w:r>
              <w:rPr>
                <w:rFonts w:eastAsiaTheme="minorEastAsia"/>
                <w:spacing w:val="-1"/>
                <w:sz w:val="18"/>
                <w:szCs w:val="18"/>
              </w:rPr>
              <w:t>苍鹰</w:t>
            </w:r>
          </w:p>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1"/>
                <w:sz w:val="18"/>
                <w:szCs w:val="18"/>
                <w:lang w:eastAsia="zh-CN"/>
              </w:rPr>
              <w:t>（</w:t>
            </w:r>
            <w:r>
              <w:rPr>
                <w:rFonts w:eastAsiaTheme="minorEastAsia"/>
                <w:i/>
                <w:iCs/>
                <w:spacing w:val="-1"/>
                <w:sz w:val="18"/>
                <w:szCs w:val="18"/>
              </w:rPr>
              <w:t>Accipiter</w:t>
            </w:r>
            <w:r>
              <w:rPr>
                <w:rFonts w:eastAsiaTheme="minorEastAsia"/>
                <w:i/>
                <w:iCs/>
                <w:spacing w:val="6"/>
                <w:sz w:val="18"/>
                <w:szCs w:val="18"/>
              </w:rPr>
              <w:t xml:space="preserve"> </w:t>
            </w:r>
            <w:r>
              <w:rPr>
                <w:rFonts w:eastAsiaTheme="minorEastAsia"/>
                <w:i/>
                <w:iCs/>
                <w:sz w:val="18"/>
                <w:szCs w:val="18"/>
              </w:rPr>
              <w:t>gentilis</w:t>
            </w:r>
            <w:r>
              <w:rPr>
                <w:rFonts w:eastAsiaTheme="minorEastAsia"/>
                <w:i/>
                <w:iCs/>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无危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lang w:eastAsia="zh-CN"/>
              </w:rPr>
            </w:pPr>
            <w:r>
              <w:rPr>
                <w:rFonts w:eastAsiaTheme="minorEastAsia"/>
                <w:spacing w:val="-1"/>
                <w:sz w:val="18"/>
                <w:szCs w:val="18"/>
                <w:lang w:eastAsia="zh-CN"/>
              </w:rPr>
              <w:t>栖息于森林和小块疏林内。视觉敏锐，擅长飞翔。白天活动。性甚机警，亦善隐藏。通常单独活动，叫声尖锐洪亮。</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10"/>
                <w:sz w:val="18"/>
                <w:szCs w:val="18"/>
                <w:lang w:eastAsia="zh-CN"/>
              </w:rPr>
              <w:t>现</w:t>
            </w:r>
            <w:r>
              <w:rPr>
                <w:rFonts w:eastAsiaTheme="minorEastAsia"/>
                <w:spacing w:val="-10"/>
                <w:sz w:val="18"/>
                <w:szCs w:val="18"/>
                <w:lang w:eastAsia="zh-CN"/>
              </w:rPr>
              <w:t>场调查、</w:t>
            </w:r>
            <w:r>
              <w:rPr>
                <w:rFonts w:eastAsiaTheme="minorEastAsia"/>
                <w:spacing w:val="-4"/>
                <w:sz w:val="18"/>
                <w:szCs w:val="18"/>
                <w:lang w:eastAsia="zh-CN"/>
              </w:rPr>
              <w:t>历史调查资料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739"/>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7</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8"/>
                <w:sz w:val="18"/>
                <w:szCs w:val="18"/>
              </w:rPr>
              <w:t>鸢（</w:t>
            </w:r>
            <w:r>
              <w:rPr>
                <w:rFonts w:eastAsiaTheme="minorEastAsia"/>
                <w:i/>
                <w:iCs/>
                <w:sz w:val="18"/>
                <w:szCs w:val="18"/>
              </w:rPr>
              <w:t xml:space="preserve">Milvus  </w:t>
            </w:r>
            <w:r>
              <w:rPr>
                <w:rFonts w:eastAsiaTheme="minorEastAsia"/>
                <w:i/>
                <w:iCs/>
                <w:spacing w:val="8"/>
                <w:sz w:val="18"/>
                <w:szCs w:val="18"/>
              </w:rPr>
              <w:t>korschun</w:t>
            </w:r>
            <w:r>
              <w:rPr>
                <w:rFonts w:eastAsiaTheme="minorEastAsia"/>
                <w:i/>
                <w:iCs/>
                <w:spacing w:val="8"/>
                <w:sz w:val="18"/>
                <w:szCs w:val="18"/>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3"/>
                <w:sz w:val="18"/>
                <w:szCs w:val="18"/>
              </w:rPr>
              <w:t>国家</w:t>
            </w:r>
            <w:r>
              <w:rPr>
                <w:rFonts w:eastAsiaTheme="minorEastAsia"/>
                <w:spacing w:val="-3"/>
                <w:sz w:val="18"/>
                <w:szCs w:val="18"/>
              </w:rPr>
              <w:t>Ⅱ</w:t>
            </w:r>
            <w:r>
              <w:rPr>
                <w:rFonts w:eastAsiaTheme="minorEastAsia"/>
                <w:spacing w:val="-3"/>
                <w:sz w:val="18"/>
                <w:szCs w:val="18"/>
              </w:rPr>
              <w:t>级</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pacing w:val="-1"/>
                <w:sz w:val="18"/>
                <w:szCs w:val="18"/>
              </w:rPr>
              <w:t>无危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lang w:eastAsia="zh-CN"/>
              </w:rPr>
            </w:pPr>
            <w:r>
              <w:rPr>
                <w:rFonts w:eastAsiaTheme="minorEastAsia"/>
                <w:spacing w:val="-2"/>
                <w:sz w:val="18"/>
                <w:szCs w:val="18"/>
                <w:lang w:eastAsia="zh-CN"/>
              </w:rPr>
              <w:t>多见于林地、城郊及居民点附近。</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pacing w:val="-10"/>
                <w:sz w:val="18"/>
                <w:szCs w:val="18"/>
                <w:lang w:eastAsia="zh-CN"/>
              </w:rPr>
              <w:t>场调查、</w:t>
            </w:r>
            <w:r>
              <w:rPr>
                <w:rFonts w:eastAsiaTheme="minorEastAsia"/>
                <w:spacing w:val="-4"/>
                <w:sz w:val="18"/>
                <w:szCs w:val="18"/>
                <w:lang w:eastAsia="zh-CN"/>
              </w:rPr>
              <w:t>历史调查资料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rPr>
            </w:pPr>
            <w:r>
              <w:rPr>
                <w:rFonts w:eastAsiaTheme="minorEastAsia"/>
                <w:sz w:val="18"/>
                <w:szCs w:val="18"/>
              </w:rPr>
              <w:t>否</w:t>
            </w:r>
          </w:p>
        </w:tc>
      </w:tr>
      <w:tr w:rsidR="00A46452">
        <w:trPr>
          <w:trHeight w:val="679"/>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8</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8"/>
                <w:sz w:val="18"/>
                <w:szCs w:val="18"/>
                <w:lang w:eastAsia="zh-CN"/>
              </w:rPr>
            </w:pPr>
            <w:r>
              <w:rPr>
                <w:rFonts w:eastAsiaTheme="minorEastAsia"/>
                <w:spacing w:val="-1"/>
                <w:sz w:val="18"/>
                <w:szCs w:val="18"/>
              </w:rPr>
              <w:t>黑鹳</w:t>
            </w:r>
            <w:r>
              <w:rPr>
                <w:rFonts w:eastAsiaTheme="minorEastAsia"/>
                <w:spacing w:val="-1"/>
                <w:sz w:val="18"/>
                <w:szCs w:val="18"/>
                <w:lang w:eastAsia="zh-CN"/>
              </w:rPr>
              <w:t>（</w:t>
            </w:r>
            <w:r>
              <w:rPr>
                <w:rFonts w:eastAsiaTheme="minorEastAsia"/>
                <w:i/>
                <w:iCs/>
                <w:sz w:val="18"/>
                <w:szCs w:val="18"/>
                <w:shd w:val="clear" w:color="auto" w:fill="FFFFFF"/>
              </w:rPr>
              <w:t>Ciconia nigra</w:t>
            </w:r>
            <w:r>
              <w:rPr>
                <w:rFonts w:eastAsiaTheme="minorEastAsia"/>
                <w:spacing w:val="-1"/>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3"/>
                <w:sz w:val="18"/>
                <w:szCs w:val="18"/>
                <w:lang w:eastAsia="zh-CN"/>
              </w:rPr>
            </w:pPr>
            <w:r>
              <w:rPr>
                <w:rFonts w:eastAsiaTheme="minorEastAsia"/>
                <w:spacing w:val="-13"/>
                <w:sz w:val="18"/>
                <w:szCs w:val="18"/>
                <w:lang w:eastAsia="zh-CN"/>
              </w:rPr>
              <w:t>国家</w:t>
            </w:r>
            <w:r>
              <w:rPr>
                <w:rFonts w:eastAsiaTheme="minorEastAsia"/>
                <w:spacing w:val="-13"/>
                <w:sz w:val="18"/>
                <w:szCs w:val="18"/>
                <w:lang w:eastAsia="zh-CN"/>
              </w:rPr>
              <w:t>Ⅰ</w:t>
            </w:r>
            <w:r>
              <w:rPr>
                <w:rFonts w:eastAsiaTheme="minorEastAsia"/>
                <w:spacing w:val="-13"/>
                <w:sz w:val="18"/>
                <w:szCs w:val="18"/>
                <w:lang w:eastAsia="zh-CN"/>
              </w:rPr>
              <w:t>级别</w:t>
            </w:r>
          </w:p>
        </w:tc>
        <w:tc>
          <w:tcPr>
            <w:tcW w:w="488"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
                <w:sz w:val="18"/>
                <w:szCs w:val="18"/>
                <w:lang w:eastAsia="zh-CN"/>
              </w:rPr>
            </w:pPr>
            <w:r>
              <w:rPr>
                <w:rFonts w:eastAsiaTheme="minorEastAsia"/>
                <w:spacing w:val="-1"/>
                <w:sz w:val="18"/>
                <w:szCs w:val="18"/>
                <w:lang w:eastAsia="zh-CN"/>
              </w:rPr>
              <w:t>无危</w:t>
            </w:r>
          </w:p>
        </w:tc>
        <w:tc>
          <w:tcPr>
            <w:tcW w:w="700"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z w:val="18"/>
                <w:szCs w:val="18"/>
                <w:lang w:eastAsia="zh-CN"/>
              </w:rPr>
              <w:t>否</w:t>
            </w: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pacing w:val="-2"/>
                <w:sz w:val="18"/>
                <w:szCs w:val="18"/>
                <w:lang w:eastAsia="zh-CN"/>
              </w:rPr>
            </w:pPr>
            <w:r>
              <w:rPr>
                <w:rFonts w:eastAsiaTheme="minorEastAsia"/>
                <w:sz w:val="18"/>
                <w:szCs w:val="18"/>
                <w:shd w:val="clear" w:color="auto" w:fill="FFFFFF"/>
                <w:lang w:eastAsia="zh-CN"/>
              </w:rPr>
              <w:t>荒漠区湿地、水塘及沼泽地带</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0"/>
                <w:sz w:val="18"/>
                <w:szCs w:val="18"/>
              </w:rPr>
            </w:pPr>
            <w:r>
              <w:rPr>
                <w:rFonts w:eastAsiaTheme="minorEastAsia"/>
                <w:spacing w:val="-4"/>
                <w:sz w:val="18"/>
                <w:szCs w:val="18"/>
              </w:rPr>
              <w:t>历史调查资料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z w:val="18"/>
                <w:szCs w:val="18"/>
                <w:lang w:eastAsia="zh-CN"/>
              </w:rPr>
              <w:t>否</w:t>
            </w:r>
          </w:p>
        </w:tc>
      </w:tr>
      <w:tr w:rsidR="00A46452">
        <w:trPr>
          <w:trHeight w:val="799"/>
          <w:jc w:val="center"/>
        </w:trPr>
        <w:tc>
          <w:tcPr>
            <w:tcW w:w="318" w:type="dxa"/>
            <w:tcBorders>
              <w:tl2br w:val="nil"/>
              <w:tr2bl w:val="nil"/>
            </w:tcBorders>
            <w:vAlign w:val="center"/>
          </w:tcPr>
          <w:p w:rsidR="00A46452" w:rsidRDefault="009A3928">
            <w:pPr>
              <w:wordWrap w:val="0"/>
              <w:spacing w:line="240" w:lineRule="exact"/>
              <w:ind w:firstLineChars="0" w:firstLine="0"/>
              <w:jc w:val="center"/>
              <w:rPr>
                <w:rFonts w:eastAsiaTheme="minorEastAsia" w:cs="Times New Roman"/>
                <w:sz w:val="18"/>
                <w:szCs w:val="18"/>
                <w:lang w:eastAsia="en-US"/>
              </w:rPr>
            </w:pPr>
            <w:r>
              <w:rPr>
                <w:rFonts w:eastAsiaTheme="minorEastAsia" w:cs="Times New Roman"/>
                <w:sz w:val="18"/>
                <w:szCs w:val="18"/>
                <w:lang w:eastAsia="en-US"/>
              </w:rPr>
              <w:t>9</w:t>
            </w:r>
          </w:p>
        </w:tc>
        <w:tc>
          <w:tcPr>
            <w:tcW w:w="150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
                <w:sz w:val="18"/>
                <w:szCs w:val="18"/>
                <w:lang w:eastAsia="zh-CN"/>
              </w:rPr>
            </w:pPr>
            <w:r>
              <w:rPr>
                <w:rFonts w:eastAsiaTheme="minorEastAsia"/>
                <w:spacing w:val="-2"/>
                <w:sz w:val="18"/>
                <w:szCs w:val="18"/>
              </w:rPr>
              <w:t>蓝胸佛法僧</w:t>
            </w:r>
            <w:r>
              <w:rPr>
                <w:rFonts w:eastAsiaTheme="minorEastAsia"/>
                <w:spacing w:val="-2"/>
                <w:sz w:val="18"/>
                <w:szCs w:val="18"/>
                <w:lang w:eastAsia="zh-CN"/>
              </w:rPr>
              <w:t>（</w:t>
            </w:r>
            <w:r>
              <w:rPr>
                <w:rFonts w:eastAsiaTheme="minorEastAsia"/>
                <w:i/>
                <w:iCs/>
                <w:spacing w:val="-2"/>
                <w:sz w:val="18"/>
                <w:szCs w:val="18"/>
                <w:lang w:eastAsia="zh-CN"/>
              </w:rPr>
              <w:t>Coraciasgarrulus</w:t>
            </w:r>
            <w:r>
              <w:rPr>
                <w:rFonts w:eastAsiaTheme="minorEastAsia"/>
                <w:spacing w:val="-2"/>
                <w:sz w:val="18"/>
                <w:szCs w:val="18"/>
                <w:lang w:eastAsia="zh-CN"/>
              </w:rPr>
              <w:t>）</w:t>
            </w:r>
          </w:p>
        </w:tc>
        <w:tc>
          <w:tcPr>
            <w:tcW w:w="914"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13"/>
                <w:sz w:val="18"/>
                <w:szCs w:val="18"/>
                <w:lang w:eastAsia="zh-CN"/>
              </w:rPr>
            </w:pPr>
            <w:r>
              <w:rPr>
                <w:rFonts w:eastAsiaTheme="minorEastAsia"/>
                <w:spacing w:val="-13"/>
                <w:sz w:val="18"/>
                <w:szCs w:val="18"/>
                <w:lang w:eastAsia="zh-CN"/>
              </w:rPr>
              <w:t>自治区</w:t>
            </w:r>
            <w:r>
              <w:rPr>
                <w:rFonts w:eastAsiaTheme="minorEastAsia"/>
                <w:spacing w:val="-13"/>
                <w:sz w:val="18"/>
                <w:szCs w:val="18"/>
                <w:lang w:eastAsia="zh-CN"/>
              </w:rPr>
              <w:t>Ⅱ</w:t>
            </w:r>
            <w:r>
              <w:rPr>
                <w:rFonts w:eastAsiaTheme="minorEastAsia"/>
                <w:spacing w:val="-13"/>
                <w:sz w:val="18"/>
                <w:szCs w:val="18"/>
                <w:lang w:eastAsia="zh-CN"/>
              </w:rPr>
              <w:t>级</w:t>
            </w:r>
          </w:p>
        </w:tc>
        <w:tc>
          <w:tcPr>
            <w:tcW w:w="488" w:type="dxa"/>
            <w:tcBorders>
              <w:tl2br w:val="nil"/>
              <w:tr2bl w:val="nil"/>
            </w:tcBorders>
            <w:vAlign w:val="center"/>
          </w:tcPr>
          <w:p w:rsidR="00A46452" w:rsidRDefault="00A46452">
            <w:pPr>
              <w:pStyle w:val="TableText"/>
              <w:wordWrap w:val="0"/>
              <w:spacing w:line="240" w:lineRule="exact"/>
              <w:ind w:firstLineChars="0" w:firstLine="0"/>
              <w:jc w:val="center"/>
              <w:rPr>
                <w:rFonts w:eastAsiaTheme="minorEastAsia"/>
                <w:spacing w:val="-1"/>
                <w:sz w:val="18"/>
                <w:szCs w:val="18"/>
                <w:lang w:eastAsia="zh-CN"/>
              </w:rPr>
            </w:pPr>
          </w:p>
        </w:tc>
        <w:tc>
          <w:tcPr>
            <w:tcW w:w="700" w:type="dxa"/>
            <w:tcBorders>
              <w:tl2br w:val="nil"/>
              <w:tr2bl w:val="nil"/>
            </w:tcBorders>
            <w:vAlign w:val="center"/>
          </w:tcPr>
          <w:p w:rsidR="00A46452" w:rsidRDefault="00A46452">
            <w:pPr>
              <w:pStyle w:val="TableText"/>
              <w:wordWrap w:val="0"/>
              <w:spacing w:line="240" w:lineRule="exact"/>
              <w:ind w:firstLineChars="0" w:firstLine="0"/>
              <w:jc w:val="center"/>
              <w:rPr>
                <w:rFonts w:eastAsiaTheme="minorEastAsia"/>
                <w:sz w:val="18"/>
                <w:szCs w:val="18"/>
                <w:lang w:eastAsia="zh-CN"/>
              </w:rPr>
            </w:pPr>
          </w:p>
        </w:tc>
        <w:tc>
          <w:tcPr>
            <w:tcW w:w="3042" w:type="dxa"/>
            <w:tcBorders>
              <w:tl2br w:val="nil"/>
              <w:tr2bl w:val="nil"/>
            </w:tcBorders>
            <w:vAlign w:val="center"/>
          </w:tcPr>
          <w:p w:rsidR="00A46452" w:rsidRDefault="009A3928">
            <w:pPr>
              <w:pStyle w:val="TableText"/>
              <w:wordWrap w:val="0"/>
              <w:spacing w:line="240" w:lineRule="exact"/>
              <w:ind w:firstLineChars="0" w:firstLine="0"/>
              <w:rPr>
                <w:rFonts w:eastAsiaTheme="minorEastAsia"/>
                <w:sz w:val="18"/>
                <w:szCs w:val="18"/>
                <w:shd w:val="clear" w:color="auto" w:fill="FFFFFF"/>
                <w:lang w:eastAsia="zh-CN"/>
              </w:rPr>
            </w:pPr>
            <w:hyperlink r:id="rId48" w:tgtFrame="https://baike.baidu.com/item/_blank" w:history="1">
              <w:r>
                <w:rPr>
                  <w:rStyle w:val="afff"/>
                  <w:rFonts w:eastAsiaTheme="minorEastAsia"/>
                  <w:color w:val="auto"/>
                  <w:sz w:val="18"/>
                  <w:szCs w:val="18"/>
                  <w:u w:val="none"/>
                  <w:shd w:val="clear" w:color="auto" w:fill="FFFFFF"/>
                  <w:lang w:eastAsia="zh-CN"/>
                </w:rPr>
                <w:t>森林</w:t>
              </w:r>
            </w:hyperlink>
            <w:r>
              <w:rPr>
                <w:rFonts w:eastAsiaTheme="minorEastAsia"/>
                <w:sz w:val="18"/>
                <w:szCs w:val="18"/>
                <w:shd w:val="clear" w:color="auto" w:fill="FFFFFF"/>
                <w:lang w:eastAsia="zh-CN"/>
              </w:rPr>
              <w:t>、</w:t>
            </w:r>
            <w:hyperlink r:id="rId49" w:tgtFrame="https://baike.baidu.com/item/_blank" w:history="1">
              <w:r>
                <w:rPr>
                  <w:rStyle w:val="afff"/>
                  <w:rFonts w:eastAsiaTheme="minorEastAsia"/>
                  <w:color w:val="auto"/>
                  <w:sz w:val="18"/>
                  <w:szCs w:val="18"/>
                  <w:u w:val="none"/>
                  <w:shd w:val="clear" w:color="auto" w:fill="FFFFFF"/>
                  <w:lang w:eastAsia="zh-CN"/>
                </w:rPr>
                <w:t>灌丛</w:t>
              </w:r>
            </w:hyperlink>
            <w:r>
              <w:rPr>
                <w:rFonts w:eastAsiaTheme="minorEastAsia"/>
                <w:sz w:val="18"/>
                <w:szCs w:val="18"/>
                <w:shd w:val="clear" w:color="auto" w:fill="FFFFFF"/>
                <w:lang w:eastAsia="zh-CN"/>
              </w:rPr>
              <w:t>、</w:t>
            </w:r>
            <w:hyperlink r:id="rId50" w:tgtFrame="https://baike.baidu.com/item/_blank" w:history="1">
              <w:r>
                <w:rPr>
                  <w:rStyle w:val="afff"/>
                  <w:rFonts w:eastAsiaTheme="minorEastAsia"/>
                  <w:color w:val="auto"/>
                  <w:sz w:val="18"/>
                  <w:szCs w:val="18"/>
                  <w:u w:val="none"/>
                  <w:shd w:val="clear" w:color="auto" w:fill="FFFFFF"/>
                  <w:lang w:eastAsia="zh-CN"/>
                </w:rPr>
                <w:t>林缘</w:t>
              </w:r>
            </w:hyperlink>
            <w:r>
              <w:rPr>
                <w:rFonts w:eastAsiaTheme="minorEastAsia"/>
                <w:sz w:val="18"/>
                <w:szCs w:val="18"/>
                <w:shd w:val="clear" w:color="auto" w:fill="FFFFFF"/>
                <w:lang w:eastAsia="zh-CN"/>
              </w:rPr>
              <w:t>到</w:t>
            </w:r>
            <w:hyperlink r:id="rId51" w:tgtFrame="https://baike.baidu.com/item/_blank" w:history="1">
              <w:r>
                <w:rPr>
                  <w:rStyle w:val="afff"/>
                  <w:rFonts w:eastAsiaTheme="minorEastAsia"/>
                  <w:color w:val="auto"/>
                  <w:sz w:val="18"/>
                  <w:szCs w:val="18"/>
                  <w:u w:val="none"/>
                  <w:shd w:val="clear" w:color="auto" w:fill="FFFFFF"/>
                  <w:lang w:eastAsia="zh-CN"/>
                </w:rPr>
                <w:t>荒漠</w:t>
              </w:r>
            </w:hyperlink>
            <w:r>
              <w:rPr>
                <w:rFonts w:eastAsiaTheme="minorEastAsia"/>
                <w:sz w:val="18"/>
                <w:szCs w:val="18"/>
                <w:shd w:val="clear" w:color="auto" w:fill="FFFFFF"/>
                <w:lang w:eastAsia="zh-CN"/>
              </w:rPr>
              <w:t>和</w:t>
            </w:r>
            <w:hyperlink r:id="rId52" w:tgtFrame="https://baike.baidu.com/item/_blank" w:history="1">
              <w:r>
                <w:rPr>
                  <w:rStyle w:val="afff"/>
                  <w:rFonts w:eastAsiaTheme="minorEastAsia"/>
                  <w:color w:val="auto"/>
                  <w:sz w:val="18"/>
                  <w:szCs w:val="18"/>
                  <w:u w:val="none"/>
                  <w:shd w:val="clear" w:color="auto" w:fill="FFFFFF"/>
                  <w:lang w:eastAsia="zh-CN"/>
                </w:rPr>
                <w:t>半荒漠</w:t>
              </w:r>
            </w:hyperlink>
            <w:r>
              <w:rPr>
                <w:rFonts w:eastAsiaTheme="minorEastAsia"/>
                <w:sz w:val="18"/>
                <w:szCs w:val="18"/>
                <w:shd w:val="clear" w:color="auto" w:fill="FFFFFF"/>
                <w:lang w:eastAsia="zh-CN"/>
              </w:rPr>
              <w:t>，尤喜被有稀疏</w:t>
            </w:r>
            <w:hyperlink r:id="rId53" w:tgtFrame="https://baike.baidu.com/item/_blank" w:history="1">
              <w:r>
                <w:rPr>
                  <w:rStyle w:val="afff"/>
                  <w:rFonts w:eastAsiaTheme="minorEastAsia"/>
                  <w:color w:val="auto"/>
                  <w:sz w:val="18"/>
                  <w:szCs w:val="18"/>
                  <w:u w:val="none"/>
                  <w:shd w:val="clear" w:color="auto" w:fill="FFFFFF"/>
                  <w:lang w:eastAsia="zh-CN"/>
                </w:rPr>
                <w:t>灌木</w:t>
              </w:r>
            </w:hyperlink>
            <w:r>
              <w:rPr>
                <w:rFonts w:eastAsiaTheme="minorEastAsia"/>
                <w:sz w:val="18"/>
                <w:szCs w:val="18"/>
                <w:shd w:val="clear" w:color="auto" w:fill="FFFFFF"/>
                <w:lang w:eastAsia="zh-CN"/>
              </w:rPr>
              <w:t>、又有</w:t>
            </w:r>
            <w:hyperlink r:id="rId54" w:tgtFrame="https://baike.baidu.com/item/_blank" w:history="1">
              <w:r>
                <w:rPr>
                  <w:rStyle w:val="afff"/>
                  <w:rFonts w:eastAsiaTheme="minorEastAsia"/>
                  <w:color w:val="auto"/>
                  <w:sz w:val="18"/>
                  <w:szCs w:val="18"/>
                  <w:u w:val="none"/>
                  <w:shd w:val="clear" w:color="auto" w:fill="FFFFFF"/>
                  <w:lang w:eastAsia="zh-CN"/>
                </w:rPr>
                <w:t>悬岩</w:t>
              </w:r>
            </w:hyperlink>
            <w:r>
              <w:rPr>
                <w:rFonts w:eastAsiaTheme="minorEastAsia"/>
                <w:sz w:val="18"/>
                <w:szCs w:val="18"/>
                <w:shd w:val="clear" w:color="auto" w:fill="FFFFFF"/>
                <w:lang w:eastAsia="zh-CN"/>
              </w:rPr>
              <w:t>和沟谷，荒漠和半荒漠地区</w:t>
            </w:r>
          </w:p>
        </w:tc>
        <w:tc>
          <w:tcPr>
            <w:tcW w:w="755"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pacing w:val="-4"/>
                <w:sz w:val="18"/>
                <w:szCs w:val="18"/>
              </w:rPr>
            </w:pPr>
            <w:r>
              <w:rPr>
                <w:rFonts w:eastAsiaTheme="minorEastAsia"/>
                <w:spacing w:val="-4"/>
                <w:sz w:val="18"/>
                <w:szCs w:val="18"/>
              </w:rPr>
              <w:t>历史调查资料</w:t>
            </w:r>
          </w:p>
        </w:tc>
        <w:tc>
          <w:tcPr>
            <w:tcW w:w="736" w:type="dxa"/>
            <w:tcBorders>
              <w:tl2br w:val="nil"/>
              <w:tr2bl w:val="nil"/>
            </w:tcBorders>
            <w:vAlign w:val="center"/>
          </w:tcPr>
          <w:p w:rsidR="00A46452" w:rsidRDefault="009A3928">
            <w:pPr>
              <w:pStyle w:val="TableText"/>
              <w:wordWrap w:val="0"/>
              <w:spacing w:line="240" w:lineRule="exact"/>
              <w:ind w:firstLineChars="0" w:firstLine="0"/>
              <w:jc w:val="center"/>
              <w:rPr>
                <w:rFonts w:eastAsiaTheme="minorEastAsia"/>
                <w:sz w:val="18"/>
                <w:szCs w:val="18"/>
                <w:lang w:eastAsia="zh-CN"/>
              </w:rPr>
            </w:pPr>
            <w:r>
              <w:rPr>
                <w:rFonts w:eastAsiaTheme="minorEastAsia"/>
                <w:sz w:val="18"/>
                <w:szCs w:val="18"/>
                <w:lang w:eastAsia="zh-CN"/>
              </w:rPr>
              <w:t>否</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6.2.7</w:t>
      </w:r>
      <w:r>
        <w:rPr>
          <w:rFonts w:cs="Times New Roman" w:hint="default"/>
          <w:sz w:val="28"/>
          <w:szCs w:val="28"/>
        </w:rPr>
        <w:t>水生生态现状调查与评价</w:t>
      </w:r>
    </w:p>
    <w:p w:rsidR="00A46452" w:rsidRDefault="009A3928" w:rsidP="00182EED">
      <w:pPr>
        <w:widowControl/>
        <w:ind w:firstLine="480"/>
        <w:jc w:val="left"/>
        <w:rPr>
          <w:rFonts w:cs="Times New Roman"/>
          <w:kern w:val="1"/>
        </w:rPr>
      </w:pPr>
      <w:r>
        <w:rPr>
          <w:rFonts w:cs="Times New Roman"/>
          <w:kern w:val="1"/>
        </w:rPr>
        <w:t>本项目主要在以下河段涉及河道，其中</w:t>
      </w:r>
      <w:r>
        <w:rPr>
          <w:rFonts w:cs="Times New Roman"/>
          <w:kern w:val="1"/>
        </w:rPr>
        <w:t>K22+482.000</w:t>
      </w:r>
      <w:r>
        <w:rPr>
          <w:rFonts w:cs="Times New Roman"/>
          <w:kern w:val="1"/>
        </w:rPr>
        <w:t>桩号处穿越突来买提河，</w:t>
      </w:r>
      <w:r>
        <w:rPr>
          <w:rFonts w:cs="Times New Roman"/>
          <w:kern w:val="1"/>
        </w:rPr>
        <w:t>K28+020.800</w:t>
      </w:r>
      <w:r>
        <w:rPr>
          <w:rFonts w:cs="Times New Roman"/>
          <w:kern w:val="1"/>
        </w:rPr>
        <w:t>和</w:t>
      </w:r>
      <w:r>
        <w:rPr>
          <w:rFonts w:cs="Times New Roman"/>
          <w:kern w:val="1"/>
        </w:rPr>
        <w:t>K30+522.500</w:t>
      </w:r>
      <w:r>
        <w:rPr>
          <w:rFonts w:cs="Times New Roman"/>
          <w:kern w:val="1"/>
        </w:rPr>
        <w:t>桩号处穿越喀什噶尔河老河道，</w:t>
      </w:r>
      <w:r>
        <w:rPr>
          <w:rFonts w:cs="Times New Roman"/>
          <w:kern w:val="1"/>
        </w:rPr>
        <w:t>K81+114.000</w:t>
      </w:r>
      <w:r>
        <w:rPr>
          <w:rFonts w:cs="Times New Roman"/>
          <w:kern w:val="1"/>
        </w:rPr>
        <w:t>和</w:t>
      </w:r>
      <w:r>
        <w:rPr>
          <w:rFonts w:cs="Times New Roman"/>
          <w:kern w:val="1"/>
        </w:rPr>
        <w:t>K85+032.000</w:t>
      </w:r>
      <w:r>
        <w:rPr>
          <w:rFonts w:cs="Times New Roman"/>
          <w:kern w:val="1"/>
        </w:rPr>
        <w:t>处穿越</w:t>
      </w:r>
      <w:r>
        <w:rPr>
          <w:rFonts w:cs="Times New Roman"/>
          <w:kern w:val="0"/>
          <w:szCs w:val="24"/>
          <w:lang w:bidi="ar"/>
        </w:rPr>
        <w:t>贝希沟</w:t>
      </w:r>
      <w:r>
        <w:rPr>
          <w:rFonts w:cs="Times New Roman"/>
          <w:kern w:val="0"/>
          <w:szCs w:val="24"/>
          <w:lang w:bidi="ar"/>
        </w:rPr>
        <w:t>-</w:t>
      </w:r>
      <w:r>
        <w:rPr>
          <w:rFonts w:cs="Times New Roman"/>
          <w:kern w:val="0"/>
          <w:szCs w:val="24"/>
          <w:lang w:bidi="ar"/>
        </w:rPr>
        <w:t>加依洛萨依河</w:t>
      </w:r>
      <w:r>
        <w:rPr>
          <w:rFonts w:cs="Times New Roman"/>
          <w:kern w:val="0"/>
          <w:szCs w:val="24"/>
          <w:lang w:bidi="ar"/>
        </w:rPr>
        <w:t>（柯坪河）、</w:t>
      </w:r>
      <w:r>
        <w:rPr>
          <w:rFonts w:cs="Times New Roman"/>
          <w:kern w:val="1"/>
        </w:rPr>
        <w:t>K100+343.80</w:t>
      </w:r>
      <w:r>
        <w:rPr>
          <w:rFonts w:cs="Times New Roman"/>
          <w:kern w:val="1"/>
        </w:rPr>
        <w:t>桩号处穿越柯坪河。</w:t>
      </w:r>
      <w:r>
        <w:rPr>
          <w:rFonts w:cs="Times New Roman"/>
          <w:kern w:val="1"/>
        </w:rPr>
        <w:t>80</w:t>
      </w:r>
      <w:r>
        <w:rPr>
          <w:rFonts w:cs="Times New Roman"/>
          <w:kern w:val="1"/>
        </w:rPr>
        <w:t>本次对</w:t>
      </w:r>
      <w:r>
        <w:rPr>
          <w:rFonts w:cs="Times New Roman"/>
          <w:kern w:val="0"/>
          <w:szCs w:val="24"/>
          <w:lang w:bidi="ar"/>
        </w:rPr>
        <w:t>突来买提河、</w:t>
      </w:r>
      <w:r>
        <w:rPr>
          <w:rFonts w:cs="Times New Roman"/>
          <w:kern w:val="1"/>
        </w:rPr>
        <w:t>喀什噶尔</w:t>
      </w:r>
      <w:r>
        <w:rPr>
          <w:rFonts w:cs="Times New Roman"/>
          <w:kern w:val="1"/>
        </w:rPr>
        <w:t>老河道</w:t>
      </w:r>
      <w:r>
        <w:rPr>
          <w:rFonts w:cs="Times New Roman"/>
          <w:kern w:val="1"/>
        </w:rPr>
        <w:t>柯坪河、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cs="Times New Roman"/>
          <w:kern w:val="0"/>
          <w:szCs w:val="24"/>
          <w:lang w:bidi="ar"/>
        </w:rPr>
        <w:t>（柯坪河）进行</w:t>
      </w:r>
      <w:r>
        <w:rPr>
          <w:rFonts w:cs="Times New Roman"/>
          <w:kern w:val="1"/>
        </w:rPr>
        <w:t>水生生态现状进行调查。</w:t>
      </w:r>
      <w:r>
        <w:rPr>
          <w:rFonts w:cs="Times New Roman"/>
          <w:kern w:val="1"/>
        </w:rPr>
        <w:t>调查方式主要为收集历史资料和现状调查。</w:t>
      </w:r>
    </w:p>
    <w:p w:rsidR="00A46452" w:rsidRDefault="009A3928">
      <w:pPr>
        <w:pStyle w:val="42"/>
        <w:spacing w:before="156" w:after="156"/>
        <w:rPr>
          <w:rFonts w:cs="Times New Roman" w:hint="default"/>
          <w:iCs/>
        </w:rPr>
      </w:pPr>
      <w:r>
        <w:rPr>
          <w:rFonts w:cs="Times New Roman" w:hint="default"/>
          <w:iCs/>
        </w:rPr>
        <w:t>6</w:t>
      </w:r>
      <w:r>
        <w:rPr>
          <w:rFonts w:cs="Times New Roman" w:hint="default"/>
          <w:iCs/>
        </w:rPr>
        <w:t>.2.7.</w:t>
      </w:r>
      <w:r>
        <w:rPr>
          <w:rFonts w:cs="Times New Roman" w:hint="default"/>
          <w:iCs/>
        </w:rPr>
        <w:t>1</w:t>
      </w:r>
      <w:r>
        <w:rPr>
          <w:rFonts w:cs="Times New Roman" w:hint="default"/>
          <w:iCs/>
        </w:rPr>
        <w:t>喀什噶尔河水生</w:t>
      </w:r>
      <w:r>
        <w:rPr>
          <w:rFonts w:cs="Times New Roman" w:hint="default"/>
          <w:iCs/>
        </w:rPr>
        <w:t>现状调查及评价</w:t>
      </w:r>
    </w:p>
    <w:p w:rsidR="00A46452" w:rsidRDefault="009A3928" w:rsidP="00182EED">
      <w:pPr>
        <w:wordWrap w:val="0"/>
        <w:topLinePunct/>
        <w:ind w:firstLine="480"/>
        <w:jc w:val="left"/>
        <w:rPr>
          <w:rFonts w:cs="Times New Roman"/>
          <w:kern w:val="1"/>
        </w:rPr>
      </w:pPr>
      <w:r>
        <w:rPr>
          <w:rFonts w:cs="Times New Roman"/>
          <w:kern w:val="1"/>
        </w:rPr>
        <w:t>突来买提河属于喀什噶尔河的支流，因此将喀什噶尔河与突来买提河一并分析，</w:t>
      </w:r>
      <w:r>
        <w:rPr>
          <w:rFonts w:cs="Times New Roman"/>
          <w:kern w:val="1"/>
        </w:rPr>
        <w:t>水生生态现状资料依据</w:t>
      </w:r>
      <w:r>
        <w:rPr>
          <w:rFonts w:cs="Times New Roman"/>
          <w:kern w:val="1"/>
        </w:rPr>
        <w:t>历史</w:t>
      </w:r>
      <w:r>
        <w:rPr>
          <w:rFonts w:cs="Times New Roman"/>
          <w:kern w:val="1"/>
        </w:rPr>
        <w:t>水生生态调查资料</w:t>
      </w:r>
      <w:r>
        <w:rPr>
          <w:rFonts w:cs="Times New Roman"/>
          <w:kern w:val="1"/>
        </w:rPr>
        <w:t>和现状调查资料</w:t>
      </w:r>
      <w:r>
        <w:rPr>
          <w:rFonts w:cs="Times New Roman"/>
          <w:kern w:val="1"/>
        </w:rPr>
        <w:t>。</w:t>
      </w:r>
    </w:p>
    <w:p w:rsidR="00A46452" w:rsidRDefault="009A3928" w:rsidP="00182EED">
      <w:pPr>
        <w:widowControl/>
        <w:ind w:firstLine="480"/>
        <w:rPr>
          <w:rFonts w:cs="Times New Roman"/>
          <w:kern w:val="1"/>
        </w:rPr>
      </w:pPr>
      <w:r>
        <w:rPr>
          <w:rFonts w:cs="Times New Roman"/>
          <w:kern w:val="1"/>
        </w:rPr>
        <w:t>（</w:t>
      </w:r>
      <w:r>
        <w:rPr>
          <w:rFonts w:cs="Times New Roman"/>
          <w:kern w:val="1"/>
        </w:rPr>
        <w:t>1</w:t>
      </w:r>
      <w:r>
        <w:rPr>
          <w:rFonts w:cs="Times New Roman"/>
          <w:kern w:val="1"/>
        </w:rPr>
        <w:t>）</w:t>
      </w:r>
      <w:r>
        <w:rPr>
          <w:rFonts w:cs="Times New Roman"/>
          <w:kern w:val="1"/>
        </w:rPr>
        <w:t>浮游植物</w:t>
      </w:r>
    </w:p>
    <w:p w:rsidR="00A46452" w:rsidRDefault="009A3928" w:rsidP="00182EED">
      <w:pPr>
        <w:widowControl/>
        <w:ind w:firstLine="480"/>
        <w:rPr>
          <w:rFonts w:cs="Times New Roman"/>
          <w:kern w:val="1"/>
        </w:rPr>
      </w:pPr>
      <w:r>
        <w:rPr>
          <w:rFonts w:cs="Times New Roman"/>
          <w:kern w:val="1"/>
        </w:rPr>
        <w:t>项目评价区</w:t>
      </w:r>
      <w:r>
        <w:rPr>
          <w:rFonts w:cs="Times New Roman"/>
          <w:kern w:val="1"/>
        </w:rPr>
        <w:t>浮游植物</w:t>
      </w:r>
      <w:r>
        <w:rPr>
          <w:rFonts w:cs="Times New Roman"/>
          <w:kern w:val="1"/>
        </w:rPr>
        <w:t>42</w:t>
      </w:r>
      <w:r>
        <w:rPr>
          <w:rFonts w:cs="Times New Roman"/>
          <w:kern w:val="1"/>
        </w:rPr>
        <w:t>种（属），硅藻门种类最多，为</w:t>
      </w:r>
      <w:r>
        <w:rPr>
          <w:rFonts w:cs="Times New Roman"/>
          <w:kern w:val="1"/>
        </w:rPr>
        <w:t>2</w:t>
      </w:r>
      <w:r>
        <w:rPr>
          <w:rFonts w:cs="Times New Roman"/>
          <w:kern w:val="1"/>
        </w:rPr>
        <w:t>7</w:t>
      </w:r>
      <w:r>
        <w:rPr>
          <w:rFonts w:cs="Times New Roman"/>
          <w:kern w:val="1"/>
        </w:rPr>
        <w:t>种（属），占各调查断面总物种数的</w:t>
      </w:r>
      <w:r>
        <w:rPr>
          <w:rFonts w:cs="Times New Roman"/>
          <w:kern w:val="1"/>
        </w:rPr>
        <w:t>6</w:t>
      </w:r>
      <w:r>
        <w:rPr>
          <w:rFonts w:cs="Times New Roman"/>
          <w:kern w:val="1"/>
        </w:rPr>
        <w:t>4.29</w:t>
      </w:r>
      <w:r>
        <w:rPr>
          <w:rFonts w:cs="Times New Roman"/>
          <w:kern w:val="1"/>
        </w:rPr>
        <w:t>%</w:t>
      </w:r>
      <w:r>
        <w:rPr>
          <w:rFonts w:cs="Times New Roman"/>
          <w:kern w:val="1"/>
        </w:rPr>
        <w:t>。其次为蓝藻门</w:t>
      </w:r>
      <w:r>
        <w:rPr>
          <w:rFonts w:cs="Times New Roman"/>
          <w:kern w:val="1"/>
        </w:rPr>
        <w:t>9</w:t>
      </w:r>
      <w:r>
        <w:rPr>
          <w:rFonts w:cs="Times New Roman"/>
          <w:kern w:val="1"/>
        </w:rPr>
        <w:t>种，占总种类数的</w:t>
      </w:r>
      <w:r>
        <w:rPr>
          <w:rFonts w:cs="Times New Roman"/>
          <w:kern w:val="1"/>
        </w:rPr>
        <w:t>21.43</w:t>
      </w:r>
      <w:r>
        <w:rPr>
          <w:rFonts w:cs="Times New Roman"/>
          <w:kern w:val="1"/>
        </w:rPr>
        <w:t>%</w:t>
      </w:r>
      <w:r>
        <w:rPr>
          <w:rFonts w:cs="Times New Roman"/>
          <w:kern w:val="1"/>
        </w:rPr>
        <w:t>，绿藻门</w:t>
      </w:r>
      <w:r>
        <w:rPr>
          <w:rFonts w:cs="Times New Roman"/>
          <w:kern w:val="1"/>
        </w:rPr>
        <w:t>6</w:t>
      </w:r>
      <w:r>
        <w:rPr>
          <w:rFonts w:cs="Times New Roman"/>
          <w:kern w:val="1"/>
        </w:rPr>
        <w:t>种，占</w:t>
      </w:r>
      <w:r>
        <w:rPr>
          <w:rFonts w:cs="Times New Roman"/>
          <w:kern w:val="1"/>
        </w:rPr>
        <w:t>14.28</w:t>
      </w:r>
      <w:r>
        <w:rPr>
          <w:rFonts w:cs="Times New Roman"/>
          <w:kern w:val="1"/>
        </w:rPr>
        <w:t>%</w:t>
      </w:r>
      <w:r>
        <w:rPr>
          <w:rFonts w:cs="Times New Roman"/>
          <w:kern w:val="1"/>
        </w:rPr>
        <w:t>，甲藻门、金藻门和隐藻门均为</w:t>
      </w:r>
      <w:r>
        <w:rPr>
          <w:rFonts w:cs="Times New Roman"/>
          <w:kern w:val="1"/>
        </w:rPr>
        <w:t>3</w:t>
      </w:r>
      <w:r>
        <w:rPr>
          <w:rFonts w:cs="Times New Roman"/>
          <w:kern w:val="1"/>
        </w:rPr>
        <w:t>种（属），各占总物种数</w:t>
      </w:r>
      <w:r>
        <w:rPr>
          <w:rFonts w:cs="Times New Roman"/>
          <w:kern w:val="1"/>
        </w:rPr>
        <w:t>3.4%</w:t>
      </w:r>
      <w:r>
        <w:rPr>
          <w:rFonts w:cs="Times New Roman"/>
          <w:kern w:val="1"/>
        </w:rPr>
        <w:t>。</w:t>
      </w:r>
    </w:p>
    <w:p w:rsidR="00A46452" w:rsidRDefault="009A3928" w:rsidP="00182EED">
      <w:pPr>
        <w:widowControl/>
        <w:ind w:firstLine="480"/>
        <w:rPr>
          <w:rFonts w:cs="Times New Roman"/>
          <w:kern w:val="1"/>
        </w:rPr>
      </w:pPr>
      <w:r>
        <w:rPr>
          <w:rFonts w:cs="Times New Roman"/>
          <w:kern w:val="1"/>
        </w:rPr>
        <w:t>（</w:t>
      </w:r>
      <w:r>
        <w:rPr>
          <w:rFonts w:cs="Times New Roman"/>
          <w:kern w:val="1"/>
        </w:rPr>
        <w:t>2</w:t>
      </w:r>
      <w:r>
        <w:rPr>
          <w:rFonts w:cs="Times New Roman"/>
          <w:kern w:val="1"/>
        </w:rPr>
        <w:t>）</w:t>
      </w:r>
      <w:r>
        <w:rPr>
          <w:rFonts w:cs="Times New Roman"/>
          <w:kern w:val="1"/>
        </w:rPr>
        <w:t>浮游动物</w:t>
      </w:r>
    </w:p>
    <w:p w:rsidR="00A46452" w:rsidRDefault="009A3928" w:rsidP="00182EED">
      <w:pPr>
        <w:widowControl/>
        <w:ind w:firstLine="480"/>
        <w:rPr>
          <w:rFonts w:cs="Times New Roman"/>
          <w:kern w:val="1"/>
        </w:rPr>
      </w:pPr>
      <w:r>
        <w:rPr>
          <w:rFonts w:cs="Times New Roman"/>
          <w:kern w:val="1"/>
        </w:rPr>
        <w:t>项目评价区</w:t>
      </w:r>
      <w:r>
        <w:rPr>
          <w:rFonts w:cs="Times New Roman"/>
          <w:kern w:val="1"/>
        </w:rPr>
        <w:t>浮游动物</w:t>
      </w:r>
      <w:r>
        <w:rPr>
          <w:rFonts w:cs="Times New Roman"/>
          <w:kern w:val="1"/>
        </w:rPr>
        <w:t>27</w:t>
      </w:r>
      <w:r>
        <w:rPr>
          <w:rFonts w:cs="Times New Roman"/>
          <w:kern w:val="1"/>
        </w:rPr>
        <w:t>种（属）。轮虫种类数最多，</w:t>
      </w:r>
      <w:r>
        <w:rPr>
          <w:rFonts w:cs="Times New Roman"/>
          <w:kern w:val="1"/>
        </w:rPr>
        <w:t>14</w:t>
      </w:r>
      <w:r>
        <w:rPr>
          <w:rFonts w:cs="Times New Roman"/>
          <w:kern w:val="1"/>
        </w:rPr>
        <w:t>种（属），占调查断面物种总数的</w:t>
      </w:r>
      <w:r>
        <w:rPr>
          <w:rFonts w:cs="Times New Roman"/>
          <w:kern w:val="1"/>
        </w:rPr>
        <w:t>51.85</w:t>
      </w:r>
      <w:r>
        <w:rPr>
          <w:rFonts w:cs="Times New Roman"/>
          <w:kern w:val="1"/>
        </w:rPr>
        <w:t>%</w:t>
      </w:r>
      <w:r>
        <w:rPr>
          <w:rFonts w:cs="Times New Roman"/>
          <w:kern w:val="1"/>
        </w:rPr>
        <w:t>，原生动物</w:t>
      </w:r>
      <w:r>
        <w:rPr>
          <w:rFonts w:cs="Times New Roman"/>
          <w:kern w:val="1"/>
        </w:rPr>
        <w:t>6</w:t>
      </w:r>
      <w:r>
        <w:rPr>
          <w:rFonts w:cs="Times New Roman"/>
          <w:kern w:val="1"/>
        </w:rPr>
        <w:t>种，占浮游动物总物种数的</w:t>
      </w:r>
      <w:r>
        <w:rPr>
          <w:rFonts w:cs="Times New Roman"/>
          <w:kern w:val="1"/>
        </w:rPr>
        <w:t>2</w:t>
      </w:r>
      <w:r>
        <w:rPr>
          <w:rFonts w:cs="Times New Roman"/>
          <w:kern w:val="1"/>
        </w:rPr>
        <w:t>2</w:t>
      </w:r>
      <w:r>
        <w:rPr>
          <w:rFonts w:cs="Times New Roman"/>
          <w:kern w:val="1"/>
        </w:rPr>
        <w:t>.</w:t>
      </w:r>
      <w:r>
        <w:rPr>
          <w:rFonts w:cs="Times New Roman"/>
          <w:kern w:val="1"/>
        </w:rPr>
        <w:t>2</w:t>
      </w:r>
      <w:r>
        <w:rPr>
          <w:rFonts w:cs="Times New Roman"/>
          <w:kern w:val="1"/>
        </w:rPr>
        <w:t>2%</w:t>
      </w:r>
      <w:r>
        <w:rPr>
          <w:rFonts w:cs="Times New Roman"/>
          <w:kern w:val="1"/>
        </w:rPr>
        <w:t>，枝角类和桡足类为</w:t>
      </w:r>
      <w:r>
        <w:rPr>
          <w:rFonts w:cs="Times New Roman"/>
          <w:kern w:val="1"/>
        </w:rPr>
        <w:t>4</w:t>
      </w:r>
      <w:r>
        <w:rPr>
          <w:rFonts w:cs="Times New Roman"/>
          <w:kern w:val="1"/>
        </w:rPr>
        <w:t>种（属）和</w:t>
      </w:r>
      <w:r>
        <w:rPr>
          <w:rFonts w:cs="Times New Roman"/>
          <w:kern w:val="1"/>
        </w:rPr>
        <w:t>3</w:t>
      </w:r>
      <w:r>
        <w:rPr>
          <w:rFonts w:cs="Times New Roman"/>
          <w:kern w:val="1"/>
        </w:rPr>
        <w:t>种（属），分别占总物种数</w:t>
      </w:r>
      <w:r>
        <w:rPr>
          <w:rFonts w:cs="Times New Roman"/>
          <w:kern w:val="1"/>
        </w:rPr>
        <w:t>14.81</w:t>
      </w:r>
      <w:r>
        <w:rPr>
          <w:rFonts w:cs="Times New Roman"/>
          <w:kern w:val="1"/>
        </w:rPr>
        <w:t>%</w:t>
      </w:r>
      <w:r>
        <w:rPr>
          <w:rFonts w:cs="Times New Roman"/>
          <w:kern w:val="1"/>
        </w:rPr>
        <w:t>和</w:t>
      </w:r>
      <w:r>
        <w:rPr>
          <w:rFonts w:cs="Times New Roman"/>
          <w:kern w:val="1"/>
        </w:rPr>
        <w:t>11.11</w:t>
      </w:r>
      <w:r>
        <w:rPr>
          <w:rFonts w:cs="Times New Roman"/>
          <w:kern w:val="1"/>
        </w:rPr>
        <w:t>%</w:t>
      </w:r>
      <w:r>
        <w:rPr>
          <w:rFonts w:cs="Times New Roman"/>
          <w:kern w:val="1"/>
        </w:rPr>
        <w:t>。</w:t>
      </w:r>
    </w:p>
    <w:p w:rsidR="00A46452" w:rsidRDefault="009A3928" w:rsidP="00182EED">
      <w:pPr>
        <w:widowControl/>
        <w:ind w:firstLine="480"/>
        <w:rPr>
          <w:rFonts w:cs="Times New Roman"/>
          <w:kern w:val="1"/>
        </w:rPr>
      </w:pPr>
      <w:r>
        <w:rPr>
          <w:rFonts w:cs="Times New Roman"/>
          <w:kern w:val="1"/>
        </w:rPr>
        <w:t>（</w:t>
      </w:r>
      <w:r>
        <w:rPr>
          <w:rFonts w:cs="Times New Roman"/>
          <w:kern w:val="1"/>
        </w:rPr>
        <w:t>3</w:t>
      </w:r>
      <w:r>
        <w:rPr>
          <w:rFonts w:cs="Times New Roman"/>
          <w:kern w:val="1"/>
        </w:rPr>
        <w:t>）</w:t>
      </w:r>
      <w:r>
        <w:rPr>
          <w:rFonts w:cs="Times New Roman"/>
          <w:kern w:val="1"/>
        </w:rPr>
        <w:t>底栖动物</w:t>
      </w:r>
    </w:p>
    <w:p w:rsidR="00A46452" w:rsidRDefault="009A3928" w:rsidP="00182EED">
      <w:pPr>
        <w:widowControl/>
        <w:ind w:firstLine="480"/>
        <w:rPr>
          <w:rFonts w:cs="Times New Roman"/>
          <w:kern w:val="1"/>
        </w:rPr>
      </w:pPr>
      <w:r>
        <w:rPr>
          <w:rFonts w:cs="Times New Roman"/>
          <w:kern w:val="1"/>
        </w:rPr>
        <w:t>项目评价区底栖动物</w:t>
      </w:r>
      <w:r>
        <w:rPr>
          <w:rFonts w:cs="Times New Roman"/>
          <w:kern w:val="1"/>
        </w:rPr>
        <w:t>共有</w:t>
      </w:r>
      <w:r>
        <w:rPr>
          <w:rFonts w:cs="Times New Roman"/>
          <w:kern w:val="1"/>
        </w:rPr>
        <w:t>2</w:t>
      </w:r>
      <w:r>
        <w:rPr>
          <w:rFonts w:cs="Times New Roman"/>
          <w:kern w:val="1"/>
        </w:rPr>
        <w:t>门</w:t>
      </w:r>
      <w:r>
        <w:rPr>
          <w:rFonts w:cs="Times New Roman"/>
          <w:kern w:val="1"/>
        </w:rPr>
        <w:t>3</w:t>
      </w:r>
      <w:r>
        <w:rPr>
          <w:rFonts w:cs="Times New Roman"/>
          <w:kern w:val="1"/>
        </w:rPr>
        <w:t>纲</w:t>
      </w:r>
      <w:r>
        <w:rPr>
          <w:rFonts w:cs="Times New Roman"/>
          <w:kern w:val="1"/>
        </w:rPr>
        <w:t>5</w:t>
      </w:r>
      <w:r>
        <w:rPr>
          <w:rFonts w:cs="Times New Roman"/>
          <w:kern w:val="1"/>
        </w:rPr>
        <w:t>目</w:t>
      </w:r>
      <w:r>
        <w:rPr>
          <w:rFonts w:cs="Times New Roman"/>
          <w:kern w:val="1"/>
        </w:rPr>
        <w:t>10</w:t>
      </w:r>
      <w:r>
        <w:rPr>
          <w:rFonts w:cs="Times New Roman"/>
          <w:kern w:val="1"/>
        </w:rPr>
        <w:t>科。软体动物共</w:t>
      </w:r>
      <w:r>
        <w:rPr>
          <w:rFonts w:cs="Times New Roman"/>
          <w:kern w:val="1"/>
        </w:rPr>
        <w:t>2</w:t>
      </w:r>
      <w:r>
        <w:rPr>
          <w:rFonts w:cs="Times New Roman"/>
          <w:kern w:val="1"/>
        </w:rPr>
        <w:t>科占总科数的</w:t>
      </w:r>
      <w:r>
        <w:rPr>
          <w:rFonts w:cs="Times New Roman"/>
          <w:kern w:val="1"/>
        </w:rPr>
        <w:t>2</w:t>
      </w:r>
      <w:r>
        <w:rPr>
          <w:rFonts w:cs="Times New Roman"/>
          <w:kern w:val="1"/>
        </w:rPr>
        <w:t>0</w:t>
      </w:r>
      <w:r>
        <w:rPr>
          <w:rFonts w:cs="Times New Roman"/>
          <w:kern w:val="1"/>
        </w:rPr>
        <w:t>%</w:t>
      </w:r>
      <w:r>
        <w:rPr>
          <w:rFonts w:cs="Times New Roman"/>
          <w:kern w:val="1"/>
        </w:rPr>
        <w:t>，节肢动物包括甲壳类</w:t>
      </w:r>
      <w:r>
        <w:rPr>
          <w:rFonts w:cs="Times New Roman"/>
          <w:kern w:val="1"/>
        </w:rPr>
        <w:t>1</w:t>
      </w:r>
      <w:r>
        <w:rPr>
          <w:rFonts w:cs="Times New Roman"/>
          <w:kern w:val="1"/>
        </w:rPr>
        <w:t>科</w:t>
      </w:r>
      <w:r>
        <w:rPr>
          <w:rFonts w:cs="Times New Roman"/>
          <w:kern w:val="1"/>
        </w:rPr>
        <w:t>和</w:t>
      </w:r>
      <w:r>
        <w:rPr>
          <w:rFonts w:cs="Times New Roman"/>
          <w:kern w:val="1"/>
        </w:rPr>
        <w:t>水生昆虫</w:t>
      </w:r>
      <w:r>
        <w:rPr>
          <w:rFonts w:cs="Times New Roman"/>
          <w:kern w:val="1"/>
        </w:rPr>
        <w:t>7</w:t>
      </w:r>
      <w:r>
        <w:rPr>
          <w:rFonts w:cs="Times New Roman"/>
          <w:kern w:val="1"/>
        </w:rPr>
        <w:t>科，共占总科数的</w:t>
      </w:r>
      <w:r>
        <w:rPr>
          <w:rFonts w:cs="Times New Roman"/>
          <w:kern w:val="1"/>
        </w:rPr>
        <w:t>80</w:t>
      </w:r>
      <w:r>
        <w:rPr>
          <w:rFonts w:cs="Times New Roman"/>
          <w:kern w:val="1"/>
        </w:rPr>
        <w:t>%</w:t>
      </w:r>
      <w:r>
        <w:rPr>
          <w:rFonts w:cs="Times New Roman"/>
          <w:kern w:val="1"/>
        </w:rPr>
        <w:t>。</w:t>
      </w:r>
    </w:p>
    <w:p w:rsidR="00A46452" w:rsidRDefault="009A3928">
      <w:pPr>
        <w:wordWrap w:val="0"/>
        <w:topLinePunct/>
        <w:adjustRightInd w:val="0"/>
        <w:snapToGrid w:val="0"/>
        <w:spacing w:line="480" w:lineRule="exact"/>
        <w:ind w:firstLine="480"/>
        <w:rPr>
          <w:rFonts w:cs="Times New Roman"/>
          <w:kern w:val="1"/>
        </w:rPr>
      </w:pPr>
      <w:r>
        <w:rPr>
          <w:rFonts w:cs="Times New Roman"/>
          <w:kern w:val="1"/>
        </w:rPr>
        <w:t>（</w:t>
      </w:r>
      <w:r>
        <w:rPr>
          <w:rFonts w:cs="Times New Roman"/>
          <w:kern w:val="1"/>
        </w:rPr>
        <w:t>4</w:t>
      </w:r>
      <w:r>
        <w:rPr>
          <w:rFonts w:cs="Times New Roman"/>
          <w:kern w:val="1"/>
        </w:rPr>
        <w:t>）</w:t>
      </w:r>
      <w:r>
        <w:rPr>
          <w:rFonts w:cs="Times New Roman"/>
          <w:kern w:val="1"/>
        </w:rPr>
        <w:t>水生植物</w:t>
      </w:r>
    </w:p>
    <w:p w:rsidR="00A46452" w:rsidRDefault="009A3928">
      <w:pPr>
        <w:wordWrap w:val="0"/>
        <w:topLinePunct/>
        <w:adjustRightInd w:val="0"/>
        <w:snapToGrid w:val="0"/>
        <w:spacing w:line="480" w:lineRule="exact"/>
        <w:ind w:firstLine="480"/>
        <w:rPr>
          <w:rFonts w:cs="Times New Roman"/>
          <w:kern w:val="1"/>
        </w:rPr>
      </w:pPr>
      <w:r>
        <w:rPr>
          <w:rFonts w:cs="Times New Roman"/>
          <w:kern w:val="1"/>
        </w:rPr>
        <w:t>项目评价区仅见到</w:t>
      </w:r>
      <w:r>
        <w:rPr>
          <w:rFonts w:cs="Times New Roman"/>
          <w:kern w:val="1"/>
        </w:rPr>
        <w:t>挺水植物，共</w:t>
      </w:r>
      <w:r>
        <w:rPr>
          <w:rFonts w:cs="Times New Roman"/>
          <w:kern w:val="1"/>
        </w:rPr>
        <w:t>3</w:t>
      </w:r>
      <w:r>
        <w:rPr>
          <w:rFonts w:cs="Times New Roman"/>
          <w:kern w:val="1"/>
        </w:rPr>
        <w:t>种，主要以芦苇为主，香蒲和节节草</w:t>
      </w:r>
      <w:r>
        <w:rPr>
          <w:rFonts w:cs="Times New Roman"/>
          <w:kern w:val="1"/>
        </w:rPr>
        <w:t>。</w:t>
      </w:r>
    </w:p>
    <w:p w:rsidR="00A46452" w:rsidRDefault="009A3928">
      <w:pPr>
        <w:wordWrap w:val="0"/>
        <w:topLinePunct/>
        <w:adjustRightInd w:val="0"/>
        <w:snapToGrid w:val="0"/>
        <w:spacing w:line="480" w:lineRule="exact"/>
        <w:ind w:firstLine="480"/>
        <w:rPr>
          <w:rFonts w:cs="Times New Roman"/>
          <w:kern w:val="1"/>
        </w:rPr>
      </w:pPr>
      <w:r>
        <w:rPr>
          <w:rFonts w:cs="Times New Roman"/>
          <w:kern w:val="1"/>
        </w:rPr>
        <w:t>（</w:t>
      </w:r>
      <w:r>
        <w:rPr>
          <w:rFonts w:cs="Times New Roman"/>
          <w:kern w:val="1"/>
        </w:rPr>
        <w:t>5</w:t>
      </w:r>
      <w:r>
        <w:rPr>
          <w:rFonts w:cs="Times New Roman"/>
          <w:kern w:val="1"/>
        </w:rPr>
        <w:t>）</w:t>
      </w:r>
      <w:r>
        <w:rPr>
          <w:rFonts w:cs="Times New Roman"/>
          <w:kern w:val="1"/>
        </w:rPr>
        <w:t>鱼类资源</w:t>
      </w:r>
    </w:p>
    <w:p w:rsidR="00A46452" w:rsidRDefault="009A3928" w:rsidP="00182EED">
      <w:pPr>
        <w:widowControl/>
        <w:ind w:firstLine="480"/>
        <w:jc w:val="left"/>
        <w:rPr>
          <w:rFonts w:cs="Times New Roman"/>
          <w:kern w:val="0"/>
          <w:szCs w:val="24"/>
          <w:lang w:bidi="ar"/>
        </w:rPr>
      </w:pPr>
      <w:r>
        <w:rPr>
          <w:rFonts w:cs="Times New Roman"/>
          <w:kern w:val="0"/>
          <w:szCs w:val="24"/>
          <w:lang w:bidi="ar"/>
        </w:rPr>
        <w:t>经现状调查工程涉及河段目前属于干涸状态，仅在洪水期有洪水能够抵达，评价范围内鱼类分布较少，偶尔有少量鱼类随洪水流下。叶尔羌高原鳅、长身高原鳅。定居性种类，无洄游习性，主要分布水库、河湾、深水坑等，区域内未发现土著鱼类重要栖息地，也没有固定的</w:t>
      </w:r>
      <w:r>
        <w:rPr>
          <w:rFonts w:cs="Times New Roman"/>
          <w:kern w:val="0"/>
          <w:szCs w:val="24"/>
          <w:lang w:bidi="ar"/>
        </w:rPr>
        <w:t>“</w:t>
      </w:r>
      <w:r>
        <w:rPr>
          <w:rFonts w:cs="Times New Roman"/>
          <w:kern w:val="0"/>
          <w:szCs w:val="24"/>
          <w:lang w:bidi="ar"/>
        </w:rPr>
        <w:t>三场</w:t>
      </w:r>
      <w:r>
        <w:rPr>
          <w:rFonts w:cs="Times New Roman"/>
          <w:kern w:val="0"/>
          <w:szCs w:val="24"/>
          <w:lang w:bidi="ar"/>
        </w:rPr>
        <w:t>”</w:t>
      </w:r>
      <w:r>
        <w:rPr>
          <w:rFonts w:cs="Times New Roman"/>
          <w:kern w:val="0"/>
          <w:szCs w:val="24"/>
          <w:lang w:bidi="ar"/>
        </w:rPr>
        <w:t>和洄游通道。评价区也不涉及水产种质资源保护区。</w:t>
      </w:r>
    </w:p>
    <w:p w:rsidR="00A46452" w:rsidRDefault="009A3928">
      <w:pPr>
        <w:pStyle w:val="42"/>
        <w:spacing w:before="156" w:after="156"/>
        <w:rPr>
          <w:rFonts w:cs="Times New Roman" w:hint="default"/>
          <w:iCs/>
        </w:rPr>
      </w:pPr>
      <w:r>
        <w:rPr>
          <w:rFonts w:cs="Times New Roman" w:hint="default"/>
          <w:iCs/>
        </w:rPr>
        <w:t>6</w:t>
      </w:r>
      <w:r>
        <w:rPr>
          <w:rFonts w:cs="Times New Roman" w:hint="default"/>
          <w:iCs/>
        </w:rPr>
        <w:t>.2.7.</w:t>
      </w:r>
      <w:r>
        <w:rPr>
          <w:rFonts w:cs="Times New Roman" w:hint="default"/>
          <w:iCs/>
        </w:rPr>
        <w:t>2</w:t>
      </w:r>
      <w:r>
        <w:rPr>
          <w:rFonts w:cs="Times New Roman" w:hint="default"/>
          <w:iCs/>
        </w:rPr>
        <w:t>柯坪河水生</w:t>
      </w:r>
      <w:r>
        <w:rPr>
          <w:rFonts w:cs="Times New Roman" w:hint="default"/>
          <w:iCs/>
        </w:rPr>
        <w:t>现状调查及评价</w:t>
      </w:r>
    </w:p>
    <w:p w:rsidR="00A46452" w:rsidRDefault="009A3928" w:rsidP="00182EED">
      <w:pPr>
        <w:widowControl/>
        <w:ind w:firstLine="480"/>
        <w:jc w:val="left"/>
        <w:rPr>
          <w:rFonts w:cs="Times New Roman"/>
        </w:rPr>
      </w:pP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加依洛萨依河本地人又称柯坪河，柯坪河是柯坪县最大的河流上游为苏巴什河，下游红沙河汇合后称阿恰河。</w:t>
      </w:r>
    </w:p>
    <w:p w:rsidR="00A46452" w:rsidRDefault="009A3928" w:rsidP="00182EED">
      <w:pPr>
        <w:widowControl/>
        <w:ind w:firstLine="480"/>
        <w:jc w:val="left"/>
        <w:rPr>
          <w:rFonts w:cs="Times New Roman"/>
          <w:kern w:val="0"/>
          <w:szCs w:val="24"/>
          <w:lang w:bidi="ar"/>
        </w:rPr>
      </w:pPr>
      <w:r>
        <w:rPr>
          <w:rFonts w:cs="Times New Roman"/>
          <w:kern w:val="0"/>
          <w:szCs w:val="24"/>
          <w:lang w:bidi="ar"/>
        </w:rPr>
        <w:t>本项目在桩号</w:t>
      </w:r>
      <w:r>
        <w:rPr>
          <w:rFonts w:cs="Times New Roman"/>
          <w:kern w:val="0"/>
          <w:szCs w:val="24"/>
          <w:lang w:bidi="ar"/>
        </w:rPr>
        <w:t>K81+114.000</w:t>
      </w:r>
      <w:r>
        <w:rPr>
          <w:rFonts w:cs="Times New Roman"/>
          <w:kern w:val="0"/>
          <w:szCs w:val="24"/>
          <w:lang w:bidi="ar"/>
        </w:rPr>
        <w:t>和</w:t>
      </w:r>
      <w:r>
        <w:rPr>
          <w:rFonts w:cs="Times New Roman"/>
          <w:kern w:val="0"/>
          <w:szCs w:val="24"/>
          <w:lang w:bidi="ar"/>
        </w:rPr>
        <w:t>K85+032.000</w:t>
      </w:r>
      <w:r>
        <w:rPr>
          <w:rFonts w:cs="Times New Roman"/>
          <w:kern w:val="0"/>
          <w:szCs w:val="24"/>
          <w:lang w:bidi="ar"/>
        </w:rPr>
        <w:t>跨越</w:t>
      </w:r>
      <w:r>
        <w:rPr>
          <w:rFonts w:cs="Times New Roman"/>
          <w:kern w:val="0"/>
          <w:szCs w:val="24"/>
          <w:lang w:bidi="ar"/>
        </w:rPr>
        <w:t>苏贝希</w:t>
      </w:r>
      <w:r>
        <w:rPr>
          <w:rFonts w:cs="Times New Roman"/>
          <w:kern w:val="0"/>
          <w:szCs w:val="24"/>
          <w:lang w:bidi="ar"/>
        </w:rPr>
        <w:t>沟</w:t>
      </w:r>
      <w:r>
        <w:rPr>
          <w:rFonts w:cs="Times New Roman"/>
          <w:kern w:val="0"/>
          <w:szCs w:val="24"/>
          <w:lang w:bidi="ar"/>
        </w:rPr>
        <w:t>-</w:t>
      </w:r>
      <w:r>
        <w:rPr>
          <w:rFonts w:cs="Times New Roman"/>
          <w:kern w:val="0"/>
          <w:szCs w:val="24"/>
          <w:lang w:bidi="ar"/>
        </w:rPr>
        <w:t>加依洛萨依河</w:t>
      </w:r>
      <w:r>
        <w:rPr>
          <w:rFonts w:cs="Times New Roman"/>
          <w:kern w:val="0"/>
          <w:szCs w:val="24"/>
          <w:lang w:bidi="ar"/>
        </w:rPr>
        <w:t>（柯坪河），在</w:t>
      </w:r>
      <w:r>
        <w:rPr>
          <w:rFonts w:cs="Times New Roman"/>
          <w:kern w:val="0"/>
          <w:szCs w:val="24"/>
          <w:lang w:bidi="ar"/>
        </w:rPr>
        <w:t>K100+343.80</w:t>
      </w:r>
      <w:r>
        <w:rPr>
          <w:rFonts w:cs="Times New Roman"/>
          <w:kern w:val="0"/>
          <w:szCs w:val="24"/>
          <w:lang w:bidi="ar"/>
        </w:rPr>
        <w:t>处柯坪河</w:t>
      </w:r>
      <w:r>
        <w:rPr>
          <w:rFonts w:cs="Times New Roman"/>
          <w:kern w:val="0"/>
          <w:szCs w:val="24"/>
          <w:lang w:bidi="ar"/>
        </w:rPr>
        <w:t>，</w:t>
      </w:r>
      <w:r>
        <w:rPr>
          <w:rFonts w:cs="Times New Roman"/>
          <w:kern w:val="0"/>
          <w:szCs w:val="24"/>
          <w:lang w:bidi="ar"/>
        </w:rPr>
        <w:t>柯坪河水生生态现状如下：</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w:t>
      </w:r>
      <w:r>
        <w:rPr>
          <w:rFonts w:cs="Times New Roman"/>
          <w:kern w:val="0"/>
          <w:szCs w:val="24"/>
          <w:lang w:bidi="ar"/>
        </w:rPr>
        <w:t>1</w:t>
      </w:r>
      <w:r>
        <w:rPr>
          <w:rFonts w:cs="Times New Roman"/>
          <w:kern w:val="0"/>
          <w:szCs w:val="24"/>
          <w:lang w:bidi="ar"/>
        </w:rPr>
        <w:t>）浮游植物</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①</w:t>
      </w:r>
      <w:r>
        <w:rPr>
          <w:rFonts w:cs="Times New Roman"/>
          <w:kern w:val="0"/>
          <w:szCs w:val="24"/>
          <w:lang w:bidi="ar"/>
        </w:rPr>
        <w:t>种类组成</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柯坪河</w:t>
      </w:r>
      <w:r>
        <w:rPr>
          <w:rFonts w:cs="Times New Roman"/>
          <w:kern w:val="0"/>
          <w:szCs w:val="24"/>
          <w:lang w:bidi="ar"/>
        </w:rPr>
        <w:t>各调查点位共鉴定出浮游植物</w:t>
      </w:r>
      <w:r>
        <w:rPr>
          <w:rFonts w:cs="Times New Roman"/>
          <w:kern w:val="0"/>
          <w:szCs w:val="24"/>
          <w:lang w:bidi="ar"/>
        </w:rPr>
        <w:t>3</w:t>
      </w:r>
      <w:r>
        <w:rPr>
          <w:rFonts w:cs="Times New Roman"/>
          <w:kern w:val="0"/>
          <w:szCs w:val="24"/>
          <w:lang w:bidi="ar"/>
        </w:rPr>
        <w:t>门</w:t>
      </w:r>
      <w:r>
        <w:rPr>
          <w:rFonts w:cs="Times New Roman"/>
          <w:kern w:val="0"/>
          <w:szCs w:val="24"/>
          <w:lang w:bidi="ar"/>
        </w:rPr>
        <w:t>4</w:t>
      </w:r>
      <w:r>
        <w:rPr>
          <w:rFonts w:cs="Times New Roman"/>
          <w:kern w:val="0"/>
          <w:szCs w:val="24"/>
          <w:lang w:bidi="ar"/>
        </w:rPr>
        <w:t>2</w:t>
      </w:r>
      <w:r>
        <w:rPr>
          <w:rFonts w:cs="Times New Roman"/>
          <w:kern w:val="0"/>
          <w:szCs w:val="24"/>
          <w:lang w:bidi="ar"/>
        </w:rPr>
        <w:t>种（属），其中硅藻门最多，有</w:t>
      </w:r>
      <w:r>
        <w:rPr>
          <w:rFonts w:cs="Times New Roman"/>
          <w:kern w:val="0"/>
          <w:szCs w:val="24"/>
          <w:lang w:bidi="ar"/>
        </w:rPr>
        <w:t>28</w:t>
      </w:r>
      <w:r>
        <w:rPr>
          <w:rFonts w:cs="Times New Roman"/>
          <w:kern w:val="0"/>
          <w:szCs w:val="24"/>
          <w:lang w:bidi="ar"/>
        </w:rPr>
        <w:t>种（属），占浮游植物总种（属）数的</w:t>
      </w:r>
      <w:r>
        <w:rPr>
          <w:rFonts w:cs="Times New Roman"/>
          <w:kern w:val="0"/>
          <w:szCs w:val="24"/>
          <w:lang w:bidi="ar"/>
        </w:rPr>
        <w:t>6</w:t>
      </w:r>
      <w:r>
        <w:rPr>
          <w:rFonts w:cs="Times New Roman"/>
          <w:kern w:val="0"/>
          <w:szCs w:val="24"/>
          <w:lang w:bidi="ar"/>
        </w:rPr>
        <w:t>6.67</w:t>
      </w:r>
      <w:r>
        <w:rPr>
          <w:rFonts w:cs="Times New Roman"/>
          <w:kern w:val="0"/>
          <w:szCs w:val="24"/>
          <w:lang w:bidi="ar"/>
        </w:rPr>
        <w:t>%</w:t>
      </w:r>
      <w:r>
        <w:rPr>
          <w:rFonts w:cs="Times New Roman"/>
          <w:kern w:val="0"/>
          <w:szCs w:val="24"/>
          <w:lang w:bidi="ar"/>
        </w:rPr>
        <w:t>；其次为绿藻门</w:t>
      </w:r>
      <w:r>
        <w:rPr>
          <w:rFonts w:cs="Times New Roman"/>
          <w:kern w:val="0"/>
          <w:szCs w:val="24"/>
          <w:lang w:bidi="ar"/>
        </w:rPr>
        <w:t>7</w:t>
      </w:r>
      <w:r>
        <w:rPr>
          <w:rFonts w:cs="Times New Roman"/>
          <w:kern w:val="0"/>
          <w:szCs w:val="24"/>
          <w:lang w:bidi="ar"/>
        </w:rPr>
        <w:t>种（属），蓝藻门</w:t>
      </w:r>
      <w:r>
        <w:rPr>
          <w:rFonts w:cs="Times New Roman"/>
          <w:kern w:val="0"/>
          <w:szCs w:val="24"/>
          <w:lang w:bidi="ar"/>
        </w:rPr>
        <w:t>6</w:t>
      </w:r>
      <w:r>
        <w:rPr>
          <w:rFonts w:cs="Times New Roman"/>
          <w:kern w:val="0"/>
          <w:szCs w:val="24"/>
          <w:lang w:bidi="ar"/>
        </w:rPr>
        <w:t>种（属），分别占总种（属）数的</w:t>
      </w:r>
      <w:r>
        <w:rPr>
          <w:rFonts w:cs="Times New Roman"/>
          <w:kern w:val="0"/>
          <w:szCs w:val="24"/>
          <w:lang w:bidi="ar"/>
        </w:rPr>
        <w:t>16.67</w:t>
      </w:r>
      <w:r>
        <w:rPr>
          <w:rFonts w:cs="Times New Roman"/>
          <w:kern w:val="0"/>
          <w:szCs w:val="24"/>
          <w:lang w:bidi="ar"/>
        </w:rPr>
        <w:t>和</w:t>
      </w:r>
      <w:r>
        <w:rPr>
          <w:rFonts w:cs="Times New Roman"/>
          <w:kern w:val="0"/>
          <w:szCs w:val="24"/>
          <w:lang w:bidi="ar"/>
        </w:rPr>
        <w:t>14.29</w:t>
      </w:r>
      <w:r>
        <w:rPr>
          <w:rFonts w:cs="Times New Roman"/>
          <w:kern w:val="0"/>
          <w:szCs w:val="24"/>
          <w:lang w:bidi="ar"/>
        </w:rPr>
        <w:t>%</w:t>
      </w:r>
      <w:r>
        <w:rPr>
          <w:rFonts w:cs="Times New Roman"/>
          <w:kern w:val="0"/>
          <w:szCs w:val="24"/>
          <w:lang w:bidi="ar"/>
        </w:rPr>
        <w:t>。</w:t>
      </w:r>
      <w:r>
        <w:rPr>
          <w:rFonts w:cs="Times New Roman"/>
          <w:kern w:val="0"/>
          <w:szCs w:val="24"/>
          <w:lang w:bidi="ar"/>
        </w:rPr>
        <w:t>其中跨越柯坪河大桥断面</w:t>
      </w:r>
      <w:r>
        <w:rPr>
          <w:rFonts w:cs="Times New Roman"/>
          <w:kern w:val="0"/>
          <w:szCs w:val="24"/>
          <w:lang w:bidi="ar"/>
        </w:rPr>
        <w:t>浮游植物种（属）数最多</w:t>
      </w:r>
      <w:r>
        <w:rPr>
          <w:rFonts w:cs="Times New Roman"/>
          <w:kern w:val="0"/>
          <w:szCs w:val="24"/>
          <w:lang w:bidi="ar"/>
        </w:rPr>
        <w:t>1</w:t>
      </w:r>
      <w:r>
        <w:rPr>
          <w:rFonts w:cs="Times New Roman"/>
          <w:kern w:val="0"/>
          <w:szCs w:val="24"/>
          <w:lang w:bidi="ar"/>
        </w:rPr>
        <w:t>2</w:t>
      </w:r>
      <w:r>
        <w:rPr>
          <w:rFonts w:cs="Times New Roman"/>
          <w:kern w:val="0"/>
          <w:szCs w:val="24"/>
          <w:lang w:bidi="ar"/>
        </w:rPr>
        <w:t>种（属），其中绿藻门</w:t>
      </w:r>
      <w:r>
        <w:rPr>
          <w:rFonts w:cs="Times New Roman"/>
          <w:kern w:val="0"/>
          <w:szCs w:val="24"/>
          <w:lang w:bidi="ar"/>
        </w:rPr>
        <w:t>3</w:t>
      </w:r>
      <w:r>
        <w:rPr>
          <w:rFonts w:cs="Times New Roman"/>
          <w:kern w:val="0"/>
          <w:szCs w:val="24"/>
          <w:lang w:bidi="ar"/>
        </w:rPr>
        <w:t>种（属），硅藻门</w:t>
      </w:r>
      <w:r>
        <w:rPr>
          <w:rFonts w:cs="Times New Roman"/>
          <w:kern w:val="0"/>
          <w:szCs w:val="24"/>
          <w:lang w:bidi="ar"/>
        </w:rPr>
        <w:t>9</w:t>
      </w:r>
      <w:r>
        <w:rPr>
          <w:rFonts w:cs="Times New Roman"/>
          <w:kern w:val="0"/>
          <w:szCs w:val="24"/>
          <w:lang w:bidi="ar"/>
        </w:rPr>
        <w:t>种（属）；苏贝希沟</w:t>
      </w:r>
      <w:r>
        <w:rPr>
          <w:rFonts w:cs="Times New Roman"/>
          <w:kern w:val="0"/>
          <w:szCs w:val="24"/>
          <w:lang w:bidi="ar"/>
        </w:rPr>
        <w:t>-</w:t>
      </w:r>
      <w:r>
        <w:rPr>
          <w:rFonts w:cs="Times New Roman"/>
          <w:kern w:val="0"/>
          <w:szCs w:val="24"/>
          <w:lang w:bidi="ar"/>
        </w:rPr>
        <w:t>加依洛萨依河最少，</w:t>
      </w:r>
      <w:r>
        <w:rPr>
          <w:rFonts w:cs="Times New Roman"/>
          <w:kern w:val="0"/>
          <w:szCs w:val="24"/>
          <w:lang w:bidi="ar"/>
        </w:rPr>
        <w:t>仅</w:t>
      </w:r>
      <w:r>
        <w:rPr>
          <w:rFonts w:cs="Times New Roman"/>
          <w:kern w:val="0"/>
          <w:szCs w:val="24"/>
          <w:lang w:bidi="ar"/>
        </w:rPr>
        <w:t>7</w:t>
      </w:r>
      <w:r>
        <w:rPr>
          <w:rFonts w:cs="Times New Roman"/>
          <w:kern w:val="0"/>
          <w:szCs w:val="24"/>
          <w:lang w:bidi="ar"/>
        </w:rPr>
        <w:t>种（属）。</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②</w:t>
      </w:r>
      <w:r>
        <w:rPr>
          <w:rFonts w:cs="Times New Roman"/>
          <w:kern w:val="0"/>
          <w:szCs w:val="24"/>
          <w:lang w:bidi="ar"/>
        </w:rPr>
        <w:t>优势种</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柯坪河</w:t>
      </w:r>
      <w:r>
        <w:rPr>
          <w:rFonts w:cs="Times New Roman"/>
          <w:kern w:val="0"/>
          <w:szCs w:val="24"/>
          <w:lang w:bidi="ar"/>
        </w:rPr>
        <w:t>浮游植物优势种类主要有鞘丝藻、针杆藻、颤丝藻</w:t>
      </w:r>
      <w:r>
        <w:rPr>
          <w:rFonts w:cs="Times New Roman"/>
          <w:kern w:val="0"/>
          <w:szCs w:val="24"/>
          <w:lang w:bidi="ar"/>
        </w:rPr>
        <w:t>等</w:t>
      </w:r>
      <w:r>
        <w:rPr>
          <w:rFonts w:cs="Times New Roman"/>
          <w:kern w:val="0"/>
          <w:szCs w:val="24"/>
          <w:lang w:bidi="ar"/>
        </w:rPr>
        <w:t>片藻、曲壳藻、桥弯藻、颤藻、羽纹藻。</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w:t>
      </w:r>
      <w:r>
        <w:rPr>
          <w:rFonts w:cs="Times New Roman"/>
          <w:kern w:val="0"/>
          <w:szCs w:val="24"/>
          <w:lang w:bidi="ar"/>
        </w:rPr>
        <w:t>2</w:t>
      </w:r>
      <w:r>
        <w:rPr>
          <w:rFonts w:cs="Times New Roman"/>
          <w:kern w:val="0"/>
          <w:szCs w:val="24"/>
          <w:lang w:bidi="ar"/>
        </w:rPr>
        <w:t>）浮游动物</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①</w:t>
      </w:r>
      <w:r>
        <w:rPr>
          <w:rFonts w:cs="Times New Roman"/>
          <w:kern w:val="0"/>
          <w:szCs w:val="24"/>
          <w:lang w:bidi="ar"/>
        </w:rPr>
        <w:t>种类</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柯坪河</w:t>
      </w:r>
      <w:r>
        <w:rPr>
          <w:rFonts w:cs="Times New Roman"/>
          <w:kern w:val="0"/>
          <w:szCs w:val="24"/>
          <w:lang w:bidi="ar"/>
        </w:rPr>
        <w:t>各采样点共鉴定浮游动物</w:t>
      </w:r>
      <w:r>
        <w:rPr>
          <w:rFonts w:cs="Times New Roman"/>
          <w:kern w:val="0"/>
          <w:szCs w:val="24"/>
          <w:lang w:bidi="ar"/>
        </w:rPr>
        <w:t>3</w:t>
      </w:r>
      <w:r>
        <w:rPr>
          <w:rFonts w:cs="Times New Roman"/>
          <w:kern w:val="0"/>
          <w:szCs w:val="24"/>
          <w:lang w:bidi="ar"/>
        </w:rPr>
        <w:t>门</w:t>
      </w:r>
      <w:r>
        <w:rPr>
          <w:rFonts w:cs="Times New Roman"/>
          <w:kern w:val="0"/>
          <w:szCs w:val="24"/>
          <w:lang w:bidi="ar"/>
        </w:rPr>
        <w:t>18</w:t>
      </w:r>
      <w:r>
        <w:rPr>
          <w:rFonts w:cs="Times New Roman"/>
          <w:kern w:val="0"/>
          <w:szCs w:val="24"/>
          <w:lang w:bidi="ar"/>
        </w:rPr>
        <w:t>种（属），其中轮虫</w:t>
      </w:r>
      <w:r>
        <w:rPr>
          <w:rFonts w:cs="Times New Roman"/>
          <w:kern w:val="0"/>
          <w:szCs w:val="24"/>
          <w:lang w:bidi="ar"/>
        </w:rPr>
        <w:t>1</w:t>
      </w:r>
      <w:r>
        <w:rPr>
          <w:rFonts w:cs="Times New Roman"/>
          <w:kern w:val="0"/>
          <w:szCs w:val="24"/>
          <w:lang w:bidi="ar"/>
        </w:rPr>
        <w:t>0</w:t>
      </w:r>
      <w:r>
        <w:rPr>
          <w:rFonts w:cs="Times New Roman"/>
          <w:kern w:val="0"/>
          <w:szCs w:val="24"/>
          <w:lang w:bidi="ar"/>
        </w:rPr>
        <w:t>种（属），占总种（属）数的</w:t>
      </w:r>
      <w:r>
        <w:rPr>
          <w:rFonts w:cs="Times New Roman"/>
          <w:kern w:val="0"/>
          <w:szCs w:val="24"/>
          <w:lang w:bidi="ar"/>
        </w:rPr>
        <w:t>5</w:t>
      </w:r>
      <w:r>
        <w:rPr>
          <w:rFonts w:cs="Times New Roman"/>
          <w:kern w:val="0"/>
          <w:szCs w:val="24"/>
          <w:lang w:bidi="ar"/>
        </w:rPr>
        <w:t>5.56</w:t>
      </w:r>
      <w:r>
        <w:rPr>
          <w:rFonts w:cs="Times New Roman"/>
          <w:kern w:val="0"/>
          <w:szCs w:val="24"/>
          <w:lang w:bidi="ar"/>
        </w:rPr>
        <w:t>%</w:t>
      </w:r>
      <w:r>
        <w:rPr>
          <w:rFonts w:cs="Times New Roman"/>
          <w:kern w:val="0"/>
          <w:szCs w:val="24"/>
          <w:lang w:bidi="ar"/>
        </w:rPr>
        <w:t>；原生动物</w:t>
      </w:r>
      <w:r>
        <w:rPr>
          <w:rFonts w:cs="Times New Roman"/>
          <w:kern w:val="0"/>
          <w:szCs w:val="24"/>
          <w:lang w:bidi="ar"/>
        </w:rPr>
        <w:t>6</w:t>
      </w:r>
      <w:r>
        <w:rPr>
          <w:rFonts w:cs="Times New Roman"/>
          <w:kern w:val="0"/>
          <w:szCs w:val="24"/>
          <w:lang w:bidi="ar"/>
        </w:rPr>
        <w:t>种（属），占总种（属）数的</w:t>
      </w:r>
      <w:r>
        <w:rPr>
          <w:rFonts w:cs="Times New Roman"/>
          <w:kern w:val="0"/>
          <w:szCs w:val="24"/>
          <w:lang w:bidi="ar"/>
        </w:rPr>
        <w:t>33.33</w:t>
      </w:r>
      <w:r>
        <w:rPr>
          <w:rFonts w:cs="Times New Roman"/>
          <w:kern w:val="0"/>
          <w:szCs w:val="24"/>
          <w:lang w:bidi="ar"/>
        </w:rPr>
        <w:t>%</w:t>
      </w:r>
      <w:r>
        <w:rPr>
          <w:rFonts w:cs="Times New Roman"/>
          <w:kern w:val="0"/>
          <w:szCs w:val="24"/>
          <w:lang w:bidi="ar"/>
        </w:rPr>
        <w:t>；桡足类</w:t>
      </w:r>
      <w:r>
        <w:rPr>
          <w:rFonts w:cs="Times New Roman"/>
          <w:kern w:val="0"/>
          <w:szCs w:val="24"/>
          <w:lang w:bidi="ar"/>
        </w:rPr>
        <w:t>2</w:t>
      </w:r>
      <w:r>
        <w:rPr>
          <w:rFonts w:cs="Times New Roman"/>
          <w:kern w:val="0"/>
          <w:szCs w:val="24"/>
          <w:lang w:bidi="ar"/>
        </w:rPr>
        <w:t>种（属），占总种（属）数</w:t>
      </w:r>
      <w:r>
        <w:rPr>
          <w:rFonts w:cs="Times New Roman"/>
          <w:kern w:val="0"/>
          <w:szCs w:val="24"/>
          <w:lang w:bidi="ar"/>
        </w:rPr>
        <w:t>11.11</w:t>
      </w:r>
      <w:r>
        <w:rPr>
          <w:rFonts w:cs="Times New Roman"/>
          <w:kern w:val="0"/>
          <w:szCs w:val="24"/>
          <w:lang w:bidi="ar"/>
        </w:rPr>
        <w:t>%</w:t>
      </w:r>
      <w:r>
        <w:rPr>
          <w:rFonts w:cs="Times New Roman"/>
          <w:kern w:val="0"/>
          <w:szCs w:val="24"/>
          <w:lang w:bidi="ar"/>
        </w:rPr>
        <w:t>。</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②</w:t>
      </w:r>
      <w:r>
        <w:rPr>
          <w:rFonts w:cs="Times New Roman"/>
          <w:kern w:val="0"/>
          <w:szCs w:val="24"/>
          <w:lang w:bidi="ar"/>
        </w:rPr>
        <w:t>优势种</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柯坪河大桥</w:t>
      </w:r>
      <w:r>
        <w:rPr>
          <w:rFonts w:cs="Times New Roman"/>
          <w:kern w:val="0"/>
          <w:szCs w:val="24"/>
          <w:lang w:bidi="ar"/>
        </w:rPr>
        <w:t>浮游动物优势种类主要有针簇多肢轮虫、表壳虫；苏贝希沟</w:t>
      </w:r>
      <w:r>
        <w:rPr>
          <w:rFonts w:cs="Times New Roman"/>
          <w:kern w:val="0"/>
          <w:szCs w:val="24"/>
          <w:lang w:bidi="ar"/>
        </w:rPr>
        <w:t>-</w:t>
      </w:r>
      <w:r>
        <w:rPr>
          <w:rFonts w:cs="Times New Roman"/>
          <w:kern w:val="0"/>
          <w:szCs w:val="24"/>
          <w:lang w:bidi="ar"/>
        </w:rPr>
        <w:t>加依洛萨依河浮游动物优势种类主要有砂壳虫、晶囊轮虫和桡足幼体；斯迪克村浮游动物优势种类主要有游朴虫、矩形龟甲轮虫。</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w:t>
      </w:r>
      <w:r>
        <w:rPr>
          <w:rFonts w:cs="Times New Roman"/>
          <w:kern w:val="0"/>
          <w:szCs w:val="24"/>
          <w:lang w:bidi="ar"/>
        </w:rPr>
        <w:t>3</w:t>
      </w:r>
      <w:r>
        <w:rPr>
          <w:rFonts w:cs="Times New Roman"/>
          <w:kern w:val="0"/>
          <w:szCs w:val="24"/>
          <w:lang w:bidi="ar"/>
        </w:rPr>
        <w:t>）底栖动物</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在</w:t>
      </w:r>
      <w:r>
        <w:rPr>
          <w:rFonts w:cs="Times New Roman"/>
          <w:kern w:val="0"/>
          <w:szCs w:val="24"/>
          <w:lang w:bidi="ar"/>
        </w:rPr>
        <w:t>柯坪河</w:t>
      </w:r>
      <w:r>
        <w:rPr>
          <w:rFonts w:cs="Times New Roman"/>
          <w:kern w:val="0"/>
          <w:szCs w:val="24"/>
          <w:lang w:bidi="ar"/>
        </w:rPr>
        <w:t>共采集到底栖动物</w:t>
      </w:r>
      <w:r>
        <w:rPr>
          <w:rFonts w:cs="Times New Roman"/>
          <w:kern w:val="0"/>
          <w:szCs w:val="24"/>
          <w:lang w:bidi="ar"/>
        </w:rPr>
        <w:t>7</w:t>
      </w:r>
      <w:r>
        <w:rPr>
          <w:rFonts w:cs="Times New Roman"/>
          <w:kern w:val="0"/>
          <w:szCs w:val="24"/>
          <w:lang w:bidi="ar"/>
        </w:rPr>
        <w:t>种（属），隶属于</w:t>
      </w:r>
      <w:r>
        <w:rPr>
          <w:rFonts w:cs="Times New Roman"/>
          <w:kern w:val="0"/>
          <w:szCs w:val="24"/>
          <w:lang w:bidi="ar"/>
        </w:rPr>
        <w:t>1</w:t>
      </w:r>
      <w:r>
        <w:rPr>
          <w:rFonts w:cs="Times New Roman"/>
          <w:kern w:val="0"/>
          <w:szCs w:val="24"/>
          <w:lang w:bidi="ar"/>
        </w:rPr>
        <w:t>门</w:t>
      </w:r>
      <w:r>
        <w:rPr>
          <w:rFonts w:cs="Times New Roman"/>
          <w:kern w:val="0"/>
          <w:szCs w:val="24"/>
          <w:lang w:bidi="ar"/>
        </w:rPr>
        <w:t>2</w:t>
      </w:r>
      <w:r>
        <w:rPr>
          <w:rFonts w:cs="Times New Roman"/>
          <w:kern w:val="0"/>
          <w:szCs w:val="24"/>
          <w:lang w:bidi="ar"/>
        </w:rPr>
        <w:t>纲</w:t>
      </w:r>
      <w:r>
        <w:rPr>
          <w:rFonts w:cs="Times New Roman"/>
          <w:kern w:val="0"/>
          <w:szCs w:val="24"/>
          <w:lang w:bidi="ar"/>
        </w:rPr>
        <w:t>4</w:t>
      </w:r>
      <w:r>
        <w:rPr>
          <w:rFonts w:cs="Times New Roman"/>
          <w:kern w:val="0"/>
          <w:szCs w:val="24"/>
          <w:lang w:bidi="ar"/>
        </w:rPr>
        <w:t>目，</w:t>
      </w:r>
      <w:r>
        <w:rPr>
          <w:rFonts w:cs="Times New Roman"/>
          <w:kern w:val="0"/>
          <w:szCs w:val="24"/>
          <w:lang w:bidi="ar"/>
        </w:rPr>
        <w:t>柯坪河</w:t>
      </w:r>
      <w:r>
        <w:rPr>
          <w:rFonts w:cs="Times New Roman"/>
          <w:kern w:val="0"/>
          <w:szCs w:val="24"/>
          <w:lang w:bidi="ar"/>
        </w:rPr>
        <w:t>中、上游主要为一些喜流水、好低温、适合生存在砂砾卵石底质的种类，至下游铜场水库随着泥沙沉降，有机质增加等，出现双翅目的摇蚊及颤蚓目的种类。</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w:t>
      </w:r>
      <w:r>
        <w:rPr>
          <w:rFonts w:cs="Times New Roman"/>
          <w:kern w:val="0"/>
          <w:szCs w:val="24"/>
          <w:lang w:bidi="ar"/>
        </w:rPr>
        <w:t>4</w:t>
      </w:r>
      <w:r>
        <w:rPr>
          <w:rFonts w:cs="Times New Roman"/>
          <w:kern w:val="0"/>
          <w:szCs w:val="24"/>
          <w:lang w:bidi="ar"/>
        </w:rPr>
        <w:t>）水生高等维管束植物</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水生维管束植物的生长受水环境中的水流速、水温、底质、水体营养状况等的影响。</w:t>
      </w:r>
      <w:r>
        <w:rPr>
          <w:rFonts w:cs="Times New Roman"/>
          <w:kern w:val="0"/>
          <w:szCs w:val="24"/>
          <w:lang w:bidi="ar"/>
        </w:rPr>
        <w:t>柯坪河</w:t>
      </w:r>
      <w:r>
        <w:rPr>
          <w:rFonts w:cs="Times New Roman"/>
          <w:kern w:val="0"/>
          <w:szCs w:val="24"/>
          <w:lang w:bidi="ar"/>
        </w:rPr>
        <w:t>河流基本处于山区，水温低，水流湍急，部分河段水流浑浊，底质多以砂石为主，丰水期山洪暴发频繁，河床不稳定，不适宜水生植物的生长，仅在部分河段的中、下游河道两岸有芦苇分布，且较稀疏，生物量不大。</w:t>
      </w:r>
    </w:p>
    <w:p w:rsidR="00A46452" w:rsidRDefault="009A3928" w:rsidP="00182EED">
      <w:pPr>
        <w:wordWrap w:val="0"/>
        <w:topLinePunct/>
        <w:ind w:firstLine="480"/>
        <w:jc w:val="left"/>
        <w:rPr>
          <w:rFonts w:cs="Times New Roman"/>
        </w:rPr>
      </w:pPr>
      <w:r>
        <w:rPr>
          <w:rFonts w:cs="Times New Roman"/>
          <w:kern w:val="0"/>
          <w:szCs w:val="24"/>
          <w:lang w:bidi="ar"/>
        </w:rPr>
        <w:t>（</w:t>
      </w:r>
      <w:r>
        <w:rPr>
          <w:rFonts w:cs="Times New Roman"/>
          <w:kern w:val="0"/>
          <w:szCs w:val="24"/>
          <w:lang w:bidi="ar"/>
        </w:rPr>
        <w:t>5</w:t>
      </w:r>
      <w:r>
        <w:rPr>
          <w:rFonts w:cs="Times New Roman"/>
          <w:kern w:val="0"/>
          <w:szCs w:val="24"/>
          <w:lang w:bidi="ar"/>
        </w:rPr>
        <w:t>）鱼类</w:t>
      </w:r>
    </w:p>
    <w:p w:rsidR="00A46452" w:rsidRDefault="009A3928">
      <w:pPr>
        <w:pStyle w:val="28"/>
        <w:spacing w:after="0"/>
        <w:ind w:leftChars="0" w:left="0" w:firstLine="480"/>
        <w:rPr>
          <w:rFonts w:cs="Times New Roman"/>
          <w:kern w:val="0"/>
          <w:szCs w:val="24"/>
          <w:lang w:bidi="ar"/>
        </w:rPr>
      </w:pPr>
      <w:r>
        <w:rPr>
          <w:rFonts w:cs="Times New Roman"/>
          <w:kern w:val="0"/>
          <w:szCs w:val="24"/>
          <w:lang w:bidi="ar"/>
        </w:rPr>
        <w:t>柯坪河当前鱼类资源极度贫乏且以耐盐碱小型土著鱼类为主（如高原鳅），大型经济鱼种或濒危物种的存在概率极低。在</w:t>
      </w:r>
      <w:r>
        <w:rPr>
          <w:rFonts w:cs="Times New Roman"/>
          <w:kern w:val="0"/>
          <w:szCs w:val="24"/>
          <w:lang w:bidi="ar"/>
        </w:rPr>
        <w:t>柯坪河发现</w:t>
      </w:r>
      <w:r>
        <w:rPr>
          <w:rFonts w:cs="Times New Roman"/>
          <w:kern w:val="0"/>
          <w:szCs w:val="24"/>
          <w:lang w:bidi="ar"/>
        </w:rPr>
        <w:t>1</w:t>
      </w:r>
      <w:r>
        <w:rPr>
          <w:rFonts w:cs="Times New Roman"/>
          <w:kern w:val="0"/>
          <w:szCs w:val="24"/>
          <w:lang w:bidi="ar"/>
        </w:rPr>
        <w:t>种鱼类，为土著鱼类，隶属于</w:t>
      </w:r>
      <w:r>
        <w:rPr>
          <w:rFonts w:cs="Times New Roman"/>
          <w:kern w:val="0"/>
          <w:szCs w:val="24"/>
          <w:lang w:bidi="ar"/>
        </w:rPr>
        <w:t>1</w:t>
      </w:r>
      <w:r>
        <w:rPr>
          <w:rFonts w:cs="Times New Roman"/>
          <w:kern w:val="0"/>
          <w:szCs w:val="24"/>
          <w:lang w:bidi="ar"/>
        </w:rPr>
        <w:t>目</w:t>
      </w:r>
      <w:r>
        <w:rPr>
          <w:rFonts w:cs="Times New Roman"/>
          <w:kern w:val="0"/>
          <w:szCs w:val="24"/>
          <w:lang w:bidi="ar"/>
        </w:rPr>
        <w:t>1</w:t>
      </w:r>
      <w:r>
        <w:rPr>
          <w:rFonts w:cs="Times New Roman"/>
          <w:kern w:val="0"/>
          <w:szCs w:val="24"/>
          <w:lang w:bidi="ar"/>
        </w:rPr>
        <w:t>科</w:t>
      </w:r>
      <w:r>
        <w:rPr>
          <w:rFonts w:cs="Times New Roman"/>
          <w:kern w:val="0"/>
          <w:szCs w:val="24"/>
          <w:lang w:bidi="ar"/>
        </w:rPr>
        <w:t>1</w:t>
      </w:r>
      <w:r>
        <w:rPr>
          <w:rFonts w:cs="Times New Roman"/>
          <w:kern w:val="0"/>
          <w:szCs w:val="24"/>
          <w:lang w:bidi="ar"/>
        </w:rPr>
        <w:t>属，</w:t>
      </w:r>
      <w:r>
        <w:rPr>
          <w:rFonts w:cs="Times New Roman"/>
          <w:kern w:val="0"/>
          <w:szCs w:val="24"/>
          <w:lang w:bidi="ar"/>
        </w:rPr>
        <w:t>为</w:t>
      </w:r>
      <w:r>
        <w:rPr>
          <w:rFonts w:cs="Times New Roman"/>
          <w:kern w:val="0"/>
          <w:szCs w:val="24"/>
          <w:lang w:bidi="ar"/>
        </w:rPr>
        <w:t>长身高原鳅。</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6.2.8</w:t>
      </w:r>
      <w:r>
        <w:rPr>
          <w:rFonts w:cs="Times New Roman" w:hint="default"/>
          <w:sz w:val="28"/>
          <w:szCs w:val="28"/>
        </w:rPr>
        <w:t>土壤利用现状调查及评价</w:t>
      </w:r>
    </w:p>
    <w:p w:rsidR="00A46452" w:rsidRDefault="009A3928">
      <w:pPr>
        <w:ind w:firstLine="480"/>
        <w:rPr>
          <w:rFonts w:cs="Times New Roman"/>
        </w:rPr>
      </w:pPr>
      <w:r>
        <w:rPr>
          <w:rFonts w:cs="Times New Roman"/>
        </w:rPr>
        <w:t>按照《中国土壤》和《新疆土壤》等著述的土壤分类系统，依据《新疆维吾尔自治区土壤类型图，</w:t>
      </w:r>
      <w:r>
        <w:rPr>
          <w:rFonts w:cs="Times New Roman"/>
        </w:rPr>
        <w:t>1:50</w:t>
      </w:r>
      <w:r>
        <w:rPr>
          <w:rFonts w:cs="Times New Roman"/>
        </w:rPr>
        <w:t>万》，公路沿线（</w:t>
      </w:r>
      <w:r>
        <w:rPr>
          <w:rFonts w:cs="Times New Roman"/>
        </w:rPr>
        <w:t>生态评价范围</w:t>
      </w:r>
      <w:r>
        <w:rPr>
          <w:rFonts w:cs="Times New Roman"/>
        </w:rPr>
        <w:t>）分布的土壤类型主要有：棕漠土</w:t>
      </w:r>
      <w:r>
        <w:rPr>
          <w:rFonts w:cs="Times New Roman"/>
        </w:rPr>
        <w:t>、</w:t>
      </w:r>
      <w:r>
        <w:rPr>
          <w:rFonts w:cs="Times New Roman"/>
        </w:rPr>
        <w:t>漠境盐土</w:t>
      </w:r>
      <w:r>
        <w:rPr>
          <w:rFonts w:cs="Times New Roman"/>
        </w:rPr>
        <w:t>、</w:t>
      </w:r>
      <w:r>
        <w:rPr>
          <w:rFonts w:cs="Times New Roman"/>
        </w:rPr>
        <w:t>灌淤土</w:t>
      </w:r>
      <w:r>
        <w:rPr>
          <w:rFonts w:cs="Times New Roman"/>
        </w:rPr>
        <w:t>、</w:t>
      </w:r>
      <w:r>
        <w:rPr>
          <w:rFonts w:cs="Times New Roman"/>
        </w:rPr>
        <w:t>风沙土</w:t>
      </w:r>
      <w:r>
        <w:rPr>
          <w:rFonts w:cs="Times New Roman"/>
        </w:rPr>
        <w:t>、</w:t>
      </w:r>
      <w:r>
        <w:rPr>
          <w:rFonts w:cs="Times New Roman"/>
        </w:rPr>
        <w:t>草甸土</w:t>
      </w:r>
      <w:r>
        <w:rPr>
          <w:rFonts w:cs="Times New Roman"/>
        </w:rPr>
        <w:t>、</w:t>
      </w:r>
      <w:r>
        <w:rPr>
          <w:rFonts w:cs="Times New Roman"/>
        </w:rPr>
        <w:t>林灌草甸土</w:t>
      </w:r>
      <w:r>
        <w:rPr>
          <w:rFonts w:cs="Times New Roman"/>
        </w:rPr>
        <w:t>、</w:t>
      </w:r>
      <w:r>
        <w:rPr>
          <w:rFonts w:cs="Times New Roman"/>
        </w:rPr>
        <w:t>盐土。</w:t>
      </w:r>
    </w:p>
    <w:p w:rsidR="00A46452" w:rsidRDefault="009A3928">
      <w:pPr>
        <w:ind w:firstLine="480"/>
        <w:rPr>
          <w:rFonts w:cs="Times New Roman"/>
        </w:rPr>
      </w:pPr>
      <w:r>
        <w:rPr>
          <w:rFonts w:cs="Times New Roman"/>
        </w:rPr>
        <w:t>拟建公路沿线土壤类型主要为荒漠风沙土、结壳盐土、潮土等。其中漠境盐土分布最为广泛，在评价区内分布面积约为</w:t>
      </w:r>
      <w:r>
        <w:rPr>
          <w:rFonts w:cs="Times New Roman"/>
        </w:rPr>
        <w:t>27.45</w:t>
      </w:r>
      <w:r>
        <w:rPr>
          <w:rFonts w:cs="Times New Roman"/>
        </w:rPr>
        <w:t>km</w:t>
      </w:r>
      <w:r>
        <w:rPr>
          <w:rFonts w:cs="Times New Roman"/>
          <w:vertAlign w:val="superscript"/>
        </w:rPr>
        <w:t>2</w:t>
      </w:r>
      <w:r>
        <w:rPr>
          <w:rFonts w:cs="Times New Roman"/>
        </w:rPr>
        <w:t>，占比约为</w:t>
      </w:r>
      <w:r>
        <w:rPr>
          <w:rFonts w:cs="Times New Roman"/>
        </w:rPr>
        <w:t>23.63</w:t>
      </w:r>
      <w:r>
        <w:rPr>
          <w:rFonts w:cs="Times New Roman"/>
        </w:rPr>
        <w:t>%</w:t>
      </w:r>
      <w:r>
        <w:rPr>
          <w:rFonts w:cs="Times New Roman"/>
        </w:rPr>
        <w:t>。漠境盐土主要分布在</w:t>
      </w:r>
      <w:r>
        <w:rPr>
          <w:rFonts w:cs="Times New Roman"/>
        </w:rPr>
        <w:t>K3</w:t>
      </w:r>
      <w:r>
        <w:rPr>
          <w:rFonts w:cs="Times New Roman"/>
        </w:rPr>
        <w:t>1</w:t>
      </w:r>
      <w:r>
        <w:rPr>
          <w:rFonts w:cs="Times New Roman"/>
        </w:rPr>
        <w:t>+</w:t>
      </w:r>
      <w:r>
        <w:rPr>
          <w:rFonts w:cs="Times New Roman"/>
        </w:rPr>
        <w:t>6</w:t>
      </w:r>
      <w:r>
        <w:rPr>
          <w:rFonts w:cs="Times New Roman"/>
        </w:rPr>
        <w:t>60</w:t>
      </w:r>
      <w:r>
        <w:rPr>
          <w:rFonts w:cs="Times New Roman"/>
        </w:rPr>
        <w:t>～</w:t>
      </w:r>
      <w:r>
        <w:rPr>
          <w:rFonts w:cs="Times New Roman"/>
        </w:rPr>
        <w:t>K</w:t>
      </w:r>
      <w:r>
        <w:rPr>
          <w:rFonts w:cs="Times New Roman"/>
        </w:rPr>
        <w:t>44</w:t>
      </w:r>
      <w:r>
        <w:rPr>
          <w:rFonts w:cs="Times New Roman"/>
        </w:rPr>
        <w:t>+</w:t>
      </w:r>
      <w:r>
        <w:rPr>
          <w:rFonts w:cs="Times New Roman"/>
        </w:rPr>
        <w:t>0</w:t>
      </w:r>
      <w:r>
        <w:rPr>
          <w:rFonts w:cs="Times New Roman"/>
        </w:rPr>
        <w:t>20</w:t>
      </w:r>
      <w:r>
        <w:rPr>
          <w:rFonts w:cs="Times New Roman"/>
        </w:rPr>
        <w:t>、</w:t>
      </w:r>
      <w:r>
        <w:rPr>
          <w:rFonts w:cs="Times New Roman"/>
        </w:rPr>
        <w:t>K</w:t>
      </w:r>
      <w:r>
        <w:rPr>
          <w:rFonts w:cs="Times New Roman"/>
        </w:rPr>
        <w:t>53</w:t>
      </w:r>
      <w:r>
        <w:rPr>
          <w:rFonts w:cs="Times New Roman"/>
        </w:rPr>
        <w:t>+020</w:t>
      </w:r>
      <w:r>
        <w:rPr>
          <w:rFonts w:cs="Times New Roman"/>
        </w:rPr>
        <w:t>～</w:t>
      </w:r>
      <w:r>
        <w:rPr>
          <w:rFonts w:cs="Times New Roman"/>
        </w:rPr>
        <w:t>K63+080</w:t>
      </w:r>
      <w:r>
        <w:rPr>
          <w:rFonts w:cs="Times New Roman"/>
        </w:rPr>
        <w:t>、</w:t>
      </w:r>
      <w:r>
        <w:rPr>
          <w:rFonts w:cs="Times New Roman"/>
        </w:rPr>
        <w:t>K</w:t>
      </w:r>
      <w:r>
        <w:rPr>
          <w:rFonts w:cs="Times New Roman"/>
        </w:rPr>
        <w:t>66</w:t>
      </w:r>
      <w:r>
        <w:rPr>
          <w:rFonts w:cs="Times New Roman"/>
        </w:rPr>
        <w:t>+200</w:t>
      </w:r>
      <w:r>
        <w:rPr>
          <w:rFonts w:cs="Times New Roman"/>
        </w:rPr>
        <w:t>～</w:t>
      </w:r>
      <w:r>
        <w:rPr>
          <w:rFonts w:cs="Times New Roman"/>
        </w:rPr>
        <w:t>K</w:t>
      </w:r>
      <w:r>
        <w:rPr>
          <w:rFonts w:cs="Times New Roman"/>
        </w:rPr>
        <w:t>69</w:t>
      </w:r>
      <w:r>
        <w:rPr>
          <w:rFonts w:cs="Times New Roman"/>
        </w:rPr>
        <w:t>+</w:t>
      </w:r>
      <w:r>
        <w:rPr>
          <w:rFonts w:cs="Times New Roman"/>
        </w:rPr>
        <w:t>5</w:t>
      </w:r>
      <w:r>
        <w:rPr>
          <w:rFonts w:cs="Times New Roman"/>
        </w:rPr>
        <w:t>40</w:t>
      </w:r>
      <w:r>
        <w:rPr>
          <w:rFonts w:cs="Times New Roman"/>
        </w:rPr>
        <w:t>和</w:t>
      </w:r>
      <w:r>
        <w:rPr>
          <w:rFonts w:cs="Times New Roman"/>
        </w:rPr>
        <w:t>K73+140</w:t>
      </w:r>
      <w:r>
        <w:rPr>
          <w:rFonts w:cs="Times New Roman"/>
        </w:rPr>
        <w:t>～</w:t>
      </w:r>
      <w:r>
        <w:rPr>
          <w:rFonts w:cs="Times New Roman"/>
        </w:rPr>
        <w:t>K</w:t>
      </w:r>
      <w:r>
        <w:rPr>
          <w:rFonts w:cs="Times New Roman"/>
        </w:rPr>
        <w:t>78</w:t>
      </w:r>
      <w:r>
        <w:rPr>
          <w:rFonts w:cs="Times New Roman"/>
        </w:rPr>
        <w:t>+</w:t>
      </w:r>
      <w:r>
        <w:rPr>
          <w:rFonts w:cs="Times New Roman"/>
        </w:rPr>
        <w:t>8</w:t>
      </w:r>
      <w:r>
        <w:rPr>
          <w:rFonts w:cs="Times New Roman"/>
        </w:rPr>
        <w:t>20</w:t>
      </w:r>
      <w:r>
        <w:rPr>
          <w:rFonts w:cs="Times New Roman"/>
        </w:rPr>
        <w:t>四</w:t>
      </w:r>
      <w:r>
        <w:rPr>
          <w:rFonts w:cs="Times New Roman"/>
        </w:rPr>
        <w:t>个区；其次为</w:t>
      </w:r>
      <w:r>
        <w:rPr>
          <w:rFonts w:cs="Times New Roman"/>
        </w:rPr>
        <w:t>林灌草甸土</w:t>
      </w:r>
      <w:r>
        <w:rPr>
          <w:rFonts w:cs="Times New Roman"/>
        </w:rPr>
        <w:t>其主要分布在泛，在评价区内分布面积约为</w:t>
      </w:r>
      <w:r>
        <w:rPr>
          <w:rFonts w:cs="Times New Roman"/>
        </w:rPr>
        <w:t>25.33</w:t>
      </w:r>
      <w:r>
        <w:rPr>
          <w:rFonts w:cs="Times New Roman"/>
        </w:rPr>
        <w:t>km</w:t>
      </w:r>
      <w:r>
        <w:rPr>
          <w:rFonts w:cs="Times New Roman"/>
          <w:vertAlign w:val="superscript"/>
        </w:rPr>
        <w:t>2</w:t>
      </w:r>
      <w:r>
        <w:rPr>
          <w:rFonts w:cs="Times New Roman"/>
        </w:rPr>
        <w:t>，占比约为</w:t>
      </w:r>
      <w:r>
        <w:rPr>
          <w:rFonts w:cs="Times New Roman"/>
        </w:rPr>
        <w:t>21.8</w:t>
      </w:r>
      <w:r>
        <w:rPr>
          <w:rFonts w:cs="Times New Roman"/>
        </w:rPr>
        <w:t>1</w:t>
      </w:r>
      <w:r>
        <w:rPr>
          <w:rFonts w:cs="Times New Roman"/>
        </w:rPr>
        <w:t>%</w:t>
      </w:r>
      <w:r>
        <w:rPr>
          <w:rFonts w:cs="Times New Roman"/>
        </w:rPr>
        <w:t>。林灌草甸土</w:t>
      </w:r>
      <w:r>
        <w:rPr>
          <w:rFonts w:cs="Times New Roman"/>
        </w:rPr>
        <w:t>主要分布在</w:t>
      </w:r>
      <w:r>
        <w:rPr>
          <w:rFonts w:cs="Times New Roman"/>
        </w:rPr>
        <w:t>K</w:t>
      </w:r>
      <w:r>
        <w:rPr>
          <w:rFonts w:cs="Times New Roman"/>
        </w:rPr>
        <w:t>5</w:t>
      </w:r>
      <w:r>
        <w:rPr>
          <w:rFonts w:cs="Times New Roman"/>
        </w:rPr>
        <w:t>+</w:t>
      </w:r>
      <w:r>
        <w:rPr>
          <w:rFonts w:cs="Times New Roman"/>
        </w:rPr>
        <w:t>08</w:t>
      </w:r>
      <w:r>
        <w:rPr>
          <w:rFonts w:cs="Times New Roman"/>
        </w:rPr>
        <w:t>0</w:t>
      </w:r>
      <w:r>
        <w:rPr>
          <w:rFonts w:cs="Times New Roman"/>
        </w:rPr>
        <w:t>～</w:t>
      </w:r>
      <w:r>
        <w:rPr>
          <w:rFonts w:cs="Times New Roman"/>
        </w:rPr>
        <w:t>K</w:t>
      </w:r>
      <w:r>
        <w:rPr>
          <w:rFonts w:cs="Times New Roman"/>
        </w:rPr>
        <w:t>8</w:t>
      </w:r>
      <w:r>
        <w:rPr>
          <w:rFonts w:cs="Times New Roman"/>
        </w:rPr>
        <w:t>+400</w:t>
      </w:r>
      <w:r>
        <w:rPr>
          <w:rFonts w:cs="Times New Roman"/>
        </w:rPr>
        <w:t>、</w:t>
      </w:r>
      <w:r>
        <w:rPr>
          <w:rFonts w:cs="Times New Roman"/>
        </w:rPr>
        <w:t>K1</w:t>
      </w:r>
      <w:r>
        <w:rPr>
          <w:rFonts w:cs="Times New Roman"/>
        </w:rPr>
        <w:t>1</w:t>
      </w:r>
      <w:r>
        <w:rPr>
          <w:rFonts w:cs="Times New Roman"/>
        </w:rPr>
        <w:t>+</w:t>
      </w:r>
      <w:r>
        <w:rPr>
          <w:rFonts w:cs="Times New Roman"/>
        </w:rPr>
        <w:t>4</w:t>
      </w:r>
      <w:r>
        <w:rPr>
          <w:rFonts w:cs="Times New Roman"/>
        </w:rPr>
        <w:t>60</w:t>
      </w:r>
      <w:r>
        <w:rPr>
          <w:rFonts w:cs="Times New Roman"/>
        </w:rPr>
        <w:t>～</w:t>
      </w:r>
      <w:r>
        <w:rPr>
          <w:rFonts w:cs="Times New Roman"/>
        </w:rPr>
        <w:t>K</w:t>
      </w:r>
      <w:r>
        <w:rPr>
          <w:rFonts w:cs="Times New Roman"/>
        </w:rPr>
        <w:t>16</w:t>
      </w:r>
      <w:r>
        <w:rPr>
          <w:rFonts w:cs="Times New Roman"/>
        </w:rPr>
        <w:t>+480</w:t>
      </w:r>
      <w:r>
        <w:rPr>
          <w:rFonts w:cs="Times New Roman"/>
        </w:rPr>
        <w:t>、</w:t>
      </w:r>
      <w:r>
        <w:rPr>
          <w:rFonts w:cs="Times New Roman"/>
        </w:rPr>
        <w:t>K</w:t>
      </w:r>
      <w:r>
        <w:rPr>
          <w:rFonts w:cs="Times New Roman"/>
        </w:rPr>
        <w:t>24</w:t>
      </w:r>
      <w:r>
        <w:rPr>
          <w:rFonts w:cs="Times New Roman"/>
        </w:rPr>
        <w:t>+</w:t>
      </w:r>
      <w:r>
        <w:rPr>
          <w:rFonts w:cs="Times New Roman"/>
        </w:rPr>
        <w:t>0</w:t>
      </w:r>
      <w:r>
        <w:rPr>
          <w:rFonts w:cs="Times New Roman"/>
        </w:rPr>
        <w:t>60</w:t>
      </w:r>
      <w:r>
        <w:rPr>
          <w:rFonts w:cs="Times New Roman"/>
        </w:rPr>
        <w:t>～</w:t>
      </w:r>
      <w:r>
        <w:rPr>
          <w:rFonts w:cs="Times New Roman"/>
        </w:rPr>
        <w:t>K3</w:t>
      </w:r>
      <w:r>
        <w:rPr>
          <w:rFonts w:cs="Times New Roman"/>
        </w:rPr>
        <w:t>1</w:t>
      </w:r>
      <w:r>
        <w:rPr>
          <w:rFonts w:cs="Times New Roman"/>
        </w:rPr>
        <w:t>+</w:t>
      </w:r>
      <w:r>
        <w:rPr>
          <w:rFonts w:cs="Times New Roman"/>
        </w:rPr>
        <w:t>6</w:t>
      </w:r>
      <w:r>
        <w:rPr>
          <w:rFonts w:cs="Times New Roman"/>
        </w:rPr>
        <w:t>60</w:t>
      </w:r>
      <w:r>
        <w:rPr>
          <w:rFonts w:cs="Times New Roman"/>
        </w:rPr>
        <w:t>和</w:t>
      </w:r>
      <w:r>
        <w:rPr>
          <w:rFonts w:cs="Times New Roman"/>
        </w:rPr>
        <w:t>K63+080</w:t>
      </w:r>
      <w:r>
        <w:rPr>
          <w:rFonts w:cs="Times New Roman"/>
        </w:rPr>
        <w:t>～</w:t>
      </w:r>
      <w:r>
        <w:rPr>
          <w:rFonts w:cs="Times New Roman"/>
        </w:rPr>
        <w:t>K</w:t>
      </w:r>
      <w:r>
        <w:rPr>
          <w:rFonts w:cs="Times New Roman"/>
        </w:rPr>
        <w:t>66</w:t>
      </w:r>
      <w:r>
        <w:rPr>
          <w:rFonts w:cs="Times New Roman"/>
        </w:rPr>
        <w:t>+200</w:t>
      </w:r>
      <w:r>
        <w:rPr>
          <w:rFonts w:cs="Times New Roman"/>
        </w:rPr>
        <w:t>四个区段；</w:t>
      </w:r>
      <w:r>
        <w:rPr>
          <w:rFonts w:cs="Times New Roman"/>
        </w:rPr>
        <w:t>风沙土</w:t>
      </w:r>
      <w:r>
        <w:rPr>
          <w:rFonts w:cs="Times New Roman"/>
        </w:rPr>
        <w:t>沿拟建公路两侧分布较为广泛，在评价区内分布面积约为</w:t>
      </w:r>
      <w:r>
        <w:rPr>
          <w:rFonts w:cs="Times New Roman"/>
        </w:rPr>
        <w:t>19.30</w:t>
      </w:r>
      <w:r>
        <w:rPr>
          <w:rFonts w:cs="Times New Roman"/>
        </w:rPr>
        <w:t>km</w:t>
      </w:r>
      <w:r>
        <w:rPr>
          <w:rFonts w:cs="Times New Roman"/>
          <w:vertAlign w:val="superscript"/>
        </w:rPr>
        <w:t>2</w:t>
      </w:r>
      <w:r>
        <w:rPr>
          <w:rFonts w:cs="Times New Roman"/>
        </w:rPr>
        <w:t>，占比约为</w:t>
      </w:r>
      <w:r>
        <w:rPr>
          <w:rFonts w:cs="Times New Roman"/>
        </w:rPr>
        <w:t>16.22</w:t>
      </w:r>
      <w:r>
        <w:rPr>
          <w:rFonts w:cs="Times New Roman"/>
        </w:rPr>
        <w:t>%</w:t>
      </w:r>
      <w:r>
        <w:rPr>
          <w:rFonts w:cs="Times New Roman"/>
        </w:rPr>
        <w:t>。荒漠风沙土主要分布在</w:t>
      </w:r>
      <w:r>
        <w:rPr>
          <w:rFonts w:cs="Times New Roman"/>
        </w:rPr>
        <w:t>K</w:t>
      </w:r>
      <w:r>
        <w:rPr>
          <w:rFonts w:cs="Times New Roman"/>
        </w:rPr>
        <w:t>44</w:t>
      </w:r>
      <w:r>
        <w:rPr>
          <w:rFonts w:cs="Times New Roman"/>
        </w:rPr>
        <w:t>+</w:t>
      </w:r>
      <w:r>
        <w:rPr>
          <w:rFonts w:cs="Times New Roman"/>
        </w:rPr>
        <w:t>0</w:t>
      </w:r>
      <w:r>
        <w:rPr>
          <w:rFonts w:cs="Times New Roman"/>
        </w:rPr>
        <w:t>20</w:t>
      </w:r>
      <w:r>
        <w:rPr>
          <w:rFonts w:cs="Times New Roman"/>
        </w:rPr>
        <w:t>～</w:t>
      </w:r>
      <w:r>
        <w:rPr>
          <w:rFonts w:cs="Times New Roman"/>
        </w:rPr>
        <w:t>K</w:t>
      </w:r>
      <w:r>
        <w:rPr>
          <w:rFonts w:cs="Times New Roman"/>
        </w:rPr>
        <w:t>53</w:t>
      </w:r>
      <w:r>
        <w:rPr>
          <w:rFonts w:cs="Times New Roman"/>
        </w:rPr>
        <w:t>+020</w:t>
      </w:r>
      <w:r>
        <w:rPr>
          <w:rFonts w:cs="Times New Roman"/>
        </w:rPr>
        <w:t>、</w:t>
      </w:r>
      <w:r>
        <w:rPr>
          <w:rFonts w:cs="Times New Roman"/>
        </w:rPr>
        <w:t>K</w:t>
      </w:r>
      <w:r>
        <w:rPr>
          <w:rFonts w:cs="Times New Roman"/>
        </w:rPr>
        <w:t>66</w:t>
      </w:r>
      <w:r>
        <w:rPr>
          <w:rFonts w:cs="Times New Roman"/>
        </w:rPr>
        <w:t>+200</w:t>
      </w:r>
      <w:r>
        <w:rPr>
          <w:rFonts w:cs="Times New Roman"/>
        </w:rPr>
        <w:t>～</w:t>
      </w:r>
      <w:r>
        <w:rPr>
          <w:rFonts w:cs="Times New Roman"/>
        </w:rPr>
        <w:t>K</w:t>
      </w:r>
      <w:r>
        <w:rPr>
          <w:rFonts w:cs="Times New Roman"/>
        </w:rPr>
        <w:t>76</w:t>
      </w:r>
      <w:r>
        <w:rPr>
          <w:rFonts w:cs="Times New Roman"/>
        </w:rPr>
        <w:t>+</w:t>
      </w:r>
      <w:r>
        <w:rPr>
          <w:rFonts w:cs="Times New Roman"/>
        </w:rPr>
        <w:t>7</w:t>
      </w:r>
      <w:r>
        <w:rPr>
          <w:rFonts w:cs="Times New Roman"/>
        </w:rPr>
        <w:t>60</w:t>
      </w:r>
      <w:r>
        <w:rPr>
          <w:rFonts w:cs="Times New Roman"/>
        </w:rPr>
        <w:t>、</w:t>
      </w:r>
      <w:r>
        <w:rPr>
          <w:rFonts w:cs="Times New Roman"/>
        </w:rPr>
        <w:t>K</w:t>
      </w:r>
      <w:r>
        <w:rPr>
          <w:rFonts w:cs="Times New Roman"/>
        </w:rPr>
        <w:t>88</w:t>
      </w:r>
      <w:r>
        <w:rPr>
          <w:rFonts w:cs="Times New Roman"/>
        </w:rPr>
        <w:t>+</w:t>
      </w:r>
      <w:r>
        <w:rPr>
          <w:rFonts w:cs="Times New Roman"/>
        </w:rPr>
        <w:t>5</w:t>
      </w:r>
      <w:r>
        <w:rPr>
          <w:rFonts w:cs="Times New Roman"/>
        </w:rPr>
        <w:t>20</w:t>
      </w:r>
      <w:r>
        <w:rPr>
          <w:rFonts w:cs="Times New Roman"/>
        </w:rPr>
        <w:t>～</w:t>
      </w:r>
      <w:r>
        <w:rPr>
          <w:rFonts w:cs="Times New Roman"/>
        </w:rPr>
        <w:t>K</w:t>
      </w:r>
      <w:r>
        <w:rPr>
          <w:rFonts w:cs="Times New Roman"/>
        </w:rPr>
        <w:t>91</w:t>
      </w:r>
      <w:r>
        <w:rPr>
          <w:rFonts w:cs="Times New Roman"/>
        </w:rPr>
        <w:t>+420</w:t>
      </w:r>
      <w:r>
        <w:rPr>
          <w:rFonts w:cs="Times New Roman"/>
        </w:rPr>
        <w:t>三</w:t>
      </w:r>
      <w:r>
        <w:rPr>
          <w:rFonts w:cs="Times New Roman"/>
        </w:rPr>
        <w:t>个区段</w:t>
      </w:r>
      <w:r>
        <w:rPr>
          <w:rFonts w:cs="Times New Roman"/>
        </w:rPr>
        <w:t>；</w:t>
      </w:r>
      <w:r>
        <w:rPr>
          <w:rFonts w:cs="Times New Roman"/>
        </w:rPr>
        <w:t>棕漠土</w:t>
      </w:r>
      <w:r>
        <w:rPr>
          <w:rFonts w:cs="Times New Roman"/>
        </w:rPr>
        <w:t>在评价区内分布面积约为</w:t>
      </w:r>
      <w:r>
        <w:rPr>
          <w:rFonts w:cs="Times New Roman"/>
        </w:rPr>
        <w:t>18.04</w:t>
      </w:r>
      <w:r>
        <w:rPr>
          <w:rFonts w:cs="Times New Roman"/>
        </w:rPr>
        <w:t>km</w:t>
      </w:r>
      <w:r>
        <w:rPr>
          <w:rFonts w:cs="Times New Roman"/>
          <w:vertAlign w:val="superscript"/>
        </w:rPr>
        <w:t>2</w:t>
      </w:r>
      <w:r>
        <w:rPr>
          <w:rFonts w:cs="Times New Roman"/>
        </w:rPr>
        <w:t>，占比约为</w:t>
      </w:r>
      <w:r>
        <w:rPr>
          <w:rFonts w:cs="Times New Roman"/>
        </w:rPr>
        <w:t>15.53</w:t>
      </w:r>
      <w:r>
        <w:rPr>
          <w:rFonts w:cs="Times New Roman"/>
        </w:rPr>
        <w:t>%</w:t>
      </w:r>
      <w:r>
        <w:rPr>
          <w:rFonts w:cs="Times New Roman"/>
        </w:rPr>
        <w:t>，</w:t>
      </w:r>
      <w:r>
        <w:rPr>
          <w:rFonts w:cs="Times New Roman"/>
        </w:rPr>
        <w:t>草甸土</w:t>
      </w:r>
      <w:r>
        <w:rPr>
          <w:rFonts w:cs="Times New Roman"/>
        </w:rPr>
        <w:t>主要分布在</w:t>
      </w:r>
      <w:r>
        <w:rPr>
          <w:rFonts w:cs="Times New Roman"/>
        </w:rPr>
        <w:t>K</w:t>
      </w:r>
      <w:r>
        <w:rPr>
          <w:rFonts w:cs="Times New Roman"/>
        </w:rPr>
        <w:t>78</w:t>
      </w:r>
      <w:r>
        <w:rPr>
          <w:rFonts w:cs="Times New Roman"/>
        </w:rPr>
        <w:t>+</w:t>
      </w:r>
      <w:r>
        <w:rPr>
          <w:rFonts w:cs="Times New Roman"/>
        </w:rPr>
        <w:t>8</w:t>
      </w:r>
      <w:r>
        <w:rPr>
          <w:rFonts w:cs="Times New Roman"/>
        </w:rPr>
        <w:t>20</w:t>
      </w:r>
      <w:r>
        <w:rPr>
          <w:rFonts w:cs="Times New Roman"/>
        </w:rPr>
        <w:t>～</w:t>
      </w:r>
      <w:r>
        <w:rPr>
          <w:rFonts w:cs="Times New Roman"/>
        </w:rPr>
        <w:t>K</w:t>
      </w:r>
      <w:r>
        <w:rPr>
          <w:rFonts w:cs="Times New Roman"/>
        </w:rPr>
        <w:t>88</w:t>
      </w:r>
      <w:r>
        <w:rPr>
          <w:rFonts w:cs="Times New Roman"/>
        </w:rPr>
        <w:t>+</w:t>
      </w:r>
      <w:r>
        <w:rPr>
          <w:rFonts w:cs="Times New Roman"/>
        </w:rPr>
        <w:t>5</w:t>
      </w:r>
      <w:r>
        <w:rPr>
          <w:rFonts w:cs="Times New Roman"/>
        </w:rPr>
        <w:t>20</w:t>
      </w:r>
      <w:r>
        <w:rPr>
          <w:rFonts w:cs="Times New Roman"/>
        </w:rPr>
        <w:t>、</w:t>
      </w:r>
      <w:r>
        <w:rPr>
          <w:rFonts w:cs="Times New Roman"/>
        </w:rPr>
        <w:t>K</w:t>
      </w:r>
      <w:r>
        <w:rPr>
          <w:rFonts w:cs="Times New Roman"/>
        </w:rPr>
        <w:t>91</w:t>
      </w:r>
      <w:r>
        <w:rPr>
          <w:rFonts w:cs="Times New Roman"/>
        </w:rPr>
        <w:t>+420</w:t>
      </w:r>
      <w:r>
        <w:rPr>
          <w:rFonts w:cs="Times New Roman"/>
        </w:rPr>
        <w:t>～</w:t>
      </w:r>
      <w:r>
        <w:rPr>
          <w:rFonts w:cs="Times New Roman"/>
        </w:rPr>
        <w:t>K</w:t>
      </w:r>
      <w:r>
        <w:rPr>
          <w:rFonts w:cs="Times New Roman"/>
        </w:rPr>
        <w:t>99</w:t>
      </w:r>
      <w:r>
        <w:rPr>
          <w:rFonts w:cs="Times New Roman"/>
        </w:rPr>
        <w:t>+</w:t>
      </w:r>
      <w:r>
        <w:rPr>
          <w:rFonts w:cs="Times New Roman"/>
        </w:rPr>
        <w:t>4</w:t>
      </w:r>
      <w:r>
        <w:rPr>
          <w:rFonts w:cs="Times New Roman"/>
        </w:rPr>
        <w:t>20</w:t>
      </w:r>
      <w:r>
        <w:rPr>
          <w:rFonts w:cs="Times New Roman"/>
        </w:rPr>
        <w:t>、</w:t>
      </w:r>
      <w:r>
        <w:rPr>
          <w:rFonts w:cs="Times New Roman"/>
        </w:rPr>
        <w:t>K</w:t>
      </w:r>
      <w:r>
        <w:rPr>
          <w:rFonts w:cs="Times New Roman"/>
        </w:rPr>
        <w:t>103</w:t>
      </w:r>
      <w:r>
        <w:rPr>
          <w:rFonts w:cs="Times New Roman"/>
        </w:rPr>
        <w:t>+</w:t>
      </w:r>
      <w:r>
        <w:rPr>
          <w:rFonts w:cs="Times New Roman"/>
        </w:rPr>
        <w:t>70</w:t>
      </w:r>
      <w:r>
        <w:rPr>
          <w:rFonts w:cs="Times New Roman"/>
        </w:rPr>
        <w:t>0</w:t>
      </w:r>
      <w:r>
        <w:rPr>
          <w:rFonts w:cs="Times New Roman"/>
        </w:rPr>
        <w:t>～</w:t>
      </w:r>
      <w:r>
        <w:rPr>
          <w:rFonts w:cs="Times New Roman"/>
        </w:rPr>
        <w:t>K</w:t>
      </w:r>
      <w:r>
        <w:rPr>
          <w:rFonts w:cs="Times New Roman"/>
        </w:rPr>
        <w:t>107</w:t>
      </w:r>
      <w:r>
        <w:rPr>
          <w:rFonts w:cs="Times New Roman"/>
        </w:rPr>
        <w:t>+</w:t>
      </w:r>
      <w:r>
        <w:rPr>
          <w:rFonts w:cs="Times New Roman"/>
        </w:rPr>
        <w:t>177</w:t>
      </w:r>
      <w:r>
        <w:rPr>
          <w:rFonts w:cs="Times New Roman"/>
        </w:rPr>
        <w:t>三个区段；草甸土</w:t>
      </w:r>
      <w:r>
        <w:rPr>
          <w:rFonts w:cs="Times New Roman"/>
        </w:rPr>
        <w:t>在评价区内分布面积约为</w:t>
      </w:r>
      <w:r>
        <w:rPr>
          <w:rFonts w:cs="Times New Roman"/>
        </w:rPr>
        <w:t>13.10</w:t>
      </w:r>
      <w:r>
        <w:rPr>
          <w:rFonts w:cs="Times New Roman"/>
        </w:rPr>
        <w:t>km</w:t>
      </w:r>
      <w:r>
        <w:rPr>
          <w:rFonts w:cs="Times New Roman"/>
          <w:vertAlign w:val="superscript"/>
        </w:rPr>
        <w:t>2</w:t>
      </w:r>
      <w:r>
        <w:rPr>
          <w:rFonts w:cs="Times New Roman"/>
        </w:rPr>
        <w:t>，占比约为</w:t>
      </w:r>
      <w:r>
        <w:rPr>
          <w:rFonts w:cs="Times New Roman"/>
        </w:rPr>
        <w:t>11.28</w:t>
      </w:r>
      <w:r>
        <w:rPr>
          <w:rFonts w:cs="Times New Roman"/>
        </w:rPr>
        <w:t>%</w:t>
      </w:r>
      <w:r>
        <w:rPr>
          <w:rFonts w:cs="Times New Roman"/>
        </w:rPr>
        <w:t>，</w:t>
      </w:r>
      <w:r>
        <w:rPr>
          <w:rFonts w:cs="Times New Roman"/>
        </w:rPr>
        <w:t>草甸土</w:t>
      </w:r>
      <w:r>
        <w:rPr>
          <w:rFonts w:cs="Times New Roman"/>
        </w:rPr>
        <w:t>主要分布在</w:t>
      </w:r>
      <w:r>
        <w:rPr>
          <w:rFonts w:cs="Times New Roman"/>
        </w:rPr>
        <w:t>K</w:t>
      </w:r>
      <w:r>
        <w:rPr>
          <w:rFonts w:cs="Times New Roman"/>
        </w:rPr>
        <w:t>1+000</w:t>
      </w:r>
      <w:r>
        <w:rPr>
          <w:rFonts w:cs="Times New Roman"/>
        </w:rPr>
        <w:t>～</w:t>
      </w:r>
      <w:r>
        <w:rPr>
          <w:rFonts w:cs="Times New Roman"/>
        </w:rPr>
        <w:t>K</w:t>
      </w:r>
      <w:r>
        <w:rPr>
          <w:rFonts w:cs="Times New Roman"/>
        </w:rPr>
        <w:t>5</w:t>
      </w:r>
      <w:r>
        <w:rPr>
          <w:rFonts w:cs="Times New Roman"/>
        </w:rPr>
        <w:t>+0</w:t>
      </w:r>
      <w:r>
        <w:rPr>
          <w:rFonts w:cs="Times New Roman"/>
        </w:rPr>
        <w:t>8</w:t>
      </w:r>
      <w:r>
        <w:rPr>
          <w:rFonts w:cs="Times New Roman"/>
        </w:rPr>
        <w:t>0</w:t>
      </w:r>
      <w:r>
        <w:rPr>
          <w:rFonts w:cs="Times New Roman"/>
        </w:rPr>
        <w:t>、</w:t>
      </w:r>
      <w:r>
        <w:rPr>
          <w:rFonts w:cs="Times New Roman"/>
        </w:rPr>
        <w:t>K</w:t>
      </w:r>
      <w:r>
        <w:rPr>
          <w:rFonts w:cs="Times New Roman"/>
        </w:rPr>
        <w:t>8</w:t>
      </w:r>
      <w:r>
        <w:rPr>
          <w:rFonts w:cs="Times New Roman"/>
        </w:rPr>
        <w:t>+400</w:t>
      </w:r>
      <w:r>
        <w:rPr>
          <w:rFonts w:cs="Times New Roman"/>
        </w:rPr>
        <w:t>～</w:t>
      </w:r>
      <w:r>
        <w:rPr>
          <w:rFonts w:cs="Times New Roman"/>
        </w:rPr>
        <w:t>K1</w:t>
      </w:r>
      <w:r>
        <w:rPr>
          <w:rFonts w:cs="Times New Roman"/>
        </w:rPr>
        <w:t>1</w:t>
      </w:r>
      <w:r>
        <w:rPr>
          <w:rFonts w:cs="Times New Roman"/>
        </w:rPr>
        <w:t>+</w:t>
      </w:r>
      <w:r>
        <w:rPr>
          <w:rFonts w:cs="Times New Roman"/>
        </w:rPr>
        <w:t>4</w:t>
      </w:r>
      <w:r>
        <w:rPr>
          <w:rFonts w:cs="Times New Roman"/>
        </w:rPr>
        <w:t>60</w:t>
      </w:r>
      <w:r>
        <w:rPr>
          <w:rFonts w:cs="Times New Roman"/>
        </w:rPr>
        <w:t>、</w:t>
      </w:r>
      <w:r>
        <w:rPr>
          <w:rFonts w:cs="Times New Roman"/>
        </w:rPr>
        <w:t>K</w:t>
      </w:r>
      <w:r>
        <w:rPr>
          <w:rFonts w:cs="Times New Roman"/>
        </w:rPr>
        <w:t>99</w:t>
      </w:r>
      <w:r>
        <w:rPr>
          <w:rFonts w:cs="Times New Roman"/>
        </w:rPr>
        <w:t>+</w:t>
      </w:r>
      <w:r>
        <w:rPr>
          <w:rFonts w:cs="Times New Roman"/>
        </w:rPr>
        <w:t>4</w:t>
      </w:r>
      <w:r>
        <w:rPr>
          <w:rFonts w:cs="Times New Roman"/>
        </w:rPr>
        <w:t>20</w:t>
      </w:r>
      <w:r>
        <w:rPr>
          <w:rFonts w:cs="Times New Roman"/>
        </w:rPr>
        <w:t>～</w:t>
      </w:r>
      <w:r>
        <w:rPr>
          <w:rFonts w:cs="Times New Roman"/>
        </w:rPr>
        <w:t>K</w:t>
      </w:r>
      <w:r>
        <w:rPr>
          <w:rFonts w:cs="Times New Roman"/>
        </w:rPr>
        <w:t>103</w:t>
      </w:r>
      <w:r>
        <w:rPr>
          <w:rFonts w:cs="Times New Roman"/>
        </w:rPr>
        <w:t>+</w:t>
      </w:r>
      <w:r>
        <w:rPr>
          <w:rFonts w:cs="Times New Roman"/>
        </w:rPr>
        <w:t>70</w:t>
      </w:r>
      <w:r>
        <w:rPr>
          <w:rFonts w:cs="Times New Roman"/>
        </w:rPr>
        <w:t>0</w:t>
      </w:r>
      <w:r>
        <w:rPr>
          <w:rFonts w:cs="Times New Roman"/>
        </w:rPr>
        <w:t>三个区段；盐土</w:t>
      </w:r>
      <w:r>
        <w:rPr>
          <w:rFonts w:cs="Times New Roman"/>
        </w:rPr>
        <w:t>在评价区内分布面积约为</w:t>
      </w:r>
      <w:r>
        <w:rPr>
          <w:rFonts w:cs="Times New Roman"/>
        </w:rPr>
        <w:t>12.89</w:t>
      </w:r>
      <w:r>
        <w:rPr>
          <w:rFonts w:cs="Times New Roman"/>
        </w:rPr>
        <w:t>km</w:t>
      </w:r>
      <w:r>
        <w:rPr>
          <w:rFonts w:cs="Times New Roman"/>
          <w:vertAlign w:val="superscript"/>
        </w:rPr>
        <w:t>2</w:t>
      </w:r>
      <w:r>
        <w:rPr>
          <w:rFonts w:cs="Times New Roman"/>
        </w:rPr>
        <w:t>，占比约为</w:t>
      </w:r>
      <w:r>
        <w:rPr>
          <w:rFonts w:cs="Times New Roman"/>
        </w:rPr>
        <w:t>11.10</w:t>
      </w:r>
      <w:r>
        <w:rPr>
          <w:rFonts w:cs="Times New Roman"/>
        </w:rPr>
        <w:t>%</w:t>
      </w:r>
      <w:r>
        <w:rPr>
          <w:rFonts w:cs="Times New Roman"/>
        </w:rPr>
        <w:t>，</w:t>
      </w:r>
      <w:r>
        <w:rPr>
          <w:rFonts w:cs="Times New Roman"/>
        </w:rPr>
        <w:t>草甸土</w:t>
      </w:r>
      <w:r>
        <w:rPr>
          <w:rFonts w:cs="Times New Roman"/>
        </w:rPr>
        <w:t>主要分布在</w:t>
      </w:r>
      <w:r>
        <w:rPr>
          <w:rFonts w:cs="Times New Roman"/>
        </w:rPr>
        <w:t>K</w:t>
      </w:r>
      <w:r>
        <w:rPr>
          <w:rFonts w:cs="Times New Roman"/>
        </w:rPr>
        <w:t>16</w:t>
      </w:r>
      <w:r>
        <w:rPr>
          <w:rFonts w:cs="Times New Roman"/>
        </w:rPr>
        <w:t>+480</w:t>
      </w:r>
      <w:r>
        <w:rPr>
          <w:rFonts w:cs="Times New Roman"/>
        </w:rPr>
        <w:t>～</w:t>
      </w:r>
      <w:r>
        <w:rPr>
          <w:rFonts w:cs="Times New Roman"/>
        </w:rPr>
        <w:t>K</w:t>
      </w:r>
      <w:r>
        <w:rPr>
          <w:rFonts w:cs="Times New Roman"/>
        </w:rPr>
        <w:t>24</w:t>
      </w:r>
      <w:r>
        <w:rPr>
          <w:rFonts w:cs="Times New Roman"/>
        </w:rPr>
        <w:t>+</w:t>
      </w:r>
      <w:r>
        <w:rPr>
          <w:rFonts w:cs="Times New Roman"/>
        </w:rPr>
        <w:t>0</w:t>
      </w:r>
      <w:r>
        <w:rPr>
          <w:rFonts w:cs="Times New Roman"/>
        </w:rPr>
        <w:t>60</w:t>
      </w:r>
      <w:r>
        <w:rPr>
          <w:rFonts w:cs="Times New Roman"/>
        </w:rPr>
        <w:t>区段。</w:t>
      </w:r>
    </w:p>
    <w:p w:rsidR="00A46452" w:rsidRDefault="009A3928">
      <w:pPr>
        <w:ind w:firstLine="480"/>
        <w:rPr>
          <w:rFonts w:cs="Times New Roman"/>
        </w:rPr>
      </w:pPr>
      <w:r>
        <w:rPr>
          <w:rFonts w:cs="Times New Roman"/>
        </w:rPr>
        <w:t>本项目沿线主要土壤类型见表</w:t>
      </w:r>
      <w:r>
        <w:rPr>
          <w:rFonts w:cs="Times New Roman" w:hint="eastAsia"/>
        </w:rPr>
        <w:t>6</w:t>
      </w:r>
      <w:r>
        <w:rPr>
          <w:rFonts w:cs="Times New Roman"/>
        </w:rPr>
        <w:t>.2-1</w:t>
      </w:r>
      <w:r>
        <w:rPr>
          <w:rFonts w:cs="Times New Roman" w:hint="eastAsia"/>
        </w:rPr>
        <w:t>4</w:t>
      </w:r>
      <w:r>
        <w:rPr>
          <w:rFonts w:cs="Times New Roman"/>
        </w:rPr>
        <w:t>，土壤分布类型见图</w:t>
      </w:r>
      <w:r>
        <w:rPr>
          <w:rFonts w:cs="Times New Roman" w:hint="eastAsia"/>
        </w:rPr>
        <w:t>6</w:t>
      </w:r>
      <w:r>
        <w:rPr>
          <w:rFonts w:cs="Times New Roman"/>
        </w:rPr>
        <w:t>.2-</w:t>
      </w:r>
      <w:r>
        <w:rPr>
          <w:rFonts w:cs="Times New Roman"/>
        </w:rPr>
        <w:t>6</w:t>
      </w:r>
      <w:r>
        <w:rPr>
          <w:rFonts w:cs="Times New Roman"/>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4</w:t>
      </w:r>
      <w:r>
        <w:rPr>
          <w:rFonts w:ascii="Times New Roman" w:hAnsi="Times New Roman" w:cs="Times New Roman" w:hint="default"/>
          <w:sz w:val="24"/>
          <w:szCs w:val="24"/>
        </w:rPr>
        <w:t xml:space="preserve">       </w:t>
      </w:r>
      <w:r>
        <w:rPr>
          <w:rFonts w:ascii="Times New Roman" w:hAnsi="Times New Roman" w:cs="Times New Roman"/>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土壤类型分类情况及典型土壤基本特征</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5"/>
        <w:gridCol w:w="2158"/>
        <w:gridCol w:w="600"/>
        <w:gridCol w:w="2538"/>
        <w:gridCol w:w="2071"/>
      </w:tblGrid>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序号</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土壤类型</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面积（</w:t>
            </w:r>
            <w:r>
              <w:rPr>
                <w:rFonts w:eastAsiaTheme="minorEastAsia" w:cs="Times New Roman"/>
                <w:kern w:val="0"/>
                <w:sz w:val="18"/>
                <w:szCs w:val="18"/>
              </w:rPr>
              <w:t>k</w:t>
            </w:r>
            <w:r>
              <w:rPr>
                <w:rFonts w:eastAsiaTheme="minorEastAsia" w:cs="Times New Roman"/>
                <w:kern w:val="0"/>
                <w:sz w:val="18"/>
                <w:szCs w:val="18"/>
              </w:rPr>
              <w:t>m</w:t>
            </w:r>
            <w:r>
              <w:rPr>
                <w:rFonts w:eastAsiaTheme="minorEastAsia" w:cs="Times New Roman"/>
                <w:kern w:val="0"/>
                <w:sz w:val="18"/>
                <w:szCs w:val="18"/>
                <w:vertAlign w:val="superscript"/>
              </w:rPr>
              <w:t>2</w:t>
            </w:r>
            <w:r>
              <w:rPr>
                <w:rFonts w:eastAsiaTheme="minorEastAsia" w:cs="Times New Roman"/>
                <w:kern w:val="0"/>
                <w:sz w:val="18"/>
                <w:szCs w:val="18"/>
              </w:rPr>
              <w:t>）</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比例（</w:t>
            </w:r>
            <w:r>
              <w:rPr>
                <w:rFonts w:eastAsiaTheme="minorEastAsia" w:cs="Times New Roman"/>
                <w:kern w:val="0"/>
                <w:sz w:val="18"/>
                <w:szCs w:val="18"/>
              </w:rPr>
              <w:t>%</w:t>
            </w:r>
            <w:r>
              <w:rPr>
                <w:rFonts w:eastAsiaTheme="minorEastAsia" w:cs="Times New Roman"/>
                <w:kern w:val="0"/>
                <w:sz w:val="18"/>
                <w:szCs w:val="18"/>
              </w:rPr>
              <w:t>）</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棕漠土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18.04</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15.53</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2</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漠境盐土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27.45</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23.63</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3</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灌淤土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0.04</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0.03</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4</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风沙土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19.30</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16.62</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5</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草甸土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13.10</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11.28</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6</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林灌草甸土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25.33</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21.81</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7</w:t>
            </w:r>
          </w:p>
        </w:tc>
        <w:tc>
          <w:tcPr>
            <w:tcW w:w="2758" w:type="dxa"/>
            <w:gridSpan w:val="2"/>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盐土</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12.89</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11.10</w:t>
            </w:r>
          </w:p>
        </w:tc>
      </w:tr>
      <w:tr w:rsidR="00A46452">
        <w:tc>
          <w:tcPr>
            <w:tcW w:w="3673" w:type="dxa"/>
            <w:gridSpan w:val="3"/>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合计</w:t>
            </w:r>
          </w:p>
        </w:tc>
        <w:tc>
          <w:tcPr>
            <w:tcW w:w="253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1145.67</w:t>
            </w:r>
          </w:p>
        </w:tc>
        <w:tc>
          <w:tcPr>
            <w:tcW w:w="2071"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100.00</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土类</w:t>
            </w:r>
          </w:p>
        </w:tc>
        <w:tc>
          <w:tcPr>
            <w:tcW w:w="2158"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生物气候条件</w:t>
            </w:r>
          </w:p>
        </w:tc>
        <w:tc>
          <w:tcPr>
            <w:tcW w:w="5209" w:type="dxa"/>
            <w:gridSpan w:val="3"/>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基本特征</w:t>
            </w:r>
          </w:p>
        </w:tc>
      </w:tr>
      <w:tr w:rsidR="00A46452">
        <w:tc>
          <w:tcPr>
            <w:tcW w:w="915" w:type="dxa"/>
            <w:vAlign w:val="center"/>
          </w:tcPr>
          <w:p w:rsidR="00A46452" w:rsidRDefault="009A3928">
            <w:pPr>
              <w:spacing w:line="240" w:lineRule="atLeast"/>
              <w:ind w:firstLineChars="0" w:firstLine="0"/>
              <w:jc w:val="center"/>
              <w:rPr>
                <w:rFonts w:cs="Times New Roman"/>
                <w:snapToGrid w:val="0"/>
              </w:rPr>
            </w:pPr>
            <w:r>
              <w:rPr>
                <w:rFonts w:eastAsiaTheme="minorEastAsia" w:cs="Times New Roman"/>
                <w:kern w:val="0"/>
                <w:sz w:val="18"/>
                <w:szCs w:val="18"/>
              </w:rPr>
              <w:t>风沙土</w:t>
            </w:r>
          </w:p>
        </w:tc>
        <w:tc>
          <w:tcPr>
            <w:tcW w:w="2158" w:type="dxa"/>
            <w:vAlign w:val="center"/>
          </w:tcPr>
          <w:p w:rsidR="00A46452" w:rsidRDefault="009A3928">
            <w:pPr>
              <w:spacing w:line="240" w:lineRule="atLeast"/>
              <w:ind w:firstLineChars="0" w:firstLine="0"/>
              <w:rPr>
                <w:rFonts w:cs="Times New Roman"/>
                <w:snapToGrid w:val="0"/>
              </w:rPr>
            </w:pPr>
            <w:r>
              <w:rPr>
                <w:rFonts w:eastAsiaTheme="minorEastAsia" w:cs="Times New Roman"/>
                <w:kern w:val="0"/>
                <w:sz w:val="18"/>
                <w:szCs w:val="18"/>
              </w:rPr>
              <w:t>大陆性气候明显，干旱少雨，年降雨量＜</w:t>
            </w:r>
            <w:r>
              <w:rPr>
                <w:rFonts w:eastAsiaTheme="minorEastAsia" w:cs="Times New Roman"/>
                <w:kern w:val="0"/>
                <w:sz w:val="18"/>
                <w:szCs w:val="18"/>
              </w:rPr>
              <w:t>400mm</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以耐旱灌木或半灌木以及耐旱、耐瘠的沙生植物为主，植物稀疏低矮。干旱是风沙土的又一重要性状</w:t>
            </w:r>
            <w:r>
              <w:rPr>
                <w:rFonts w:eastAsiaTheme="minorEastAsia" w:cs="Times New Roman"/>
                <w:kern w:val="0"/>
                <w:sz w:val="18"/>
                <w:szCs w:val="18"/>
              </w:rPr>
              <w:t>，</w:t>
            </w:r>
            <w:r>
              <w:rPr>
                <w:rFonts w:eastAsiaTheme="minorEastAsia" w:cs="Times New Roman"/>
                <w:kern w:val="0"/>
                <w:sz w:val="18"/>
                <w:szCs w:val="18"/>
              </w:rPr>
              <w:t>土壤表层多为干沙层</w:t>
            </w:r>
            <w:r>
              <w:rPr>
                <w:rFonts w:eastAsiaTheme="minorEastAsia" w:cs="Times New Roman"/>
                <w:kern w:val="0"/>
                <w:sz w:val="18"/>
                <w:szCs w:val="18"/>
              </w:rPr>
              <w:t>，</w:t>
            </w:r>
          </w:p>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厚度不一，通常在</w:t>
            </w:r>
            <w:r>
              <w:rPr>
                <w:rFonts w:eastAsiaTheme="minorEastAsia" w:cs="Times New Roman"/>
                <w:kern w:val="0"/>
                <w:sz w:val="18"/>
                <w:szCs w:val="18"/>
              </w:rPr>
              <w:t>10cm</w:t>
            </w:r>
            <w:r>
              <w:rPr>
                <w:rFonts w:eastAsiaTheme="minorEastAsia" w:cs="Times New Roman"/>
                <w:kern w:val="0"/>
                <w:sz w:val="18"/>
                <w:szCs w:val="18"/>
              </w:rPr>
              <w:t>～</w:t>
            </w:r>
            <w:r>
              <w:rPr>
                <w:rFonts w:eastAsiaTheme="minorEastAsia" w:cs="Times New Roman"/>
                <w:kern w:val="0"/>
                <w:sz w:val="18"/>
                <w:szCs w:val="18"/>
              </w:rPr>
              <w:t>20cm</w:t>
            </w:r>
            <w:r>
              <w:rPr>
                <w:rFonts w:eastAsiaTheme="minorEastAsia" w:cs="Times New Roman"/>
                <w:kern w:val="0"/>
                <w:sz w:val="18"/>
                <w:szCs w:val="18"/>
              </w:rPr>
              <w:t>左右，其下含水率也仅</w:t>
            </w:r>
            <w:r>
              <w:rPr>
                <w:rFonts w:eastAsiaTheme="minorEastAsia" w:cs="Times New Roman"/>
                <w:kern w:val="0"/>
                <w:sz w:val="18"/>
                <w:szCs w:val="18"/>
              </w:rPr>
              <w:t>2%</w:t>
            </w:r>
            <w:r>
              <w:rPr>
                <w:rFonts w:eastAsiaTheme="minorEastAsia" w:cs="Times New Roman"/>
                <w:kern w:val="0"/>
                <w:sz w:val="18"/>
                <w:szCs w:val="18"/>
              </w:rPr>
              <w:t>～</w:t>
            </w:r>
            <w:r>
              <w:rPr>
                <w:rFonts w:eastAsiaTheme="minorEastAsia" w:cs="Times New Roman"/>
                <w:kern w:val="0"/>
                <w:sz w:val="18"/>
                <w:szCs w:val="18"/>
              </w:rPr>
              <w:t>3</w:t>
            </w:r>
            <w:r>
              <w:rPr>
                <w:rFonts w:eastAsiaTheme="minorEastAsia" w:cs="Times New Roman"/>
                <w:kern w:val="0"/>
                <w:sz w:val="18"/>
                <w:szCs w:val="18"/>
              </w:rPr>
              <w:t>％。有机质含量低，约在</w:t>
            </w:r>
            <w:r>
              <w:rPr>
                <w:rFonts w:eastAsiaTheme="minorEastAsia" w:cs="Times New Roman"/>
                <w:kern w:val="0"/>
                <w:sz w:val="18"/>
                <w:szCs w:val="18"/>
              </w:rPr>
              <w:t>0.1%</w:t>
            </w:r>
            <w:r>
              <w:rPr>
                <w:rFonts w:eastAsiaTheme="minorEastAsia" w:cs="Times New Roman"/>
                <w:kern w:val="0"/>
                <w:sz w:val="18"/>
                <w:szCs w:val="18"/>
              </w:rPr>
              <w:t>～</w:t>
            </w:r>
            <w:r>
              <w:rPr>
                <w:rFonts w:eastAsiaTheme="minorEastAsia" w:cs="Times New Roman"/>
                <w:kern w:val="0"/>
                <w:sz w:val="18"/>
                <w:szCs w:val="18"/>
              </w:rPr>
              <w:t>1.0</w:t>
            </w:r>
            <w:r>
              <w:rPr>
                <w:rFonts w:eastAsiaTheme="minorEastAsia" w:cs="Times New Roman"/>
                <w:kern w:val="0"/>
                <w:sz w:val="18"/>
                <w:szCs w:val="18"/>
              </w:rPr>
              <w:t>％范围内。</w:t>
            </w:r>
          </w:p>
          <w:p w:rsidR="00A46452" w:rsidRDefault="009A3928">
            <w:pPr>
              <w:spacing w:line="240" w:lineRule="atLeast"/>
              <w:ind w:firstLineChars="0" w:firstLine="0"/>
              <w:rPr>
                <w:rFonts w:cs="Times New Roman"/>
                <w:snapToGrid w:val="0"/>
                <w:sz w:val="18"/>
                <w:szCs w:val="18"/>
              </w:rPr>
            </w:pPr>
            <w:r>
              <w:rPr>
                <w:rFonts w:eastAsiaTheme="minorEastAsia" w:cs="Times New Roman"/>
                <w:kern w:val="0"/>
                <w:sz w:val="18"/>
                <w:szCs w:val="18"/>
              </w:rPr>
              <w:t>厚度不一，通常在</w:t>
            </w:r>
            <w:r>
              <w:rPr>
                <w:rFonts w:eastAsiaTheme="minorEastAsia" w:cs="Times New Roman"/>
                <w:kern w:val="0"/>
                <w:sz w:val="18"/>
                <w:szCs w:val="18"/>
              </w:rPr>
              <w:t>10</w:t>
            </w:r>
            <w:r>
              <w:rPr>
                <w:rFonts w:eastAsiaTheme="minorEastAsia" w:cs="Times New Roman"/>
                <w:kern w:val="0"/>
                <w:sz w:val="18"/>
                <w:szCs w:val="18"/>
              </w:rPr>
              <w:t>cm</w:t>
            </w:r>
            <w:r>
              <w:rPr>
                <w:rFonts w:eastAsiaTheme="minorEastAsia" w:cs="Times New Roman"/>
                <w:kern w:val="0"/>
                <w:sz w:val="18"/>
                <w:szCs w:val="18"/>
              </w:rPr>
              <w:t>～</w:t>
            </w:r>
            <w:r>
              <w:rPr>
                <w:rFonts w:eastAsiaTheme="minorEastAsia" w:cs="Times New Roman"/>
                <w:kern w:val="0"/>
                <w:sz w:val="18"/>
                <w:szCs w:val="18"/>
              </w:rPr>
              <w:t>20</w:t>
            </w:r>
            <w:r>
              <w:rPr>
                <w:rFonts w:eastAsiaTheme="minorEastAsia" w:cs="Times New Roman"/>
                <w:kern w:val="0"/>
                <w:sz w:val="18"/>
                <w:szCs w:val="18"/>
              </w:rPr>
              <w:t>cm</w:t>
            </w:r>
            <w:r>
              <w:rPr>
                <w:rFonts w:eastAsiaTheme="minorEastAsia" w:cs="Times New Roman"/>
                <w:kern w:val="0"/>
                <w:sz w:val="18"/>
                <w:szCs w:val="18"/>
              </w:rPr>
              <w:t>左右</w:t>
            </w:r>
            <w:r>
              <w:rPr>
                <w:rFonts w:eastAsiaTheme="minorEastAsia" w:cs="Times New Roman"/>
                <w:kern w:val="0"/>
                <w:sz w:val="18"/>
                <w:szCs w:val="18"/>
              </w:rPr>
              <w:t>，</w:t>
            </w:r>
            <w:r>
              <w:rPr>
                <w:rFonts w:eastAsiaTheme="minorEastAsia" w:cs="Times New Roman"/>
                <w:kern w:val="0"/>
                <w:sz w:val="18"/>
                <w:szCs w:val="18"/>
              </w:rPr>
              <w:t>其下含水率也仅</w:t>
            </w:r>
            <w:r>
              <w:rPr>
                <w:rFonts w:eastAsiaTheme="minorEastAsia" w:cs="Times New Roman"/>
                <w:kern w:val="0"/>
                <w:sz w:val="18"/>
                <w:szCs w:val="18"/>
              </w:rPr>
              <w:t>2</w:t>
            </w:r>
            <w:r>
              <w:rPr>
                <w:rFonts w:eastAsiaTheme="minorEastAsia" w:cs="Times New Roman"/>
                <w:kern w:val="0"/>
                <w:sz w:val="18"/>
                <w:szCs w:val="18"/>
              </w:rPr>
              <w:t>%</w:t>
            </w:r>
            <w:r>
              <w:rPr>
                <w:rFonts w:eastAsiaTheme="minorEastAsia" w:cs="Times New Roman"/>
                <w:kern w:val="0"/>
                <w:sz w:val="18"/>
                <w:szCs w:val="18"/>
              </w:rPr>
              <w:t>～</w:t>
            </w:r>
            <w:r>
              <w:rPr>
                <w:rFonts w:eastAsiaTheme="minorEastAsia" w:cs="Times New Roman"/>
                <w:kern w:val="0"/>
                <w:sz w:val="18"/>
                <w:szCs w:val="18"/>
              </w:rPr>
              <w:t>3</w:t>
            </w:r>
            <w:r>
              <w:rPr>
                <w:rFonts w:eastAsiaTheme="minorEastAsia" w:cs="Times New Roman"/>
                <w:kern w:val="0"/>
                <w:sz w:val="18"/>
                <w:szCs w:val="18"/>
              </w:rPr>
              <w:t>％。有机质含量低，约在</w:t>
            </w:r>
            <w:r>
              <w:rPr>
                <w:rFonts w:eastAsiaTheme="minorEastAsia" w:cs="Times New Roman"/>
                <w:kern w:val="0"/>
                <w:sz w:val="18"/>
                <w:szCs w:val="18"/>
              </w:rPr>
              <w:t>0.1</w:t>
            </w:r>
            <w:r>
              <w:rPr>
                <w:rFonts w:eastAsiaTheme="minorEastAsia" w:cs="Times New Roman"/>
                <w:kern w:val="0"/>
                <w:sz w:val="18"/>
                <w:szCs w:val="18"/>
              </w:rPr>
              <w:t>%</w:t>
            </w:r>
            <w:r>
              <w:rPr>
                <w:rFonts w:eastAsiaTheme="minorEastAsia" w:cs="Times New Roman"/>
                <w:kern w:val="0"/>
                <w:sz w:val="18"/>
                <w:szCs w:val="18"/>
              </w:rPr>
              <w:t>～</w:t>
            </w:r>
            <w:r>
              <w:rPr>
                <w:rFonts w:eastAsiaTheme="minorEastAsia" w:cs="Times New Roman"/>
                <w:kern w:val="0"/>
                <w:sz w:val="18"/>
                <w:szCs w:val="18"/>
              </w:rPr>
              <w:t>1.0</w:t>
            </w:r>
            <w:r>
              <w:rPr>
                <w:rFonts w:eastAsiaTheme="minorEastAsia" w:cs="Times New Roman"/>
                <w:kern w:val="0"/>
                <w:sz w:val="18"/>
                <w:szCs w:val="18"/>
              </w:rPr>
              <w:t>％范围内。</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盐土</w:t>
            </w:r>
          </w:p>
        </w:tc>
        <w:tc>
          <w:tcPr>
            <w:tcW w:w="2158" w:type="dxa"/>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生长在稀疏的盐生灌丛，含盐轻者可混生耐盐禾草科草本等植物生长而呈现盐漠景观。</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pH</w:t>
            </w:r>
            <w:r>
              <w:rPr>
                <w:rFonts w:eastAsiaTheme="minorEastAsia" w:cs="Times New Roman"/>
                <w:kern w:val="0"/>
                <w:sz w:val="18"/>
                <w:szCs w:val="18"/>
              </w:rPr>
              <w:t>值一般不超过</w:t>
            </w:r>
            <w:r>
              <w:rPr>
                <w:rFonts w:eastAsiaTheme="minorEastAsia" w:cs="Times New Roman"/>
                <w:kern w:val="0"/>
                <w:sz w:val="18"/>
                <w:szCs w:val="18"/>
              </w:rPr>
              <w:t>8.5</w:t>
            </w:r>
            <w:r>
              <w:rPr>
                <w:rFonts w:eastAsiaTheme="minorEastAsia" w:cs="Times New Roman"/>
                <w:kern w:val="0"/>
                <w:sz w:val="18"/>
                <w:szCs w:val="18"/>
              </w:rPr>
              <w:t>。土壤含盐量大于</w:t>
            </w:r>
            <w:r>
              <w:rPr>
                <w:rFonts w:eastAsiaTheme="minorEastAsia" w:cs="Times New Roman"/>
                <w:kern w:val="0"/>
                <w:sz w:val="18"/>
                <w:szCs w:val="18"/>
              </w:rPr>
              <w:t>2%</w:t>
            </w:r>
            <w:r>
              <w:rPr>
                <w:rFonts w:eastAsiaTheme="minorEastAsia" w:cs="Times New Roman"/>
                <w:kern w:val="0"/>
                <w:sz w:val="18"/>
                <w:szCs w:val="18"/>
              </w:rPr>
              <w:t>。聚盐层厚度一般在</w:t>
            </w:r>
            <w:r>
              <w:rPr>
                <w:rFonts w:eastAsiaTheme="minorEastAsia" w:cs="Times New Roman"/>
                <w:kern w:val="0"/>
                <w:sz w:val="18"/>
                <w:szCs w:val="18"/>
              </w:rPr>
              <w:t>10cm</w:t>
            </w:r>
            <w:r>
              <w:rPr>
                <w:rFonts w:eastAsiaTheme="minorEastAsia" w:cs="Times New Roman"/>
                <w:kern w:val="0"/>
                <w:sz w:val="18"/>
                <w:szCs w:val="18"/>
              </w:rPr>
              <w:t>以上，最厚的可达</w:t>
            </w:r>
            <w:r>
              <w:rPr>
                <w:rFonts w:eastAsiaTheme="minorEastAsia" w:cs="Times New Roman"/>
                <w:kern w:val="0"/>
                <w:sz w:val="18"/>
                <w:szCs w:val="18"/>
              </w:rPr>
              <w:t>40cm</w:t>
            </w:r>
            <w:r>
              <w:rPr>
                <w:rFonts w:eastAsiaTheme="minorEastAsia" w:cs="Times New Roman"/>
                <w:kern w:val="0"/>
                <w:sz w:val="18"/>
                <w:szCs w:val="18"/>
              </w:rPr>
              <w:t>～</w:t>
            </w:r>
            <w:r>
              <w:rPr>
                <w:rFonts w:eastAsiaTheme="minorEastAsia" w:cs="Times New Roman"/>
                <w:kern w:val="0"/>
                <w:sz w:val="18"/>
                <w:szCs w:val="18"/>
              </w:rPr>
              <w:t>50cm</w:t>
            </w:r>
            <w:r>
              <w:rPr>
                <w:rFonts w:eastAsiaTheme="minorEastAsia" w:cs="Times New Roman"/>
                <w:kern w:val="0"/>
                <w:sz w:val="18"/>
                <w:szCs w:val="18"/>
              </w:rPr>
              <w:t>。盐土中常见的水溶性盐类有钠、钾、钙、镁的氯化物、硫酸盐、碳酸盐和碳酸氢盐等</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棕漠土</w:t>
            </w:r>
          </w:p>
        </w:tc>
        <w:tc>
          <w:tcPr>
            <w:tcW w:w="2158" w:type="dxa"/>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暖温带极端干旱</w:t>
            </w:r>
          </w:p>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条件下发育的土壤</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棕漠土也称棕色荒漠土，是暖温带</w:t>
            </w:r>
            <w:r>
              <w:rPr>
                <w:rFonts w:eastAsiaTheme="minorEastAsia" w:cs="Times New Roman"/>
                <w:kern w:val="0"/>
                <w:sz w:val="18"/>
                <w:szCs w:val="18"/>
              </w:rPr>
              <w:t>环境</w:t>
            </w:r>
            <w:r>
              <w:rPr>
                <w:rFonts w:eastAsiaTheme="minorEastAsia" w:cs="Times New Roman"/>
                <w:kern w:val="0"/>
                <w:sz w:val="18"/>
                <w:szCs w:val="18"/>
              </w:rPr>
              <w:t>条件下发育的地带性土壤类型。土壤的形成过程完全受</w:t>
            </w:r>
            <w:r>
              <w:rPr>
                <w:rFonts w:eastAsiaTheme="minorEastAsia" w:cs="Times New Roman"/>
                <w:kern w:val="0"/>
                <w:sz w:val="18"/>
                <w:szCs w:val="18"/>
              </w:rPr>
              <w:t>环境</w:t>
            </w:r>
            <w:r>
              <w:rPr>
                <w:rFonts w:eastAsiaTheme="minorEastAsia" w:cs="Times New Roman"/>
                <w:kern w:val="0"/>
                <w:sz w:val="18"/>
                <w:szCs w:val="18"/>
              </w:rPr>
              <w:t>水热条件所左右，碳酸钙、石膏与易溶盐的聚积作用普遍。地表通常为成片的黑色</w:t>
            </w:r>
            <w:r>
              <w:rPr>
                <w:rFonts w:eastAsiaTheme="minorEastAsia" w:cs="Times New Roman"/>
                <w:kern w:val="0"/>
                <w:sz w:val="18"/>
                <w:szCs w:val="18"/>
              </w:rPr>
              <w:t>砾石</w:t>
            </w:r>
            <w:r>
              <w:rPr>
                <w:rFonts w:eastAsiaTheme="minorEastAsia" w:cs="Times New Roman"/>
                <w:kern w:val="0"/>
                <w:sz w:val="18"/>
                <w:szCs w:val="18"/>
              </w:rPr>
              <w:t>，全部表面由砾石或碎石组成。</w:t>
            </w:r>
            <w:r>
              <w:rPr>
                <w:rFonts w:eastAsiaTheme="minorEastAsia" w:cs="Times New Roman"/>
                <w:kern w:val="0"/>
                <w:sz w:val="18"/>
                <w:szCs w:val="18"/>
              </w:rPr>
              <w:t>表面</w:t>
            </w:r>
            <w:r>
              <w:rPr>
                <w:rFonts w:eastAsiaTheme="minorEastAsia" w:cs="Times New Roman"/>
                <w:kern w:val="0"/>
                <w:sz w:val="18"/>
                <w:szCs w:val="18"/>
              </w:rPr>
              <w:t>分化比较明显，腐殖含量极低，多小于</w:t>
            </w:r>
            <w:r>
              <w:rPr>
                <w:rFonts w:eastAsiaTheme="minorEastAsia" w:cs="Times New Roman"/>
                <w:kern w:val="0"/>
                <w:sz w:val="18"/>
                <w:szCs w:val="18"/>
              </w:rPr>
              <w:t>0.3%</w:t>
            </w:r>
            <w:r>
              <w:rPr>
                <w:rFonts w:eastAsiaTheme="minorEastAsia" w:cs="Times New Roman"/>
                <w:kern w:val="0"/>
                <w:sz w:val="18"/>
                <w:szCs w:val="18"/>
              </w:rPr>
              <w:t>，呈碱性反应，土壤代换量很小。</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盐化草甸土</w:t>
            </w:r>
          </w:p>
        </w:tc>
        <w:tc>
          <w:tcPr>
            <w:tcW w:w="2158" w:type="dxa"/>
            <w:vAlign w:val="center"/>
          </w:tcPr>
          <w:p w:rsidR="00A46452" w:rsidRDefault="009A3928">
            <w:pPr>
              <w:widowControl/>
              <w:spacing w:line="240" w:lineRule="atLeast"/>
              <w:ind w:firstLineChars="0" w:firstLine="0"/>
              <w:rPr>
                <w:rFonts w:eastAsiaTheme="minorEastAsia" w:cs="Times New Roman"/>
                <w:kern w:val="0"/>
                <w:sz w:val="18"/>
                <w:szCs w:val="18"/>
              </w:rPr>
            </w:pPr>
            <w:r>
              <w:rPr>
                <w:rFonts w:cs="Times New Roman"/>
                <w:sz w:val="18"/>
                <w:szCs w:val="18"/>
                <w:shd w:val="clear" w:color="auto" w:fill="FDFDFE"/>
              </w:rPr>
              <w:t>区域</w:t>
            </w:r>
            <w:r>
              <w:rPr>
                <w:rFonts w:eastAsia="Segoe UI" w:cs="Times New Roman"/>
                <w:sz w:val="18"/>
                <w:szCs w:val="18"/>
                <w:shd w:val="clear" w:color="auto" w:fill="FDFDFE"/>
              </w:rPr>
              <w:t>年降水量低、蒸发量大、温度适中或偏暖广泛分布于一些沿河地带、封闭洼地、河漫滩以及湖泊周围</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盐化草甸土是由地下水直接参与，在其上发育草甸植被并产生一定生物积累过程的半水成土壤。地下水埋深一般在</w:t>
            </w:r>
            <w:r>
              <w:rPr>
                <w:rFonts w:eastAsiaTheme="minorEastAsia" w:cs="Times New Roman"/>
                <w:kern w:val="0"/>
                <w:sz w:val="18"/>
                <w:szCs w:val="18"/>
              </w:rPr>
              <w:t>1</w:t>
            </w:r>
            <w:r>
              <w:rPr>
                <w:rFonts w:eastAsiaTheme="minorEastAsia" w:cs="Times New Roman"/>
                <w:kern w:val="0"/>
                <w:sz w:val="18"/>
                <w:szCs w:val="18"/>
              </w:rPr>
              <w:t>～</w:t>
            </w:r>
            <w:r>
              <w:rPr>
                <w:rFonts w:eastAsiaTheme="minorEastAsia" w:cs="Times New Roman"/>
                <w:kern w:val="0"/>
                <w:sz w:val="18"/>
                <w:szCs w:val="18"/>
              </w:rPr>
              <w:t>3m</w:t>
            </w:r>
            <w:r>
              <w:rPr>
                <w:rFonts w:eastAsiaTheme="minorEastAsia" w:cs="Times New Roman"/>
                <w:kern w:val="0"/>
                <w:sz w:val="18"/>
                <w:szCs w:val="18"/>
              </w:rPr>
              <w:t>，矿化度</w:t>
            </w:r>
            <w:r>
              <w:rPr>
                <w:rFonts w:eastAsiaTheme="minorEastAsia" w:cs="Times New Roman"/>
                <w:kern w:val="0"/>
                <w:sz w:val="18"/>
                <w:szCs w:val="18"/>
              </w:rPr>
              <w:t>1g/l</w:t>
            </w:r>
            <w:r>
              <w:rPr>
                <w:rFonts w:eastAsiaTheme="minorEastAsia" w:cs="Times New Roman"/>
                <w:kern w:val="0"/>
                <w:sz w:val="18"/>
                <w:szCs w:val="18"/>
              </w:rPr>
              <w:t>～</w:t>
            </w:r>
            <w:r>
              <w:rPr>
                <w:rFonts w:eastAsiaTheme="minorEastAsia" w:cs="Times New Roman"/>
                <w:kern w:val="0"/>
                <w:sz w:val="18"/>
                <w:szCs w:val="18"/>
              </w:rPr>
              <w:t>3g/l</w:t>
            </w:r>
            <w:r>
              <w:rPr>
                <w:rFonts w:eastAsiaTheme="minorEastAsia" w:cs="Times New Roman"/>
                <w:kern w:val="0"/>
                <w:sz w:val="18"/>
                <w:szCs w:val="18"/>
              </w:rPr>
              <w:t>，土壤受地下水浸润。草甸植被发育良好，但类型简单，多见芨芨草和芦苇。盐化草甸土盐分表聚性强，常有</w:t>
            </w:r>
            <w:r>
              <w:rPr>
                <w:rFonts w:eastAsiaTheme="minorEastAsia" w:cs="Times New Roman"/>
                <w:kern w:val="0"/>
                <w:sz w:val="18"/>
                <w:szCs w:val="18"/>
              </w:rPr>
              <w:t>0.5cm</w:t>
            </w:r>
            <w:r>
              <w:rPr>
                <w:rFonts w:eastAsiaTheme="minorEastAsia" w:cs="Times New Roman"/>
                <w:kern w:val="0"/>
                <w:sz w:val="18"/>
                <w:szCs w:val="18"/>
              </w:rPr>
              <w:t>～</w:t>
            </w:r>
            <w:r>
              <w:rPr>
                <w:rFonts w:eastAsiaTheme="minorEastAsia" w:cs="Times New Roman"/>
                <w:kern w:val="0"/>
                <w:sz w:val="18"/>
                <w:szCs w:val="18"/>
              </w:rPr>
              <w:t xml:space="preserve">1.0cm </w:t>
            </w:r>
            <w:r>
              <w:rPr>
                <w:rFonts w:eastAsiaTheme="minorEastAsia" w:cs="Times New Roman"/>
                <w:kern w:val="0"/>
                <w:sz w:val="18"/>
                <w:szCs w:val="18"/>
              </w:rPr>
              <w:t>的盐结皮。</w:t>
            </w:r>
          </w:p>
          <w:p w:rsidR="00A46452" w:rsidRDefault="00A46452">
            <w:pPr>
              <w:widowControl/>
              <w:spacing w:line="240" w:lineRule="atLeast"/>
              <w:ind w:firstLineChars="0" w:firstLine="0"/>
              <w:rPr>
                <w:rFonts w:eastAsiaTheme="minorEastAsia" w:cs="Times New Roman"/>
                <w:kern w:val="0"/>
                <w:sz w:val="18"/>
                <w:szCs w:val="18"/>
              </w:rPr>
            </w:pP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eastAsiaTheme="minorEastAsia" w:cs="Times New Roman"/>
                <w:kern w:val="0"/>
                <w:sz w:val="18"/>
                <w:szCs w:val="18"/>
              </w:rPr>
              <w:t>漠境盐土</w:t>
            </w:r>
          </w:p>
        </w:tc>
        <w:tc>
          <w:tcPr>
            <w:tcW w:w="2158" w:type="dxa"/>
            <w:vAlign w:val="center"/>
          </w:tcPr>
          <w:p w:rsidR="00A46452" w:rsidRDefault="009A3928">
            <w:pPr>
              <w:widowControl/>
              <w:spacing w:line="240" w:lineRule="atLeast"/>
              <w:ind w:firstLineChars="0" w:firstLine="0"/>
              <w:rPr>
                <w:rFonts w:cs="Times New Roman"/>
                <w:sz w:val="18"/>
                <w:szCs w:val="18"/>
                <w:shd w:val="clear" w:color="auto" w:fill="FDFDFE"/>
              </w:rPr>
            </w:pPr>
            <w:r>
              <w:rPr>
                <w:rFonts w:eastAsiaTheme="minorEastAsia" w:cs="Times New Roman"/>
                <w:kern w:val="0"/>
                <w:sz w:val="18"/>
                <w:szCs w:val="18"/>
              </w:rPr>
              <w:t>漠境盐土分布地区气候异常干旱，少雨多风蒸发强烈。</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漠境盐土土体干燥，由于气候极端干旱，强烈蒸发而聚积了大量盐分，在地表形成起伏不平的盐结皮或结壳。地面植被稀疏，覆盖率不及</w:t>
            </w:r>
            <w:r>
              <w:rPr>
                <w:rFonts w:eastAsiaTheme="minorEastAsia" w:cs="Times New Roman"/>
                <w:kern w:val="0"/>
                <w:sz w:val="18"/>
                <w:szCs w:val="18"/>
              </w:rPr>
              <w:t>10%</w:t>
            </w:r>
            <w:r>
              <w:rPr>
                <w:rFonts w:eastAsiaTheme="minorEastAsia" w:cs="Times New Roman"/>
                <w:kern w:val="0"/>
                <w:sz w:val="18"/>
                <w:szCs w:val="18"/>
              </w:rPr>
              <w:t>；主要植被是盐生灌丛，如盐琐琐、盐穗木、盐爪爪、盐生草、</w:t>
            </w:r>
            <w:r>
              <w:rPr>
                <w:rFonts w:eastAsiaTheme="minorEastAsia" w:cs="Times New Roman"/>
                <w:kern w:val="0"/>
                <w:sz w:val="18"/>
                <w:szCs w:val="18"/>
              </w:rPr>
              <w:t>黑刺、骆驼刺等。有的地表光秃，只见少量枯死灌丛而呈现荒漠景观。</w:t>
            </w:r>
          </w:p>
        </w:tc>
      </w:tr>
      <w:tr w:rsidR="00A46452">
        <w:tc>
          <w:tcPr>
            <w:tcW w:w="915" w:type="dxa"/>
            <w:vAlign w:val="center"/>
          </w:tcPr>
          <w:p w:rsidR="00A46452" w:rsidRDefault="009A3928">
            <w:pPr>
              <w:widowControl/>
              <w:spacing w:line="240" w:lineRule="atLeast"/>
              <w:ind w:firstLineChars="0" w:firstLine="0"/>
              <w:jc w:val="center"/>
              <w:rPr>
                <w:rFonts w:eastAsiaTheme="minorEastAsia" w:cs="Times New Roman"/>
                <w:kern w:val="0"/>
                <w:sz w:val="18"/>
                <w:szCs w:val="18"/>
              </w:rPr>
            </w:pPr>
            <w:r>
              <w:rPr>
                <w:rFonts w:cs="Times New Roman"/>
                <w:sz w:val="18"/>
                <w:szCs w:val="18"/>
                <w:shd w:val="clear" w:color="auto" w:fill="FDFDFE"/>
              </w:rPr>
              <w:t>林灌草甸土</w:t>
            </w:r>
          </w:p>
        </w:tc>
        <w:tc>
          <w:tcPr>
            <w:tcW w:w="2158" w:type="dxa"/>
            <w:vAlign w:val="center"/>
          </w:tcPr>
          <w:p w:rsidR="00A46452" w:rsidRDefault="009A3928">
            <w:pPr>
              <w:widowControl/>
              <w:spacing w:line="240" w:lineRule="atLeast"/>
              <w:ind w:firstLineChars="0" w:firstLine="0"/>
              <w:rPr>
                <w:rFonts w:cs="Times New Roman"/>
                <w:sz w:val="18"/>
                <w:szCs w:val="18"/>
                <w:shd w:val="clear" w:color="auto" w:fill="FDFDFE"/>
              </w:rPr>
            </w:pPr>
            <w:r>
              <w:rPr>
                <w:rFonts w:cs="Times New Roman"/>
                <w:sz w:val="18"/>
                <w:szCs w:val="18"/>
                <w:shd w:val="clear" w:color="auto" w:fill="FDFDFE"/>
              </w:rPr>
              <w:t>林灌草甸土主要分布地貌区域为河间冲积平原、河岸阶地。</w:t>
            </w:r>
          </w:p>
        </w:tc>
        <w:tc>
          <w:tcPr>
            <w:tcW w:w="5209" w:type="dxa"/>
            <w:gridSpan w:val="3"/>
            <w:vAlign w:val="center"/>
          </w:tcPr>
          <w:p w:rsidR="00A46452" w:rsidRDefault="009A3928">
            <w:pPr>
              <w:widowControl/>
              <w:spacing w:line="240" w:lineRule="atLeast"/>
              <w:ind w:firstLineChars="0" w:firstLine="0"/>
              <w:rPr>
                <w:rFonts w:eastAsiaTheme="minorEastAsia" w:cs="Times New Roman"/>
                <w:kern w:val="0"/>
                <w:sz w:val="18"/>
                <w:szCs w:val="18"/>
              </w:rPr>
            </w:pPr>
            <w:r>
              <w:rPr>
                <w:rFonts w:eastAsiaTheme="minorEastAsia" w:cs="Times New Roman"/>
                <w:kern w:val="0"/>
                <w:sz w:val="18"/>
                <w:szCs w:val="18"/>
              </w:rPr>
              <w:t>灌草甸土在发育初期，由于土壤水分条件良好，草甸植被伴随胡杨幼林向乔灌混生群落过渡，其土壤发育特征与一般草甸土相似，残留凋落物少，腐殖质表土层薄，土体盐分含量低。在发育中期，随着林灌生长繁茂，林冠郁闭度增大，林下草类逐渐减少。当河滩下切或改道，地下水位下降较深（</w:t>
            </w:r>
            <w:r>
              <w:rPr>
                <w:rFonts w:eastAsiaTheme="minorEastAsia" w:cs="Times New Roman"/>
                <w:kern w:val="0"/>
                <w:sz w:val="18"/>
                <w:szCs w:val="18"/>
              </w:rPr>
              <w:t>5</w:t>
            </w:r>
            <w:r>
              <w:rPr>
                <w:rFonts w:eastAsiaTheme="minorEastAsia" w:cs="Times New Roman"/>
                <w:kern w:val="0"/>
                <w:sz w:val="18"/>
                <w:szCs w:val="18"/>
              </w:rPr>
              <w:t>～</w:t>
            </w:r>
            <w:r>
              <w:rPr>
                <w:rFonts w:eastAsiaTheme="minorEastAsia" w:cs="Times New Roman"/>
                <w:kern w:val="0"/>
                <w:sz w:val="18"/>
                <w:szCs w:val="18"/>
              </w:rPr>
              <w:t>6</w:t>
            </w:r>
            <w:r>
              <w:rPr>
                <w:rFonts w:eastAsiaTheme="minorEastAsia" w:cs="Times New Roman"/>
                <w:kern w:val="0"/>
                <w:sz w:val="18"/>
                <w:szCs w:val="18"/>
              </w:rPr>
              <w:t>米），土壤水分条件开始不适应草甸植被生长的需要，随之以胡杨林伴生灌木植被为主的群落代替了草甸植被，其下发育的土壤剖面分化出明显的枯枝落叶层、腐殖质表土层和氧化还原潴育层。</w:t>
            </w:r>
          </w:p>
        </w:tc>
      </w:tr>
    </w:tbl>
    <w:p w:rsidR="00A46452" w:rsidRDefault="009A3928" w:rsidP="00182EED">
      <w:pPr>
        <w:pStyle w:val="31"/>
        <w:adjustRightInd w:val="0"/>
        <w:snapToGrid w:val="0"/>
        <w:spacing w:beforeLines="50" w:before="165" w:afterLines="50" w:after="165" w:line="240" w:lineRule="auto"/>
        <w:rPr>
          <w:rFonts w:cs="Times New Roman" w:hint="default"/>
        </w:rPr>
      </w:pPr>
      <w:r>
        <w:rPr>
          <w:rFonts w:cs="Times New Roman" w:hint="default"/>
        </w:rPr>
        <w:t>6</w:t>
      </w:r>
      <w:r>
        <w:rPr>
          <w:rFonts w:cs="Times New Roman" w:hint="default"/>
        </w:rPr>
        <w:t>.2.9</w:t>
      </w:r>
      <w:r>
        <w:rPr>
          <w:rFonts w:cs="Times New Roman" w:hint="default"/>
        </w:rPr>
        <w:t>生态系统结构与功能状况及总体变化趋势评价</w:t>
      </w:r>
    </w:p>
    <w:p w:rsidR="00A46452" w:rsidRDefault="009A3928">
      <w:pPr>
        <w:ind w:firstLine="480"/>
        <w:rPr>
          <w:rFonts w:cs="Times New Roman"/>
        </w:rPr>
      </w:pPr>
      <w:r>
        <w:rPr>
          <w:rFonts w:cs="Times New Roman"/>
        </w:rPr>
        <w:t>从自然系统净初级生产能力、自然系统净初级生产能力变化趋势及稳定状况、区域环境功能状况等方面综合分析评价工程评价区域生态系统结构与功能状况及总体变化趋势。</w:t>
      </w:r>
    </w:p>
    <w:p w:rsidR="00A46452" w:rsidRDefault="009A3928">
      <w:pPr>
        <w:ind w:firstLine="480"/>
        <w:rPr>
          <w:rFonts w:cs="Times New Roman"/>
        </w:rPr>
      </w:pPr>
      <w:r>
        <w:rPr>
          <w:rFonts w:cs="Times New Roman"/>
        </w:rPr>
        <w:t>根据区域生态环境特点，从维护生态系统完整性出发，确定生态环境现状调查范围</w:t>
      </w:r>
      <w:r>
        <w:rPr>
          <w:rFonts w:cs="Times New Roman"/>
        </w:rPr>
        <w:t>为：设计公益林路段</w:t>
      </w:r>
      <w:r>
        <w:rPr>
          <w:rFonts w:cs="Times New Roman"/>
        </w:rPr>
        <w:t>工程区两侧</w:t>
      </w:r>
      <w:r>
        <w:rPr>
          <w:rFonts w:cs="Times New Roman"/>
        </w:rPr>
        <w:t>1000m</w:t>
      </w:r>
      <w:r>
        <w:rPr>
          <w:rFonts w:cs="Times New Roman"/>
        </w:rPr>
        <w:t>，</w:t>
      </w:r>
      <w:r>
        <w:rPr>
          <w:rFonts w:cs="Times New Roman"/>
        </w:rPr>
        <w:t>其他路段工程区两侧</w:t>
      </w:r>
      <w:r>
        <w:rPr>
          <w:rFonts w:cs="Times New Roman"/>
        </w:rPr>
        <w:t>300m</w:t>
      </w:r>
      <w:r>
        <w:rPr>
          <w:rFonts w:cs="Times New Roman"/>
        </w:rPr>
        <w:t>，</w:t>
      </w:r>
      <w:r>
        <w:rPr>
          <w:rFonts w:cs="Times New Roman"/>
        </w:rPr>
        <w:t>评价面积为</w:t>
      </w:r>
      <w:r>
        <w:rPr>
          <w:rFonts w:cs="Times New Roman"/>
        </w:rPr>
        <w:t>11614.33h</w:t>
      </w:r>
      <w:r>
        <w:rPr>
          <w:rFonts w:cs="Times New Roman"/>
        </w:rPr>
        <w:t>m²</w:t>
      </w:r>
      <w:r>
        <w:rPr>
          <w:rFonts w:cs="Times New Roman"/>
        </w:rPr>
        <w:t>。</w:t>
      </w:r>
    </w:p>
    <w:p w:rsidR="00A46452" w:rsidRDefault="009A3928">
      <w:pPr>
        <w:pStyle w:val="42"/>
        <w:snapToGrid w:val="0"/>
        <w:spacing w:before="156" w:after="156" w:line="240" w:lineRule="auto"/>
        <w:rPr>
          <w:rFonts w:cs="Times New Roman" w:hint="default"/>
          <w:iCs/>
        </w:rPr>
      </w:pPr>
      <w:r>
        <w:rPr>
          <w:rFonts w:cs="Times New Roman" w:hint="default"/>
          <w:iCs/>
        </w:rPr>
        <w:t>6</w:t>
      </w:r>
      <w:r>
        <w:rPr>
          <w:rFonts w:cs="Times New Roman" w:hint="default"/>
          <w:iCs/>
        </w:rPr>
        <w:t>.2.9.1</w:t>
      </w:r>
      <w:r>
        <w:rPr>
          <w:rFonts w:cs="Times New Roman" w:hint="default"/>
          <w:iCs/>
        </w:rPr>
        <w:t>土地利用现状调查及评价</w:t>
      </w:r>
    </w:p>
    <w:p w:rsidR="00A46452" w:rsidRDefault="009A3928">
      <w:pPr>
        <w:ind w:firstLine="480"/>
        <w:rPr>
          <w:rFonts w:cs="Times New Roman"/>
        </w:rPr>
      </w:pPr>
      <w:r>
        <w:rPr>
          <w:rFonts w:cs="Times New Roman"/>
        </w:rPr>
        <w:t>土地利用与土地覆被直接反映了区域生态环境状况和社会经济发展，揭示区域土地利用的时空变化特征和变化规律，探讨土地利用变化的趋势及其对生态环境可能的影响等，对于生态环境变化研究和评价显得尤为重要。</w:t>
      </w:r>
    </w:p>
    <w:p w:rsidR="00A46452" w:rsidRDefault="009A3928">
      <w:pPr>
        <w:ind w:firstLine="480"/>
        <w:rPr>
          <w:rFonts w:cs="Times New Roman"/>
        </w:rPr>
      </w:pPr>
      <w:r>
        <w:rPr>
          <w:rFonts w:cs="Times New Roman"/>
        </w:rPr>
        <w:t>本次评价区土地利用类型调查的主要技术方法采用遥感数据分析和解释，以</w:t>
      </w:r>
      <w:r>
        <w:rPr>
          <w:rFonts w:cs="Times New Roman"/>
        </w:rPr>
        <w:t>2023</w:t>
      </w:r>
      <w:r>
        <w:rPr>
          <w:rFonts w:cs="Times New Roman"/>
        </w:rPr>
        <w:t>年</w:t>
      </w:r>
      <w:r>
        <w:rPr>
          <w:rFonts w:cs="Times New Roman"/>
          <w:kern w:val="0"/>
          <w:szCs w:val="20"/>
        </w:rPr>
        <w:t>Sentinel—2</w:t>
      </w:r>
      <w:r>
        <w:rPr>
          <w:rFonts w:cs="Times New Roman"/>
        </w:rPr>
        <w:t>遥感影像数据为基础，采用图形叠加法对评价范围内的生态环境现状进行分析，结合野外植被现场调查情况、参考《生态环境状况评价技</w:t>
      </w:r>
      <w:r>
        <w:rPr>
          <w:rFonts w:cs="Times New Roman"/>
        </w:rPr>
        <w:t>术规范》（</w:t>
      </w:r>
      <w:r>
        <w:rPr>
          <w:rFonts w:cs="Times New Roman"/>
        </w:rPr>
        <w:t>HJ192-2015</w:t>
      </w:r>
      <w:r>
        <w:rPr>
          <w:rFonts w:cs="Times New Roman"/>
        </w:rPr>
        <w:t>）和《土地利用现状分类》（</w:t>
      </w:r>
      <w:r>
        <w:rPr>
          <w:rFonts w:cs="Times New Roman"/>
        </w:rPr>
        <w:t>GB21010-2017</w:t>
      </w:r>
      <w:r>
        <w:rPr>
          <w:rFonts w:cs="Times New Roman"/>
        </w:rPr>
        <w:t>），以确定评价范围内的土地利用类型，将成果绘制成土地利用现状图。同时选择有代表性的地物类型，建立遥感影像野外标志数据库，收集能反映区域土地利用特征</w:t>
      </w:r>
      <w:r>
        <w:rPr>
          <w:rFonts w:cs="Times New Roman"/>
        </w:rPr>
        <w:t>的</w:t>
      </w:r>
      <w:r>
        <w:rPr>
          <w:rFonts w:cs="Times New Roman"/>
        </w:rPr>
        <w:t>野外照片、录像资料，在实地踏勘和调查时进行野外核查。</w:t>
      </w:r>
    </w:p>
    <w:p w:rsidR="00A46452" w:rsidRDefault="009A3928">
      <w:pPr>
        <w:ind w:firstLine="480"/>
        <w:rPr>
          <w:rFonts w:cs="Times New Roman"/>
        </w:rPr>
      </w:pPr>
      <w:r>
        <w:rPr>
          <w:rFonts w:cs="Times New Roman"/>
        </w:rPr>
        <w:t>本工程占地包括工程占地区、施工临时占地区。本次区域土地利用分类标准参照第三次土地利用分类系统，并结合评价区域生态环境现状和卫片精度，将研究区土地利用、土地覆被调查分类系统界定为</w:t>
      </w:r>
      <w:r>
        <w:rPr>
          <w:rFonts w:cs="Times New Roman"/>
        </w:rPr>
        <w:t>20</w:t>
      </w:r>
      <w:r>
        <w:rPr>
          <w:rFonts w:cs="Times New Roman"/>
        </w:rPr>
        <w:t>类。</w:t>
      </w:r>
    </w:p>
    <w:p w:rsidR="00A46452" w:rsidRDefault="009A3928">
      <w:pPr>
        <w:ind w:firstLine="480"/>
        <w:rPr>
          <w:rFonts w:cs="Times New Roman"/>
        </w:rPr>
      </w:pPr>
      <w:r>
        <w:rPr>
          <w:rFonts w:cs="Times New Roman"/>
        </w:rPr>
        <w:t>经过</w:t>
      </w:r>
      <w:r>
        <w:rPr>
          <w:rFonts w:cs="Times New Roman"/>
        </w:rPr>
        <w:t>遥感调查解译</w:t>
      </w:r>
      <w:r>
        <w:rPr>
          <w:rFonts w:cs="Times New Roman"/>
        </w:rPr>
        <w:t>数据统计分析，项目评价区</w:t>
      </w:r>
      <w:r>
        <w:rPr>
          <w:rFonts w:cs="Times New Roman"/>
        </w:rPr>
        <w:t>和工</w:t>
      </w:r>
      <w:r>
        <w:rPr>
          <w:rFonts w:cs="Times New Roman"/>
        </w:rPr>
        <w:t>程占地区</w:t>
      </w:r>
      <w:r>
        <w:rPr>
          <w:rFonts w:cs="Times New Roman"/>
        </w:rPr>
        <w:t>土地利用现状详见表</w:t>
      </w:r>
      <w:r>
        <w:rPr>
          <w:rFonts w:cs="Times New Roman" w:hint="eastAsia"/>
        </w:rPr>
        <w:t>6</w:t>
      </w:r>
      <w:r>
        <w:rPr>
          <w:rFonts w:cs="Times New Roman"/>
        </w:rPr>
        <w:t>.2-1</w:t>
      </w:r>
      <w:r>
        <w:rPr>
          <w:rFonts w:cs="Times New Roman" w:hint="eastAsia"/>
        </w:rPr>
        <w:t>5</w:t>
      </w:r>
      <w:r>
        <w:rPr>
          <w:rFonts w:cs="Times New Roman"/>
        </w:rPr>
        <w:t>，见</w:t>
      </w:r>
      <w:r>
        <w:rPr>
          <w:rFonts w:cs="Times New Roman" w:hint="eastAsia"/>
        </w:rPr>
        <w:t>图</w:t>
      </w:r>
      <w:r>
        <w:rPr>
          <w:rFonts w:cs="Times New Roman" w:hint="eastAsia"/>
        </w:rPr>
        <w:t>6</w:t>
      </w:r>
      <w:r>
        <w:rPr>
          <w:rFonts w:cs="Times New Roman"/>
        </w:rPr>
        <w:t>.2-</w:t>
      </w:r>
      <w:r>
        <w:rPr>
          <w:rFonts w:cs="Times New Roman"/>
        </w:rPr>
        <w:t>7</w:t>
      </w:r>
      <w:r>
        <w:rPr>
          <w:rFonts w:cs="Times New Roman"/>
        </w:rPr>
        <w:t>土地利用现状图</w:t>
      </w:r>
      <w:r>
        <w:rPr>
          <w:rFonts w:cs="Times New Roman"/>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5</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土地利用</w:t>
      </w:r>
      <w:r>
        <w:rPr>
          <w:rFonts w:ascii="Times New Roman" w:hAnsi="Times New Roman" w:cs="Times New Roman" w:hint="default"/>
          <w:sz w:val="24"/>
          <w:szCs w:val="24"/>
        </w:rPr>
        <w:t>类型分类情况</w:t>
      </w:r>
    </w:p>
    <w:tbl>
      <w:tblPr>
        <w:tblW w:w="4742" w:type="pct"/>
        <w:tblInd w:w="23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61"/>
        <w:gridCol w:w="1791"/>
        <w:gridCol w:w="1436"/>
        <w:gridCol w:w="1326"/>
        <w:gridCol w:w="1328"/>
        <w:gridCol w:w="1134"/>
      </w:tblGrid>
      <w:tr w:rsidR="00A46452">
        <w:trPr>
          <w:trHeight w:val="317"/>
        </w:trPr>
        <w:tc>
          <w:tcPr>
            <w:tcW w:w="656" w:type="pct"/>
            <w:vMerge w:val="restar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rPr>
            </w:pPr>
            <w:r>
              <w:rPr>
                <w:rFonts w:eastAsiaTheme="minorEastAsia" w:cs="Times New Roman"/>
                <w:kern w:val="0"/>
                <w:lang w:bidi="ar"/>
              </w:rPr>
              <w:t>序号</w:t>
            </w:r>
          </w:p>
        </w:tc>
        <w:tc>
          <w:tcPr>
            <w:tcW w:w="1108" w:type="pct"/>
            <w:vMerge w:val="restar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rPr>
            </w:pPr>
            <w:r>
              <w:rPr>
                <w:rFonts w:eastAsiaTheme="minorEastAsia" w:cs="Times New Roman"/>
                <w:kern w:val="0"/>
                <w:lang w:bidi="ar"/>
              </w:rPr>
              <w:t>占地类型</w:t>
            </w:r>
          </w:p>
        </w:tc>
        <w:tc>
          <w:tcPr>
            <w:tcW w:w="1710" w:type="pct"/>
            <w:gridSpan w:val="2"/>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评价区范围</w:t>
            </w:r>
          </w:p>
        </w:tc>
        <w:tc>
          <w:tcPr>
            <w:tcW w:w="1524" w:type="pct"/>
            <w:gridSpan w:val="2"/>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工程占地范围</w:t>
            </w:r>
          </w:p>
        </w:tc>
      </w:tr>
      <w:tr w:rsidR="00A46452">
        <w:trPr>
          <w:trHeight w:val="317"/>
        </w:trPr>
        <w:tc>
          <w:tcPr>
            <w:tcW w:w="656" w:type="pct"/>
            <w:vMerge/>
            <w:tcBorders>
              <w:tl2br w:val="nil"/>
              <w:tr2bl w:val="nil"/>
            </w:tcBorders>
            <w:shd w:val="clear" w:color="auto" w:fill="auto"/>
            <w:noWrap/>
            <w:vAlign w:val="center"/>
          </w:tcPr>
          <w:p w:rsidR="00A46452" w:rsidRDefault="00A46452">
            <w:pPr>
              <w:widowControl/>
              <w:spacing w:line="240" w:lineRule="auto"/>
              <w:ind w:firstLineChars="0" w:firstLine="0"/>
              <w:jc w:val="center"/>
              <w:textAlignment w:val="bottom"/>
              <w:rPr>
                <w:rFonts w:eastAsiaTheme="minorEastAsia" w:cs="Times New Roman"/>
              </w:rPr>
            </w:pPr>
          </w:p>
        </w:tc>
        <w:tc>
          <w:tcPr>
            <w:tcW w:w="1108" w:type="pct"/>
            <w:vMerge/>
            <w:tcBorders>
              <w:tl2br w:val="nil"/>
              <w:tr2bl w:val="nil"/>
            </w:tcBorders>
            <w:shd w:val="clear" w:color="auto" w:fill="auto"/>
            <w:noWrap/>
            <w:vAlign w:val="center"/>
          </w:tcPr>
          <w:p w:rsidR="00A46452" w:rsidRDefault="00A46452">
            <w:pPr>
              <w:widowControl/>
              <w:spacing w:line="240" w:lineRule="auto"/>
              <w:ind w:firstLineChars="0" w:firstLine="0"/>
              <w:jc w:val="center"/>
              <w:textAlignment w:val="bottom"/>
              <w:rPr>
                <w:rFonts w:eastAsiaTheme="minorEastAsia" w:cs="Times New Roman"/>
              </w:rPr>
            </w:pPr>
          </w:p>
        </w:tc>
        <w:tc>
          <w:tcPr>
            <w:tcW w:w="889"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rPr>
            </w:pPr>
            <w:r>
              <w:rPr>
                <w:rFonts w:eastAsiaTheme="minorEastAsia" w:cs="Times New Roman"/>
                <w:kern w:val="0"/>
                <w:lang w:bidi="ar"/>
              </w:rPr>
              <w:t>面积</w:t>
            </w:r>
            <w:r>
              <w:rPr>
                <w:rFonts w:eastAsiaTheme="minorEastAsia" w:cs="Times New Roman"/>
                <w:kern w:val="0"/>
                <w:lang w:bidi="ar"/>
              </w:rPr>
              <w:t>km</w:t>
            </w:r>
            <w:r>
              <w:rPr>
                <w:rFonts w:eastAsiaTheme="minorEastAsia" w:cs="Times New Roman"/>
                <w:kern w:val="0"/>
                <w:vertAlign w:val="superscript"/>
                <w:lang w:bidi="ar"/>
              </w:rPr>
              <w:t>2</w:t>
            </w:r>
          </w:p>
        </w:tc>
        <w:tc>
          <w:tcPr>
            <w:tcW w:w="820"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rPr>
            </w:pPr>
            <w:r>
              <w:rPr>
                <w:rFonts w:eastAsiaTheme="minorEastAsia" w:cs="Times New Roman"/>
                <w:kern w:val="0"/>
                <w:lang w:bidi="ar"/>
              </w:rPr>
              <w:t>占比</w:t>
            </w:r>
          </w:p>
        </w:tc>
        <w:tc>
          <w:tcPr>
            <w:tcW w:w="822"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cs="Times New Roman"/>
                <w:kern w:val="0"/>
                <w:sz w:val="21"/>
                <w:lang w:bidi="ar"/>
              </w:rPr>
              <w:t>面积</w:t>
            </w:r>
            <w:r>
              <w:rPr>
                <w:rFonts w:eastAsiaTheme="minorEastAsia" w:cs="Times New Roman"/>
                <w:kern w:val="0"/>
                <w:lang w:bidi="ar"/>
              </w:rPr>
              <w:t>km</w:t>
            </w:r>
            <w:r>
              <w:rPr>
                <w:rFonts w:eastAsiaTheme="minorEastAsia" w:cs="Times New Roman"/>
                <w:kern w:val="0"/>
                <w:vertAlign w:val="superscript"/>
                <w:lang w:bidi="ar"/>
              </w:rPr>
              <w:t>2</w:t>
            </w:r>
          </w:p>
        </w:tc>
        <w:tc>
          <w:tcPr>
            <w:tcW w:w="702"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cs="Times New Roman"/>
                <w:kern w:val="0"/>
                <w:sz w:val="21"/>
                <w:lang w:bidi="ar"/>
              </w:rPr>
              <w:t>占比</w:t>
            </w:r>
            <w:r>
              <w:rPr>
                <w:rFonts w:cs="Times New Roman"/>
                <w:kern w:val="0"/>
                <w:sz w:val="21"/>
                <w:lang w:bidi="ar"/>
              </w:rPr>
              <w:t>%</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水浇地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2948.85</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25.39</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20.74</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6.89</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园地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83.23</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0.72</w:t>
            </w:r>
            <w:r>
              <w:rPr>
                <w:rFonts w:eastAsiaTheme="minorEastAsia" w:cs="Times New Roman"/>
                <w:kern w:val="0"/>
                <w:lang w:bidi="ar"/>
              </w:rPr>
              <w:t>，</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9.97</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3.31</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乔木林地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1356.04</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11.68</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42.38</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14.09</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4</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其他林地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238.30</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2.05</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47.22</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15.70</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5</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灌木林地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1443.22</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12.43</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35.43</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11.78</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6</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天然牧草地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745.28</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6.42</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86.50</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28.76</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7</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其他草地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316.64</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2.73</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13.15</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4.37</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8</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城镇建设用地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89.34</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0.77</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0.71</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0.24</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9</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工业用地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69.40</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0.60</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0.00</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10</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公路用地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91.72</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0.79</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24.03</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7.99</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11</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农村道路</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13.26</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0.11</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2.13</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0.71</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12</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农村居民点</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27.10</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0.23</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3.38</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1.12</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13</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采矿用地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8.24</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0.07</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0.00</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14</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河流水面</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31.85</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0.27</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0.56</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0.19</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15</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沟渠</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24.95</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0.21</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2.84</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0.94</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16</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内陆滩涂</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14.72</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0.13</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0.16</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0.05</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17</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裸土地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2242.50</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19.31</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2.65</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0.88</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18</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裸岩石砾地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251.23</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2.16</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0.1</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0.03</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19</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沙地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123.45</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1.06</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7.04</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2.34</w:t>
            </w:r>
          </w:p>
        </w:tc>
      </w:tr>
      <w:tr w:rsidR="00A46452">
        <w:trPr>
          <w:trHeight w:val="255"/>
        </w:trPr>
        <w:tc>
          <w:tcPr>
            <w:tcW w:w="656"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20</w:t>
            </w:r>
          </w:p>
        </w:tc>
        <w:tc>
          <w:tcPr>
            <w:tcW w:w="1108"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盐碱地</w:t>
            </w:r>
          </w:p>
        </w:tc>
        <w:tc>
          <w:tcPr>
            <w:tcW w:w="889"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1495.01</w:t>
            </w:r>
          </w:p>
        </w:tc>
        <w:tc>
          <w:tcPr>
            <w:tcW w:w="820"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12.87</w:t>
            </w:r>
          </w:p>
        </w:tc>
        <w:tc>
          <w:tcPr>
            <w:tcW w:w="82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1.81</w:t>
            </w:r>
          </w:p>
        </w:tc>
        <w:tc>
          <w:tcPr>
            <w:tcW w:w="702" w:type="pct"/>
            <w:tcBorders>
              <w:tl2br w:val="nil"/>
              <w:tr2bl w:val="nil"/>
            </w:tcBorders>
            <w:shd w:val="clear" w:color="auto" w:fill="auto"/>
            <w:noWrap/>
            <w:vAlign w:val="bottom"/>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 xml:space="preserve">0.60 </w:t>
            </w:r>
          </w:p>
        </w:tc>
      </w:tr>
      <w:tr w:rsidR="00A46452">
        <w:trPr>
          <w:trHeight w:val="255"/>
        </w:trPr>
        <w:tc>
          <w:tcPr>
            <w:tcW w:w="1765" w:type="pct"/>
            <w:gridSpan w:val="2"/>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rPr>
            </w:pPr>
            <w:r>
              <w:rPr>
                <w:rFonts w:eastAsiaTheme="minorEastAsia" w:cs="Times New Roman"/>
                <w:kern w:val="0"/>
                <w:lang w:bidi="ar"/>
              </w:rPr>
              <w:t>合计</w:t>
            </w:r>
          </w:p>
        </w:tc>
        <w:tc>
          <w:tcPr>
            <w:tcW w:w="889"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11614.33</w:t>
            </w:r>
          </w:p>
        </w:tc>
        <w:tc>
          <w:tcPr>
            <w:tcW w:w="820"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100.00</w:t>
            </w:r>
          </w:p>
        </w:tc>
        <w:tc>
          <w:tcPr>
            <w:tcW w:w="822"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300.8</w:t>
            </w:r>
          </w:p>
        </w:tc>
        <w:tc>
          <w:tcPr>
            <w:tcW w:w="702" w:type="pct"/>
            <w:tcBorders>
              <w:tl2br w:val="nil"/>
              <w:tr2bl w:val="nil"/>
            </w:tcBorders>
            <w:shd w:val="clear" w:color="auto" w:fill="auto"/>
            <w:noWrap/>
            <w:vAlign w:val="center"/>
          </w:tcPr>
          <w:p w:rsidR="00A46452" w:rsidRDefault="009A3928">
            <w:pPr>
              <w:widowControl/>
              <w:spacing w:line="240" w:lineRule="auto"/>
              <w:ind w:firstLineChars="0" w:firstLine="0"/>
              <w:jc w:val="center"/>
              <w:textAlignment w:val="bottom"/>
              <w:rPr>
                <w:rFonts w:eastAsiaTheme="minorEastAsia" w:cs="Times New Roman"/>
                <w:kern w:val="0"/>
                <w:lang w:bidi="ar"/>
              </w:rPr>
            </w:pPr>
            <w:r>
              <w:rPr>
                <w:rFonts w:eastAsiaTheme="minorEastAsia" w:cs="Times New Roman"/>
                <w:kern w:val="0"/>
                <w:lang w:bidi="ar"/>
              </w:rPr>
              <w:t>100.00</w:t>
            </w:r>
          </w:p>
        </w:tc>
      </w:tr>
    </w:tbl>
    <w:p w:rsidR="00A46452" w:rsidRDefault="009A3928">
      <w:pPr>
        <w:ind w:firstLine="480"/>
        <w:rPr>
          <w:rFonts w:cs="Times New Roman"/>
        </w:rPr>
      </w:pPr>
      <w:r>
        <w:rPr>
          <w:rFonts w:cs="Times New Roman"/>
        </w:rPr>
        <w:t>由表</w:t>
      </w:r>
      <w:r>
        <w:rPr>
          <w:rFonts w:cs="Times New Roman" w:hint="eastAsia"/>
        </w:rPr>
        <w:t>6</w:t>
      </w:r>
      <w:r>
        <w:rPr>
          <w:rFonts w:cs="Times New Roman"/>
        </w:rPr>
        <w:t>.2-1</w:t>
      </w:r>
      <w:r>
        <w:rPr>
          <w:rFonts w:cs="Times New Roman" w:hint="eastAsia"/>
        </w:rPr>
        <w:t>5</w:t>
      </w:r>
      <w:r>
        <w:rPr>
          <w:rFonts w:cs="Times New Roman"/>
        </w:rPr>
        <w:t>可以看出，评价区土地类型包括水浇地</w:t>
      </w:r>
      <w:r>
        <w:rPr>
          <w:rFonts w:cs="Times New Roman"/>
        </w:rPr>
        <w:t>、</w:t>
      </w:r>
      <w:r>
        <w:rPr>
          <w:rFonts w:cs="Times New Roman"/>
        </w:rPr>
        <w:t>园地</w:t>
      </w:r>
      <w:r>
        <w:rPr>
          <w:rFonts w:cs="Times New Roman"/>
        </w:rPr>
        <w:t>、</w:t>
      </w:r>
      <w:r>
        <w:rPr>
          <w:rFonts w:cs="Times New Roman"/>
        </w:rPr>
        <w:t>乔木林地</w:t>
      </w:r>
      <w:r>
        <w:rPr>
          <w:rFonts w:cs="Times New Roman"/>
        </w:rPr>
        <w:t>、</w:t>
      </w:r>
      <w:r>
        <w:rPr>
          <w:rFonts w:cs="Times New Roman"/>
        </w:rPr>
        <w:t>其他林地</w:t>
      </w:r>
      <w:r>
        <w:rPr>
          <w:rFonts w:cs="Times New Roman"/>
        </w:rPr>
        <w:t>、</w:t>
      </w:r>
      <w:r>
        <w:rPr>
          <w:rFonts w:cs="Times New Roman"/>
        </w:rPr>
        <w:t>灌木林地</w:t>
      </w:r>
      <w:r>
        <w:rPr>
          <w:rFonts w:cs="Times New Roman"/>
        </w:rPr>
        <w:t>、</w:t>
      </w:r>
      <w:r>
        <w:rPr>
          <w:rFonts w:cs="Times New Roman"/>
        </w:rPr>
        <w:t>天然牧草地</w:t>
      </w:r>
      <w:r>
        <w:rPr>
          <w:rFonts w:cs="Times New Roman"/>
        </w:rPr>
        <w:t>、</w:t>
      </w:r>
      <w:r>
        <w:rPr>
          <w:rFonts w:cs="Times New Roman"/>
        </w:rPr>
        <w:t>其他草地</w:t>
      </w:r>
      <w:r>
        <w:rPr>
          <w:rFonts w:cs="Times New Roman"/>
        </w:rPr>
        <w:t>、</w:t>
      </w:r>
      <w:r>
        <w:rPr>
          <w:rFonts w:cs="Times New Roman"/>
        </w:rPr>
        <w:t>城镇建设用地</w:t>
      </w:r>
      <w:r>
        <w:rPr>
          <w:rFonts w:cs="Times New Roman"/>
        </w:rPr>
        <w:t>、</w:t>
      </w:r>
      <w:r>
        <w:rPr>
          <w:rFonts w:cs="Times New Roman"/>
        </w:rPr>
        <w:t>工业用地</w:t>
      </w:r>
      <w:r>
        <w:rPr>
          <w:rFonts w:cs="Times New Roman"/>
        </w:rPr>
        <w:t>、</w:t>
      </w:r>
      <w:r>
        <w:rPr>
          <w:rFonts w:cs="Times New Roman"/>
        </w:rPr>
        <w:t>公路用地</w:t>
      </w:r>
      <w:r>
        <w:rPr>
          <w:rFonts w:cs="Times New Roman"/>
        </w:rPr>
        <w:t>、</w:t>
      </w:r>
      <w:r>
        <w:rPr>
          <w:rFonts w:cs="Times New Roman"/>
        </w:rPr>
        <w:t>农村道路</w:t>
      </w:r>
      <w:r>
        <w:rPr>
          <w:rFonts w:cs="Times New Roman"/>
        </w:rPr>
        <w:t>、</w:t>
      </w:r>
      <w:r>
        <w:rPr>
          <w:rFonts w:cs="Times New Roman"/>
        </w:rPr>
        <w:t>农村居民点</w:t>
      </w:r>
      <w:r>
        <w:rPr>
          <w:rFonts w:cs="Times New Roman"/>
        </w:rPr>
        <w:t>、</w:t>
      </w:r>
      <w:r>
        <w:rPr>
          <w:rFonts w:cs="Times New Roman"/>
        </w:rPr>
        <w:t>采矿用地</w:t>
      </w:r>
      <w:r>
        <w:rPr>
          <w:rFonts w:cs="Times New Roman"/>
        </w:rPr>
        <w:t>、</w:t>
      </w:r>
      <w:r>
        <w:rPr>
          <w:rFonts w:cs="Times New Roman"/>
        </w:rPr>
        <w:t>河流水面</w:t>
      </w:r>
      <w:r>
        <w:rPr>
          <w:rFonts w:cs="Times New Roman"/>
        </w:rPr>
        <w:t>、</w:t>
      </w:r>
      <w:r>
        <w:rPr>
          <w:rFonts w:cs="Times New Roman"/>
        </w:rPr>
        <w:t>沟渠</w:t>
      </w:r>
      <w:r>
        <w:rPr>
          <w:rFonts w:cs="Times New Roman"/>
        </w:rPr>
        <w:t>、</w:t>
      </w:r>
      <w:r>
        <w:rPr>
          <w:rFonts w:cs="Times New Roman"/>
        </w:rPr>
        <w:t>内陆滩涂</w:t>
      </w:r>
      <w:r>
        <w:rPr>
          <w:rFonts w:cs="Times New Roman"/>
        </w:rPr>
        <w:t>、</w:t>
      </w:r>
      <w:r>
        <w:rPr>
          <w:rFonts w:cs="Times New Roman"/>
        </w:rPr>
        <w:t>裸土地</w:t>
      </w:r>
      <w:r>
        <w:rPr>
          <w:rFonts w:cs="Times New Roman"/>
        </w:rPr>
        <w:t>、</w:t>
      </w:r>
      <w:r>
        <w:rPr>
          <w:rFonts w:cs="Times New Roman"/>
        </w:rPr>
        <w:t>裸岩石砾地</w:t>
      </w:r>
      <w:r>
        <w:rPr>
          <w:rFonts w:cs="Times New Roman"/>
        </w:rPr>
        <w:t>、</w:t>
      </w:r>
      <w:r>
        <w:rPr>
          <w:rFonts w:cs="Times New Roman"/>
        </w:rPr>
        <w:t>沙地</w:t>
      </w:r>
      <w:r>
        <w:rPr>
          <w:rFonts w:cs="Times New Roman"/>
        </w:rPr>
        <w:t>和</w:t>
      </w:r>
      <w:r>
        <w:rPr>
          <w:rFonts w:cs="Times New Roman"/>
        </w:rPr>
        <w:t>盐碱地，其中以</w:t>
      </w:r>
      <w:r>
        <w:rPr>
          <w:rFonts w:cs="Times New Roman"/>
        </w:rPr>
        <w:t>水浇地</w:t>
      </w:r>
      <w:r>
        <w:rPr>
          <w:rFonts w:cs="Times New Roman"/>
        </w:rPr>
        <w:t>面积最大，</w:t>
      </w:r>
      <w:r>
        <w:rPr>
          <w:rFonts w:cs="Times New Roman"/>
        </w:rPr>
        <w:t>为</w:t>
      </w:r>
      <w:r>
        <w:rPr>
          <w:rFonts w:cs="Times New Roman"/>
        </w:rPr>
        <w:t>2948.85hm2</w:t>
      </w:r>
      <w:r>
        <w:rPr>
          <w:rFonts w:cs="Times New Roman"/>
        </w:rPr>
        <w:t>，</w:t>
      </w:r>
      <w:r>
        <w:rPr>
          <w:rFonts w:cs="Times New Roman"/>
        </w:rPr>
        <w:t>占评价区面积的</w:t>
      </w:r>
      <w:r>
        <w:rPr>
          <w:rFonts w:cs="Times New Roman"/>
        </w:rPr>
        <w:t>25.39</w:t>
      </w:r>
      <w:r>
        <w:rPr>
          <w:rFonts w:cs="Times New Roman"/>
        </w:rPr>
        <w:t>%</w:t>
      </w:r>
      <w:r>
        <w:rPr>
          <w:rFonts w:cs="Times New Roman"/>
        </w:rPr>
        <w:t>，其次为</w:t>
      </w:r>
      <w:r>
        <w:rPr>
          <w:rFonts w:cs="Times New Roman"/>
        </w:rPr>
        <w:t>裸土地</w:t>
      </w:r>
      <w:r>
        <w:rPr>
          <w:rFonts w:cs="Times New Roman"/>
        </w:rPr>
        <w:t>（</w:t>
      </w:r>
      <w:r>
        <w:rPr>
          <w:rFonts w:cs="Times New Roman"/>
        </w:rPr>
        <w:t>面积</w:t>
      </w:r>
      <w:r>
        <w:rPr>
          <w:rFonts w:cs="Times New Roman"/>
        </w:rPr>
        <w:t>2242.52hm2</w:t>
      </w:r>
      <w:r>
        <w:rPr>
          <w:rFonts w:cs="Times New Roman"/>
        </w:rPr>
        <w:t>，占比</w:t>
      </w:r>
      <w:r>
        <w:rPr>
          <w:rFonts w:cs="Times New Roman"/>
        </w:rPr>
        <w:t>19.31</w:t>
      </w:r>
      <w:r>
        <w:rPr>
          <w:rFonts w:cs="Times New Roman"/>
        </w:rPr>
        <w:t>%</w:t>
      </w:r>
      <w:r>
        <w:rPr>
          <w:rFonts w:cs="Times New Roman"/>
        </w:rPr>
        <w:t>）、</w:t>
      </w:r>
      <w:r>
        <w:rPr>
          <w:rFonts w:cs="Times New Roman"/>
        </w:rPr>
        <w:t>盐碱地</w:t>
      </w:r>
      <w:r>
        <w:rPr>
          <w:rFonts w:cs="Times New Roman"/>
        </w:rPr>
        <w:t>（</w:t>
      </w:r>
      <w:r>
        <w:rPr>
          <w:rFonts w:cs="Times New Roman"/>
        </w:rPr>
        <w:t>面积</w:t>
      </w:r>
      <w:r>
        <w:rPr>
          <w:rFonts w:cs="Times New Roman"/>
        </w:rPr>
        <w:t>1495.01hm2</w:t>
      </w:r>
      <w:r>
        <w:rPr>
          <w:rFonts w:cs="Times New Roman"/>
        </w:rPr>
        <w:t>，占比</w:t>
      </w:r>
      <w:r>
        <w:rPr>
          <w:rFonts w:cs="Times New Roman"/>
        </w:rPr>
        <w:t>12.87</w:t>
      </w:r>
      <w:r>
        <w:rPr>
          <w:rFonts w:cs="Times New Roman"/>
        </w:rPr>
        <w:t>%</w:t>
      </w:r>
      <w:r>
        <w:rPr>
          <w:rFonts w:cs="Times New Roman"/>
        </w:rPr>
        <w:t>）</w:t>
      </w:r>
      <w:r>
        <w:rPr>
          <w:rFonts w:cs="Times New Roman"/>
        </w:rPr>
        <w:t>、</w:t>
      </w:r>
      <w:r>
        <w:rPr>
          <w:rFonts w:cs="Times New Roman"/>
        </w:rPr>
        <w:t>灌木林地（</w:t>
      </w:r>
      <w:r>
        <w:rPr>
          <w:rFonts w:cs="Times New Roman"/>
        </w:rPr>
        <w:t>面积</w:t>
      </w:r>
      <w:r>
        <w:rPr>
          <w:rFonts w:cs="Times New Roman"/>
        </w:rPr>
        <w:t>1443.22hm2</w:t>
      </w:r>
      <w:r>
        <w:rPr>
          <w:rFonts w:cs="Times New Roman"/>
        </w:rPr>
        <w:t>，占比</w:t>
      </w:r>
      <w:r>
        <w:rPr>
          <w:rFonts w:cs="Times New Roman"/>
        </w:rPr>
        <w:t>12.43</w:t>
      </w:r>
      <w:r>
        <w:rPr>
          <w:rFonts w:cs="Times New Roman"/>
        </w:rPr>
        <w:t>%</w:t>
      </w:r>
      <w:r>
        <w:rPr>
          <w:rFonts w:cs="Times New Roman"/>
        </w:rPr>
        <w:t>）、乔木林地（</w:t>
      </w:r>
      <w:r>
        <w:rPr>
          <w:rFonts w:cs="Times New Roman"/>
        </w:rPr>
        <w:t>面积</w:t>
      </w:r>
      <w:r>
        <w:rPr>
          <w:rFonts w:cs="Times New Roman"/>
        </w:rPr>
        <w:t>1356.04hm2</w:t>
      </w:r>
      <w:r>
        <w:rPr>
          <w:rFonts w:cs="Times New Roman"/>
        </w:rPr>
        <w:t>，占比</w:t>
      </w:r>
      <w:r>
        <w:rPr>
          <w:rFonts w:cs="Times New Roman"/>
        </w:rPr>
        <w:t>11.68</w:t>
      </w:r>
      <w:r>
        <w:rPr>
          <w:rFonts w:cs="Times New Roman"/>
        </w:rPr>
        <w:t>%</w:t>
      </w:r>
      <w:r>
        <w:rPr>
          <w:rFonts w:cs="Times New Roman"/>
        </w:rPr>
        <w:t>）、</w:t>
      </w:r>
      <w:r>
        <w:rPr>
          <w:rFonts w:cs="Times New Roman"/>
        </w:rPr>
        <w:t>天然牧草地</w:t>
      </w:r>
      <w:r>
        <w:rPr>
          <w:rFonts w:cs="Times New Roman"/>
        </w:rPr>
        <w:t>（</w:t>
      </w:r>
      <w:r>
        <w:rPr>
          <w:rFonts w:cs="Times New Roman"/>
        </w:rPr>
        <w:t>面积</w:t>
      </w:r>
      <w:r>
        <w:rPr>
          <w:rFonts w:cs="Times New Roman"/>
        </w:rPr>
        <w:t>745.28hm2</w:t>
      </w:r>
      <w:r>
        <w:rPr>
          <w:rFonts w:cs="Times New Roman"/>
        </w:rPr>
        <w:t>，占比</w:t>
      </w:r>
      <w:r>
        <w:rPr>
          <w:rFonts w:cs="Times New Roman"/>
        </w:rPr>
        <w:t>6.42</w:t>
      </w:r>
      <w:r>
        <w:rPr>
          <w:rFonts w:cs="Times New Roman"/>
        </w:rPr>
        <w:t>%</w:t>
      </w:r>
      <w:r>
        <w:rPr>
          <w:rFonts w:cs="Times New Roman"/>
        </w:rPr>
        <w:t>）等。</w:t>
      </w:r>
      <w:r>
        <w:rPr>
          <w:rFonts w:cs="Times New Roman"/>
        </w:rPr>
        <w:t>根据遥感解译数据统计，评价区内主要以水浇地、裸土地、盐碱地和灌木林地四种地类面积最大，约占评价区总面积的</w:t>
      </w:r>
      <w:r>
        <w:rPr>
          <w:rFonts w:cs="Times New Roman"/>
        </w:rPr>
        <w:t>70%</w:t>
      </w:r>
      <w:r>
        <w:rPr>
          <w:rFonts w:cs="Times New Roman"/>
        </w:rPr>
        <w:t>。根据可研项目永久占地中天然牧草地、乔木林地、灌木林地和其他林地占用最多，占总永久占地</w:t>
      </w:r>
      <w:r>
        <w:rPr>
          <w:rFonts w:cs="Times New Roman"/>
        </w:rPr>
        <w:t>70.33%</w:t>
      </w:r>
      <w:r>
        <w:rPr>
          <w:rFonts w:cs="Times New Roman"/>
        </w:rPr>
        <w:t>。</w:t>
      </w:r>
    </w:p>
    <w:p w:rsidR="00A46452" w:rsidRDefault="009A3928">
      <w:pPr>
        <w:pStyle w:val="42"/>
        <w:snapToGrid w:val="0"/>
        <w:spacing w:before="156" w:after="156" w:line="240" w:lineRule="auto"/>
        <w:rPr>
          <w:rFonts w:cs="Times New Roman" w:hint="default"/>
          <w:iCs/>
        </w:rPr>
      </w:pPr>
      <w:r>
        <w:rPr>
          <w:rFonts w:cs="Times New Roman" w:hint="default"/>
          <w:iCs/>
        </w:rPr>
        <w:t>6</w:t>
      </w:r>
      <w:r>
        <w:rPr>
          <w:rFonts w:cs="Times New Roman" w:hint="default"/>
          <w:iCs/>
        </w:rPr>
        <w:t>.2.9.2</w:t>
      </w:r>
      <w:r>
        <w:rPr>
          <w:rFonts w:cs="Times New Roman" w:hint="default"/>
          <w:iCs/>
        </w:rPr>
        <w:t>项目评价区生态系统类型</w:t>
      </w:r>
    </w:p>
    <w:p w:rsidR="00A46452" w:rsidRDefault="009A3928">
      <w:pPr>
        <w:ind w:firstLine="480"/>
        <w:rPr>
          <w:rFonts w:cs="Times New Roman"/>
        </w:rPr>
      </w:pPr>
      <w:r>
        <w:rPr>
          <w:rFonts w:cs="Times New Roman"/>
        </w:rPr>
        <w:t>本项目属于天山以南塔里木盆地北部荒漠区</w:t>
      </w:r>
      <w:r>
        <w:rPr>
          <w:rFonts w:cs="Times New Roman"/>
        </w:rPr>
        <w:t>—</w:t>
      </w:r>
      <w:r>
        <w:rPr>
          <w:rFonts w:cs="Times New Roman"/>
        </w:rPr>
        <w:t>绿洲区。地表植被大部分为荒漠植被和人工栽培植被，拟建公路穿越区域较长。根据现状调查结果结合遥感解译成果，按照《全国生态状况调查评估技术规范</w:t>
      </w:r>
      <w:r>
        <w:rPr>
          <w:rFonts w:cs="Times New Roman"/>
        </w:rPr>
        <w:t>—</w:t>
      </w:r>
      <w:r>
        <w:rPr>
          <w:rFonts w:cs="Times New Roman"/>
        </w:rPr>
        <w:t>生态系统遥感解译与野外核查》（</w:t>
      </w:r>
      <w:r>
        <w:rPr>
          <w:rFonts w:cs="Times New Roman"/>
        </w:rPr>
        <w:t>HJ1166-2021</w:t>
      </w:r>
      <w:r>
        <w:rPr>
          <w:rFonts w:cs="Times New Roman"/>
        </w:rPr>
        <w:t>）相关要求进行评价区生态系统分类，评价区生态系统类型包含草地生态系统、城镇生态系统、农田生态系统、森林生态系统、灌丛生态系统、湿地生态系统</w:t>
      </w:r>
      <w:r>
        <w:rPr>
          <w:rFonts w:cs="Times New Roman"/>
        </w:rPr>
        <w:t>和</w:t>
      </w:r>
      <w:r>
        <w:rPr>
          <w:rFonts w:cs="Times New Roman"/>
        </w:rPr>
        <w:t>荒漠生态系统，其中荒漠生态系统分布最为广泛。生态系统类型及面积统计见表</w:t>
      </w:r>
      <w:r>
        <w:rPr>
          <w:rFonts w:cs="Times New Roman" w:hint="eastAsia"/>
        </w:rPr>
        <w:t>6</w:t>
      </w:r>
      <w:r>
        <w:rPr>
          <w:rFonts w:cs="Times New Roman"/>
        </w:rPr>
        <w:t>.2-1</w:t>
      </w:r>
      <w:r>
        <w:rPr>
          <w:rFonts w:cs="Times New Roman" w:hint="eastAsia"/>
        </w:rPr>
        <w:t>6</w:t>
      </w:r>
      <w:r>
        <w:rPr>
          <w:rFonts w:cs="Times New Roman"/>
        </w:rPr>
        <w:t>，生态系统类型见图</w:t>
      </w:r>
      <w:r>
        <w:rPr>
          <w:rFonts w:cs="Times New Roman" w:hint="eastAsia"/>
        </w:rPr>
        <w:t>6</w:t>
      </w:r>
      <w:r>
        <w:rPr>
          <w:rFonts w:cs="Times New Roman"/>
        </w:rPr>
        <w:t>.2-</w:t>
      </w:r>
      <w:r>
        <w:rPr>
          <w:rFonts w:cs="Times New Roman"/>
        </w:rPr>
        <w:t>8</w:t>
      </w:r>
      <w:r>
        <w:rPr>
          <w:rFonts w:cs="Times New Roman"/>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.2-1</w:t>
      </w:r>
      <w:r>
        <w:rPr>
          <w:rFonts w:ascii="Times New Roman" w:hAnsi="Times New Roman" w:cs="Times New Roman"/>
          <w:sz w:val="24"/>
          <w:szCs w:val="24"/>
        </w:rPr>
        <w:t>6</w:t>
      </w:r>
      <w:r>
        <w:rPr>
          <w:rFonts w:ascii="Times New Roman" w:hAnsi="Times New Roman" w:cs="Times New Roman" w:hint="default"/>
          <w:sz w:val="24"/>
          <w:szCs w:val="24"/>
        </w:rPr>
        <w:t xml:space="preserve">       </w:t>
      </w:r>
      <w:r>
        <w:rPr>
          <w:rFonts w:ascii="Times New Roman" w:hAnsi="Times New Roman" w:cs="Times New Roman"/>
          <w:sz w:val="24"/>
          <w:szCs w:val="24"/>
        </w:rPr>
        <w:t xml:space="preserve">       </w:t>
      </w:r>
      <w:r>
        <w:rPr>
          <w:rFonts w:ascii="Times New Roman" w:hAnsi="Times New Roman" w:cs="Times New Roman" w:hint="default"/>
          <w:sz w:val="24"/>
          <w:szCs w:val="24"/>
        </w:rPr>
        <w:t>现状年项目区生态系统类型结果统计表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5"/>
        <w:gridCol w:w="3401"/>
        <w:gridCol w:w="2382"/>
        <w:gridCol w:w="2097"/>
      </w:tblGrid>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序号</w:t>
            </w:r>
          </w:p>
        </w:tc>
        <w:tc>
          <w:tcPr>
            <w:tcW w:w="2000"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类型</w:t>
            </w:r>
          </w:p>
        </w:tc>
        <w:tc>
          <w:tcPr>
            <w:tcW w:w="1401"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面积</w:t>
            </w:r>
            <w:r>
              <w:rPr>
                <w:rFonts w:cs="Times New Roman"/>
                <w:kern w:val="0"/>
                <w:sz w:val="21"/>
                <w:lang w:bidi="ar"/>
              </w:rPr>
              <w:t>hm²</w:t>
            </w:r>
          </w:p>
        </w:tc>
        <w:tc>
          <w:tcPr>
            <w:tcW w:w="1233"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比例</w:t>
            </w:r>
            <w:r>
              <w:rPr>
                <w:rFonts w:cs="Times New Roman"/>
                <w:kern w:val="0"/>
                <w:sz w:val="21"/>
                <w:lang w:bidi="ar"/>
              </w:rPr>
              <w:t>%</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草地生态系统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1061.92</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9.14 </w:t>
            </w:r>
          </w:p>
        </w:tc>
      </w:tr>
      <w:tr w:rsidR="00A46452">
        <w:trPr>
          <w:trHeight w:val="340"/>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2</w:t>
            </w:r>
          </w:p>
        </w:tc>
        <w:tc>
          <w:tcPr>
            <w:tcW w:w="3407" w:type="dxa"/>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城镇生态系统</w:t>
            </w:r>
          </w:p>
        </w:tc>
        <w:tc>
          <w:tcPr>
            <w:tcW w:w="2386" w:type="dxa"/>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299.07</w:t>
            </w:r>
          </w:p>
        </w:tc>
        <w:tc>
          <w:tcPr>
            <w:tcW w:w="2101" w:type="dxa"/>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2.58</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3</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灌丛生态系统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1443.22</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12.43 </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4</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荒漠生态系统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4112.18</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35.41 </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5</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农田生态系统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3032.08</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26.11 </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6</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森林生态系统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1594.34</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13.73 </w:t>
            </w:r>
          </w:p>
        </w:tc>
      </w:tr>
      <w:tr w:rsidR="00A46452">
        <w:trPr>
          <w:trHeight w:val="113"/>
          <w:jc w:val="center"/>
        </w:trPr>
        <w:tc>
          <w:tcPr>
            <w:tcW w:w="364"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7</w:t>
            </w:r>
          </w:p>
        </w:tc>
        <w:tc>
          <w:tcPr>
            <w:tcW w:w="3407"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湿地生态系统</w:t>
            </w:r>
          </w:p>
        </w:tc>
        <w:tc>
          <w:tcPr>
            <w:tcW w:w="2386"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71.52</w:t>
            </w:r>
          </w:p>
        </w:tc>
        <w:tc>
          <w:tcPr>
            <w:tcW w:w="2101" w:type="dxa"/>
            <w:noWrap/>
            <w:vAlign w:val="bottom"/>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 xml:space="preserve">0.62 </w:t>
            </w:r>
          </w:p>
        </w:tc>
      </w:tr>
      <w:tr w:rsidR="00A46452">
        <w:trPr>
          <w:trHeight w:val="113"/>
          <w:jc w:val="center"/>
        </w:trPr>
        <w:tc>
          <w:tcPr>
            <w:tcW w:w="2365" w:type="pct"/>
            <w:gridSpan w:val="2"/>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合计</w:t>
            </w:r>
          </w:p>
        </w:tc>
        <w:tc>
          <w:tcPr>
            <w:tcW w:w="1401"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11614.33</w:t>
            </w:r>
          </w:p>
        </w:tc>
        <w:tc>
          <w:tcPr>
            <w:tcW w:w="1233" w:type="pct"/>
            <w:noWrap/>
            <w:vAlign w:val="center"/>
          </w:tcPr>
          <w:p w:rsidR="00A46452" w:rsidRDefault="009A3928">
            <w:pPr>
              <w:widowControl/>
              <w:spacing w:line="240" w:lineRule="auto"/>
              <w:ind w:firstLineChars="0" w:firstLine="0"/>
              <w:jc w:val="center"/>
              <w:textAlignment w:val="bottom"/>
              <w:rPr>
                <w:rFonts w:cs="Times New Roman"/>
                <w:kern w:val="0"/>
                <w:sz w:val="21"/>
                <w:lang w:bidi="ar"/>
              </w:rPr>
            </w:pPr>
            <w:r>
              <w:rPr>
                <w:rFonts w:cs="Times New Roman"/>
                <w:kern w:val="0"/>
                <w:sz w:val="21"/>
                <w:lang w:bidi="ar"/>
              </w:rPr>
              <w:t>100.00</w:t>
            </w:r>
          </w:p>
        </w:tc>
      </w:tr>
    </w:tbl>
    <w:p w:rsidR="00A46452" w:rsidRDefault="009A3928">
      <w:pPr>
        <w:ind w:firstLine="480"/>
        <w:rPr>
          <w:rFonts w:cs="Times New Roman"/>
        </w:rPr>
      </w:pPr>
      <w:r>
        <w:rPr>
          <w:rFonts w:cs="Times New Roman"/>
        </w:rPr>
        <w:t>由上表可知，荒漠生态系统是评价区分布最为广泛的生态系统类型，</w:t>
      </w:r>
      <w:r>
        <w:rPr>
          <w:rFonts w:cs="Times New Roman"/>
        </w:rPr>
        <w:t>总面积约</w:t>
      </w:r>
      <w:r>
        <w:rPr>
          <w:rFonts w:cs="Times New Roman"/>
        </w:rPr>
        <w:t>为</w:t>
      </w:r>
      <w:r>
        <w:rPr>
          <w:rFonts w:cs="Times New Roman"/>
        </w:rPr>
        <w:t>4112.18h</w:t>
      </w:r>
      <w:r>
        <w:rPr>
          <w:rFonts w:cs="Times New Roman"/>
        </w:rPr>
        <w:t>m</w:t>
      </w:r>
      <w:r>
        <w:rPr>
          <w:rFonts w:cs="Times New Roman"/>
          <w:vertAlign w:val="superscript"/>
        </w:rPr>
        <w:t>2</w:t>
      </w:r>
      <w:r>
        <w:rPr>
          <w:rFonts w:cs="Times New Roman"/>
        </w:rPr>
        <w:t>，占评价区总面积的</w:t>
      </w:r>
      <w:r>
        <w:rPr>
          <w:rFonts w:cs="Times New Roman"/>
        </w:rPr>
        <w:t>35.41</w:t>
      </w:r>
      <w:r>
        <w:rPr>
          <w:rFonts w:cs="Times New Roman"/>
        </w:rPr>
        <w:t>%</w:t>
      </w:r>
      <w:r>
        <w:rPr>
          <w:rFonts w:cs="Times New Roman"/>
        </w:rPr>
        <w:t>；其次为</w:t>
      </w:r>
      <w:r>
        <w:rPr>
          <w:rFonts w:cs="Times New Roman"/>
        </w:rPr>
        <w:t>农田</w:t>
      </w:r>
      <w:r>
        <w:rPr>
          <w:rFonts w:cs="Times New Roman"/>
        </w:rPr>
        <w:t>生态系统，总</w:t>
      </w:r>
      <w:r>
        <w:rPr>
          <w:rFonts w:cs="Times New Roman"/>
        </w:rPr>
        <w:t>面积</w:t>
      </w:r>
      <w:r>
        <w:rPr>
          <w:rFonts w:cs="Times New Roman"/>
        </w:rPr>
        <w:t>约为</w:t>
      </w:r>
      <w:r>
        <w:rPr>
          <w:rFonts w:cs="Times New Roman"/>
        </w:rPr>
        <w:t>3032.08h</w:t>
      </w:r>
      <w:r>
        <w:rPr>
          <w:rFonts w:cs="Times New Roman"/>
        </w:rPr>
        <w:t>m</w:t>
      </w:r>
      <w:r>
        <w:rPr>
          <w:rFonts w:cs="Times New Roman"/>
          <w:vertAlign w:val="superscript"/>
        </w:rPr>
        <w:t>2</w:t>
      </w:r>
      <w:r>
        <w:rPr>
          <w:rFonts w:cs="Times New Roman"/>
        </w:rPr>
        <w:t>，占评价区总面积的</w:t>
      </w:r>
      <w:r>
        <w:rPr>
          <w:rFonts w:cs="Times New Roman"/>
        </w:rPr>
        <w:t>26.11</w:t>
      </w:r>
      <w:r>
        <w:rPr>
          <w:rFonts w:cs="Times New Roman"/>
        </w:rPr>
        <w:t>%</w:t>
      </w:r>
      <w:r>
        <w:rPr>
          <w:rFonts w:cs="Times New Roman"/>
        </w:rPr>
        <w:t>，</w:t>
      </w:r>
      <w:r>
        <w:rPr>
          <w:rFonts w:cs="Times New Roman"/>
        </w:rPr>
        <w:t>主要是水浇地和园地；</w:t>
      </w:r>
      <w:r>
        <w:rPr>
          <w:rFonts w:cs="Times New Roman"/>
        </w:rPr>
        <w:t>再者是以胡杨和灌区人工林为主的森林生态系统，</w:t>
      </w:r>
      <w:r>
        <w:rPr>
          <w:rFonts w:cs="Times New Roman"/>
        </w:rPr>
        <w:t>总面积约</w:t>
      </w:r>
      <w:r>
        <w:rPr>
          <w:rFonts w:cs="Times New Roman"/>
        </w:rPr>
        <w:t>为</w:t>
      </w:r>
      <w:r>
        <w:rPr>
          <w:rFonts w:cs="Times New Roman"/>
        </w:rPr>
        <w:t>1594.34</w:t>
      </w:r>
      <w:r>
        <w:rPr>
          <w:rFonts w:cs="Times New Roman"/>
        </w:rPr>
        <w:t>m</w:t>
      </w:r>
      <w:r>
        <w:rPr>
          <w:rFonts w:cs="Times New Roman"/>
          <w:vertAlign w:val="superscript"/>
        </w:rPr>
        <w:t>2</w:t>
      </w:r>
      <w:r>
        <w:rPr>
          <w:rFonts w:cs="Times New Roman"/>
        </w:rPr>
        <w:t>，占评价区总面积的</w:t>
      </w:r>
      <w:r>
        <w:rPr>
          <w:rFonts w:cs="Times New Roman"/>
        </w:rPr>
        <w:t>13.73</w:t>
      </w:r>
      <w:r>
        <w:rPr>
          <w:rFonts w:cs="Times New Roman"/>
        </w:rPr>
        <w:t>%</w:t>
      </w:r>
      <w:r>
        <w:rPr>
          <w:rFonts w:cs="Times New Roman"/>
        </w:rPr>
        <w:t>；</w:t>
      </w:r>
      <w:r>
        <w:rPr>
          <w:rFonts w:cs="Times New Roman"/>
        </w:rPr>
        <w:t>灌丛</w:t>
      </w:r>
      <w:r>
        <w:rPr>
          <w:rFonts w:cs="Times New Roman"/>
        </w:rPr>
        <w:t>生态系统总</w:t>
      </w:r>
      <w:r>
        <w:rPr>
          <w:rFonts w:cs="Times New Roman"/>
        </w:rPr>
        <w:t>面积</w:t>
      </w:r>
      <w:r>
        <w:rPr>
          <w:rFonts w:cs="Times New Roman"/>
        </w:rPr>
        <w:t>约为</w:t>
      </w:r>
      <w:r>
        <w:rPr>
          <w:rFonts w:cs="Times New Roman"/>
        </w:rPr>
        <w:t>1443.22h</w:t>
      </w:r>
      <w:r>
        <w:rPr>
          <w:rFonts w:cs="Times New Roman"/>
        </w:rPr>
        <w:t>m</w:t>
      </w:r>
      <w:r>
        <w:rPr>
          <w:rFonts w:cs="Times New Roman"/>
          <w:vertAlign w:val="superscript"/>
        </w:rPr>
        <w:t>2</w:t>
      </w:r>
      <w:r>
        <w:rPr>
          <w:rFonts w:cs="Times New Roman"/>
        </w:rPr>
        <w:t>，占评价区总面积的</w:t>
      </w:r>
      <w:r>
        <w:rPr>
          <w:rFonts w:cs="Times New Roman"/>
        </w:rPr>
        <w:t>12.43</w:t>
      </w:r>
      <w:r>
        <w:rPr>
          <w:rFonts w:cs="Times New Roman"/>
        </w:rPr>
        <w:t>%</w:t>
      </w:r>
      <w:r>
        <w:rPr>
          <w:rFonts w:cs="Times New Roman"/>
        </w:rPr>
        <w:t>，主要以灌木荒漠和多汁盐生</w:t>
      </w:r>
      <w:r>
        <w:rPr>
          <w:rFonts w:cs="Times New Roman"/>
        </w:rPr>
        <w:t>半矮灌木</w:t>
      </w:r>
      <w:r>
        <w:rPr>
          <w:rFonts w:cs="Times New Roman"/>
        </w:rPr>
        <w:t>荒漠为主；</w:t>
      </w:r>
      <w:r>
        <w:rPr>
          <w:rFonts w:cs="Times New Roman"/>
        </w:rPr>
        <w:t>草地</w:t>
      </w:r>
      <w:r>
        <w:rPr>
          <w:rFonts w:cs="Times New Roman"/>
        </w:rPr>
        <w:t>生态系统总</w:t>
      </w:r>
      <w:r>
        <w:rPr>
          <w:rFonts w:cs="Times New Roman"/>
        </w:rPr>
        <w:t>面积</w:t>
      </w:r>
      <w:r>
        <w:rPr>
          <w:rFonts w:cs="Times New Roman"/>
        </w:rPr>
        <w:t>约为</w:t>
      </w:r>
      <w:r>
        <w:rPr>
          <w:rFonts w:cs="Times New Roman"/>
        </w:rPr>
        <w:t>1061.92h</w:t>
      </w:r>
      <w:r>
        <w:rPr>
          <w:rFonts w:cs="Times New Roman"/>
        </w:rPr>
        <w:t>m</w:t>
      </w:r>
      <w:r>
        <w:rPr>
          <w:rFonts w:cs="Times New Roman"/>
          <w:vertAlign w:val="superscript"/>
        </w:rPr>
        <w:t>2</w:t>
      </w:r>
      <w:r>
        <w:rPr>
          <w:rFonts w:cs="Times New Roman"/>
        </w:rPr>
        <w:t>，占评价区总面积的</w:t>
      </w:r>
      <w:r>
        <w:rPr>
          <w:rFonts w:cs="Times New Roman"/>
        </w:rPr>
        <w:t>9.14</w:t>
      </w:r>
      <w:r>
        <w:rPr>
          <w:rFonts w:cs="Times New Roman"/>
        </w:rPr>
        <w:t>%</w:t>
      </w:r>
      <w:r>
        <w:rPr>
          <w:rFonts w:cs="Times New Roman"/>
        </w:rPr>
        <w:t>，</w:t>
      </w:r>
      <w:r>
        <w:rPr>
          <w:rFonts w:cs="Times New Roman"/>
        </w:rPr>
        <w:t>主要以耐盐耐旱型的其他草地。</w:t>
      </w:r>
    </w:p>
    <w:p w:rsidR="00A46452" w:rsidRDefault="009A3928">
      <w:pPr>
        <w:pStyle w:val="42"/>
        <w:snapToGrid w:val="0"/>
        <w:spacing w:before="156" w:after="156" w:line="240" w:lineRule="auto"/>
        <w:rPr>
          <w:rFonts w:cs="Times New Roman" w:hint="default"/>
          <w:iCs/>
        </w:rPr>
      </w:pPr>
      <w:r>
        <w:rPr>
          <w:rFonts w:cs="Times New Roman" w:hint="default"/>
          <w:iCs/>
        </w:rPr>
        <w:t>6</w:t>
      </w:r>
      <w:r>
        <w:rPr>
          <w:rFonts w:cs="Times New Roman" w:hint="default"/>
          <w:iCs/>
        </w:rPr>
        <w:t>.2.9.3</w:t>
      </w:r>
      <w:r>
        <w:rPr>
          <w:rFonts w:cs="Times New Roman" w:hint="default"/>
          <w:iCs/>
        </w:rPr>
        <w:t>区域生态系统生产力及功能状况评价</w:t>
      </w:r>
    </w:p>
    <w:p w:rsidR="00A46452" w:rsidRDefault="009A3928">
      <w:pPr>
        <w:tabs>
          <w:tab w:val="center" w:pos="1249"/>
          <w:tab w:val="right" w:pos="2376"/>
        </w:tabs>
        <w:ind w:firstLine="480"/>
        <w:rPr>
          <w:rFonts w:cs="Times New Roman"/>
          <w:szCs w:val="32"/>
        </w:rPr>
      </w:pPr>
      <w:r>
        <w:rPr>
          <w:rFonts w:cs="Times New Roman"/>
          <w:szCs w:val="32"/>
        </w:rPr>
        <w:t>（</w:t>
      </w:r>
      <w:r>
        <w:rPr>
          <w:rFonts w:cs="Times New Roman"/>
          <w:szCs w:val="32"/>
        </w:rPr>
        <w:t>1</w:t>
      </w:r>
      <w:r>
        <w:rPr>
          <w:rFonts w:cs="Times New Roman"/>
          <w:szCs w:val="32"/>
        </w:rPr>
        <w:t>）自然系统净初级生产能力</w:t>
      </w:r>
    </w:p>
    <w:p w:rsidR="00A46452" w:rsidRDefault="009A3928">
      <w:pPr>
        <w:tabs>
          <w:tab w:val="center" w:pos="1249"/>
          <w:tab w:val="right" w:pos="2376"/>
        </w:tabs>
        <w:ind w:firstLine="480"/>
        <w:rPr>
          <w:rFonts w:cs="Times New Roman"/>
          <w:szCs w:val="32"/>
        </w:rPr>
      </w:pPr>
      <w:r>
        <w:rPr>
          <w:rFonts w:cs="Times New Roman"/>
          <w:szCs w:val="32"/>
        </w:rPr>
        <w:t>根据陆生生态系统生物（植被）生产力主要受温度和水分的影响，采用</w:t>
      </w:r>
      <w:r>
        <w:rPr>
          <w:rFonts w:cs="Times New Roman"/>
          <w:szCs w:val="32"/>
        </w:rPr>
        <w:t>H·lieth</w:t>
      </w:r>
      <w:r>
        <w:rPr>
          <w:rFonts w:cs="Times New Roman"/>
          <w:szCs w:val="32"/>
        </w:rPr>
        <w:t>生物生产力经验公式计算区域的生产力，计算公式如下：</w:t>
      </w:r>
    </w:p>
    <w:p w:rsidR="00A46452" w:rsidRDefault="009A3928">
      <w:pPr>
        <w:tabs>
          <w:tab w:val="center" w:pos="1249"/>
          <w:tab w:val="right" w:pos="2376"/>
        </w:tabs>
        <w:ind w:firstLine="480"/>
        <w:rPr>
          <w:rFonts w:cs="Times New Roman"/>
          <w:szCs w:val="32"/>
        </w:rPr>
      </w:pPr>
      <w:r>
        <w:rPr>
          <w:rFonts w:cs="Times New Roman"/>
          <w:szCs w:val="32"/>
        </w:rPr>
        <w:t>y</w:t>
      </w:r>
      <w:r>
        <w:rPr>
          <w:rFonts w:cs="Times New Roman"/>
          <w:szCs w:val="32"/>
          <w:vertAlign w:val="subscript"/>
        </w:rPr>
        <w:t>1</w:t>
      </w:r>
      <w:r>
        <w:rPr>
          <w:rFonts w:cs="Times New Roman"/>
          <w:szCs w:val="32"/>
        </w:rPr>
        <w:t>=3000/</w:t>
      </w:r>
      <w:r>
        <w:rPr>
          <w:rFonts w:cs="Times New Roman"/>
          <w:szCs w:val="32"/>
        </w:rPr>
        <w:t>（</w:t>
      </w:r>
      <w:r>
        <w:rPr>
          <w:rFonts w:cs="Times New Roman"/>
          <w:szCs w:val="32"/>
        </w:rPr>
        <w:t>1+e</w:t>
      </w:r>
      <w:r>
        <w:rPr>
          <w:rFonts w:cs="Times New Roman"/>
          <w:szCs w:val="32"/>
          <w:vertAlign w:val="superscript"/>
        </w:rPr>
        <w:t>1.315-0.119t</w:t>
      </w:r>
      <w:r>
        <w:rPr>
          <w:rFonts w:cs="Times New Roman"/>
          <w:szCs w:val="32"/>
        </w:rPr>
        <w:t>）</w:t>
      </w:r>
    </w:p>
    <w:p w:rsidR="00A46452" w:rsidRDefault="009A3928">
      <w:pPr>
        <w:tabs>
          <w:tab w:val="center" w:pos="1249"/>
          <w:tab w:val="right" w:pos="2376"/>
        </w:tabs>
        <w:ind w:firstLine="480"/>
        <w:rPr>
          <w:rFonts w:cs="Times New Roman"/>
          <w:szCs w:val="32"/>
        </w:rPr>
      </w:pPr>
      <w:r>
        <w:rPr>
          <w:rFonts w:cs="Times New Roman"/>
          <w:szCs w:val="32"/>
        </w:rPr>
        <w:t>y</w:t>
      </w:r>
      <w:r>
        <w:rPr>
          <w:rFonts w:cs="Times New Roman"/>
          <w:szCs w:val="32"/>
          <w:vertAlign w:val="subscript"/>
        </w:rPr>
        <w:t>1</w:t>
      </w:r>
      <w:r>
        <w:rPr>
          <w:rFonts w:cs="Times New Roman"/>
          <w:szCs w:val="32"/>
        </w:rPr>
        <w:t>—</w:t>
      </w:r>
      <w:r>
        <w:rPr>
          <w:rFonts w:cs="Times New Roman"/>
          <w:szCs w:val="32"/>
        </w:rPr>
        <w:t>根据年平均气温（</w:t>
      </w:r>
      <w:r>
        <w:rPr>
          <w:rFonts w:cs="Times New Roman"/>
          <w:szCs w:val="32"/>
        </w:rPr>
        <w:t>t</w:t>
      </w:r>
      <w:r>
        <w:rPr>
          <w:rFonts w:cs="Times New Roman"/>
          <w:szCs w:val="32"/>
        </w:rPr>
        <w:t>）估算的热量生产力（</w:t>
      </w:r>
      <w:r>
        <w:rPr>
          <w:rFonts w:cs="Times New Roman"/>
          <w:szCs w:val="32"/>
        </w:rPr>
        <w:t>g/m².a</w:t>
      </w:r>
      <w:r>
        <w:rPr>
          <w:rFonts w:cs="Times New Roman"/>
          <w:szCs w:val="32"/>
        </w:rPr>
        <w:t>）；</w:t>
      </w:r>
    </w:p>
    <w:p w:rsidR="00A46452" w:rsidRDefault="009A3928">
      <w:pPr>
        <w:tabs>
          <w:tab w:val="center" w:pos="1249"/>
          <w:tab w:val="right" w:pos="2376"/>
        </w:tabs>
        <w:ind w:firstLine="480"/>
        <w:rPr>
          <w:rFonts w:cs="Times New Roman"/>
          <w:szCs w:val="32"/>
        </w:rPr>
      </w:pPr>
      <w:r>
        <w:rPr>
          <w:rFonts w:cs="Times New Roman"/>
          <w:szCs w:val="32"/>
        </w:rPr>
        <w:t>y</w:t>
      </w:r>
      <w:r>
        <w:rPr>
          <w:rFonts w:cs="Times New Roman"/>
          <w:szCs w:val="32"/>
          <w:vertAlign w:val="subscript"/>
        </w:rPr>
        <w:t>2</w:t>
      </w:r>
      <w:r>
        <w:rPr>
          <w:rFonts w:cs="Times New Roman"/>
          <w:szCs w:val="32"/>
        </w:rPr>
        <w:t>=3000</w:t>
      </w:r>
      <w:r>
        <w:rPr>
          <w:rFonts w:cs="Times New Roman"/>
          <w:szCs w:val="32"/>
        </w:rPr>
        <w:t>（</w:t>
      </w:r>
      <w:r>
        <w:rPr>
          <w:rFonts w:cs="Times New Roman"/>
          <w:szCs w:val="32"/>
        </w:rPr>
        <w:t>1-e</w:t>
      </w:r>
      <w:r>
        <w:rPr>
          <w:rFonts w:cs="Times New Roman"/>
          <w:szCs w:val="32"/>
          <w:vertAlign w:val="superscript"/>
        </w:rPr>
        <w:t>-0.000664p</w:t>
      </w:r>
      <w:r>
        <w:rPr>
          <w:rFonts w:cs="Times New Roman"/>
          <w:szCs w:val="32"/>
        </w:rPr>
        <w:t>）</w:t>
      </w:r>
    </w:p>
    <w:p w:rsidR="00A46452" w:rsidRDefault="009A3928">
      <w:pPr>
        <w:tabs>
          <w:tab w:val="center" w:pos="1249"/>
          <w:tab w:val="right" w:pos="2376"/>
        </w:tabs>
        <w:ind w:firstLine="480"/>
        <w:rPr>
          <w:rFonts w:cs="Times New Roman"/>
          <w:szCs w:val="32"/>
        </w:rPr>
      </w:pPr>
      <w:r>
        <w:rPr>
          <w:rFonts w:cs="Times New Roman"/>
          <w:szCs w:val="32"/>
        </w:rPr>
        <w:t>y</w:t>
      </w:r>
      <w:r>
        <w:rPr>
          <w:rFonts w:cs="Times New Roman"/>
          <w:szCs w:val="32"/>
          <w:vertAlign w:val="subscript"/>
        </w:rPr>
        <w:t>2</w:t>
      </w:r>
      <w:r>
        <w:rPr>
          <w:rFonts w:cs="Times New Roman"/>
          <w:szCs w:val="32"/>
        </w:rPr>
        <w:t>—</w:t>
      </w:r>
      <w:r>
        <w:rPr>
          <w:rFonts w:cs="Times New Roman"/>
          <w:szCs w:val="32"/>
        </w:rPr>
        <w:t>根据年平均降水量（</w:t>
      </w:r>
      <w:r>
        <w:rPr>
          <w:rFonts w:cs="Times New Roman"/>
          <w:szCs w:val="32"/>
        </w:rPr>
        <w:t>p</w:t>
      </w:r>
      <w:r>
        <w:rPr>
          <w:rFonts w:cs="Times New Roman"/>
          <w:szCs w:val="32"/>
        </w:rPr>
        <w:t>）估算的水分生产力（</w:t>
      </w:r>
      <w:r>
        <w:rPr>
          <w:rFonts w:cs="Times New Roman"/>
          <w:szCs w:val="32"/>
        </w:rPr>
        <w:t>g/m².a</w:t>
      </w:r>
      <w:r>
        <w:rPr>
          <w:rFonts w:cs="Times New Roman"/>
          <w:szCs w:val="32"/>
        </w:rPr>
        <w:t>）。</w:t>
      </w:r>
    </w:p>
    <w:p w:rsidR="00A46452" w:rsidRDefault="009A3928">
      <w:pPr>
        <w:tabs>
          <w:tab w:val="center" w:pos="1249"/>
          <w:tab w:val="right" w:pos="2376"/>
        </w:tabs>
        <w:ind w:firstLine="480"/>
        <w:rPr>
          <w:rFonts w:cs="Times New Roman"/>
          <w:szCs w:val="32"/>
        </w:rPr>
      </w:pPr>
      <w:r>
        <w:rPr>
          <w:rFonts w:cs="Times New Roman"/>
          <w:szCs w:val="32"/>
        </w:rPr>
        <w:t>采用库车市气象站年平均气温、年平均降水量估算项目区自然生产力本底值，估算结果见表</w:t>
      </w:r>
      <w:r>
        <w:rPr>
          <w:rFonts w:cs="Times New Roman" w:hint="eastAsia"/>
          <w:szCs w:val="32"/>
        </w:rPr>
        <w:t>6</w:t>
      </w:r>
      <w:r>
        <w:rPr>
          <w:rFonts w:cs="Times New Roman"/>
          <w:szCs w:val="32"/>
        </w:rPr>
        <w:t>.2-</w:t>
      </w:r>
      <w:r>
        <w:rPr>
          <w:rFonts w:cs="Times New Roman" w:hint="eastAsia"/>
          <w:szCs w:val="32"/>
        </w:rPr>
        <w:t>17</w:t>
      </w:r>
      <w:r>
        <w:rPr>
          <w:rFonts w:cs="Times New Roman"/>
          <w:szCs w:val="32"/>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bookmarkStart w:id="263" w:name="_Ref131672790"/>
      <w:r>
        <w:rPr>
          <w:rFonts w:ascii="Times New Roman" w:hAnsi="Times New Roman" w:cs="Times New Roman" w:hint="default"/>
          <w:sz w:val="24"/>
          <w:szCs w:val="24"/>
        </w:rPr>
        <w:t>表</w:t>
      </w:r>
      <w:bookmarkEnd w:id="263"/>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17</w:t>
      </w:r>
      <w:r>
        <w:rPr>
          <w:rFonts w:ascii="Times New Roman" w:hAnsi="Times New Roman" w:cs="Times New Roman" w:hint="default"/>
          <w:sz w:val="24"/>
          <w:szCs w:val="24"/>
        </w:rPr>
        <w:t xml:space="preserve">              </w:t>
      </w:r>
      <w:r>
        <w:rPr>
          <w:rFonts w:ascii="Times New Roman" w:hAnsi="Times New Roman" w:cs="Times New Roman" w:hint="default"/>
          <w:sz w:val="24"/>
          <w:szCs w:val="24"/>
        </w:rPr>
        <w:t>土地自然生产力本底值估算表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8"/>
        <w:gridCol w:w="1190"/>
        <w:gridCol w:w="1188"/>
        <w:gridCol w:w="1188"/>
        <w:gridCol w:w="1298"/>
        <w:gridCol w:w="1230"/>
        <w:gridCol w:w="1233"/>
      </w:tblGrid>
      <w:tr w:rsidR="00A46452">
        <w:trPr>
          <w:trHeight w:val="270"/>
          <w:jc w:val="center"/>
        </w:trPr>
        <w:tc>
          <w:tcPr>
            <w:tcW w:w="697" w:type="pct"/>
            <w:vMerge w:val="restart"/>
            <w:vAlign w:val="center"/>
          </w:tcPr>
          <w:p w:rsidR="00A46452" w:rsidRDefault="009A3928">
            <w:pPr>
              <w:overflowPunct w:val="0"/>
              <w:spacing w:line="240" w:lineRule="exact"/>
              <w:ind w:firstLineChars="0" w:firstLine="0"/>
              <w:contextualSpacing/>
              <w:jc w:val="center"/>
              <w:rPr>
                <w:rFonts w:cs="Times New Roman"/>
                <w:sz w:val="18"/>
                <w:szCs w:val="18"/>
              </w:rPr>
            </w:pPr>
            <w:r>
              <w:rPr>
                <w:rFonts w:cs="Times New Roman"/>
                <w:sz w:val="18"/>
                <w:szCs w:val="18"/>
              </w:rPr>
              <w:t>气象站</w:t>
            </w:r>
          </w:p>
        </w:tc>
        <w:tc>
          <w:tcPr>
            <w:tcW w:w="698" w:type="pct"/>
            <w:vMerge w:val="restar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年均温度（</w:t>
            </w:r>
            <w:r>
              <w:rPr>
                <w:rFonts w:cs="Times New Roman"/>
                <w:sz w:val="18"/>
                <w:szCs w:val="18"/>
              </w:rPr>
              <w:t>℃</w:t>
            </w:r>
            <w:r>
              <w:rPr>
                <w:rFonts w:cs="Times New Roman"/>
                <w:sz w:val="18"/>
                <w:szCs w:val="18"/>
              </w:rPr>
              <w:t>）</w:t>
            </w:r>
          </w:p>
        </w:tc>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年均降水</w:t>
            </w:r>
          </w:p>
        </w:tc>
        <w:tc>
          <w:tcPr>
            <w:tcW w:w="1459" w:type="pct"/>
            <w:gridSpan w:val="2"/>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热量生产力本底值</w:t>
            </w:r>
            <w:r>
              <w:rPr>
                <w:rFonts w:cs="Times New Roman"/>
                <w:sz w:val="18"/>
                <w:szCs w:val="18"/>
              </w:rPr>
              <w:t>y1</w:t>
            </w:r>
          </w:p>
        </w:tc>
        <w:tc>
          <w:tcPr>
            <w:tcW w:w="1446" w:type="pct"/>
            <w:gridSpan w:val="2"/>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水分生产力本底值</w:t>
            </w:r>
            <w:r>
              <w:rPr>
                <w:rFonts w:cs="Times New Roman"/>
                <w:sz w:val="18"/>
                <w:szCs w:val="18"/>
              </w:rPr>
              <w:t>y</w:t>
            </w:r>
            <w:r>
              <w:rPr>
                <w:rFonts w:cs="Times New Roman"/>
                <w:sz w:val="18"/>
                <w:szCs w:val="18"/>
                <w:vertAlign w:val="superscript"/>
              </w:rPr>
              <w:t>2</w:t>
            </w:r>
          </w:p>
        </w:tc>
      </w:tr>
      <w:tr w:rsidR="00A46452">
        <w:trPr>
          <w:trHeight w:val="313"/>
          <w:jc w:val="center"/>
        </w:trPr>
        <w:tc>
          <w:tcPr>
            <w:tcW w:w="697" w:type="pct"/>
            <w:vMerge/>
            <w:vAlign w:val="center"/>
          </w:tcPr>
          <w:p w:rsidR="00A46452" w:rsidRDefault="00A46452">
            <w:pPr>
              <w:wordWrap w:val="0"/>
              <w:overflowPunct w:val="0"/>
              <w:spacing w:line="240" w:lineRule="exact"/>
              <w:ind w:firstLineChars="0" w:firstLine="0"/>
              <w:contextualSpacing/>
              <w:jc w:val="center"/>
              <w:rPr>
                <w:rFonts w:cs="Times New Roman"/>
                <w:sz w:val="18"/>
                <w:szCs w:val="18"/>
              </w:rPr>
            </w:pPr>
          </w:p>
        </w:tc>
        <w:tc>
          <w:tcPr>
            <w:tcW w:w="698" w:type="pct"/>
            <w:vMerge/>
            <w:vAlign w:val="center"/>
          </w:tcPr>
          <w:p w:rsidR="00A46452" w:rsidRDefault="00A46452">
            <w:pPr>
              <w:wordWrap w:val="0"/>
              <w:overflowPunct w:val="0"/>
              <w:spacing w:line="240" w:lineRule="exact"/>
              <w:ind w:firstLineChars="0" w:firstLine="0"/>
              <w:contextualSpacing/>
              <w:jc w:val="center"/>
              <w:rPr>
                <w:rFonts w:cs="Times New Roman"/>
                <w:sz w:val="18"/>
                <w:szCs w:val="18"/>
              </w:rPr>
            </w:pPr>
          </w:p>
        </w:tc>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w:t>
            </w:r>
            <w:r>
              <w:rPr>
                <w:rFonts w:cs="Times New Roman"/>
                <w:sz w:val="18"/>
                <w:szCs w:val="18"/>
              </w:rPr>
              <w:t>mm</w:t>
            </w:r>
            <w:r>
              <w:rPr>
                <w:rFonts w:cs="Times New Roman"/>
                <w:sz w:val="18"/>
                <w:szCs w:val="18"/>
              </w:rPr>
              <w:t>）</w:t>
            </w:r>
          </w:p>
        </w:tc>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g/m².a</w:t>
            </w:r>
          </w:p>
        </w:tc>
        <w:tc>
          <w:tcPr>
            <w:tcW w:w="762"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g/m².d</w:t>
            </w:r>
          </w:p>
        </w:tc>
        <w:tc>
          <w:tcPr>
            <w:tcW w:w="722"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g/m².a</w:t>
            </w:r>
          </w:p>
        </w:tc>
        <w:tc>
          <w:tcPr>
            <w:tcW w:w="724"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g/m².d</w:t>
            </w:r>
          </w:p>
        </w:tc>
      </w:tr>
      <w:tr w:rsidR="00A46452">
        <w:trPr>
          <w:trHeight w:val="285"/>
          <w:jc w:val="center"/>
        </w:trPr>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库车</w:t>
            </w:r>
            <w:r>
              <w:rPr>
                <w:rFonts w:cs="Times New Roman"/>
                <w:sz w:val="18"/>
                <w:szCs w:val="18"/>
              </w:rPr>
              <w:t>市</w:t>
            </w:r>
          </w:p>
        </w:tc>
        <w:tc>
          <w:tcPr>
            <w:tcW w:w="698"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11.</w:t>
            </w:r>
            <w:r>
              <w:rPr>
                <w:rFonts w:cs="Times New Roman"/>
                <w:sz w:val="18"/>
                <w:szCs w:val="18"/>
              </w:rPr>
              <w:t>6</w:t>
            </w:r>
          </w:p>
        </w:tc>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38.4</w:t>
            </w:r>
          </w:p>
        </w:tc>
        <w:tc>
          <w:tcPr>
            <w:tcW w:w="697"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15</w:t>
            </w:r>
            <w:r>
              <w:rPr>
                <w:rFonts w:cs="Times New Roman"/>
                <w:sz w:val="18"/>
                <w:szCs w:val="18"/>
              </w:rPr>
              <w:t>49.07</w:t>
            </w:r>
          </w:p>
        </w:tc>
        <w:tc>
          <w:tcPr>
            <w:tcW w:w="762"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4.</w:t>
            </w:r>
            <w:r>
              <w:rPr>
                <w:rFonts w:cs="Times New Roman"/>
                <w:sz w:val="18"/>
                <w:szCs w:val="18"/>
              </w:rPr>
              <w:t>24</w:t>
            </w:r>
          </w:p>
        </w:tc>
        <w:tc>
          <w:tcPr>
            <w:tcW w:w="722"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75.61</w:t>
            </w:r>
          </w:p>
        </w:tc>
        <w:tc>
          <w:tcPr>
            <w:tcW w:w="724" w:type="pct"/>
            <w:vAlign w:val="center"/>
          </w:tcPr>
          <w:p w:rsidR="00A46452" w:rsidRDefault="009A3928">
            <w:pPr>
              <w:wordWrap w:val="0"/>
              <w:overflowPunct w:val="0"/>
              <w:spacing w:line="240" w:lineRule="exact"/>
              <w:ind w:firstLineChars="0" w:firstLine="0"/>
              <w:contextualSpacing/>
              <w:jc w:val="center"/>
              <w:rPr>
                <w:rFonts w:cs="Times New Roman"/>
                <w:sz w:val="18"/>
                <w:szCs w:val="18"/>
              </w:rPr>
            </w:pPr>
            <w:r>
              <w:rPr>
                <w:rFonts w:cs="Times New Roman"/>
                <w:sz w:val="18"/>
                <w:szCs w:val="18"/>
              </w:rPr>
              <w:t>0.2</w:t>
            </w:r>
            <w:r>
              <w:rPr>
                <w:rFonts w:cs="Times New Roman"/>
                <w:sz w:val="18"/>
                <w:szCs w:val="18"/>
              </w:rPr>
              <w:t>1</w:t>
            </w:r>
          </w:p>
        </w:tc>
      </w:tr>
    </w:tbl>
    <w:p w:rsidR="00A46452" w:rsidRDefault="009A3928">
      <w:pPr>
        <w:tabs>
          <w:tab w:val="center" w:pos="1249"/>
          <w:tab w:val="right" w:pos="2376"/>
        </w:tabs>
        <w:ind w:firstLine="480"/>
        <w:rPr>
          <w:rFonts w:cs="Times New Roman"/>
          <w:szCs w:val="32"/>
        </w:rPr>
      </w:pPr>
      <w:r>
        <w:rPr>
          <w:rFonts w:cs="Times New Roman"/>
          <w:szCs w:val="32"/>
        </w:rPr>
        <w:t>从计算结果分析，根据年平均气温估算的热量生产力（</w:t>
      </w:r>
      <w:r>
        <w:rPr>
          <w:rFonts w:cs="Times New Roman"/>
          <w:szCs w:val="32"/>
        </w:rPr>
        <w:t>y1</w:t>
      </w:r>
      <w:r>
        <w:rPr>
          <w:rFonts w:cs="Times New Roman"/>
          <w:szCs w:val="32"/>
        </w:rPr>
        <w:t>）大于根据年平均降水量估算的（</w:t>
      </w:r>
      <w:r>
        <w:rPr>
          <w:rFonts w:cs="Times New Roman"/>
          <w:szCs w:val="32"/>
        </w:rPr>
        <w:t>y2</w:t>
      </w:r>
      <w:r>
        <w:rPr>
          <w:rFonts w:cs="Times New Roman"/>
          <w:szCs w:val="32"/>
        </w:rPr>
        <w:t>），由于本地区生物生产力的限制因子是降水量，因此以</w:t>
      </w:r>
      <w:r>
        <w:rPr>
          <w:rFonts w:cs="Times New Roman"/>
          <w:szCs w:val="32"/>
        </w:rPr>
        <w:t>y2</w:t>
      </w:r>
      <w:r>
        <w:rPr>
          <w:rFonts w:cs="Times New Roman"/>
          <w:szCs w:val="32"/>
        </w:rPr>
        <w:t>作为本区域生物生产力的评价值，评价区自然体系本底净第一性生产力为</w:t>
      </w:r>
      <w:r>
        <w:rPr>
          <w:rFonts w:cs="Times New Roman"/>
          <w:szCs w:val="32"/>
        </w:rPr>
        <w:t>84g/m²•a</w:t>
      </w:r>
      <w:r>
        <w:rPr>
          <w:rFonts w:cs="Times New Roman"/>
          <w:szCs w:val="32"/>
        </w:rPr>
        <w:t>（折合</w:t>
      </w:r>
      <w:r>
        <w:rPr>
          <w:rFonts w:cs="Times New Roman"/>
          <w:szCs w:val="32"/>
        </w:rPr>
        <w:t>0.2</w:t>
      </w:r>
      <w:r>
        <w:rPr>
          <w:rFonts w:cs="Times New Roman"/>
          <w:szCs w:val="32"/>
        </w:rPr>
        <w:t>1</w:t>
      </w:r>
      <w:r>
        <w:rPr>
          <w:rFonts w:cs="Times New Roman"/>
          <w:szCs w:val="32"/>
        </w:rPr>
        <w:t>g/m²•d</w:t>
      </w:r>
      <w:r>
        <w:rPr>
          <w:rFonts w:cs="Times New Roman"/>
          <w:szCs w:val="32"/>
        </w:rPr>
        <w:t>）。</w:t>
      </w:r>
    </w:p>
    <w:p w:rsidR="00A46452" w:rsidRDefault="009A3928">
      <w:pPr>
        <w:tabs>
          <w:tab w:val="center" w:pos="1249"/>
          <w:tab w:val="right" w:pos="2376"/>
        </w:tabs>
        <w:ind w:firstLine="480"/>
        <w:rPr>
          <w:rFonts w:cs="Times New Roman"/>
          <w:szCs w:val="32"/>
        </w:rPr>
      </w:pPr>
      <w:r>
        <w:rPr>
          <w:rFonts w:cs="Times New Roman"/>
          <w:szCs w:val="32"/>
        </w:rPr>
        <w:t>根据奥德姆（</w:t>
      </w:r>
      <w:r>
        <w:rPr>
          <w:rFonts w:cs="Times New Roman"/>
          <w:szCs w:val="32"/>
        </w:rPr>
        <w:t>Odum</w:t>
      </w:r>
      <w:r>
        <w:rPr>
          <w:rFonts w:cs="Times New Roman"/>
          <w:szCs w:val="32"/>
        </w:rPr>
        <w:t>，</w:t>
      </w:r>
      <w:r>
        <w:rPr>
          <w:rFonts w:cs="Times New Roman"/>
          <w:szCs w:val="32"/>
        </w:rPr>
        <w:t>1959</w:t>
      </w:r>
      <w:r>
        <w:rPr>
          <w:rFonts w:cs="Times New Roman"/>
          <w:szCs w:val="32"/>
        </w:rPr>
        <w:t>）生态系统净生产力的高低（表</w:t>
      </w:r>
      <w:r>
        <w:rPr>
          <w:rFonts w:cs="Times New Roman"/>
          <w:szCs w:val="32"/>
        </w:rPr>
        <w:t>4.2-21</w:t>
      </w:r>
      <w:r>
        <w:rPr>
          <w:rFonts w:cs="Times New Roman"/>
          <w:szCs w:val="32"/>
        </w:rPr>
        <w:t>），将生态系统划分为最低（小于</w:t>
      </w:r>
      <w:r>
        <w:rPr>
          <w:rFonts w:cs="Times New Roman"/>
          <w:szCs w:val="32"/>
        </w:rPr>
        <w:t>0.5g/m²•d</w:t>
      </w:r>
      <w:r>
        <w:rPr>
          <w:rFonts w:cs="Times New Roman"/>
          <w:szCs w:val="32"/>
        </w:rPr>
        <w:t>）、较低（</w:t>
      </w:r>
      <w:r>
        <w:rPr>
          <w:rFonts w:cs="Times New Roman"/>
          <w:szCs w:val="32"/>
        </w:rPr>
        <w:t>0.5g/m²•d</w:t>
      </w:r>
      <w:r>
        <w:rPr>
          <w:rFonts w:cs="Times New Roman"/>
          <w:szCs w:val="32"/>
        </w:rPr>
        <w:t>～</w:t>
      </w:r>
      <w:r>
        <w:rPr>
          <w:rFonts w:cs="Times New Roman"/>
          <w:szCs w:val="32"/>
        </w:rPr>
        <w:t>3.0g/m²•d</w:t>
      </w:r>
      <w:r>
        <w:rPr>
          <w:rFonts w:cs="Times New Roman"/>
          <w:szCs w:val="32"/>
        </w:rPr>
        <w:t>）、较高（</w:t>
      </w:r>
      <w:r>
        <w:rPr>
          <w:rFonts w:cs="Times New Roman"/>
          <w:szCs w:val="32"/>
        </w:rPr>
        <w:t>3g/m²•d</w:t>
      </w:r>
      <w:r>
        <w:rPr>
          <w:rFonts w:cs="Times New Roman"/>
          <w:szCs w:val="32"/>
        </w:rPr>
        <w:t>～</w:t>
      </w:r>
      <w:r>
        <w:rPr>
          <w:rFonts w:cs="Times New Roman"/>
          <w:szCs w:val="32"/>
        </w:rPr>
        <w:t>10g/m²•d</w:t>
      </w:r>
      <w:r>
        <w:rPr>
          <w:rFonts w:cs="Times New Roman"/>
          <w:szCs w:val="32"/>
        </w:rPr>
        <w:t>）、最高（</w:t>
      </w:r>
      <w:r>
        <w:rPr>
          <w:rFonts w:cs="Times New Roman"/>
          <w:szCs w:val="32"/>
        </w:rPr>
        <w:t>10g/m²•d</w:t>
      </w:r>
      <w:r>
        <w:rPr>
          <w:rFonts w:cs="Times New Roman"/>
          <w:szCs w:val="32"/>
        </w:rPr>
        <w:t>～</w:t>
      </w:r>
      <w:r>
        <w:rPr>
          <w:rFonts w:cs="Times New Roman"/>
          <w:szCs w:val="32"/>
        </w:rPr>
        <w:t>20g/m²•d</w:t>
      </w:r>
      <w:r>
        <w:rPr>
          <w:rFonts w:cs="Times New Roman"/>
          <w:szCs w:val="32"/>
        </w:rPr>
        <w:t>）四个等</w:t>
      </w:r>
      <w:r>
        <w:rPr>
          <w:rFonts w:cs="Times New Roman"/>
          <w:szCs w:val="32"/>
        </w:rPr>
        <w:t>级，经对照，工程评价区自然生态系统属于最低生产力生态系统。</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18</w:t>
      </w:r>
      <w:r>
        <w:rPr>
          <w:rFonts w:ascii="Times New Roman" w:hAnsi="Times New Roman" w:cs="Times New Roman" w:hint="default"/>
          <w:sz w:val="24"/>
          <w:szCs w:val="24"/>
        </w:rPr>
        <w:t xml:space="preserve">            </w:t>
      </w:r>
      <w:r>
        <w:rPr>
          <w:rFonts w:ascii="Times New Roman" w:hAnsi="Times New Roman" w:cs="Times New Roman" w:hint="default"/>
          <w:sz w:val="24"/>
          <w:szCs w:val="24"/>
        </w:rPr>
        <w:t>生态系统总生产力划分标准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33"/>
        <w:gridCol w:w="1747"/>
        <w:gridCol w:w="1747"/>
        <w:gridCol w:w="1747"/>
        <w:gridCol w:w="1441"/>
      </w:tblGrid>
      <w:tr w:rsidR="00A46452">
        <w:trPr>
          <w:trHeight w:val="123"/>
        </w:trPr>
        <w:tc>
          <w:tcPr>
            <w:tcW w:w="107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分级</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最低</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较低</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较高</w:t>
            </w:r>
          </w:p>
        </w:tc>
        <w:tc>
          <w:tcPr>
            <w:tcW w:w="84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最高</w:t>
            </w:r>
          </w:p>
        </w:tc>
      </w:tr>
      <w:tr w:rsidR="00A46452">
        <w:tc>
          <w:tcPr>
            <w:tcW w:w="107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生产力（</w:t>
            </w:r>
            <w:r>
              <w:rPr>
                <w:rFonts w:cs="Times New Roman"/>
                <w:sz w:val="18"/>
                <w:szCs w:val="18"/>
              </w:rPr>
              <w:t>g/m².d</w:t>
            </w:r>
            <w:r>
              <w:rPr>
                <w:rFonts w:cs="Times New Roman"/>
                <w:sz w:val="18"/>
                <w:szCs w:val="18"/>
              </w:rPr>
              <w:t>）</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&lt;0.5</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0.5</w:t>
            </w:r>
            <w:r>
              <w:rPr>
                <w:rFonts w:cs="Times New Roman"/>
                <w:sz w:val="18"/>
                <w:szCs w:val="18"/>
              </w:rPr>
              <w:t>~</w:t>
            </w:r>
            <w:r>
              <w:rPr>
                <w:rFonts w:cs="Times New Roman"/>
                <w:sz w:val="18"/>
                <w:szCs w:val="18"/>
              </w:rPr>
              <w:t>3</w:t>
            </w:r>
          </w:p>
        </w:tc>
        <w:tc>
          <w:tcPr>
            <w:tcW w:w="102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3</w:t>
            </w:r>
            <w:r>
              <w:rPr>
                <w:rFonts w:cs="Times New Roman"/>
                <w:sz w:val="18"/>
                <w:szCs w:val="18"/>
              </w:rPr>
              <w:t>~</w:t>
            </w:r>
            <w:r>
              <w:rPr>
                <w:rFonts w:cs="Times New Roman"/>
                <w:sz w:val="18"/>
                <w:szCs w:val="18"/>
              </w:rPr>
              <w:t>10</w:t>
            </w:r>
          </w:p>
        </w:tc>
        <w:tc>
          <w:tcPr>
            <w:tcW w:w="846" w:type="pct"/>
          </w:tcPr>
          <w:p w:rsidR="00A46452" w:rsidRDefault="009A3928">
            <w:pPr>
              <w:wordWrap w:val="0"/>
              <w:overflowPunct w:val="0"/>
              <w:spacing w:line="240" w:lineRule="exact"/>
              <w:ind w:firstLine="360"/>
              <w:contextualSpacing/>
              <w:jc w:val="center"/>
              <w:rPr>
                <w:rFonts w:cs="Times New Roman"/>
                <w:sz w:val="18"/>
                <w:szCs w:val="18"/>
              </w:rPr>
            </w:pPr>
            <w:r>
              <w:rPr>
                <w:rFonts w:cs="Times New Roman"/>
                <w:sz w:val="18"/>
                <w:szCs w:val="18"/>
              </w:rPr>
              <w:t>10</w:t>
            </w:r>
            <w:r>
              <w:rPr>
                <w:rFonts w:cs="Times New Roman"/>
                <w:sz w:val="18"/>
                <w:szCs w:val="18"/>
              </w:rPr>
              <w:t>~</w:t>
            </w:r>
            <w:r>
              <w:rPr>
                <w:rFonts w:cs="Times New Roman"/>
                <w:sz w:val="18"/>
                <w:szCs w:val="18"/>
              </w:rPr>
              <w:t>20</w:t>
            </w:r>
          </w:p>
        </w:tc>
      </w:tr>
    </w:tbl>
    <w:p w:rsidR="00A46452" w:rsidRDefault="009A3928">
      <w:pPr>
        <w:tabs>
          <w:tab w:val="center" w:pos="1249"/>
          <w:tab w:val="right" w:pos="2376"/>
        </w:tabs>
        <w:ind w:firstLine="480"/>
        <w:rPr>
          <w:rFonts w:cs="Times New Roman"/>
          <w:szCs w:val="32"/>
        </w:rPr>
      </w:pPr>
      <w:r>
        <w:rPr>
          <w:rFonts w:cs="Times New Roman"/>
          <w:szCs w:val="32"/>
        </w:rPr>
        <w:t>（</w:t>
      </w:r>
      <w:r>
        <w:rPr>
          <w:rFonts w:cs="Times New Roman"/>
          <w:szCs w:val="32"/>
        </w:rPr>
        <w:t>2</w:t>
      </w:r>
      <w:r>
        <w:rPr>
          <w:rFonts w:cs="Times New Roman"/>
          <w:szCs w:val="32"/>
        </w:rPr>
        <w:t>）项目区自然体系生产能力现状</w:t>
      </w:r>
    </w:p>
    <w:p w:rsidR="00A46452" w:rsidRDefault="009A3928">
      <w:pPr>
        <w:tabs>
          <w:tab w:val="center" w:pos="1249"/>
          <w:tab w:val="right" w:pos="2376"/>
        </w:tabs>
        <w:ind w:firstLine="480"/>
        <w:rPr>
          <w:rFonts w:cs="Times New Roman"/>
          <w:szCs w:val="32"/>
        </w:rPr>
      </w:pPr>
      <w:r>
        <w:rPr>
          <w:rFonts w:cs="Times New Roman"/>
          <w:szCs w:val="32"/>
        </w:rPr>
        <w:t>评价区域植被类型单一、物种贫乏，参照《中国植被》的分类原则，以及卫片能够达到的解译精度，在</w:t>
      </w:r>
      <w:r>
        <w:rPr>
          <w:rFonts w:cs="Times New Roman"/>
          <w:szCs w:val="32"/>
        </w:rPr>
        <w:t>GIS</w:t>
      </w:r>
      <w:r>
        <w:rPr>
          <w:rFonts w:cs="Times New Roman"/>
          <w:szCs w:val="32"/>
        </w:rPr>
        <w:t>技术和实地调查及收集该地区</w:t>
      </w:r>
      <w:r>
        <w:rPr>
          <w:rFonts w:cs="Times New Roman"/>
          <w:szCs w:val="32"/>
        </w:rPr>
        <w:t>其他</w:t>
      </w:r>
      <w:r>
        <w:rPr>
          <w:rFonts w:cs="Times New Roman"/>
          <w:szCs w:val="32"/>
        </w:rPr>
        <w:t>相关资料的基础上，用植被类型计算出的区域评价范围内背景平均净生产力和平均生物量见表</w:t>
      </w:r>
      <w:r>
        <w:rPr>
          <w:rFonts w:cs="Times New Roman" w:hint="eastAsia"/>
          <w:szCs w:val="32"/>
        </w:rPr>
        <w:t>6</w:t>
      </w:r>
      <w:r>
        <w:rPr>
          <w:rFonts w:cs="Times New Roman"/>
          <w:szCs w:val="32"/>
        </w:rPr>
        <w:t>.2-</w:t>
      </w:r>
      <w:r>
        <w:rPr>
          <w:rFonts w:cs="Times New Roman" w:hint="eastAsia"/>
          <w:szCs w:val="32"/>
        </w:rPr>
        <w:t>19</w:t>
      </w:r>
      <w:r>
        <w:rPr>
          <w:rFonts w:cs="Times New Roman"/>
          <w:szCs w:val="32"/>
        </w:rPr>
        <w:t>。</w:t>
      </w: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bookmarkStart w:id="264" w:name="_Ref131672812"/>
      <w:r>
        <w:rPr>
          <w:rFonts w:ascii="Times New Roman" w:hAnsi="Times New Roman" w:cs="Times New Roman" w:hint="default"/>
          <w:sz w:val="24"/>
          <w:szCs w:val="24"/>
        </w:rPr>
        <w:t>表</w:t>
      </w:r>
      <w:bookmarkEnd w:id="264"/>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19</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评价区各类土地生产力和平均生物量统计表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10"/>
        <w:gridCol w:w="1294"/>
        <w:gridCol w:w="899"/>
        <w:gridCol w:w="2018"/>
        <w:gridCol w:w="1294"/>
      </w:tblGrid>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植被类型</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面积</w:t>
            </w:r>
          </w:p>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w:t>
            </w:r>
            <w:r>
              <w:rPr>
                <w:rFonts w:cs="Times New Roman"/>
                <w:sz w:val="21"/>
              </w:rPr>
              <w:t>km²</w:t>
            </w:r>
            <w:r>
              <w:rPr>
                <w:rFonts w:cs="Times New Roman"/>
                <w:sz w:val="21"/>
              </w:rPr>
              <w:t>）</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比例（</w:t>
            </w:r>
            <w:r>
              <w:rPr>
                <w:rFonts w:cs="Times New Roman"/>
                <w:sz w:val="21"/>
              </w:rPr>
              <w:t>%</w:t>
            </w:r>
            <w:r>
              <w:rPr>
                <w:rFonts w:cs="Times New Roman"/>
                <w:sz w:val="21"/>
              </w:rPr>
              <w:t>）</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平均净生产力（</w:t>
            </w:r>
            <w:r>
              <w:rPr>
                <w:rFonts w:cs="Times New Roman"/>
                <w:sz w:val="21"/>
              </w:rPr>
              <w:t>g/m²·a</w:t>
            </w:r>
            <w:r>
              <w:rPr>
                <w:rFonts w:cs="Times New Roman"/>
                <w:sz w:val="21"/>
              </w:rPr>
              <w:t>）</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平均生物量（</w:t>
            </w:r>
            <w:r>
              <w:rPr>
                <w:rFonts w:cs="Times New Roman"/>
                <w:sz w:val="21"/>
              </w:rPr>
              <w:t>kg/m²</w:t>
            </w:r>
            <w:r>
              <w:rPr>
                <w:rFonts w:cs="Times New Roman"/>
                <w:sz w:val="21"/>
              </w:rPr>
              <w:t>）</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温带阔叶林</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1594.34</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13.73</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1200.00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6.80</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荒漠灌丛</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1443.22</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12.43</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71.00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0.67</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河流水面</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56.8</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0.49</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500.00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0.02</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温带草原</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1061.92</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9.14</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500.00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1.60</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人工栽培植被</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3032.08</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26.11</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644.00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1.10</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其他</w:t>
            </w:r>
            <w:r>
              <w:rPr>
                <w:rFonts w:cs="Times New Roman"/>
                <w:sz w:val="21"/>
              </w:rPr>
              <w:t>（滩涂、裸地、建设用地、戈壁）</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4425.97</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38.11</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3.30</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0.02</w:t>
            </w:r>
          </w:p>
        </w:tc>
      </w:tr>
      <w:tr w:rsidR="00A46452">
        <w:trPr>
          <w:trHeight w:val="283"/>
          <w:jc w:val="center"/>
        </w:trPr>
        <w:tc>
          <w:tcPr>
            <w:tcW w:w="1766"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总计</w:t>
            </w:r>
          </w:p>
        </w:tc>
        <w:tc>
          <w:tcPr>
            <w:tcW w:w="759"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11614.33</w:t>
            </w:r>
          </w:p>
        </w:tc>
        <w:tc>
          <w:tcPr>
            <w:tcW w:w="528"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100.00</w:t>
            </w:r>
          </w:p>
        </w:tc>
        <w:tc>
          <w:tcPr>
            <w:tcW w:w="1184"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391.09</w:t>
            </w:r>
          </w:p>
        </w:tc>
        <w:tc>
          <w:tcPr>
            <w:tcW w:w="760" w:type="pct"/>
            <w:noWrap/>
            <w:vAlign w:val="center"/>
          </w:tcPr>
          <w:p w:rsidR="00A46452" w:rsidRDefault="009A3928">
            <w:pPr>
              <w:wordWrap w:val="0"/>
              <w:overflowPunct w:val="0"/>
              <w:spacing w:line="240" w:lineRule="auto"/>
              <w:ind w:firstLineChars="0" w:firstLine="0"/>
              <w:contextualSpacing/>
              <w:jc w:val="center"/>
              <w:rPr>
                <w:rFonts w:cs="Times New Roman"/>
                <w:sz w:val="21"/>
              </w:rPr>
            </w:pPr>
            <w:r>
              <w:rPr>
                <w:rFonts w:cs="Times New Roman"/>
                <w:sz w:val="21"/>
              </w:rPr>
              <w:t>1.46</w:t>
            </w:r>
          </w:p>
        </w:tc>
      </w:tr>
    </w:tbl>
    <w:p w:rsidR="00A46452" w:rsidRDefault="009A3928">
      <w:pPr>
        <w:wordWrap w:val="0"/>
        <w:overflowPunct w:val="0"/>
        <w:spacing w:line="240" w:lineRule="auto"/>
        <w:ind w:firstLineChars="0" w:firstLine="0"/>
        <w:rPr>
          <w:rFonts w:cs="Times New Roman"/>
          <w:szCs w:val="20"/>
        </w:rPr>
      </w:pPr>
      <w:r>
        <w:rPr>
          <w:rFonts w:cs="Times New Roman"/>
          <w:spacing w:val="-1"/>
          <w:sz w:val="18"/>
          <w:szCs w:val="18"/>
        </w:rPr>
        <w:t>注：生物</w:t>
      </w:r>
      <w:r>
        <w:rPr>
          <w:rFonts w:cs="Times New Roman"/>
          <w:sz w:val="18"/>
          <w:szCs w:val="18"/>
        </w:rPr>
        <w:t>量值参照非污染生态影响评价技术导则培训教材（原国家环境保护总局自然生态保护司，</w:t>
      </w:r>
      <w:r>
        <w:rPr>
          <w:rFonts w:cs="Times New Roman"/>
          <w:sz w:val="18"/>
          <w:szCs w:val="18"/>
        </w:rPr>
        <w:t>2000</w:t>
      </w:r>
      <w:r>
        <w:rPr>
          <w:rFonts w:cs="Times New Roman"/>
          <w:sz w:val="18"/>
          <w:szCs w:val="18"/>
        </w:rPr>
        <w:t>年）等资料及野外现场调查获得。</w:t>
      </w:r>
    </w:p>
    <w:p w:rsidR="00A46452" w:rsidRDefault="009A3928">
      <w:pPr>
        <w:tabs>
          <w:tab w:val="center" w:pos="1249"/>
          <w:tab w:val="right" w:pos="2376"/>
        </w:tabs>
        <w:ind w:firstLine="480"/>
        <w:contextualSpacing/>
        <w:rPr>
          <w:rFonts w:cs="Times New Roman"/>
          <w:szCs w:val="32"/>
        </w:rPr>
      </w:pPr>
      <w:r>
        <w:rPr>
          <w:rFonts w:cs="Times New Roman"/>
          <w:szCs w:val="32"/>
        </w:rPr>
        <w:t>由上表计算结果可知，现状评价区域平均净生产力为</w:t>
      </w:r>
      <w:r>
        <w:rPr>
          <w:rFonts w:cs="Times New Roman"/>
          <w:szCs w:val="32"/>
        </w:rPr>
        <w:t>191.14g/m²•a</w:t>
      </w:r>
      <w:r>
        <w:rPr>
          <w:rFonts w:cs="Times New Roman"/>
          <w:szCs w:val="32"/>
        </w:rPr>
        <w:t>（折合</w:t>
      </w:r>
      <w:r>
        <w:rPr>
          <w:rFonts w:cs="Times New Roman"/>
          <w:szCs w:val="32"/>
        </w:rPr>
        <w:t>1.07</w:t>
      </w:r>
      <w:r>
        <w:rPr>
          <w:rFonts w:cs="Times New Roman"/>
          <w:szCs w:val="32"/>
        </w:rPr>
        <w:t>g/m²•d</w:t>
      </w:r>
      <w:r>
        <w:rPr>
          <w:rFonts w:cs="Times New Roman"/>
          <w:szCs w:val="32"/>
        </w:rPr>
        <w:t>），较其本底生产力</w:t>
      </w:r>
      <w:r>
        <w:rPr>
          <w:rFonts w:cs="Times New Roman"/>
          <w:szCs w:val="32"/>
        </w:rPr>
        <w:t>0.2</w:t>
      </w:r>
      <w:r>
        <w:rPr>
          <w:rFonts w:cs="Times New Roman"/>
          <w:szCs w:val="32"/>
        </w:rPr>
        <w:t>1</w:t>
      </w:r>
      <w:r>
        <w:rPr>
          <w:rFonts w:cs="Times New Roman"/>
          <w:szCs w:val="32"/>
        </w:rPr>
        <w:t>g/m²•d</w:t>
      </w:r>
      <w:r>
        <w:rPr>
          <w:rFonts w:cs="Times New Roman"/>
          <w:szCs w:val="32"/>
        </w:rPr>
        <w:t>有了一定程度的增加，依据奥德姆划分标准，区域生态系统生产能力达到了较低生产力水平，分析原因主要是由于项目区地处</w:t>
      </w:r>
      <w:r>
        <w:rPr>
          <w:rFonts w:cs="Times New Roman"/>
          <w:szCs w:val="32"/>
        </w:rPr>
        <w:t>塔里木盆地北缘喀什噶尔河下游冲洪积平原，</w:t>
      </w:r>
      <w:r>
        <w:rPr>
          <w:rFonts w:cs="Times New Roman"/>
          <w:szCs w:val="32"/>
        </w:rPr>
        <w:t>受</w:t>
      </w:r>
      <w:r>
        <w:rPr>
          <w:rFonts w:cs="Times New Roman"/>
          <w:szCs w:val="32"/>
        </w:rPr>
        <w:t>喀什噶尔</w:t>
      </w:r>
      <w:r>
        <w:rPr>
          <w:rFonts w:cs="Times New Roman"/>
          <w:szCs w:val="32"/>
        </w:rPr>
        <w:t>河影响，项目区</w:t>
      </w:r>
      <w:r>
        <w:rPr>
          <w:rFonts w:cs="Times New Roman"/>
          <w:szCs w:val="32"/>
        </w:rPr>
        <w:t>图木舒克段</w:t>
      </w:r>
      <w:r>
        <w:rPr>
          <w:rFonts w:cs="Times New Roman"/>
          <w:szCs w:val="32"/>
        </w:rPr>
        <w:t>分布有大量胡杨林，此外项目评价区分布着以农田生态系统为主人工生态系统，随着灌区的发展，种植了大面积栽培植被，通过水利设施的灌溉克服了区域天然降水不足的影响。评价区内平均净生产力较其本地</w:t>
      </w:r>
      <w:r>
        <w:rPr>
          <w:rFonts w:cs="Times New Roman"/>
          <w:szCs w:val="32"/>
        </w:rPr>
        <w:t>有所</w:t>
      </w:r>
      <w:r>
        <w:rPr>
          <w:rFonts w:cs="Times New Roman"/>
          <w:szCs w:val="32"/>
        </w:rPr>
        <w:t>提升，达到了较低生产力水平。</w:t>
      </w:r>
    </w:p>
    <w:p w:rsidR="00A46452" w:rsidRDefault="009A3928">
      <w:pPr>
        <w:tabs>
          <w:tab w:val="center" w:pos="1249"/>
          <w:tab w:val="right" w:pos="2376"/>
        </w:tabs>
        <w:ind w:firstLine="480"/>
        <w:contextualSpacing/>
        <w:rPr>
          <w:rFonts w:cs="Times New Roman"/>
          <w:szCs w:val="32"/>
        </w:rPr>
      </w:pPr>
      <w:r>
        <w:rPr>
          <w:rFonts w:cs="Times New Roman"/>
          <w:szCs w:val="32"/>
        </w:rPr>
        <w:t>（</w:t>
      </w:r>
      <w:r>
        <w:rPr>
          <w:rFonts w:cs="Times New Roman"/>
          <w:szCs w:val="32"/>
        </w:rPr>
        <w:t>3</w:t>
      </w:r>
      <w:r>
        <w:rPr>
          <w:rFonts w:cs="Times New Roman"/>
          <w:szCs w:val="32"/>
        </w:rPr>
        <w:t>）自然系统稳定状况分析</w:t>
      </w:r>
    </w:p>
    <w:p w:rsidR="00A46452" w:rsidRDefault="009A3928">
      <w:pPr>
        <w:tabs>
          <w:tab w:val="center" w:pos="1249"/>
          <w:tab w:val="right" w:pos="2376"/>
        </w:tabs>
        <w:ind w:firstLine="480"/>
        <w:contextualSpacing/>
        <w:rPr>
          <w:rFonts w:cs="Times New Roman"/>
          <w:szCs w:val="32"/>
        </w:rPr>
      </w:pPr>
      <w:r>
        <w:rPr>
          <w:rFonts w:cs="Times New Roman"/>
          <w:szCs w:val="32"/>
        </w:rPr>
        <w:t>①</w:t>
      </w:r>
      <w:r>
        <w:rPr>
          <w:rFonts w:cs="Times New Roman"/>
          <w:szCs w:val="32"/>
        </w:rPr>
        <w:t>恢复稳定性</w:t>
      </w:r>
    </w:p>
    <w:p w:rsidR="00A46452" w:rsidRDefault="009A3928">
      <w:pPr>
        <w:tabs>
          <w:tab w:val="center" w:pos="1249"/>
          <w:tab w:val="right" w:pos="2376"/>
        </w:tabs>
        <w:ind w:firstLine="480"/>
        <w:contextualSpacing/>
        <w:rPr>
          <w:rFonts w:cs="Times New Roman"/>
          <w:szCs w:val="32"/>
        </w:rPr>
      </w:pPr>
      <w:r>
        <w:rPr>
          <w:rFonts w:cs="Times New Roman"/>
          <w:szCs w:val="32"/>
        </w:rPr>
        <w:t>由以上评价区平均净生产力计算成果可知，工程评价区平均净生产能力总体来看达到了较低生产力生态系统；但考虑到评价区天然植被主要以荒漠植被为主，植被种类单一、生物量较低，植被恢复力不强，荒漠区和绿洲荒漠交错带区生态系统较脆弱，因此总体来看，区域自然系统恢复稳定性相对较差，一旦遭到破坏，需要较长的时间才能返回原来状态。</w:t>
      </w:r>
    </w:p>
    <w:p w:rsidR="00A46452" w:rsidRDefault="009A3928">
      <w:pPr>
        <w:tabs>
          <w:tab w:val="center" w:pos="1249"/>
          <w:tab w:val="right" w:pos="2376"/>
        </w:tabs>
        <w:ind w:firstLine="480"/>
        <w:contextualSpacing/>
        <w:rPr>
          <w:rFonts w:cs="Times New Roman"/>
          <w:szCs w:val="32"/>
        </w:rPr>
      </w:pPr>
      <w:r>
        <w:rPr>
          <w:rFonts w:cs="Times New Roman"/>
          <w:szCs w:val="32"/>
        </w:rPr>
        <w:t>②</w:t>
      </w:r>
      <w:r>
        <w:rPr>
          <w:rFonts w:cs="Times New Roman"/>
          <w:szCs w:val="32"/>
        </w:rPr>
        <w:t>阻抗稳定性</w:t>
      </w:r>
    </w:p>
    <w:p w:rsidR="00A46452" w:rsidRDefault="009A3928">
      <w:pPr>
        <w:tabs>
          <w:tab w:val="center" w:pos="1249"/>
          <w:tab w:val="right" w:pos="2376"/>
        </w:tabs>
        <w:ind w:firstLine="480"/>
        <w:contextualSpacing/>
        <w:rPr>
          <w:rFonts w:cs="Times New Roman"/>
          <w:szCs w:val="32"/>
        </w:rPr>
      </w:pPr>
      <w:r>
        <w:rPr>
          <w:rFonts w:cs="Times New Roman"/>
          <w:szCs w:val="32"/>
        </w:rPr>
        <w:t>阻抗稳定性与高亚稳定性元素的数量、空间分布及其异质化程度密切相关。由现状调查可知，工程评价区大部分区域</w:t>
      </w:r>
      <w:r>
        <w:rPr>
          <w:rFonts w:cs="Times New Roman"/>
          <w:szCs w:val="32"/>
        </w:rPr>
        <w:t>为</w:t>
      </w:r>
      <w:r>
        <w:rPr>
          <w:rFonts w:cs="Times New Roman"/>
          <w:szCs w:val="32"/>
        </w:rPr>
        <w:t>荒漠生态系统</w:t>
      </w:r>
      <w:r>
        <w:rPr>
          <w:rFonts w:cs="Times New Roman"/>
          <w:szCs w:val="32"/>
        </w:rPr>
        <w:t>，地表植被以稀疏荒漠植被</w:t>
      </w:r>
      <w:r>
        <w:rPr>
          <w:rFonts w:cs="Times New Roman"/>
          <w:szCs w:val="32"/>
        </w:rPr>
        <w:t>（</w:t>
      </w:r>
      <w:r>
        <w:rPr>
          <w:rFonts w:cs="Times New Roman"/>
          <w:szCs w:val="32"/>
        </w:rPr>
        <w:t>胡杨疏林</w:t>
      </w:r>
      <w:r>
        <w:rPr>
          <w:rFonts w:cs="Times New Roman"/>
          <w:szCs w:val="32"/>
        </w:rPr>
        <w:t>和</w:t>
      </w:r>
      <w:r>
        <w:rPr>
          <w:rFonts w:cs="Times New Roman"/>
          <w:szCs w:val="32"/>
        </w:rPr>
        <w:t>柽柳荒漠）</w:t>
      </w:r>
      <w:r>
        <w:rPr>
          <w:rFonts w:cs="Times New Roman"/>
          <w:szCs w:val="32"/>
        </w:rPr>
        <w:t>和</w:t>
      </w:r>
      <w:r>
        <w:rPr>
          <w:rFonts w:cs="Times New Roman"/>
          <w:szCs w:val="32"/>
        </w:rPr>
        <w:t>人工栽培植被为主，植</w:t>
      </w:r>
      <w:r>
        <w:rPr>
          <w:rFonts w:cs="Times New Roman"/>
          <w:szCs w:val="32"/>
        </w:rPr>
        <w:t>被覆盖度较低，本底异质化程度很低，区域植被群落结构简单，物种贫乏单一，因此，工程评价区自然系统的阻抗稳定性相对较差。</w:t>
      </w:r>
    </w:p>
    <w:p w:rsidR="00A46452" w:rsidRDefault="009A3928">
      <w:pPr>
        <w:tabs>
          <w:tab w:val="center" w:pos="1249"/>
          <w:tab w:val="right" w:pos="2376"/>
        </w:tabs>
        <w:ind w:firstLine="480"/>
        <w:contextualSpacing/>
        <w:rPr>
          <w:rFonts w:cs="Times New Roman"/>
          <w:szCs w:val="32"/>
        </w:rPr>
      </w:pPr>
      <w:r>
        <w:rPr>
          <w:rFonts w:cs="Times New Roman"/>
          <w:szCs w:val="32"/>
        </w:rPr>
        <w:t>③</w:t>
      </w:r>
      <w:r>
        <w:rPr>
          <w:rFonts w:cs="Times New Roman"/>
          <w:szCs w:val="32"/>
        </w:rPr>
        <w:t>自然体系生态承载力分析</w:t>
      </w:r>
    </w:p>
    <w:p w:rsidR="00A46452" w:rsidRDefault="009A3928">
      <w:pPr>
        <w:tabs>
          <w:tab w:val="center" w:pos="1249"/>
          <w:tab w:val="right" w:pos="2376"/>
        </w:tabs>
        <w:ind w:firstLine="480"/>
        <w:contextualSpacing/>
        <w:rPr>
          <w:rFonts w:cs="Times New Roman"/>
          <w:szCs w:val="32"/>
        </w:rPr>
      </w:pPr>
      <w:r>
        <w:rPr>
          <w:rFonts w:cs="Times New Roman"/>
          <w:szCs w:val="32"/>
        </w:rPr>
        <w:t>生态承载力是客观存在的某种类型自然体系调节能力极限值，它是一种相对稳定状态即亚稳定性，根据非污染生态技术导则，第一性生产力抗御外力作用的限度是生态承载力的指示。工程评价区净初级生产力为</w:t>
      </w:r>
      <w:r>
        <w:rPr>
          <w:rFonts w:cs="Times New Roman"/>
          <w:szCs w:val="32"/>
        </w:rPr>
        <w:t>0.2</w:t>
      </w:r>
      <w:r>
        <w:rPr>
          <w:rFonts w:cs="Times New Roman"/>
          <w:szCs w:val="32"/>
        </w:rPr>
        <w:t>1</w:t>
      </w:r>
      <w:r>
        <w:rPr>
          <w:rFonts w:cs="Times New Roman"/>
          <w:szCs w:val="32"/>
        </w:rPr>
        <w:t>g/m²•d</w:t>
      </w:r>
      <w:r>
        <w:rPr>
          <w:rFonts w:cs="Times New Roman"/>
          <w:szCs w:val="32"/>
        </w:rPr>
        <w:t>，属于最低生产力生态系统，生态承载力水平最低。</w:t>
      </w:r>
    </w:p>
    <w:p w:rsidR="00A46452" w:rsidRDefault="009A3928">
      <w:pPr>
        <w:tabs>
          <w:tab w:val="center" w:pos="1249"/>
          <w:tab w:val="right" w:pos="2376"/>
        </w:tabs>
        <w:ind w:firstLine="480"/>
        <w:contextualSpacing/>
        <w:rPr>
          <w:rFonts w:cs="Times New Roman"/>
          <w:szCs w:val="32"/>
        </w:rPr>
      </w:pPr>
      <w:r>
        <w:rPr>
          <w:rFonts w:cs="Times New Roman"/>
          <w:szCs w:val="32"/>
        </w:rPr>
        <w:t>（</w:t>
      </w:r>
      <w:r>
        <w:rPr>
          <w:rFonts w:cs="Times New Roman"/>
          <w:szCs w:val="32"/>
        </w:rPr>
        <w:t>4</w:t>
      </w:r>
      <w:r>
        <w:rPr>
          <w:rFonts w:cs="Times New Roman"/>
          <w:szCs w:val="32"/>
        </w:rPr>
        <w:t>）区域环境功能现状评价</w:t>
      </w:r>
    </w:p>
    <w:p w:rsidR="00A46452" w:rsidRDefault="009A3928">
      <w:pPr>
        <w:tabs>
          <w:tab w:val="center" w:pos="1249"/>
          <w:tab w:val="right" w:pos="2376"/>
        </w:tabs>
        <w:ind w:firstLine="480"/>
        <w:contextualSpacing/>
        <w:rPr>
          <w:rFonts w:cs="Times New Roman"/>
        </w:rPr>
      </w:pPr>
      <w:r>
        <w:rPr>
          <w:rFonts w:cs="Times New Roman"/>
          <w:szCs w:val="32"/>
        </w:rPr>
        <w:t>对工程评价区进行生态学研究，利用</w:t>
      </w:r>
      <w:r>
        <w:rPr>
          <w:rFonts w:cs="Times New Roman"/>
          <w:szCs w:val="32"/>
        </w:rPr>
        <w:t>3S</w:t>
      </w:r>
      <w:r>
        <w:rPr>
          <w:rFonts w:cs="Times New Roman"/>
          <w:szCs w:val="32"/>
        </w:rPr>
        <w:t>技术手段、</w:t>
      </w:r>
      <w:r>
        <w:rPr>
          <w:rFonts w:cs="Times New Roman"/>
          <w:szCs w:val="32"/>
        </w:rPr>
        <w:t>Fragstasts4.2</w:t>
      </w:r>
      <w:r>
        <w:rPr>
          <w:rFonts w:cs="Times New Roman"/>
          <w:szCs w:val="32"/>
        </w:rPr>
        <w:t>软件分析并获取能</w:t>
      </w:r>
      <w:r>
        <w:rPr>
          <w:rFonts w:cs="Times New Roman"/>
          <w:szCs w:val="32"/>
        </w:rPr>
        <w:t>够反映景观格局特征的景观指数，包括斑块类型级别指数（斑块类型面积（</w:t>
      </w:r>
      <w:r>
        <w:rPr>
          <w:rFonts w:cs="Times New Roman"/>
          <w:szCs w:val="32"/>
        </w:rPr>
        <w:t>CA</w:t>
      </w:r>
      <w:r>
        <w:rPr>
          <w:rFonts w:cs="Times New Roman"/>
          <w:szCs w:val="32"/>
        </w:rPr>
        <w:t>）、斑块所占景观面积比例（</w:t>
      </w:r>
      <w:r>
        <w:rPr>
          <w:rFonts w:cs="Times New Roman"/>
          <w:szCs w:val="32"/>
        </w:rPr>
        <w:t>PLAND</w:t>
      </w:r>
      <w:r>
        <w:rPr>
          <w:rFonts w:cs="Times New Roman"/>
          <w:szCs w:val="32"/>
        </w:rPr>
        <w:t>）、最大斑块指数（</w:t>
      </w:r>
      <w:r>
        <w:rPr>
          <w:rFonts w:cs="Times New Roman"/>
          <w:szCs w:val="32"/>
        </w:rPr>
        <w:t>LPI</w:t>
      </w:r>
      <w:r>
        <w:rPr>
          <w:rFonts w:cs="Times New Roman"/>
          <w:szCs w:val="32"/>
        </w:rPr>
        <w:t>）、散布与并列指数（</w:t>
      </w:r>
      <w:r>
        <w:rPr>
          <w:rFonts w:cs="Times New Roman"/>
          <w:szCs w:val="32"/>
        </w:rPr>
        <w:t>IJI</w:t>
      </w:r>
      <w:r>
        <w:rPr>
          <w:rFonts w:cs="Times New Roman"/>
          <w:szCs w:val="32"/>
        </w:rPr>
        <w:t>）、聚集度指数（</w:t>
      </w:r>
      <w:r>
        <w:rPr>
          <w:rFonts w:cs="Times New Roman"/>
          <w:szCs w:val="32"/>
        </w:rPr>
        <w:t>AI</w:t>
      </w:r>
      <w:r>
        <w:rPr>
          <w:rFonts w:cs="Times New Roman"/>
          <w:szCs w:val="32"/>
        </w:rPr>
        <w:t>））和景观级别指数（蔓延度指数（</w:t>
      </w:r>
      <w:r>
        <w:rPr>
          <w:rFonts w:cs="Times New Roman"/>
          <w:szCs w:val="32"/>
        </w:rPr>
        <w:t>CONTAG</w:t>
      </w:r>
      <w:r>
        <w:rPr>
          <w:rFonts w:cs="Times New Roman"/>
          <w:szCs w:val="32"/>
        </w:rPr>
        <w:t>）和香农多样性指数（</w:t>
      </w:r>
      <w:r>
        <w:rPr>
          <w:rFonts w:cs="Times New Roman"/>
          <w:szCs w:val="32"/>
        </w:rPr>
        <w:t>SHDI</w:t>
      </w:r>
      <w:r>
        <w:rPr>
          <w:rFonts w:cs="Times New Roman"/>
          <w:szCs w:val="32"/>
        </w:rPr>
        <w:t>））。</w:t>
      </w:r>
    </w:p>
    <w:p w:rsidR="00A46452" w:rsidRDefault="009A3928">
      <w:pPr>
        <w:tabs>
          <w:tab w:val="center" w:pos="1249"/>
          <w:tab w:val="right" w:pos="2376"/>
        </w:tabs>
        <w:ind w:firstLine="480"/>
        <w:contextualSpacing/>
        <w:rPr>
          <w:rFonts w:cs="Times New Roman"/>
          <w:szCs w:val="32"/>
        </w:rPr>
      </w:pPr>
      <w:r>
        <w:rPr>
          <w:rFonts w:cs="Times New Roman"/>
          <w:szCs w:val="32"/>
        </w:rPr>
        <w:t>依据模地的判定标准可以认为各景观类型中，相对面积大、连通程度高，如某一要素所占的面积比其他要素大得多时，即确定为模地。评价区景观指数结果见下表。</w:t>
      </w:r>
    </w:p>
    <w:p w:rsidR="00A46452" w:rsidRDefault="009A3928">
      <w:pPr>
        <w:wordWrap w:val="0"/>
        <w:overflowPunct w:val="0"/>
        <w:spacing w:line="240" w:lineRule="auto"/>
        <w:ind w:firstLineChars="0" w:firstLine="0"/>
        <w:contextualSpacing/>
        <w:rPr>
          <w:rFonts w:eastAsia="黑体" w:cs="Times New Roman"/>
          <w:bCs/>
        </w:rPr>
      </w:pPr>
      <w:bookmarkStart w:id="265" w:name="_Ref131672830"/>
      <w:r>
        <w:rPr>
          <w:rFonts w:eastAsia="黑体" w:cs="Times New Roman"/>
          <w:bCs/>
          <w:szCs w:val="32"/>
        </w:rPr>
        <w:t>表</w:t>
      </w:r>
      <w:bookmarkEnd w:id="265"/>
      <w:r>
        <w:rPr>
          <w:rFonts w:eastAsia="黑体" w:cs="Times New Roman" w:hint="eastAsia"/>
          <w:bCs/>
          <w:szCs w:val="32"/>
        </w:rPr>
        <w:t>6</w:t>
      </w:r>
      <w:r>
        <w:rPr>
          <w:rFonts w:eastAsia="黑体" w:cs="Times New Roman"/>
          <w:bCs/>
          <w:szCs w:val="32"/>
        </w:rPr>
        <w:t>.2-2</w:t>
      </w:r>
      <w:r>
        <w:rPr>
          <w:rFonts w:eastAsia="黑体" w:cs="Times New Roman" w:hint="eastAsia"/>
          <w:bCs/>
          <w:szCs w:val="32"/>
        </w:rPr>
        <w:t>0</w:t>
      </w:r>
      <w:r>
        <w:rPr>
          <w:rFonts w:eastAsia="黑体" w:cs="Times New Roman"/>
          <w:bCs/>
          <w:szCs w:val="32"/>
        </w:rPr>
        <w:t xml:space="preserve">          </w:t>
      </w:r>
      <w:r>
        <w:rPr>
          <w:rFonts w:eastAsia="黑体" w:cs="Times New Roman"/>
          <w:bCs/>
          <w:szCs w:val="32"/>
        </w:rPr>
        <w:t>工程评价区域景观优势度计算结果统计表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24"/>
        <w:gridCol w:w="1168"/>
        <w:gridCol w:w="985"/>
        <w:gridCol w:w="985"/>
        <w:gridCol w:w="985"/>
        <w:gridCol w:w="986"/>
        <w:gridCol w:w="1075"/>
        <w:gridCol w:w="707"/>
      </w:tblGrid>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景观类型</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CA</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PLAND</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LPI</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IJI</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AI</w:t>
            </w:r>
          </w:p>
        </w:tc>
        <w:tc>
          <w:tcPr>
            <w:tcW w:w="421"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CONTAG</w:t>
            </w:r>
          </w:p>
        </w:tc>
        <w:tc>
          <w:tcPr>
            <w:tcW w:w="331"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SHDI</w:t>
            </w: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建设用地景观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298.96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2.57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0.87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71.77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79.95 </w:t>
            </w:r>
          </w:p>
        </w:tc>
        <w:tc>
          <w:tcPr>
            <w:tcW w:w="421" w:type="pct"/>
            <w:vMerge w:val="restart"/>
            <w:noWrap/>
            <w:vAlign w:val="center"/>
          </w:tcPr>
          <w:p w:rsidR="00A46452" w:rsidRDefault="009A3928">
            <w:pPr>
              <w:widowControl/>
              <w:spacing w:line="240" w:lineRule="exact"/>
              <w:ind w:firstLineChars="0" w:firstLine="0"/>
              <w:jc w:val="center"/>
              <w:textAlignment w:val="center"/>
              <w:rPr>
                <w:rFonts w:cs="Times New Roman"/>
                <w:kern w:val="0"/>
                <w:sz w:val="21"/>
                <w:lang w:bidi="ar"/>
              </w:rPr>
            </w:pPr>
            <w:r>
              <w:rPr>
                <w:rFonts w:cs="Times New Roman"/>
                <w:kern w:val="0"/>
                <w:sz w:val="21"/>
                <w:lang w:bidi="ar"/>
              </w:rPr>
              <w:t>56.38</w:t>
            </w:r>
          </w:p>
        </w:tc>
        <w:tc>
          <w:tcPr>
            <w:tcW w:w="331" w:type="pct"/>
            <w:vMerge w:val="restart"/>
            <w:noWrap/>
            <w:vAlign w:val="center"/>
          </w:tcPr>
          <w:p w:rsidR="00A46452" w:rsidRDefault="009A3928">
            <w:pPr>
              <w:widowControl/>
              <w:spacing w:line="240" w:lineRule="exact"/>
              <w:ind w:firstLineChars="0" w:firstLine="0"/>
              <w:jc w:val="center"/>
              <w:textAlignment w:val="center"/>
              <w:rPr>
                <w:rFonts w:cs="Times New Roman"/>
                <w:kern w:val="0"/>
                <w:sz w:val="21"/>
                <w:lang w:bidi="ar"/>
              </w:rPr>
            </w:pPr>
            <w:r>
              <w:rPr>
                <w:rFonts w:cs="Times New Roman"/>
                <w:kern w:val="0"/>
                <w:sz w:val="21"/>
                <w:lang w:bidi="ar"/>
              </w:rPr>
              <w:t>1.</w:t>
            </w:r>
            <w:r>
              <w:rPr>
                <w:rFonts w:cs="Times New Roman"/>
                <w:kern w:val="0"/>
                <w:sz w:val="21"/>
                <w:lang w:bidi="ar"/>
              </w:rPr>
              <w:t>41</w:t>
            </w: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耕地景观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3032.36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26.11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3.86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79.50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96.12 </w:t>
            </w:r>
          </w:p>
        </w:tc>
        <w:tc>
          <w:tcPr>
            <w:tcW w:w="42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c>
          <w:tcPr>
            <w:tcW w:w="33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水域景观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57.16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0.49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0.09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72.67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56.87 </w:t>
            </w:r>
          </w:p>
        </w:tc>
        <w:tc>
          <w:tcPr>
            <w:tcW w:w="42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c>
          <w:tcPr>
            <w:tcW w:w="33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未利用地景观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4127.68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35.54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24.52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85.24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98.21 </w:t>
            </w:r>
          </w:p>
        </w:tc>
        <w:tc>
          <w:tcPr>
            <w:tcW w:w="42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c>
          <w:tcPr>
            <w:tcW w:w="33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草地景观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1061.92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9.14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4.68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94.79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97.34 </w:t>
            </w:r>
          </w:p>
        </w:tc>
        <w:tc>
          <w:tcPr>
            <w:tcW w:w="42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c>
          <w:tcPr>
            <w:tcW w:w="33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r>
      <w:tr w:rsidR="00A46452">
        <w:trPr>
          <w:trHeight w:val="283"/>
        </w:trPr>
        <w:tc>
          <w:tcPr>
            <w:tcW w:w="1002"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林地景观</w:t>
            </w:r>
          </w:p>
        </w:tc>
        <w:tc>
          <w:tcPr>
            <w:tcW w:w="734"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3037.12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26.15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7.70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85.34 </w:t>
            </w:r>
          </w:p>
        </w:tc>
        <w:tc>
          <w:tcPr>
            <w:tcW w:w="627" w:type="pct"/>
            <w:noWrap/>
            <w:vAlign w:val="center"/>
          </w:tcPr>
          <w:p w:rsidR="00A46452" w:rsidRDefault="009A3928">
            <w:pPr>
              <w:wordWrap w:val="0"/>
              <w:overflowPunct w:val="0"/>
              <w:spacing w:line="240" w:lineRule="exact"/>
              <w:ind w:firstLineChars="0" w:firstLine="0"/>
              <w:contextualSpacing/>
              <w:jc w:val="center"/>
              <w:rPr>
                <w:rFonts w:cs="Times New Roman"/>
                <w:sz w:val="21"/>
              </w:rPr>
            </w:pPr>
            <w:r>
              <w:rPr>
                <w:rFonts w:cs="Times New Roman"/>
                <w:sz w:val="21"/>
              </w:rPr>
              <w:t xml:space="preserve">96.06 </w:t>
            </w:r>
          </w:p>
        </w:tc>
        <w:tc>
          <w:tcPr>
            <w:tcW w:w="42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c>
          <w:tcPr>
            <w:tcW w:w="331" w:type="pct"/>
            <w:vMerge/>
            <w:vAlign w:val="center"/>
          </w:tcPr>
          <w:p w:rsidR="00A46452" w:rsidRDefault="00A46452">
            <w:pPr>
              <w:wordWrap w:val="0"/>
              <w:overflowPunct w:val="0"/>
              <w:spacing w:line="240" w:lineRule="exact"/>
              <w:ind w:firstLineChars="0" w:firstLine="0"/>
              <w:contextualSpacing/>
              <w:jc w:val="center"/>
              <w:rPr>
                <w:rFonts w:cs="Times New Roman"/>
                <w:sz w:val="21"/>
              </w:rPr>
            </w:pPr>
          </w:p>
        </w:tc>
      </w:tr>
    </w:tbl>
    <w:p w:rsidR="00A46452" w:rsidRDefault="009A3928">
      <w:pPr>
        <w:wordWrap w:val="0"/>
        <w:ind w:firstLine="480"/>
        <w:rPr>
          <w:rFonts w:cs="Times New Roman"/>
        </w:rPr>
      </w:pPr>
      <w:r>
        <w:rPr>
          <w:rFonts w:cs="Times New Roman"/>
        </w:rPr>
        <w:t>由上表数据显示可知，现状年评价区域内，以裸土地</w:t>
      </w:r>
      <w:r>
        <w:rPr>
          <w:rFonts w:cs="Times New Roman"/>
        </w:rPr>
        <w:t>、</w:t>
      </w:r>
      <w:r>
        <w:rPr>
          <w:rFonts w:cs="Times New Roman"/>
        </w:rPr>
        <w:t>盐碱地</w:t>
      </w:r>
      <w:r>
        <w:rPr>
          <w:rFonts w:cs="Times New Roman"/>
        </w:rPr>
        <w:t>、</w:t>
      </w:r>
      <w:r>
        <w:rPr>
          <w:rFonts w:cs="Times New Roman"/>
        </w:rPr>
        <w:t>沙地和</w:t>
      </w:r>
      <w:r>
        <w:rPr>
          <w:rFonts w:cs="Times New Roman"/>
        </w:rPr>
        <w:t>裸岩石砾地</w:t>
      </w:r>
      <w:r>
        <w:rPr>
          <w:rFonts w:cs="Times New Roman"/>
        </w:rPr>
        <w:t>为主的未利用地景观的斑块类型面积（</w:t>
      </w:r>
      <w:r>
        <w:rPr>
          <w:rFonts w:cs="Times New Roman"/>
        </w:rPr>
        <w:t>CA</w:t>
      </w:r>
      <w:r>
        <w:rPr>
          <w:rFonts w:cs="Times New Roman"/>
        </w:rPr>
        <w:t>）为</w:t>
      </w:r>
      <w:r>
        <w:rPr>
          <w:rFonts w:cs="Times New Roman"/>
        </w:rPr>
        <w:t>4128.68</w:t>
      </w:r>
      <w:r>
        <w:rPr>
          <w:rFonts w:cs="Times New Roman"/>
        </w:rPr>
        <w:t>，斑块所占景观面积比例（</w:t>
      </w:r>
      <w:r>
        <w:rPr>
          <w:rFonts w:cs="Times New Roman"/>
        </w:rPr>
        <w:t>PLAND</w:t>
      </w:r>
      <w:r>
        <w:rPr>
          <w:rFonts w:cs="Times New Roman"/>
        </w:rPr>
        <w:t>）为</w:t>
      </w:r>
      <w:r>
        <w:rPr>
          <w:rFonts w:cs="Times New Roman"/>
        </w:rPr>
        <w:t>35.54</w:t>
      </w:r>
      <w:r>
        <w:rPr>
          <w:rFonts w:cs="Times New Roman"/>
        </w:rPr>
        <w:t>，最大斑块指数（</w:t>
      </w:r>
      <w:r>
        <w:rPr>
          <w:rFonts w:cs="Times New Roman"/>
        </w:rPr>
        <w:t>LPI</w:t>
      </w:r>
      <w:r>
        <w:rPr>
          <w:rFonts w:cs="Times New Roman"/>
        </w:rPr>
        <w:t>）为</w:t>
      </w:r>
      <w:r>
        <w:rPr>
          <w:rFonts w:cs="Times New Roman"/>
        </w:rPr>
        <w:t>24.52</w:t>
      </w:r>
      <w:r>
        <w:rPr>
          <w:rFonts w:cs="Times New Roman"/>
        </w:rPr>
        <w:t>，均远大于其他景观类型，说明未利用地景观相对面积大，连通程度高，已经符合模地判定的标准，是该评价区域的模地。建设用地景观的聚集度指数（</w:t>
      </w:r>
      <w:r>
        <w:rPr>
          <w:rFonts w:cs="Times New Roman"/>
        </w:rPr>
        <w:t>AI</w:t>
      </w:r>
      <w:r>
        <w:rPr>
          <w:rFonts w:cs="Times New Roman"/>
        </w:rPr>
        <w:t>）与其他景观</w:t>
      </w:r>
      <w:r>
        <w:rPr>
          <w:rFonts w:cs="Times New Roman"/>
        </w:rPr>
        <w:t>略高于</w:t>
      </w:r>
      <w:r>
        <w:rPr>
          <w:rFonts w:cs="Times New Roman"/>
        </w:rPr>
        <w:t>水域景观</w:t>
      </w:r>
      <w:r>
        <w:rPr>
          <w:rFonts w:cs="Times New Roman"/>
        </w:rPr>
        <w:t>为</w:t>
      </w:r>
      <w:r>
        <w:rPr>
          <w:rFonts w:cs="Times New Roman"/>
        </w:rPr>
        <w:t>79.5</w:t>
      </w:r>
      <w:r>
        <w:rPr>
          <w:rFonts w:cs="Times New Roman"/>
        </w:rPr>
        <w:t>，</w:t>
      </w:r>
      <w:r>
        <w:rPr>
          <w:rFonts w:cs="Times New Roman"/>
        </w:rPr>
        <w:t>说明建设用地斑块的空间聚集程度较低，斑块分布分散、破碎化明显，缺乏连片集中的核心区域，</w:t>
      </w:r>
      <w:r>
        <w:rPr>
          <w:rFonts w:cs="Times New Roman"/>
        </w:rPr>
        <w:t>散布与并列指数（</w:t>
      </w:r>
      <w:r>
        <w:rPr>
          <w:rFonts w:cs="Times New Roman"/>
        </w:rPr>
        <w:t>IJI</w:t>
      </w:r>
      <w:r>
        <w:rPr>
          <w:rFonts w:cs="Times New Roman"/>
        </w:rPr>
        <w:t>）为</w:t>
      </w:r>
      <w:r>
        <w:rPr>
          <w:rFonts w:cs="Times New Roman"/>
        </w:rPr>
        <w:t>71.77</w:t>
      </w:r>
      <w:r>
        <w:rPr>
          <w:rFonts w:cs="Times New Roman"/>
        </w:rPr>
        <w:t>，</w:t>
      </w:r>
      <w:r>
        <w:rPr>
          <w:rFonts w:cs="Times New Roman"/>
        </w:rPr>
        <w:t>说明表明建设用地与其他景观类型（如农田、林地、水体）的邻接关系简单，可能被少数几种类型（如农田或裸地）包围，空间交错性低。综合两指数来看建设用地既分散（</w:t>
      </w:r>
      <w:r>
        <w:rPr>
          <w:rFonts w:cs="Times New Roman"/>
        </w:rPr>
        <w:t>AI</w:t>
      </w:r>
      <w:r>
        <w:rPr>
          <w:rFonts w:cs="Times New Roman"/>
        </w:rPr>
        <w:t>低），又与其他景观类型的邻接单一（</w:t>
      </w:r>
      <w:r>
        <w:rPr>
          <w:rFonts w:cs="Times New Roman"/>
        </w:rPr>
        <w:t>IJI</w:t>
      </w:r>
      <w:r>
        <w:rPr>
          <w:rFonts w:cs="Times New Roman"/>
        </w:rPr>
        <w:t>低），可能呈现</w:t>
      </w:r>
      <w:r>
        <w:rPr>
          <w:rFonts w:cs="Times New Roman"/>
        </w:rPr>
        <w:t>“</w:t>
      </w:r>
      <w:r>
        <w:rPr>
          <w:rFonts w:cs="Times New Roman"/>
        </w:rPr>
        <w:t>零散孤岛化</w:t>
      </w:r>
      <w:r>
        <w:rPr>
          <w:rFonts w:cs="Times New Roman"/>
        </w:rPr>
        <w:t>”</w:t>
      </w:r>
      <w:r>
        <w:rPr>
          <w:rFonts w:cs="Times New Roman"/>
        </w:rPr>
        <w:t>分布，缺乏与生态用地的有机联系</w:t>
      </w:r>
      <w:r>
        <w:rPr>
          <w:rFonts w:cs="Times New Roman"/>
        </w:rPr>
        <w:t>；对生态环境有较强调控能力的林地景观斑块所占景观面积比例（</w:t>
      </w:r>
      <w:r>
        <w:rPr>
          <w:rFonts w:cs="Times New Roman"/>
        </w:rPr>
        <w:t>PLAND</w:t>
      </w:r>
      <w:r>
        <w:rPr>
          <w:rFonts w:cs="Times New Roman"/>
        </w:rPr>
        <w:t>）为</w:t>
      </w:r>
      <w:r>
        <w:rPr>
          <w:rFonts w:cs="Times New Roman"/>
        </w:rPr>
        <w:t>26.15</w:t>
      </w:r>
      <w:r>
        <w:rPr>
          <w:rFonts w:cs="Times New Roman"/>
        </w:rPr>
        <w:t>，最大斑块指数（</w:t>
      </w:r>
      <w:r>
        <w:rPr>
          <w:rFonts w:cs="Times New Roman"/>
        </w:rPr>
        <w:t>LPI</w:t>
      </w:r>
      <w:r>
        <w:rPr>
          <w:rFonts w:cs="Times New Roman"/>
        </w:rPr>
        <w:t>）为</w:t>
      </w:r>
      <w:r>
        <w:rPr>
          <w:rFonts w:cs="Times New Roman"/>
        </w:rPr>
        <w:t>7.70</w:t>
      </w:r>
      <w:r>
        <w:rPr>
          <w:rFonts w:cs="Times New Roman"/>
        </w:rPr>
        <w:t>，两指数值均较高，</w:t>
      </w:r>
      <w:r>
        <w:rPr>
          <w:rFonts w:cs="Times New Roman"/>
        </w:rPr>
        <w:t>仅次于未利用地景观，说明林地景观分布面积较大，在该区域的分布较多，大面积林地（</w:t>
      </w:r>
      <w:r>
        <w:rPr>
          <w:rFonts w:cs="Times New Roman"/>
        </w:rPr>
        <w:t>PLAND</w:t>
      </w:r>
      <w:r>
        <w:rPr>
          <w:rFonts w:cs="Times New Roman"/>
        </w:rPr>
        <w:t>高）可为物种提供连续生境，降低边缘效应，增强生态系统抗干扰能力</w:t>
      </w:r>
      <w:r>
        <w:rPr>
          <w:rFonts w:cs="Times New Roman"/>
        </w:rPr>
        <w:t>。最大斑块（</w:t>
      </w:r>
      <w:r>
        <w:rPr>
          <w:rFonts w:cs="Times New Roman"/>
        </w:rPr>
        <w:t>LPI</w:t>
      </w:r>
      <w:r>
        <w:rPr>
          <w:rFonts w:cs="Times New Roman"/>
        </w:rPr>
        <w:t>较</w:t>
      </w:r>
      <w:r>
        <w:rPr>
          <w:rFonts w:cs="Times New Roman"/>
        </w:rPr>
        <w:t>高）表明存在一个规模较大的核心斑块，可能是区域内的关键生态源地，可能成为区域内物质循环、能量流动和物种迁移的枢纽，能够支持更多内部物种和稳定生态过程，支持区域尺度生态网络的形成。</w:t>
      </w:r>
      <w:r>
        <w:rPr>
          <w:rFonts w:cs="Times New Roman"/>
        </w:rPr>
        <w:t>根据土地利用调查结果可知，林地景观主要是以灌木荒漠和温带落叶阔叶林为主</w:t>
      </w:r>
      <w:r>
        <w:rPr>
          <w:rFonts w:cs="Times New Roman"/>
        </w:rPr>
        <w:t>，</w:t>
      </w:r>
      <w:r>
        <w:rPr>
          <w:rFonts w:cs="Times New Roman"/>
        </w:rPr>
        <w:t>主要是受喀什噶尔河的影响有关</w:t>
      </w:r>
      <w:r>
        <w:rPr>
          <w:rFonts w:cs="Times New Roman"/>
        </w:rPr>
        <w:t>；未利用地景观斑块所占景观面积比例（</w:t>
      </w:r>
      <w:r>
        <w:rPr>
          <w:rFonts w:cs="Times New Roman"/>
        </w:rPr>
        <w:t>PLAND</w:t>
      </w:r>
      <w:r>
        <w:rPr>
          <w:rFonts w:cs="Times New Roman"/>
        </w:rPr>
        <w:t>）为</w:t>
      </w:r>
      <w:r>
        <w:rPr>
          <w:rFonts w:cs="Times New Roman"/>
        </w:rPr>
        <w:t>35.54</w:t>
      </w:r>
      <w:r>
        <w:rPr>
          <w:rFonts w:cs="Times New Roman"/>
        </w:rPr>
        <w:t>，</w:t>
      </w:r>
      <w:r>
        <w:rPr>
          <w:rFonts w:cs="Times New Roman"/>
        </w:rPr>
        <w:t>表</w:t>
      </w:r>
      <w:r>
        <w:rPr>
          <w:rFonts w:cs="Times New Roman"/>
        </w:rPr>
        <w:t>明</w:t>
      </w:r>
      <w:r>
        <w:rPr>
          <w:rFonts w:cs="Times New Roman"/>
        </w:rPr>
        <w:t>大面积未利用地通常生态服务功能较低（如固碳、水源涵养能力弱），可能成为区域生态系统的</w:t>
      </w:r>
      <w:r>
        <w:rPr>
          <w:rFonts w:cs="Times New Roman"/>
        </w:rPr>
        <w:t>“</w:t>
      </w:r>
      <w:r>
        <w:rPr>
          <w:rFonts w:cs="Times New Roman"/>
        </w:rPr>
        <w:t>短板</w:t>
      </w:r>
      <w:r>
        <w:rPr>
          <w:rFonts w:cs="Times New Roman"/>
        </w:rPr>
        <w:t>”</w:t>
      </w:r>
      <w:r>
        <w:rPr>
          <w:rFonts w:cs="Times New Roman"/>
        </w:rPr>
        <w:t>。散布与并列指数（</w:t>
      </w:r>
      <w:r>
        <w:rPr>
          <w:rFonts w:cs="Times New Roman"/>
        </w:rPr>
        <w:t>IJI</w:t>
      </w:r>
      <w:r>
        <w:rPr>
          <w:rFonts w:cs="Times New Roman"/>
        </w:rPr>
        <w:t>）为</w:t>
      </w:r>
      <w:r>
        <w:rPr>
          <w:rFonts w:cs="Times New Roman"/>
        </w:rPr>
        <w:t>85.24</w:t>
      </w:r>
      <w:r>
        <w:rPr>
          <w:rFonts w:cs="Times New Roman"/>
        </w:rPr>
        <w:t>，明未利用地受自然条件（水分、土壤条件）制约分布特征较明显</w:t>
      </w:r>
      <w:r>
        <w:rPr>
          <w:rFonts w:cs="Times New Roman"/>
        </w:rPr>
        <w:t>，未利用地边缘与少数几种景观类型（如草地、</w:t>
      </w:r>
      <w:r>
        <w:rPr>
          <w:rFonts w:cs="Times New Roman"/>
        </w:rPr>
        <w:t>林地</w:t>
      </w:r>
      <w:r>
        <w:rPr>
          <w:rFonts w:cs="Times New Roman"/>
        </w:rPr>
        <w:t>）形成规则化过渡，未利用地内部均质化，外围被其他类型斑块环绕，形成</w:t>
      </w:r>
      <w:r>
        <w:rPr>
          <w:rFonts w:cs="Times New Roman"/>
        </w:rPr>
        <w:t>“</w:t>
      </w:r>
      <w:r>
        <w:rPr>
          <w:rFonts w:cs="Times New Roman"/>
        </w:rPr>
        <w:t>核心</w:t>
      </w:r>
      <w:r>
        <w:rPr>
          <w:rFonts w:cs="Times New Roman"/>
        </w:rPr>
        <w:t>-</w:t>
      </w:r>
      <w:r>
        <w:rPr>
          <w:rFonts w:cs="Times New Roman"/>
        </w:rPr>
        <w:t>边缘</w:t>
      </w:r>
      <w:r>
        <w:rPr>
          <w:rFonts w:cs="Times New Roman"/>
        </w:rPr>
        <w:t>”</w:t>
      </w:r>
      <w:r>
        <w:rPr>
          <w:rFonts w:cs="Times New Roman"/>
        </w:rPr>
        <w:t>结构。</w:t>
      </w:r>
      <w:r>
        <w:rPr>
          <w:rFonts w:cs="Times New Roman"/>
        </w:rPr>
        <w:t>聚集度指数（</w:t>
      </w:r>
      <w:r>
        <w:rPr>
          <w:rFonts w:cs="Times New Roman"/>
        </w:rPr>
        <w:t>AI</w:t>
      </w:r>
      <w:r>
        <w:rPr>
          <w:rFonts w:cs="Times New Roman"/>
        </w:rPr>
        <w:t>）</w:t>
      </w:r>
      <w:r>
        <w:rPr>
          <w:rFonts w:cs="Times New Roman"/>
        </w:rPr>
        <w:t>为</w:t>
      </w:r>
      <w:r>
        <w:rPr>
          <w:rFonts w:cs="Times New Roman"/>
        </w:rPr>
        <w:t>98.21</w:t>
      </w:r>
      <w:r>
        <w:rPr>
          <w:rFonts w:cs="Times New Roman"/>
        </w:rPr>
        <w:t>，说明</w:t>
      </w:r>
      <w:r>
        <w:rPr>
          <w:rFonts w:cs="Times New Roman"/>
        </w:rPr>
        <w:t>未利用地斑块高度聚集，可能形成连片的核心区域（荒漠区）</w:t>
      </w:r>
      <w:r>
        <w:rPr>
          <w:rFonts w:cs="Times New Roman"/>
        </w:rPr>
        <w:t>，未利用地斑块间边界清晰、破碎化程度低，可能导致区域景观异质性下降</w:t>
      </w:r>
      <w:r>
        <w:rPr>
          <w:rFonts w:cs="Times New Roman"/>
        </w:rPr>
        <w:t>；与人类活动相关的耕地景观面积比例</w:t>
      </w:r>
      <w:r>
        <w:rPr>
          <w:rFonts w:cs="Times New Roman"/>
        </w:rPr>
        <w:t>（</w:t>
      </w:r>
      <w:r>
        <w:rPr>
          <w:rFonts w:cs="Times New Roman"/>
        </w:rPr>
        <w:t>PLAND</w:t>
      </w:r>
      <w:r>
        <w:rPr>
          <w:rFonts w:cs="Times New Roman"/>
        </w:rPr>
        <w:t>）为</w:t>
      </w:r>
      <w:r>
        <w:rPr>
          <w:rFonts w:cs="Times New Roman"/>
        </w:rPr>
        <w:t>26.11</w:t>
      </w:r>
      <w:r>
        <w:rPr>
          <w:rFonts w:cs="Times New Roman"/>
        </w:rPr>
        <w:t>，最大斑块指数（</w:t>
      </w:r>
      <w:r>
        <w:rPr>
          <w:rFonts w:cs="Times New Roman"/>
        </w:rPr>
        <w:t>LPI</w:t>
      </w:r>
      <w:r>
        <w:rPr>
          <w:rFonts w:cs="Times New Roman"/>
        </w:rPr>
        <w:t>）为</w:t>
      </w:r>
      <w:r>
        <w:rPr>
          <w:rFonts w:cs="Times New Roman"/>
        </w:rPr>
        <w:t>3.86</w:t>
      </w:r>
      <w:r>
        <w:rPr>
          <w:rFonts w:cs="Times New Roman"/>
        </w:rPr>
        <w:t>，散布与并列指数（</w:t>
      </w:r>
      <w:r>
        <w:rPr>
          <w:rFonts w:cs="Times New Roman"/>
        </w:rPr>
        <w:t>IJI</w:t>
      </w:r>
      <w:r>
        <w:rPr>
          <w:rFonts w:cs="Times New Roman"/>
        </w:rPr>
        <w:t>）为</w:t>
      </w:r>
      <w:r>
        <w:rPr>
          <w:rFonts w:cs="Times New Roman"/>
        </w:rPr>
        <w:t>79.50</w:t>
      </w:r>
      <w:r>
        <w:rPr>
          <w:rFonts w:cs="Times New Roman"/>
        </w:rPr>
        <w:t>，说明评价区域内耕地相对较</w:t>
      </w:r>
      <w:r>
        <w:rPr>
          <w:rFonts w:cs="Times New Roman"/>
        </w:rPr>
        <w:t>多</w:t>
      </w:r>
      <w:r>
        <w:rPr>
          <w:rFonts w:cs="Times New Roman"/>
        </w:rPr>
        <w:t>，</w:t>
      </w:r>
      <w:r>
        <w:rPr>
          <w:rFonts w:cs="Times New Roman"/>
        </w:rPr>
        <w:t>但连续分布性较低，</w:t>
      </w:r>
      <w:r>
        <w:rPr>
          <w:rFonts w:cs="Times New Roman"/>
        </w:rPr>
        <w:t>耕地景观与其他景观之间相邻，与其他类型景观之间的关系更为复杂，这主要是拟建公路位于</w:t>
      </w:r>
      <w:r>
        <w:rPr>
          <w:rFonts w:cs="Times New Roman"/>
        </w:rPr>
        <w:t>拟建公路前端</w:t>
      </w:r>
      <w:r>
        <w:rPr>
          <w:rFonts w:cs="Times New Roman"/>
        </w:rPr>
        <w:t>k0+00-k27+720</w:t>
      </w:r>
      <w:r>
        <w:rPr>
          <w:rFonts w:cs="Times New Roman"/>
        </w:rPr>
        <w:t>段、</w:t>
      </w:r>
      <w:r>
        <w:rPr>
          <w:rFonts w:cs="Times New Roman"/>
        </w:rPr>
        <w:t>k74-k84+700</w:t>
      </w:r>
      <w:r>
        <w:rPr>
          <w:rFonts w:cs="Times New Roman"/>
        </w:rPr>
        <w:t>段和</w:t>
      </w:r>
      <w:r>
        <w:rPr>
          <w:rFonts w:cs="Times New Roman"/>
        </w:rPr>
        <w:t>k91+060-k107+200</w:t>
      </w:r>
      <w:r>
        <w:rPr>
          <w:rFonts w:cs="Times New Roman"/>
        </w:rPr>
        <w:t>段</w:t>
      </w:r>
      <w:r>
        <w:rPr>
          <w:rFonts w:cs="Times New Roman"/>
        </w:rPr>
        <w:t>，主要是绿洲与荒漠交错区域位于评价区，形成了耕地景观与多种景观交错相互的联系关系，这也是人工生态系统因人为干扰对自然生态系统的一种结果；水域景观斑块类型面积（</w:t>
      </w:r>
      <w:r>
        <w:rPr>
          <w:rFonts w:cs="Times New Roman"/>
        </w:rPr>
        <w:t>CA</w:t>
      </w:r>
      <w:r>
        <w:rPr>
          <w:rFonts w:cs="Times New Roman"/>
        </w:rPr>
        <w:t>）为</w:t>
      </w:r>
      <w:r>
        <w:rPr>
          <w:rFonts w:cs="Times New Roman"/>
        </w:rPr>
        <w:t>57.16</w:t>
      </w:r>
      <w:r>
        <w:rPr>
          <w:rFonts w:cs="Times New Roman"/>
        </w:rPr>
        <w:t>，最大斑块指数（</w:t>
      </w:r>
      <w:r>
        <w:rPr>
          <w:rFonts w:cs="Times New Roman"/>
        </w:rPr>
        <w:t>LPI</w:t>
      </w:r>
      <w:r>
        <w:rPr>
          <w:rFonts w:cs="Times New Roman"/>
        </w:rPr>
        <w:t>）为</w:t>
      </w:r>
      <w:r>
        <w:rPr>
          <w:rFonts w:cs="Times New Roman"/>
        </w:rPr>
        <w:t>0.</w:t>
      </w:r>
      <w:r>
        <w:rPr>
          <w:rFonts w:cs="Times New Roman"/>
        </w:rPr>
        <w:t>0.49</w:t>
      </w:r>
      <w:r>
        <w:rPr>
          <w:rFonts w:cs="Times New Roman"/>
        </w:rPr>
        <w:t>，水域景观主要是以</w:t>
      </w:r>
      <w:r>
        <w:rPr>
          <w:rFonts w:cs="Times New Roman"/>
        </w:rPr>
        <w:t>喀什噶尔河和阿恰勒</w:t>
      </w:r>
      <w:r>
        <w:rPr>
          <w:rFonts w:cs="Times New Roman"/>
        </w:rPr>
        <w:t>河河水水面及内陆滩涂为主。</w:t>
      </w:r>
    </w:p>
    <w:p w:rsidR="00A46452" w:rsidRDefault="009A3928">
      <w:pPr>
        <w:wordWrap w:val="0"/>
        <w:ind w:firstLine="480"/>
        <w:rPr>
          <w:rFonts w:cs="Times New Roman"/>
        </w:rPr>
      </w:pPr>
      <w:r>
        <w:rPr>
          <w:rFonts w:cs="Times New Roman"/>
        </w:rPr>
        <w:t>从评价区域整体来看，区域内蔓延度指数（</w:t>
      </w:r>
      <w:r>
        <w:rPr>
          <w:rFonts w:cs="Times New Roman"/>
        </w:rPr>
        <w:t>CONTAG</w:t>
      </w:r>
      <w:r>
        <w:rPr>
          <w:rFonts w:cs="Times New Roman"/>
        </w:rPr>
        <w:t>）为</w:t>
      </w:r>
      <w:r>
        <w:rPr>
          <w:rFonts w:cs="Times New Roman"/>
        </w:rPr>
        <w:t>56.38</w:t>
      </w:r>
      <w:r>
        <w:rPr>
          <w:rFonts w:cs="Times New Roman"/>
        </w:rPr>
        <w:t>，</w:t>
      </w:r>
      <w:r>
        <w:rPr>
          <w:rFonts w:cs="Times New Roman"/>
        </w:rPr>
        <w:t>属于中等程度</w:t>
      </w:r>
      <w:r>
        <w:rPr>
          <w:rFonts w:cs="Times New Roman"/>
        </w:rPr>
        <w:t>说明表明区域内存在核心景观类型（未利用地）形成连片分布，但未完全主导，其他类型斑块（如草地、</w:t>
      </w:r>
      <w:r>
        <w:rPr>
          <w:rFonts w:cs="Times New Roman"/>
        </w:rPr>
        <w:t>林地</w:t>
      </w:r>
      <w:r>
        <w:rPr>
          <w:rFonts w:cs="Times New Roman"/>
        </w:rPr>
        <w:t>、</w:t>
      </w:r>
      <w:r>
        <w:rPr>
          <w:rFonts w:cs="Times New Roman"/>
        </w:rPr>
        <w:t>水体）分散穿插其中。香农多样性指数（</w:t>
      </w:r>
      <w:r>
        <w:rPr>
          <w:rFonts w:cs="Times New Roman"/>
        </w:rPr>
        <w:t>SHDI</w:t>
      </w:r>
      <w:r>
        <w:rPr>
          <w:rFonts w:cs="Times New Roman"/>
        </w:rPr>
        <w:t>）较低为</w:t>
      </w:r>
      <w:r>
        <w:rPr>
          <w:rFonts w:cs="Times New Roman"/>
        </w:rPr>
        <w:t>1.</w:t>
      </w:r>
      <w:r>
        <w:rPr>
          <w:rFonts w:cs="Times New Roman"/>
        </w:rPr>
        <w:t>41</w:t>
      </w:r>
      <w:r>
        <w:rPr>
          <w:rFonts w:cs="Times New Roman"/>
        </w:rPr>
        <w:t>，</w:t>
      </w:r>
      <w:r>
        <w:rPr>
          <w:rFonts w:cs="Times New Roman"/>
        </w:rPr>
        <w:t>属于中等程度多样性，</w:t>
      </w:r>
      <w:r>
        <w:rPr>
          <w:rFonts w:cs="Times New Roman"/>
        </w:rPr>
        <w:t>说明评价区内景观类型多样。</w:t>
      </w:r>
    </w:p>
    <w:p w:rsidR="00A46452" w:rsidRDefault="009A3928">
      <w:pPr>
        <w:wordWrap w:val="0"/>
        <w:ind w:firstLine="480"/>
        <w:rPr>
          <w:rFonts w:cs="Times New Roman"/>
        </w:rPr>
      </w:pPr>
      <w:r>
        <w:rPr>
          <w:rFonts w:cs="Times New Roman"/>
        </w:rPr>
        <w:t>从现场调查来看，评价区内大面积分布的未利用地以沙地、盐碱地</w:t>
      </w:r>
      <w:r>
        <w:rPr>
          <w:rFonts w:cs="Times New Roman"/>
        </w:rPr>
        <w:t>、</w:t>
      </w:r>
      <w:r>
        <w:rPr>
          <w:rFonts w:cs="Times New Roman"/>
        </w:rPr>
        <w:t>裸岩石砾地</w:t>
      </w:r>
      <w:r>
        <w:rPr>
          <w:rFonts w:cs="Times New Roman"/>
        </w:rPr>
        <w:t>和裸土地为主，但由于评价区地处南疆地区，受地域气候等影</w:t>
      </w:r>
      <w:r>
        <w:rPr>
          <w:rFonts w:cs="Times New Roman"/>
        </w:rPr>
        <w:t>响，区域生态环境恶劣，区域地表植被较少，生态环境本底较差，生产力水平较低，区域景观自然生态体系的生态环境质量较差。</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6.2.10</w:t>
      </w:r>
      <w:r>
        <w:rPr>
          <w:rFonts w:cs="Times New Roman" w:hint="default"/>
          <w:sz w:val="28"/>
          <w:szCs w:val="28"/>
        </w:rPr>
        <w:t>公益林</w:t>
      </w:r>
    </w:p>
    <w:p w:rsidR="00A46452" w:rsidRDefault="009A3928" w:rsidP="00182EED">
      <w:pPr>
        <w:pStyle w:val="a5"/>
        <w:wordWrap w:val="0"/>
        <w:topLinePunct/>
        <w:adjustRightInd w:val="0"/>
        <w:snapToGrid w:val="0"/>
        <w:spacing w:after="0"/>
        <w:ind w:firstLine="480"/>
        <w:rPr>
          <w:rFonts w:cs="Times New Roman" w:hint="default"/>
          <w:spacing w:val="-1"/>
        </w:rPr>
      </w:pPr>
      <w:r>
        <w:rPr>
          <w:rFonts w:eastAsiaTheme="minorEastAsia" w:cs="Times New Roman" w:hint="default"/>
        </w:rPr>
        <w:t>本项目占用国家生态公益林总面积为</w:t>
      </w:r>
      <w:r>
        <w:rPr>
          <w:rFonts w:eastAsiaTheme="minorEastAsia" w:cs="Times New Roman" w:hint="default"/>
        </w:rPr>
        <w:t>23.19</w:t>
      </w:r>
      <w:r>
        <w:rPr>
          <w:rFonts w:eastAsiaTheme="minorEastAsia" w:cs="Times New Roman" w:hint="default"/>
        </w:rPr>
        <w:t>hm</w:t>
      </w:r>
      <w:r>
        <w:rPr>
          <w:rFonts w:eastAsiaTheme="minorEastAsia" w:cs="Times New Roman" w:hint="default"/>
          <w:vertAlign w:val="superscript"/>
        </w:rPr>
        <w:t>2</w:t>
      </w:r>
      <w:r>
        <w:rPr>
          <w:rFonts w:eastAsiaTheme="minorEastAsia" w:cs="Times New Roman" w:hint="default"/>
        </w:rPr>
        <w:t>，均为国家二级公益林，其中</w:t>
      </w:r>
      <w:r>
        <w:rPr>
          <w:rFonts w:eastAsiaTheme="minorEastAsia" w:cs="Times New Roman" w:hint="default"/>
        </w:rPr>
        <w:t>巴楚</w:t>
      </w:r>
      <w:r>
        <w:rPr>
          <w:rFonts w:eastAsiaTheme="minorEastAsia" w:cs="Times New Roman" w:hint="default"/>
        </w:rPr>
        <w:t>县</w:t>
      </w:r>
      <w:r>
        <w:rPr>
          <w:rFonts w:eastAsiaTheme="minorEastAsia" w:cs="Times New Roman" w:hint="default"/>
        </w:rPr>
        <w:t>9.98</w:t>
      </w:r>
      <w:r>
        <w:rPr>
          <w:rFonts w:eastAsiaTheme="minorEastAsia" w:cs="Times New Roman" w:hint="default"/>
        </w:rPr>
        <w:t>hm</w:t>
      </w:r>
      <w:r>
        <w:rPr>
          <w:rFonts w:eastAsiaTheme="minorEastAsia" w:cs="Times New Roman" w:hint="default"/>
          <w:vertAlign w:val="superscript"/>
        </w:rPr>
        <w:t>2</w:t>
      </w:r>
      <w:r>
        <w:rPr>
          <w:rFonts w:eastAsiaTheme="minorEastAsia" w:cs="Times New Roman" w:hint="default"/>
        </w:rPr>
        <w:t>，</w:t>
      </w:r>
      <w:r>
        <w:rPr>
          <w:rFonts w:eastAsiaTheme="minorEastAsia" w:cs="Times New Roman" w:hint="default"/>
        </w:rPr>
        <w:t>图木舒克市</w:t>
      </w:r>
      <w:r>
        <w:rPr>
          <w:rFonts w:eastAsiaTheme="minorEastAsia" w:cs="Times New Roman" w:hint="default"/>
        </w:rPr>
        <w:t>13.31</w:t>
      </w:r>
      <w:r>
        <w:rPr>
          <w:rFonts w:eastAsiaTheme="minorEastAsia" w:cs="Times New Roman" w:hint="default"/>
        </w:rPr>
        <w:t>hm</w:t>
      </w:r>
      <w:r>
        <w:rPr>
          <w:rFonts w:eastAsiaTheme="minorEastAsia" w:cs="Times New Roman" w:hint="default"/>
          <w:vertAlign w:val="superscript"/>
        </w:rPr>
        <w:t>2</w:t>
      </w:r>
      <w:r>
        <w:rPr>
          <w:rFonts w:eastAsiaTheme="minorEastAsia" w:cs="Times New Roman" w:hint="default"/>
        </w:rPr>
        <w:t>。</w:t>
      </w:r>
      <w:r>
        <w:rPr>
          <w:rFonts w:cs="Times New Roman" w:hint="default"/>
          <w:spacing w:val="-1"/>
        </w:rPr>
        <w:t>在</w:t>
      </w:r>
      <w:r>
        <w:rPr>
          <w:rFonts w:cs="Times New Roman" w:hint="default"/>
          <w:spacing w:val="-1"/>
        </w:rPr>
        <w:t>K3+280~K3+520</w:t>
      </w:r>
      <w:r>
        <w:rPr>
          <w:rFonts w:cs="Times New Roman" w:hint="default"/>
          <w:spacing w:val="-1"/>
        </w:rPr>
        <w:t>、</w:t>
      </w:r>
      <w:r>
        <w:rPr>
          <w:rFonts w:cs="Times New Roman" w:hint="default"/>
          <w:spacing w:val="-1"/>
        </w:rPr>
        <w:t>K4+440~K4+620</w:t>
      </w:r>
      <w:r>
        <w:rPr>
          <w:rFonts w:cs="Times New Roman" w:hint="default"/>
          <w:spacing w:val="-1"/>
        </w:rPr>
        <w:t>、</w:t>
      </w:r>
      <w:r>
        <w:rPr>
          <w:rFonts w:cs="Times New Roman" w:hint="default"/>
          <w:spacing w:val="-1"/>
        </w:rPr>
        <w:t>K22+460~K24+680</w:t>
      </w:r>
      <w:r>
        <w:rPr>
          <w:rFonts w:cs="Times New Roman" w:hint="default"/>
          <w:spacing w:val="-1"/>
        </w:rPr>
        <w:t>、</w:t>
      </w:r>
      <w:r>
        <w:rPr>
          <w:rFonts w:cs="Times New Roman" w:hint="default"/>
          <w:spacing w:val="-1"/>
        </w:rPr>
        <w:t>K26+780~K32+240</w:t>
      </w:r>
      <w:r>
        <w:rPr>
          <w:rFonts w:cs="Times New Roman" w:hint="default"/>
          <w:spacing w:val="-1"/>
        </w:rPr>
        <w:t>，</w:t>
      </w:r>
      <w:r>
        <w:rPr>
          <w:rFonts w:cs="Times New Roman" w:hint="default"/>
          <w:spacing w:val="-1"/>
        </w:rPr>
        <w:t>K42+980~K45+540</w:t>
      </w:r>
      <w:r>
        <w:rPr>
          <w:rFonts w:cs="Times New Roman" w:hint="default"/>
          <w:spacing w:val="-1"/>
        </w:rPr>
        <w:t>等路段穿越公益林。</w:t>
      </w:r>
      <w:r>
        <w:rPr>
          <w:rFonts w:eastAsiaTheme="minorEastAsia" w:cs="Times New Roman" w:hint="default"/>
          <w:spacing w:val="-2"/>
        </w:rPr>
        <w:t>项目以狭长的线性穿过生态公益林，公路布线已避让公益林集中连片分布区域，工程占用面积相对较小，其主要作用为</w:t>
      </w:r>
      <w:r>
        <w:rPr>
          <w:rFonts w:eastAsiaTheme="minorEastAsia" w:cs="Times New Roman" w:hint="default"/>
          <w:spacing w:val="-2"/>
        </w:rPr>
        <w:t>防风固沙及水土保持</w:t>
      </w:r>
      <w:r>
        <w:rPr>
          <w:rFonts w:eastAsiaTheme="minorEastAsia" w:cs="Times New Roman" w:hint="default"/>
          <w:spacing w:val="-2"/>
        </w:rPr>
        <w:t>等，不会破坏整片生态公益林的</w:t>
      </w:r>
      <w:r>
        <w:rPr>
          <w:rFonts w:eastAsiaTheme="minorEastAsia" w:cs="Times New Roman" w:hint="default"/>
          <w:spacing w:val="-2"/>
        </w:rPr>
        <w:t>水土保持</w:t>
      </w:r>
      <w:r>
        <w:rPr>
          <w:rFonts w:eastAsiaTheme="minorEastAsia" w:cs="Times New Roman" w:hint="default"/>
          <w:spacing w:val="-2"/>
        </w:rPr>
        <w:t>功能，也不会对生物多样性产生显著影响，亦不会破坏区域森林生态系统的整体性和稳定性。</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6.2.11</w:t>
      </w:r>
      <w:r>
        <w:rPr>
          <w:rFonts w:cs="Times New Roman" w:hint="default"/>
          <w:sz w:val="28"/>
          <w:szCs w:val="28"/>
        </w:rPr>
        <w:t>土地沙化现状</w:t>
      </w:r>
    </w:p>
    <w:p w:rsidR="00A46452" w:rsidRDefault="009A3928">
      <w:pPr>
        <w:wordWrap w:val="0"/>
        <w:topLinePunct/>
        <w:ind w:firstLine="480"/>
        <w:rPr>
          <w:rFonts w:eastAsiaTheme="minorEastAsia" w:cs="Times New Roman"/>
        </w:rPr>
      </w:pPr>
      <w:r>
        <w:rPr>
          <w:rFonts w:eastAsiaTheme="minorEastAsia" w:cs="Times New Roman"/>
        </w:rPr>
        <w:t>根据《新疆维吾尔自治区第</w:t>
      </w:r>
      <w:r>
        <w:rPr>
          <w:rFonts w:eastAsiaTheme="minorEastAsia" w:cs="Times New Roman"/>
        </w:rPr>
        <w:t>六</w:t>
      </w:r>
      <w:r>
        <w:rPr>
          <w:rFonts w:eastAsiaTheme="minorEastAsia" w:cs="Times New Roman"/>
        </w:rPr>
        <w:t>次沙化土地监测报告》，本项目位于塔克拉玛干沙漠北缘，属于半固定沙地和流动沙地。喀什地区、阿克苏地区具有明显沙化趋势的土地分布面积较大，其中喀什地区有明显沙化趋势的土地的面积为</w:t>
      </w:r>
      <w:r>
        <w:rPr>
          <w:rFonts w:eastAsiaTheme="minorEastAsia" w:cs="Times New Roman"/>
        </w:rPr>
        <w:t>107.99</w:t>
      </w:r>
      <w:r>
        <w:rPr>
          <w:rFonts w:eastAsiaTheme="minorEastAsia" w:cs="Times New Roman"/>
        </w:rPr>
        <w:t>万公顷，占具有明显沙化趋势土地面积的</w:t>
      </w:r>
      <w:r>
        <w:rPr>
          <w:rFonts w:eastAsiaTheme="minorEastAsia" w:cs="Times New Roman"/>
        </w:rPr>
        <w:t>24.66%</w:t>
      </w:r>
      <w:r>
        <w:rPr>
          <w:rFonts w:eastAsiaTheme="minorEastAsia" w:cs="Times New Roman"/>
        </w:rPr>
        <w:t>；阿克苏地区有明显沙化趋势的土地的面积为</w:t>
      </w:r>
      <w:r>
        <w:rPr>
          <w:rFonts w:eastAsiaTheme="minorEastAsia" w:cs="Times New Roman"/>
        </w:rPr>
        <w:t>83.75</w:t>
      </w:r>
      <w:r>
        <w:rPr>
          <w:rFonts w:eastAsiaTheme="minorEastAsia" w:cs="Times New Roman"/>
        </w:rPr>
        <w:t>万公顷，占具有明显沙化趋势土地面积的</w:t>
      </w:r>
      <w:r>
        <w:rPr>
          <w:rFonts w:eastAsiaTheme="minorEastAsia" w:cs="Times New Roman"/>
        </w:rPr>
        <w:t>19.12%</w:t>
      </w:r>
      <w:r>
        <w:rPr>
          <w:rFonts w:eastAsiaTheme="minorEastAsia" w:cs="Times New Roman"/>
        </w:rPr>
        <w:t>；与沙化土地位置关系</w:t>
      </w:r>
      <w:r>
        <w:rPr>
          <w:rFonts w:eastAsiaTheme="minorEastAsia" w:cs="Times New Roman"/>
        </w:rPr>
        <w:t>见图</w:t>
      </w:r>
      <w:r>
        <w:rPr>
          <w:rFonts w:eastAsiaTheme="minorEastAsia" w:cs="Times New Roman"/>
        </w:rPr>
        <w:t>4.5-7</w:t>
      </w:r>
      <w:r>
        <w:rPr>
          <w:rFonts w:eastAsiaTheme="minorEastAsia" w:cs="Times New Roman"/>
        </w:rPr>
        <w:t>。</w:t>
      </w:r>
    </w:p>
    <w:p w:rsidR="00A46452" w:rsidRDefault="009A3928">
      <w:pPr>
        <w:wordWrap w:val="0"/>
        <w:topLinePunct/>
        <w:adjustRightInd w:val="0"/>
        <w:snapToGrid w:val="0"/>
        <w:ind w:firstLine="480"/>
        <w:rPr>
          <w:rFonts w:cs="Times New Roman"/>
        </w:rPr>
      </w:pPr>
      <w:r>
        <w:rPr>
          <w:rFonts w:cs="Times New Roman"/>
        </w:rPr>
        <w:t>拟建公路全线</w:t>
      </w:r>
      <w:r>
        <w:rPr>
          <w:rFonts w:cs="Times New Roman"/>
        </w:rPr>
        <w:t>穿越</w:t>
      </w:r>
      <w:r>
        <w:rPr>
          <w:rFonts w:cs="Times New Roman"/>
        </w:rPr>
        <w:t>第</w:t>
      </w:r>
      <w:r>
        <w:rPr>
          <w:rFonts w:cs="Times New Roman"/>
        </w:rPr>
        <w:t>三师图木舒克</w:t>
      </w:r>
      <w:r>
        <w:rPr>
          <w:rFonts w:cs="Times New Roman"/>
        </w:rPr>
        <w:t>市</w:t>
      </w:r>
      <w:r>
        <w:rPr>
          <w:rFonts w:cs="Times New Roman"/>
        </w:rPr>
        <w:t>、喀什地区巴楚县、阿克苏地区柯坪县境内</w:t>
      </w:r>
      <w:r>
        <w:rPr>
          <w:rFonts w:cs="Times New Roman"/>
        </w:rPr>
        <w:t>，位于塔里木盆地西北</w:t>
      </w:r>
      <w:r>
        <w:rPr>
          <w:rFonts w:cs="Times New Roman"/>
        </w:rPr>
        <w:t>部</w:t>
      </w:r>
      <w:r>
        <w:rPr>
          <w:rFonts w:cs="Times New Roman"/>
        </w:rPr>
        <w:t>边缘。</w:t>
      </w:r>
      <w:r>
        <w:rPr>
          <w:rFonts w:cs="Times New Roman"/>
        </w:rPr>
        <w:t>2010</w:t>
      </w:r>
      <w:r>
        <w:rPr>
          <w:rFonts w:cs="Times New Roman"/>
        </w:rPr>
        <w:t>年以来，自治区先后制定了《新疆维吾尔</w:t>
      </w:r>
      <w:r>
        <w:rPr>
          <w:rFonts w:cs="Times New Roman"/>
        </w:rPr>
        <w:t>自治区塔里木盆地周边防沙治沙工程建设规划</w:t>
      </w:r>
      <w:r>
        <w:rPr>
          <w:rFonts w:cs="Times New Roman"/>
        </w:rPr>
        <w:t>》《</w:t>
      </w:r>
      <w:r>
        <w:rPr>
          <w:rFonts w:cs="Times New Roman"/>
        </w:rPr>
        <w:t>新疆防沙治沙工程规划（</w:t>
      </w:r>
      <w:r>
        <w:rPr>
          <w:rFonts w:cs="Times New Roman"/>
        </w:rPr>
        <w:t>2011</w:t>
      </w:r>
      <w:r>
        <w:rPr>
          <w:rFonts w:cs="Times New Roman"/>
        </w:rPr>
        <w:t>—</w:t>
      </w:r>
      <w:r>
        <w:rPr>
          <w:rFonts w:cs="Times New Roman"/>
        </w:rPr>
        <w:t>2020</w:t>
      </w:r>
      <w:r>
        <w:rPr>
          <w:rFonts w:cs="Times New Roman"/>
        </w:rPr>
        <w:t>年）》，根据规划内容，阿克苏地区属于</w:t>
      </w:r>
      <w:r>
        <w:rPr>
          <w:rFonts w:cs="Times New Roman"/>
        </w:rPr>
        <w:t>“</w:t>
      </w:r>
      <w:r>
        <w:rPr>
          <w:rFonts w:cs="Times New Roman"/>
        </w:rPr>
        <w:t>新疆维吾尔自治区塔里木盆地周边防沙治沙工程建设规划</w:t>
      </w:r>
      <w:r>
        <w:rPr>
          <w:rFonts w:cs="Times New Roman"/>
        </w:rPr>
        <w:t>”</w:t>
      </w:r>
      <w:r>
        <w:rPr>
          <w:rFonts w:cs="Times New Roman"/>
        </w:rPr>
        <w:t>中的</w:t>
      </w:r>
      <w:r>
        <w:rPr>
          <w:rFonts w:cs="Times New Roman"/>
        </w:rPr>
        <w:t>“</w:t>
      </w:r>
      <w:r>
        <w:rPr>
          <w:rFonts w:cs="Times New Roman"/>
        </w:rPr>
        <w:t>塔克拉玛干沙漠北缘治理区</w:t>
      </w:r>
      <w:r>
        <w:rPr>
          <w:rFonts w:cs="Times New Roman"/>
        </w:rPr>
        <w:t>”</w:t>
      </w:r>
      <w:r>
        <w:rPr>
          <w:rFonts w:cs="Times New Roman"/>
        </w:rPr>
        <w:t>。沙漠上分布着稀少的胡杨、柽柳等荒漠植被，近年来，塔里木河流域综合治理工程尚未结束，由于上游给水减少，以及粗放型农业造成的水资源利用效率低的因素，使塔里木河中下游严重缺水，大量荒漠植被面临死亡。阿克苏地区荒漠化土地面积</w:t>
      </w:r>
      <w:r>
        <w:rPr>
          <w:rFonts w:cs="Times New Roman"/>
        </w:rPr>
        <w:t>6.17</w:t>
      </w:r>
      <w:r>
        <w:rPr>
          <w:rFonts w:cs="Times New Roman"/>
        </w:rPr>
        <w:t>万</w:t>
      </w:r>
      <w:r>
        <w:rPr>
          <w:rFonts w:cs="Times New Roman"/>
        </w:rPr>
        <w:t>hm</w:t>
      </w:r>
      <w:r>
        <w:rPr>
          <w:rFonts w:cs="Times New Roman"/>
          <w:vertAlign w:val="superscript"/>
        </w:rPr>
        <w:t>2</w:t>
      </w:r>
      <w:r>
        <w:rPr>
          <w:rFonts w:cs="Times New Roman"/>
        </w:rPr>
        <w:t>，荒漠化土地占比为</w:t>
      </w:r>
      <w:r>
        <w:rPr>
          <w:rFonts w:cs="Times New Roman"/>
        </w:rPr>
        <w:t>46.99%</w:t>
      </w:r>
      <w:r>
        <w:rPr>
          <w:rFonts w:cs="Times New Roman"/>
        </w:rPr>
        <w:t>，阿克苏地区一直在开展国家沙化土地封禁保护</w:t>
      </w:r>
      <w:r>
        <w:rPr>
          <w:rFonts w:cs="Times New Roman"/>
        </w:rPr>
        <w:t>区建设，三北防护林、退耕还林、通过人工造林种草、引洪灌溉等措施，对沙漠化土地进行综合治理。</w:t>
      </w:r>
    </w:p>
    <w:p w:rsidR="00A46452" w:rsidRDefault="009A3928">
      <w:pPr>
        <w:pStyle w:val="31"/>
        <w:keepNext w:val="0"/>
        <w:keepLines w:val="0"/>
        <w:wordWrap w:val="0"/>
        <w:topLinePunct/>
        <w:adjustRightInd w:val="0"/>
        <w:snapToGrid w:val="0"/>
        <w:spacing w:before="156" w:after="156" w:line="240" w:lineRule="auto"/>
        <w:rPr>
          <w:rFonts w:cs="Times New Roman" w:hint="default"/>
          <w:sz w:val="28"/>
          <w:szCs w:val="28"/>
        </w:rPr>
      </w:pPr>
      <w:r>
        <w:rPr>
          <w:rFonts w:cs="Times New Roman" w:hint="default"/>
          <w:sz w:val="28"/>
          <w:szCs w:val="28"/>
        </w:rPr>
        <w:t>6.2.12</w:t>
      </w:r>
      <w:r>
        <w:rPr>
          <w:rFonts w:cs="Times New Roman" w:hint="default"/>
          <w:sz w:val="28"/>
          <w:szCs w:val="28"/>
        </w:rPr>
        <w:t>工程沿线水土流失现状</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w:t>
      </w:r>
      <w:r>
        <w:rPr>
          <w:rFonts w:cs="Times New Roman"/>
          <w:snapToGrid w:val="0"/>
          <w:szCs w:val="24"/>
        </w:rPr>
        <w:t>水土流失区</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本项目位于兵团第</w:t>
      </w:r>
      <w:r>
        <w:rPr>
          <w:rFonts w:cs="Times New Roman"/>
          <w:snapToGrid w:val="0"/>
          <w:szCs w:val="24"/>
        </w:rPr>
        <w:t>三</w:t>
      </w:r>
      <w:r>
        <w:rPr>
          <w:rFonts w:cs="Times New Roman"/>
          <w:snapToGrid w:val="0"/>
          <w:szCs w:val="24"/>
        </w:rPr>
        <w:t>师</w:t>
      </w:r>
      <w:r>
        <w:rPr>
          <w:rFonts w:cs="Times New Roman"/>
          <w:snapToGrid w:val="0"/>
          <w:szCs w:val="24"/>
        </w:rPr>
        <w:t>图木舒克</w:t>
      </w:r>
      <w:r>
        <w:rPr>
          <w:rFonts w:cs="Times New Roman"/>
          <w:snapToGrid w:val="0"/>
          <w:szCs w:val="24"/>
        </w:rPr>
        <w:t>市</w:t>
      </w:r>
      <w:r>
        <w:rPr>
          <w:rFonts w:cs="Times New Roman"/>
          <w:snapToGrid w:val="0"/>
          <w:szCs w:val="24"/>
        </w:rPr>
        <w:t>、</w:t>
      </w:r>
      <w:r>
        <w:rPr>
          <w:rFonts w:cs="Times New Roman"/>
          <w:snapToGrid w:val="0"/>
          <w:szCs w:val="24"/>
        </w:rPr>
        <w:t>喀什地区巴楚县、</w:t>
      </w:r>
      <w:r>
        <w:rPr>
          <w:rFonts w:cs="Times New Roman"/>
          <w:snapToGrid w:val="0"/>
          <w:szCs w:val="24"/>
        </w:rPr>
        <w:t>阿克苏地区</w:t>
      </w:r>
      <w:r>
        <w:rPr>
          <w:rFonts w:cs="Times New Roman"/>
          <w:snapToGrid w:val="0"/>
          <w:szCs w:val="24"/>
        </w:rPr>
        <w:t>柯坪县</w:t>
      </w:r>
      <w:r>
        <w:rPr>
          <w:rFonts w:cs="Times New Roman"/>
          <w:snapToGrid w:val="0"/>
          <w:szCs w:val="24"/>
        </w:rPr>
        <w:t>，不穿越自然保护区、风景名胜区、世界文化和自然遗产地、饮用水水源保护区、地质公园、重要湿地、森林公园等环境敏感区</w:t>
      </w:r>
      <w:r>
        <w:rPr>
          <w:rFonts w:cs="Times New Roman"/>
          <w:snapToGrid w:val="0"/>
          <w:szCs w:val="24"/>
        </w:rPr>
        <w:t>，</w:t>
      </w:r>
      <w:r>
        <w:rPr>
          <w:rFonts w:cs="Times New Roman"/>
          <w:snapToGrid w:val="0"/>
          <w:szCs w:val="24"/>
        </w:rPr>
        <w:t>不</w:t>
      </w:r>
      <w:r>
        <w:rPr>
          <w:rFonts w:cs="Times New Roman"/>
          <w:snapToGrid w:val="0"/>
          <w:szCs w:val="24"/>
        </w:rPr>
        <w:t>涉及生态保护红线区</w:t>
      </w:r>
      <w:r>
        <w:rPr>
          <w:rFonts w:cs="Times New Roman"/>
          <w:snapToGrid w:val="0"/>
          <w:szCs w:val="24"/>
        </w:rPr>
        <w:t>，</w:t>
      </w:r>
      <w:r>
        <w:rPr>
          <w:rFonts w:cs="Times New Roman"/>
          <w:snapToGrid w:val="0"/>
          <w:szCs w:val="24"/>
        </w:rPr>
        <w:t>拟建项目穿越巴楚县及图木舒克市，巴楚县为</w:t>
      </w:r>
      <w:r>
        <w:rPr>
          <w:rFonts w:cs="Times New Roman"/>
          <w:snapToGrid w:val="0"/>
          <w:szCs w:val="24"/>
          <w:lang w:val="zh-CN"/>
        </w:rPr>
        <w:t>塔里木河国家级水土流失重点预防区、新疆维吾尔自治区级水土流失</w:t>
      </w:r>
      <w:r>
        <w:rPr>
          <w:rFonts w:cs="Times New Roman"/>
          <w:snapToGrid w:val="0"/>
          <w:szCs w:val="24"/>
          <w:lang w:val="zh-CN"/>
        </w:rPr>
        <w:t>Ⅱ3</w:t>
      </w:r>
      <w:r>
        <w:rPr>
          <w:rFonts w:cs="Times New Roman"/>
          <w:snapToGrid w:val="0"/>
          <w:szCs w:val="24"/>
          <w:lang w:val="zh-CN"/>
        </w:rPr>
        <w:t>塔里木河流域重点治理区，</w:t>
      </w:r>
      <w:r>
        <w:rPr>
          <w:rFonts w:cs="Times New Roman"/>
          <w:snapToGrid w:val="0"/>
          <w:szCs w:val="24"/>
        </w:rPr>
        <w:t>第三师</w:t>
      </w:r>
      <w:r>
        <w:rPr>
          <w:rFonts w:cs="Times New Roman"/>
          <w:snapToGrid w:val="0"/>
          <w:szCs w:val="24"/>
        </w:rPr>
        <w:t>44</w:t>
      </w:r>
      <w:r>
        <w:rPr>
          <w:rFonts w:cs="Times New Roman"/>
          <w:snapToGrid w:val="0"/>
          <w:szCs w:val="24"/>
        </w:rPr>
        <w:t>团、</w:t>
      </w:r>
      <w:r>
        <w:rPr>
          <w:rFonts w:cs="Times New Roman"/>
          <w:snapToGrid w:val="0"/>
          <w:szCs w:val="24"/>
        </w:rPr>
        <w:t>50</w:t>
      </w:r>
      <w:r>
        <w:rPr>
          <w:rFonts w:cs="Times New Roman"/>
          <w:snapToGrid w:val="0"/>
          <w:szCs w:val="24"/>
        </w:rPr>
        <w:t>团、</w:t>
      </w:r>
      <w:r>
        <w:rPr>
          <w:rFonts w:cs="Times New Roman"/>
          <w:snapToGrid w:val="0"/>
          <w:szCs w:val="24"/>
        </w:rPr>
        <w:t>51</w:t>
      </w:r>
      <w:r>
        <w:rPr>
          <w:rFonts w:cs="Times New Roman"/>
          <w:snapToGrid w:val="0"/>
          <w:szCs w:val="24"/>
        </w:rPr>
        <w:t>团、</w:t>
      </w:r>
      <w:r>
        <w:rPr>
          <w:rFonts w:cs="Times New Roman"/>
          <w:snapToGrid w:val="0"/>
          <w:szCs w:val="24"/>
        </w:rPr>
        <w:t>53</w:t>
      </w:r>
      <w:r>
        <w:rPr>
          <w:rFonts w:cs="Times New Roman"/>
          <w:snapToGrid w:val="0"/>
          <w:szCs w:val="24"/>
        </w:rPr>
        <w:t>团为塔里木河流域兵团级水土流失</w:t>
      </w:r>
      <w:r>
        <w:rPr>
          <w:rFonts w:cs="Times New Roman"/>
          <w:snapToGrid w:val="0"/>
          <w:szCs w:val="24"/>
        </w:rPr>
        <w:t>重点</w:t>
      </w:r>
      <w:r>
        <w:rPr>
          <w:rFonts w:cs="Times New Roman"/>
          <w:snapToGrid w:val="0"/>
          <w:szCs w:val="24"/>
        </w:rPr>
        <w:t>治理</w:t>
      </w:r>
      <w:r>
        <w:rPr>
          <w:rFonts w:cs="Times New Roman"/>
          <w:snapToGrid w:val="0"/>
          <w:szCs w:val="24"/>
        </w:rPr>
        <w:t>区。</w:t>
      </w:r>
      <w:r>
        <w:rPr>
          <w:rFonts w:cs="Times New Roman"/>
          <w:snapToGrid w:val="0"/>
          <w:szCs w:val="24"/>
        </w:rPr>
        <w:t>本项目采用桥梁的方式无害化跨越。项目施工不在渠道内取水，生产、生活废水经妥善处理不会排入该水体；工程弃渣集中运至弃土场，不会进入水体。</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2</w:t>
      </w:r>
      <w:r>
        <w:rPr>
          <w:rFonts w:cs="Times New Roman"/>
          <w:snapToGrid w:val="0"/>
          <w:szCs w:val="24"/>
        </w:rPr>
        <w:t>）</w:t>
      </w:r>
      <w:r>
        <w:rPr>
          <w:rFonts w:cs="Times New Roman"/>
          <w:snapToGrid w:val="0"/>
          <w:szCs w:val="24"/>
        </w:rPr>
        <w:t>柯坪县</w:t>
      </w:r>
      <w:r>
        <w:rPr>
          <w:rFonts w:cs="Times New Roman"/>
          <w:snapToGrid w:val="0"/>
          <w:szCs w:val="24"/>
        </w:rPr>
        <w:t>水土流失现状</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w:t>
      </w:r>
      <w:r>
        <w:rPr>
          <w:rFonts w:cs="Times New Roman"/>
          <w:snapToGrid w:val="0"/>
          <w:szCs w:val="24"/>
        </w:rPr>
        <w:t>K52+050~K107+177</w:t>
      </w:r>
      <w:r>
        <w:rPr>
          <w:rFonts w:cs="Times New Roman"/>
          <w:snapToGrid w:val="0"/>
          <w:szCs w:val="24"/>
        </w:rPr>
        <w:t>段位于柯坪县，</w:t>
      </w:r>
      <w:r>
        <w:rPr>
          <w:rFonts w:cs="Times New Roman"/>
          <w:snapToGrid w:val="0"/>
          <w:szCs w:val="24"/>
        </w:rPr>
        <w:t>根据新疆</w:t>
      </w:r>
      <w:r>
        <w:rPr>
          <w:rFonts w:cs="Times New Roman"/>
          <w:snapToGrid w:val="0"/>
          <w:szCs w:val="24"/>
        </w:rPr>
        <w:t>2023</w:t>
      </w:r>
      <w:r>
        <w:rPr>
          <w:rFonts w:cs="Times New Roman"/>
          <w:snapToGrid w:val="0"/>
          <w:szCs w:val="24"/>
        </w:rPr>
        <w:t>年水土流失动态监测成果，</w:t>
      </w:r>
      <w:r>
        <w:rPr>
          <w:rFonts w:cs="Times New Roman"/>
          <w:snapToGrid w:val="0"/>
          <w:szCs w:val="24"/>
        </w:rPr>
        <w:t>2023</w:t>
      </w:r>
      <w:r>
        <w:rPr>
          <w:rFonts w:cs="Times New Roman"/>
          <w:snapToGrid w:val="0"/>
          <w:szCs w:val="24"/>
        </w:rPr>
        <w:t>年</w:t>
      </w:r>
      <w:r>
        <w:rPr>
          <w:rFonts w:cs="Times New Roman"/>
          <w:snapToGrid w:val="0"/>
          <w:szCs w:val="24"/>
        </w:rPr>
        <w:t>柯坪县</w:t>
      </w:r>
      <w:r>
        <w:rPr>
          <w:rFonts w:cs="Times New Roman"/>
          <w:snapToGrid w:val="0"/>
          <w:szCs w:val="24"/>
        </w:rPr>
        <w:t>土壤侵蚀类型</w:t>
      </w:r>
      <w:r>
        <w:rPr>
          <w:rFonts w:cs="Times New Roman"/>
          <w:snapToGrid w:val="0"/>
          <w:szCs w:val="24"/>
        </w:rPr>
        <w:t>主要</w:t>
      </w:r>
      <w:r>
        <w:rPr>
          <w:rFonts w:cs="Times New Roman"/>
          <w:snapToGrid w:val="0"/>
          <w:szCs w:val="24"/>
        </w:rPr>
        <w:t>为风力侵蚀，轻度以上风力侵蚀总面积</w:t>
      </w:r>
      <w:r>
        <w:rPr>
          <w:rFonts w:cs="Times New Roman"/>
          <w:snapToGrid w:val="0"/>
          <w:szCs w:val="24"/>
        </w:rPr>
        <w:t>3074.36</w:t>
      </w:r>
      <w:r>
        <w:rPr>
          <w:rFonts w:cs="Times New Roman"/>
          <w:snapToGrid w:val="0"/>
          <w:szCs w:val="24"/>
        </w:rPr>
        <w:t>km²</w:t>
      </w:r>
      <w:r>
        <w:rPr>
          <w:rFonts w:cs="Times New Roman"/>
          <w:snapToGrid w:val="0"/>
          <w:szCs w:val="24"/>
        </w:rPr>
        <w:t>，占全市土地总面积的</w:t>
      </w:r>
      <w:r>
        <w:rPr>
          <w:rFonts w:cs="Times New Roman"/>
          <w:snapToGrid w:val="0"/>
          <w:szCs w:val="24"/>
        </w:rPr>
        <w:t>69.00</w:t>
      </w:r>
      <w:r>
        <w:rPr>
          <w:rFonts w:cs="Times New Roman"/>
          <w:snapToGrid w:val="0"/>
          <w:szCs w:val="24"/>
        </w:rPr>
        <w:t>%</w:t>
      </w:r>
      <w:r>
        <w:rPr>
          <w:rFonts w:cs="Times New Roman"/>
          <w:snapToGrid w:val="0"/>
          <w:szCs w:val="24"/>
        </w:rPr>
        <w:t>；</w:t>
      </w:r>
      <w:r>
        <w:rPr>
          <w:rFonts w:cs="Times New Roman"/>
          <w:snapToGrid w:val="0"/>
          <w:szCs w:val="24"/>
        </w:rPr>
        <w:t>其中水力侵蚀面积</w:t>
      </w:r>
      <w:r>
        <w:rPr>
          <w:rFonts w:cs="Times New Roman"/>
          <w:snapToGrid w:val="0"/>
          <w:szCs w:val="24"/>
        </w:rPr>
        <w:t>1381.43</w:t>
      </w:r>
      <w:r>
        <w:rPr>
          <w:rFonts w:cs="Times New Roman"/>
          <w:snapToGrid w:val="0"/>
          <w:szCs w:val="24"/>
        </w:rPr>
        <w:t>km²</w:t>
      </w:r>
      <w:r>
        <w:rPr>
          <w:rFonts w:cs="Times New Roman"/>
          <w:snapToGrid w:val="0"/>
          <w:szCs w:val="24"/>
        </w:rPr>
        <w:t>，</w:t>
      </w:r>
      <w:r>
        <w:rPr>
          <w:rFonts w:cs="Times New Roman"/>
          <w:snapToGrid w:val="0"/>
          <w:szCs w:val="24"/>
        </w:rPr>
        <w:t>占水土面积的</w:t>
      </w:r>
      <w:r>
        <w:rPr>
          <w:rFonts w:cs="Times New Roman"/>
          <w:snapToGrid w:val="0"/>
          <w:szCs w:val="24"/>
        </w:rPr>
        <w:t>31.00%</w:t>
      </w:r>
      <w:r>
        <w:rPr>
          <w:rFonts w:cs="Times New Roman"/>
          <w:snapToGrid w:val="0"/>
          <w:szCs w:val="24"/>
        </w:rPr>
        <w:t>。柯坪县</w:t>
      </w:r>
      <w:r>
        <w:rPr>
          <w:rFonts w:cs="Times New Roman"/>
          <w:snapToGrid w:val="0"/>
          <w:szCs w:val="24"/>
        </w:rPr>
        <w:t>202</w:t>
      </w:r>
      <w:r>
        <w:rPr>
          <w:rFonts w:cs="Times New Roman"/>
          <w:snapToGrid w:val="0"/>
          <w:szCs w:val="24"/>
        </w:rPr>
        <w:t>3</w:t>
      </w:r>
      <w:r>
        <w:rPr>
          <w:rFonts w:cs="Times New Roman"/>
          <w:snapToGrid w:val="0"/>
          <w:szCs w:val="24"/>
        </w:rPr>
        <w:t>年水土流失面积比</w:t>
      </w:r>
      <w:r>
        <w:rPr>
          <w:rFonts w:cs="Times New Roman"/>
          <w:snapToGrid w:val="0"/>
          <w:szCs w:val="24"/>
        </w:rPr>
        <w:t>202</w:t>
      </w:r>
      <w:r>
        <w:rPr>
          <w:rFonts w:cs="Times New Roman"/>
          <w:snapToGrid w:val="0"/>
          <w:szCs w:val="24"/>
        </w:rPr>
        <w:t>2</w:t>
      </w:r>
      <w:r>
        <w:rPr>
          <w:rFonts w:cs="Times New Roman"/>
          <w:snapToGrid w:val="0"/>
          <w:szCs w:val="24"/>
        </w:rPr>
        <w:t>年减少了</w:t>
      </w:r>
      <w:r>
        <w:rPr>
          <w:rFonts w:cs="Times New Roman"/>
          <w:snapToGrid w:val="0"/>
          <w:szCs w:val="24"/>
        </w:rPr>
        <w:t>18.14</w:t>
      </w:r>
      <w:r>
        <w:rPr>
          <w:rFonts w:cs="Times New Roman"/>
          <w:snapToGrid w:val="0"/>
          <w:szCs w:val="24"/>
        </w:rPr>
        <w:t>km²</w:t>
      </w:r>
      <w:r>
        <w:rPr>
          <w:rFonts w:cs="Times New Roman"/>
          <w:snapToGrid w:val="0"/>
          <w:szCs w:val="24"/>
        </w:rPr>
        <w:t>。</w:t>
      </w:r>
      <w:r>
        <w:rPr>
          <w:rFonts w:cs="Times New Roman"/>
          <w:snapToGrid w:val="0"/>
          <w:szCs w:val="24"/>
        </w:rPr>
        <w:t>2023</w:t>
      </w:r>
      <w:r>
        <w:rPr>
          <w:rFonts w:cs="Times New Roman"/>
          <w:snapToGrid w:val="0"/>
          <w:szCs w:val="24"/>
        </w:rPr>
        <w:t>年土壤侵蚀分类分级面积见表</w:t>
      </w:r>
      <w:r>
        <w:rPr>
          <w:rFonts w:cs="Times New Roman" w:hint="eastAsia"/>
          <w:snapToGrid w:val="0"/>
          <w:szCs w:val="24"/>
        </w:rPr>
        <w:t>6</w:t>
      </w:r>
      <w:r>
        <w:rPr>
          <w:rFonts w:cs="Times New Roman"/>
          <w:snapToGrid w:val="0"/>
          <w:szCs w:val="24"/>
        </w:rPr>
        <w:t>.2-</w:t>
      </w:r>
      <w:r>
        <w:rPr>
          <w:rFonts w:cs="Times New Roman"/>
          <w:snapToGrid w:val="0"/>
          <w:szCs w:val="24"/>
        </w:rPr>
        <w:t>2</w:t>
      </w:r>
      <w:r>
        <w:rPr>
          <w:rFonts w:cs="Times New Roman" w:hint="eastAsia"/>
          <w:snapToGrid w:val="0"/>
          <w:szCs w:val="24"/>
        </w:rPr>
        <w:t>1</w:t>
      </w:r>
      <w:r>
        <w:rPr>
          <w:rFonts w:cs="Times New Roman"/>
          <w:snapToGrid w:val="0"/>
          <w:szCs w:val="24"/>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hint="default"/>
          <w:sz w:val="24"/>
          <w:szCs w:val="24"/>
        </w:rPr>
        <w:t>2</w:t>
      </w:r>
      <w:r>
        <w:rPr>
          <w:rFonts w:ascii="Times New Roman" w:hAnsi="Times New Roman" w:cs="Times New Roman"/>
          <w:sz w:val="24"/>
          <w:szCs w:val="24"/>
        </w:rPr>
        <w:t>1</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2023</w:t>
      </w:r>
      <w:r>
        <w:rPr>
          <w:rFonts w:ascii="Times New Roman" w:hAnsi="Times New Roman" w:cs="Times New Roman" w:hint="default"/>
          <w:sz w:val="24"/>
          <w:szCs w:val="24"/>
        </w:rPr>
        <w:t>年</w:t>
      </w:r>
      <w:r>
        <w:rPr>
          <w:rFonts w:ascii="Times New Roman" w:hAnsi="Times New Roman" w:cs="Times New Roman" w:hint="default"/>
          <w:sz w:val="24"/>
          <w:szCs w:val="24"/>
        </w:rPr>
        <w:t>柯坪县</w:t>
      </w:r>
      <w:r>
        <w:rPr>
          <w:rFonts w:ascii="Times New Roman" w:hAnsi="Times New Roman" w:cs="Times New Roman" w:hint="default"/>
          <w:sz w:val="24"/>
          <w:szCs w:val="24"/>
        </w:rPr>
        <w:t>土壤侵蚀分类分级面积表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1032"/>
        <w:gridCol w:w="1032"/>
        <w:gridCol w:w="1032"/>
        <w:gridCol w:w="1230"/>
        <w:gridCol w:w="1138"/>
        <w:gridCol w:w="979"/>
      </w:tblGrid>
      <w:tr w:rsidR="00A46452">
        <w:trPr>
          <w:trHeight w:val="225"/>
        </w:trPr>
        <w:tc>
          <w:tcPr>
            <w:tcW w:w="5000" w:type="pct"/>
            <w:gridSpan w:val="7"/>
            <w:tcBorders>
              <w:top w:val="single" w:sz="12" w:space="0" w:color="auto"/>
              <w:left w:val="single" w:sz="12" w:space="0" w:color="auto"/>
              <w:bottom w:val="single" w:sz="6" w:space="0" w:color="auto"/>
              <w:right w:val="single" w:sz="12" w:space="0" w:color="auto"/>
              <w:tl2br w:val="nil"/>
              <w:tr2bl w:val="nil"/>
            </w:tcBorders>
            <w:noWrap/>
            <w:vAlign w:val="bottom"/>
          </w:tcPr>
          <w:p w:rsidR="00A46452" w:rsidRDefault="009A3928">
            <w:pPr>
              <w:wordWrap w:val="0"/>
              <w:topLinePunct/>
              <w:adjustRightInd w:val="0"/>
              <w:snapToGrid w:val="0"/>
              <w:spacing w:line="320" w:lineRule="exact"/>
              <w:ind w:firstLineChars="0" w:firstLine="0"/>
              <w:jc w:val="left"/>
              <w:rPr>
                <w:rFonts w:cs="Times New Roman"/>
                <w:kern w:val="0"/>
                <w:sz w:val="18"/>
                <w:szCs w:val="18"/>
              </w:rPr>
            </w:pPr>
            <w:r>
              <w:rPr>
                <w:rFonts w:cs="Times New Roman"/>
                <w:kern w:val="0"/>
                <w:sz w:val="18"/>
                <w:szCs w:val="18"/>
              </w:rPr>
              <w:t>柯坪县</w:t>
            </w:r>
            <w:r>
              <w:rPr>
                <w:rFonts w:cs="Times New Roman"/>
                <w:kern w:val="0"/>
                <w:sz w:val="18"/>
                <w:szCs w:val="18"/>
              </w:rPr>
              <w:t xml:space="preserve">                                                                        </w:t>
            </w:r>
            <w:r>
              <w:rPr>
                <w:rFonts w:cs="Times New Roman"/>
                <w:kern w:val="0"/>
                <w:sz w:val="18"/>
                <w:szCs w:val="18"/>
              </w:rPr>
              <w:t>单位：</w:t>
            </w:r>
            <w:r>
              <w:rPr>
                <w:rFonts w:cs="Times New Roman"/>
                <w:kern w:val="0"/>
                <w:sz w:val="18"/>
                <w:szCs w:val="18"/>
              </w:rPr>
              <w:t>km²</w:t>
            </w:r>
          </w:p>
        </w:tc>
      </w:tr>
      <w:tr w:rsidR="00A46452">
        <w:trPr>
          <w:trHeight w:val="240"/>
        </w:trPr>
        <w:tc>
          <w:tcPr>
            <w:tcW w:w="1217" w:type="pct"/>
            <w:tcBorders>
              <w:top w:val="single" w:sz="6" w:space="0" w:color="auto"/>
              <w:left w:val="single" w:sz="12" w:space="0" w:color="auto"/>
              <w:bottom w:val="single" w:sz="4"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侵蚀类型</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轻度侵蚀</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中度侵蚀</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强烈侵蚀</w:t>
            </w:r>
          </w:p>
        </w:tc>
        <w:tc>
          <w:tcPr>
            <w:tcW w:w="72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极强烈侵蚀</w:t>
            </w:r>
          </w:p>
        </w:tc>
        <w:tc>
          <w:tcPr>
            <w:tcW w:w="664"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 xml:space="preserve"> </w:t>
            </w:r>
            <w:r>
              <w:rPr>
                <w:rFonts w:cs="Times New Roman"/>
                <w:kern w:val="0"/>
                <w:sz w:val="18"/>
                <w:szCs w:val="18"/>
              </w:rPr>
              <w:t>剧烈侵蚀</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合计</w:t>
            </w:r>
          </w:p>
        </w:tc>
      </w:tr>
      <w:tr w:rsidR="00A46452">
        <w:trPr>
          <w:trHeight w:val="240"/>
        </w:trPr>
        <w:tc>
          <w:tcPr>
            <w:tcW w:w="1217" w:type="pct"/>
            <w:tcBorders>
              <w:top w:val="single" w:sz="4" w:space="0" w:color="auto"/>
              <w:left w:val="single" w:sz="12" w:space="0" w:color="auto"/>
              <w:bottom w:val="single" w:sz="4"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水力侵蚀</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653.75</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382.25</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211.99</w:t>
            </w:r>
          </w:p>
        </w:tc>
        <w:tc>
          <w:tcPr>
            <w:tcW w:w="72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131.98</w:t>
            </w:r>
          </w:p>
        </w:tc>
        <w:tc>
          <w:tcPr>
            <w:tcW w:w="664"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1.36</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1381.43</w:t>
            </w:r>
          </w:p>
        </w:tc>
      </w:tr>
      <w:tr w:rsidR="00A46452">
        <w:trPr>
          <w:trHeight w:val="240"/>
        </w:trPr>
        <w:tc>
          <w:tcPr>
            <w:tcW w:w="1217" w:type="pct"/>
            <w:tcBorders>
              <w:top w:val="single" w:sz="4"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风力侵蚀</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3074.36</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r>
              <w:rPr>
                <w:rFonts w:cs="Times New Roman"/>
                <w:kern w:val="0"/>
                <w:sz w:val="18"/>
                <w:szCs w:val="18"/>
              </w:rPr>
              <w:t>.61</w:t>
            </w:r>
          </w:p>
        </w:tc>
        <w:tc>
          <w:tcPr>
            <w:tcW w:w="60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r>
              <w:rPr>
                <w:rFonts w:cs="Times New Roman"/>
                <w:kern w:val="0"/>
                <w:sz w:val="18"/>
                <w:szCs w:val="18"/>
              </w:rPr>
              <w:t>.10</w:t>
            </w:r>
          </w:p>
        </w:tc>
        <w:tc>
          <w:tcPr>
            <w:tcW w:w="72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664"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3075.07</w:t>
            </w:r>
          </w:p>
        </w:tc>
      </w:tr>
      <w:tr w:rsidR="00A46452">
        <w:trPr>
          <w:trHeight w:val="240"/>
        </w:trPr>
        <w:tc>
          <w:tcPr>
            <w:tcW w:w="4425" w:type="pct"/>
            <w:gridSpan w:val="6"/>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合计</w:t>
            </w:r>
          </w:p>
        </w:tc>
        <w:tc>
          <w:tcPr>
            <w:tcW w:w="574" w:type="pct"/>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4456.50</w:t>
            </w:r>
          </w:p>
        </w:tc>
      </w:tr>
    </w:tbl>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3</w:t>
      </w:r>
      <w:r>
        <w:rPr>
          <w:rFonts w:cs="Times New Roman"/>
          <w:snapToGrid w:val="0"/>
          <w:szCs w:val="24"/>
        </w:rPr>
        <w:t>）</w:t>
      </w:r>
      <w:r>
        <w:rPr>
          <w:rFonts w:cs="Times New Roman"/>
          <w:snapToGrid w:val="0"/>
          <w:szCs w:val="24"/>
        </w:rPr>
        <w:t>图木舒克市</w:t>
      </w:r>
      <w:r>
        <w:rPr>
          <w:rFonts w:cs="Times New Roman"/>
          <w:snapToGrid w:val="0"/>
          <w:szCs w:val="24"/>
        </w:rPr>
        <w:t>水土流失现状</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rPr>
        <w:t>K0+000~K31+710</w:t>
      </w:r>
      <w:r>
        <w:rPr>
          <w:rFonts w:cs="Times New Roman"/>
          <w:snapToGrid w:val="0"/>
          <w:szCs w:val="24"/>
        </w:rPr>
        <w:t>在第三师图木舒克境内，</w:t>
      </w:r>
      <w:r>
        <w:rPr>
          <w:rFonts w:cs="Times New Roman"/>
          <w:snapToGrid w:val="0"/>
          <w:szCs w:val="24"/>
        </w:rPr>
        <w:t>2023</w:t>
      </w:r>
      <w:r>
        <w:rPr>
          <w:rFonts w:cs="Times New Roman"/>
          <w:snapToGrid w:val="0"/>
          <w:szCs w:val="24"/>
        </w:rPr>
        <w:t>年</w:t>
      </w:r>
      <w:r>
        <w:rPr>
          <w:rFonts w:cs="Times New Roman"/>
          <w:snapToGrid w:val="0"/>
          <w:szCs w:val="24"/>
        </w:rPr>
        <w:t>图木舒克市</w:t>
      </w:r>
      <w:r>
        <w:rPr>
          <w:rFonts w:cs="Times New Roman"/>
          <w:snapToGrid w:val="0"/>
          <w:szCs w:val="24"/>
        </w:rPr>
        <w:t>土壤侵蚀类型</w:t>
      </w:r>
      <w:r>
        <w:rPr>
          <w:rFonts w:cs="Times New Roman"/>
          <w:snapToGrid w:val="0"/>
          <w:szCs w:val="24"/>
        </w:rPr>
        <w:t>主要</w:t>
      </w:r>
      <w:r>
        <w:rPr>
          <w:rFonts w:cs="Times New Roman"/>
          <w:snapToGrid w:val="0"/>
          <w:szCs w:val="24"/>
        </w:rPr>
        <w:t>为风力侵蚀，轻度以上风力侵蚀总面积</w:t>
      </w:r>
      <w:r>
        <w:rPr>
          <w:rFonts w:cs="Times New Roman"/>
          <w:snapToGrid w:val="0"/>
          <w:szCs w:val="24"/>
        </w:rPr>
        <w:t>252.07</w:t>
      </w:r>
      <w:r>
        <w:rPr>
          <w:rFonts w:cs="Times New Roman"/>
          <w:snapToGrid w:val="0"/>
          <w:szCs w:val="24"/>
        </w:rPr>
        <w:t>km²</w:t>
      </w:r>
      <w:r>
        <w:rPr>
          <w:rFonts w:cs="Times New Roman"/>
          <w:snapToGrid w:val="0"/>
          <w:szCs w:val="24"/>
        </w:rPr>
        <w:t>，占全县土地总面积的</w:t>
      </w:r>
      <w:r>
        <w:rPr>
          <w:rFonts w:cs="Times New Roman"/>
          <w:snapToGrid w:val="0"/>
          <w:szCs w:val="24"/>
        </w:rPr>
        <w:t>97.27</w:t>
      </w:r>
      <w:r>
        <w:rPr>
          <w:rFonts w:cs="Times New Roman"/>
          <w:snapToGrid w:val="0"/>
          <w:szCs w:val="24"/>
        </w:rPr>
        <w:t>%</w:t>
      </w:r>
      <w:r>
        <w:rPr>
          <w:rFonts w:cs="Times New Roman"/>
          <w:snapToGrid w:val="0"/>
          <w:szCs w:val="24"/>
        </w:rPr>
        <w:t>。</w:t>
      </w:r>
      <w:r>
        <w:rPr>
          <w:rFonts w:cs="Times New Roman"/>
          <w:snapToGrid w:val="0"/>
          <w:szCs w:val="24"/>
        </w:rPr>
        <w:t>图木舒克市</w:t>
      </w:r>
      <w:r>
        <w:rPr>
          <w:rFonts w:cs="Times New Roman"/>
          <w:snapToGrid w:val="0"/>
          <w:szCs w:val="24"/>
        </w:rPr>
        <w:t>2023</w:t>
      </w:r>
      <w:r>
        <w:rPr>
          <w:rFonts w:cs="Times New Roman"/>
          <w:snapToGrid w:val="0"/>
          <w:szCs w:val="24"/>
        </w:rPr>
        <w:t>年水土流失面积比</w:t>
      </w:r>
      <w:r>
        <w:rPr>
          <w:rFonts w:cs="Times New Roman"/>
          <w:snapToGrid w:val="0"/>
          <w:szCs w:val="24"/>
          <w:lang w:val="zh-CN"/>
        </w:rPr>
        <w:t>2022</w:t>
      </w:r>
      <w:r>
        <w:rPr>
          <w:rFonts w:cs="Times New Roman"/>
          <w:snapToGrid w:val="0"/>
          <w:szCs w:val="24"/>
          <w:lang w:val="zh-CN"/>
        </w:rPr>
        <w:t>年减少了</w:t>
      </w:r>
      <w:r>
        <w:rPr>
          <w:rFonts w:cs="Times New Roman"/>
          <w:snapToGrid w:val="0"/>
          <w:szCs w:val="24"/>
          <w:lang w:val="zh-CN"/>
        </w:rPr>
        <w:t>1.</w:t>
      </w:r>
      <w:r>
        <w:rPr>
          <w:rFonts w:cs="Times New Roman"/>
          <w:snapToGrid w:val="0"/>
          <w:szCs w:val="24"/>
        </w:rPr>
        <w:t>70</w:t>
      </w:r>
      <w:r>
        <w:rPr>
          <w:rFonts w:cs="Times New Roman"/>
          <w:snapToGrid w:val="0"/>
          <w:szCs w:val="24"/>
          <w:lang w:val="zh-CN"/>
        </w:rPr>
        <w:t>km²</w:t>
      </w:r>
      <w:r>
        <w:rPr>
          <w:rFonts w:cs="Times New Roman"/>
          <w:snapToGrid w:val="0"/>
          <w:szCs w:val="24"/>
          <w:lang w:val="zh-CN"/>
        </w:rPr>
        <w:t>。</w:t>
      </w:r>
      <w:r>
        <w:rPr>
          <w:rFonts w:cs="Times New Roman"/>
          <w:snapToGrid w:val="0"/>
          <w:szCs w:val="24"/>
          <w:lang w:val="zh-CN"/>
        </w:rPr>
        <w:t>2023</w:t>
      </w:r>
      <w:r>
        <w:rPr>
          <w:rFonts w:cs="Times New Roman"/>
          <w:snapToGrid w:val="0"/>
          <w:szCs w:val="24"/>
          <w:lang w:val="zh-CN"/>
        </w:rPr>
        <w:t>年</w:t>
      </w:r>
      <w:r>
        <w:rPr>
          <w:rFonts w:cs="Times New Roman"/>
          <w:snapToGrid w:val="0"/>
          <w:szCs w:val="24"/>
        </w:rPr>
        <w:t>图木舒克市</w:t>
      </w:r>
      <w:r>
        <w:rPr>
          <w:rFonts w:cs="Times New Roman"/>
          <w:snapToGrid w:val="0"/>
          <w:szCs w:val="24"/>
          <w:lang w:val="zh-CN"/>
        </w:rPr>
        <w:t>土壤侵蚀分类分级面积见表</w:t>
      </w:r>
      <w:r>
        <w:rPr>
          <w:rFonts w:cs="Times New Roman" w:hint="eastAsia"/>
          <w:snapToGrid w:val="0"/>
          <w:szCs w:val="24"/>
        </w:rPr>
        <w:t>6</w:t>
      </w:r>
      <w:r>
        <w:rPr>
          <w:rFonts w:cs="Times New Roman"/>
          <w:snapToGrid w:val="0"/>
          <w:szCs w:val="24"/>
          <w:lang w:val="zh-CN"/>
        </w:rPr>
        <w:t>.2-</w:t>
      </w:r>
      <w:r>
        <w:rPr>
          <w:rFonts w:cs="Times New Roman"/>
          <w:snapToGrid w:val="0"/>
          <w:szCs w:val="24"/>
        </w:rPr>
        <w:t>2</w:t>
      </w:r>
      <w:r>
        <w:rPr>
          <w:rFonts w:cs="Times New Roman" w:hint="eastAsia"/>
          <w:snapToGrid w:val="0"/>
          <w:szCs w:val="24"/>
        </w:rPr>
        <w:t>2</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.2-</w:t>
      </w:r>
      <w:r>
        <w:rPr>
          <w:rFonts w:ascii="Times New Roman" w:hAnsi="Times New Roman" w:cs="Times New Roman"/>
          <w:sz w:val="24"/>
          <w:szCs w:val="24"/>
        </w:rPr>
        <w:t>22</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2023</w:t>
      </w:r>
      <w:r>
        <w:rPr>
          <w:rFonts w:ascii="Times New Roman" w:hAnsi="Times New Roman" w:cs="Times New Roman" w:hint="default"/>
          <w:sz w:val="24"/>
          <w:szCs w:val="24"/>
        </w:rPr>
        <w:t>年</w:t>
      </w:r>
      <w:r>
        <w:rPr>
          <w:rFonts w:ascii="Times New Roman" w:hAnsi="Times New Roman" w:cs="Times New Roman" w:hint="default"/>
          <w:sz w:val="24"/>
          <w:szCs w:val="24"/>
        </w:rPr>
        <w:t>图木舒克市</w:t>
      </w:r>
      <w:r>
        <w:rPr>
          <w:rFonts w:ascii="Times New Roman" w:hAnsi="Times New Roman" w:cs="Times New Roman" w:hint="default"/>
          <w:sz w:val="24"/>
          <w:szCs w:val="24"/>
        </w:rPr>
        <w:t>土壤侵蚀分类分级面积表</w:t>
      </w:r>
    </w:p>
    <w:tbl>
      <w:tblPr>
        <w:tblW w:w="5000" w:type="pct"/>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1034"/>
        <w:gridCol w:w="1034"/>
        <w:gridCol w:w="1034"/>
        <w:gridCol w:w="1231"/>
        <w:gridCol w:w="1132"/>
        <w:gridCol w:w="978"/>
      </w:tblGrid>
      <w:tr w:rsidR="00A46452">
        <w:trPr>
          <w:trHeight w:val="225"/>
        </w:trPr>
        <w:tc>
          <w:tcPr>
            <w:tcW w:w="5000" w:type="pct"/>
            <w:gridSpan w:val="7"/>
            <w:tcBorders>
              <w:top w:val="single" w:sz="12" w:space="0" w:color="auto"/>
              <w:left w:val="single" w:sz="12" w:space="0" w:color="auto"/>
              <w:bottom w:val="single" w:sz="6" w:space="0" w:color="auto"/>
              <w:right w:val="single" w:sz="12" w:space="0" w:color="auto"/>
              <w:tl2br w:val="nil"/>
              <w:tr2bl w:val="nil"/>
            </w:tcBorders>
            <w:noWrap/>
            <w:vAlign w:val="bottom"/>
          </w:tcPr>
          <w:p w:rsidR="00A46452" w:rsidRDefault="009A3928">
            <w:pPr>
              <w:wordWrap w:val="0"/>
              <w:topLinePunct/>
              <w:adjustRightInd w:val="0"/>
              <w:snapToGrid w:val="0"/>
              <w:spacing w:line="320" w:lineRule="exact"/>
              <w:ind w:firstLineChars="0" w:firstLine="0"/>
              <w:jc w:val="left"/>
              <w:rPr>
                <w:rFonts w:cs="Times New Roman"/>
                <w:kern w:val="0"/>
                <w:sz w:val="18"/>
                <w:szCs w:val="18"/>
              </w:rPr>
            </w:pPr>
            <w:r>
              <w:rPr>
                <w:rFonts w:cs="Times New Roman"/>
                <w:kern w:val="0"/>
                <w:sz w:val="18"/>
                <w:szCs w:val="18"/>
              </w:rPr>
              <w:t>图木舒克</w:t>
            </w:r>
            <w:r>
              <w:rPr>
                <w:rFonts w:cs="Times New Roman"/>
                <w:kern w:val="0"/>
                <w:sz w:val="18"/>
                <w:szCs w:val="18"/>
              </w:rPr>
              <w:t xml:space="preserve">                                                                        </w:t>
            </w:r>
            <w:r>
              <w:rPr>
                <w:rFonts w:cs="Times New Roman"/>
                <w:kern w:val="0"/>
                <w:sz w:val="18"/>
                <w:szCs w:val="18"/>
              </w:rPr>
              <w:t>单位：</w:t>
            </w:r>
            <w:r>
              <w:rPr>
                <w:rFonts w:cs="Times New Roman"/>
                <w:kern w:val="0"/>
                <w:sz w:val="18"/>
                <w:szCs w:val="18"/>
              </w:rPr>
              <w:t>km²</w:t>
            </w:r>
          </w:p>
        </w:tc>
      </w:tr>
      <w:tr w:rsidR="00A46452">
        <w:trPr>
          <w:trHeight w:val="240"/>
        </w:trPr>
        <w:tc>
          <w:tcPr>
            <w:tcW w:w="1217" w:type="pct"/>
            <w:tcBorders>
              <w:top w:val="single" w:sz="6" w:space="0" w:color="auto"/>
              <w:left w:val="single" w:sz="12" w:space="0" w:color="auto"/>
              <w:bottom w:val="single" w:sz="4"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侵蚀类型</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轻度侵蚀</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中度侵蚀</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强烈侵蚀</w:t>
            </w:r>
          </w:p>
        </w:tc>
        <w:tc>
          <w:tcPr>
            <w:tcW w:w="72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极强烈侵蚀</w:t>
            </w:r>
          </w:p>
        </w:tc>
        <w:tc>
          <w:tcPr>
            <w:tcW w:w="66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 xml:space="preserve"> </w:t>
            </w:r>
            <w:r>
              <w:rPr>
                <w:rFonts w:cs="Times New Roman"/>
                <w:kern w:val="0"/>
                <w:sz w:val="18"/>
                <w:szCs w:val="18"/>
              </w:rPr>
              <w:t>剧烈侵蚀</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合计</w:t>
            </w:r>
          </w:p>
        </w:tc>
      </w:tr>
      <w:tr w:rsidR="00A46452">
        <w:trPr>
          <w:trHeight w:val="245"/>
        </w:trPr>
        <w:tc>
          <w:tcPr>
            <w:tcW w:w="1217" w:type="pct"/>
            <w:tcBorders>
              <w:top w:val="single" w:sz="4" w:space="0" w:color="auto"/>
              <w:left w:val="single" w:sz="12" w:space="0" w:color="auto"/>
              <w:bottom w:val="single" w:sz="4"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水力侵蚀</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6.59</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0.48</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72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66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7.07</w:t>
            </w:r>
          </w:p>
        </w:tc>
      </w:tr>
      <w:tr w:rsidR="00A46452">
        <w:trPr>
          <w:trHeight w:val="240"/>
        </w:trPr>
        <w:tc>
          <w:tcPr>
            <w:tcW w:w="1217" w:type="pct"/>
            <w:tcBorders>
              <w:top w:val="single" w:sz="4"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风力侵蚀</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252.07</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1.0</w:t>
            </w:r>
            <w:r>
              <w:rPr>
                <w:rFonts w:cs="Times New Roman"/>
                <w:kern w:val="0"/>
                <w:sz w:val="18"/>
                <w:szCs w:val="18"/>
              </w:rPr>
              <w:t>0</w:t>
            </w:r>
          </w:p>
        </w:tc>
        <w:tc>
          <w:tcPr>
            <w:tcW w:w="60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72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66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574"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252.07</w:t>
            </w:r>
          </w:p>
        </w:tc>
      </w:tr>
      <w:tr w:rsidR="00A46452">
        <w:trPr>
          <w:trHeight w:val="240"/>
        </w:trPr>
        <w:tc>
          <w:tcPr>
            <w:tcW w:w="4426" w:type="pct"/>
            <w:gridSpan w:val="6"/>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合计</w:t>
            </w:r>
          </w:p>
        </w:tc>
        <w:tc>
          <w:tcPr>
            <w:tcW w:w="574" w:type="pct"/>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259.14</w:t>
            </w:r>
          </w:p>
        </w:tc>
      </w:tr>
    </w:tbl>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本项目土壤侵蚀模数背景值</w:t>
      </w:r>
      <w:r>
        <w:rPr>
          <w:rFonts w:cs="Times New Roman"/>
          <w:snapToGrid w:val="0"/>
          <w:szCs w:val="24"/>
        </w:rPr>
        <w:t>1500t/km²·a</w:t>
      </w:r>
      <w:r>
        <w:rPr>
          <w:rFonts w:cs="Times New Roman"/>
          <w:snapToGrid w:val="0"/>
          <w:szCs w:val="24"/>
        </w:rPr>
        <w:t>左右，根据《土壤侵蚀分类分级标准》（</w:t>
      </w:r>
      <w:r>
        <w:rPr>
          <w:rFonts w:cs="Times New Roman"/>
          <w:snapToGrid w:val="0"/>
          <w:szCs w:val="24"/>
        </w:rPr>
        <w:t>SL190-2007</w:t>
      </w:r>
      <w:r>
        <w:rPr>
          <w:rFonts w:cs="Times New Roman"/>
          <w:snapToGrid w:val="0"/>
          <w:szCs w:val="24"/>
        </w:rPr>
        <w:t>）的规定，本项目土壤流失容许值为</w:t>
      </w:r>
      <w:r>
        <w:rPr>
          <w:rFonts w:cs="Times New Roman"/>
          <w:snapToGrid w:val="0"/>
          <w:szCs w:val="24"/>
        </w:rPr>
        <w:t>1500t/km²·a</w:t>
      </w:r>
      <w:r>
        <w:rPr>
          <w:rFonts w:cs="Times New Roman"/>
          <w:snapToGrid w:val="0"/>
          <w:szCs w:val="24"/>
        </w:rPr>
        <w:t>。土壤侵蚀图见图</w:t>
      </w:r>
      <w:r>
        <w:rPr>
          <w:rFonts w:cs="Times New Roman"/>
          <w:snapToGrid w:val="0"/>
          <w:szCs w:val="24"/>
        </w:rPr>
        <w:t>4.2-6</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4</w:t>
      </w:r>
      <w:r>
        <w:rPr>
          <w:rFonts w:cs="Times New Roman"/>
          <w:snapToGrid w:val="0"/>
          <w:szCs w:val="24"/>
        </w:rPr>
        <w:t>）</w:t>
      </w:r>
      <w:r>
        <w:rPr>
          <w:rFonts w:cs="Times New Roman"/>
          <w:snapToGrid w:val="0"/>
          <w:szCs w:val="24"/>
        </w:rPr>
        <w:t>巴楚县水土流失情况</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K5+090~K6+800</w:t>
      </w:r>
      <w:r>
        <w:rPr>
          <w:rFonts w:cs="Times New Roman"/>
          <w:snapToGrid w:val="0"/>
          <w:szCs w:val="24"/>
        </w:rPr>
        <w:t>、</w:t>
      </w:r>
      <w:r>
        <w:rPr>
          <w:rFonts w:cs="Times New Roman"/>
          <w:snapToGrid w:val="0"/>
          <w:szCs w:val="24"/>
        </w:rPr>
        <w:t>K31+710~K52+050</w:t>
      </w:r>
      <w:r>
        <w:rPr>
          <w:rFonts w:cs="Times New Roman"/>
          <w:snapToGrid w:val="0"/>
          <w:szCs w:val="24"/>
        </w:rPr>
        <w:t>段位于巴楚县，该县为</w:t>
      </w:r>
      <w:r>
        <w:rPr>
          <w:rFonts w:cs="Times New Roman"/>
          <w:snapToGrid w:val="0"/>
          <w:szCs w:val="24"/>
          <w:lang w:val="zh-CN"/>
        </w:rPr>
        <w:t>塔里木河国家级水土流失重点预防区。</w:t>
      </w:r>
      <w:r>
        <w:rPr>
          <w:rFonts w:cs="Times New Roman"/>
          <w:snapToGrid w:val="0"/>
          <w:szCs w:val="24"/>
        </w:rPr>
        <w:t>2023</w:t>
      </w:r>
      <w:r>
        <w:rPr>
          <w:rFonts w:cs="Times New Roman"/>
          <w:snapToGrid w:val="0"/>
          <w:szCs w:val="24"/>
        </w:rPr>
        <w:t>年巴楚县水土流失面积</w:t>
      </w:r>
      <w:r>
        <w:rPr>
          <w:rFonts w:cs="Times New Roman"/>
          <w:snapToGrid w:val="0"/>
          <w:szCs w:val="24"/>
        </w:rPr>
        <w:t>11472.79km²</w:t>
      </w:r>
      <w:r>
        <w:rPr>
          <w:rFonts w:cs="Times New Roman"/>
          <w:snapToGrid w:val="0"/>
          <w:szCs w:val="24"/>
        </w:rPr>
        <w:t>，占全县土地总面积</w:t>
      </w:r>
      <w:r>
        <w:rPr>
          <w:rFonts w:cs="Times New Roman"/>
          <w:snapToGrid w:val="0"/>
          <w:szCs w:val="24"/>
        </w:rPr>
        <w:t>62.05%</w:t>
      </w:r>
      <w:r>
        <w:rPr>
          <w:rFonts w:cs="Times New Roman"/>
          <w:snapToGrid w:val="0"/>
          <w:szCs w:val="24"/>
        </w:rPr>
        <w:t>，其中水力侵蚀面积为</w:t>
      </w:r>
      <w:r>
        <w:rPr>
          <w:rFonts w:cs="Times New Roman"/>
          <w:snapToGrid w:val="0"/>
          <w:szCs w:val="24"/>
        </w:rPr>
        <w:t>142.54km²</w:t>
      </w:r>
      <w:r>
        <w:rPr>
          <w:rFonts w:cs="Times New Roman"/>
          <w:snapToGrid w:val="0"/>
          <w:szCs w:val="24"/>
        </w:rPr>
        <w:t>，占水土流失面积的</w:t>
      </w:r>
      <w:r>
        <w:rPr>
          <w:rFonts w:cs="Times New Roman"/>
          <w:snapToGrid w:val="0"/>
          <w:szCs w:val="24"/>
        </w:rPr>
        <w:t>1.24%</w:t>
      </w:r>
      <w:r>
        <w:rPr>
          <w:rFonts w:cs="Times New Roman"/>
          <w:snapToGrid w:val="0"/>
          <w:szCs w:val="24"/>
        </w:rPr>
        <w:t>；风力侵蚀面积为</w:t>
      </w:r>
      <w:r>
        <w:rPr>
          <w:rFonts w:cs="Times New Roman"/>
          <w:snapToGrid w:val="0"/>
          <w:szCs w:val="24"/>
        </w:rPr>
        <w:t>11330.25km²</w:t>
      </w:r>
      <w:r>
        <w:rPr>
          <w:rFonts w:cs="Times New Roman"/>
          <w:snapToGrid w:val="0"/>
          <w:szCs w:val="24"/>
        </w:rPr>
        <w:t>，占水</w:t>
      </w:r>
      <w:r>
        <w:rPr>
          <w:rFonts w:cs="Times New Roman"/>
          <w:snapToGrid w:val="0"/>
          <w:szCs w:val="24"/>
        </w:rPr>
        <w:t>土流失面积的</w:t>
      </w:r>
      <w:r>
        <w:rPr>
          <w:rFonts w:cs="Times New Roman"/>
          <w:snapToGrid w:val="0"/>
          <w:szCs w:val="24"/>
        </w:rPr>
        <w:t>98.76%</w:t>
      </w:r>
      <w:r>
        <w:rPr>
          <w:rFonts w:cs="Times New Roman"/>
          <w:snapToGrid w:val="0"/>
          <w:szCs w:val="24"/>
        </w:rPr>
        <w:t>。巴楚县</w:t>
      </w:r>
      <w:r>
        <w:rPr>
          <w:rFonts w:cs="Times New Roman"/>
          <w:snapToGrid w:val="0"/>
          <w:szCs w:val="24"/>
        </w:rPr>
        <w:t>2023</w:t>
      </w:r>
      <w:r>
        <w:rPr>
          <w:rFonts w:cs="Times New Roman"/>
          <w:snapToGrid w:val="0"/>
          <w:szCs w:val="24"/>
        </w:rPr>
        <w:t>年水土流失面积比</w:t>
      </w:r>
      <w:r>
        <w:rPr>
          <w:rFonts w:cs="Times New Roman"/>
          <w:snapToGrid w:val="0"/>
          <w:szCs w:val="24"/>
        </w:rPr>
        <w:t>2022</w:t>
      </w:r>
      <w:r>
        <w:rPr>
          <w:rFonts w:cs="Times New Roman"/>
          <w:snapToGrid w:val="0"/>
          <w:szCs w:val="24"/>
        </w:rPr>
        <w:t>年减少了</w:t>
      </w:r>
      <w:r>
        <w:rPr>
          <w:rFonts w:cs="Times New Roman"/>
          <w:snapToGrid w:val="0"/>
          <w:szCs w:val="24"/>
        </w:rPr>
        <w:t>28.09km²</w:t>
      </w:r>
      <w:r>
        <w:rPr>
          <w:rFonts w:cs="Times New Roman"/>
          <w:snapToGrid w:val="0"/>
          <w:szCs w:val="24"/>
        </w:rPr>
        <w:t>。</w:t>
      </w:r>
      <w:r>
        <w:rPr>
          <w:rFonts w:cs="Times New Roman"/>
          <w:snapToGrid w:val="0"/>
          <w:szCs w:val="24"/>
          <w:lang w:val="zh-CN"/>
        </w:rPr>
        <w:t>2023</w:t>
      </w:r>
      <w:r>
        <w:rPr>
          <w:rFonts w:cs="Times New Roman"/>
          <w:snapToGrid w:val="0"/>
          <w:szCs w:val="24"/>
          <w:lang w:val="zh-CN"/>
        </w:rPr>
        <w:t>年</w:t>
      </w:r>
      <w:r>
        <w:rPr>
          <w:rFonts w:cs="Times New Roman"/>
          <w:snapToGrid w:val="0"/>
          <w:szCs w:val="24"/>
        </w:rPr>
        <w:t>巴楚县</w:t>
      </w:r>
      <w:r>
        <w:rPr>
          <w:rFonts w:cs="Times New Roman"/>
          <w:snapToGrid w:val="0"/>
          <w:szCs w:val="24"/>
          <w:lang w:val="zh-CN"/>
        </w:rPr>
        <w:t>土壤侵蚀分类分级面积见表</w:t>
      </w:r>
      <w:r>
        <w:rPr>
          <w:rFonts w:cs="Times New Roman" w:hint="eastAsia"/>
          <w:snapToGrid w:val="0"/>
          <w:szCs w:val="24"/>
        </w:rPr>
        <w:t>6</w:t>
      </w:r>
      <w:r>
        <w:rPr>
          <w:rFonts w:cs="Times New Roman"/>
          <w:snapToGrid w:val="0"/>
          <w:szCs w:val="24"/>
          <w:lang w:val="zh-CN"/>
        </w:rPr>
        <w:t>.2-</w:t>
      </w:r>
      <w:r>
        <w:rPr>
          <w:rFonts w:cs="Times New Roman"/>
          <w:snapToGrid w:val="0"/>
          <w:szCs w:val="24"/>
        </w:rPr>
        <w:t>2</w:t>
      </w:r>
      <w:r>
        <w:rPr>
          <w:rFonts w:cs="Times New Roman" w:hint="eastAsia"/>
          <w:snapToGrid w:val="0"/>
          <w:szCs w:val="24"/>
        </w:rPr>
        <w:t>3</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napToGrid w:val="0"/>
          <w:sz w:val="24"/>
          <w:szCs w:val="24"/>
          <w:lang w:val="zh-CN"/>
        </w:rPr>
        <w:t>表</w:t>
      </w:r>
      <w:r>
        <w:rPr>
          <w:rFonts w:ascii="Times New Roman" w:hAnsi="Times New Roman" w:cs="Times New Roman"/>
          <w:snapToGrid w:val="0"/>
          <w:sz w:val="24"/>
          <w:szCs w:val="24"/>
        </w:rPr>
        <w:t>6</w:t>
      </w:r>
      <w:r>
        <w:rPr>
          <w:rFonts w:ascii="Times New Roman" w:hAnsi="Times New Roman" w:cs="Times New Roman" w:hint="default"/>
          <w:snapToGrid w:val="0"/>
          <w:sz w:val="24"/>
          <w:szCs w:val="24"/>
          <w:lang w:val="zh-CN"/>
        </w:rPr>
        <w:t>.2-</w:t>
      </w:r>
      <w:r>
        <w:rPr>
          <w:rFonts w:ascii="Times New Roman" w:hAnsi="Times New Roman" w:cs="Times New Roman" w:hint="default"/>
          <w:snapToGrid w:val="0"/>
          <w:sz w:val="24"/>
          <w:szCs w:val="24"/>
        </w:rPr>
        <w:t>2</w:t>
      </w:r>
      <w:r>
        <w:rPr>
          <w:rFonts w:ascii="Times New Roman" w:hAnsi="Times New Roman" w:cs="Times New Roman"/>
          <w:snapToGrid w:val="0"/>
          <w:sz w:val="24"/>
          <w:szCs w:val="24"/>
        </w:rPr>
        <w:t>3</w:t>
      </w:r>
      <w:r>
        <w:rPr>
          <w:rFonts w:ascii="Times New Roman" w:hAnsi="Times New Roman" w:cs="Times New Roman" w:hint="default"/>
          <w:snapToGrid w:val="0"/>
          <w:sz w:val="24"/>
          <w:szCs w:val="24"/>
        </w:rPr>
        <w:t xml:space="preserve">        </w:t>
      </w:r>
      <w:r>
        <w:rPr>
          <w:rFonts w:ascii="Times New Roman" w:hAnsi="Times New Roman" w:cs="Times New Roman" w:hint="default"/>
          <w:sz w:val="24"/>
          <w:szCs w:val="24"/>
        </w:rPr>
        <w:t>2</w:t>
      </w:r>
      <w:r>
        <w:rPr>
          <w:rFonts w:ascii="Times New Roman" w:hAnsi="Times New Roman" w:cs="Times New Roman" w:hint="default"/>
          <w:sz w:val="24"/>
          <w:szCs w:val="24"/>
        </w:rPr>
        <w:t>023</w:t>
      </w:r>
      <w:r>
        <w:rPr>
          <w:rFonts w:ascii="Times New Roman" w:hAnsi="Times New Roman" w:cs="Times New Roman" w:hint="default"/>
          <w:sz w:val="24"/>
          <w:szCs w:val="24"/>
        </w:rPr>
        <w:t>年巴楚县土壤侵蚀分类分级面积统计表</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44"/>
        <w:gridCol w:w="1258"/>
        <w:gridCol w:w="1163"/>
        <w:gridCol w:w="1049"/>
        <w:gridCol w:w="1111"/>
        <w:gridCol w:w="1263"/>
        <w:gridCol w:w="1241"/>
      </w:tblGrid>
      <w:tr w:rsidR="00A46452">
        <w:trPr>
          <w:trHeight w:val="90"/>
          <w:jc w:val="center"/>
        </w:trPr>
        <w:tc>
          <w:tcPr>
            <w:tcW w:w="5000" w:type="pct"/>
            <w:gridSpan w:val="7"/>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right"/>
              <w:rPr>
                <w:rFonts w:cs="Times New Roman"/>
                <w:kern w:val="0"/>
                <w:sz w:val="18"/>
                <w:szCs w:val="18"/>
              </w:rPr>
            </w:pPr>
            <w:r>
              <w:rPr>
                <w:rFonts w:cs="Times New Roman"/>
                <w:kern w:val="0"/>
                <w:sz w:val="18"/>
                <w:szCs w:val="18"/>
              </w:rPr>
              <w:t>巴楚县</w:t>
            </w:r>
            <w:r>
              <w:rPr>
                <w:rFonts w:cs="Times New Roman"/>
                <w:kern w:val="0"/>
                <w:sz w:val="18"/>
                <w:szCs w:val="18"/>
              </w:rPr>
              <w:t xml:space="preserve">                                                                              </w:t>
            </w:r>
            <w:r>
              <w:rPr>
                <w:rFonts w:cs="Times New Roman"/>
                <w:kern w:val="0"/>
                <w:sz w:val="18"/>
                <w:szCs w:val="18"/>
              </w:rPr>
              <w:t>单位</w:t>
            </w:r>
            <w:r>
              <w:rPr>
                <w:rFonts w:cs="Times New Roman"/>
                <w:kern w:val="0"/>
                <w:sz w:val="18"/>
                <w:szCs w:val="18"/>
              </w:rPr>
              <w:t>km²</w:t>
            </w:r>
          </w:p>
        </w:tc>
      </w:tr>
      <w:tr w:rsidR="00A46452">
        <w:trPr>
          <w:trHeight w:val="90"/>
          <w:jc w:val="center"/>
        </w:trPr>
        <w:tc>
          <w:tcPr>
            <w:tcW w:w="74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侵蚀类型</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轻度侵蚀</w:t>
            </w:r>
          </w:p>
        </w:tc>
        <w:tc>
          <w:tcPr>
            <w:tcW w:w="69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中度侵蚀</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强烈侵蚀</w:t>
            </w:r>
          </w:p>
        </w:tc>
        <w:tc>
          <w:tcPr>
            <w:tcW w:w="66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极强烈侵蚀</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剧烈侵蚀</w:t>
            </w:r>
          </w:p>
        </w:tc>
        <w:tc>
          <w:tcPr>
            <w:tcW w:w="74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合计</w:t>
            </w:r>
          </w:p>
        </w:tc>
      </w:tr>
      <w:tr w:rsidR="00A46452">
        <w:trPr>
          <w:jc w:val="center"/>
        </w:trPr>
        <w:tc>
          <w:tcPr>
            <w:tcW w:w="74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水力侵蚀</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125.85</w:t>
            </w:r>
          </w:p>
        </w:tc>
        <w:tc>
          <w:tcPr>
            <w:tcW w:w="69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15.43</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1.24</w:t>
            </w:r>
          </w:p>
        </w:tc>
        <w:tc>
          <w:tcPr>
            <w:tcW w:w="66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0.02</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74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142.54</w:t>
            </w:r>
          </w:p>
        </w:tc>
      </w:tr>
      <w:tr w:rsidR="00A46452">
        <w:trPr>
          <w:jc w:val="center"/>
        </w:trPr>
        <w:tc>
          <w:tcPr>
            <w:tcW w:w="74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风力侵蚀</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11330.25</w:t>
            </w:r>
          </w:p>
        </w:tc>
        <w:tc>
          <w:tcPr>
            <w:tcW w:w="698"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630"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667"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755"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0</w:t>
            </w:r>
          </w:p>
        </w:tc>
        <w:tc>
          <w:tcPr>
            <w:tcW w:w="74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11330.25</w:t>
            </w:r>
          </w:p>
        </w:tc>
      </w:tr>
      <w:tr w:rsidR="00A46452">
        <w:trPr>
          <w:jc w:val="center"/>
        </w:trPr>
        <w:tc>
          <w:tcPr>
            <w:tcW w:w="4255" w:type="pct"/>
            <w:gridSpan w:val="6"/>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合</w:t>
            </w:r>
            <w:r>
              <w:rPr>
                <w:rFonts w:cs="Times New Roman"/>
                <w:kern w:val="0"/>
                <w:sz w:val="18"/>
                <w:szCs w:val="18"/>
              </w:rPr>
              <w:t xml:space="preserve"> </w:t>
            </w:r>
            <w:r>
              <w:rPr>
                <w:rFonts w:cs="Times New Roman"/>
                <w:kern w:val="0"/>
                <w:sz w:val="18"/>
                <w:szCs w:val="18"/>
              </w:rPr>
              <w:t>计</w:t>
            </w:r>
          </w:p>
        </w:tc>
        <w:tc>
          <w:tcPr>
            <w:tcW w:w="744" w:type="pct"/>
            <w:tcBorders>
              <w:tl2br w:val="nil"/>
              <w:tr2bl w:val="nil"/>
            </w:tcBorders>
            <w:shd w:val="clear" w:color="auto" w:fill="auto"/>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11472.79</w:t>
            </w:r>
          </w:p>
        </w:tc>
      </w:tr>
    </w:tbl>
    <w:p w:rsidR="00A46452" w:rsidRDefault="009A3928">
      <w:pPr>
        <w:pStyle w:val="31"/>
        <w:keepNext w:val="0"/>
        <w:keepLines w:val="0"/>
        <w:wordWrap w:val="0"/>
        <w:topLinePunct/>
        <w:adjustRightInd w:val="0"/>
        <w:snapToGrid w:val="0"/>
        <w:spacing w:before="156" w:after="156" w:line="240" w:lineRule="auto"/>
        <w:rPr>
          <w:rFonts w:cs="Times New Roman" w:hint="default"/>
          <w:sz w:val="28"/>
          <w:szCs w:val="28"/>
        </w:rPr>
      </w:pPr>
      <w:bookmarkStart w:id="266" w:name="_Toc187080703"/>
      <w:r>
        <w:rPr>
          <w:rFonts w:cs="Times New Roman" w:hint="default"/>
          <w:sz w:val="28"/>
          <w:szCs w:val="28"/>
        </w:rPr>
        <w:t>6</w:t>
      </w:r>
      <w:r>
        <w:rPr>
          <w:rFonts w:cs="Times New Roman" w:hint="default"/>
          <w:sz w:val="28"/>
          <w:szCs w:val="28"/>
        </w:rPr>
        <w:t>.2.1</w:t>
      </w:r>
      <w:r>
        <w:rPr>
          <w:rFonts w:cs="Times New Roman" w:hint="default"/>
          <w:sz w:val="28"/>
          <w:szCs w:val="28"/>
        </w:rPr>
        <w:t>3</w:t>
      </w:r>
      <w:r>
        <w:rPr>
          <w:rFonts w:cs="Times New Roman" w:hint="default"/>
          <w:sz w:val="28"/>
          <w:szCs w:val="28"/>
        </w:rPr>
        <w:t>区域主要生态环境问题</w:t>
      </w:r>
    </w:p>
    <w:p w:rsidR="00A46452" w:rsidRDefault="009A3928">
      <w:pPr>
        <w:wordWrap w:val="0"/>
        <w:topLinePunct/>
        <w:ind w:firstLine="480"/>
        <w:rPr>
          <w:rFonts w:eastAsiaTheme="minorEastAsia" w:cs="Times New Roman"/>
        </w:rPr>
      </w:pPr>
      <w:r>
        <w:rPr>
          <w:rFonts w:eastAsiaTheme="minorEastAsia" w:cs="Times New Roman"/>
        </w:rPr>
        <w:t>评价区地处</w:t>
      </w:r>
      <w:r>
        <w:rPr>
          <w:rFonts w:cs="Times New Roman"/>
          <w:kern w:val="0"/>
          <w:szCs w:val="24"/>
          <w:lang w:bidi="ar"/>
        </w:rPr>
        <w:t>塔里木盆地</w:t>
      </w:r>
      <w:r>
        <w:rPr>
          <w:rFonts w:cs="Times New Roman"/>
          <w:kern w:val="0"/>
          <w:szCs w:val="24"/>
          <w:lang w:bidi="ar"/>
        </w:rPr>
        <w:t>北缘</w:t>
      </w:r>
      <w:r>
        <w:rPr>
          <w:rFonts w:eastAsiaTheme="minorEastAsia" w:cs="Times New Roman"/>
        </w:rPr>
        <w:t>，区域主要生态问题是土地沙漠化、土地盐碱化、植被退化、水资源短缺等。</w:t>
      </w:r>
    </w:p>
    <w:p w:rsidR="00A46452" w:rsidRDefault="009A3928">
      <w:pPr>
        <w:pStyle w:val="42"/>
        <w:keepNext w:val="0"/>
        <w:keepLines w:val="0"/>
        <w:wordWrap w:val="0"/>
        <w:topLinePunct/>
        <w:snapToGrid w:val="0"/>
        <w:spacing w:before="156" w:after="156" w:line="240" w:lineRule="auto"/>
        <w:rPr>
          <w:rFonts w:eastAsiaTheme="minorEastAsia" w:cs="Times New Roman" w:hint="default"/>
          <w:iCs/>
        </w:rPr>
      </w:pPr>
      <w:r>
        <w:rPr>
          <w:rFonts w:eastAsiaTheme="minorEastAsia" w:cs="Times New Roman" w:hint="default"/>
          <w:iCs/>
        </w:rPr>
        <w:t>6</w:t>
      </w:r>
      <w:r>
        <w:rPr>
          <w:rFonts w:eastAsiaTheme="minorEastAsia" w:cs="Times New Roman" w:hint="default"/>
          <w:iCs/>
        </w:rPr>
        <w:t>.2.1</w:t>
      </w:r>
      <w:r>
        <w:rPr>
          <w:rFonts w:eastAsiaTheme="minorEastAsia" w:cs="Times New Roman" w:hint="default"/>
          <w:iCs/>
        </w:rPr>
        <w:t>3</w:t>
      </w:r>
      <w:r>
        <w:rPr>
          <w:rFonts w:eastAsiaTheme="minorEastAsia" w:cs="Times New Roman" w:hint="default"/>
          <w:iCs/>
        </w:rPr>
        <w:t>.1</w:t>
      </w:r>
      <w:r>
        <w:rPr>
          <w:rFonts w:eastAsiaTheme="minorEastAsia" w:cs="Times New Roman" w:hint="default"/>
          <w:iCs/>
        </w:rPr>
        <w:t>土地沙漠化严重</w:t>
      </w:r>
    </w:p>
    <w:p w:rsidR="00A46452" w:rsidRDefault="009A3928">
      <w:pPr>
        <w:wordWrap w:val="0"/>
        <w:topLinePunct/>
        <w:ind w:firstLine="480"/>
        <w:rPr>
          <w:rFonts w:eastAsiaTheme="minorEastAsia" w:cs="Times New Roman"/>
        </w:rPr>
      </w:pPr>
      <w:r>
        <w:rPr>
          <w:rFonts w:eastAsiaTheme="minorEastAsia" w:cs="Times New Roman"/>
        </w:rPr>
        <w:t>土地沙漠化是指在干旱多风的沙质地表条件下，由于人类强度活动破坏脆弱生态系统的平衡，造成地表出现以风沙活动为主要标志的土地退化。干旱少雨、沙漠、土漠、砾漠、盐漠、岩漠广布，植被稀疏，无论在自然条件的影响下，还是在人为活动的干扰下，干旱的土地都极易受到风力侵蚀和堆积，成为沙漠化最敏感地区。它不但严重</w:t>
      </w:r>
      <w:r>
        <w:rPr>
          <w:rFonts w:eastAsiaTheme="minorEastAsia" w:cs="Times New Roman"/>
        </w:rPr>
        <w:t>地</w:t>
      </w:r>
      <w:r>
        <w:rPr>
          <w:rFonts w:eastAsiaTheme="minorEastAsia" w:cs="Times New Roman"/>
        </w:rPr>
        <w:t>危害农林牧业生产和破坏陆地交通运输，而且也是影响人工绿洲健康发展的不利因素。</w:t>
      </w:r>
    </w:p>
    <w:p w:rsidR="00A46452" w:rsidRDefault="009A3928">
      <w:pPr>
        <w:wordWrap w:val="0"/>
        <w:topLinePunct/>
        <w:ind w:firstLine="480"/>
        <w:rPr>
          <w:rFonts w:eastAsiaTheme="minorEastAsia" w:cs="Times New Roman"/>
        </w:rPr>
      </w:pPr>
      <w:r>
        <w:rPr>
          <w:rFonts w:eastAsiaTheme="minorEastAsia" w:cs="Times New Roman"/>
        </w:rPr>
        <w:t>评价区部分段盐碱地、裸地和沙地面积分布广，沙漠化程度非常严重。主要环境问题人为活动，破坏植被、地表结皮及砾幕，扰动地表，加剧土地沙化。</w:t>
      </w:r>
    </w:p>
    <w:p w:rsidR="00A46452" w:rsidRDefault="009A3928">
      <w:pPr>
        <w:pStyle w:val="42"/>
        <w:keepNext w:val="0"/>
        <w:keepLines w:val="0"/>
        <w:wordWrap w:val="0"/>
        <w:topLinePunct/>
        <w:snapToGrid w:val="0"/>
        <w:spacing w:before="156" w:after="156" w:line="240" w:lineRule="auto"/>
        <w:rPr>
          <w:rFonts w:eastAsiaTheme="minorEastAsia" w:cs="Times New Roman" w:hint="default"/>
          <w:iCs/>
        </w:rPr>
      </w:pPr>
      <w:r>
        <w:rPr>
          <w:rFonts w:eastAsiaTheme="minorEastAsia" w:cs="Times New Roman" w:hint="default"/>
          <w:iCs/>
        </w:rPr>
        <w:t>6</w:t>
      </w:r>
      <w:r>
        <w:rPr>
          <w:rFonts w:eastAsiaTheme="minorEastAsia" w:cs="Times New Roman" w:hint="default"/>
          <w:iCs/>
        </w:rPr>
        <w:t>.2.1</w:t>
      </w:r>
      <w:r>
        <w:rPr>
          <w:rFonts w:eastAsiaTheme="minorEastAsia" w:cs="Times New Roman" w:hint="default"/>
          <w:iCs/>
        </w:rPr>
        <w:t>3</w:t>
      </w:r>
      <w:r>
        <w:rPr>
          <w:rFonts w:eastAsiaTheme="minorEastAsia" w:cs="Times New Roman" w:hint="default"/>
          <w:iCs/>
        </w:rPr>
        <w:t>.2</w:t>
      </w:r>
      <w:r>
        <w:rPr>
          <w:rFonts w:eastAsiaTheme="minorEastAsia" w:cs="Times New Roman" w:hint="default"/>
          <w:iCs/>
        </w:rPr>
        <w:t>盐渍化土壤分布广，面积大</w:t>
      </w:r>
    </w:p>
    <w:p w:rsidR="00A46452" w:rsidRDefault="009A3928" w:rsidP="00182EED">
      <w:pPr>
        <w:wordWrap w:val="0"/>
        <w:topLinePunct/>
        <w:ind w:firstLine="480"/>
        <w:jc w:val="left"/>
        <w:rPr>
          <w:rFonts w:eastAsiaTheme="minorEastAsia" w:cs="Times New Roman"/>
        </w:rPr>
      </w:pPr>
      <w:r>
        <w:rPr>
          <w:rFonts w:eastAsiaTheme="minorEastAsia" w:cs="Times New Roman"/>
        </w:rPr>
        <w:t>评价区地处</w:t>
      </w:r>
      <w:r>
        <w:rPr>
          <w:rFonts w:cs="Times New Roman"/>
          <w:kern w:val="0"/>
          <w:szCs w:val="24"/>
          <w:lang w:bidi="ar"/>
        </w:rPr>
        <w:t>塔里木盆地</w:t>
      </w:r>
      <w:r>
        <w:rPr>
          <w:rFonts w:cs="Times New Roman"/>
          <w:kern w:val="0"/>
          <w:szCs w:val="24"/>
          <w:lang w:bidi="ar"/>
        </w:rPr>
        <w:t>北缘</w:t>
      </w:r>
      <w:r>
        <w:rPr>
          <w:rFonts w:eastAsiaTheme="minorEastAsia" w:cs="Times New Roman"/>
        </w:rPr>
        <w:t>，气候干旱，降水稀少，蒸发强烈，土壤的淋洗作用极其微弱，热力作用所造成的水分上行过程占优势，将土壤下层和地下水中的可溶性盐分随毛细管水运动被带至上层和地表，造成土壤不同程度盐渍化的现象。</w:t>
      </w:r>
    </w:p>
    <w:p w:rsidR="00A46452" w:rsidRDefault="009A3928">
      <w:pPr>
        <w:wordWrap w:val="0"/>
        <w:topLinePunct/>
        <w:ind w:firstLine="480"/>
        <w:rPr>
          <w:rFonts w:eastAsiaTheme="minorEastAsia" w:cs="Times New Roman"/>
        </w:rPr>
      </w:pPr>
      <w:r>
        <w:rPr>
          <w:rFonts w:eastAsiaTheme="minorEastAsia" w:cs="Times New Roman"/>
        </w:rPr>
        <w:t>评价区主要土壤类型有：风沙土、盐土、草甸土、潮土、灌淤土等。其中风沙土和草甸土是区域内的地带性土壤。研究表明区域盐分表聚现象明显，在地表形成坚硬的盐壳。沿土壤剖面纵深向下，土壤盐分逐渐降低。土地盐渍化不但严重破坏土地资源和生物资源，使生态环境恶化，还直接影响农牧业生产，威胁交通、水利和居民点等设施。</w:t>
      </w:r>
    </w:p>
    <w:p w:rsidR="00A46452" w:rsidRDefault="009A3928">
      <w:pPr>
        <w:pStyle w:val="42"/>
        <w:keepNext w:val="0"/>
        <w:keepLines w:val="0"/>
        <w:wordWrap w:val="0"/>
        <w:topLinePunct/>
        <w:snapToGrid w:val="0"/>
        <w:spacing w:before="156" w:after="156" w:line="240" w:lineRule="auto"/>
        <w:rPr>
          <w:rFonts w:eastAsiaTheme="minorEastAsia" w:cs="Times New Roman" w:hint="default"/>
          <w:iCs/>
        </w:rPr>
      </w:pPr>
      <w:r>
        <w:rPr>
          <w:rFonts w:eastAsiaTheme="minorEastAsia" w:cs="Times New Roman" w:hint="default"/>
          <w:iCs/>
        </w:rPr>
        <w:t>6</w:t>
      </w:r>
      <w:r>
        <w:rPr>
          <w:rFonts w:eastAsiaTheme="minorEastAsia" w:cs="Times New Roman" w:hint="default"/>
          <w:iCs/>
        </w:rPr>
        <w:t>.2.1</w:t>
      </w:r>
      <w:r>
        <w:rPr>
          <w:rFonts w:eastAsiaTheme="minorEastAsia" w:cs="Times New Roman" w:hint="default"/>
          <w:iCs/>
        </w:rPr>
        <w:t>3</w:t>
      </w:r>
      <w:r>
        <w:rPr>
          <w:rFonts w:eastAsiaTheme="minorEastAsia" w:cs="Times New Roman" w:hint="default"/>
          <w:iCs/>
        </w:rPr>
        <w:t>.3</w:t>
      </w:r>
      <w:r>
        <w:rPr>
          <w:rFonts w:eastAsiaTheme="minorEastAsia" w:cs="Times New Roman" w:hint="default"/>
          <w:iCs/>
        </w:rPr>
        <w:t>水资源短缺，水质恶化</w:t>
      </w:r>
    </w:p>
    <w:p w:rsidR="00A46452" w:rsidRDefault="009A3928">
      <w:pPr>
        <w:wordWrap w:val="0"/>
        <w:topLinePunct/>
        <w:ind w:firstLine="480"/>
        <w:rPr>
          <w:rFonts w:eastAsiaTheme="minorEastAsia" w:cs="Times New Roman"/>
        </w:rPr>
      </w:pPr>
      <w:r>
        <w:rPr>
          <w:rFonts w:eastAsiaTheme="minorEastAsia" w:cs="Times New Roman"/>
        </w:rPr>
        <w:t>拟建项目区域内跨越喀什噶尔河、柯坪河、突来买提河、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eastAsiaTheme="minorEastAsia" w:cs="Times New Roman"/>
        </w:rPr>
        <w:t>等地表水体。</w:t>
      </w:r>
      <w:r>
        <w:rPr>
          <w:rFonts w:eastAsiaTheme="minorEastAsia" w:cs="Times New Roman"/>
        </w:rPr>
        <w:t>由于气候变暖，植被破坏以及水资源不合理利用，区内河流水量减少，甚至下游断流，湖泊萎缩。</w:t>
      </w:r>
    </w:p>
    <w:p w:rsidR="00A46452" w:rsidRDefault="009A3928">
      <w:pPr>
        <w:pStyle w:val="42"/>
        <w:keepNext w:val="0"/>
        <w:keepLines w:val="0"/>
        <w:wordWrap w:val="0"/>
        <w:topLinePunct/>
        <w:snapToGrid w:val="0"/>
        <w:spacing w:before="156" w:after="156" w:line="240" w:lineRule="auto"/>
        <w:rPr>
          <w:rFonts w:eastAsiaTheme="minorEastAsia" w:cs="Times New Roman" w:hint="default"/>
          <w:iCs/>
        </w:rPr>
      </w:pPr>
      <w:r>
        <w:rPr>
          <w:rFonts w:eastAsiaTheme="minorEastAsia" w:cs="Times New Roman" w:hint="default"/>
          <w:iCs/>
        </w:rPr>
        <w:t>6</w:t>
      </w:r>
      <w:r>
        <w:rPr>
          <w:rFonts w:eastAsiaTheme="minorEastAsia" w:cs="Times New Roman" w:hint="default"/>
          <w:iCs/>
        </w:rPr>
        <w:t>.2.1</w:t>
      </w:r>
      <w:r>
        <w:rPr>
          <w:rFonts w:eastAsiaTheme="minorEastAsia" w:cs="Times New Roman" w:hint="default"/>
          <w:iCs/>
        </w:rPr>
        <w:t>3</w:t>
      </w:r>
      <w:r>
        <w:rPr>
          <w:rFonts w:eastAsiaTheme="minorEastAsia" w:cs="Times New Roman" w:hint="default"/>
          <w:iCs/>
        </w:rPr>
        <w:t>.4</w:t>
      </w:r>
      <w:r>
        <w:rPr>
          <w:rFonts w:eastAsiaTheme="minorEastAsia" w:cs="Times New Roman" w:hint="default"/>
          <w:iCs/>
        </w:rPr>
        <w:t>局部植被破坏、草场退化</w:t>
      </w:r>
    </w:p>
    <w:p w:rsidR="00A46452" w:rsidRDefault="009A3928">
      <w:pPr>
        <w:wordWrap w:val="0"/>
        <w:topLinePunct/>
        <w:ind w:firstLine="480"/>
        <w:rPr>
          <w:rFonts w:cs="Times New Roman"/>
        </w:rPr>
      </w:pPr>
      <w:r>
        <w:rPr>
          <w:rFonts w:eastAsiaTheme="minorEastAsia" w:cs="Times New Roman"/>
        </w:rPr>
        <w:t>拟建项目区域</w:t>
      </w:r>
      <w:r>
        <w:rPr>
          <w:rFonts w:eastAsiaTheme="minorEastAsia" w:cs="Times New Roman"/>
        </w:rPr>
        <w:t>植被为荒漠灌木，旱生、沙生和盐生荒漠植被为其基本植被群落，植被的发育距河道越近，植物种类越丰富，生长也越好，距河道越远，植物种类越单纯，生长也越差。但由于水量短缺和过量砍伐、放牧等原因，林、灌、草等天然植被日益衰败，同时柽柳、白棘等灌木资源的面积也在不断减少，长期以来，由于片面强调牧业发展，忽视草场建设，导致草场超载放牧</w:t>
      </w:r>
      <w:r>
        <w:rPr>
          <w:rFonts w:eastAsiaTheme="minorEastAsia" w:cs="Times New Roman"/>
        </w:rPr>
        <w:t>，</w:t>
      </w:r>
      <w:r>
        <w:rPr>
          <w:rFonts w:eastAsiaTheme="minorEastAsia" w:cs="Times New Roman"/>
        </w:rPr>
        <w:t>对天然草场面积减少有直接影响，并且荒漠草场草质低劣，适口性差，满足不了牲畜的需要，草场不能生息</w:t>
      </w:r>
      <w:r>
        <w:rPr>
          <w:rFonts w:eastAsiaTheme="minorEastAsia" w:cs="Times New Roman"/>
        </w:rPr>
        <w:t>休养</w:t>
      </w:r>
      <w:r>
        <w:rPr>
          <w:rFonts w:eastAsiaTheme="minorEastAsia" w:cs="Times New Roman"/>
        </w:rPr>
        <w:t>，草场生态受到较大影响。同时盲目垦荒，垦后弃耕，不仅破坏了天然草场和灌木林，而且地表松动，破坏了地表保护层。部分天然植被破坏，覆盖率下降，势必导致草场土壤沙化、盐碱化的加剧。</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67" w:name="_Toc28177"/>
      <w:r>
        <w:rPr>
          <w:rFonts w:cs="Times New Roman" w:hint="default"/>
          <w:sz w:val="30"/>
          <w:szCs w:val="30"/>
        </w:rPr>
        <w:t>6</w:t>
      </w:r>
      <w:r>
        <w:rPr>
          <w:rFonts w:cs="Times New Roman" w:hint="default"/>
          <w:sz w:val="30"/>
          <w:szCs w:val="30"/>
        </w:rPr>
        <w:t>.3</w:t>
      </w:r>
      <w:r>
        <w:rPr>
          <w:rFonts w:cs="Times New Roman" w:hint="default"/>
          <w:sz w:val="30"/>
          <w:szCs w:val="30"/>
        </w:rPr>
        <w:t>环境质量现状调查与评价</w:t>
      </w:r>
      <w:bookmarkEnd w:id="266"/>
      <w:bookmarkEnd w:id="26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6.3.1</w:t>
      </w:r>
      <w:r>
        <w:rPr>
          <w:rFonts w:cs="Times New Roman" w:hint="default"/>
          <w:sz w:val="28"/>
          <w:szCs w:val="28"/>
        </w:rPr>
        <w:t>环境空气质量现状监测与评价</w:t>
      </w:r>
    </w:p>
    <w:p w:rsidR="00A46452" w:rsidRDefault="009A3928">
      <w:pPr>
        <w:pStyle w:val="a4"/>
        <w:wordWrap w:val="0"/>
        <w:topLinePunct/>
        <w:adjustRightInd w:val="0"/>
        <w:snapToGrid w:val="0"/>
        <w:ind w:firstLine="480"/>
        <w:rPr>
          <w:rFonts w:cs="Times New Roman" w:hint="default"/>
          <w:sz w:val="24"/>
        </w:rPr>
      </w:pPr>
      <w:r>
        <w:rPr>
          <w:rFonts w:cs="Times New Roman" w:hint="default"/>
          <w:kern w:val="0"/>
          <w:sz w:val="24"/>
          <w:szCs w:val="24"/>
        </w:rPr>
        <w:t>根据《环境影响评价技术导则大气环境》（</w:t>
      </w:r>
      <w:r>
        <w:rPr>
          <w:rFonts w:cs="Times New Roman" w:hint="default"/>
          <w:kern w:val="0"/>
          <w:sz w:val="24"/>
          <w:szCs w:val="24"/>
        </w:rPr>
        <w:t>HJ2.2-2018</w:t>
      </w:r>
      <w:r>
        <w:rPr>
          <w:rFonts w:cs="Times New Roman" w:hint="default"/>
          <w:kern w:val="0"/>
          <w:sz w:val="24"/>
          <w:szCs w:val="24"/>
        </w:rPr>
        <w:t>）要求对于三级评价项目，环境空气质量现状评价仅对区域环境质量达标情况进行分析，数据选取生态环境部环境工程评估中心国家环境保护环境影响评价数值模拟重点实验室环境空气质量模型技术支持服务系统发布的</w:t>
      </w:r>
      <w:r>
        <w:rPr>
          <w:rFonts w:cs="Times New Roman" w:hint="default"/>
          <w:kern w:val="0"/>
          <w:sz w:val="24"/>
          <w:szCs w:val="24"/>
        </w:rPr>
        <w:t>202</w:t>
      </w:r>
      <w:r>
        <w:rPr>
          <w:rFonts w:cs="Times New Roman" w:hint="default"/>
          <w:kern w:val="0"/>
          <w:sz w:val="24"/>
          <w:szCs w:val="24"/>
        </w:rPr>
        <w:t>4</w:t>
      </w:r>
      <w:r>
        <w:rPr>
          <w:rFonts w:cs="Times New Roman" w:hint="default"/>
          <w:kern w:val="0"/>
          <w:sz w:val="24"/>
          <w:szCs w:val="24"/>
        </w:rPr>
        <w:t>年阿克苏地</w:t>
      </w:r>
      <w:r>
        <w:rPr>
          <w:rFonts w:cs="Times New Roman" w:hint="default"/>
          <w:kern w:val="0"/>
          <w:sz w:val="24"/>
          <w:szCs w:val="24"/>
        </w:rPr>
        <w:t>区国控站点监测数据，作为本项目环境空气现状评价基本污染物</w:t>
      </w:r>
      <w:r>
        <w:rPr>
          <w:rFonts w:cs="Times New Roman" w:hint="default"/>
          <w:kern w:val="0"/>
          <w:sz w:val="24"/>
          <w:szCs w:val="24"/>
        </w:rPr>
        <w:t>SO</w:t>
      </w:r>
      <w:r>
        <w:rPr>
          <w:rFonts w:cs="Times New Roman" w:hint="default"/>
          <w:kern w:val="0"/>
          <w:sz w:val="24"/>
          <w:szCs w:val="24"/>
          <w:vertAlign w:val="subscript"/>
        </w:rPr>
        <w:t>2</w:t>
      </w:r>
      <w:r>
        <w:rPr>
          <w:rFonts w:cs="Times New Roman" w:hint="default"/>
          <w:kern w:val="0"/>
          <w:sz w:val="24"/>
          <w:szCs w:val="24"/>
        </w:rPr>
        <w:t>、</w:t>
      </w:r>
      <w:r>
        <w:rPr>
          <w:rFonts w:cs="Times New Roman" w:hint="default"/>
          <w:kern w:val="0"/>
          <w:sz w:val="24"/>
          <w:szCs w:val="24"/>
        </w:rPr>
        <w:t>NO</w:t>
      </w:r>
      <w:r>
        <w:rPr>
          <w:rFonts w:cs="Times New Roman" w:hint="default"/>
          <w:kern w:val="0"/>
          <w:sz w:val="24"/>
          <w:szCs w:val="24"/>
          <w:vertAlign w:val="subscript"/>
        </w:rPr>
        <w:t>2</w:t>
      </w:r>
      <w:r>
        <w:rPr>
          <w:rFonts w:cs="Times New Roman" w:hint="default"/>
          <w:kern w:val="0"/>
          <w:sz w:val="24"/>
          <w:szCs w:val="24"/>
        </w:rPr>
        <w:t>、</w:t>
      </w:r>
      <w:r>
        <w:rPr>
          <w:rFonts w:cs="Times New Roman" w:hint="default"/>
          <w:kern w:val="0"/>
          <w:sz w:val="24"/>
          <w:szCs w:val="24"/>
        </w:rPr>
        <w:t>PM</w:t>
      </w:r>
      <w:r>
        <w:rPr>
          <w:rFonts w:cs="Times New Roman" w:hint="default"/>
          <w:kern w:val="0"/>
          <w:sz w:val="24"/>
          <w:szCs w:val="24"/>
          <w:vertAlign w:val="subscript"/>
        </w:rPr>
        <w:t>10</w:t>
      </w:r>
      <w:r>
        <w:rPr>
          <w:rFonts w:cs="Times New Roman" w:hint="default"/>
          <w:kern w:val="0"/>
          <w:sz w:val="24"/>
          <w:szCs w:val="24"/>
        </w:rPr>
        <w:t>、</w:t>
      </w:r>
      <w:r>
        <w:rPr>
          <w:rFonts w:cs="Times New Roman" w:hint="default"/>
          <w:kern w:val="0"/>
          <w:sz w:val="24"/>
          <w:szCs w:val="24"/>
        </w:rPr>
        <w:t>PM</w:t>
      </w:r>
      <w:r>
        <w:rPr>
          <w:rFonts w:cs="Times New Roman" w:hint="default"/>
          <w:kern w:val="0"/>
          <w:sz w:val="24"/>
          <w:szCs w:val="24"/>
          <w:vertAlign w:val="subscript"/>
        </w:rPr>
        <w:t>2.5</w:t>
      </w:r>
      <w:r>
        <w:rPr>
          <w:rFonts w:cs="Times New Roman" w:hint="default"/>
          <w:kern w:val="0"/>
          <w:sz w:val="24"/>
          <w:szCs w:val="24"/>
        </w:rPr>
        <w:t>、</w:t>
      </w:r>
      <w:r>
        <w:rPr>
          <w:rFonts w:cs="Times New Roman" w:hint="default"/>
          <w:kern w:val="0"/>
          <w:sz w:val="24"/>
          <w:szCs w:val="24"/>
        </w:rPr>
        <w:t>CO</w:t>
      </w:r>
      <w:r>
        <w:rPr>
          <w:rFonts w:cs="Times New Roman" w:hint="default"/>
          <w:kern w:val="0"/>
          <w:sz w:val="24"/>
          <w:szCs w:val="24"/>
        </w:rPr>
        <w:t>和</w:t>
      </w:r>
      <w:r>
        <w:rPr>
          <w:rFonts w:cs="Times New Roman" w:hint="default"/>
          <w:kern w:val="0"/>
          <w:sz w:val="24"/>
          <w:szCs w:val="24"/>
        </w:rPr>
        <w:t>O</w:t>
      </w:r>
      <w:r>
        <w:rPr>
          <w:rFonts w:cs="Times New Roman" w:hint="default"/>
          <w:kern w:val="0"/>
          <w:sz w:val="24"/>
          <w:szCs w:val="24"/>
          <w:vertAlign w:val="subscript"/>
        </w:rPr>
        <w:t>3</w:t>
      </w:r>
      <w:r>
        <w:rPr>
          <w:rFonts w:cs="Times New Roman" w:hint="default"/>
          <w:kern w:val="0"/>
          <w:sz w:val="24"/>
          <w:szCs w:val="24"/>
        </w:rPr>
        <w:t>的数据来源。</w:t>
      </w:r>
    </w:p>
    <w:p w:rsidR="00A46452" w:rsidRDefault="009A3928">
      <w:pPr>
        <w:wordWrap w:val="0"/>
        <w:topLinePunct/>
        <w:adjustRightInd w:val="0"/>
        <w:snapToGrid w:val="0"/>
        <w:ind w:firstLine="480"/>
        <w:rPr>
          <w:rFonts w:cs="Times New Roman"/>
          <w:snapToGrid w:val="0"/>
        </w:rPr>
      </w:pPr>
      <w:r>
        <w:rPr>
          <w:rFonts w:cs="Times New Roman"/>
          <w:snapToGrid w:val="0"/>
        </w:rPr>
        <w:t>项目区所在区域空气质量现状评价表见表</w:t>
      </w:r>
      <w:r>
        <w:rPr>
          <w:rFonts w:cs="Times New Roman" w:hint="eastAsia"/>
          <w:snapToGrid w:val="0"/>
        </w:rPr>
        <w:t>6</w:t>
      </w:r>
      <w:r>
        <w:rPr>
          <w:rFonts w:cs="Times New Roman"/>
          <w:snapToGrid w:val="0"/>
        </w:rPr>
        <w:t>.3-1</w:t>
      </w:r>
      <w:r>
        <w:rPr>
          <w:rFonts w:cs="Times New Roman"/>
          <w:snapToGrid w:val="0"/>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 xml:space="preserve">.3-1            </w:t>
      </w:r>
      <w:r>
        <w:rPr>
          <w:rFonts w:ascii="Times New Roman" w:hAnsi="Times New Roman" w:cs="Times New Roman" w:hint="default"/>
          <w:sz w:val="24"/>
          <w:szCs w:val="24"/>
        </w:rPr>
        <w:t xml:space="preserve">       </w:t>
      </w:r>
      <w:r>
        <w:rPr>
          <w:rFonts w:ascii="Times New Roman" w:hAnsi="Times New Roman" w:cs="Times New Roman" w:hint="default"/>
          <w:sz w:val="24"/>
          <w:szCs w:val="24"/>
        </w:rPr>
        <w:t>区域空气质量现状评价表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0"/>
        <w:gridCol w:w="1913"/>
        <w:gridCol w:w="1446"/>
        <w:gridCol w:w="1446"/>
        <w:gridCol w:w="1446"/>
        <w:gridCol w:w="1444"/>
      </w:tblGrid>
      <w:tr w:rsidR="00A46452">
        <w:trPr>
          <w:trHeight w:hRule="exact" w:val="429"/>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污染物</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年度评价指标</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现状浓度</w:t>
            </w:r>
          </w:p>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/(μg/m³)</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标准值</w:t>
            </w:r>
          </w:p>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/(μg/m³)</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占标率</w:t>
            </w:r>
          </w:p>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达标情况</w:t>
            </w:r>
          </w:p>
        </w:tc>
      </w:tr>
      <w:tr w:rsidR="00A46452">
        <w:trPr>
          <w:trHeight w:hRule="exact" w:val="273"/>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SO</w:t>
            </w:r>
            <w:r>
              <w:rPr>
                <w:rFonts w:cs="Times New Roman"/>
                <w:sz w:val="18"/>
                <w:szCs w:val="18"/>
                <w:vertAlign w:val="subscript"/>
              </w:rPr>
              <w:t>2</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年平均质量浓度</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5</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60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8.3</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达标</w:t>
            </w:r>
          </w:p>
        </w:tc>
      </w:tr>
      <w:tr w:rsidR="00A46452">
        <w:trPr>
          <w:trHeight w:hRule="exact" w:val="275"/>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NO</w:t>
            </w:r>
            <w:r>
              <w:rPr>
                <w:rFonts w:cs="Times New Roman"/>
                <w:sz w:val="18"/>
                <w:szCs w:val="18"/>
                <w:vertAlign w:val="subscript"/>
              </w:rPr>
              <w:t>2</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年平均质量浓度</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27</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40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67.5</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达标</w:t>
            </w:r>
          </w:p>
        </w:tc>
      </w:tr>
      <w:tr w:rsidR="00A46452">
        <w:trPr>
          <w:trHeight w:hRule="exact" w:val="275"/>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b/>
                <w:sz w:val="18"/>
                <w:szCs w:val="18"/>
              </w:rPr>
            </w:pPr>
            <w:r>
              <w:rPr>
                <w:rFonts w:cs="Times New Roman"/>
                <w:b/>
                <w:sz w:val="18"/>
                <w:szCs w:val="18"/>
              </w:rPr>
              <w:t>PM</w:t>
            </w:r>
            <w:r>
              <w:rPr>
                <w:rFonts w:cs="Times New Roman"/>
                <w:b/>
                <w:sz w:val="18"/>
                <w:szCs w:val="18"/>
                <w:vertAlign w:val="subscript"/>
              </w:rPr>
              <w:t>10</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年平均质量浓度</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81</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70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115.7</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b/>
                <w:sz w:val="18"/>
                <w:szCs w:val="18"/>
              </w:rPr>
            </w:pPr>
            <w:r>
              <w:rPr>
                <w:rFonts w:cs="Times New Roman"/>
                <w:b/>
                <w:sz w:val="18"/>
                <w:szCs w:val="18"/>
              </w:rPr>
              <w:t>超标</w:t>
            </w:r>
          </w:p>
        </w:tc>
      </w:tr>
      <w:tr w:rsidR="00A46452">
        <w:trPr>
          <w:trHeight w:hRule="exact" w:val="275"/>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b/>
                <w:sz w:val="18"/>
                <w:szCs w:val="18"/>
              </w:rPr>
            </w:pPr>
            <w:r>
              <w:rPr>
                <w:rFonts w:cs="Times New Roman"/>
                <w:b/>
                <w:sz w:val="18"/>
                <w:szCs w:val="18"/>
              </w:rPr>
              <w:t>PM</w:t>
            </w:r>
            <w:r>
              <w:rPr>
                <w:rFonts w:cs="Times New Roman"/>
                <w:b/>
                <w:sz w:val="18"/>
                <w:szCs w:val="18"/>
                <w:vertAlign w:val="subscript"/>
              </w:rPr>
              <w:t>2.5</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年平均质量浓度</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35</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35</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100</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b/>
                <w:sz w:val="18"/>
                <w:szCs w:val="18"/>
              </w:rPr>
            </w:pPr>
            <w:r>
              <w:rPr>
                <w:rFonts w:cs="Times New Roman"/>
                <w:b/>
                <w:sz w:val="18"/>
                <w:szCs w:val="18"/>
              </w:rPr>
              <w:t>超标</w:t>
            </w:r>
          </w:p>
        </w:tc>
      </w:tr>
      <w:tr w:rsidR="00A46452">
        <w:trPr>
          <w:trHeight w:hRule="exact" w:val="434"/>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CO</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24</w:t>
            </w:r>
            <w:r>
              <w:rPr>
                <w:rFonts w:cs="Times New Roman"/>
                <w:sz w:val="18"/>
                <w:szCs w:val="18"/>
              </w:rPr>
              <w:t>小时平均</w:t>
            </w:r>
          </w:p>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第</w:t>
            </w:r>
            <w:r>
              <w:rPr>
                <w:rFonts w:cs="Times New Roman"/>
                <w:sz w:val="18"/>
                <w:szCs w:val="18"/>
              </w:rPr>
              <w:t>95</w:t>
            </w:r>
            <w:r>
              <w:rPr>
                <w:rFonts w:cs="Times New Roman"/>
                <w:sz w:val="18"/>
                <w:szCs w:val="18"/>
              </w:rPr>
              <w:t>百分位数</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16</w:t>
            </w:r>
            <w:r>
              <w:rPr>
                <w:rFonts w:cs="Times New Roman"/>
                <w:sz w:val="18"/>
                <w:szCs w:val="18"/>
              </w:rPr>
              <w:t>00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4000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40</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达标</w:t>
            </w:r>
          </w:p>
        </w:tc>
      </w:tr>
      <w:tr w:rsidR="00A46452">
        <w:trPr>
          <w:trHeight w:hRule="exact" w:val="541"/>
        </w:trPr>
        <w:tc>
          <w:tcPr>
            <w:tcW w:w="481"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O</w:t>
            </w:r>
            <w:r>
              <w:rPr>
                <w:rFonts w:cs="Times New Roman"/>
                <w:sz w:val="18"/>
                <w:szCs w:val="18"/>
                <w:vertAlign w:val="subscript"/>
              </w:rPr>
              <w:t>3</w:t>
            </w:r>
          </w:p>
        </w:tc>
        <w:tc>
          <w:tcPr>
            <w:tcW w:w="1123"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日最大</w:t>
            </w:r>
            <w:r>
              <w:rPr>
                <w:rFonts w:cs="Times New Roman"/>
                <w:sz w:val="18"/>
                <w:szCs w:val="18"/>
              </w:rPr>
              <w:t>8</w:t>
            </w:r>
            <w:r>
              <w:rPr>
                <w:rFonts w:cs="Times New Roman"/>
                <w:sz w:val="18"/>
                <w:szCs w:val="18"/>
              </w:rPr>
              <w:t>小时平均第</w:t>
            </w:r>
            <w:r>
              <w:rPr>
                <w:rFonts w:cs="Times New Roman"/>
                <w:sz w:val="18"/>
                <w:szCs w:val="18"/>
              </w:rPr>
              <w:t>90</w:t>
            </w:r>
            <w:r>
              <w:rPr>
                <w:rFonts w:cs="Times New Roman"/>
                <w:sz w:val="18"/>
                <w:szCs w:val="18"/>
              </w:rPr>
              <w:t>百分位数</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132</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160</w:t>
            </w:r>
          </w:p>
        </w:tc>
        <w:tc>
          <w:tcPr>
            <w:tcW w:w="849" w:type="pct"/>
            <w:shd w:val="clear" w:color="auto" w:fill="auto"/>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82.5</w:t>
            </w:r>
          </w:p>
        </w:tc>
        <w:tc>
          <w:tcPr>
            <w:tcW w:w="848" w:type="pct"/>
            <w:vAlign w:val="center"/>
          </w:tcPr>
          <w:p w:rsidR="00A46452" w:rsidRDefault="009A3928">
            <w:pPr>
              <w:pStyle w:val="TableParagraph"/>
              <w:wordWrap w:val="0"/>
              <w:topLinePunct/>
              <w:adjustRightInd w:val="0"/>
              <w:snapToGrid w:val="0"/>
              <w:spacing w:line="200" w:lineRule="exact"/>
              <w:ind w:firstLineChars="0" w:firstLine="0"/>
              <w:jc w:val="center"/>
              <w:rPr>
                <w:rFonts w:cs="Times New Roman"/>
                <w:sz w:val="18"/>
                <w:szCs w:val="18"/>
              </w:rPr>
            </w:pPr>
            <w:r>
              <w:rPr>
                <w:rFonts w:cs="Times New Roman"/>
                <w:sz w:val="18"/>
                <w:szCs w:val="18"/>
              </w:rPr>
              <w:t>达标</w:t>
            </w:r>
          </w:p>
        </w:tc>
      </w:tr>
    </w:tbl>
    <w:p w:rsidR="00A46452" w:rsidRDefault="009A3928">
      <w:pPr>
        <w:wordWrap w:val="0"/>
        <w:topLinePunct/>
        <w:adjustRightInd w:val="0"/>
        <w:snapToGrid w:val="0"/>
        <w:ind w:firstLine="480"/>
        <w:rPr>
          <w:rFonts w:cs="Times New Roman"/>
          <w:snapToGrid w:val="0"/>
        </w:rPr>
      </w:pPr>
      <w:r>
        <w:rPr>
          <w:rFonts w:cs="Times New Roman"/>
          <w:snapToGrid w:val="0"/>
        </w:rPr>
        <w:t>由数据统计分析可知，阿克苏地区</w:t>
      </w:r>
      <w:r>
        <w:rPr>
          <w:rFonts w:cs="Times New Roman"/>
          <w:snapToGrid w:val="0"/>
        </w:rPr>
        <w:t>2023</w:t>
      </w:r>
      <w:r>
        <w:rPr>
          <w:rFonts w:cs="Times New Roman"/>
          <w:snapToGrid w:val="0"/>
        </w:rPr>
        <w:t>年</w:t>
      </w:r>
      <w:r>
        <w:rPr>
          <w:rFonts w:cs="Times New Roman"/>
          <w:snapToGrid w:val="0"/>
        </w:rPr>
        <w:t>SO</w:t>
      </w:r>
      <w:r>
        <w:rPr>
          <w:rFonts w:cs="Times New Roman"/>
          <w:snapToGrid w:val="0"/>
          <w:vertAlign w:val="subscript"/>
        </w:rPr>
        <w:t>2</w:t>
      </w:r>
      <w:r>
        <w:rPr>
          <w:rFonts w:cs="Times New Roman"/>
          <w:snapToGrid w:val="0"/>
        </w:rPr>
        <w:t>、</w:t>
      </w:r>
      <w:r>
        <w:rPr>
          <w:rFonts w:cs="Times New Roman"/>
          <w:snapToGrid w:val="0"/>
        </w:rPr>
        <w:t>NO</w:t>
      </w:r>
      <w:r>
        <w:rPr>
          <w:rFonts w:cs="Times New Roman"/>
          <w:snapToGrid w:val="0"/>
          <w:vertAlign w:val="subscript"/>
        </w:rPr>
        <w:t>2</w:t>
      </w:r>
      <w:r>
        <w:rPr>
          <w:rFonts w:cs="Times New Roman"/>
          <w:snapToGrid w:val="0"/>
        </w:rPr>
        <w:t>、</w:t>
      </w:r>
      <w:r>
        <w:rPr>
          <w:rFonts w:cs="Times New Roman"/>
          <w:snapToGrid w:val="0"/>
        </w:rPr>
        <w:t>PM</w:t>
      </w:r>
      <w:r>
        <w:rPr>
          <w:rFonts w:cs="Times New Roman"/>
          <w:snapToGrid w:val="0"/>
          <w:vertAlign w:val="subscript"/>
        </w:rPr>
        <w:t>10</w:t>
      </w:r>
      <w:r>
        <w:rPr>
          <w:rFonts w:cs="Times New Roman"/>
          <w:snapToGrid w:val="0"/>
        </w:rPr>
        <w:t>、</w:t>
      </w:r>
      <w:r>
        <w:rPr>
          <w:rFonts w:cs="Times New Roman"/>
          <w:snapToGrid w:val="0"/>
        </w:rPr>
        <w:t>PM</w:t>
      </w:r>
      <w:r>
        <w:rPr>
          <w:rFonts w:cs="Times New Roman"/>
          <w:snapToGrid w:val="0"/>
          <w:vertAlign w:val="subscript"/>
        </w:rPr>
        <w:t>2.5</w:t>
      </w:r>
      <w:r>
        <w:rPr>
          <w:rFonts w:cs="Times New Roman"/>
          <w:snapToGrid w:val="0"/>
        </w:rPr>
        <w:t>年均浓度分别为</w:t>
      </w:r>
      <w:r>
        <w:rPr>
          <w:rFonts w:cs="Times New Roman"/>
          <w:snapToGrid w:val="0"/>
        </w:rPr>
        <w:t>5</w:t>
      </w:r>
      <w:r>
        <w:rPr>
          <w:rFonts w:cs="Times New Roman"/>
          <w:snapToGrid w:val="0"/>
        </w:rPr>
        <w:t>μg/m³</w:t>
      </w:r>
      <w:r>
        <w:rPr>
          <w:rFonts w:cs="Times New Roman"/>
          <w:snapToGrid w:val="0"/>
        </w:rPr>
        <w:t>、</w:t>
      </w:r>
      <w:r>
        <w:rPr>
          <w:rFonts w:cs="Times New Roman"/>
          <w:snapToGrid w:val="0"/>
        </w:rPr>
        <w:t>27</w:t>
      </w:r>
      <w:r>
        <w:rPr>
          <w:rFonts w:cs="Times New Roman"/>
          <w:snapToGrid w:val="0"/>
        </w:rPr>
        <w:t>μg/m³</w:t>
      </w:r>
      <w:r>
        <w:rPr>
          <w:rFonts w:cs="Times New Roman"/>
          <w:snapToGrid w:val="0"/>
        </w:rPr>
        <w:t>、</w:t>
      </w:r>
      <w:r>
        <w:rPr>
          <w:rFonts w:cs="Times New Roman"/>
          <w:snapToGrid w:val="0"/>
        </w:rPr>
        <w:t>81</w:t>
      </w:r>
      <w:r>
        <w:rPr>
          <w:rFonts w:cs="Times New Roman"/>
          <w:snapToGrid w:val="0"/>
        </w:rPr>
        <w:t>μg/m³</w:t>
      </w:r>
      <w:r>
        <w:rPr>
          <w:rFonts w:cs="Times New Roman"/>
          <w:snapToGrid w:val="0"/>
        </w:rPr>
        <w:t>、</w:t>
      </w:r>
      <w:r>
        <w:rPr>
          <w:rFonts w:cs="Times New Roman"/>
          <w:snapToGrid w:val="0"/>
        </w:rPr>
        <w:t>3</w:t>
      </w:r>
      <w:r>
        <w:rPr>
          <w:rFonts w:cs="Times New Roman"/>
          <w:snapToGrid w:val="0"/>
        </w:rPr>
        <w:t>5</w:t>
      </w:r>
      <w:r>
        <w:rPr>
          <w:rFonts w:cs="Times New Roman"/>
          <w:snapToGrid w:val="0"/>
        </w:rPr>
        <w:t>μg/m³</w:t>
      </w:r>
      <w:r>
        <w:rPr>
          <w:rFonts w:cs="Times New Roman"/>
          <w:snapToGrid w:val="0"/>
        </w:rPr>
        <w:t>；</w:t>
      </w:r>
      <w:r>
        <w:rPr>
          <w:rFonts w:cs="Times New Roman"/>
          <w:snapToGrid w:val="0"/>
        </w:rPr>
        <w:t>CO24</w:t>
      </w:r>
      <w:r>
        <w:rPr>
          <w:rFonts w:cs="Times New Roman"/>
          <w:snapToGrid w:val="0"/>
        </w:rPr>
        <w:t>小时平均第</w:t>
      </w:r>
      <w:r>
        <w:rPr>
          <w:rFonts w:cs="Times New Roman"/>
          <w:snapToGrid w:val="0"/>
        </w:rPr>
        <w:t>95</w:t>
      </w:r>
      <w:r>
        <w:rPr>
          <w:rFonts w:cs="Times New Roman"/>
          <w:snapToGrid w:val="0"/>
        </w:rPr>
        <w:t>百分位数为</w:t>
      </w:r>
      <w:r>
        <w:rPr>
          <w:rFonts w:cs="Times New Roman"/>
          <w:snapToGrid w:val="0"/>
        </w:rPr>
        <w:t>1.6</w:t>
      </w:r>
      <w:r>
        <w:rPr>
          <w:rFonts w:cs="Times New Roman"/>
          <w:snapToGrid w:val="0"/>
        </w:rPr>
        <w:t>mg/m³</w:t>
      </w:r>
      <w:r>
        <w:rPr>
          <w:rFonts w:cs="Times New Roman"/>
          <w:snapToGrid w:val="0"/>
        </w:rPr>
        <w:t>，</w:t>
      </w:r>
      <w:r>
        <w:rPr>
          <w:rFonts w:cs="Times New Roman"/>
          <w:snapToGrid w:val="0"/>
        </w:rPr>
        <w:t>O</w:t>
      </w:r>
      <w:r>
        <w:rPr>
          <w:rFonts w:cs="Times New Roman"/>
          <w:snapToGrid w:val="0"/>
          <w:vertAlign w:val="subscript"/>
        </w:rPr>
        <w:t>3</w:t>
      </w:r>
      <w:r>
        <w:rPr>
          <w:rFonts w:cs="Times New Roman"/>
          <w:snapToGrid w:val="0"/>
        </w:rPr>
        <w:t>日最大</w:t>
      </w:r>
      <w:r>
        <w:rPr>
          <w:rFonts w:cs="Times New Roman"/>
          <w:snapToGrid w:val="0"/>
        </w:rPr>
        <w:t>8</w:t>
      </w:r>
      <w:r>
        <w:rPr>
          <w:rFonts w:cs="Times New Roman"/>
          <w:snapToGrid w:val="0"/>
        </w:rPr>
        <w:t>小时平均第</w:t>
      </w:r>
      <w:r>
        <w:rPr>
          <w:rFonts w:cs="Times New Roman"/>
          <w:snapToGrid w:val="0"/>
        </w:rPr>
        <w:t>90</w:t>
      </w:r>
      <w:r>
        <w:rPr>
          <w:rFonts w:cs="Times New Roman"/>
          <w:snapToGrid w:val="0"/>
        </w:rPr>
        <w:t>百分位数为</w:t>
      </w:r>
      <w:r>
        <w:rPr>
          <w:rFonts w:cs="Times New Roman"/>
          <w:snapToGrid w:val="0"/>
        </w:rPr>
        <w:t>13</w:t>
      </w:r>
      <w:r>
        <w:rPr>
          <w:rFonts w:cs="Times New Roman"/>
          <w:snapToGrid w:val="0"/>
        </w:rPr>
        <w:t>2</w:t>
      </w:r>
      <w:r>
        <w:rPr>
          <w:rFonts w:cs="Times New Roman"/>
          <w:snapToGrid w:val="0"/>
        </w:rPr>
        <w:t>μg/m³</w:t>
      </w:r>
      <w:r>
        <w:rPr>
          <w:rFonts w:cs="Times New Roman"/>
          <w:snapToGrid w:val="0"/>
        </w:rPr>
        <w:t>；超过《环境空气质量标准》（</w:t>
      </w:r>
      <w:r>
        <w:rPr>
          <w:rFonts w:cs="Times New Roman"/>
          <w:snapToGrid w:val="0"/>
        </w:rPr>
        <w:t>GB3095-2012</w:t>
      </w:r>
      <w:r>
        <w:rPr>
          <w:rFonts w:cs="Times New Roman"/>
          <w:snapToGrid w:val="0"/>
        </w:rPr>
        <w:t>）中二级标准限值的污染物为</w:t>
      </w:r>
      <w:r>
        <w:rPr>
          <w:rFonts w:cs="Times New Roman"/>
          <w:snapToGrid w:val="0"/>
        </w:rPr>
        <w:t>PM</w:t>
      </w:r>
      <w:r>
        <w:rPr>
          <w:rFonts w:cs="Times New Roman"/>
          <w:snapToGrid w:val="0"/>
          <w:vertAlign w:val="subscript"/>
        </w:rPr>
        <w:t>10</w:t>
      </w:r>
      <w:r>
        <w:rPr>
          <w:rFonts w:cs="Times New Roman"/>
          <w:snapToGrid w:val="0"/>
        </w:rPr>
        <w:t>、</w:t>
      </w:r>
      <w:r>
        <w:rPr>
          <w:rFonts w:cs="Times New Roman"/>
          <w:snapToGrid w:val="0"/>
        </w:rPr>
        <w:t>PM</w:t>
      </w:r>
      <w:r>
        <w:rPr>
          <w:rFonts w:cs="Times New Roman"/>
          <w:snapToGrid w:val="0"/>
          <w:vertAlign w:val="subscript"/>
        </w:rPr>
        <w:t>2.5</w:t>
      </w:r>
      <w:r>
        <w:rPr>
          <w:rFonts w:cs="Times New Roman"/>
          <w:snapToGrid w:val="0"/>
        </w:rPr>
        <w:t>，根据</w:t>
      </w:r>
      <w:r>
        <w:rPr>
          <w:rFonts w:cs="Times New Roman"/>
          <w:snapToGrid w:val="0"/>
        </w:rPr>
        <w:t>HJ663-2013</w:t>
      </w:r>
      <w:r>
        <w:rPr>
          <w:rFonts w:cs="Times New Roman"/>
          <w:snapToGrid w:val="0"/>
        </w:rPr>
        <w:t>判定，项目所在区判定为不达标区。</w:t>
      </w:r>
      <w:r>
        <w:rPr>
          <w:rFonts w:cs="Times New Roman"/>
          <w:snapToGrid w:val="0"/>
        </w:rPr>
        <w:t>PM</w:t>
      </w:r>
      <w:r>
        <w:rPr>
          <w:rFonts w:cs="Times New Roman"/>
          <w:snapToGrid w:val="0"/>
          <w:vertAlign w:val="subscript"/>
        </w:rPr>
        <w:t>2.5</w:t>
      </w:r>
      <w:r>
        <w:rPr>
          <w:rFonts w:cs="Times New Roman"/>
          <w:snapToGrid w:val="0"/>
        </w:rPr>
        <w:t>和</w:t>
      </w:r>
      <w:r>
        <w:rPr>
          <w:rFonts w:cs="Times New Roman"/>
          <w:snapToGrid w:val="0"/>
        </w:rPr>
        <w:t>PM</w:t>
      </w:r>
      <w:r>
        <w:rPr>
          <w:rFonts w:cs="Times New Roman"/>
          <w:snapToGrid w:val="0"/>
          <w:vertAlign w:val="subscript"/>
        </w:rPr>
        <w:t>10</w:t>
      </w:r>
      <w:r>
        <w:rPr>
          <w:rFonts w:cs="Times New Roman"/>
          <w:snapToGrid w:val="0"/>
        </w:rPr>
        <w:t>超标原因主要是项目区处于新疆南疆地区，当地浮尘天气、干旱气候和自然本底高所致。</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6.3.2</w:t>
      </w:r>
      <w:r>
        <w:rPr>
          <w:rFonts w:cs="Times New Roman" w:hint="default"/>
          <w:sz w:val="28"/>
          <w:szCs w:val="28"/>
        </w:rPr>
        <w:t>地表水环境质量现状监测与评价</w:t>
      </w:r>
    </w:p>
    <w:p w:rsidR="00A46452" w:rsidRDefault="009A3928">
      <w:pPr>
        <w:wordWrap w:val="0"/>
        <w:topLinePunct/>
        <w:adjustRightInd w:val="0"/>
        <w:snapToGrid w:val="0"/>
        <w:ind w:firstLine="480"/>
        <w:rPr>
          <w:rFonts w:cs="Times New Roman"/>
          <w:szCs w:val="24"/>
        </w:rPr>
      </w:pPr>
      <w:r>
        <w:rPr>
          <w:rFonts w:cs="Times New Roman"/>
          <w:szCs w:val="24"/>
        </w:rPr>
        <w:t>本次环评委托新疆</w:t>
      </w:r>
      <w:r>
        <w:rPr>
          <w:rFonts w:cs="Times New Roman"/>
          <w:szCs w:val="24"/>
        </w:rPr>
        <w:t>腾龙环境监测有限公司</w:t>
      </w:r>
      <w:r>
        <w:rPr>
          <w:rFonts w:cs="Times New Roman"/>
          <w:szCs w:val="24"/>
        </w:rPr>
        <w:t>于</w:t>
      </w:r>
      <w:r>
        <w:rPr>
          <w:rFonts w:cs="Times New Roman"/>
          <w:szCs w:val="24"/>
        </w:rPr>
        <w:t>2024</w:t>
      </w:r>
      <w:r>
        <w:rPr>
          <w:rFonts w:cs="Times New Roman"/>
          <w:szCs w:val="24"/>
        </w:rPr>
        <w:t>年</w:t>
      </w:r>
      <w:r>
        <w:rPr>
          <w:rFonts w:cs="Times New Roman"/>
          <w:szCs w:val="24"/>
        </w:rPr>
        <w:t>2</w:t>
      </w:r>
      <w:r>
        <w:rPr>
          <w:rFonts w:cs="Times New Roman"/>
          <w:szCs w:val="24"/>
        </w:rPr>
        <w:t>月</w:t>
      </w:r>
      <w:r>
        <w:rPr>
          <w:rFonts w:cs="Times New Roman"/>
          <w:szCs w:val="24"/>
        </w:rPr>
        <w:t>1</w:t>
      </w:r>
      <w:r>
        <w:rPr>
          <w:rFonts w:cs="Times New Roman"/>
          <w:szCs w:val="24"/>
        </w:rPr>
        <w:t>2</w:t>
      </w:r>
      <w:r>
        <w:rPr>
          <w:rFonts w:cs="Times New Roman"/>
          <w:szCs w:val="24"/>
        </w:rPr>
        <w:t>日对</w:t>
      </w:r>
      <w:r>
        <w:rPr>
          <w:rFonts w:cs="Times New Roman"/>
          <w:szCs w:val="24"/>
        </w:rPr>
        <w:t>柯坪河</w:t>
      </w:r>
      <w:r>
        <w:rPr>
          <w:rFonts w:cs="Times New Roman"/>
          <w:szCs w:val="24"/>
        </w:rPr>
        <w:t>进行采样监测。监测断面位置详见附图</w:t>
      </w:r>
      <w:r>
        <w:rPr>
          <w:rFonts w:cs="Times New Roman"/>
          <w:szCs w:val="24"/>
        </w:rPr>
        <w:t>4.3-2</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监测项目：</w:t>
      </w:r>
      <w:r>
        <w:rPr>
          <w:rFonts w:eastAsiaTheme="minorEastAsia" w:cs="Times New Roman"/>
          <w:szCs w:val="24"/>
        </w:rPr>
        <w:t>pH</w:t>
      </w:r>
      <w:r>
        <w:rPr>
          <w:rFonts w:eastAsiaTheme="minorEastAsia" w:cs="Times New Roman"/>
          <w:szCs w:val="24"/>
        </w:rPr>
        <w:t>、溶解氧、高锰酸盐指数、化学需氧量、五日生化需氧量、氨氮、总磷、氟化物、砷、汞、</w:t>
      </w:r>
      <w:r>
        <w:rPr>
          <w:rFonts w:eastAsiaTheme="minorEastAsia" w:cs="Times New Roman"/>
          <w:szCs w:val="24"/>
        </w:rPr>
        <w:t>镉、六价铬、挥发酚、石油类、阴离子表面活性剂</w:t>
      </w:r>
      <w:r>
        <w:rPr>
          <w:rFonts w:eastAsiaTheme="minorEastAsia" w:cs="Times New Roman"/>
          <w:szCs w:val="24"/>
        </w:rPr>
        <w:t>共</w:t>
      </w:r>
      <w:r>
        <w:rPr>
          <w:rFonts w:eastAsiaTheme="minorEastAsia" w:cs="Times New Roman"/>
          <w:szCs w:val="24"/>
        </w:rPr>
        <w:t>15</w:t>
      </w:r>
      <w:r>
        <w:rPr>
          <w:rFonts w:eastAsiaTheme="minorEastAsia" w:cs="Times New Roman"/>
          <w:szCs w:val="24"/>
        </w:rPr>
        <w:t>项</w:t>
      </w:r>
      <w:r>
        <w:rPr>
          <w:rFonts w:cs="Times New Roman"/>
          <w:szCs w:val="24"/>
        </w:rPr>
        <w:t>。</w:t>
      </w:r>
    </w:p>
    <w:p w:rsidR="00A46452" w:rsidRDefault="009A3928">
      <w:pPr>
        <w:wordWrap w:val="0"/>
        <w:topLinePunct/>
        <w:adjustRightInd w:val="0"/>
        <w:snapToGrid w:val="0"/>
        <w:ind w:firstLine="480"/>
        <w:rPr>
          <w:rFonts w:cs="Times New Roman"/>
          <w:kern w:val="0"/>
          <w:szCs w:val="24"/>
        </w:rPr>
      </w:pPr>
      <w:r>
        <w:rPr>
          <w:rFonts w:cs="Times New Roman"/>
          <w:szCs w:val="24"/>
        </w:rPr>
        <w:t>监测点位：</w:t>
      </w:r>
      <w:r>
        <w:rPr>
          <w:rFonts w:cs="Times New Roman"/>
          <w:szCs w:val="24"/>
        </w:rPr>
        <w:t>柯坪河</w:t>
      </w:r>
    </w:p>
    <w:p w:rsidR="00A46452" w:rsidRDefault="009A3928">
      <w:pPr>
        <w:wordWrap w:val="0"/>
        <w:topLinePunct/>
        <w:adjustRightInd w:val="0"/>
        <w:snapToGrid w:val="0"/>
        <w:ind w:firstLine="480"/>
        <w:rPr>
          <w:rFonts w:cs="Times New Roman"/>
          <w:szCs w:val="24"/>
        </w:rPr>
      </w:pPr>
      <w:r>
        <w:rPr>
          <w:rFonts w:cs="Times New Roman"/>
          <w:szCs w:val="24"/>
        </w:rPr>
        <w:t>监测单位：新疆</w:t>
      </w:r>
      <w:r>
        <w:rPr>
          <w:rFonts w:cs="Times New Roman"/>
          <w:szCs w:val="24"/>
        </w:rPr>
        <w:t>腾龙环境监测有限公司</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监测时间：</w:t>
      </w:r>
      <w:r>
        <w:rPr>
          <w:rFonts w:cs="Times New Roman"/>
          <w:szCs w:val="24"/>
        </w:rPr>
        <w:t>202</w:t>
      </w:r>
      <w:r>
        <w:rPr>
          <w:rFonts w:cs="Times New Roman"/>
          <w:szCs w:val="24"/>
        </w:rPr>
        <w:t>5</w:t>
      </w:r>
      <w:r>
        <w:rPr>
          <w:rFonts w:cs="Times New Roman"/>
          <w:szCs w:val="24"/>
        </w:rPr>
        <w:t>年</w:t>
      </w:r>
      <w:r>
        <w:rPr>
          <w:rFonts w:cs="Times New Roman"/>
          <w:szCs w:val="24"/>
        </w:rPr>
        <w:t>2</w:t>
      </w:r>
      <w:r>
        <w:rPr>
          <w:rFonts w:cs="Times New Roman"/>
          <w:szCs w:val="24"/>
        </w:rPr>
        <w:t>月</w:t>
      </w:r>
      <w:r>
        <w:rPr>
          <w:rFonts w:cs="Times New Roman"/>
          <w:szCs w:val="24"/>
        </w:rPr>
        <w:t>1</w:t>
      </w:r>
      <w:r>
        <w:rPr>
          <w:rFonts w:cs="Times New Roman"/>
          <w:szCs w:val="24"/>
        </w:rPr>
        <w:t>2</w:t>
      </w:r>
      <w:r>
        <w:rPr>
          <w:rFonts w:cs="Times New Roman"/>
          <w:szCs w:val="24"/>
        </w:rPr>
        <w:t>日。</w:t>
      </w:r>
    </w:p>
    <w:p w:rsidR="00A46452" w:rsidRDefault="009A3928">
      <w:pPr>
        <w:wordWrap w:val="0"/>
        <w:topLinePunct/>
        <w:adjustRightInd w:val="0"/>
        <w:snapToGrid w:val="0"/>
        <w:ind w:firstLine="480"/>
        <w:rPr>
          <w:rFonts w:cs="Times New Roman"/>
          <w:szCs w:val="24"/>
        </w:rPr>
      </w:pPr>
      <w:r>
        <w:rPr>
          <w:rFonts w:cs="Times New Roman"/>
          <w:szCs w:val="24"/>
        </w:rPr>
        <w:t>采样及分析方法依照国家生态环境局《环境水质监测质量保证手册》和《水和废水监测分析方法》的规定进行。</w:t>
      </w:r>
    </w:p>
    <w:p w:rsidR="00A46452" w:rsidRDefault="009A3928">
      <w:pPr>
        <w:wordWrap w:val="0"/>
        <w:topLinePunct/>
        <w:adjustRightInd w:val="0"/>
        <w:snapToGrid w:val="0"/>
        <w:ind w:firstLine="480"/>
        <w:rPr>
          <w:rFonts w:cs="Times New Roman"/>
          <w:szCs w:val="24"/>
        </w:rPr>
      </w:pPr>
      <w:r>
        <w:rPr>
          <w:rFonts w:cs="Times New Roman"/>
          <w:szCs w:val="24"/>
        </w:rPr>
        <w:t>柯坪河</w:t>
      </w:r>
      <w:r>
        <w:rPr>
          <w:rFonts w:cs="Times New Roman"/>
          <w:szCs w:val="24"/>
        </w:rPr>
        <w:t>在此线段现状使用功能为饮用、农业、工业用水，水质目标为</w:t>
      </w:r>
      <w:r>
        <w:rPr>
          <w:rFonts w:cs="Times New Roman"/>
          <w:szCs w:val="24"/>
        </w:rPr>
        <w:t>Ⅲ</w:t>
      </w:r>
      <w:r>
        <w:rPr>
          <w:rFonts w:cs="Times New Roman"/>
          <w:szCs w:val="24"/>
        </w:rPr>
        <w:t>类。</w:t>
      </w:r>
    </w:p>
    <w:p w:rsidR="00A46452" w:rsidRDefault="009A3928">
      <w:pPr>
        <w:wordWrap w:val="0"/>
        <w:topLinePunct/>
        <w:adjustRightInd w:val="0"/>
        <w:snapToGrid w:val="0"/>
        <w:ind w:firstLine="480"/>
        <w:rPr>
          <w:rFonts w:cs="Times New Roman"/>
          <w:szCs w:val="24"/>
        </w:rPr>
      </w:pPr>
      <w:r>
        <w:rPr>
          <w:rFonts w:cs="Times New Roman"/>
          <w:szCs w:val="24"/>
        </w:rPr>
        <w:t>评价方法采用单因子污染指数法对监测结果进行评价。</w:t>
      </w:r>
    </w:p>
    <w:p w:rsidR="00A46452" w:rsidRDefault="009A3928">
      <w:pPr>
        <w:wordWrap w:val="0"/>
        <w:topLinePunct/>
        <w:adjustRightInd w:val="0"/>
        <w:snapToGrid w:val="0"/>
        <w:ind w:firstLine="480"/>
        <w:rPr>
          <w:rFonts w:cs="Times New Roman"/>
          <w:szCs w:val="24"/>
        </w:rPr>
      </w:pPr>
      <w:r>
        <w:rPr>
          <w:rFonts w:cs="Times New Roman"/>
          <w:szCs w:val="24"/>
        </w:rPr>
        <w:t>监测及评价结果见表</w:t>
      </w:r>
      <w:r>
        <w:rPr>
          <w:rFonts w:cs="Times New Roman" w:hint="eastAsia"/>
          <w:szCs w:val="24"/>
        </w:rPr>
        <w:t>6</w:t>
      </w:r>
      <w:r>
        <w:rPr>
          <w:rFonts w:cs="Times New Roman"/>
          <w:szCs w:val="24"/>
        </w:rPr>
        <w:t>.3-3</w:t>
      </w:r>
      <w:r>
        <w:rPr>
          <w:rFonts w:cs="Times New Roman"/>
          <w:szCs w:val="24"/>
        </w:rPr>
        <w:t>。</w:t>
      </w:r>
    </w:p>
    <w:p w:rsidR="00A46452" w:rsidRDefault="009A3928">
      <w:pPr>
        <w:pStyle w:val="a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.3-</w:t>
      </w:r>
      <w:r>
        <w:rPr>
          <w:rFonts w:ascii="Times New Roman" w:hAnsi="Times New Roman" w:cs="Times New Roman"/>
          <w:sz w:val="24"/>
          <w:szCs w:val="24"/>
        </w:rPr>
        <w:t>2</w:t>
      </w:r>
      <w:r>
        <w:rPr>
          <w:rFonts w:ascii="Times New Roman" w:hAnsi="Times New Roman" w:cs="Times New Roman" w:hint="default"/>
          <w:sz w:val="24"/>
          <w:szCs w:val="24"/>
        </w:rPr>
        <w:t xml:space="preserve">            </w:t>
      </w:r>
      <w:r>
        <w:rPr>
          <w:rFonts w:ascii="Times New Roman" w:hAnsi="Times New Roman" w:cs="Times New Roman" w:hint="default"/>
          <w:sz w:val="24"/>
          <w:szCs w:val="24"/>
        </w:rPr>
        <w:t>地表水监测及评价</w:t>
      </w:r>
      <w:r>
        <w:rPr>
          <w:rFonts w:ascii="Times New Roman" w:hAnsi="Times New Roman" w:cs="Times New Roman" w:hint="default"/>
          <w:sz w:val="24"/>
          <w:szCs w:val="24"/>
        </w:rPr>
        <w:t xml:space="preserve">      </w:t>
      </w:r>
      <w:r>
        <w:rPr>
          <w:rFonts w:ascii="Times New Roman" w:hAnsi="Times New Roman" w:cs="Times New Roman" w:hint="default"/>
          <w:sz w:val="24"/>
          <w:szCs w:val="24"/>
        </w:rPr>
        <w:t>（单位：</w:t>
      </w:r>
      <w:r>
        <w:rPr>
          <w:rFonts w:ascii="Times New Roman" w:hAnsi="Times New Roman" w:cs="Times New Roman" w:hint="default"/>
          <w:sz w:val="24"/>
          <w:szCs w:val="24"/>
        </w:rPr>
        <w:t>mg/L</w:t>
      </w:r>
      <w:r>
        <w:rPr>
          <w:rFonts w:ascii="Times New Roman" w:hAnsi="Times New Roman" w:cs="Times New Roman" w:hint="default"/>
          <w:sz w:val="24"/>
          <w:szCs w:val="24"/>
        </w:rPr>
        <w:t>，</w:t>
      </w:r>
      <w:r>
        <w:rPr>
          <w:rFonts w:ascii="Times New Roman" w:hAnsi="Times New Roman" w:cs="Times New Roman" w:hint="default"/>
          <w:sz w:val="24"/>
          <w:szCs w:val="24"/>
        </w:rPr>
        <w:t>pH</w:t>
      </w:r>
      <w:r>
        <w:rPr>
          <w:rFonts w:ascii="Times New Roman" w:hAnsi="Times New Roman" w:cs="Times New Roman" w:hint="default"/>
          <w:sz w:val="24"/>
          <w:szCs w:val="24"/>
        </w:rPr>
        <w:t>无量纲）</w:t>
      </w:r>
    </w:p>
    <w:tbl>
      <w:tblPr>
        <w:tblW w:w="5000" w:type="pct"/>
        <w:tblInd w:w="9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2652"/>
        <w:gridCol w:w="1714"/>
        <w:gridCol w:w="1856"/>
        <w:gridCol w:w="2293"/>
      </w:tblGrid>
      <w:tr w:rsidR="00A46452">
        <w:trPr>
          <w:trHeight w:val="346"/>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rPr>
                <w:rFonts w:cs="Times New Roman"/>
                <w:kern w:val="0"/>
                <w:sz w:val="21"/>
                <w:lang w:bidi="ar"/>
              </w:rPr>
            </w:pPr>
            <w:r>
              <w:rPr>
                <w:rFonts w:cs="Times New Roman"/>
                <w:sz w:val="21"/>
              </w:rPr>
              <w:t>监测因子</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rPr>
                <w:rFonts w:cs="Times New Roman"/>
                <w:kern w:val="0"/>
                <w:sz w:val="21"/>
                <w:lang w:bidi="ar"/>
              </w:rPr>
            </w:pPr>
            <w:r>
              <w:rPr>
                <w:rFonts w:cs="Times New Roman"/>
                <w:sz w:val="21"/>
              </w:rPr>
              <w:t>监测结果</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评价标准</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是否达标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pH</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7.73</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sz w:val="21"/>
              </w:rPr>
              <w:t>6~9</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溶解氧</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7.72</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5</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高锰酸盐指数</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0.6</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6</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9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化学需氧量</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5</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20</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7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五日生化需氧量</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1.1</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4</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9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氨氮</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0.075</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1.0</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7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总磷</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0.01</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0.2</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30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氟化物</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0.338</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1.0</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砷</w:t>
            </w:r>
            <w:r>
              <w:rPr>
                <w:rFonts w:cs="Times New Roman"/>
                <w:kern w:val="0"/>
                <w:sz w:val="21"/>
                <w:lang w:bidi="ar"/>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0.0003L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0.01</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汞</w:t>
            </w:r>
            <w:r>
              <w:rPr>
                <w:rFonts w:cs="Times New Roman"/>
                <w:kern w:val="0"/>
                <w:sz w:val="21"/>
                <w:lang w:bidi="ar"/>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0.00004L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0.001</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9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镉</w:t>
            </w:r>
            <w:r>
              <w:rPr>
                <w:rFonts w:cs="Times New Roman"/>
                <w:kern w:val="0"/>
                <w:sz w:val="21"/>
                <w:lang w:bidi="ar"/>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0.0005L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0.05</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铬</w:t>
            </w:r>
            <w:r>
              <w:rPr>
                <w:rFonts w:cs="Times New Roman"/>
                <w:kern w:val="0"/>
                <w:sz w:val="21"/>
                <w:lang w:bidi="ar"/>
              </w:rPr>
              <w:t>(</w:t>
            </w:r>
            <w:r>
              <w:rPr>
                <w:rFonts w:cs="Times New Roman"/>
                <w:kern w:val="0"/>
                <w:sz w:val="21"/>
                <w:lang w:bidi="ar"/>
              </w:rPr>
              <w:t>六价</w:t>
            </w:r>
            <w:r>
              <w:rPr>
                <w:rFonts w:cs="Times New Roman"/>
                <w:kern w:val="0"/>
                <w:sz w:val="21"/>
                <w:lang w:bidi="ar"/>
              </w:rPr>
              <w:t>)</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0.004L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0.05</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挥发酚</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0.0003L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0.05</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7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石油类</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0.01L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0.05</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r w:rsidR="00A46452">
        <w:trPr>
          <w:trHeight w:val="280"/>
        </w:trPr>
        <w:tc>
          <w:tcPr>
            <w:tcW w:w="2202"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阴离子表面活性剂</w:t>
            </w:r>
            <w:r>
              <w:rPr>
                <w:rFonts w:cs="Times New Roman"/>
                <w:sz w:val="21"/>
              </w:rPr>
              <w:t>≤</w:t>
            </w:r>
          </w:p>
        </w:tc>
        <w:tc>
          <w:tcPr>
            <w:tcW w:w="1423"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rPr>
            </w:pPr>
            <w:r>
              <w:rPr>
                <w:rFonts w:cs="Times New Roman"/>
                <w:kern w:val="0"/>
                <w:sz w:val="21"/>
                <w:lang w:bidi="ar"/>
              </w:rPr>
              <w:t>0.05L</w:t>
            </w:r>
          </w:p>
        </w:tc>
        <w:tc>
          <w:tcPr>
            <w:tcW w:w="1541"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0.2</w:t>
            </w:r>
          </w:p>
        </w:tc>
        <w:tc>
          <w:tcPr>
            <w:tcW w:w="1904" w:type="dxa"/>
            <w:tcBorders>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bidi="ar"/>
              </w:rPr>
            </w:pPr>
            <w:r>
              <w:rPr>
                <w:rFonts w:cs="Times New Roman"/>
                <w:kern w:val="0"/>
                <w:sz w:val="21"/>
                <w:lang w:bidi="ar"/>
              </w:rPr>
              <w:t>达标</w:t>
            </w:r>
          </w:p>
        </w:tc>
      </w:tr>
    </w:tbl>
    <w:p w:rsidR="00A46452" w:rsidRDefault="009A3928">
      <w:pPr>
        <w:wordWrap w:val="0"/>
        <w:topLinePunct/>
        <w:adjustRightInd w:val="0"/>
        <w:snapToGrid w:val="0"/>
        <w:ind w:firstLine="480"/>
        <w:rPr>
          <w:rFonts w:cs="Times New Roman"/>
          <w:sz w:val="21"/>
          <w:szCs w:val="24"/>
        </w:rPr>
      </w:pPr>
      <w:r>
        <w:rPr>
          <w:rFonts w:cs="Times New Roman"/>
          <w:szCs w:val="24"/>
        </w:rPr>
        <w:t>监测结果表明：</w:t>
      </w:r>
      <w:r>
        <w:rPr>
          <w:rFonts w:cs="Times New Roman"/>
          <w:szCs w:val="24"/>
        </w:rPr>
        <w:t>柯坪河</w:t>
      </w:r>
      <w:r>
        <w:rPr>
          <w:rFonts w:cs="Times New Roman"/>
          <w:szCs w:val="24"/>
        </w:rPr>
        <w:t>各项监测指标均符合《地表水环境质量标准》（</w:t>
      </w:r>
      <w:r>
        <w:rPr>
          <w:rFonts w:cs="Times New Roman"/>
          <w:szCs w:val="24"/>
        </w:rPr>
        <w:t>GB3838-2002</w:t>
      </w:r>
      <w:r>
        <w:rPr>
          <w:rFonts w:cs="Times New Roman"/>
          <w:szCs w:val="24"/>
        </w:rPr>
        <w:t>）中</w:t>
      </w:r>
      <w:r>
        <w:rPr>
          <w:rFonts w:cs="Times New Roman"/>
          <w:szCs w:val="24"/>
        </w:rPr>
        <w:t>Ⅲ</w:t>
      </w:r>
      <w:r>
        <w:rPr>
          <w:rFonts w:cs="Times New Roman"/>
          <w:szCs w:val="24"/>
        </w:rPr>
        <w:t>类标准。</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6.3.3</w:t>
      </w:r>
      <w:r>
        <w:rPr>
          <w:rFonts w:cs="Times New Roman" w:hint="default"/>
          <w:sz w:val="28"/>
          <w:szCs w:val="28"/>
        </w:rPr>
        <w:t>声环境质量现状监测与评价</w:t>
      </w:r>
    </w:p>
    <w:p w:rsidR="00A46452" w:rsidRDefault="009A3928">
      <w:pPr>
        <w:wordWrap w:val="0"/>
        <w:topLinePunct/>
        <w:adjustRightInd w:val="0"/>
        <w:snapToGrid w:val="0"/>
        <w:ind w:firstLine="480"/>
        <w:rPr>
          <w:rFonts w:cs="Times New Roman"/>
          <w:kern w:val="0"/>
          <w:szCs w:val="24"/>
        </w:rPr>
      </w:pPr>
      <w:r>
        <w:rPr>
          <w:rFonts w:cs="Times New Roman"/>
          <w:snapToGrid w:val="0"/>
          <w:szCs w:val="24"/>
        </w:rPr>
        <w:t>本次环评委托</w:t>
      </w:r>
      <w:r>
        <w:rPr>
          <w:rFonts w:cs="Times New Roman"/>
          <w:szCs w:val="24"/>
        </w:rPr>
        <w:t>新疆</w:t>
      </w:r>
      <w:r>
        <w:rPr>
          <w:rFonts w:cs="Times New Roman"/>
          <w:szCs w:val="24"/>
        </w:rPr>
        <w:t>腾龙环境监测有限公司</w:t>
      </w:r>
      <w:r>
        <w:rPr>
          <w:rFonts w:cs="Times New Roman"/>
          <w:szCs w:val="24"/>
        </w:rPr>
        <w:t>于</w:t>
      </w:r>
      <w:r>
        <w:rPr>
          <w:rFonts w:cs="Times New Roman"/>
          <w:szCs w:val="24"/>
        </w:rPr>
        <w:t>202</w:t>
      </w:r>
      <w:r>
        <w:rPr>
          <w:rFonts w:cs="Times New Roman"/>
          <w:szCs w:val="24"/>
        </w:rPr>
        <w:t>5</w:t>
      </w:r>
      <w:r>
        <w:rPr>
          <w:rFonts w:cs="Times New Roman"/>
          <w:szCs w:val="24"/>
        </w:rPr>
        <w:t>年</w:t>
      </w:r>
      <w:r>
        <w:rPr>
          <w:rFonts w:cs="Times New Roman"/>
          <w:szCs w:val="24"/>
        </w:rPr>
        <w:t>2</w:t>
      </w:r>
      <w:r>
        <w:rPr>
          <w:rFonts w:cs="Times New Roman"/>
          <w:szCs w:val="24"/>
        </w:rPr>
        <w:t>月</w:t>
      </w:r>
      <w:r>
        <w:rPr>
          <w:rFonts w:cs="Times New Roman"/>
          <w:szCs w:val="24"/>
        </w:rPr>
        <w:t>11</w:t>
      </w:r>
      <w:r>
        <w:rPr>
          <w:rFonts w:cs="Times New Roman"/>
          <w:szCs w:val="24"/>
        </w:rPr>
        <w:t>日对</w:t>
      </w:r>
      <w:r>
        <w:rPr>
          <w:rFonts w:cs="Times New Roman"/>
          <w:szCs w:val="24"/>
        </w:rPr>
        <w:t>拟建项目沿线的学校、居民区</w:t>
      </w:r>
      <w:r>
        <w:rPr>
          <w:rFonts w:cs="Times New Roman"/>
          <w:szCs w:val="24"/>
        </w:rPr>
        <w:t>进行环境噪声检测。</w:t>
      </w:r>
      <w:r>
        <w:rPr>
          <w:rFonts w:cs="Times New Roman"/>
          <w:kern w:val="0"/>
          <w:szCs w:val="24"/>
        </w:rPr>
        <w:t>具体采样点位置详见图</w:t>
      </w:r>
      <w:r>
        <w:rPr>
          <w:rFonts w:cs="Times New Roman"/>
          <w:kern w:val="0"/>
          <w:szCs w:val="24"/>
        </w:rPr>
        <w:t>4.3-3</w:t>
      </w:r>
      <w:r>
        <w:rPr>
          <w:rFonts w:cs="Times New Roman"/>
          <w:kern w:val="0"/>
          <w:szCs w:val="24"/>
        </w:rPr>
        <w:t>。</w:t>
      </w:r>
    </w:p>
    <w:p w:rsidR="00A46452" w:rsidRDefault="009A3928">
      <w:pPr>
        <w:wordWrap w:val="0"/>
        <w:topLinePunct/>
        <w:adjustRightInd w:val="0"/>
        <w:snapToGrid w:val="0"/>
        <w:ind w:firstLine="480"/>
        <w:rPr>
          <w:rFonts w:cs="Times New Roman"/>
          <w:szCs w:val="24"/>
        </w:rPr>
      </w:pPr>
      <w:r>
        <w:rPr>
          <w:rFonts w:cs="Times New Roman"/>
          <w:szCs w:val="24"/>
        </w:rPr>
        <w:t>监测项目：环境噪声。</w:t>
      </w:r>
    </w:p>
    <w:p w:rsidR="00A46452" w:rsidRDefault="009A3928">
      <w:pPr>
        <w:wordWrap w:val="0"/>
        <w:topLinePunct/>
        <w:adjustRightInd w:val="0"/>
        <w:snapToGrid w:val="0"/>
        <w:ind w:firstLine="480"/>
        <w:rPr>
          <w:rFonts w:cs="Times New Roman"/>
          <w:szCs w:val="24"/>
        </w:rPr>
      </w:pPr>
      <w:r>
        <w:rPr>
          <w:rFonts w:cs="Times New Roman"/>
          <w:szCs w:val="24"/>
        </w:rPr>
        <w:t>监测单位：新疆新环监测检测研究院（有限公司）。</w:t>
      </w:r>
    </w:p>
    <w:p w:rsidR="00A46452" w:rsidRDefault="009A3928">
      <w:pPr>
        <w:wordWrap w:val="0"/>
        <w:topLinePunct/>
        <w:adjustRightInd w:val="0"/>
        <w:snapToGrid w:val="0"/>
        <w:ind w:firstLine="480"/>
        <w:rPr>
          <w:rFonts w:cs="Times New Roman"/>
          <w:szCs w:val="24"/>
        </w:rPr>
      </w:pPr>
      <w:r>
        <w:rPr>
          <w:rFonts w:cs="Times New Roman"/>
          <w:szCs w:val="24"/>
        </w:rPr>
        <w:t>监测时间：</w:t>
      </w:r>
      <w:r>
        <w:rPr>
          <w:rFonts w:cs="Times New Roman"/>
          <w:szCs w:val="24"/>
        </w:rPr>
        <w:t>202</w:t>
      </w:r>
      <w:r>
        <w:rPr>
          <w:rFonts w:cs="Times New Roman"/>
          <w:szCs w:val="24"/>
        </w:rPr>
        <w:t>5</w:t>
      </w:r>
      <w:r>
        <w:rPr>
          <w:rFonts w:cs="Times New Roman"/>
          <w:szCs w:val="24"/>
        </w:rPr>
        <w:t>.</w:t>
      </w:r>
      <w:r>
        <w:rPr>
          <w:rFonts w:cs="Times New Roman"/>
          <w:szCs w:val="24"/>
        </w:rPr>
        <w:t>2</w:t>
      </w:r>
      <w:r>
        <w:rPr>
          <w:rFonts w:cs="Times New Roman"/>
          <w:szCs w:val="24"/>
        </w:rPr>
        <w:t>.</w:t>
      </w:r>
      <w:r>
        <w:rPr>
          <w:rFonts w:cs="Times New Roman"/>
          <w:szCs w:val="24"/>
        </w:rPr>
        <w:t>11</w:t>
      </w:r>
      <w:r>
        <w:rPr>
          <w:rFonts w:cs="Times New Roman"/>
          <w:szCs w:val="24"/>
        </w:rPr>
        <w:t>~</w:t>
      </w:r>
      <w:r>
        <w:rPr>
          <w:rFonts w:cs="Times New Roman"/>
          <w:szCs w:val="24"/>
        </w:rPr>
        <w:t>2</w:t>
      </w:r>
      <w:r>
        <w:rPr>
          <w:rFonts w:cs="Times New Roman"/>
          <w:szCs w:val="24"/>
        </w:rPr>
        <w:t>.</w:t>
      </w:r>
      <w:r>
        <w:rPr>
          <w:rFonts w:cs="Times New Roman"/>
          <w:szCs w:val="24"/>
        </w:rPr>
        <w:t>12</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项目沿线环境噪声监测统计结果见表</w:t>
      </w:r>
      <w:r>
        <w:rPr>
          <w:rFonts w:cs="Times New Roman" w:hint="eastAsia"/>
          <w:snapToGrid w:val="0"/>
          <w:szCs w:val="24"/>
        </w:rPr>
        <w:t>6</w:t>
      </w:r>
      <w:r>
        <w:rPr>
          <w:rFonts w:cs="Times New Roman"/>
          <w:snapToGrid w:val="0"/>
          <w:szCs w:val="24"/>
        </w:rPr>
        <w:t>.3-</w:t>
      </w:r>
      <w:r>
        <w:rPr>
          <w:rFonts w:cs="Times New Roman" w:hint="eastAsia"/>
          <w:snapToGrid w:val="0"/>
          <w:szCs w:val="24"/>
        </w:rPr>
        <w:t>3~</w:t>
      </w:r>
      <w:r>
        <w:rPr>
          <w:rFonts w:cs="Times New Roman" w:hint="eastAsia"/>
          <w:snapToGrid w:val="0"/>
          <w:szCs w:val="24"/>
        </w:rPr>
        <w:t>表</w:t>
      </w:r>
      <w:r>
        <w:rPr>
          <w:rFonts w:cs="Times New Roman" w:hint="eastAsia"/>
          <w:snapToGrid w:val="0"/>
          <w:szCs w:val="24"/>
        </w:rPr>
        <w:t>6.3-6</w:t>
      </w:r>
      <w:r>
        <w:rPr>
          <w:rFonts w:cs="Times New Roman"/>
          <w:snapToGrid w:val="0"/>
          <w:szCs w:val="24"/>
        </w:rPr>
        <w:t>。</w:t>
      </w:r>
    </w:p>
    <w:p w:rsidR="00A46452" w:rsidRDefault="009A3928">
      <w:pPr>
        <w:wordWrap w:val="0"/>
        <w:topLinePunct/>
        <w:adjustRightInd w:val="0"/>
        <w:snapToGrid w:val="0"/>
        <w:ind w:firstLine="480"/>
        <w:rPr>
          <w:rFonts w:cs="Times New Roman"/>
          <w:b/>
          <w:kern w:val="0"/>
          <w:szCs w:val="24"/>
        </w:rPr>
      </w:pPr>
      <w:r>
        <w:rPr>
          <w:rFonts w:cs="Times New Roman"/>
          <w:szCs w:val="20"/>
        </w:rPr>
        <w:t>根据现状监测结果，拟建公路路段现有噪声主要为交通噪声，受影响的对象主要为沿线两侧的居民，从以上现状监测结果可以看出，各监测点昼间和夜间声环境均满足《声环境质量标准》（</w:t>
      </w:r>
      <w:r>
        <w:rPr>
          <w:rFonts w:cs="Times New Roman"/>
          <w:szCs w:val="20"/>
        </w:rPr>
        <w:t>GB3096-2008</w:t>
      </w:r>
      <w:r>
        <w:rPr>
          <w:rFonts w:cs="Times New Roman"/>
          <w:szCs w:val="20"/>
        </w:rPr>
        <w:t>）中</w:t>
      </w:r>
      <w:r>
        <w:rPr>
          <w:rFonts w:cs="Times New Roman"/>
          <w:szCs w:val="20"/>
        </w:rPr>
        <w:t>2</w:t>
      </w:r>
      <w:r>
        <w:rPr>
          <w:rFonts w:cs="Times New Roman"/>
          <w:szCs w:val="20"/>
        </w:rPr>
        <w:t>类标准。</w:t>
      </w:r>
    </w:p>
    <w:p w:rsidR="00A46452" w:rsidRDefault="00A46452">
      <w:pPr>
        <w:wordWrap w:val="0"/>
        <w:topLinePunct/>
        <w:adjustRightInd w:val="0"/>
        <w:snapToGrid w:val="0"/>
        <w:ind w:firstLine="480"/>
        <w:rPr>
          <w:rFonts w:cs="Times New Roman"/>
          <w:snapToGrid w:val="0"/>
          <w:szCs w:val="24"/>
        </w:rPr>
      </w:pPr>
    </w:p>
    <w:p w:rsidR="00A46452" w:rsidRDefault="00A46452">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sectPr w:rsidR="00A46452">
          <w:pgSz w:w="11905" w:h="16838"/>
          <w:pgMar w:top="1383" w:right="1803" w:bottom="1383" w:left="1803" w:header="850" w:footer="680" w:gutter="0"/>
          <w:cols w:space="0"/>
          <w:docGrid w:type="lines" w:linePitch="331"/>
        </w:sectPr>
      </w:pP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.3</w:t>
      </w:r>
      <w:r>
        <w:rPr>
          <w:rFonts w:ascii="Times New Roman" w:hAnsi="Times New Roman" w:cs="Times New Roman"/>
          <w:sz w:val="24"/>
          <w:szCs w:val="24"/>
        </w:rPr>
        <w:t>-3</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公路沿线居民点环境噪声监测统计结果表</w:t>
      </w:r>
      <w:r>
        <w:rPr>
          <w:rFonts w:ascii="Times New Roman" w:hAnsi="Times New Roman" w:cs="Times New Roman" w:hint="default"/>
          <w:sz w:val="24"/>
          <w:szCs w:val="24"/>
        </w:rPr>
        <w:t>（</w:t>
      </w:r>
      <w:r>
        <w:rPr>
          <w:rFonts w:ascii="Times New Roman" w:hAnsi="Times New Roman" w:cs="Times New Roman" w:hint="default"/>
          <w:sz w:val="24"/>
          <w:szCs w:val="24"/>
        </w:rPr>
        <w:t>2025</w:t>
      </w:r>
      <w:r>
        <w:rPr>
          <w:rFonts w:ascii="Times New Roman" w:hAnsi="Times New Roman" w:cs="Times New Roman" w:hint="default"/>
          <w:sz w:val="24"/>
          <w:szCs w:val="24"/>
        </w:rPr>
        <w:t>年</w:t>
      </w:r>
      <w:r>
        <w:rPr>
          <w:rFonts w:ascii="Times New Roman" w:hAnsi="Times New Roman" w:cs="Times New Roman" w:hint="default"/>
          <w:sz w:val="24"/>
          <w:szCs w:val="24"/>
        </w:rPr>
        <w:t>2</w:t>
      </w:r>
      <w:r>
        <w:rPr>
          <w:rFonts w:ascii="Times New Roman" w:hAnsi="Times New Roman" w:cs="Times New Roman" w:hint="default"/>
          <w:sz w:val="24"/>
          <w:szCs w:val="24"/>
        </w:rPr>
        <w:t>月</w:t>
      </w:r>
      <w:r>
        <w:rPr>
          <w:rFonts w:ascii="Times New Roman" w:hAnsi="Times New Roman" w:cs="Times New Roman" w:hint="default"/>
          <w:sz w:val="24"/>
          <w:szCs w:val="24"/>
        </w:rPr>
        <w:t>11</w:t>
      </w:r>
      <w:r>
        <w:rPr>
          <w:rFonts w:ascii="Times New Roman" w:hAnsi="Times New Roman" w:cs="Times New Roman" w:hint="default"/>
          <w:sz w:val="24"/>
          <w:szCs w:val="24"/>
        </w:rPr>
        <w:t>日昼间</w:t>
      </w:r>
      <w:r>
        <w:rPr>
          <w:rFonts w:ascii="Times New Roman" w:hAnsi="Times New Roman" w:cs="Times New Roman" w:hint="default"/>
          <w:sz w:val="24"/>
          <w:szCs w:val="24"/>
        </w:rPr>
        <w:t>）</w:t>
      </w:r>
    </w:p>
    <w:tbl>
      <w:tblPr>
        <w:tblW w:w="496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489"/>
        <w:gridCol w:w="533"/>
        <w:gridCol w:w="1656"/>
        <w:gridCol w:w="1296"/>
        <w:gridCol w:w="1296"/>
        <w:gridCol w:w="1205"/>
        <w:gridCol w:w="756"/>
        <w:gridCol w:w="936"/>
        <w:gridCol w:w="846"/>
        <w:gridCol w:w="816"/>
        <w:gridCol w:w="845"/>
        <w:gridCol w:w="663"/>
        <w:gridCol w:w="1837"/>
      </w:tblGrid>
      <w:tr w:rsidR="00A46452">
        <w:trPr>
          <w:trHeight w:val="151"/>
        </w:trPr>
        <w:tc>
          <w:tcPr>
            <w:tcW w:w="712" w:type="pct"/>
            <w:gridSpan w:val="2"/>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监测点位</w:t>
            </w:r>
          </w:p>
        </w:tc>
        <w:tc>
          <w:tcPr>
            <w:tcW w:w="58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距离公路最近距离</w:t>
            </w:r>
          </w:p>
        </w:tc>
        <w:tc>
          <w:tcPr>
            <w:tcW w:w="457"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标准值（昼）</w:t>
            </w:r>
          </w:p>
        </w:tc>
        <w:tc>
          <w:tcPr>
            <w:tcW w:w="457"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标准值（夜）</w:t>
            </w:r>
          </w:p>
        </w:tc>
        <w:tc>
          <w:tcPr>
            <w:tcW w:w="425"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w:t>
            </w:r>
            <w:r>
              <w:rPr>
                <w:rFonts w:cs="Times New Roman"/>
                <w:kern w:val="0"/>
                <w:sz w:val="18"/>
                <w:szCs w:val="18"/>
                <w:lang w:bidi="ar"/>
              </w:rPr>
              <w:t>日</w:t>
            </w:r>
          </w:p>
        </w:tc>
        <w:tc>
          <w:tcPr>
            <w:tcW w:w="266" w:type="pct"/>
            <w:vMerge w:val="restar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z w:val="18"/>
                <w:szCs w:val="18"/>
              </w:rPr>
              <w:t>实测值</w:t>
            </w:r>
          </w:p>
        </w:tc>
        <w:tc>
          <w:tcPr>
            <w:tcW w:w="330"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达标情况</w:t>
            </w:r>
          </w:p>
        </w:tc>
        <w:tc>
          <w:tcPr>
            <w:tcW w:w="1118" w:type="pct"/>
            <w:gridSpan w:val="4"/>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测量时间段内车流量</w:t>
            </w:r>
          </w:p>
        </w:tc>
        <w:tc>
          <w:tcPr>
            <w:tcW w:w="648"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主要噪声源</w:t>
            </w:r>
          </w:p>
        </w:tc>
      </w:tr>
      <w:tr w:rsidR="00A46452">
        <w:trPr>
          <w:trHeight w:val="151"/>
        </w:trPr>
        <w:tc>
          <w:tcPr>
            <w:tcW w:w="712" w:type="pct"/>
            <w:gridSpan w:val="2"/>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58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25"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266"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330"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大型车</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中</w:t>
            </w:r>
            <w:r>
              <w:rPr>
                <w:rFonts w:cs="Times New Roman"/>
                <w:sz w:val="21"/>
              </w:rPr>
              <w:t>、</w:t>
            </w:r>
            <w:r>
              <w:rPr>
                <w:rFonts w:cs="Times New Roman"/>
                <w:sz w:val="21"/>
              </w:rPr>
              <w:t>小型车</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sz w:val="21"/>
              </w:rPr>
            </w:pPr>
            <w:r>
              <w:rPr>
                <w:rFonts w:cs="Times New Roman"/>
                <w:sz w:val="21"/>
              </w:rPr>
              <w:t>总车</w:t>
            </w:r>
          </w:p>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流量</w:t>
            </w:r>
          </w:p>
        </w:tc>
        <w:tc>
          <w:tcPr>
            <w:tcW w:w="648"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kern w:val="0"/>
                <w:sz w:val="18"/>
                <w:szCs w:val="18"/>
                <w:lang w:bidi="ar"/>
              </w:rPr>
            </w:pPr>
          </w:p>
        </w:tc>
      </w:tr>
      <w:tr w:rsidR="00A46452">
        <w:trPr>
          <w:trHeight w:val="300"/>
        </w:trPr>
        <w:tc>
          <w:tcPr>
            <w:tcW w:w="52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hint="eastAsia"/>
                <w:spacing w:val="1"/>
                <w:sz w:val="21"/>
              </w:rPr>
              <w:t>幸福佳园一期</w:t>
            </w: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pacing w:val="-2"/>
                <w:sz w:val="21"/>
                <w:szCs w:val="21"/>
                <w:lang w:eastAsia="zh-CN"/>
              </w:rPr>
              <w:t>45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39</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12</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pacing w:val="-2"/>
                <w:sz w:val="21"/>
                <w:szCs w:val="21"/>
                <w:lang w:eastAsia="zh-CN"/>
              </w:rPr>
              <w:t>43.9</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36</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11</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pacing w:val="-3"/>
                <w:sz w:val="21"/>
                <w:szCs w:val="21"/>
                <w:lang w:eastAsia="zh-CN"/>
              </w:rPr>
              <w:t>43.9</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37</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12</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39.9</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4</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pacing w:val="1"/>
                <w:sz w:val="21"/>
              </w:rPr>
              <w:t>柯坪湖州小学</w:t>
            </w: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47.0.</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53</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4</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pacing w:val="-3"/>
                <w:sz w:val="21"/>
                <w:szCs w:val="21"/>
                <w:lang w:eastAsia="zh-CN"/>
              </w:rPr>
              <w:t>47.9</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57</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5</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600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39.5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A46452">
            <w:pPr>
              <w:adjustRightInd w:val="0"/>
              <w:snapToGrid w:val="0"/>
              <w:spacing w:line="240" w:lineRule="auto"/>
              <w:ind w:firstLineChars="0" w:firstLine="0"/>
              <w:jc w:val="center"/>
              <w:rPr>
                <w:rFonts w:cs="Times New Roman"/>
                <w:kern w:val="0"/>
                <w:sz w:val="18"/>
                <w:szCs w:val="18"/>
                <w:lang w:bidi="ar"/>
              </w:rPr>
            </w:pP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7</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90"/>
        </w:trPr>
        <w:tc>
          <w:tcPr>
            <w:tcW w:w="52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80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21"/>
                <w:szCs w:val="21"/>
                <w:lang w:eastAsia="zh-CN"/>
              </w:rPr>
            </w:pPr>
            <w:r>
              <w:rPr>
                <w:rFonts w:eastAsia="宋体"/>
                <w:spacing w:val="-3"/>
                <w:sz w:val="21"/>
                <w:szCs w:val="21"/>
                <w:lang w:eastAsia="zh-CN"/>
              </w:rPr>
              <w:t>48.5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1</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67</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1</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60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48.2</w:t>
            </w:r>
          </w:p>
        </w:tc>
        <w:tc>
          <w:tcPr>
            <w:tcW w:w="330"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21"/>
                <w:szCs w:val="21"/>
              </w:rPr>
            </w:pPr>
            <w:r>
              <w:rPr>
                <w:spacing w:val="-3"/>
                <w:sz w:val="21"/>
                <w:szCs w:val="21"/>
              </w:rPr>
              <w:t>38.7</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A46452">
            <w:pPr>
              <w:adjustRightInd w:val="0"/>
              <w:snapToGrid w:val="0"/>
              <w:spacing w:line="240" w:lineRule="auto"/>
              <w:ind w:firstLineChars="0" w:firstLine="0"/>
              <w:jc w:val="center"/>
              <w:rPr>
                <w:rFonts w:cs="Times New Roman"/>
                <w:kern w:val="0"/>
                <w:sz w:val="18"/>
                <w:szCs w:val="18"/>
                <w:lang w:bidi="ar"/>
              </w:rPr>
            </w:pP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54</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pacing w:val="-3"/>
                <w:sz w:val="21"/>
                <w:szCs w:val="21"/>
                <w:lang w:eastAsia="zh-CN"/>
              </w:rPr>
              <w:t>49.9</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586" w:type="pct"/>
            <w:gridSpan w:val="2"/>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72</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右侧</w:t>
            </w:r>
            <w:r>
              <w:rPr>
                <w:rFonts w:cs="Times New Roman"/>
                <w:kern w:val="0"/>
                <w:sz w:val="18"/>
                <w:szCs w:val="18"/>
                <w:lang w:bidi="ar"/>
              </w:rPr>
              <w:t>12</w:t>
            </w:r>
            <w:r>
              <w:rPr>
                <w:rFonts w:cs="Times New Roman"/>
                <w:kern w:val="0"/>
                <w:sz w:val="18"/>
                <w:szCs w:val="18"/>
                <w:lang w:bidi="ar"/>
              </w:rPr>
              <w:t>7</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49.4</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28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297"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23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bl>
    <w:p w:rsidR="00A46452" w:rsidRDefault="00A46452">
      <w:pPr>
        <w:pStyle w:val="ac"/>
        <w:adjustRightInd w:val="0"/>
        <w:snapToGrid w:val="0"/>
        <w:ind w:firstLine="480"/>
        <w:jc w:val="left"/>
        <w:rPr>
          <w:rFonts w:ascii="Times New Roman" w:hAnsi="Times New Roman" w:cs="Times New Roman" w:hint="default"/>
          <w:sz w:val="24"/>
          <w:szCs w:val="24"/>
        </w:rPr>
      </w:pP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.3-</w:t>
      </w:r>
      <w:r>
        <w:rPr>
          <w:rFonts w:ascii="Times New Roman" w:hAnsi="Times New Roman" w:cs="Times New Roman"/>
          <w:sz w:val="24"/>
          <w:szCs w:val="24"/>
        </w:rPr>
        <w:t>4</w:t>
      </w:r>
      <w:r>
        <w:rPr>
          <w:rFonts w:ascii="Times New Roman" w:hAnsi="Times New Roman" w:cs="Times New Roman" w:hint="default"/>
          <w:sz w:val="24"/>
          <w:szCs w:val="24"/>
        </w:rPr>
        <w:t xml:space="preserve">                                  </w:t>
      </w:r>
      <w:r>
        <w:rPr>
          <w:rFonts w:ascii="Times New Roman" w:hAnsi="Times New Roman" w:cs="Times New Roman" w:hint="default"/>
          <w:sz w:val="24"/>
          <w:szCs w:val="24"/>
        </w:rPr>
        <w:t>公路沿线环境噪声监测统计结果表</w:t>
      </w:r>
      <w:r>
        <w:rPr>
          <w:rFonts w:ascii="Times New Roman" w:hAnsi="Times New Roman" w:cs="Times New Roman" w:hint="default"/>
          <w:sz w:val="24"/>
          <w:szCs w:val="24"/>
        </w:rPr>
        <w:t>（</w:t>
      </w:r>
      <w:r>
        <w:rPr>
          <w:rFonts w:ascii="Times New Roman" w:hAnsi="Times New Roman" w:cs="Times New Roman" w:hint="default"/>
          <w:sz w:val="24"/>
          <w:szCs w:val="24"/>
        </w:rPr>
        <w:t>2025</w:t>
      </w:r>
      <w:r>
        <w:rPr>
          <w:rFonts w:ascii="Times New Roman" w:hAnsi="Times New Roman" w:cs="Times New Roman" w:hint="default"/>
          <w:sz w:val="24"/>
          <w:szCs w:val="24"/>
        </w:rPr>
        <w:t>年</w:t>
      </w:r>
      <w:r>
        <w:rPr>
          <w:rFonts w:ascii="Times New Roman" w:hAnsi="Times New Roman" w:cs="Times New Roman" w:hint="default"/>
          <w:sz w:val="24"/>
          <w:szCs w:val="24"/>
        </w:rPr>
        <w:t>2</w:t>
      </w:r>
      <w:r>
        <w:rPr>
          <w:rFonts w:ascii="Times New Roman" w:hAnsi="Times New Roman" w:cs="Times New Roman" w:hint="default"/>
          <w:sz w:val="24"/>
          <w:szCs w:val="24"/>
        </w:rPr>
        <w:t>月</w:t>
      </w:r>
      <w:r>
        <w:rPr>
          <w:rFonts w:ascii="Times New Roman" w:hAnsi="Times New Roman" w:cs="Times New Roman" w:hint="default"/>
          <w:sz w:val="24"/>
          <w:szCs w:val="24"/>
        </w:rPr>
        <w:t>11</w:t>
      </w:r>
      <w:r>
        <w:rPr>
          <w:rFonts w:ascii="Times New Roman" w:hAnsi="Times New Roman" w:cs="Times New Roman" w:hint="default"/>
          <w:sz w:val="24"/>
          <w:szCs w:val="24"/>
        </w:rPr>
        <w:t>日夜间</w:t>
      </w:r>
      <w:r>
        <w:rPr>
          <w:rFonts w:ascii="Times New Roman" w:hAnsi="Times New Roman" w:cs="Times New Roman" w:hint="default"/>
          <w:sz w:val="24"/>
          <w:szCs w:val="24"/>
        </w:rPr>
        <w:t>）</w:t>
      </w:r>
    </w:p>
    <w:tbl>
      <w:tblPr>
        <w:tblW w:w="496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489"/>
        <w:gridCol w:w="532"/>
        <w:gridCol w:w="1656"/>
        <w:gridCol w:w="1296"/>
        <w:gridCol w:w="1296"/>
        <w:gridCol w:w="1124"/>
        <w:gridCol w:w="756"/>
        <w:gridCol w:w="936"/>
        <w:gridCol w:w="846"/>
        <w:gridCol w:w="1351"/>
        <w:gridCol w:w="1056"/>
        <w:gridCol w:w="1836"/>
      </w:tblGrid>
      <w:tr w:rsidR="00A46452">
        <w:trPr>
          <w:trHeight w:val="151"/>
          <w:jc w:val="center"/>
        </w:trPr>
        <w:tc>
          <w:tcPr>
            <w:tcW w:w="712" w:type="pct"/>
            <w:gridSpan w:val="2"/>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监测点位</w:t>
            </w:r>
          </w:p>
        </w:tc>
        <w:tc>
          <w:tcPr>
            <w:tcW w:w="58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距离公路最近距离</w:t>
            </w:r>
          </w:p>
        </w:tc>
        <w:tc>
          <w:tcPr>
            <w:tcW w:w="457"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标准值（昼）</w:t>
            </w:r>
          </w:p>
        </w:tc>
        <w:tc>
          <w:tcPr>
            <w:tcW w:w="457"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标准值（夜）</w:t>
            </w:r>
          </w:p>
        </w:tc>
        <w:tc>
          <w:tcPr>
            <w:tcW w:w="425"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w:t>
            </w:r>
            <w:r>
              <w:rPr>
                <w:rFonts w:cs="Times New Roman"/>
                <w:kern w:val="0"/>
                <w:sz w:val="18"/>
                <w:szCs w:val="18"/>
                <w:lang w:bidi="ar"/>
              </w:rPr>
              <w:t>日</w:t>
            </w:r>
          </w:p>
        </w:tc>
        <w:tc>
          <w:tcPr>
            <w:tcW w:w="266" w:type="pct"/>
            <w:vMerge w:val="restar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sz w:val="18"/>
                <w:szCs w:val="18"/>
              </w:rPr>
            </w:pPr>
            <w:r>
              <w:rPr>
                <w:rFonts w:cs="Times New Roman"/>
                <w:sz w:val="18"/>
                <w:szCs w:val="18"/>
              </w:rPr>
              <w:t>实测值</w:t>
            </w:r>
          </w:p>
        </w:tc>
        <w:tc>
          <w:tcPr>
            <w:tcW w:w="330"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达标情况</w:t>
            </w:r>
          </w:p>
        </w:tc>
        <w:tc>
          <w:tcPr>
            <w:tcW w:w="1118" w:type="pct"/>
            <w:gridSpan w:val="3"/>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测量时间段内车流量</w:t>
            </w:r>
          </w:p>
        </w:tc>
        <w:tc>
          <w:tcPr>
            <w:tcW w:w="648"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主要噪声源</w:t>
            </w:r>
          </w:p>
        </w:tc>
      </w:tr>
      <w:tr w:rsidR="00A46452">
        <w:trPr>
          <w:trHeight w:val="151"/>
          <w:jc w:val="center"/>
        </w:trPr>
        <w:tc>
          <w:tcPr>
            <w:tcW w:w="712" w:type="pct"/>
            <w:gridSpan w:val="2"/>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58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425"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266"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330"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21"/>
                <w:szCs w:val="24"/>
              </w:rPr>
            </w:pP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大型车</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中</w:t>
            </w:r>
            <w:r>
              <w:rPr>
                <w:rFonts w:cs="Times New Roman"/>
                <w:sz w:val="21"/>
              </w:rPr>
              <w:t>、</w:t>
            </w:r>
            <w:r>
              <w:rPr>
                <w:rFonts w:cs="Times New Roman"/>
                <w:sz w:val="21"/>
              </w:rPr>
              <w:t>小型车</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1"/>
              </w:rPr>
              <w:t>总车流量</w:t>
            </w:r>
          </w:p>
        </w:tc>
        <w:tc>
          <w:tcPr>
            <w:tcW w:w="648"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kern w:val="0"/>
                <w:sz w:val="18"/>
                <w:szCs w:val="18"/>
                <w:lang w:bidi="ar"/>
              </w:rPr>
            </w:pPr>
          </w:p>
        </w:tc>
      </w:tr>
      <w:tr w:rsidR="00A46452">
        <w:trPr>
          <w:trHeight w:val="300"/>
          <w:jc w:val="center"/>
        </w:trPr>
        <w:tc>
          <w:tcPr>
            <w:tcW w:w="52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hint="eastAsia"/>
                <w:spacing w:val="1"/>
                <w:sz w:val="21"/>
              </w:rPr>
              <w:t>幸福佳园一期</w:t>
            </w: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2"/>
                <w:sz w:val="21"/>
                <w:szCs w:val="21"/>
              </w:rPr>
              <w:t>41.1</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21</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23</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2"/>
                <w:sz w:val="21"/>
                <w:szCs w:val="21"/>
              </w:rPr>
              <w:t>42.5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27</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25</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3"/>
                <w:sz w:val="21"/>
                <w:szCs w:val="21"/>
              </w:rPr>
              <w:t>37.5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23</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25</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34.0</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val="restar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pacing w:val="1"/>
                <w:sz w:val="21"/>
              </w:rPr>
              <w:t>柯坪湖州小学</w:t>
            </w: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2"/>
                <w:sz w:val="21"/>
                <w:szCs w:val="21"/>
              </w:rPr>
              <w:t>40.2</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9</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10</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adjustRightInd w:val="0"/>
              <w:snapToGrid w:val="0"/>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3"/>
                <w:sz w:val="21"/>
                <w:szCs w:val="21"/>
              </w:rPr>
              <w:t>39.7</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4</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5</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600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36.0</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80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21"/>
                <w:szCs w:val="21"/>
              </w:rPr>
            </w:pPr>
            <w:r>
              <w:rPr>
                <w:spacing w:val="-3"/>
                <w:sz w:val="21"/>
                <w:szCs w:val="21"/>
              </w:rPr>
              <w:t>39.0</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2</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szCs w:val="24"/>
              </w:rPr>
              <w:t>2</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60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41.4</w:t>
            </w:r>
          </w:p>
        </w:tc>
        <w:tc>
          <w:tcPr>
            <w:tcW w:w="330"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21"/>
                <w:szCs w:val="21"/>
              </w:rPr>
            </w:pPr>
            <w:r>
              <w:rPr>
                <w:spacing w:val="-3"/>
                <w:sz w:val="21"/>
                <w:szCs w:val="21"/>
              </w:rPr>
              <w:t>38.7</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kern w:val="0"/>
                <w:sz w:val="18"/>
                <w:szCs w:val="18"/>
                <w:lang w:bidi="ar"/>
              </w:rPr>
              <w:t>/</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54</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18"/>
                <w:szCs w:val="18"/>
              </w:rPr>
            </w:pPr>
            <w:r>
              <w:rPr>
                <w:spacing w:val="-3"/>
                <w:sz w:val="21"/>
                <w:szCs w:val="21"/>
              </w:rPr>
              <w:t>38.7</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sz w:val="20"/>
              </w:rPr>
            </w:pPr>
            <w:r>
              <w:rPr>
                <w:rFonts w:cs="Times New Roman"/>
                <w:sz w:val="20"/>
              </w:rPr>
              <w:t>1</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1</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背景点</w:t>
            </w:r>
          </w:p>
        </w:tc>
        <w:tc>
          <w:tcPr>
            <w:tcW w:w="584"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右侧</w:t>
            </w:r>
            <w:r>
              <w:rPr>
                <w:rFonts w:cs="Times New Roman"/>
                <w:kern w:val="0"/>
                <w:sz w:val="18"/>
                <w:szCs w:val="18"/>
                <w:lang w:bidi="ar"/>
              </w:rPr>
              <w:t>12</w:t>
            </w:r>
            <w:r>
              <w:rPr>
                <w:rFonts w:cs="Times New Roman"/>
                <w:kern w:val="0"/>
                <w:sz w:val="18"/>
                <w:szCs w:val="18"/>
                <w:lang w:bidi="ar"/>
              </w:rPr>
              <w:t>7</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39.5</w:t>
            </w:r>
          </w:p>
        </w:tc>
        <w:tc>
          <w:tcPr>
            <w:tcW w:w="330"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0</w:t>
            </w:r>
          </w:p>
        </w:tc>
        <w:tc>
          <w:tcPr>
            <w:tcW w:w="493"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w:t>
            </w:r>
          </w:p>
        </w:tc>
        <w:tc>
          <w:tcPr>
            <w:tcW w:w="326" w:type="pct"/>
            <w:tcBorders>
              <w:tl2br w:val="nil"/>
              <w:tr2bl w:val="nil"/>
            </w:tcBorders>
            <w:noWrap/>
            <w:vAlign w:val="center"/>
          </w:tcPr>
          <w:p w:rsidR="00A46452" w:rsidRDefault="009A3928">
            <w:pPr>
              <w:adjustRightInd w:val="0"/>
              <w:snapToGrid w:val="0"/>
              <w:spacing w:line="240" w:lineRule="auto"/>
              <w:ind w:firstLineChars="0" w:firstLine="0"/>
              <w:jc w:val="center"/>
              <w:rPr>
                <w:rFonts w:cs="Times New Roman"/>
                <w:kern w:val="0"/>
                <w:sz w:val="18"/>
                <w:szCs w:val="18"/>
                <w:lang w:bidi="ar"/>
              </w:rPr>
            </w:pPr>
            <w:r>
              <w:rPr>
                <w:rFonts w:cs="Times New Roman"/>
                <w:sz w:val="20"/>
              </w:rPr>
              <w:t>/</w:t>
            </w:r>
          </w:p>
        </w:tc>
        <w:tc>
          <w:tcPr>
            <w:tcW w:w="648" w:type="pct"/>
            <w:tcBorders>
              <w:tl2br w:val="nil"/>
              <w:tr2bl w:val="nil"/>
            </w:tcBorders>
            <w:noWrap/>
            <w:vAlign w:val="center"/>
          </w:tcPr>
          <w:p w:rsidR="00A46452" w:rsidRDefault="009A3928">
            <w:pPr>
              <w:widowControl/>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bl>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 xml:space="preserve">.3-5                                  </w:t>
      </w:r>
      <w:r>
        <w:rPr>
          <w:rFonts w:ascii="Times New Roman" w:hAnsi="Times New Roman" w:cs="Times New Roman" w:hint="default"/>
          <w:sz w:val="24"/>
          <w:szCs w:val="24"/>
        </w:rPr>
        <w:t>公路沿线环境噪声监测统计结果表</w:t>
      </w:r>
      <w:r>
        <w:rPr>
          <w:rFonts w:ascii="Times New Roman" w:hAnsi="Times New Roman" w:cs="Times New Roman" w:hint="default"/>
          <w:sz w:val="24"/>
          <w:szCs w:val="24"/>
        </w:rPr>
        <w:t>（</w:t>
      </w:r>
      <w:r>
        <w:rPr>
          <w:rFonts w:ascii="Times New Roman" w:hAnsi="Times New Roman" w:cs="Times New Roman" w:hint="default"/>
          <w:sz w:val="24"/>
          <w:szCs w:val="24"/>
        </w:rPr>
        <w:t>2025</w:t>
      </w:r>
      <w:r>
        <w:rPr>
          <w:rFonts w:ascii="Times New Roman" w:hAnsi="Times New Roman" w:cs="Times New Roman" w:hint="default"/>
          <w:sz w:val="24"/>
          <w:szCs w:val="24"/>
        </w:rPr>
        <w:t>年</w:t>
      </w:r>
      <w:r>
        <w:rPr>
          <w:rFonts w:ascii="Times New Roman" w:hAnsi="Times New Roman" w:cs="Times New Roman" w:hint="default"/>
          <w:sz w:val="24"/>
          <w:szCs w:val="24"/>
        </w:rPr>
        <w:t>2</w:t>
      </w:r>
      <w:r>
        <w:rPr>
          <w:rFonts w:ascii="Times New Roman" w:hAnsi="Times New Roman" w:cs="Times New Roman" w:hint="default"/>
          <w:sz w:val="24"/>
          <w:szCs w:val="24"/>
        </w:rPr>
        <w:t>月</w:t>
      </w:r>
      <w:r>
        <w:rPr>
          <w:rFonts w:ascii="Times New Roman" w:hAnsi="Times New Roman" w:cs="Times New Roman" w:hint="default"/>
          <w:sz w:val="24"/>
          <w:szCs w:val="24"/>
        </w:rPr>
        <w:t>12</w:t>
      </w:r>
      <w:r>
        <w:rPr>
          <w:rFonts w:ascii="Times New Roman" w:hAnsi="Times New Roman" w:cs="Times New Roman" w:hint="default"/>
          <w:sz w:val="24"/>
          <w:szCs w:val="24"/>
        </w:rPr>
        <w:t>日昼间</w:t>
      </w:r>
      <w:r>
        <w:rPr>
          <w:rFonts w:ascii="Times New Roman" w:hAnsi="Times New Roman" w:cs="Times New Roman" w:hint="default"/>
          <w:sz w:val="24"/>
          <w:szCs w:val="24"/>
        </w:rPr>
        <w:t>）</w:t>
      </w:r>
    </w:p>
    <w:tbl>
      <w:tblPr>
        <w:tblW w:w="496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86"/>
        <w:gridCol w:w="534"/>
        <w:gridCol w:w="1657"/>
        <w:gridCol w:w="1297"/>
        <w:gridCol w:w="1297"/>
        <w:gridCol w:w="1203"/>
        <w:gridCol w:w="755"/>
        <w:gridCol w:w="935"/>
        <w:gridCol w:w="984"/>
        <w:gridCol w:w="811"/>
        <w:gridCol w:w="1378"/>
        <w:gridCol w:w="1837"/>
      </w:tblGrid>
      <w:tr w:rsidR="00A46452">
        <w:trPr>
          <w:trHeight w:val="151"/>
          <w:jc w:val="center"/>
        </w:trPr>
        <w:tc>
          <w:tcPr>
            <w:tcW w:w="712" w:type="pct"/>
            <w:gridSpan w:val="2"/>
            <w:vMerge w:val="restart"/>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kern w:val="0"/>
                <w:sz w:val="18"/>
                <w:szCs w:val="18"/>
                <w:lang w:bidi="ar"/>
              </w:rPr>
            </w:pPr>
          </w:p>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监测点位</w:t>
            </w:r>
          </w:p>
        </w:tc>
        <w:tc>
          <w:tcPr>
            <w:tcW w:w="58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距离公路最近距离</w:t>
            </w:r>
          </w:p>
        </w:tc>
        <w:tc>
          <w:tcPr>
            <w:tcW w:w="457"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标准值（昼）</w:t>
            </w:r>
          </w:p>
        </w:tc>
        <w:tc>
          <w:tcPr>
            <w:tcW w:w="457"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标准值（夜）</w:t>
            </w:r>
          </w:p>
        </w:tc>
        <w:tc>
          <w:tcPr>
            <w:tcW w:w="42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2</w:t>
            </w:r>
            <w:r>
              <w:rPr>
                <w:rFonts w:cs="Times New Roman"/>
                <w:kern w:val="0"/>
                <w:sz w:val="18"/>
                <w:szCs w:val="18"/>
                <w:lang w:bidi="ar"/>
              </w:rPr>
              <w:t>日</w:t>
            </w:r>
          </w:p>
        </w:tc>
        <w:tc>
          <w:tcPr>
            <w:tcW w:w="266" w:type="pct"/>
            <w:vMerge w:val="restart"/>
            <w:tcBorders>
              <w:tl2br w:val="nil"/>
              <w:tr2bl w:val="nil"/>
            </w:tcBorders>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实测值</w:t>
            </w:r>
          </w:p>
        </w:tc>
        <w:tc>
          <w:tcPr>
            <w:tcW w:w="330"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达标情况</w:t>
            </w:r>
          </w:p>
        </w:tc>
        <w:tc>
          <w:tcPr>
            <w:tcW w:w="1119" w:type="pct"/>
            <w:gridSpan w:val="3"/>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测量时间段内车流量</w:t>
            </w:r>
          </w:p>
        </w:tc>
        <w:tc>
          <w:tcPr>
            <w:tcW w:w="648"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主要噪声源</w:t>
            </w:r>
          </w:p>
        </w:tc>
      </w:tr>
      <w:tr w:rsidR="00A46452">
        <w:trPr>
          <w:trHeight w:val="151"/>
          <w:jc w:val="center"/>
        </w:trPr>
        <w:tc>
          <w:tcPr>
            <w:tcW w:w="712" w:type="pct"/>
            <w:gridSpan w:val="2"/>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58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266"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330"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大型车</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中</w:t>
            </w:r>
            <w:r>
              <w:rPr>
                <w:rFonts w:cs="Times New Roman"/>
                <w:sz w:val="21"/>
              </w:rPr>
              <w:t>、</w:t>
            </w:r>
            <w:r>
              <w:rPr>
                <w:rFonts w:cs="Times New Roman"/>
                <w:sz w:val="21"/>
              </w:rPr>
              <w:t>小型车</w:t>
            </w:r>
          </w:p>
        </w:tc>
        <w:tc>
          <w:tcPr>
            <w:tcW w:w="485"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总车流量</w:t>
            </w:r>
          </w:p>
        </w:tc>
        <w:tc>
          <w:tcPr>
            <w:tcW w:w="648"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kern w:val="0"/>
                <w:sz w:val="18"/>
                <w:szCs w:val="18"/>
                <w:lang w:bidi="ar"/>
              </w:rPr>
            </w:pPr>
          </w:p>
        </w:tc>
      </w:tr>
      <w:tr w:rsidR="00A46452">
        <w:trPr>
          <w:trHeight w:val="300"/>
          <w:jc w:val="center"/>
        </w:trPr>
        <w:tc>
          <w:tcPr>
            <w:tcW w:w="52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hint="eastAsia"/>
                <w:spacing w:val="1"/>
                <w:sz w:val="21"/>
              </w:rPr>
              <w:t>幸福佳园一期</w:t>
            </w:r>
          </w:p>
        </w:tc>
        <w:tc>
          <w:tcPr>
            <w:tcW w:w="188"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46.9</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41</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41</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8"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45.6</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46</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46</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8"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43.7</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42</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42</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34.4</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pacing w:val="1"/>
                <w:sz w:val="21"/>
              </w:rPr>
              <w:t>柯坪湖州小学</w:t>
            </w:r>
          </w:p>
        </w:tc>
        <w:tc>
          <w:tcPr>
            <w:tcW w:w="188"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47.4</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61</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61</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8"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48.4</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56</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56</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600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39.5</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90"/>
          <w:jc w:val="center"/>
        </w:trPr>
        <w:tc>
          <w:tcPr>
            <w:tcW w:w="5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80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21"/>
                <w:szCs w:val="21"/>
                <w:lang w:eastAsia="zh-CN"/>
              </w:rPr>
            </w:pPr>
            <w:r>
              <w:rPr>
                <w:rFonts w:eastAsia="宋体"/>
                <w:sz w:val="21"/>
                <w:szCs w:val="21"/>
                <w:lang w:eastAsia="zh-CN"/>
              </w:rPr>
              <w:t>38.5</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65</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65</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60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40.9</w:t>
            </w:r>
          </w:p>
        </w:tc>
        <w:tc>
          <w:tcPr>
            <w:tcW w:w="330"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21"/>
                <w:szCs w:val="21"/>
              </w:rPr>
            </w:pPr>
            <w:r>
              <w:rPr>
                <w:spacing w:val="-3"/>
                <w:sz w:val="21"/>
                <w:szCs w:val="21"/>
              </w:rPr>
              <w:t>38.7</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5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54</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43.9</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56</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56</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jc w:val="center"/>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右侧</w:t>
            </w:r>
            <w:r>
              <w:rPr>
                <w:rFonts w:cs="Times New Roman"/>
                <w:kern w:val="0"/>
                <w:sz w:val="18"/>
                <w:szCs w:val="18"/>
                <w:lang w:bidi="ar"/>
              </w:rPr>
              <w:t>12</w:t>
            </w:r>
            <w:r>
              <w:rPr>
                <w:rFonts w:cs="Times New Roman"/>
                <w:kern w:val="0"/>
                <w:sz w:val="18"/>
                <w:szCs w:val="18"/>
                <w:lang w:bidi="ar"/>
              </w:rPr>
              <w:t>7</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eastAsiaTheme="minorEastAsia" w:cs="Times New Roman"/>
                <w:kern w:val="0"/>
                <w:sz w:val="18"/>
                <w:szCs w:val="18"/>
                <w:lang w:bidi="ar"/>
              </w:rPr>
              <w:t>昼</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43.9</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347"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286"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1376" w:type="dxa"/>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bl>
    <w:p w:rsidR="00A46452" w:rsidRDefault="009A3928">
      <w:pPr>
        <w:pStyle w:val="ac"/>
        <w:adjustRightInd w:val="0"/>
        <w:snapToGrid w:val="0"/>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6</w:t>
      </w:r>
      <w:r>
        <w:rPr>
          <w:rFonts w:ascii="Times New Roman" w:hAnsi="Times New Roman" w:cs="Times New Roman" w:hint="default"/>
          <w:sz w:val="24"/>
          <w:szCs w:val="24"/>
        </w:rPr>
        <w:t>.3-</w:t>
      </w:r>
      <w:r>
        <w:rPr>
          <w:rFonts w:ascii="Times New Roman" w:hAnsi="Times New Roman" w:cs="Times New Roman"/>
          <w:sz w:val="24"/>
          <w:szCs w:val="24"/>
        </w:rPr>
        <w:t>6</w:t>
      </w:r>
      <w:r>
        <w:rPr>
          <w:rFonts w:ascii="Times New Roman" w:hAnsi="Times New Roman" w:cs="Times New Roman" w:hint="default"/>
          <w:sz w:val="24"/>
          <w:szCs w:val="24"/>
        </w:rPr>
        <w:t xml:space="preserve">                                  </w:t>
      </w:r>
      <w:r>
        <w:rPr>
          <w:rFonts w:ascii="Times New Roman" w:hAnsi="Times New Roman" w:cs="Times New Roman" w:hint="default"/>
          <w:sz w:val="24"/>
          <w:szCs w:val="24"/>
        </w:rPr>
        <w:t>公路沿线环境噪声监测统计结果表</w:t>
      </w:r>
      <w:r>
        <w:rPr>
          <w:rFonts w:ascii="Times New Roman" w:hAnsi="Times New Roman" w:cs="Times New Roman" w:hint="default"/>
          <w:sz w:val="24"/>
          <w:szCs w:val="24"/>
        </w:rPr>
        <w:t>（</w:t>
      </w:r>
      <w:r>
        <w:rPr>
          <w:rFonts w:ascii="Times New Roman" w:hAnsi="Times New Roman" w:cs="Times New Roman" w:hint="default"/>
          <w:sz w:val="24"/>
          <w:szCs w:val="24"/>
        </w:rPr>
        <w:t>2025</w:t>
      </w:r>
      <w:r>
        <w:rPr>
          <w:rFonts w:ascii="Times New Roman" w:hAnsi="Times New Roman" w:cs="Times New Roman" w:hint="default"/>
          <w:sz w:val="24"/>
          <w:szCs w:val="24"/>
        </w:rPr>
        <w:t>年</w:t>
      </w:r>
      <w:r>
        <w:rPr>
          <w:rFonts w:ascii="Times New Roman" w:hAnsi="Times New Roman" w:cs="Times New Roman" w:hint="default"/>
          <w:sz w:val="24"/>
          <w:szCs w:val="24"/>
        </w:rPr>
        <w:t>2</w:t>
      </w:r>
      <w:r>
        <w:rPr>
          <w:rFonts w:ascii="Times New Roman" w:hAnsi="Times New Roman" w:cs="Times New Roman" w:hint="default"/>
          <w:sz w:val="24"/>
          <w:szCs w:val="24"/>
        </w:rPr>
        <w:t>月</w:t>
      </w:r>
      <w:r>
        <w:rPr>
          <w:rFonts w:ascii="Times New Roman" w:hAnsi="Times New Roman" w:cs="Times New Roman" w:hint="default"/>
          <w:sz w:val="24"/>
          <w:szCs w:val="24"/>
        </w:rPr>
        <w:t>12</w:t>
      </w:r>
      <w:r>
        <w:rPr>
          <w:rFonts w:ascii="Times New Roman" w:hAnsi="Times New Roman" w:cs="Times New Roman" w:hint="default"/>
          <w:sz w:val="24"/>
          <w:szCs w:val="24"/>
        </w:rPr>
        <w:t>日夜间</w:t>
      </w:r>
      <w:r>
        <w:rPr>
          <w:rFonts w:ascii="Times New Roman" w:hAnsi="Times New Roman" w:cs="Times New Roman" w:hint="default"/>
          <w:sz w:val="24"/>
          <w:szCs w:val="24"/>
        </w:rPr>
        <w:t>）</w:t>
      </w:r>
    </w:p>
    <w:tbl>
      <w:tblPr>
        <w:tblW w:w="496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489"/>
        <w:gridCol w:w="532"/>
        <w:gridCol w:w="1656"/>
        <w:gridCol w:w="1296"/>
        <w:gridCol w:w="1296"/>
        <w:gridCol w:w="1205"/>
        <w:gridCol w:w="756"/>
        <w:gridCol w:w="936"/>
        <w:gridCol w:w="846"/>
        <w:gridCol w:w="1412"/>
        <w:gridCol w:w="913"/>
        <w:gridCol w:w="1837"/>
      </w:tblGrid>
      <w:tr w:rsidR="00A46452">
        <w:trPr>
          <w:trHeight w:val="151"/>
        </w:trPr>
        <w:tc>
          <w:tcPr>
            <w:tcW w:w="712" w:type="pct"/>
            <w:gridSpan w:val="2"/>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监测点位</w:t>
            </w:r>
          </w:p>
        </w:tc>
        <w:tc>
          <w:tcPr>
            <w:tcW w:w="58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距离公路最近距离</w:t>
            </w:r>
          </w:p>
        </w:tc>
        <w:tc>
          <w:tcPr>
            <w:tcW w:w="457"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标准值（昼）</w:t>
            </w:r>
          </w:p>
        </w:tc>
        <w:tc>
          <w:tcPr>
            <w:tcW w:w="457"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标准值（夜）</w:t>
            </w:r>
          </w:p>
        </w:tc>
        <w:tc>
          <w:tcPr>
            <w:tcW w:w="425"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hint="eastAsia"/>
                <w:kern w:val="0"/>
                <w:sz w:val="18"/>
                <w:szCs w:val="18"/>
                <w:lang w:bidi="ar"/>
              </w:rPr>
              <w:t>2</w:t>
            </w:r>
            <w:r>
              <w:rPr>
                <w:rFonts w:cs="Times New Roman"/>
                <w:kern w:val="0"/>
                <w:sz w:val="18"/>
                <w:szCs w:val="18"/>
                <w:lang w:bidi="ar"/>
              </w:rPr>
              <w:t>日</w:t>
            </w:r>
          </w:p>
        </w:tc>
        <w:tc>
          <w:tcPr>
            <w:tcW w:w="266" w:type="pct"/>
            <w:vMerge w:val="restart"/>
            <w:tcBorders>
              <w:tl2br w:val="nil"/>
              <w:tr2bl w:val="nil"/>
            </w:tcBorders>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实测值</w:t>
            </w:r>
          </w:p>
        </w:tc>
        <w:tc>
          <w:tcPr>
            <w:tcW w:w="330"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达标情况</w:t>
            </w:r>
          </w:p>
        </w:tc>
        <w:tc>
          <w:tcPr>
            <w:tcW w:w="1118" w:type="pct"/>
            <w:gridSpan w:val="3"/>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测量时间段内车流量</w:t>
            </w:r>
          </w:p>
        </w:tc>
        <w:tc>
          <w:tcPr>
            <w:tcW w:w="648"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主要噪声源</w:t>
            </w:r>
          </w:p>
        </w:tc>
      </w:tr>
      <w:tr w:rsidR="00A46452">
        <w:trPr>
          <w:trHeight w:val="151"/>
        </w:trPr>
        <w:tc>
          <w:tcPr>
            <w:tcW w:w="712" w:type="pct"/>
            <w:gridSpan w:val="2"/>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58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57"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425"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266"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330"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21"/>
                <w:szCs w:val="24"/>
              </w:rPr>
            </w:pP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大型车</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1"/>
              </w:rPr>
              <w:t>中</w:t>
            </w:r>
            <w:r>
              <w:rPr>
                <w:rFonts w:cs="Times New Roman"/>
                <w:sz w:val="21"/>
              </w:rPr>
              <w:t>、</w:t>
            </w:r>
            <w:r>
              <w:rPr>
                <w:rFonts w:cs="Times New Roman"/>
                <w:sz w:val="21"/>
              </w:rPr>
              <w:t>小型车</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sz w:val="21"/>
              </w:rPr>
            </w:pPr>
            <w:r>
              <w:rPr>
                <w:rFonts w:cs="Times New Roman"/>
                <w:sz w:val="21"/>
              </w:rPr>
              <w:t>总车</w:t>
            </w:r>
          </w:p>
          <w:p w:rsidR="00A46452" w:rsidRDefault="009A3928">
            <w:pPr>
              <w:spacing w:line="240" w:lineRule="auto"/>
              <w:ind w:firstLineChars="0" w:firstLine="0"/>
              <w:jc w:val="center"/>
              <w:rPr>
                <w:rFonts w:cs="Times New Roman"/>
                <w:kern w:val="0"/>
                <w:sz w:val="18"/>
                <w:szCs w:val="18"/>
                <w:lang w:bidi="ar"/>
              </w:rPr>
            </w:pPr>
            <w:r>
              <w:rPr>
                <w:rFonts w:cs="Times New Roman"/>
                <w:sz w:val="21"/>
              </w:rPr>
              <w:t>流量</w:t>
            </w:r>
          </w:p>
        </w:tc>
        <w:tc>
          <w:tcPr>
            <w:tcW w:w="648"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kern w:val="0"/>
                <w:sz w:val="18"/>
                <w:szCs w:val="18"/>
                <w:lang w:bidi="ar"/>
              </w:rPr>
            </w:pPr>
          </w:p>
        </w:tc>
      </w:tr>
      <w:tr w:rsidR="00A46452">
        <w:trPr>
          <w:trHeight w:val="300"/>
        </w:trPr>
        <w:tc>
          <w:tcPr>
            <w:tcW w:w="52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hint="eastAsia"/>
                <w:spacing w:val="1"/>
                <w:sz w:val="21"/>
              </w:rPr>
              <w:t>幸福佳园一期</w:t>
            </w:r>
          </w:p>
        </w:tc>
        <w:tc>
          <w:tcPr>
            <w:tcW w:w="187"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42.6</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24</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24</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40.5</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23</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23</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39</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38.6</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26</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26</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37.4</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val="restar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pacing w:val="1"/>
                <w:sz w:val="21"/>
              </w:rPr>
              <w:t>柯坪湖州小学</w:t>
            </w:r>
          </w:p>
        </w:tc>
        <w:tc>
          <w:tcPr>
            <w:tcW w:w="187"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42.4</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11</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11</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vMerge/>
            <w:tcBorders>
              <w:tl2br w:val="nil"/>
              <w:tr2bl w:val="nil"/>
            </w:tcBorders>
            <w:noWrap/>
            <w:vAlign w:val="center"/>
          </w:tcPr>
          <w:p w:rsidR="00A46452" w:rsidRDefault="00A46452">
            <w:pPr>
              <w:widowControl/>
              <w:spacing w:line="240" w:lineRule="auto"/>
              <w:ind w:firstLineChars="0" w:firstLine="0"/>
              <w:jc w:val="center"/>
              <w:textAlignment w:val="center"/>
              <w:rPr>
                <w:rFonts w:cs="Times New Roman"/>
                <w:sz w:val="18"/>
                <w:szCs w:val="18"/>
              </w:rPr>
            </w:pPr>
          </w:p>
        </w:tc>
        <w:tc>
          <w:tcPr>
            <w:tcW w:w="187" w:type="pct"/>
            <w:tcBorders>
              <w:tl2br w:val="nil"/>
              <w:tr2bl w:val="nil"/>
            </w:tcBorders>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3</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56</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42.1</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7</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7</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左侧</w:t>
            </w:r>
            <w:r>
              <w:rPr>
                <w:rFonts w:cs="Times New Roman"/>
                <w:kern w:val="0"/>
                <w:sz w:val="18"/>
                <w:szCs w:val="18"/>
                <w:lang w:bidi="ar"/>
              </w:rPr>
              <w:t>600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34.2</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80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21"/>
                <w:szCs w:val="21"/>
                <w:lang w:eastAsia="zh-CN"/>
              </w:rPr>
            </w:pPr>
            <w:r>
              <w:rPr>
                <w:rFonts w:eastAsia="宋体"/>
                <w:sz w:val="21"/>
                <w:szCs w:val="21"/>
                <w:lang w:eastAsia="zh-CN"/>
              </w:rPr>
              <w:t>35.1</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1</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1</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道路背景点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60</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34.5</w:t>
            </w:r>
          </w:p>
        </w:tc>
        <w:tc>
          <w:tcPr>
            <w:tcW w:w="330" w:type="pct"/>
            <w:tcBorders>
              <w:tl2br w:val="nil"/>
              <w:tr2bl w:val="nil"/>
            </w:tcBorders>
            <w:shd w:val="clear" w:color="auto" w:fill="auto"/>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sz w:val="21"/>
                <w:szCs w:val="21"/>
              </w:rPr>
            </w:pPr>
            <w:r>
              <w:rPr>
                <w:spacing w:val="-3"/>
                <w:sz w:val="21"/>
                <w:szCs w:val="21"/>
              </w:rPr>
              <w:t>38.7</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52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sz w:val="18"/>
                <w:szCs w:val="18"/>
              </w:rPr>
              <w:t>玉尔其乡居民区</w:t>
            </w:r>
          </w:p>
        </w:tc>
        <w:tc>
          <w:tcPr>
            <w:tcW w:w="18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Style w:val="font41"/>
                <w:rFonts w:ascii="Times New Roman" w:hAnsi="Times New Roman" w:cs="Times New Roman"/>
                <w:color w:val="auto"/>
                <w:sz w:val="18"/>
                <w:szCs w:val="18"/>
                <w:lang w:bidi="ar"/>
              </w:rPr>
              <w:t>层</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w:t>
            </w:r>
            <w:r>
              <w:rPr>
                <w:rFonts w:cs="Times New Roman"/>
                <w:kern w:val="0"/>
                <w:sz w:val="18"/>
                <w:szCs w:val="18"/>
                <w:lang w:bidi="ar"/>
              </w:rPr>
              <w:t>侧</w:t>
            </w:r>
            <w:r>
              <w:rPr>
                <w:rFonts w:cs="Times New Roman"/>
                <w:kern w:val="0"/>
                <w:sz w:val="18"/>
                <w:szCs w:val="18"/>
                <w:lang w:bidi="ar"/>
              </w:rPr>
              <w:t>54</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37.1</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sz w:val="20"/>
              </w:rPr>
            </w:pPr>
            <w:r>
              <w:rPr>
                <w:rFonts w:cs="Times New Roman"/>
                <w:sz w:val="20"/>
              </w:rPr>
              <w:t>1</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sz w:val="20"/>
              </w:rPr>
              <w:t>1</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r w:rsidR="00A46452">
        <w:trPr>
          <w:trHeight w:val="300"/>
        </w:trPr>
        <w:tc>
          <w:tcPr>
            <w:tcW w:w="712" w:type="pct"/>
            <w:gridSpan w:val="2"/>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背景点</w:t>
            </w:r>
          </w:p>
        </w:tc>
        <w:tc>
          <w:tcPr>
            <w:tcW w:w="584"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右侧</w:t>
            </w:r>
            <w:r>
              <w:rPr>
                <w:rFonts w:cs="Times New Roman"/>
                <w:kern w:val="0"/>
                <w:sz w:val="18"/>
                <w:szCs w:val="18"/>
                <w:lang w:bidi="ar"/>
              </w:rPr>
              <w:t>12</w:t>
            </w:r>
            <w:r>
              <w:rPr>
                <w:rFonts w:cs="Times New Roman"/>
                <w:kern w:val="0"/>
                <w:sz w:val="18"/>
                <w:szCs w:val="18"/>
                <w:lang w:bidi="ar"/>
              </w:rPr>
              <w:t>7</w:t>
            </w:r>
            <w:r>
              <w:rPr>
                <w:rFonts w:cs="Times New Roman"/>
                <w:kern w:val="0"/>
                <w:sz w:val="18"/>
                <w:szCs w:val="18"/>
                <w:lang w:bidi="ar"/>
              </w:rPr>
              <w:t>m</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60</w:t>
            </w:r>
          </w:p>
        </w:tc>
        <w:tc>
          <w:tcPr>
            <w:tcW w:w="457"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50</w:t>
            </w:r>
          </w:p>
        </w:tc>
        <w:tc>
          <w:tcPr>
            <w:tcW w:w="425"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夜</w:t>
            </w:r>
          </w:p>
        </w:tc>
        <w:tc>
          <w:tcPr>
            <w:tcW w:w="266" w:type="pct"/>
            <w:tcBorders>
              <w:tl2br w:val="nil"/>
              <w:tr2bl w:val="nil"/>
            </w:tcBorders>
            <w:noWrap/>
            <w:vAlign w:val="center"/>
          </w:tcPr>
          <w:p w:rsidR="00A46452" w:rsidRDefault="009A3928">
            <w:pPr>
              <w:pStyle w:val="TableText"/>
              <w:wordWrap w:val="0"/>
              <w:topLinePunct/>
              <w:adjustRightInd w:val="0"/>
              <w:snapToGrid w:val="0"/>
              <w:spacing w:line="240" w:lineRule="auto"/>
              <w:ind w:firstLineChars="0" w:firstLine="0"/>
              <w:jc w:val="center"/>
              <w:textAlignment w:val="baseline"/>
              <w:rPr>
                <w:rFonts w:eastAsia="宋体"/>
                <w:sz w:val="18"/>
                <w:szCs w:val="18"/>
                <w:lang w:eastAsia="zh-CN"/>
              </w:rPr>
            </w:pPr>
            <w:r>
              <w:rPr>
                <w:rFonts w:eastAsia="宋体"/>
                <w:sz w:val="18"/>
                <w:szCs w:val="18"/>
                <w:lang w:eastAsia="zh-CN"/>
              </w:rPr>
              <w:t>36.6</w:t>
            </w:r>
          </w:p>
        </w:tc>
        <w:tc>
          <w:tcPr>
            <w:tcW w:w="330"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sz w:val="18"/>
                <w:szCs w:val="18"/>
              </w:rPr>
            </w:pPr>
            <w:r>
              <w:rPr>
                <w:rFonts w:cs="Times New Roman"/>
                <w:kern w:val="0"/>
                <w:sz w:val="18"/>
                <w:szCs w:val="18"/>
                <w:lang w:bidi="ar"/>
              </w:rPr>
              <w:t>达标</w:t>
            </w:r>
          </w:p>
        </w:tc>
        <w:tc>
          <w:tcPr>
            <w:tcW w:w="2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498"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322" w:type="pct"/>
            <w:tcBorders>
              <w:tl2br w:val="nil"/>
              <w:tr2bl w:val="nil"/>
            </w:tcBorders>
            <w:noWrap/>
            <w:vAlign w:val="center"/>
          </w:tcPr>
          <w:p w:rsidR="00A46452" w:rsidRDefault="009A3928">
            <w:pPr>
              <w:spacing w:line="240" w:lineRule="auto"/>
              <w:ind w:firstLineChars="0" w:firstLine="0"/>
              <w:jc w:val="center"/>
              <w:rPr>
                <w:rFonts w:cs="Times New Roman"/>
                <w:kern w:val="0"/>
                <w:sz w:val="18"/>
                <w:szCs w:val="18"/>
                <w:lang w:bidi="ar"/>
              </w:rPr>
            </w:pPr>
            <w:r>
              <w:rPr>
                <w:rFonts w:cs="Times New Roman"/>
                <w:kern w:val="0"/>
                <w:sz w:val="18"/>
                <w:szCs w:val="18"/>
                <w:lang w:bidi="ar"/>
              </w:rPr>
              <w:t>0</w:t>
            </w:r>
          </w:p>
        </w:tc>
        <w:tc>
          <w:tcPr>
            <w:tcW w:w="648" w:type="pct"/>
            <w:tcBorders>
              <w:tl2br w:val="nil"/>
              <w:tr2bl w:val="nil"/>
            </w:tcBorders>
            <w:noWrap/>
            <w:vAlign w:val="center"/>
          </w:tcPr>
          <w:p w:rsidR="00A46452" w:rsidRDefault="009A3928">
            <w:pPr>
              <w:widowControl/>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交通噪声、自然风声</w:t>
            </w:r>
          </w:p>
        </w:tc>
      </w:tr>
    </w:tbl>
    <w:p w:rsidR="00A46452" w:rsidRDefault="00A46452" w:rsidP="00182EED">
      <w:pPr>
        <w:ind w:firstLine="480"/>
        <w:rPr>
          <w:rFonts w:cs="Times New Roman"/>
        </w:rPr>
        <w:sectPr w:rsidR="00A46452">
          <w:pgSz w:w="16838" w:h="11905" w:orient="landscape"/>
          <w:pgMar w:top="1803" w:right="1383" w:bottom="1803" w:left="1383" w:header="850" w:footer="680" w:gutter="0"/>
          <w:cols w:space="0"/>
          <w:docGrid w:type="lines" w:linePitch="331"/>
        </w:sectPr>
      </w:pPr>
    </w:p>
    <w:p w:rsidR="00A46452" w:rsidRDefault="009A3928">
      <w:pPr>
        <w:pStyle w:val="1"/>
        <w:wordWrap w:val="0"/>
        <w:topLinePunct/>
        <w:adjustRightInd w:val="0"/>
        <w:snapToGrid w:val="0"/>
        <w:jc w:val="left"/>
        <w:rPr>
          <w:rFonts w:eastAsia="黑体" w:cs="Times New Roman" w:hint="default"/>
          <w:sz w:val="32"/>
          <w:szCs w:val="32"/>
        </w:rPr>
      </w:pPr>
      <w:bookmarkStart w:id="268" w:name="_Toc11416"/>
      <w:bookmarkStart w:id="269" w:name="_Toc187080704"/>
      <w:bookmarkStart w:id="270" w:name="_Toc316561687"/>
      <w:bookmarkStart w:id="271" w:name="_Toc381606019"/>
      <w:bookmarkStart w:id="272" w:name="_Toc4507856"/>
      <w:bookmarkStart w:id="273" w:name="_Toc316511096"/>
      <w:r>
        <w:rPr>
          <w:rFonts w:eastAsia="黑体" w:cs="Times New Roman" w:hint="default"/>
          <w:sz w:val="32"/>
          <w:szCs w:val="32"/>
        </w:rPr>
        <w:t>7</w:t>
      </w:r>
      <w:r>
        <w:rPr>
          <w:rFonts w:eastAsia="黑体" w:cs="Times New Roman" w:hint="default"/>
          <w:sz w:val="32"/>
          <w:szCs w:val="32"/>
        </w:rPr>
        <w:t>环境影响预测与评价</w:t>
      </w:r>
      <w:bookmarkEnd w:id="268"/>
      <w:bookmarkEnd w:id="269"/>
      <w:bookmarkEnd w:id="270"/>
      <w:bookmarkEnd w:id="271"/>
      <w:bookmarkEnd w:id="272"/>
      <w:bookmarkEnd w:id="273"/>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74" w:name="_Toc187080705"/>
      <w:bookmarkStart w:id="275" w:name="_Toc491045001"/>
      <w:bookmarkStart w:id="276" w:name="_Toc19680"/>
      <w:r>
        <w:rPr>
          <w:rFonts w:cs="Times New Roman" w:hint="default"/>
          <w:sz w:val="30"/>
          <w:szCs w:val="30"/>
        </w:rPr>
        <w:t>7</w:t>
      </w:r>
      <w:r>
        <w:rPr>
          <w:rFonts w:cs="Times New Roman" w:hint="default"/>
          <w:sz w:val="30"/>
          <w:szCs w:val="30"/>
        </w:rPr>
        <w:t>.1</w:t>
      </w:r>
      <w:r>
        <w:rPr>
          <w:rFonts w:cs="Times New Roman" w:hint="default"/>
          <w:sz w:val="30"/>
          <w:szCs w:val="30"/>
        </w:rPr>
        <w:t>生态</w:t>
      </w:r>
      <w:r>
        <w:rPr>
          <w:rFonts w:cs="Times New Roman" w:hint="default"/>
          <w:sz w:val="30"/>
          <w:szCs w:val="30"/>
        </w:rPr>
        <w:t>环境</w:t>
      </w:r>
      <w:r>
        <w:rPr>
          <w:rFonts w:cs="Times New Roman" w:hint="default"/>
          <w:sz w:val="30"/>
          <w:szCs w:val="30"/>
        </w:rPr>
        <w:t>影响</w:t>
      </w:r>
      <w:r>
        <w:rPr>
          <w:rFonts w:cs="Times New Roman" w:hint="default"/>
          <w:sz w:val="30"/>
          <w:szCs w:val="30"/>
        </w:rPr>
        <w:t>预测及</w:t>
      </w:r>
      <w:r>
        <w:rPr>
          <w:rFonts w:cs="Times New Roman" w:hint="default"/>
          <w:sz w:val="30"/>
          <w:szCs w:val="30"/>
        </w:rPr>
        <w:t>分析</w:t>
      </w:r>
      <w:bookmarkEnd w:id="274"/>
      <w:bookmarkEnd w:id="275"/>
      <w:bookmarkEnd w:id="276"/>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7.1.1</w:t>
      </w:r>
      <w:r>
        <w:rPr>
          <w:rFonts w:cs="Times New Roman" w:hint="default"/>
          <w:sz w:val="28"/>
          <w:szCs w:val="28"/>
        </w:rPr>
        <w:t>土地利用影响分析</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7.1.1.1</w:t>
      </w:r>
      <w:r>
        <w:rPr>
          <w:rFonts w:cs="Times New Roman" w:hint="default"/>
          <w:iCs/>
        </w:rPr>
        <w:t>项目永久占地影响</w:t>
      </w:r>
    </w:p>
    <w:p w:rsidR="00A46452" w:rsidRDefault="009A3928" w:rsidP="00182EED">
      <w:pPr>
        <w:wordWrap w:val="0"/>
        <w:topLinePunct/>
        <w:adjustRightInd w:val="0"/>
        <w:snapToGrid w:val="0"/>
        <w:ind w:firstLine="480"/>
        <w:jc w:val="left"/>
        <w:rPr>
          <w:rFonts w:cs="Times New Roman"/>
          <w:snapToGrid w:val="0"/>
          <w:szCs w:val="24"/>
          <w:lang w:val="zh-CN"/>
        </w:rPr>
      </w:pPr>
      <w:r>
        <w:rPr>
          <w:rFonts w:cs="Times New Roman"/>
          <w:snapToGrid w:val="0"/>
          <w:szCs w:val="24"/>
        </w:rPr>
        <w:t>第三师图木舒克市</w:t>
      </w:r>
      <w:r>
        <w:rPr>
          <w:rFonts w:cs="Times New Roman"/>
          <w:snapToGrid w:val="0"/>
          <w:szCs w:val="24"/>
          <w:lang w:val="zh-CN"/>
        </w:rPr>
        <w:t>—</w:t>
      </w:r>
      <w:r>
        <w:rPr>
          <w:rFonts w:cs="Times New Roman"/>
          <w:snapToGrid w:val="0"/>
          <w:szCs w:val="24"/>
        </w:rPr>
        <w:t>柯坪县</w:t>
      </w:r>
      <w:r>
        <w:rPr>
          <w:rFonts w:cs="Times New Roman"/>
          <w:snapToGrid w:val="0"/>
          <w:szCs w:val="24"/>
          <w:lang w:val="zh-CN"/>
        </w:rPr>
        <w:t>公路项目永久占地面积</w:t>
      </w:r>
      <w:r>
        <w:rPr>
          <w:rFonts w:cs="Times New Roman"/>
          <w:snapToGrid w:val="0"/>
          <w:szCs w:val="24"/>
        </w:rPr>
        <w:t>300.80</w:t>
      </w:r>
      <w:r>
        <w:rPr>
          <w:rFonts w:cs="Times New Roman"/>
          <w:snapToGrid w:val="0"/>
          <w:szCs w:val="24"/>
          <w:lang w:val="zh-CN"/>
        </w:rPr>
        <w:t>hm²</w:t>
      </w:r>
      <w:r>
        <w:rPr>
          <w:rFonts w:cs="Times New Roman"/>
          <w:snapToGrid w:val="0"/>
          <w:szCs w:val="24"/>
          <w:lang w:val="zh-CN"/>
        </w:rPr>
        <w:t>，占地类型包括耕地、林地（乔木林地、灌木林地）、</w:t>
      </w:r>
      <w:r>
        <w:rPr>
          <w:rFonts w:cs="Times New Roman"/>
          <w:snapToGrid w:val="0"/>
          <w:szCs w:val="24"/>
        </w:rPr>
        <w:t>居民地、</w:t>
      </w:r>
      <w:r>
        <w:rPr>
          <w:rFonts w:cs="Times New Roman"/>
          <w:snapToGrid w:val="0"/>
          <w:szCs w:val="24"/>
          <w:lang w:val="zh-CN"/>
        </w:rPr>
        <w:t>交通运输用地（原有公路用地）其他土地（盐碱地）。</w:t>
      </w:r>
    </w:p>
    <w:p w:rsidR="00A46452" w:rsidRDefault="009A3928" w:rsidP="00182EED">
      <w:pPr>
        <w:wordWrap w:val="0"/>
        <w:topLinePunct/>
        <w:adjustRightInd w:val="0"/>
        <w:snapToGrid w:val="0"/>
        <w:ind w:firstLine="480"/>
        <w:jc w:val="left"/>
        <w:rPr>
          <w:rFonts w:cs="Times New Roman"/>
          <w:snapToGrid w:val="0"/>
          <w:szCs w:val="24"/>
          <w:lang w:val="zh-CN"/>
        </w:rPr>
      </w:pPr>
      <w:r>
        <w:rPr>
          <w:rFonts w:cs="Times New Roman"/>
          <w:snapToGrid w:val="0"/>
          <w:szCs w:val="24"/>
          <w:lang w:val="zh-CN"/>
        </w:rPr>
        <w:t>永久占地对土地资源和农业生产</w:t>
      </w:r>
      <w:r>
        <w:rPr>
          <w:rFonts w:cs="Times New Roman"/>
          <w:snapToGrid w:val="0"/>
          <w:szCs w:val="24"/>
        </w:rPr>
        <w:t>产生</w:t>
      </w:r>
      <w:r>
        <w:rPr>
          <w:rFonts w:cs="Times New Roman"/>
          <w:snapToGrid w:val="0"/>
          <w:szCs w:val="24"/>
          <w:lang w:val="zh-CN"/>
        </w:rPr>
        <w:t>一定的影响：</w:t>
      </w:r>
      <w:r>
        <w:rPr>
          <w:rFonts w:cs="Times New Roman"/>
        </w:rPr>
        <w:t>本项目位于第</w:t>
      </w:r>
      <w:r>
        <w:rPr>
          <w:rFonts w:cs="Times New Roman"/>
        </w:rPr>
        <w:t>三</w:t>
      </w:r>
      <w:r>
        <w:rPr>
          <w:rFonts w:cs="Times New Roman"/>
        </w:rPr>
        <w:t>师</w:t>
      </w:r>
      <w:r>
        <w:rPr>
          <w:rFonts w:cs="Times New Roman"/>
        </w:rPr>
        <w:t>图木舒克市</w:t>
      </w:r>
      <w:r>
        <w:rPr>
          <w:rFonts w:cs="Times New Roman"/>
        </w:rPr>
        <w:t>、</w:t>
      </w:r>
      <w:r>
        <w:rPr>
          <w:rFonts w:cs="Times New Roman"/>
        </w:rPr>
        <w:t>喀什地区巴楚县</w:t>
      </w:r>
      <w:r>
        <w:rPr>
          <w:rFonts w:cs="Times New Roman"/>
        </w:rPr>
        <w:t>，</w:t>
      </w:r>
      <w:r>
        <w:rPr>
          <w:rFonts w:cs="Times New Roman"/>
        </w:rPr>
        <w:t>阿克苏地区柯坪</w:t>
      </w:r>
      <w:r>
        <w:rPr>
          <w:rFonts w:cs="Times New Roman"/>
        </w:rPr>
        <w:t>县，</w:t>
      </w:r>
      <w:r>
        <w:rPr>
          <w:rFonts w:cs="Times New Roman"/>
          <w:kern w:val="0"/>
          <w:szCs w:val="24"/>
          <w:lang w:bidi="ar"/>
        </w:rPr>
        <w:t>项目永久占地共</w:t>
      </w:r>
      <w:r>
        <w:rPr>
          <w:rFonts w:cs="Times New Roman"/>
          <w:kern w:val="0"/>
          <w:szCs w:val="24"/>
          <w:lang w:bidi="ar"/>
        </w:rPr>
        <w:t>300.80hm²</w:t>
      </w:r>
      <w:r>
        <w:rPr>
          <w:rFonts w:cs="Times New Roman"/>
          <w:kern w:val="0"/>
          <w:szCs w:val="24"/>
          <w:lang w:bidi="ar"/>
        </w:rPr>
        <w:t>，原有公路占地</w:t>
      </w:r>
      <w:r>
        <w:rPr>
          <w:rFonts w:cs="Times New Roman"/>
          <w:kern w:val="0"/>
          <w:szCs w:val="24"/>
          <w:lang w:bidi="ar"/>
        </w:rPr>
        <w:t>21.10hm²</w:t>
      </w:r>
      <w:r>
        <w:rPr>
          <w:rFonts w:cs="Times New Roman"/>
          <w:kern w:val="0"/>
          <w:szCs w:val="24"/>
          <w:lang w:bidi="ar"/>
        </w:rPr>
        <w:t>，</w:t>
      </w:r>
      <w:r>
        <w:rPr>
          <w:rFonts w:cs="Times New Roman"/>
          <w:snapToGrid w:val="0"/>
          <w:szCs w:val="24"/>
          <w:lang w:val="zh-CN"/>
        </w:rPr>
        <w:t>占比为</w:t>
      </w:r>
      <w:r>
        <w:rPr>
          <w:rFonts w:cs="Times New Roman"/>
          <w:snapToGrid w:val="0"/>
          <w:szCs w:val="24"/>
        </w:rPr>
        <w:t>7.01</w:t>
      </w:r>
      <w:r>
        <w:rPr>
          <w:rFonts w:cs="Times New Roman"/>
          <w:snapToGrid w:val="0"/>
          <w:szCs w:val="24"/>
          <w:lang w:val="zh-CN"/>
        </w:rPr>
        <w:t>%</w:t>
      </w:r>
      <w:r>
        <w:rPr>
          <w:rFonts w:cs="Times New Roman"/>
          <w:snapToGrid w:val="0"/>
          <w:szCs w:val="24"/>
          <w:lang w:val="zh-CN"/>
        </w:rPr>
        <w:t>；</w:t>
      </w:r>
      <w:r>
        <w:rPr>
          <w:rFonts w:cs="Times New Roman"/>
          <w:kern w:val="0"/>
          <w:szCs w:val="24"/>
          <w:lang w:bidi="ar"/>
        </w:rPr>
        <w:t>荒地</w:t>
      </w:r>
      <w:r>
        <w:rPr>
          <w:rFonts w:cs="Times New Roman"/>
          <w:kern w:val="0"/>
          <w:szCs w:val="24"/>
          <w:lang w:bidi="ar"/>
        </w:rPr>
        <w:t>2.98hm²</w:t>
      </w:r>
      <w:r>
        <w:rPr>
          <w:rFonts w:cs="Times New Roman"/>
          <w:kern w:val="0"/>
          <w:szCs w:val="24"/>
          <w:lang w:bidi="ar"/>
        </w:rPr>
        <w:t>，</w:t>
      </w:r>
      <w:r>
        <w:rPr>
          <w:rFonts w:cs="Times New Roman"/>
          <w:snapToGrid w:val="0"/>
          <w:szCs w:val="24"/>
          <w:lang w:val="zh-CN"/>
        </w:rPr>
        <w:t>占比为</w:t>
      </w:r>
      <w:r>
        <w:rPr>
          <w:rFonts w:cs="Times New Roman"/>
          <w:snapToGrid w:val="0"/>
          <w:szCs w:val="24"/>
        </w:rPr>
        <w:t>0.99</w:t>
      </w:r>
      <w:r>
        <w:rPr>
          <w:rFonts w:cs="Times New Roman"/>
          <w:snapToGrid w:val="0"/>
          <w:szCs w:val="24"/>
          <w:lang w:val="zh-CN"/>
        </w:rPr>
        <w:t>%</w:t>
      </w:r>
      <w:r>
        <w:rPr>
          <w:rFonts w:cs="Times New Roman"/>
          <w:kern w:val="0"/>
          <w:szCs w:val="24"/>
          <w:lang w:bidi="ar"/>
        </w:rPr>
        <w:t>；</w:t>
      </w:r>
      <w:r>
        <w:rPr>
          <w:rFonts w:cs="Times New Roman"/>
          <w:kern w:val="0"/>
          <w:szCs w:val="24"/>
          <w:lang w:bidi="ar"/>
        </w:rPr>
        <w:t>耕地</w:t>
      </w:r>
      <w:r>
        <w:rPr>
          <w:rFonts w:cs="Times New Roman"/>
          <w:kern w:val="0"/>
          <w:szCs w:val="24"/>
          <w:lang w:bidi="ar"/>
        </w:rPr>
        <w:t>34.27hm²</w:t>
      </w:r>
      <w:r>
        <w:rPr>
          <w:rFonts w:cs="Times New Roman"/>
          <w:kern w:val="0"/>
          <w:szCs w:val="24"/>
          <w:lang w:bidi="ar"/>
        </w:rPr>
        <w:t>，</w:t>
      </w:r>
      <w:r>
        <w:rPr>
          <w:rFonts w:cs="Times New Roman"/>
          <w:snapToGrid w:val="0"/>
          <w:szCs w:val="24"/>
          <w:lang w:val="zh-CN"/>
        </w:rPr>
        <w:t>占比为</w:t>
      </w:r>
      <w:r>
        <w:rPr>
          <w:rFonts w:cs="Times New Roman"/>
          <w:snapToGrid w:val="0"/>
          <w:szCs w:val="24"/>
        </w:rPr>
        <w:t>11.39</w:t>
      </w:r>
      <w:r>
        <w:rPr>
          <w:rFonts w:cs="Times New Roman"/>
          <w:snapToGrid w:val="0"/>
          <w:szCs w:val="24"/>
          <w:lang w:val="zh-CN"/>
        </w:rPr>
        <w:t>%</w:t>
      </w:r>
      <w:r>
        <w:rPr>
          <w:rFonts w:cs="Times New Roman"/>
          <w:kern w:val="0"/>
          <w:szCs w:val="24"/>
          <w:lang w:bidi="ar"/>
        </w:rPr>
        <w:t>；草地</w:t>
      </w:r>
      <w:r>
        <w:rPr>
          <w:rFonts w:cs="Times New Roman"/>
          <w:kern w:val="0"/>
          <w:szCs w:val="24"/>
          <w:lang w:bidi="ar"/>
        </w:rPr>
        <w:t>97.91hm²</w:t>
      </w:r>
      <w:r>
        <w:rPr>
          <w:rFonts w:cs="Times New Roman"/>
          <w:kern w:val="0"/>
          <w:szCs w:val="24"/>
          <w:lang w:bidi="ar"/>
        </w:rPr>
        <w:t>，</w:t>
      </w:r>
      <w:r>
        <w:rPr>
          <w:rFonts w:cs="Times New Roman"/>
          <w:snapToGrid w:val="0"/>
          <w:szCs w:val="24"/>
          <w:lang w:val="zh-CN"/>
        </w:rPr>
        <w:t>占比为</w:t>
      </w:r>
      <w:r>
        <w:rPr>
          <w:rFonts w:cs="Times New Roman"/>
          <w:snapToGrid w:val="0"/>
          <w:szCs w:val="24"/>
        </w:rPr>
        <w:t>32.48</w:t>
      </w:r>
      <w:r>
        <w:rPr>
          <w:rFonts w:cs="Times New Roman"/>
          <w:snapToGrid w:val="0"/>
          <w:szCs w:val="24"/>
          <w:lang w:val="zh-CN"/>
        </w:rPr>
        <w:t>%</w:t>
      </w:r>
      <w:r>
        <w:rPr>
          <w:rFonts w:cs="Times New Roman"/>
          <w:kern w:val="0"/>
          <w:szCs w:val="24"/>
          <w:lang w:bidi="ar"/>
        </w:rPr>
        <w:t>；建设用地</w:t>
      </w:r>
      <w:r>
        <w:rPr>
          <w:rFonts w:cs="Times New Roman"/>
          <w:kern w:val="0"/>
          <w:szCs w:val="24"/>
          <w:lang w:bidi="ar"/>
        </w:rPr>
        <w:t>5.11hm²</w:t>
      </w:r>
      <w:r>
        <w:rPr>
          <w:rFonts w:cs="Times New Roman"/>
          <w:kern w:val="0"/>
          <w:szCs w:val="24"/>
          <w:lang w:bidi="ar"/>
        </w:rPr>
        <w:t>，</w:t>
      </w:r>
      <w:r>
        <w:rPr>
          <w:rFonts w:cs="Times New Roman"/>
          <w:snapToGrid w:val="0"/>
          <w:szCs w:val="24"/>
          <w:lang w:val="zh-CN"/>
        </w:rPr>
        <w:t>占比为</w:t>
      </w:r>
      <w:r>
        <w:rPr>
          <w:rFonts w:cs="Times New Roman"/>
          <w:snapToGrid w:val="0"/>
          <w:szCs w:val="24"/>
        </w:rPr>
        <w:t>1.70</w:t>
      </w:r>
      <w:r>
        <w:rPr>
          <w:rFonts w:cs="Times New Roman"/>
          <w:kern w:val="0"/>
          <w:szCs w:val="24"/>
          <w:lang w:bidi="ar"/>
        </w:rPr>
        <w:t>；</w:t>
      </w:r>
      <w:r>
        <w:rPr>
          <w:rFonts w:cs="Times New Roman"/>
          <w:kern w:val="0"/>
          <w:szCs w:val="24"/>
          <w:lang w:bidi="ar"/>
        </w:rPr>
        <w:t>林地</w:t>
      </w:r>
      <w:r>
        <w:rPr>
          <w:rFonts w:cs="Times New Roman"/>
          <w:kern w:val="0"/>
          <w:szCs w:val="24"/>
          <w:lang w:bidi="ar"/>
        </w:rPr>
        <w:t>139.15hm²</w:t>
      </w:r>
      <w:r>
        <w:rPr>
          <w:rFonts w:cs="Times New Roman"/>
          <w:kern w:val="0"/>
          <w:szCs w:val="24"/>
          <w:lang w:bidi="ar"/>
        </w:rPr>
        <w:t>，</w:t>
      </w:r>
      <w:r>
        <w:rPr>
          <w:rFonts w:cs="Times New Roman"/>
          <w:snapToGrid w:val="0"/>
          <w:szCs w:val="24"/>
          <w:lang w:val="zh-CN"/>
        </w:rPr>
        <w:t>占比为</w:t>
      </w:r>
      <w:r>
        <w:rPr>
          <w:rFonts w:cs="Times New Roman"/>
          <w:snapToGrid w:val="0"/>
          <w:szCs w:val="24"/>
        </w:rPr>
        <w:t>46.26</w:t>
      </w:r>
      <w:r>
        <w:rPr>
          <w:rFonts w:cs="Times New Roman"/>
          <w:snapToGrid w:val="0"/>
          <w:szCs w:val="24"/>
          <w:lang w:val="zh-CN"/>
        </w:rPr>
        <w:t>%</w:t>
      </w:r>
      <w:r>
        <w:rPr>
          <w:rFonts w:cs="Times New Roman"/>
          <w:kern w:val="0"/>
          <w:szCs w:val="24"/>
          <w:lang w:bidi="ar"/>
        </w:rPr>
        <w:t>；</w:t>
      </w:r>
      <w:r>
        <w:rPr>
          <w:rFonts w:cs="Times New Roman"/>
          <w:kern w:val="0"/>
          <w:szCs w:val="24"/>
          <w:lang w:bidi="ar"/>
        </w:rPr>
        <w:t>居民地</w:t>
      </w:r>
      <w:r>
        <w:rPr>
          <w:rFonts w:cs="Times New Roman"/>
          <w:kern w:val="0"/>
          <w:szCs w:val="24"/>
          <w:lang w:bidi="ar"/>
        </w:rPr>
        <w:t>0.28hm²</w:t>
      </w:r>
      <w:r>
        <w:rPr>
          <w:rFonts w:cs="Times New Roman"/>
          <w:kern w:val="0"/>
          <w:szCs w:val="24"/>
          <w:lang w:bidi="ar"/>
        </w:rPr>
        <w:t>，</w:t>
      </w:r>
      <w:r>
        <w:rPr>
          <w:rFonts w:cs="Times New Roman"/>
          <w:snapToGrid w:val="0"/>
          <w:szCs w:val="24"/>
          <w:lang w:val="zh-CN"/>
        </w:rPr>
        <w:t>占比为</w:t>
      </w:r>
      <w:r>
        <w:rPr>
          <w:rFonts w:cs="Times New Roman"/>
          <w:snapToGrid w:val="0"/>
          <w:szCs w:val="24"/>
        </w:rPr>
        <w:t>0.09</w:t>
      </w:r>
      <w:r>
        <w:rPr>
          <w:rFonts w:cs="Times New Roman"/>
          <w:snapToGrid w:val="0"/>
          <w:szCs w:val="24"/>
          <w:lang w:val="zh-CN"/>
        </w:rPr>
        <w:t>%</w:t>
      </w:r>
      <w:r>
        <w:rPr>
          <w:rFonts w:cs="Times New Roman"/>
          <w:kern w:val="0"/>
          <w:szCs w:val="24"/>
          <w:lang w:bidi="ar"/>
        </w:rPr>
        <w:t>。</w:t>
      </w:r>
      <w:r>
        <w:rPr>
          <w:rFonts w:cs="Times New Roman"/>
          <w:snapToGrid w:val="0"/>
          <w:szCs w:val="24"/>
          <w:lang w:val="zh-CN"/>
        </w:rPr>
        <w:t>占用项目建设会对当地现有的土地资源和农业牧业生产造成一定的影响，但是相对于整个</w:t>
      </w:r>
      <w:r>
        <w:rPr>
          <w:rFonts w:cs="Times New Roman"/>
          <w:snapToGrid w:val="0"/>
          <w:szCs w:val="24"/>
        </w:rPr>
        <w:t>柯坪</w:t>
      </w:r>
      <w:r>
        <w:rPr>
          <w:rFonts w:cs="Times New Roman"/>
          <w:snapToGrid w:val="0"/>
          <w:szCs w:val="24"/>
          <w:lang w:val="zh-CN"/>
        </w:rPr>
        <w:t>县、第</w:t>
      </w:r>
      <w:r>
        <w:rPr>
          <w:rFonts w:cs="Times New Roman"/>
          <w:snapToGrid w:val="0"/>
          <w:szCs w:val="24"/>
        </w:rPr>
        <w:t>三</w:t>
      </w:r>
      <w:r>
        <w:rPr>
          <w:rFonts w:cs="Times New Roman"/>
          <w:snapToGrid w:val="0"/>
          <w:szCs w:val="24"/>
          <w:lang w:val="zh-CN"/>
        </w:rPr>
        <w:t>师</w:t>
      </w:r>
      <w:r>
        <w:rPr>
          <w:rFonts w:cs="Times New Roman"/>
          <w:snapToGrid w:val="0"/>
          <w:szCs w:val="24"/>
        </w:rPr>
        <w:t>图木舒克</w:t>
      </w:r>
      <w:r>
        <w:rPr>
          <w:rFonts w:cs="Times New Roman"/>
          <w:snapToGrid w:val="0"/>
          <w:szCs w:val="24"/>
          <w:lang w:val="zh-CN"/>
        </w:rPr>
        <w:t>市、</w:t>
      </w:r>
      <w:r>
        <w:rPr>
          <w:rFonts w:cs="Times New Roman"/>
          <w:snapToGrid w:val="0"/>
          <w:szCs w:val="24"/>
        </w:rPr>
        <w:t>巴楚县</w:t>
      </w:r>
      <w:r>
        <w:rPr>
          <w:rFonts w:cs="Times New Roman"/>
          <w:snapToGrid w:val="0"/>
          <w:szCs w:val="24"/>
          <w:lang w:val="zh-CN"/>
        </w:rPr>
        <w:t>来说，土地资源的占用率较小。</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7.1.1.2</w:t>
      </w:r>
      <w:r>
        <w:rPr>
          <w:rFonts w:cs="Times New Roman" w:hint="default"/>
          <w:iCs/>
        </w:rPr>
        <w:t>土地利用变化分析</w:t>
      </w:r>
    </w:p>
    <w:p w:rsidR="00A46452" w:rsidRDefault="009A3928">
      <w:pPr>
        <w:pStyle w:val="a5"/>
        <w:widowControl/>
        <w:spacing w:after="0"/>
        <w:ind w:firstLine="464"/>
        <w:rPr>
          <w:rFonts w:cs="Times New Roman" w:hint="default"/>
        </w:rPr>
      </w:pPr>
      <w:bookmarkStart w:id="277" w:name="_Toc97464653"/>
      <w:bookmarkStart w:id="278" w:name="_Toc98413548"/>
      <w:bookmarkStart w:id="279" w:name="_Toc98414230"/>
      <w:r>
        <w:rPr>
          <w:rFonts w:cs="Times New Roman" w:hint="default"/>
          <w:snapToGrid w:val="0"/>
          <w:spacing w:val="-4"/>
          <w:lang w:val="zh-CN"/>
        </w:rPr>
        <w:t>本项目评价范围内土地利用类型主要有</w:t>
      </w:r>
      <w:r>
        <w:rPr>
          <w:rFonts w:cs="Times New Roman" w:hint="default"/>
          <w:snapToGrid w:val="0"/>
          <w:spacing w:val="-4"/>
        </w:rPr>
        <w:t>水浇地、园地、乔木林地、其他林地、灌木林地、天然牧草地、其他草地、城镇建设用地、工业用地、公路用地、农村道路、农村居民点、采矿用地、河流水面、沟渠、内陆滩涂、裸土地、裸岩石砾地、沙地、盐碱地</w:t>
      </w:r>
      <w:r>
        <w:rPr>
          <w:rFonts w:cs="Times New Roman" w:hint="default"/>
          <w:snapToGrid w:val="0"/>
          <w:spacing w:val="-4"/>
          <w:lang w:val="zh-CN"/>
        </w:rPr>
        <w:t>等类型。工程</w:t>
      </w:r>
      <w:r>
        <w:rPr>
          <w:rFonts w:cs="Times New Roman" w:hint="default"/>
          <w:snapToGrid w:val="0"/>
          <w:spacing w:val="-4"/>
        </w:rPr>
        <w:t>建成前评价范围</w:t>
      </w:r>
      <w:r>
        <w:rPr>
          <w:rFonts w:cs="Times New Roman" w:hint="default"/>
          <w:snapToGrid w:val="0"/>
          <w:spacing w:val="-4"/>
          <w:lang w:val="zh-CN"/>
        </w:rPr>
        <w:t>内土地利用类型以</w:t>
      </w:r>
      <w:r>
        <w:rPr>
          <w:rFonts w:cs="Times New Roman" w:hint="default"/>
          <w:snapToGrid w:val="0"/>
          <w:spacing w:val="-4"/>
        </w:rPr>
        <w:t>水浇地、裸土地、盐碱地</w:t>
      </w:r>
      <w:r>
        <w:rPr>
          <w:rFonts w:cs="Times New Roman" w:hint="default"/>
          <w:snapToGrid w:val="0"/>
          <w:spacing w:val="-4"/>
          <w:lang w:val="zh-CN"/>
        </w:rPr>
        <w:t>和</w:t>
      </w:r>
      <w:r>
        <w:rPr>
          <w:rFonts w:cs="Times New Roman" w:hint="default"/>
          <w:snapToGrid w:val="0"/>
          <w:spacing w:val="-4"/>
        </w:rPr>
        <w:t>灌木</w:t>
      </w:r>
      <w:r>
        <w:rPr>
          <w:rFonts w:cs="Times New Roman" w:hint="default"/>
          <w:snapToGrid w:val="0"/>
          <w:spacing w:val="-4"/>
          <w:lang w:val="zh-CN"/>
        </w:rPr>
        <w:t>林地为主，分别为</w:t>
      </w:r>
      <w:r>
        <w:rPr>
          <w:rFonts w:cs="Times New Roman" w:hint="default"/>
          <w:snapToGrid w:val="0"/>
          <w:spacing w:val="-4"/>
        </w:rPr>
        <w:t>2948.85hm</w:t>
      </w:r>
      <w:r>
        <w:rPr>
          <w:rFonts w:cs="Times New Roman" w:hint="default"/>
          <w:snapToGrid w:val="0"/>
          <w:spacing w:val="-4"/>
          <w:vertAlign w:val="superscript"/>
          <w:lang w:val="zh-CN"/>
        </w:rPr>
        <w:t>2</w:t>
      </w:r>
      <w:r>
        <w:rPr>
          <w:rFonts w:cs="Times New Roman" w:hint="default"/>
          <w:snapToGrid w:val="0"/>
          <w:spacing w:val="-4"/>
          <w:lang w:val="zh-CN"/>
        </w:rPr>
        <w:t>、</w:t>
      </w:r>
      <w:r>
        <w:rPr>
          <w:rFonts w:cs="Times New Roman" w:hint="default"/>
          <w:snapToGrid w:val="0"/>
          <w:spacing w:val="-4"/>
        </w:rPr>
        <w:t>2242.50m</w:t>
      </w:r>
      <w:r>
        <w:rPr>
          <w:rFonts w:cs="Times New Roman" w:hint="default"/>
          <w:snapToGrid w:val="0"/>
          <w:spacing w:val="-4"/>
          <w:vertAlign w:val="superscript"/>
          <w:lang w:val="zh-CN"/>
        </w:rPr>
        <w:t>2</w:t>
      </w:r>
      <w:r>
        <w:rPr>
          <w:rFonts w:cs="Times New Roman" w:hint="default"/>
          <w:snapToGrid w:val="0"/>
          <w:spacing w:val="-4"/>
          <w:lang w:val="zh-CN"/>
        </w:rPr>
        <w:t>、</w:t>
      </w:r>
      <w:r>
        <w:rPr>
          <w:rFonts w:cs="Times New Roman" w:hint="default"/>
          <w:snapToGrid w:val="0"/>
          <w:spacing w:val="-4"/>
        </w:rPr>
        <w:t>1495.01hm</w:t>
      </w:r>
      <w:r>
        <w:rPr>
          <w:rFonts w:cs="Times New Roman" w:hint="default"/>
          <w:snapToGrid w:val="0"/>
          <w:spacing w:val="-4"/>
          <w:vertAlign w:val="superscript"/>
          <w:lang w:val="zh-CN"/>
        </w:rPr>
        <w:t>2</w:t>
      </w:r>
      <w:r>
        <w:rPr>
          <w:rFonts w:cs="Times New Roman" w:hint="default"/>
          <w:snapToGrid w:val="0"/>
          <w:spacing w:val="-4"/>
        </w:rPr>
        <w:t>和</w:t>
      </w:r>
      <w:r>
        <w:rPr>
          <w:rFonts w:cs="Times New Roman" w:hint="default"/>
          <w:snapToGrid w:val="0"/>
          <w:spacing w:val="-4"/>
        </w:rPr>
        <w:t>1443.22</w:t>
      </w:r>
      <w:r>
        <w:rPr>
          <w:rFonts w:cs="Times New Roman" w:hint="default"/>
          <w:snapToGrid w:val="0"/>
          <w:spacing w:val="-4"/>
        </w:rPr>
        <w:t>hm</w:t>
      </w:r>
      <w:r>
        <w:rPr>
          <w:rFonts w:cs="Times New Roman" w:hint="default"/>
          <w:snapToGrid w:val="0"/>
          <w:spacing w:val="-4"/>
          <w:vertAlign w:val="superscript"/>
          <w:lang w:val="zh-CN"/>
        </w:rPr>
        <w:t>2</w:t>
      </w:r>
      <w:r>
        <w:rPr>
          <w:rFonts w:cs="Times New Roman" w:hint="default"/>
          <w:snapToGrid w:val="0"/>
          <w:spacing w:val="-4"/>
          <w:lang w:val="zh-CN"/>
        </w:rPr>
        <w:t>，分别占</w:t>
      </w:r>
      <w:r>
        <w:rPr>
          <w:rFonts w:cs="Times New Roman" w:hint="default"/>
          <w:snapToGrid w:val="0"/>
          <w:spacing w:val="-4"/>
        </w:rPr>
        <w:t>评价范围</w:t>
      </w:r>
      <w:r>
        <w:rPr>
          <w:rFonts w:cs="Times New Roman" w:hint="default"/>
          <w:snapToGrid w:val="0"/>
          <w:spacing w:val="-4"/>
          <w:lang w:val="zh-CN"/>
        </w:rPr>
        <w:t>总面积的比例为</w:t>
      </w:r>
      <w:r>
        <w:rPr>
          <w:rFonts w:cs="Times New Roman" w:hint="default"/>
          <w:snapToGrid w:val="0"/>
          <w:spacing w:val="-4"/>
        </w:rPr>
        <w:t>25.39</w:t>
      </w:r>
      <w:r>
        <w:rPr>
          <w:rFonts w:cs="Times New Roman" w:hint="default"/>
          <w:snapToGrid w:val="0"/>
          <w:spacing w:val="-4"/>
          <w:lang w:val="zh-CN"/>
        </w:rPr>
        <w:t>%</w:t>
      </w:r>
      <w:r>
        <w:rPr>
          <w:rFonts w:cs="Times New Roman" w:hint="default"/>
          <w:snapToGrid w:val="0"/>
          <w:spacing w:val="-4"/>
          <w:lang w:val="zh-CN"/>
        </w:rPr>
        <w:t>、</w:t>
      </w:r>
      <w:r>
        <w:rPr>
          <w:rFonts w:cs="Times New Roman" w:hint="default"/>
          <w:snapToGrid w:val="0"/>
          <w:spacing w:val="-4"/>
        </w:rPr>
        <w:t>19.31</w:t>
      </w:r>
      <w:r>
        <w:rPr>
          <w:rFonts w:cs="Times New Roman" w:hint="default"/>
          <w:snapToGrid w:val="0"/>
          <w:spacing w:val="-4"/>
          <w:lang w:val="zh-CN"/>
        </w:rPr>
        <w:t>%</w:t>
      </w:r>
      <w:r>
        <w:rPr>
          <w:rFonts w:cs="Times New Roman" w:hint="default"/>
          <w:snapToGrid w:val="0"/>
          <w:spacing w:val="-4"/>
          <w:lang w:val="zh-CN"/>
        </w:rPr>
        <w:t>、</w:t>
      </w:r>
      <w:r>
        <w:rPr>
          <w:rFonts w:cs="Times New Roman" w:hint="default"/>
          <w:snapToGrid w:val="0"/>
          <w:spacing w:val="-4"/>
        </w:rPr>
        <w:t>12.87</w:t>
      </w:r>
      <w:r>
        <w:rPr>
          <w:rFonts w:cs="Times New Roman" w:hint="default"/>
          <w:snapToGrid w:val="0"/>
          <w:spacing w:val="-4"/>
          <w:lang w:val="zh-CN"/>
        </w:rPr>
        <w:t>%</w:t>
      </w:r>
      <w:r>
        <w:rPr>
          <w:rFonts w:cs="Times New Roman" w:hint="default"/>
          <w:snapToGrid w:val="0"/>
          <w:spacing w:val="-4"/>
        </w:rPr>
        <w:t>和</w:t>
      </w:r>
      <w:r>
        <w:rPr>
          <w:rFonts w:cs="Times New Roman" w:hint="default"/>
          <w:snapToGrid w:val="0"/>
          <w:spacing w:val="-4"/>
        </w:rPr>
        <w:t>12.43%</w:t>
      </w:r>
      <w:r>
        <w:rPr>
          <w:rFonts w:cs="Times New Roman" w:hint="default"/>
          <w:snapToGrid w:val="0"/>
          <w:spacing w:val="-4"/>
          <w:lang w:val="zh-CN"/>
        </w:rPr>
        <w:t>；工程</w:t>
      </w:r>
      <w:r>
        <w:rPr>
          <w:rFonts w:cs="Times New Roman" w:hint="default"/>
          <w:snapToGrid w:val="0"/>
          <w:spacing w:val="-4"/>
        </w:rPr>
        <w:t>建成后评价范围</w:t>
      </w:r>
      <w:r>
        <w:rPr>
          <w:rFonts w:cs="Times New Roman" w:hint="default"/>
          <w:snapToGrid w:val="0"/>
          <w:spacing w:val="-4"/>
          <w:lang w:val="zh-CN"/>
        </w:rPr>
        <w:t>内土地利用类型以</w:t>
      </w:r>
      <w:r>
        <w:rPr>
          <w:rFonts w:cs="Times New Roman" w:hint="default"/>
          <w:snapToGrid w:val="0"/>
          <w:spacing w:val="-4"/>
        </w:rPr>
        <w:t>水浇地、裸土地、盐碱地</w:t>
      </w:r>
      <w:r>
        <w:rPr>
          <w:rFonts w:cs="Times New Roman" w:hint="default"/>
          <w:snapToGrid w:val="0"/>
          <w:spacing w:val="-4"/>
          <w:lang w:val="zh-CN"/>
        </w:rPr>
        <w:t>和</w:t>
      </w:r>
      <w:r>
        <w:rPr>
          <w:rFonts w:cs="Times New Roman" w:hint="default"/>
          <w:snapToGrid w:val="0"/>
          <w:spacing w:val="-4"/>
        </w:rPr>
        <w:t>灌木</w:t>
      </w:r>
      <w:r>
        <w:rPr>
          <w:rFonts w:cs="Times New Roman" w:hint="default"/>
          <w:snapToGrid w:val="0"/>
          <w:spacing w:val="-4"/>
          <w:lang w:val="zh-CN"/>
        </w:rPr>
        <w:t>林地为主，分别为</w:t>
      </w:r>
      <w:r>
        <w:rPr>
          <w:rFonts w:cs="Times New Roman" w:hint="default"/>
          <w:snapToGrid w:val="0"/>
          <w:spacing w:val="-4"/>
        </w:rPr>
        <w:t>2928.11hm</w:t>
      </w:r>
      <w:r>
        <w:rPr>
          <w:rFonts w:cs="Times New Roman" w:hint="default"/>
          <w:snapToGrid w:val="0"/>
          <w:spacing w:val="-4"/>
          <w:vertAlign w:val="superscript"/>
          <w:lang w:val="zh-CN"/>
        </w:rPr>
        <w:t>2</w:t>
      </w:r>
      <w:r>
        <w:rPr>
          <w:rFonts w:cs="Times New Roman" w:hint="default"/>
          <w:snapToGrid w:val="0"/>
          <w:spacing w:val="-4"/>
          <w:lang w:val="zh-CN"/>
        </w:rPr>
        <w:t>、</w:t>
      </w:r>
      <w:r>
        <w:rPr>
          <w:rFonts w:cs="Times New Roman" w:hint="default"/>
          <w:snapToGrid w:val="0"/>
          <w:spacing w:val="-4"/>
        </w:rPr>
        <w:t>2238.85m</w:t>
      </w:r>
      <w:r>
        <w:rPr>
          <w:rFonts w:cs="Times New Roman" w:hint="default"/>
          <w:snapToGrid w:val="0"/>
          <w:spacing w:val="-4"/>
          <w:vertAlign w:val="superscript"/>
          <w:lang w:val="zh-CN"/>
        </w:rPr>
        <w:t>2</w:t>
      </w:r>
      <w:r>
        <w:rPr>
          <w:rFonts w:cs="Times New Roman" w:hint="default"/>
          <w:snapToGrid w:val="0"/>
          <w:spacing w:val="-4"/>
          <w:lang w:val="zh-CN"/>
        </w:rPr>
        <w:t>、</w:t>
      </w:r>
      <w:r>
        <w:rPr>
          <w:rFonts w:cs="Times New Roman" w:hint="default"/>
          <w:snapToGrid w:val="0"/>
          <w:spacing w:val="-4"/>
        </w:rPr>
        <w:t>1493.20hm</w:t>
      </w:r>
      <w:r>
        <w:rPr>
          <w:rFonts w:cs="Times New Roman" w:hint="default"/>
          <w:snapToGrid w:val="0"/>
          <w:spacing w:val="-4"/>
          <w:vertAlign w:val="superscript"/>
          <w:lang w:val="zh-CN"/>
        </w:rPr>
        <w:t>2</w:t>
      </w:r>
      <w:r>
        <w:rPr>
          <w:rFonts w:cs="Times New Roman" w:hint="default"/>
          <w:snapToGrid w:val="0"/>
          <w:spacing w:val="-4"/>
        </w:rPr>
        <w:t>和</w:t>
      </w:r>
      <w:r>
        <w:rPr>
          <w:rFonts w:cs="Times New Roman" w:hint="default"/>
          <w:snapToGrid w:val="0"/>
          <w:spacing w:val="-4"/>
        </w:rPr>
        <w:t>1407.79</w:t>
      </w:r>
      <w:r>
        <w:rPr>
          <w:rFonts w:cs="Times New Roman" w:hint="default"/>
          <w:snapToGrid w:val="0"/>
          <w:spacing w:val="-4"/>
        </w:rPr>
        <w:t>hm</w:t>
      </w:r>
      <w:r>
        <w:rPr>
          <w:rFonts w:cs="Times New Roman" w:hint="default"/>
          <w:snapToGrid w:val="0"/>
          <w:spacing w:val="-4"/>
          <w:vertAlign w:val="superscript"/>
          <w:lang w:val="zh-CN"/>
        </w:rPr>
        <w:t>2</w:t>
      </w:r>
      <w:r>
        <w:rPr>
          <w:rFonts w:cs="Times New Roman" w:hint="default"/>
          <w:snapToGrid w:val="0"/>
          <w:spacing w:val="-4"/>
          <w:lang w:val="zh-CN"/>
        </w:rPr>
        <w:t>，分别</w:t>
      </w:r>
      <w:r>
        <w:rPr>
          <w:rFonts w:cs="Times New Roman" w:hint="default"/>
          <w:snapToGrid w:val="0"/>
          <w:spacing w:val="-4"/>
        </w:rPr>
        <w:t>评价范围</w:t>
      </w:r>
      <w:r>
        <w:rPr>
          <w:rFonts w:cs="Times New Roman" w:hint="default"/>
          <w:snapToGrid w:val="0"/>
          <w:spacing w:val="-4"/>
          <w:lang w:val="zh-CN"/>
        </w:rPr>
        <w:t>总面积的比例为</w:t>
      </w:r>
      <w:r>
        <w:rPr>
          <w:rFonts w:cs="Times New Roman" w:hint="default"/>
          <w:snapToGrid w:val="0"/>
          <w:spacing w:val="-4"/>
        </w:rPr>
        <w:t>25.88</w:t>
      </w:r>
      <w:r>
        <w:rPr>
          <w:rFonts w:cs="Times New Roman" w:hint="default"/>
          <w:snapToGrid w:val="0"/>
          <w:spacing w:val="-4"/>
          <w:lang w:val="zh-CN"/>
        </w:rPr>
        <w:t>%</w:t>
      </w:r>
      <w:r>
        <w:rPr>
          <w:rFonts w:cs="Times New Roman" w:hint="default"/>
          <w:snapToGrid w:val="0"/>
          <w:spacing w:val="-4"/>
          <w:lang w:val="zh-CN"/>
        </w:rPr>
        <w:t>、</w:t>
      </w:r>
      <w:r>
        <w:rPr>
          <w:rFonts w:cs="Times New Roman" w:hint="default"/>
          <w:snapToGrid w:val="0"/>
          <w:spacing w:val="-4"/>
        </w:rPr>
        <w:t>19.80</w:t>
      </w:r>
      <w:r>
        <w:rPr>
          <w:rFonts w:cs="Times New Roman" w:hint="default"/>
          <w:snapToGrid w:val="0"/>
          <w:spacing w:val="-4"/>
          <w:lang w:val="zh-CN"/>
        </w:rPr>
        <w:t>%</w:t>
      </w:r>
      <w:r>
        <w:rPr>
          <w:rFonts w:cs="Times New Roman" w:hint="default"/>
          <w:snapToGrid w:val="0"/>
          <w:spacing w:val="-4"/>
          <w:lang w:val="zh-CN"/>
        </w:rPr>
        <w:t>、</w:t>
      </w:r>
      <w:r>
        <w:rPr>
          <w:rFonts w:cs="Times New Roman" w:hint="default"/>
          <w:snapToGrid w:val="0"/>
          <w:spacing w:val="-4"/>
        </w:rPr>
        <w:t>13.20</w:t>
      </w:r>
      <w:r>
        <w:rPr>
          <w:rFonts w:cs="Times New Roman" w:hint="default"/>
          <w:snapToGrid w:val="0"/>
          <w:spacing w:val="-4"/>
          <w:lang w:val="zh-CN"/>
        </w:rPr>
        <w:t>%</w:t>
      </w:r>
      <w:r>
        <w:rPr>
          <w:rFonts w:cs="Times New Roman" w:hint="default"/>
          <w:snapToGrid w:val="0"/>
          <w:spacing w:val="-4"/>
        </w:rPr>
        <w:t>和</w:t>
      </w:r>
      <w:r>
        <w:rPr>
          <w:rFonts w:cs="Times New Roman" w:hint="default"/>
          <w:snapToGrid w:val="0"/>
          <w:spacing w:val="-4"/>
        </w:rPr>
        <w:t>12.44%</w:t>
      </w:r>
    </w:p>
    <w:p w:rsidR="00A46452" w:rsidRDefault="00A46452">
      <w:pPr>
        <w:pStyle w:val="ac"/>
        <w:adjustRightInd w:val="0"/>
        <w:snapToGrid w:val="0"/>
        <w:spacing w:line="240" w:lineRule="auto"/>
        <w:ind w:firstLineChars="0" w:firstLine="0"/>
        <w:jc w:val="left"/>
        <w:rPr>
          <w:rFonts w:ascii="Times New Roman" w:hAnsi="Times New Roman" w:cs="Times New Roman" w:hint="default"/>
          <w:sz w:val="24"/>
          <w:szCs w:val="24"/>
        </w:rPr>
      </w:pPr>
    </w:p>
    <w:p w:rsidR="00A46452" w:rsidRDefault="00A46452">
      <w:pPr>
        <w:pStyle w:val="ac"/>
        <w:adjustRightInd w:val="0"/>
        <w:snapToGrid w:val="0"/>
        <w:spacing w:line="240" w:lineRule="auto"/>
        <w:ind w:firstLineChars="0" w:firstLine="0"/>
        <w:jc w:val="left"/>
        <w:rPr>
          <w:rFonts w:ascii="Times New Roman" w:hAnsi="Times New Roman" w:cs="Times New Roman" w:hint="default"/>
          <w:sz w:val="24"/>
          <w:szCs w:val="24"/>
        </w:rPr>
      </w:pPr>
    </w:p>
    <w:p w:rsidR="00A46452" w:rsidRDefault="00A46452">
      <w:pPr>
        <w:pStyle w:val="ac"/>
        <w:adjustRightInd w:val="0"/>
        <w:snapToGrid w:val="0"/>
        <w:spacing w:line="240" w:lineRule="auto"/>
        <w:ind w:firstLineChars="0" w:firstLine="0"/>
        <w:jc w:val="left"/>
        <w:rPr>
          <w:rFonts w:ascii="Times New Roman" w:hAnsi="Times New Roman" w:cs="Times New Roman" w:hint="default"/>
          <w:sz w:val="24"/>
          <w:szCs w:val="24"/>
        </w:rPr>
      </w:pPr>
    </w:p>
    <w:p w:rsidR="00A46452" w:rsidRDefault="00A46452">
      <w:pPr>
        <w:pStyle w:val="ac"/>
        <w:adjustRightInd w:val="0"/>
        <w:snapToGrid w:val="0"/>
        <w:spacing w:line="240" w:lineRule="auto"/>
        <w:ind w:firstLineChars="0" w:firstLine="0"/>
        <w:jc w:val="left"/>
        <w:rPr>
          <w:rFonts w:ascii="Times New Roman" w:hAnsi="Times New Roman" w:cs="Times New Roman" w:hint="default"/>
          <w:sz w:val="24"/>
          <w:szCs w:val="24"/>
        </w:rPr>
      </w:pPr>
    </w:p>
    <w:p w:rsidR="00A46452" w:rsidRDefault="00A46452">
      <w:pPr>
        <w:pStyle w:val="ac"/>
        <w:adjustRightInd w:val="0"/>
        <w:snapToGrid w:val="0"/>
        <w:spacing w:line="240" w:lineRule="auto"/>
        <w:ind w:firstLineChars="0" w:firstLine="0"/>
        <w:jc w:val="left"/>
        <w:rPr>
          <w:rFonts w:ascii="Times New Roman" w:hAnsi="Times New Roman" w:cs="Times New Roman" w:hint="default"/>
          <w:sz w:val="24"/>
          <w:szCs w:val="24"/>
        </w:rPr>
      </w:pPr>
    </w:p>
    <w:p w:rsidR="00A46452" w:rsidRDefault="009A3928">
      <w:pPr>
        <w:pStyle w:val="ac"/>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.1-1</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评价范围土地利用变化</w:t>
      </w:r>
    </w:p>
    <w:p w:rsidR="00A46452" w:rsidRDefault="00A46452" w:rsidP="00182EED">
      <w:pPr>
        <w:spacing w:line="18" w:lineRule="exact"/>
        <w:ind w:firstLine="480"/>
        <w:rPr>
          <w:rFonts w:cs="Times New Roman"/>
        </w:rPr>
      </w:pPr>
    </w:p>
    <w:tbl>
      <w:tblPr>
        <w:tblW w:w="8419" w:type="dxa"/>
        <w:tblInd w:w="9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918"/>
        <w:gridCol w:w="1575"/>
        <w:gridCol w:w="1240"/>
        <w:gridCol w:w="1204"/>
        <w:gridCol w:w="1426"/>
        <w:gridCol w:w="1137"/>
        <w:gridCol w:w="919"/>
      </w:tblGrid>
      <w:tr w:rsidR="00A46452">
        <w:trPr>
          <w:trHeight w:val="300"/>
        </w:trPr>
        <w:tc>
          <w:tcPr>
            <w:tcW w:w="918"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序号</w:t>
            </w:r>
          </w:p>
        </w:tc>
        <w:tc>
          <w:tcPr>
            <w:tcW w:w="1575"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名称</w:t>
            </w:r>
          </w:p>
        </w:tc>
        <w:tc>
          <w:tcPr>
            <w:tcW w:w="1240"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项目建设前评价范围内面积</w:t>
            </w:r>
            <w:r>
              <w:rPr>
                <w:rFonts w:eastAsiaTheme="minorEastAsia" w:cs="Times New Roman"/>
                <w:kern w:val="0"/>
                <w:sz w:val="21"/>
                <w:lang w:bidi="ar"/>
              </w:rPr>
              <w:t>hm</w:t>
            </w:r>
            <w:r>
              <w:rPr>
                <w:rFonts w:eastAsiaTheme="minorEastAsia" w:cs="Times New Roman"/>
                <w:kern w:val="0"/>
                <w:sz w:val="21"/>
                <w:vertAlign w:val="superscript"/>
                <w:lang w:bidi="ar"/>
              </w:rPr>
              <w:t>2</w:t>
            </w:r>
          </w:p>
        </w:tc>
        <w:tc>
          <w:tcPr>
            <w:tcW w:w="1204"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占比</w:t>
            </w:r>
          </w:p>
        </w:tc>
        <w:tc>
          <w:tcPr>
            <w:tcW w:w="1426"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项目建设后评价范围内面积</w:t>
            </w:r>
            <w:r>
              <w:rPr>
                <w:rFonts w:eastAsiaTheme="minorEastAsia" w:cs="Times New Roman"/>
                <w:kern w:val="0"/>
                <w:sz w:val="21"/>
                <w:lang w:bidi="ar"/>
              </w:rPr>
              <w:t>hm</w:t>
            </w:r>
            <w:r>
              <w:rPr>
                <w:rFonts w:eastAsiaTheme="minorEastAsia" w:cs="Times New Roman"/>
                <w:kern w:val="0"/>
                <w:sz w:val="21"/>
                <w:vertAlign w:val="superscript"/>
                <w:lang w:bidi="ar"/>
              </w:rPr>
              <w:t>2</w:t>
            </w:r>
          </w:p>
        </w:tc>
        <w:tc>
          <w:tcPr>
            <w:tcW w:w="1137"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占比</w:t>
            </w:r>
          </w:p>
        </w:tc>
        <w:tc>
          <w:tcPr>
            <w:tcW w:w="919" w:type="dxa"/>
            <w:tcBorders>
              <w:tl2br w:val="nil"/>
              <w:tr2bl w:val="nil"/>
            </w:tcBorders>
            <w:shd w:val="clear" w:color="auto" w:fill="auto"/>
            <w:noWrap/>
            <w:vAlign w:val="center"/>
          </w:tcPr>
          <w:p w:rsidR="00A46452" w:rsidRDefault="009A3928">
            <w:pPr>
              <w:spacing w:line="22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变化值</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水浇地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2948.85</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25.39</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2928.11</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25.88</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-20.74</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园地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83.23</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0.72</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73.26</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0.65</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-9.97</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乔木林地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1356.04</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11.68</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1313.66</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11.61</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-42.38</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4</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其他林地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238.30</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2.05</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191.08</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1.69</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-47.22</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5</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灌木林地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1443.22</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12.43</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1407.79</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12.44</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-35.43</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天然牧草地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745.28</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6.42</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658.78</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5.82</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-86.5</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7</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其他草地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316.64</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2.73</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303.49</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2.68</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-13.15</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城镇建设用地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89.34</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0.77</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88.63</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0.78</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-0.71</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9</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工业用地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69.40</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0.60</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69.40</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0.61</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10</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公路用地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91.72</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0.79</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67.69</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0.60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-24.03</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农村道路</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13.26</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0.11</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11.13</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-2.13</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12</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农村居民点</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27.10</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0.23</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23.72</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0.21</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-3.38</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采矿用地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8.24</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0.07</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8.24</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0.07</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河流水面</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31.85</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0.27</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31.29</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0.28</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-0.56</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15</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沟渠</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24.95</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0.21</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22.11</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0.20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-2.84</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16</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内陆滩涂</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14.72</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0.13</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14.56</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0.13</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-0.16</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17</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裸土地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2242.50</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19.31</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2239.85</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19.80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-2.65</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18</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裸岩石砾地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251.23</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2.16</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251.13</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2.22</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-0.1</w:t>
            </w:r>
          </w:p>
        </w:tc>
      </w:tr>
      <w:tr w:rsidR="00A46452">
        <w:trPr>
          <w:trHeight w:val="312"/>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19</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沙地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123.45</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1.06</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116.41</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1.03</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-7.04</w:t>
            </w:r>
          </w:p>
        </w:tc>
      </w:tr>
      <w:tr w:rsidR="00A46452">
        <w:trPr>
          <w:trHeight w:val="357"/>
        </w:trPr>
        <w:tc>
          <w:tcPr>
            <w:tcW w:w="918"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20</w:t>
            </w:r>
          </w:p>
        </w:tc>
        <w:tc>
          <w:tcPr>
            <w:tcW w:w="1575"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盐碱地</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1495.01</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12.87</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1493.20</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13.20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-1.81</w:t>
            </w:r>
          </w:p>
        </w:tc>
      </w:tr>
      <w:tr w:rsidR="00A46452">
        <w:trPr>
          <w:trHeight w:val="312"/>
        </w:trPr>
        <w:tc>
          <w:tcPr>
            <w:tcW w:w="2493" w:type="dxa"/>
            <w:gridSpan w:val="2"/>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合计</w:t>
            </w:r>
          </w:p>
        </w:tc>
        <w:tc>
          <w:tcPr>
            <w:tcW w:w="1240"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11614.33</w:t>
            </w:r>
          </w:p>
        </w:tc>
        <w:tc>
          <w:tcPr>
            <w:tcW w:w="1204"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100</w:t>
            </w:r>
          </w:p>
        </w:tc>
        <w:tc>
          <w:tcPr>
            <w:tcW w:w="1426"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11313.53</w:t>
            </w:r>
          </w:p>
        </w:tc>
        <w:tc>
          <w:tcPr>
            <w:tcW w:w="1137"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100</w:t>
            </w:r>
          </w:p>
        </w:tc>
        <w:tc>
          <w:tcPr>
            <w:tcW w:w="919" w:type="dxa"/>
            <w:tcBorders>
              <w:tl2br w:val="nil"/>
              <w:tr2bl w:val="nil"/>
            </w:tcBorders>
            <w:shd w:val="clear" w:color="auto" w:fill="auto"/>
            <w:noWrap/>
            <w:vAlign w:val="center"/>
          </w:tcPr>
          <w:p w:rsidR="00A46452" w:rsidRDefault="009A3928">
            <w:pPr>
              <w:widowControl/>
              <w:spacing w:line="240" w:lineRule="atLeast"/>
              <w:ind w:firstLineChars="0" w:firstLine="0"/>
              <w:jc w:val="center"/>
              <w:textAlignment w:val="center"/>
              <w:rPr>
                <w:rFonts w:eastAsiaTheme="minorEastAsia" w:cs="Times New Roman"/>
                <w:sz w:val="21"/>
              </w:rPr>
            </w:pPr>
            <w:r>
              <w:rPr>
                <w:rFonts w:eastAsiaTheme="minorEastAsia" w:cs="Times New Roman"/>
                <w:kern w:val="0"/>
                <w:sz w:val="21"/>
                <w:lang w:bidi="ar"/>
              </w:rPr>
              <w:t>-300.8</w:t>
            </w:r>
          </w:p>
        </w:tc>
      </w:tr>
    </w:tbl>
    <w:p w:rsidR="00A46452" w:rsidRDefault="009A3928">
      <w:pPr>
        <w:pStyle w:val="a5"/>
        <w:widowControl/>
        <w:ind w:firstLine="480"/>
        <w:rPr>
          <w:rFonts w:cs="Times New Roman" w:hint="default"/>
          <w:spacing w:val="-1"/>
        </w:rPr>
      </w:pPr>
      <w:r>
        <w:rPr>
          <w:rFonts w:cs="Times New Roman" w:hint="default"/>
          <w:snapToGrid w:val="0"/>
          <w:lang w:val="zh-CN"/>
        </w:rPr>
        <w:t>工程用地会导致评价范围内耕地、园地、林地、水域及水利设施用地</w:t>
      </w:r>
      <w:r>
        <w:rPr>
          <w:rFonts w:cs="Times New Roman" w:hint="default"/>
          <w:snapToGrid w:val="0"/>
          <w:lang w:val="zh-CN"/>
        </w:rPr>
        <w:t>、</w:t>
      </w:r>
      <w:r>
        <w:rPr>
          <w:rFonts w:cs="Times New Roman" w:hint="default"/>
          <w:snapToGrid w:val="0"/>
        </w:rPr>
        <w:t>未利用地</w:t>
      </w:r>
      <w:r>
        <w:rPr>
          <w:rFonts w:cs="Times New Roman" w:hint="default"/>
          <w:snapToGrid w:val="0"/>
          <w:lang w:val="zh-CN"/>
        </w:rPr>
        <w:t>等土地类型减少，交通运输用地等建设用地面积增加。但通过对评价范</w:t>
      </w:r>
      <w:r>
        <w:rPr>
          <w:rFonts w:cs="Times New Roman" w:hint="default"/>
          <w:snapToGrid w:val="0"/>
          <w:lang w:val="zh-CN"/>
        </w:rPr>
        <w:t>围内</w:t>
      </w:r>
      <w:r>
        <w:rPr>
          <w:rFonts w:cs="Times New Roman" w:hint="default"/>
          <w:snapToGrid w:val="0"/>
          <w:lang w:val="zh-CN"/>
        </w:rPr>
        <w:t>土地利用类型及面积等数据分析，评价范围内土地利用类型以</w:t>
      </w:r>
      <w:r>
        <w:rPr>
          <w:rFonts w:cs="Times New Roman" w:hint="default"/>
          <w:snapToGrid w:val="0"/>
        </w:rPr>
        <w:t>水浇地、裸土地盐碱地为主，占用少量的</w:t>
      </w:r>
      <w:r>
        <w:rPr>
          <w:rFonts w:cs="Times New Roman" w:hint="default"/>
          <w:snapToGrid w:val="0"/>
          <w:lang w:val="zh-CN"/>
        </w:rPr>
        <w:t>耕地、林地，工程建设永久占用的耕地、林地面积分别占评价范围内耕地（</w:t>
      </w:r>
      <w:r>
        <w:rPr>
          <w:rFonts w:cs="Times New Roman" w:hint="default"/>
          <w:snapToGrid w:val="0"/>
        </w:rPr>
        <w:t>20.74hm</w:t>
      </w:r>
      <w:r>
        <w:rPr>
          <w:rFonts w:cs="Times New Roman" w:hint="default"/>
          <w:snapToGrid w:val="0"/>
          <w:vertAlign w:val="superscript"/>
          <w:lang w:val="zh-CN"/>
        </w:rPr>
        <w:t>2</w:t>
      </w:r>
      <w:r>
        <w:rPr>
          <w:rFonts w:cs="Times New Roman" w:hint="default"/>
          <w:snapToGrid w:val="0"/>
          <w:lang w:val="zh-CN"/>
        </w:rPr>
        <w:t>）、</w:t>
      </w:r>
      <w:r>
        <w:rPr>
          <w:rFonts w:cs="Times New Roman" w:hint="default"/>
          <w:snapToGrid w:val="0"/>
        </w:rPr>
        <w:t>灌木</w:t>
      </w:r>
      <w:r>
        <w:rPr>
          <w:rFonts w:cs="Times New Roman" w:hint="default"/>
          <w:snapToGrid w:val="0"/>
          <w:lang w:val="zh-CN"/>
        </w:rPr>
        <w:t>林地（</w:t>
      </w:r>
      <w:r>
        <w:rPr>
          <w:rFonts w:cs="Times New Roman" w:hint="default"/>
          <w:snapToGrid w:val="0"/>
        </w:rPr>
        <w:t>35.43m</w:t>
      </w:r>
      <w:r>
        <w:rPr>
          <w:rFonts w:cs="Times New Roman" w:hint="default"/>
          <w:snapToGrid w:val="0"/>
          <w:vertAlign w:val="superscript"/>
          <w:lang w:val="zh-CN"/>
        </w:rPr>
        <w:t>2</w:t>
      </w:r>
      <w:r>
        <w:rPr>
          <w:rFonts w:cs="Times New Roman" w:hint="default"/>
          <w:snapToGrid w:val="0"/>
          <w:lang w:val="zh-CN"/>
        </w:rPr>
        <w:t>）面积的</w:t>
      </w:r>
      <w:r>
        <w:rPr>
          <w:rFonts w:cs="Times New Roman" w:hint="default"/>
          <w:snapToGrid w:val="0"/>
        </w:rPr>
        <w:t>0.07</w:t>
      </w:r>
      <w:r>
        <w:rPr>
          <w:rFonts w:cs="Times New Roman" w:hint="default"/>
          <w:snapToGrid w:val="0"/>
          <w:lang w:val="zh-CN"/>
        </w:rPr>
        <w:t>%</w:t>
      </w:r>
      <w:r>
        <w:rPr>
          <w:rFonts w:cs="Times New Roman" w:hint="default"/>
          <w:snapToGrid w:val="0"/>
          <w:lang w:val="zh-CN"/>
        </w:rPr>
        <w:t>、</w:t>
      </w:r>
      <w:r>
        <w:rPr>
          <w:rFonts w:cs="Times New Roman" w:hint="default"/>
          <w:snapToGrid w:val="0"/>
        </w:rPr>
        <w:t>2.39</w:t>
      </w:r>
      <w:r>
        <w:rPr>
          <w:rFonts w:cs="Times New Roman" w:hint="default"/>
          <w:snapToGrid w:val="0"/>
          <w:lang w:val="zh-CN"/>
        </w:rPr>
        <w:t>%</w:t>
      </w:r>
      <w:r>
        <w:rPr>
          <w:rFonts w:cs="Times New Roman" w:hint="default"/>
          <w:snapToGrid w:val="0"/>
          <w:lang w:val="zh-CN"/>
        </w:rPr>
        <w:t>，所占比例较小，对工程建设对评价范围内土地利用格局的影响有限。</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w:t>
      </w:r>
      <w:bookmarkEnd w:id="277"/>
      <w:bookmarkEnd w:id="278"/>
      <w:bookmarkEnd w:id="279"/>
      <w:r>
        <w:rPr>
          <w:rFonts w:cs="Times New Roman" w:hint="default"/>
          <w:sz w:val="28"/>
          <w:szCs w:val="28"/>
        </w:rPr>
        <w:t>2</w:t>
      </w:r>
      <w:r>
        <w:rPr>
          <w:rFonts w:cs="Times New Roman" w:hint="default"/>
          <w:sz w:val="28"/>
          <w:szCs w:val="28"/>
        </w:rPr>
        <w:t>植物及植物资源影响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7.1.2.1</w:t>
      </w:r>
      <w:r>
        <w:rPr>
          <w:rFonts w:cs="Times New Roman" w:hint="default"/>
          <w:iCs/>
        </w:rPr>
        <w:t>对植被的影响分析</w:t>
      </w:r>
    </w:p>
    <w:p w:rsidR="00A46452" w:rsidRDefault="009A3928" w:rsidP="00182EED">
      <w:pPr>
        <w:wordWrap w:val="0"/>
        <w:topLinePunct/>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w:t>
      </w:r>
      <w:r>
        <w:rPr>
          <w:rFonts w:cs="Times New Roman"/>
          <w:snapToGrid w:val="0"/>
          <w:szCs w:val="24"/>
        </w:rPr>
        <w:t>施工期</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1</w:t>
      </w:r>
      <w:r>
        <w:rPr>
          <w:rFonts w:cs="Times New Roman"/>
          <w:snapToGrid w:val="0"/>
          <w:szCs w:val="24"/>
          <w:lang w:val="zh-CN"/>
        </w:rPr>
        <w:t>）工程占地的生物量及生产力的影响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施工期对沿线植被的影响主要是公路占地对植被的破坏，占用一定数量的耕地、林地、荒地，造成路基占地部分防护林树木被砍伐，耕地及原有荒漠植被破坏。植被资源影响主要表现在两个方面：一是工程占地造成植被生物量的损失；二是工程占地对沿线植被类型及生物多样性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①</w:t>
      </w:r>
      <w:r>
        <w:rPr>
          <w:rFonts w:cs="Times New Roman"/>
          <w:snapToGrid w:val="0"/>
          <w:szCs w:val="24"/>
          <w:lang w:val="zh-CN"/>
        </w:rPr>
        <w:t>对植被生产力的影响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植被是生态系统中最重要、最敏感的自然要素，对生态系统变化及稳定起决定性作用。植被净生产力是指绿色植物在单位面积，单位时间内所累积的有机物数量，是由光合作用所产生的有机质总量中扣除自养呼吸后的剩余部分，</w:t>
      </w:r>
      <w:r>
        <w:rPr>
          <w:rFonts w:cs="Times New Roman"/>
          <w:snapToGrid w:val="0"/>
          <w:szCs w:val="24"/>
          <w:lang w:val="zh-CN"/>
        </w:rPr>
        <w:t>它直接反映植物群落在自然环境条件下的生产能力，也是生态系统质量评价的重要参数。</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自然体系生产力评价的信息主要来源于实地勘察、收集的现状资料，并采用了国内关于自然生态系统生产力和植被生物量的研究成果进行分析，分述如下：</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1 \* ALPHABETIC </w:instrText>
      </w:r>
      <w:r>
        <w:rPr>
          <w:rFonts w:cs="Times New Roman"/>
          <w:snapToGrid w:val="0"/>
          <w:szCs w:val="24"/>
          <w:lang w:val="zh-CN"/>
        </w:rPr>
        <w:fldChar w:fldCharType="separate"/>
      </w:r>
      <w:r>
        <w:rPr>
          <w:rFonts w:cs="Times New Roman"/>
          <w:snapToGrid w:val="0"/>
          <w:szCs w:val="24"/>
          <w:lang w:val="zh-CN"/>
        </w:rPr>
        <w:t>A</w:t>
      </w:r>
      <w:r>
        <w:rPr>
          <w:rFonts w:cs="Times New Roman"/>
          <w:snapToGrid w:val="0"/>
          <w:szCs w:val="24"/>
          <w:lang w:val="zh-CN"/>
        </w:rPr>
        <w:fldChar w:fldCharType="end"/>
      </w:r>
      <w:r>
        <w:rPr>
          <w:rFonts w:cs="Times New Roman"/>
          <w:snapToGrid w:val="0"/>
          <w:szCs w:val="24"/>
          <w:lang w:val="zh-CN"/>
        </w:rPr>
        <w:t>灌木林</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项目区灌木林地主要植被为柽柳，树冠约为</w:t>
      </w:r>
      <w:r>
        <w:rPr>
          <w:rFonts w:cs="Times New Roman"/>
          <w:snapToGrid w:val="0"/>
          <w:szCs w:val="24"/>
          <w:lang w:val="zh-CN"/>
        </w:rPr>
        <w:t>2.5m</w:t>
      </w:r>
      <w:r>
        <w:rPr>
          <w:rFonts w:cs="Times New Roman"/>
          <w:snapToGrid w:val="0"/>
          <w:szCs w:val="24"/>
          <w:lang w:val="zh-CN"/>
        </w:rPr>
        <w:t>～</w:t>
      </w:r>
      <w:r>
        <w:rPr>
          <w:rFonts w:cs="Times New Roman"/>
          <w:snapToGrid w:val="0"/>
          <w:szCs w:val="24"/>
          <w:lang w:val="zh-CN"/>
        </w:rPr>
        <w:t>4m</w:t>
      </w:r>
      <w:r>
        <w:rPr>
          <w:rFonts w:cs="Times New Roman"/>
          <w:snapToGrid w:val="0"/>
          <w:szCs w:val="24"/>
          <w:lang w:val="zh-CN"/>
        </w:rPr>
        <w:t>，平均高度</w:t>
      </w:r>
      <w:r>
        <w:rPr>
          <w:rFonts w:cs="Times New Roman"/>
          <w:snapToGrid w:val="0"/>
          <w:szCs w:val="24"/>
          <w:lang w:val="zh-CN"/>
        </w:rPr>
        <w:t>1.5m</w:t>
      </w:r>
      <w:r>
        <w:rPr>
          <w:rFonts w:cs="Times New Roman"/>
          <w:snapToGrid w:val="0"/>
          <w:szCs w:val="24"/>
          <w:lang w:val="zh-CN"/>
        </w:rPr>
        <w:t>～</w:t>
      </w:r>
      <w:r>
        <w:rPr>
          <w:rFonts w:cs="Times New Roman"/>
          <w:snapToGrid w:val="0"/>
          <w:szCs w:val="24"/>
          <w:lang w:val="zh-CN"/>
        </w:rPr>
        <w:t>2.5m</w:t>
      </w:r>
      <w:r>
        <w:rPr>
          <w:rFonts w:cs="Times New Roman"/>
          <w:snapToGrid w:val="0"/>
          <w:szCs w:val="24"/>
          <w:lang w:val="zh-CN"/>
        </w:rPr>
        <w:t>，盖度</w:t>
      </w:r>
      <w:r>
        <w:rPr>
          <w:rFonts w:cs="Times New Roman"/>
          <w:snapToGrid w:val="0"/>
          <w:szCs w:val="24"/>
          <w:lang w:val="zh-CN"/>
        </w:rPr>
        <w:t>30%</w:t>
      </w:r>
      <w:r>
        <w:rPr>
          <w:rFonts w:cs="Times New Roman"/>
          <w:snapToGrid w:val="0"/>
          <w:szCs w:val="24"/>
          <w:lang w:val="zh-CN"/>
        </w:rPr>
        <w:t>左右，平均净生产力为</w:t>
      </w:r>
      <w:r>
        <w:rPr>
          <w:rFonts w:cs="Times New Roman"/>
          <w:snapToGrid w:val="0"/>
          <w:szCs w:val="24"/>
          <w:lang w:val="zh-CN"/>
        </w:rPr>
        <w:t>206gC/(m²a)</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2 \* ALPHABETIC </w:instrText>
      </w:r>
      <w:r>
        <w:rPr>
          <w:rFonts w:cs="Times New Roman"/>
          <w:snapToGrid w:val="0"/>
          <w:szCs w:val="24"/>
          <w:lang w:val="zh-CN"/>
        </w:rPr>
        <w:fldChar w:fldCharType="separate"/>
      </w:r>
      <w:r>
        <w:rPr>
          <w:rFonts w:cs="Times New Roman"/>
          <w:snapToGrid w:val="0"/>
          <w:szCs w:val="24"/>
          <w:lang w:val="zh-CN"/>
        </w:rPr>
        <w:t>B</w:t>
      </w:r>
      <w:r>
        <w:rPr>
          <w:rFonts w:cs="Times New Roman"/>
          <w:snapToGrid w:val="0"/>
          <w:szCs w:val="24"/>
          <w:lang w:val="zh-CN"/>
        </w:rPr>
        <w:fldChar w:fldCharType="end"/>
      </w:r>
      <w:r>
        <w:rPr>
          <w:rFonts w:cs="Times New Roman"/>
          <w:snapToGrid w:val="0"/>
          <w:szCs w:val="24"/>
          <w:lang w:val="zh-CN"/>
        </w:rPr>
        <w:t>农田防护林</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项目区新疆杨平均胸径</w:t>
      </w:r>
      <w:r>
        <w:rPr>
          <w:rFonts w:cs="Times New Roman"/>
          <w:snapToGrid w:val="0"/>
          <w:szCs w:val="24"/>
          <w:lang w:val="zh-CN"/>
        </w:rPr>
        <w:t>10m</w:t>
      </w:r>
      <w:r>
        <w:rPr>
          <w:rFonts w:cs="Times New Roman"/>
          <w:snapToGrid w:val="0"/>
          <w:szCs w:val="24"/>
          <w:lang w:val="zh-CN"/>
        </w:rPr>
        <w:t>～</w:t>
      </w:r>
      <w:r>
        <w:rPr>
          <w:rFonts w:cs="Times New Roman"/>
          <w:snapToGrid w:val="0"/>
          <w:szCs w:val="24"/>
          <w:lang w:val="zh-CN"/>
        </w:rPr>
        <w:t>40cm</w:t>
      </w:r>
      <w:r>
        <w:rPr>
          <w:rFonts w:cs="Times New Roman"/>
          <w:snapToGrid w:val="0"/>
          <w:szCs w:val="24"/>
          <w:lang w:val="zh-CN"/>
        </w:rPr>
        <w:t>，平均高</w:t>
      </w:r>
      <w:r>
        <w:rPr>
          <w:rFonts w:cs="Times New Roman"/>
          <w:snapToGrid w:val="0"/>
          <w:szCs w:val="24"/>
          <w:lang w:val="zh-CN"/>
        </w:rPr>
        <w:t>度</w:t>
      </w:r>
      <w:r>
        <w:rPr>
          <w:rFonts w:cs="Times New Roman"/>
          <w:snapToGrid w:val="0"/>
          <w:szCs w:val="24"/>
          <w:lang w:val="zh-CN"/>
        </w:rPr>
        <w:t>10m</w:t>
      </w:r>
      <w:r>
        <w:rPr>
          <w:rFonts w:cs="Times New Roman"/>
          <w:snapToGrid w:val="0"/>
          <w:szCs w:val="24"/>
          <w:lang w:val="zh-CN"/>
        </w:rPr>
        <w:t>～</w:t>
      </w:r>
      <w:r>
        <w:rPr>
          <w:rFonts w:cs="Times New Roman"/>
          <w:snapToGrid w:val="0"/>
          <w:szCs w:val="24"/>
          <w:lang w:val="zh-CN"/>
        </w:rPr>
        <w:t>15m</w:t>
      </w:r>
      <w:r>
        <w:rPr>
          <w:rFonts w:cs="Times New Roman"/>
          <w:snapToGrid w:val="0"/>
          <w:szCs w:val="24"/>
          <w:lang w:val="zh-CN"/>
        </w:rPr>
        <w:t>，盖度</w:t>
      </w:r>
      <w:r>
        <w:rPr>
          <w:rFonts w:cs="Times New Roman"/>
          <w:snapToGrid w:val="0"/>
          <w:szCs w:val="24"/>
          <w:lang w:val="zh-CN"/>
        </w:rPr>
        <w:t>30%</w:t>
      </w:r>
      <w:r>
        <w:rPr>
          <w:rFonts w:cs="Times New Roman"/>
          <w:snapToGrid w:val="0"/>
          <w:szCs w:val="24"/>
          <w:lang w:val="zh-CN"/>
        </w:rPr>
        <w:t>左右，平均净生产力为</w:t>
      </w:r>
      <w:r>
        <w:rPr>
          <w:rFonts w:cs="Times New Roman"/>
          <w:snapToGrid w:val="0"/>
          <w:szCs w:val="24"/>
          <w:lang w:val="zh-CN"/>
        </w:rPr>
        <w:t>600gC/(m²a)</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3 \* ALPHABETIC </w:instrText>
      </w:r>
      <w:r>
        <w:rPr>
          <w:rFonts w:cs="Times New Roman"/>
          <w:snapToGrid w:val="0"/>
          <w:szCs w:val="24"/>
          <w:lang w:val="zh-CN"/>
        </w:rPr>
        <w:fldChar w:fldCharType="separate"/>
      </w:r>
      <w:r>
        <w:rPr>
          <w:rFonts w:cs="Times New Roman"/>
          <w:snapToGrid w:val="0"/>
          <w:szCs w:val="24"/>
          <w:lang w:val="zh-CN"/>
        </w:rPr>
        <w:t>C</w:t>
      </w:r>
      <w:r>
        <w:rPr>
          <w:rFonts w:cs="Times New Roman"/>
          <w:snapToGrid w:val="0"/>
          <w:szCs w:val="24"/>
          <w:lang w:val="zh-CN"/>
        </w:rPr>
        <w:fldChar w:fldCharType="end"/>
      </w:r>
      <w:r>
        <w:rPr>
          <w:rFonts w:cs="Times New Roman"/>
          <w:snapToGrid w:val="0"/>
          <w:szCs w:val="24"/>
          <w:lang w:val="zh-CN"/>
        </w:rPr>
        <w:t>耕地</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评价区的农田主要种植小麦、玉米、棉花等农作物。平均净生产力（</w:t>
      </w:r>
      <w:r>
        <w:rPr>
          <w:rFonts w:cs="Times New Roman"/>
          <w:snapToGrid w:val="0"/>
          <w:szCs w:val="24"/>
          <w:lang w:val="zh-CN"/>
        </w:rPr>
        <w:t>NPP</w:t>
      </w:r>
      <w:r>
        <w:rPr>
          <w:rFonts w:cs="Times New Roman"/>
          <w:snapToGrid w:val="0"/>
          <w:szCs w:val="24"/>
          <w:lang w:val="zh-CN"/>
        </w:rPr>
        <w:t>，下同）为</w:t>
      </w:r>
      <w:r>
        <w:rPr>
          <w:rFonts w:cs="Times New Roman"/>
          <w:snapToGrid w:val="0"/>
          <w:szCs w:val="24"/>
          <w:lang w:val="zh-CN"/>
        </w:rPr>
        <w:t>644gC/(m²a)</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4 \* ALPHABETIC </w:instrText>
      </w:r>
      <w:r>
        <w:rPr>
          <w:rFonts w:cs="Times New Roman"/>
          <w:snapToGrid w:val="0"/>
          <w:szCs w:val="24"/>
          <w:lang w:val="zh-CN"/>
        </w:rPr>
        <w:fldChar w:fldCharType="separate"/>
      </w:r>
      <w:r>
        <w:rPr>
          <w:rFonts w:cs="Times New Roman"/>
          <w:snapToGrid w:val="0"/>
          <w:szCs w:val="24"/>
          <w:lang w:val="zh-CN"/>
        </w:rPr>
        <w:t>D</w:t>
      </w:r>
      <w:r>
        <w:rPr>
          <w:rFonts w:cs="Times New Roman"/>
          <w:snapToGrid w:val="0"/>
          <w:szCs w:val="24"/>
          <w:lang w:val="zh-CN"/>
        </w:rPr>
        <w:fldChar w:fldCharType="end"/>
      </w:r>
      <w:r>
        <w:rPr>
          <w:rFonts w:cs="Times New Roman"/>
          <w:snapToGrid w:val="0"/>
          <w:szCs w:val="24"/>
          <w:lang w:val="zh-CN"/>
        </w:rPr>
        <w:t>荒漠</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评价区的荒漠为半灌木、小半灌木荒漠，零星分布有柽柳、盐爪爪、芦苇等，高度一般</w:t>
      </w:r>
      <w:r>
        <w:rPr>
          <w:rFonts w:cs="Times New Roman"/>
          <w:snapToGrid w:val="0"/>
          <w:szCs w:val="24"/>
          <w:lang w:val="zh-CN"/>
        </w:rPr>
        <w:t>30cm</w:t>
      </w:r>
      <w:r>
        <w:rPr>
          <w:rFonts w:cs="Times New Roman"/>
          <w:snapToGrid w:val="0"/>
          <w:szCs w:val="24"/>
          <w:lang w:val="zh-CN"/>
        </w:rPr>
        <w:t>以内，盖度</w:t>
      </w:r>
      <w:r>
        <w:rPr>
          <w:rFonts w:cs="Times New Roman"/>
          <w:snapToGrid w:val="0"/>
          <w:szCs w:val="24"/>
          <w:lang w:val="zh-CN"/>
        </w:rPr>
        <w:t>10%</w:t>
      </w:r>
      <w:r>
        <w:rPr>
          <w:rFonts w:cs="Times New Roman"/>
          <w:snapToGrid w:val="0"/>
          <w:szCs w:val="24"/>
          <w:lang w:val="zh-CN"/>
        </w:rPr>
        <w:t>以下，平均净生产力为</w:t>
      </w:r>
      <w:r>
        <w:rPr>
          <w:rFonts w:cs="Times New Roman"/>
          <w:snapToGrid w:val="0"/>
          <w:szCs w:val="24"/>
          <w:lang w:val="zh-CN"/>
        </w:rPr>
        <w:t>48gC/(m²a)</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各植被类型中，林地平均净生产力最高，耕地其次，荒漠植被平均净生产力最低。评价区内灌木林地</w:t>
      </w:r>
      <w:r>
        <w:rPr>
          <w:rFonts w:cs="Times New Roman"/>
          <w:snapToGrid w:val="0"/>
          <w:szCs w:val="24"/>
          <w:lang w:val="zh-CN"/>
        </w:rPr>
        <w:t>面积所占比重最大，是对评价区的平均生产力值的大小起决定性的因素。</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按照有关研究成果，将地球上生态系统按照生产力的高低划分为</w:t>
      </w:r>
      <w:r>
        <w:rPr>
          <w:rFonts w:cs="Times New Roman"/>
          <w:snapToGrid w:val="0"/>
          <w:szCs w:val="24"/>
          <w:lang w:val="zh-CN"/>
        </w:rPr>
        <w:t>4</w:t>
      </w:r>
      <w:r>
        <w:rPr>
          <w:rFonts w:cs="Times New Roman"/>
          <w:snapToGrid w:val="0"/>
          <w:szCs w:val="24"/>
          <w:lang w:val="zh-CN"/>
        </w:rPr>
        <w:t>个等级，见表</w:t>
      </w:r>
      <w:r>
        <w:rPr>
          <w:rFonts w:cs="Times New Roman" w:hint="eastAsia"/>
          <w:snapToGrid w:val="0"/>
          <w:szCs w:val="24"/>
        </w:rPr>
        <w:t>7</w:t>
      </w:r>
      <w:r>
        <w:rPr>
          <w:rFonts w:cs="Times New Roman"/>
          <w:snapToGrid w:val="0"/>
          <w:szCs w:val="24"/>
          <w:lang w:val="zh-CN"/>
        </w:rPr>
        <w:t>.1-</w:t>
      </w:r>
      <w:r>
        <w:rPr>
          <w:rFonts w:cs="Times New Roman"/>
          <w:snapToGrid w:val="0"/>
          <w:szCs w:val="24"/>
        </w:rPr>
        <w:t>2</w:t>
      </w:r>
      <w:r>
        <w:rPr>
          <w:rFonts w:cs="Times New Roman"/>
          <w:snapToGrid w:val="0"/>
          <w:szCs w:val="24"/>
          <w:lang w:val="zh-CN"/>
        </w:rPr>
        <w:t>。</w:t>
      </w:r>
    </w:p>
    <w:p w:rsidR="00A46452" w:rsidRDefault="00A46452">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.1-</w:t>
      </w:r>
      <w:r>
        <w:rPr>
          <w:rFonts w:ascii="Times New Roman" w:hAnsi="Times New Roman" w:cs="Times New Roman" w:hint="default"/>
          <w:sz w:val="24"/>
          <w:szCs w:val="24"/>
        </w:rPr>
        <w:t>2</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地球上生态系统生产力水平等级划分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42"/>
        <w:gridCol w:w="3380"/>
        <w:gridCol w:w="3893"/>
      </w:tblGrid>
      <w:tr w:rsidR="00A46452">
        <w:trPr>
          <w:trHeight w:hRule="exact" w:val="464"/>
          <w:jc w:val="center"/>
        </w:trPr>
        <w:tc>
          <w:tcPr>
            <w:tcW w:w="729" w:type="pc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评价等级</w:t>
            </w:r>
          </w:p>
        </w:tc>
        <w:tc>
          <w:tcPr>
            <w:tcW w:w="19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生产力判断标准（</w:t>
            </w:r>
            <w:r>
              <w:rPr>
                <w:rFonts w:cs="Times New Roman"/>
                <w:sz w:val="21"/>
              </w:rPr>
              <w:t>NPP</w:t>
            </w:r>
            <w:r>
              <w:rPr>
                <w:rFonts w:cs="Times New Roman"/>
                <w:sz w:val="21"/>
              </w:rPr>
              <w:t>）</w:t>
            </w:r>
          </w:p>
        </w:tc>
        <w:tc>
          <w:tcPr>
            <w:tcW w:w="2286" w:type="pc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生态类型举例</w:t>
            </w:r>
          </w:p>
        </w:tc>
      </w:tr>
      <w:tr w:rsidR="00A46452">
        <w:trPr>
          <w:trHeight w:hRule="exact" w:val="362"/>
          <w:jc w:val="center"/>
        </w:trPr>
        <w:tc>
          <w:tcPr>
            <w:tcW w:w="729"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最低</w:t>
            </w:r>
          </w:p>
        </w:tc>
        <w:tc>
          <w:tcPr>
            <w:tcW w:w="198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&lt;</w:t>
            </w:r>
            <w:r>
              <w:rPr>
                <w:rFonts w:cs="Times New Roman"/>
                <w:sz w:val="21"/>
              </w:rPr>
              <w:t>0.5g/m²·d</w:t>
            </w:r>
          </w:p>
        </w:tc>
        <w:tc>
          <w:tcPr>
            <w:tcW w:w="2286"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21"/>
              </w:rPr>
            </w:pPr>
            <w:r>
              <w:rPr>
                <w:rFonts w:cs="Times New Roman"/>
                <w:sz w:val="21"/>
              </w:rPr>
              <w:t>荒漠和深海</w:t>
            </w:r>
          </w:p>
        </w:tc>
      </w:tr>
      <w:tr w:rsidR="00A46452">
        <w:trPr>
          <w:trHeight w:hRule="exact" w:val="590"/>
          <w:jc w:val="center"/>
        </w:trPr>
        <w:tc>
          <w:tcPr>
            <w:tcW w:w="729"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较低</w:t>
            </w:r>
          </w:p>
        </w:tc>
        <w:tc>
          <w:tcPr>
            <w:tcW w:w="198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0.5</w:t>
            </w:r>
            <w:r>
              <w:rPr>
                <w:rFonts w:cs="Times New Roman"/>
                <w:sz w:val="21"/>
              </w:rPr>
              <w:t>~</w:t>
            </w:r>
            <w:r>
              <w:rPr>
                <w:rFonts w:cs="Times New Roman"/>
                <w:sz w:val="21"/>
              </w:rPr>
              <w:t>3.0g/m²·d</w:t>
            </w:r>
          </w:p>
        </w:tc>
        <w:tc>
          <w:tcPr>
            <w:tcW w:w="2286"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21"/>
              </w:rPr>
            </w:pPr>
            <w:r>
              <w:rPr>
                <w:rFonts w:cs="Times New Roman"/>
                <w:sz w:val="21"/>
              </w:rPr>
              <w:t>山地森林、热带稀树草原、某些农耕地、半干旱草原、深湖和大陆架</w:t>
            </w:r>
          </w:p>
        </w:tc>
      </w:tr>
      <w:tr w:rsidR="00A46452">
        <w:trPr>
          <w:trHeight w:hRule="exact" w:val="433"/>
          <w:jc w:val="center"/>
        </w:trPr>
        <w:tc>
          <w:tcPr>
            <w:tcW w:w="729"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较高</w:t>
            </w:r>
          </w:p>
        </w:tc>
        <w:tc>
          <w:tcPr>
            <w:tcW w:w="198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3</w:t>
            </w:r>
            <w:r>
              <w:rPr>
                <w:rFonts w:cs="Times New Roman"/>
                <w:sz w:val="21"/>
              </w:rPr>
              <w:t>~</w:t>
            </w:r>
            <w:r>
              <w:rPr>
                <w:rFonts w:cs="Times New Roman"/>
                <w:sz w:val="21"/>
              </w:rPr>
              <w:t>10g/m²·d</w:t>
            </w:r>
          </w:p>
        </w:tc>
        <w:tc>
          <w:tcPr>
            <w:tcW w:w="2286"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21"/>
              </w:rPr>
            </w:pPr>
            <w:r>
              <w:rPr>
                <w:rFonts w:cs="Times New Roman"/>
                <w:sz w:val="21"/>
              </w:rPr>
              <w:t>热带雨林、农耕地和浅湖</w:t>
            </w:r>
          </w:p>
        </w:tc>
      </w:tr>
      <w:tr w:rsidR="00A46452">
        <w:trPr>
          <w:trHeight w:hRule="exact" w:val="629"/>
          <w:jc w:val="center"/>
        </w:trPr>
        <w:tc>
          <w:tcPr>
            <w:tcW w:w="729" w:type="pct"/>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最高</w:t>
            </w:r>
          </w:p>
        </w:tc>
        <w:tc>
          <w:tcPr>
            <w:tcW w:w="19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21"/>
              </w:rPr>
            </w:pPr>
            <w:r>
              <w:rPr>
                <w:rFonts w:cs="Times New Roman"/>
                <w:sz w:val="21"/>
              </w:rPr>
              <w:t>10</w:t>
            </w:r>
            <w:r>
              <w:rPr>
                <w:rFonts w:cs="Times New Roman"/>
                <w:sz w:val="21"/>
              </w:rPr>
              <w:t>～</w:t>
            </w:r>
            <w:r>
              <w:rPr>
                <w:rFonts w:cs="Times New Roman"/>
                <w:sz w:val="21"/>
              </w:rPr>
              <w:t>20g/m²·d</w:t>
            </w:r>
            <w:r>
              <w:rPr>
                <w:rFonts w:cs="Times New Roman"/>
                <w:sz w:val="21"/>
              </w:rPr>
              <w:t>，最高可达</w:t>
            </w:r>
            <w:r>
              <w:rPr>
                <w:rFonts w:cs="Times New Roman"/>
                <w:sz w:val="21"/>
              </w:rPr>
              <w:t>25g/m²·d</w:t>
            </w:r>
          </w:p>
        </w:tc>
        <w:tc>
          <w:tcPr>
            <w:tcW w:w="2286"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21"/>
              </w:rPr>
            </w:pPr>
            <w:r>
              <w:rPr>
                <w:rFonts w:cs="Times New Roman"/>
                <w:sz w:val="21"/>
              </w:rPr>
              <w:t>少数特殊生态系统，如农业高产田、河漫滩、三角洲、珊瑚礁和红树林等</w:t>
            </w:r>
          </w:p>
        </w:tc>
      </w:tr>
    </w:tbl>
    <w:p w:rsidR="00A46452" w:rsidRDefault="009A3928">
      <w:pPr>
        <w:wordWrap w:val="0"/>
        <w:topLinePunct/>
        <w:ind w:firstLine="480"/>
        <w:rPr>
          <w:rFonts w:cs="Times New Roman"/>
          <w:snapToGrid w:val="0"/>
          <w:lang w:val="zh-CN"/>
        </w:rPr>
      </w:pPr>
      <w:r>
        <w:rPr>
          <w:rFonts w:cs="Times New Roman"/>
          <w:snapToGrid w:val="0"/>
          <w:lang w:val="zh-CN"/>
        </w:rPr>
        <w:t>参照上表的划分指标，本项目生态类型处于</w:t>
      </w:r>
      <w:r>
        <w:rPr>
          <w:rFonts w:cs="Times New Roman"/>
          <w:sz w:val="18"/>
          <w:szCs w:val="18"/>
        </w:rPr>
        <w:t>&lt;</w:t>
      </w:r>
      <w:r>
        <w:rPr>
          <w:rFonts w:cs="Times New Roman"/>
          <w:snapToGrid w:val="0"/>
          <w:lang w:val="zh-CN"/>
        </w:rPr>
        <w:t>0.5g/m</w:t>
      </w:r>
      <w:r>
        <w:rPr>
          <w:rFonts w:cs="Times New Roman"/>
          <w:snapToGrid w:val="0"/>
          <w:vertAlign w:val="superscript"/>
          <w:lang w:val="zh-CN"/>
        </w:rPr>
        <w:t>2</w:t>
      </w:r>
      <w:r>
        <w:rPr>
          <w:rFonts w:cs="Times New Roman"/>
          <w:snapToGrid w:val="0"/>
          <w:lang w:val="zh-CN"/>
        </w:rPr>
        <w:t>·d</w:t>
      </w:r>
      <w:r>
        <w:rPr>
          <w:rFonts w:cs="Times New Roman"/>
          <w:snapToGrid w:val="0"/>
          <w:lang w:val="zh-CN"/>
        </w:rPr>
        <w:t>的判定标准内，属于全球生态系统生产力</w:t>
      </w:r>
      <w:r>
        <w:rPr>
          <w:rFonts w:cs="Times New Roman"/>
          <w:snapToGrid w:val="0"/>
          <w:lang w:val="zh-CN"/>
        </w:rPr>
        <w:t>“</w:t>
      </w:r>
      <w:r>
        <w:rPr>
          <w:rFonts w:cs="Times New Roman"/>
          <w:snapToGrid w:val="0"/>
        </w:rPr>
        <w:t>最</w:t>
      </w:r>
      <w:r>
        <w:rPr>
          <w:rFonts w:cs="Times New Roman"/>
          <w:snapToGrid w:val="0"/>
          <w:lang w:val="zh-CN"/>
        </w:rPr>
        <w:t>低</w:t>
      </w:r>
      <w:r>
        <w:rPr>
          <w:rFonts w:cs="Times New Roman"/>
          <w:snapToGrid w:val="0"/>
          <w:lang w:val="zh-CN"/>
        </w:rPr>
        <w:t>”</w:t>
      </w:r>
      <w:r>
        <w:rPr>
          <w:rFonts w:cs="Times New Roman"/>
          <w:snapToGrid w:val="0"/>
          <w:lang w:val="zh-CN"/>
        </w:rPr>
        <w:t>水平。</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②</w:t>
      </w:r>
      <w:r>
        <w:rPr>
          <w:rFonts w:cs="Times New Roman"/>
          <w:snapToGrid w:val="0"/>
          <w:szCs w:val="24"/>
          <w:lang w:val="zh-CN"/>
        </w:rPr>
        <w:t>对植被生物量的影响</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snapToGrid w:val="0"/>
          <w:color w:val="auto"/>
          <w:lang w:val="zh-CN"/>
        </w:rPr>
        <w:t>施工期对沿线植被的影响主要是公路占地对植被的破坏，</w:t>
      </w:r>
      <w:r>
        <w:rPr>
          <w:rFonts w:ascii="Times New Roman" w:hAnsi="Times New Roman" w:cs="Times New Roman" w:hint="default"/>
          <w:color w:val="auto"/>
        </w:rPr>
        <w:t>本工程</w:t>
      </w:r>
      <w:r>
        <w:rPr>
          <w:rFonts w:ascii="Times New Roman" w:hAnsi="Times New Roman" w:cs="Times New Roman" w:hint="default"/>
          <w:color w:val="auto"/>
          <w:kern w:val="0"/>
          <w:lang w:bidi="ar"/>
        </w:rPr>
        <w:t>永久占地共</w:t>
      </w:r>
      <w:r>
        <w:rPr>
          <w:rFonts w:ascii="Times New Roman" w:hAnsi="Times New Roman" w:cs="Times New Roman" w:hint="default"/>
          <w:color w:val="auto"/>
          <w:kern w:val="0"/>
          <w:lang w:bidi="ar"/>
        </w:rPr>
        <w:t>300.80hm²</w:t>
      </w:r>
      <w:r>
        <w:rPr>
          <w:rFonts w:ascii="Times New Roman" w:hAnsi="Times New Roman" w:cs="Times New Roman" w:hint="default"/>
          <w:color w:val="auto"/>
          <w:kern w:val="0"/>
          <w:lang w:bidi="ar"/>
        </w:rPr>
        <w:t>，原有公路占地</w:t>
      </w:r>
      <w:r>
        <w:rPr>
          <w:rFonts w:ascii="Times New Roman" w:hAnsi="Times New Roman" w:cs="Times New Roman" w:hint="default"/>
          <w:color w:val="auto"/>
          <w:kern w:val="0"/>
          <w:lang w:bidi="ar"/>
        </w:rPr>
        <w:t>21.10hm²</w:t>
      </w:r>
      <w:r>
        <w:rPr>
          <w:rFonts w:ascii="Times New Roman" w:hAnsi="Times New Roman" w:cs="Times New Roman" w:hint="default"/>
          <w:color w:val="auto"/>
          <w:kern w:val="0"/>
          <w:lang w:bidi="ar"/>
        </w:rPr>
        <w:t>、荒地</w:t>
      </w:r>
      <w:r>
        <w:rPr>
          <w:rFonts w:ascii="Times New Roman" w:hAnsi="Times New Roman" w:cs="Times New Roman" w:hint="default"/>
          <w:color w:val="auto"/>
          <w:kern w:val="0"/>
          <w:lang w:bidi="ar"/>
        </w:rPr>
        <w:t>2.98hm²</w:t>
      </w:r>
      <w:r>
        <w:rPr>
          <w:rFonts w:ascii="Times New Roman" w:hAnsi="Times New Roman" w:cs="Times New Roman" w:hint="default"/>
          <w:color w:val="auto"/>
          <w:kern w:val="0"/>
          <w:lang w:bidi="ar"/>
        </w:rPr>
        <w:t>、耕地</w:t>
      </w:r>
      <w:r>
        <w:rPr>
          <w:rFonts w:ascii="Times New Roman" w:hAnsi="Times New Roman" w:cs="Times New Roman" w:hint="default"/>
          <w:color w:val="auto"/>
          <w:kern w:val="0"/>
          <w:lang w:bidi="ar"/>
        </w:rPr>
        <w:t>34.27hm²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草地</w:t>
      </w:r>
      <w:r>
        <w:rPr>
          <w:rFonts w:ascii="Times New Roman" w:hAnsi="Times New Roman" w:cs="Times New Roman" w:hint="default"/>
          <w:color w:val="auto"/>
          <w:kern w:val="0"/>
          <w:lang w:bidi="ar"/>
        </w:rPr>
        <w:t>97.91hm²</w:t>
      </w:r>
      <w:r>
        <w:rPr>
          <w:rFonts w:ascii="Times New Roman" w:hAnsi="Times New Roman" w:cs="Times New Roman" w:hint="default"/>
          <w:color w:val="auto"/>
          <w:kern w:val="0"/>
          <w:lang w:bidi="ar"/>
        </w:rPr>
        <w:t>、建设用地</w:t>
      </w:r>
      <w:r>
        <w:rPr>
          <w:rFonts w:ascii="Times New Roman" w:hAnsi="Times New Roman" w:cs="Times New Roman" w:hint="default"/>
          <w:color w:val="auto"/>
          <w:kern w:val="0"/>
          <w:lang w:bidi="ar"/>
        </w:rPr>
        <w:t>5.11hm²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林地</w:t>
      </w:r>
      <w:r>
        <w:rPr>
          <w:rFonts w:ascii="Times New Roman" w:hAnsi="Times New Roman" w:cs="Times New Roman" w:hint="default"/>
          <w:color w:val="auto"/>
          <w:kern w:val="0"/>
          <w:lang w:bidi="ar"/>
        </w:rPr>
        <w:t>139.15hm²</w:t>
      </w:r>
      <w:r>
        <w:rPr>
          <w:rFonts w:ascii="Times New Roman" w:hAnsi="Times New Roman" w:cs="Times New Roman" w:hint="default"/>
          <w:color w:val="auto"/>
          <w:kern w:val="0"/>
          <w:lang w:bidi="ar"/>
        </w:rPr>
        <w:t>、居民地</w:t>
      </w:r>
      <w:r>
        <w:rPr>
          <w:rFonts w:ascii="Times New Roman" w:hAnsi="Times New Roman" w:cs="Times New Roman" w:hint="default"/>
          <w:color w:val="auto"/>
          <w:kern w:val="0"/>
          <w:lang w:bidi="ar"/>
        </w:rPr>
        <w:t>0.28hm²</w:t>
      </w:r>
      <w:r>
        <w:rPr>
          <w:rFonts w:ascii="Times New Roman" w:hAnsi="Times New Roman" w:cs="Times New Roman" w:hint="default"/>
          <w:color w:val="auto"/>
          <w:kern w:val="0"/>
          <w:lang w:bidi="ar"/>
        </w:rPr>
        <w:t>。</w:t>
      </w:r>
    </w:p>
    <w:p w:rsidR="00A46452" w:rsidRDefault="009A3928">
      <w:pPr>
        <w:wordWrap w:val="0"/>
        <w:topLinePunct/>
        <w:adjustRightInd w:val="0"/>
        <w:snapToGrid w:val="0"/>
        <w:ind w:firstLine="480"/>
        <w:rPr>
          <w:rFonts w:cs="Times New Roman"/>
          <w:szCs w:val="24"/>
        </w:rPr>
      </w:pPr>
      <w:r>
        <w:rPr>
          <w:rFonts w:cs="Times New Roman"/>
          <w:szCs w:val="24"/>
        </w:rPr>
        <w:t>参考奥德姆（</w:t>
      </w:r>
      <w:r>
        <w:rPr>
          <w:rFonts w:cs="Times New Roman"/>
          <w:szCs w:val="24"/>
        </w:rPr>
        <w:t>Odum 1956</w:t>
      </w:r>
      <w:r>
        <w:rPr>
          <w:rFonts w:cs="Times New Roman"/>
          <w:szCs w:val="24"/>
        </w:rPr>
        <w:t>）对地球上各种生态系统总生产力的统计结果，根据项目区所属的生态系统的类型，对项目建设占地所造成的系统生产力的损失进行预测，具体内容见表</w:t>
      </w:r>
      <w:r>
        <w:rPr>
          <w:rFonts w:cs="Times New Roman" w:hint="eastAsia"/>
          <w:szCs w:val="24"/>
        </w:rPr>
        <w:t>7</w:t>
      </w:r>
      <w:r>
        <w:rPr>
          <w:rFonts w:cs="Times New Roman"/>
          <w:szCs w:val="24"/>
        </w:rPr>
        <w:t>.1-</w:t>
      </w:r>
      <w:r>
        <w:rPr>
          <w:rFonts w:cs="Times New Roman"/>
          <w:szCs w:val="24"/>
        </w:rPr>
        <w:t>3</w:t>
      </w:r>
      <w:r>
        <w:rPr>
          <w:rFonts w:cs="Times New Roman"/>
          <w:szCs w:val="24"/>
        </w:rPr>
        <w:t>。</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hint="eastAsia"/>
          <w:szCs w:val="24"/>
        </w:rPr>
        <w:t>7</w:t>
      </w:r>
      <w:r>
        <w:rPr>
          <w:rFonts w:eastAsia="黑体" w:cs="Times New Roman"/>
          <w:szCs w:val="24"/>
        </w:rPr>
        <w:t>.1-</w:t>
      </w:r>
      <w:r>
        <w:rPr>
          <w:rFonts w:eastAsia="黑体" w:cs="Times New Roman"/>
          <w:szCs w:val="24"/>
        </w:rPr>
        <w:t>3</w:t>
      </w:r>
      <w:r>
        <w:rPr>
          <w:rFonts w:eastAsia="黑体" w:cs="Times New Roman"/>
          <w:szCs w:val="24"/>
        </w:rPr>
        <w:t xml:space="preserve">     </w:t>
      </w:r>
      <w:r>
        <w:rPr>
          <w:rFonts w:eastAsia="黑体" w:cs="Times New Roman"/>
          <w:szCs w:val="24"/>
        </w:rPr>
        <w:t xml:space="preserve">  </w:t>
      </w:r>
      <w:r>
        <w:rPr>
          <w:rFonts w:eastAsia="黑体" w:cs="Times New Roman"/>
          <w:szCs w:val="24"/>
        </w:rPr>
        <w:t>项目区生态系统净生产力和植物生物量损失估算表</w:t>
      </w:r>
    </w:p>
    <w:tbl>
      <w:tblPr>
        <w:tblW w:w="0" w:type="auto"/>
        <w:tblInd w:w="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66"/>
        <w:gridCol w:w="1025"/>
        <w:gridCol w:w="1000"/>
        <w:gridCol w:w="1382"/>
        <w:gridCol w:w="1113"/>
        <w:gridCol w:w="1405"/>
        <w:gridCol w:w="1226"/>
      </w:tblGrid>
      <w:tr w:rsidR="00A46452">
        <w:trPr>
          <w:trHeight w:val="500"/>
        </w:trPr>
        <w:tc>
          <w:tcPr>
            <w:tcW w:w="1266"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工程占用生态系统类型</w:t>
            </w:r>
          </w:p>
        </w:tc>
        <w:tc>
          <w:tcPr>
            <w:tcW w:w="1025"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占地类型</w:t>
            </w:r>
          </w:p>
        </w:tc>
        <w:tc>
          <w:tcPr>
            <w:tcW w:w="1000"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面积</w:t>
            </w:r>
            <w:r>
              <w:rPr>
                <w:rFonts w:cs="Times New Roman"/>
                <w:kern w:val="0"/>
                <w:sz w:val="18"/>
                <w:szCs w:val="18"/>
                <w:lang w:bidi="ar"/>
              </w:rPr>
              <w:t>hm²</w:t>
            </w:r>
          </w:p>
        </w:tc>
        <w:tc>
          <w:tcPr>
            <w:tcW w:w="1382"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平均生物量</w:t>
            </w:r>
            <w:r>
              <w:rPr>
                <w:rFonts w:cs="Times New Roman"/>
                <w:kern w:val="0"/>
                <w:sz w:val="18"/>
                <w:szCs w:val="18"/>
                <w:lang w:bidi="ar"/>
              </w:rPr>
              <w:t>t/hm²</w:t>
            </w:r>
          </w:p>
        </w:tc>
        <w:tc>
          <w:tcPr>
            <w:tcW w:w="0" w:type="auto"/>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损失生物量</w:t>
            </w:r>
            <w:r>
              <w:rPr>
                <w:rFonts w:cs="Times New Roman"/>
                <w:kern w:val="0"/>
                <w:sz w:val="18"/>
                <w:szCs w:val="18"/>
                <w:lang w:bidi="ar"/>
              </w:rPr>
              <w:t>t</w:t>
            </w:r>
          </w:p>
        </w:tc>
        <w:tc>
          <w:tcPr>
            <w:tcW w:w="0" w:type="auto"/>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平均生产力</w:t>
            </w:r>
            <w:r>
              <w:rPr>
                <w:rFonts w:cs="Times New Roman"/>
                <w:kern w:val="0"/>
                <w:sz w:val="18"/>
                <w:szCs w:val="18"/>
                <w:lang w:bidi="ar"/>
              </w:rPr>
              <w:t>t/hm²</w:t>
            </w:r>
          </w:p>
        </w:tc>
        <w:tc>
          <w:tcPr>
            <w:tcW w:w="0" w:type="auto"/>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损失生产力</w:t>
            </w:r>
            <w:r>
              <w:rPr>
                <w:rFonts w:cs="Times New Roman"/>
                <w:kern w:val="0"/>
                <w:sz w:val="18"/>
                <w:szCs w:val="18"/>
                <w:lang w:bidi="ar"/>
              </w:rPr>
              <w:t>t/a</w:t>
            </w:r>
          </w:p>
        </w:tc>
      </w:tr>
      <w:tr w:rsidR="00A46452">
        <w:trPr>
          <w:trHeight w:val="295"/>
        </w:trPr>
        <w:tc>
          <w:tcPr>
            <w:tcW w:w="1266"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耕地</w:t>
            </w:r>
          </w:p>
        </w:tc>
        <w:tc>
          <w:tcPr>
            <w:tcW w:w="1025" w:type="dxa"/>
            <w:vMerge w:val="restart"/>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永久占地</w:t>
            </w:r>
          </w:p>
        </w:tc>
        <w:tc>
          <w:tcPr>
            <w:tcW w:w="1000"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34.27</w:t>
            </w:r>
          </w:p>
        </w:tc>
        <w:tc>
          <w:tcPr>
            <w:tcW w:w="1382"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0.80</w:t>
            </w:r>
          </w:p>
        </w:tc>
        <w:tc>
          <w:tcPr>
            <w:tcW w:w="1113"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27.42</w:t>
            </w:r>
          </w:p>
        </w:tc>
        <w:tc>
          <w:tcPr>
            <w:tcW w:w="1405"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4.00</w:t>
            </w:r>
          </w:p>
        </w:tc>
        <w:tc>
          <w:tcPr>
            <w:tcW w:w="1226"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137.08</w:t>
            </w:r>
          </w:p>
        </w:tc>
      </w:tr>
      <w:tr w:rsidR="00A46452">
        <w:trPr>
          <w:trHeight w:val="280"/>
        </w:trPr>
        <w:tc>
          <w:tcPr>
            <w:tcW w:w="1266"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林地</w:t>
            </w:r>
          </w:p>
        </w:tc>
        <w:tc>
          <w:tcPr>
            <w:tcW w:w="1025" w:type="dxa"/>
            <w:vMerge/>
            <w:tcBorders>
              <w:tl2br w:val="nil"/>
              <w:tr2bl w:val="nil"/>
            </w:tcBorders>
            <w:shd w:val="clear" w:color="auto" w:fill="auto"/>
            <w:vAlign w:val="center"/>
          </w:tcPr>
          <w:p w:rsidR="00A46452" w:rsidRDefault="00A46452">
            <w:pPr>
              <w:wordWrap w:val="0"/>
              <w:topLinePunct/>
              <w:adjustRightInd w:val="0"/>
              <w:snapToGrid w:val="0"/>
              <w:ind w:firstLineChars="0" w:firstLine="0"/>
              <w:jc w:val="center"/>
              <w:rPr>
                <w:rFonts w:cs="Times New Roman"/>
                <w:sz w:val="18"/>
                <w:szCs w:val="18"/>
              </w:rPr>
            </w:pPr>
          </w:p>
        </w:tc>
        <w:tc>
          <w:tcPr>
            <w:tcW w:w="1000"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139.15</w:t>
            </w:r>
          </w:p>
        </w:tc>
        <w:tc>
          <w:tcPr>
            <w:tcW w:w="1382"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52.04</w:t>
            </w:r>
          </w:p>
        </w:tc>
        <w:tc>
          <w:tcPr>
            <w:tcW w:w="1113"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7241.26</w:t>
            </w:r>
          </w:p>
        </w:tc>
        <w:tc>
          <w:tcPr>
            <w:tcW w:w="1405"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10.43</w:t>
            </w:r>
          </w:p>
        </w:tc>
        <w:tc>
          <w:tcPr>
            <w:tcW w:w="1226"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1451.31</w:t>
            </w:r>
          </w:p>
        </w:tc>
      </w:tr>
      <w:tr w:rsidR="00A46452">
        <w:trPr>
          <w:trHeight w:val="280"/>
        </w:trPr>
        <w:tc>
          <w:tcPr>
            <w:tcW w:w="1266" w:type="dxa"/>
            <w:tcBorders>
              <w:tl2br w:val="nil"/>
              <w:tr2bl w:val="nil"/>
            </w:tcBorders>
            <w:shd w:val="clear" w:color="auto" w:fill="auto"/>
            <w:vAlign w:val="center"/>
          </w:tcPr>
          <w:p w:rsidR="00A46452" w:rsidRDefault="009A3928">
            <w:pPr>
              <w:wordWrap w:val="0"/>
              <w:topLinePunct/>
              <w:adjustRightInd w:val="0"/>
              <w:snapToGrid w:val="0"/>
              <w:ind w:firstLineChars="0" w:firstLine="0"/>
              <w:jc w:val="center"/>
              <w:textAlignment w:val="bottom"/>
              <w:rPr>
                <w:rFonts w:cs="Times New Roman"/>
                <w:sz w:val="18"/>
                <w:szCs w:val="18"/>
              </w:rPr>
            </w:pPr>
            <w:r>
              <w:rPr>
                <w:rFonts w:cs="Times New Roman"/>
                <w:kern w:val="0"/>
                <w:sz w:val="18"/>
                <w:szCs w:val="18"/>
                <w:lang w:bidi="ar"/>
              </w:rPr>
              <w:t>荒漠</w:t>
            </w:r>
          </w:p>
        </w:tc>
        <w:tc>
          <w:tcPr>
            <w:tcW w:w="1025" w:type="dxa"/>
            <w:vMerge/>
            <w:tcBorders>
              <w:tl2br w:val="nil"/>
              <w:tr2bl w:val="nil"/>
            </w:tcBorders>
            <w:shd w:val="clear" w:color="auto" w:fill="auto"/>
            <w:vAlign w:val="center"/>
          </w:tcPr>
          <w:p w:rsidR="00A46452" w:rsidRDefault="00A46452">
            <w:pPr>
              <w:wordWrap w:val="0"/>
              <w:topLinePunct/>
              <w:adjustRightInd w:val="0"/>
              <w:snapToGrid w:val="0"/>
              <w:ind w:firstLineChars="0" w:firstLine="0"/>
              <w:jc w:val="center"/>
              <w:rPr>
                <w:rFonts w:cs="Times New Roman"/>
                <w:sz w:val="18"/>
                <w:szCs w:val="18"/>
              </w:rPr>
            </w:pPr>
          </w:p>
        </w:tc>
        <w:tc>
          <w:tcPr>
            <w:tcW w:w="1000"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11.60</w:t>
            </w:r>
          </w:p>
        </w:tc>
        <w:tc>
          <w:tcPr>
            <w:tcW w:w="1382"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0.70</w:t>
            </w:r>
          </w:p>
        </w:tc>
        <w:tc>
          <w:tcPr>
            <w:tcW w:w="1113"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8.12</w:t>
            </w:r>
          </w:p>
        </w:tc>
        <w:tc>
          <w:tcPr>
            <w:tcW w:w="1405"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0.60</w:t>
            </w:r>
          </w:p>
        </w:tc>
        <w:tc>
          <w:tcPr>
            <w:tcW w:w="1226"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6.96</w:t>
            </w:r>
          </w:p>
        </w:tc>
      </w:tr>
      <w:tr w:rsidR="00A46452">
        <w:trPr>
          <w:trHeight w:val="280"/>
        </w:trPr>
        <w:tc>
          <w:tcPr>
            <w:tcW w:w="2291" w:type="dxa"/>
            <w:gridSpan w:val="2"/>
            <w:tcBorders>
              <w:tl2br w:val="nil"/>
              <w:tr2bl w:val="nil"/>
            </w:tcBorders>
            <w:shd w:val="clear" w:color="auto" w:fill="auto"/>
            <w:vAlign w:val="center"/>
          </w:tcPr>
          <w:p w:rsidR="00A46452" w:rsidRDefault="009A3928">
            <w:pPr>
              <w:wordWrap w:val="0"/>
              <w:topLinePunct/>
              <w:adjustRightInd w:val="0"/>
              <w:snapToGrid w:val="0"/>
              <w:ind w:firstLineChars="0" w:firstLine="0"/>
              <w:jc w:val="center"/>
              <w:rPr>
                <w:rFonts w:cs="Times New Roman"/>
                <w:sz w:val="18"/>
                <w:szCs w:val="18"/>
              </w:rPr>
            </w:pPr>
            <w:r>
              <w:rPr>
                <w:rFonts w:cs="Times New Roman"/>
                <w:kern w:val="0"/>
                <w:sz w:val="18"/>
                <w:szCs w:val="18"/>
                <w:lang w:bidi="ar"/>
              </w:rPr>
              <w:t>合计</w:t>
            </w:r>
          </w:p>
        </w:tc>
        <w:tc>
          <w:tcPr>
            <w:tcW w:w="1000"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185.02</w:t>
            </w:r>
          </w:p>
        </w:tc>
        <w:tc>
          <w:tcPr>
            <w:tcW w:w="1382"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w:t>
            </w:r>
          </w:p>
        </w:tc>
        <w:tc>
          <w:tcPr>
            <w:tcW w:w="1113"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7276.80</w:t>
            </w:r>
          </w:p>
        </w:tc>
        <w:tc>
          <w:tcPr>
            <w:tcW w:w="1405"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w:t>
            </w:r>
          </w:p>
        </w:tc>
        <w:tc>
          <w:tcPr>
            <w:tcW w:w="1226" w:type="dxa"/>
            <w:tcBorders>
              <w:tl2br w:val="nil"/>
              <w:tr2bl w:val="nil"/>
            </w:tcBorders>
            <w:shd w:val="clear" w:color="auto" w:fill="auto"/>
            <w:vAlign w:val="center"/>
          </w:tcPr>
          <w:p w:rsidR="00A46452" w:rsidRDefault="009A3928">
            <w:pPr>
              <w:wordWrap w:val="0"/>
              <w:topLinePunct/>
              <w:ind w:firstLineChars="0" w:firstLine="0"/>
              <w:jc w:val="center"/>
              <w:textAlignment w:val="bottom"/>
              <w:rPr>
                <w:rFonts w:cs="Times New Roman"/>
                <w:sz w:val="18"/>
                <w:szCs w:val="18"/>
              </w:rPr>
            </w:pPr>
            <w:r>
              <w:rPr>
                <w:rFonts w:cs="Times New Roman"/>
                <w:kern w:val="0"/>
                <w:sz w:val="18"/>
                <w:szCs w:val="18"/>
                <w:lang w:bidi="ar"/>
              </w:rPr>
              <w:t>1595.35</w:t>
            </w:r>
          </w:p>
        </w:tc>
      </w:tr>
    </w:tbl>
    <w:p w:rsidR="00A46452" w:rsidRDefault="009A3928">
      <w:pPr>
        <w:wordWrap w:val="0"/>
        <w:topLinePunct/>
        <w:adjustRightInd w:val="0"/>
        <w:snapToGrid w:val="0"/>
        <w:ind w:firstLine="480"/>
        <w:rPr>
          <w:rFonts w:cs="Times New Roman"/>
          <w:snapToGrid w:val="0"/>
          <w:spacing w:val="-4"/>
          <w:szCs w:val="24"/>
          <w:lang w:val="zh-CN"/>
        </w:rPr>
      </w:pPr>
      <w:r>
        <w:rPr>
          <w:rFonts w:cs="Times New Roman"/>
          <w:szCs w:val="24"/>
        </w:rPr>
        <w:t>由预测结果表明，因此公路开发建设所造成的生物量损失为</w:t>
      </w:r>
      <w:r>
        <w:rPr>
          <w:rFonts w:cs="Times New Roman"/>
          <w:szCs w:val="24"/>
        </w:rPr>
        <w:t>7276.80</w:t>
      </w:r>
      <w:r>
        <w:rPr>
          <w:rFonts w:cs="Times New Roman"/>
          <w:szCs w:val="24"/>
        </w:rPr>
        <w:t>t</w:t>
      </w:r>
      <w:r>
        <w:rPr>
          <w:rFonts w:cs="Times New Roman"/>
          <w:szCs w:val="24"/>
        </w:rPr>
        <w:t>，系统净生产力每年降低</w:t>
      </w:r>
      <w:r>
        <w:rPr>
          <w:rFonts w:cs="Times New Roman"/>
          <w:szCs w:val="24"/>
        </w:rPr>
        <w:t>1595.35t</w:t>
      </w:r>
      <w:r>
        <w:rPr>
          <w:rFonts w:cs="Times New Roman"/>
          <w:szCs w:val="24"/>
        </w:rPr>
        <w:t>/a</w:t>
      </w:r>
      <w:r>
        <w:rPr>
          <w:rFonts w:cs="Times New Roman"/>
          <w:szCs w:val="24"/>
        </w:rPr>
        <w:t>。</w:t>
      </w:r>
      <w:r>
        <w:rPr>
          <w:rFonts w:cs="Times New Roman"/>
          <w:szCs w:val="24"/>
        </w:rPr>
        <w:t>在</w:t>
      </w:r>
      <w:r>
        <w:rPr>
          <w:rFonts w:cs="Times New Roman"/>
          <w:szCs w:val="24"/>
        </w:rPr>
        <w:t>施工期内，不同植被类型的生物量会受到不同程度的损失，其中主要为耕地、林地生物量损失量较大，但考虑到项目所在区域林地、</w:t>
      </w:r>
      <w:r>
        <w:rPr>
          <w:rFonts w:cs="Times New Roman"/>
          <w:szCs w:val="24"/>
        </w:rPr>
        <w:t>耕地</w:t>
      </w:r>
      <w:r>
        <w:rPr>
          <w:rFonts w:cs="Times New Roman"/>
          <w:szCs w:val="24"/>
        </w:rPr>
        <w:t>面积较大，工程用地通过林地、耕地补偿及置换后对整体耕</w:t>
      </w:r>
      <w:r>
        <w:rPr>
          <w:rFonts w:cs="Times New Roman"/>
          <w:szCs w:val="24"/>
        </w:rPr>
        <w:t>地</w:t>
      </w:r>
      <w:r>
        <w:rPr>
          <w:rFonts w:cs="Times New Roman"/>
          <w:szCs w:val="24"/>
        </w:rPr>
        <w:t>的影响较小，对植被生物量的影响较小，不会对自然体系和生态系统的稳定性产生严重的扰动。公路在开工前委托林业部门开展林业调查，根据调查报告，缴纳森林植被异地补偿经费，由林业部门异地造林，保证项目区域林地面积不减少。通过异地造林措施，本项目对自然植被造成的生物量损失可以得到一定程度缓解。总的来看，本工程建设对整个评价范围内自然生态系统体系来说属于可以承受的范围内</w:t>
      </w:r>
      <w:r>
        <w:rPr>
          <w:rFonts w:cs="Times New Roman"/>
          <w:snapToGrid w:val="0"/>
          <w:spacing w:val="-4"/>
          <w:szCs w:val="24"/>
          <w:lang w:val="zh-CN"/>
        </w:rPr>
        <w:t>。</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植被覆盖率的变化</w:t>
      </w:r>
    </w:p>
    <w:p w:rsidR="00A46452" w:rsidRDefault="009A3928">
      <w:pPr>
        <w:wordWrap w:val="0"/>
        <w:topLinePunct/>
        <w:ind w:firstLine="480"/>
        <w:rPr>
          <w:rFonts w:cs="Times New Roman"/>
          <w:snapToGrid w:val="0"/>
          <w:lang w:val="zh-CN"/>
        </w:rPr>
      </w:pPr>
      <w:r>
        <w:rPr>
          <w:rFonts w:cs="Times New Roman"/>
          <w:snapToGrid w:val="0"/>
          <w:lang w:val="zh-CN"/>
        </w:rPr>
        <w:t>根据评价区土地利用变化情况分析，由于占用植被，若不考虑采取绿化措施，营运期评价区内植被覆盖率为</w:t>
      </w:r>
      <w:r>
        <w:rPr>
          <w:rFonts w:cs="Times New Roman"/>
          <w:snapToGrid w:val="0"/>
        </w:rPr>
        <w:t>24.36</w:t>
      </w:r>
      <w:r>
        <w:rPr>
          <w:rFonts w:cs="Times New Roman"/>
          <w:snapToGrid w:val="0"/>
          <w:lang w:val="zh-CN"/>
        </w:rPr>
        <w:t>%</w:t>
      </w:r>
      <w:r>
        <w:rPr>
          <w:rFonts w:cs="Times New Roman"/>
          <w:snapToGrid w:val="0"/>
          <w:lang w:val="zh-CN"/>
        </w:rPr>
        <w:t>，比现状值（</w:t>
      </w:r>
      <w:r>
        <w:rPr>
          <w:rFonts w:cs="Times New Roman"/>
          <w:snapToGrid w:val="0"/>
        </w:rPr>
        <w:t>25.43</w:t>
      </w:r>
      <w:r>
        <w:rPr>
          <w:rFonts w:cs="Times New Roman"/>
          <w:snapToGrid w:val="0"/>
          <w:lang w:val="zh-CN"/>
        </w:rPr>
        <w:t>%</w:t>
      </w:r>
      <w:r>
        <w:rPr>
          <w:rFonts w:cs="Times New Roman"/>
          <w:snapToGrid w:val="0"/>
          <w:lang w:val="zh-CN"/>
        </w:rPr>
        <w:t>）减少了</w:t>
      </w:r>
      <w:r>
        <w:rPr>
          <w:rFonts w:cs="Times New Roman"/>
          <w:snapToGrid w:val="0"/>
        </w:rPr>
        <w:t>1.07</w:t>
      </w:r>
      <w:r>
        <w:rPr>
          <w:rFonts w:cs="Times New Roman"/>
          <w:snapToGrid w:val="0"/>
          <w:lang w:val="zh-CN"/>
        </w:rPr>
        <w:t>%</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物种量的变化</w:t>
      </w:r>
    </w:p>
    <w:p w:rsidR="00A46452" w:rsidRDefault="009A3928">
      <w:pPr>
        <w:wordWrap w:val="0"/>
        <w:topLinePunct/>
        <w:ind w:firstLine="480"/>
        <w:rPr>
          <w:rFonts w:cs="Times New Roman"/>
          <w:snapToGrid w:val="0"/>
          <w:lang w:val="zh-CN"/>
        </w:rPr>
      </w:pPr>
      <w:r>
        <w:rPr>
          <w:rFonts w:cs="Times New Roman"/>
          <w:snapToGrid w:val="0"/>
          <w:lang w:val="zh-CN"/>
        </w:rPr>
        <w:t>由于在施工结束后，会在本公路两侧种植部分树木、花卉，故在施工期损失的物种量会有所补偿。工程建设完成后，公路占地区域内损失的物种都是评价区内常见的普通植物，评价区原有的物种都仍存在，因此公路的建设对区域植物多样性的影响甚微。绿化的乔、灌、草种类主要树种</w:t>
      </w:r>
      <w:r>
        <w:rPr>
          <w:rFonts w:cs="Times New Roman"/>
          <w:snapToGrid w:val="0"/>
        </w:rPr>
        <w:t>为当地常见的</w:t>
      </w:r>
      <w:r>
        <w:rPr>
          <w:rFonts w:cs="Times New Roman"/>
          <w:snapToGrid w:val="0"/>
          <w:lang w:val="zh-CN"/>
        </w:rPr>
        <w:t>乔、灌、草</w:t>
      </w:r>
      <w:r>
        <w:rPr>
          <w:rFonts w:cs="Times New Roman"/>
          <w:snapToGrid w:val="0"/>
        </w:rPr>
        <w:t>树种</w:t>
      </w:r>
      <w:r>
        <w:rPr>
          <w:rFonts w:cs="Times New Roman"/>
          <w:snapToGrid w:val="0"/>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）对占用林木影响分析及生态补偿</w:t>
      </w:r>
    </w:p>
    <w:p w:rsidR="00A46452" w:rsidRDefault="009A3928">
      <w:pPr>
        <w:wordWrap w:val="0"/>
        <w:topLinePunct/>
        <w:adjustRightInd w:val="0"/>
        <w:snapToGrid w:val="0"/>
        <w:ind w:firstLine="480"/>
        <w:rPr>
          <w:rFonts w:cs="Times New Roman"/>
          <w:szCs w:val="24"/>
        </w:rPr>
      </w:pPr>
      <w:r>
        <w:rPr>
          <w:rFonts w:cs="Times New Roman"/>
          <w:szCs w:val="24"/>
        </w:rPr>
        <w:t>根据工程初步林业调查，工程永久占用林地</w:t>
      </w:r>
      <w:r>
        <w:rPr>
          <w:rFonts w:cs="Times New Roman"/>
          <w:kern w:val="0"/>
          <w:szCs w:val="24"/>
          <w:lang w:bidi="ar"/>
        </w:rPr>
        <w:t>139.</w:t>
      </w:r>
      <w:r>
        <w:rPr>
          <w:rFonts w:cs="Times New Roman"/>
          <w:kern w:val="0"/>
          <w:szCs w:val="24"/>
          <w:lang w:bidi="ar"/>
        </w:rPr>
        <w:t>15</w:t>
      </w:r>
      <w:r>
        <w:rPr>
          <w:rFonts w:cs="Times New Roman"/>
          <w:szCs w:val="24"/>
        </w:rPr>
        <w:t>hm²</w:t>
      </w:r>
      <w:r>
        <w:rPr>
          <w:rFonts w:cs="Times New Roman"/>
          <w:szCs w:val="24"/>
        </w:rPr>
        <w:t>，包括</w:t>
      </w:r>
      <w:r>
        <w:rPr>
          <w:rFonts w:cs="Times New Roman"/>
          <w:snapToGrid w:val="0"/>
          <w:szCs w:val="24"/>
        </w:rPr>
        <w:t>乔木林地、灌木林地，</w:t>
      </w:r>
      <w:r>
        <w:rPr>
          <w:rFonts w:cs="Times New Roman"/>
          <w:szCs w:val="24"/>
        </w:rPr>
        <w:t>拟采伐林木总计</w:t>
      </w:r>
      <w:r>
        <w:rPr>
          <w:rFonts w:cs="Times New Roman"/>
        </w:rPr>
        <w:t>23876</w:t>
      </w:r>
      <w:r>
        <w:rPr>
          <w:rFonts w:cs="Times New Roman"/>
          <w:szCs w:val="24"/>
        </w:rPr>
        <w:t>棵树，本项目占用的树种类型包括新疆杨</w:t>
      </w:r>
      <w:r>
        <w:rPr>
          <w:rFonts w:cs="Times New Roman"/>
          <w:szCs w:val="24"/>
        </w:rPr>
        <w:t>、</w:t>
      </w:r>
      <w:r>
        <w:rPr>
          <w:rFonts w:cs="Times New Roman"/>
          <w:szCs w:val="24"/>
        </w:rPr>
        <w:t>胡杨、苹果树、桑树等。</w:t>
      </w:r>
      <w:r>
        <w:rPr>
          <w:rFonts w:cs="Times New Roman"/>
        </w:rPr>
        <w:t>其中：胸径大于</w:t>
      </w:r>
      <w:r>
        <w:rPr>
          <w:rFonts w:cs="Times New Roman"/>
        </w:rPr>
        <w:t>10</w:t>
      </w:r>
      <w:r>
        <w:rPr>
          <w:rFonts w:cs="Times New Roman"/>
        </w:rPr>
        <w:t>cm</w:t>
      </w:r>
      <w:r>
        <w:rPr>
          <w:rFonts w:cs="Times New Roman"/>
        </w:rPr>
        <w:t>的</w:t>
      </w:r>
      <w:r>
        <w:rPr>
          <w:rFonts w:cs="Times New Roman"/>
        </w:rPr>
        <w:t>17758</w:t>
      </w:r>
      <w:r>
        <w:rPr>
          <w:rFonts w:cs="Times New Roman"/>
        </w:rPr>
        <w:t>株，小于</w:t>
      </w:r>
      <w:r>
        <w:rPr>
          <w:rFonts w:cs="Times New Roman"/>
        </w:rPr>
        <w:t>10</w:t>
      </w:r>
      <w:r>
        <w:rPr>
          <w:rFonts w:cs="Times New Roman"/>
        </w:rPr>
        <w:t>cm</w:t>
      </w:r>
      <w:r>
        <w:rPr>
          <w:rFonts w:cs="Times New Roman"/>
        </w:rPr>
        <w:t>6118</w:t>
      </w:r>
      <w:r>
        <w:rPr>
          <w:rFonts w:cs="Times New Roman"/>
        </w:rPr>
        <w:t>株</w:t>
      </w:r>
      <w:r>
        <w:rPr>
          <w:rFonts w:cs="Times New Roman"/>
          <w:szCs w:val="24"/>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工程砍伐林地主要集中在道路两侧和农田区内，对于常见树种，砍伐时施工前由林地所有人采取砍伐、移植等措施，建设单位尽量减少施工带来的林地破坏，从而减少对环境的影响。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新疆的自然条件、公路建设的情况及林地实施情况，本项目将按照以往公路建设经验，由建设单位在施工前，与当地林业部门逐一统计砍伐林木的尺寸、大小、棵数，以此为依据向当地林业部门一次性给予赔偿，给予当地政府林业部门补偿费，由当地政府统一组织实施绿化。</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本公路建成后，结</w:t>
      </w:r>
      <w:r>
        <w:rPr>
          <w:rFonts w:cs="Times New Roman"/>
          <w:snapToGrid w:val="0"/>
          <w:szCs w:val="24"/>
          <w:lang w:val="zh-CN"/>
        </w:rPr>
        <w:t>合实际情况在沿线城市路段可通过采取生态绿化补偿措施，减轻和补偿施工期砍伐树木对生态环境的不利影响。本工程占用林地树种均属阿克苏地区阿克苏市、第</w:t>
      </w:r>
      <w:r>
        <w:rPr>
          <w:rFonts w:cs="Times New Roman"/>
          <w:snapToGrid w:val="0"/>
          <w:szCs w:val="24"/>
        </w:rPr>
        <w:t>三</w:t>
      </w:r>
      <w:r>
        <w:rPr>
          <w:rFonts w:cs="Times New Roman"/>
          <w:snapToGrid w:val="0"/>
          <w:szCs w:val="24"/>
          <w:lang w:val="zh-CN"/>
        </w:rPr>
        <w:t>师</w:t>
      </w:r>
      <w:r>
        <w:rPr>
          <w:rFonts w:cs="Times New Roman"/>
          <w:snapToGrid w:val="0"/>
          <w:szCs w:val="24"/>
        </w:rPr>
        <w:t>图木舒克</w:t>
      </w:r>
      <w:r>
        <w:rPr>
          <w:rFonts w:cs="Times New Roman"/>
          <w:snapToGrid w:val="0"/>
          <w:szCs w:val="24"/>
          <w:lang w:val="zh-CN"/>
        </w:rPr>
        <w:t>市、</w:t>
      </w:r>
      <w:r>
        <w:rPr>
          <w:rFonts w:cs="Times New Roman"/>
          <w:snapToGrid w:val="0"/>
          <w:szCs w:val="24"/>
        </w:rPr>
        <w:t>巴楚县</w:t>
      </w:r>
      <w:r>
        <w:rPr>
          <w:rFonts w:cs="Times New Roman"/>
          <w:snapToGrid w:val="0"/>
          <w:szCs w:val="24"/>
          <w:lang w:val="zh-CN"/>
        </w:rPr>
        <w:t>一般常见种，主要为柽柳、胡杨和新疆杨，其生长范围广，适应性强，不存在因局部植被管理不慎导致植物种群消失或灭绝</w:t>
      </w:r>
    </w:p>
    <w:p w:rsidR="00A46452" w:rsidRDefault="009A3928">
      <w:pPr>
        <w:wordWrap w:val="0"/>
        <w:topLinePunct/>
        <w:ind w:firstLine="480"/>
        <w:rPr>
          <w:rFonts w:cs="Times New Roman"/>
          <w:snapToGrid w:val="0"/>
        </w:rPr>
      </w:pPr>
      <w:r>
        <w:rPr>
          <w:rFonts w:cs="Times New Roman"/>
          <w:snapToGrid w:val="0"/>
          <w:szCs w:val="24"/>
        </w:rPr>
        <w:t>（</w:t>
      </w:r>
      <w:r>
        <w:rPr>
          <w:rFonts w:cs="Times New Roman"/>
          <w:snapToGrid w:val="0"/>
          <w:szCs w:val="24"/>
        </w:rPr>
        <w:t>3</w:t>
      </w:r>
      <w:r>
        <w:rPr>
          <w:rFonts w:cs="Times New Roman"/>
          <w:snapToGrid w:val="0"/>
          <w:szCs w:val="24"/>
        </w:rPr>
        <w:t>）</w:t>
      </w:r>
      <w:r>
        <w:rPr>
          <w:rFonts w:cs="Times New Roman"/>
          <w:snapToGrid w:val="0"/>
        </w:rPr>
        <w:t>对公益林的影响</w:t>
      </w:r>
    </w:p>
    <w:p w:rsidR="00A46452" w:rsidRDefault="009A3928">
      <w:pPr>
        <w:wordWrap w:val="0"/>
        <w:topLinePunct/>
        <w:ind w:firstLine="480"/>
        <w:rPr>
          <w:rFonts w:cs="Times New Roman"/>
          <w:snapToGrid w:val="0"/>
        </w:rPr>
      </w:pPr>
      <w:r>
        <w:rPr>
          <w:rFonts w:cs="Times New Roman"/>
          <w:snapToGrid w:val="0"/>
        </w:rPr>
        <w:t>①</w:t>
      </w:r>
      <w:r>
        <w:rPr>
          <w:rFonts w:cs="Times New Roman"/>
          <w:snapToGrid w:val="0"/>
        </w:rPr>
        <w:t>公益林的不可避让性分析</w:t>
      </w:r>
    </w:p>
    <w:p w:rsidR="00A46452" w:rsidRDefault="009A3928">
      <w:pPr>
        <w:wordWrap w:val="0"/>
        <w:topLinePunct/>
        <w:ind w:firstLine="480"/>
        <w:rPr>
          <w:rFonts w:cs="Times New Roman"/>
          <w:szCs w:val="24"/>
        </w:rPr>
      </w:pPr>
      <w:r>
        <w:rPr>
          <w:rFonts w:cs="Times New Roman"/>
          <w:snapToGrid w:val="0"/>
        </w:rPr>
        <w:t>本项目占用国家二级</w:t>
      </w:r>
      <w:r>
        <w:rPr>
          <w:rFonts w:cs="Times New Roman"/>
          <w:snapToGrid w:val="0"/>
          <w:lang w:val="zh-CN"/>
        </w:rPr>
        <w:t>公益林在</w:t>
      </w:r>
      <w:r>
        <w:rPr>
          <w:rFonts w:cs="Times New Roman"/>
          <w:snapToGrid w:val="0"/>
        </w:rPr>
        <w:t>第三师图木舒克市、喀什地区巴楚县</w:t>
      </w:r>
      <w:r>
        <w:rPr>
          <w:rFonts w:cs="Times New Roman"/>
          <w:snapToGrid w:val="0"/>
          <w:lang w:val="zh-CN"/>
        </w:rPr>
        <w:t>，</w:t>
      </w:r>
      <w:r>
        <w:rPr>
          <w:rFonts w:cs="Times New Roman"/>
          <w:snapToGrid w:val="0"/>
        </w:rPr>
        <w:t>根据公益林现状调查情况，公益林连片分布，</w:t>
      </w:r>
      <w:r>
        <w:rPr>
          <w:rFonts w:cs="Times New Roman"/>
          <w:snapToGrid w:val="0"/>
          <w:lang w:val="zh-CN"/>
        </w:rPr>
        <w:t>不具备避让条件</w:t>
      </w:r>
      <w:r>
        <w:rPr>
          <w:rFonts w:cs="Times New Roman"/>
          <w:snapToGrid w:val="0"/>
          <w:lang w:val="zh-CN"/>
        </w:rPr>
        <w:t>，</w:t>
      </w:r>
      <w:r>
        <w:rPr>
          <w:rFonts w:cs="Times New Roman"/>
          <w:snapToGrid w:val="0"/>
        </w:rPr>
        <w:t>其余零散路段也尽量选择了沿线植被比较稀疏的路段穿越</w:t>
      </w:r>
      <w:r>
        <w:rPr>
          <w:rFonts w:cs="Times New Roman"/>
          <w:snapToGrid w:val="0"/>
          <w:lang w:val="zh-CN"/>
        </w:rPr>
        <w:t>。</w:t>
      </w:r>
    </w:p>
    <w:p w:rsidR="00A46452" w:rsidRDefault="009A3928" w:rsidP="00182EED">
      <w:pPr>
        <w:pStyle w:val="a5"/>
        <w:wordWrap w:val="0"/>
        <w:topLinePunct/>
        <w:spacing w:after="0" w:line="356" w:lineRule="auto"/>
        <w:ind w:firstLine="480"/>
        <w:rPr>
          <w:rFonts w:cs="Times New Roman" w:hint="default"/>
        </w:rPr>
      </w:pPr>
      <w:r>
        <w:rPr>
          <w:rFonts w:cs="Times New Roman" w:hint="default"/>
        </w:rPr>
        <w:t>②</w:t>
      </w:r>
      <w:r>
        <w:rPr>
          <w:rFonts w:cs="Times New Roman" w:hint="default"/>
        </w:rPr>
        <w:t>公益林的影响分析</w:t>
      </w:r>
    </w:p>
    <w:p w:rsidR="00A46452" w:rsidRDefault="009A3928" w:rsidP="00182EED">
      <w:pPr>
        <w:pStyle w:val="a5"/>
        <w:wordWrap w:val="0"/>
        <w:topLinePunct/>
        <w:spacing w:after="0" w:line="356" w:lineRule="auto"/>
        <w:ind w:firstLine="480"/>
        <w:rPr>
          <w:rFonts w:cs="Times New Roman" w:hint="default"/>
        </w:rPr>
      </w:pPr>
      <w:r>
        <w:rPr>
          <w:rFonts w:cs="Times New Roman" w:hint="default"/>
        </w:rPr>
        <w:t>根据《建设项目使用林地审核审批管理办法》（国家林业局第</w:t>
      </w:r>
      <w:r>
        <w:rPr>
          <w:rFonts w:cs="Times New Roman" w:hint="default"/>
        </w:rPr>
        <w:t>35</w:t>
      </w:r>
      <w:r>
        <w:rPr>
          <w:rFonts w:cs="Times New Roman" w:hint="default"/>
        </w:rPr>
        <w:t>号令，</w:t>
      </w:r>
      <w:r>
        <w:rPr>
          <w:rFonts w:cs="Times New Roman" w:hint="default"/>
        </w:rPr>
        <w:t>2015.3.31</w:t>
      </w:r>
      <w:r>
        <w:rPr>
          <w:rFonts w:cs="Times New Roman" w:hint="default"/>
        </w:rPr>
        <w:t>）管理规定，各类建设项目不得使用</w:t>
      </w:r>
      <w:r>
        <w:rPr>
          <w:rFonts w:cs="Times New Roman" w:hint="default"/>
        </w:rPr>
        <w:t>Ⅰ</w:t>
      </w:r>
      <w:r>
        <w:rPr>
          <w:rFonts w:cs="Times New Roman" w:hint="default"/>
        </w:rPr>
        <w:t>级保护林地。本项目涉及国家二级公益林，主要为沿线胡杨林，胡杨林呈走廊式分布。根据林调单位提供的数据，拟建项目在第三师图木舒克市占国家级公益林面积</w:t>
      </w:r>
      <w:r>
        <w:rPr>
          <w:rFonts w:cs="Times New Roman" w:hint="default"/>
        </w:rPr>
        <w:t>13.21hm</w:t>
      </w:r>
      <w:r>
        <w:rPr>
          <w:rFonts w:cs="Times New Roman" w:hint="default"/>
          <w:vertAlign w:val="superscript"/>
        </w:rPr>
        <w:t>2</w:t>
      </w:r>
      <w:r>
        <w:rPr>
          <w:rFonts w:cs="Times New Roman" w:hint="default"/>
        </w:rPr>
        <w:t>，喀什地区巴楚县占国家级公益林</w:t>
      </w:r>
      <w:r>
        <w:rPr>
          <w:rFonts w:cs="Times New Roman" w:hint="default"/>
        </w:rPr>
        <w:t>9.98hm</w:t>
      </w:r>
      <w:r>
        <w:rPr>
          <w:rFonts w:cs="Times New Roman" w:hint="default"/>
          <w:vertAlign w:val="superscript"/>
        </w:rPr>
        <w:t>2</w:t>
      </w:r>
      <w:r>
        <w:rPr>
          <w:rFonts w:cs="Times New Roman" w:hint="default"/>
        </w:rPr>
        <w:t>。</w:t>
      </w:r>
    </w:p>
    <w:p w:rsidR="00A46452" w:rsidRDefault="009A3928" w:rsidP="00182EED">
      <w:pPr>
        <w:pStyle w:val="a5"/>
        <w:wordWrap w:val="0"/>
        <w:topLinePunct/>
        <w:spacing w:after="0" w:line="356" w:lineRule="auto"/>
        <w:ind w:firstLine="480"/>
        <w:rPr>
          <w:rFonts w:cs="Times New Roman" w:hint="default"/>
        </w:rPr>
      </w:pPr>
      <w:r>
        <w:rPr>
          <w:rFonts w:cs="Times New Roman" w:hint="default"/>
        </w:rPr>
        <w:t>经与林调单位核实，因为本项目涉及的胡杨树量比较多，且胸径比较大，移植过程中，树木的根系很容易受到损伤，这会导致树木吸收水分和养分的能力下降，且恢复能力较差，这直接导致移植后的成活率降低。移植后的土壤可能与原生长土壤的性质存在差异，如排水性、肥力等，不适宜的土壤环境会对树木的生长产生不利影响。移植后的树木需要精心管理，包括浇水、修剪、施肥等，管理不当会使树木难以恢复生长，影响其成活。因此，确需砍伐。</w:t>
      </w:r>
    </w:p>
    <w:p w:rsidR="00A46452" w:rsidRDefault="009A3928" w:rsidP="00182EED">
      <w:pPr>
        <w:pStyle w:val="a5"/>
        <w:wordWrap w:val="0"/>
        <w:topLinePunct/>
        <w:spacing w:after="0" w:line="356" w:lineRule="auto"/>
        <w:ind w:firstLine="480"/>
        <w:rPr>
          <w:rFonts w:cs="Times New Roman" w:hint="default"/>
        </w:rPr>
      </w:pPr>
      <w:r>
        <w:rPr>
          <w:rFonts w:cs="Times New Roman" w:hint="default"/>
        </w:rPr>
        <w:t>本环评要求本项目在条件允许时，减少砍伐林木的数量，最大程度地保护沿线的林业生态。缩短施工作业范围，将重点公益林</w:t>
      </w:r>
      <w:r>
        <w:rPr>
          <w:rFonts w:cs="Times New Roman" w:hint="default"/>
        </w:rPr>
        <w:t>的影响降到最低。</w:t>
      </w:r>
    </w:p>
    <w:p w:rsidR="00A46452" w:rsidRDefault="009A3928" w:rsidP="00182EED">
      <w:pPr>
        <w:pStyle w:val="a5"/>
        <w:wordWrap w:val="0"/>
        <w:topLinePunct/>
        <w:spacing w:after="0" w:line="356" w:lineRule="auto"/>
        <w:ind w:firstLine="480"/>
        <w:rPr>
          <w:rFonts w:cs="Times New Roman" w:hint="default"/>
        </w:rPr>
      </w:pPr>
      <w:r>
        <w:rPr>
          <w:rFonts w:cs="Times New Roman" w:hint="default"/>
        </w:rPr>
        <w:t>建设需严格按照《建设项目使用林地审核审批管理办法》要求，不得占用</w:t>
      </w:r>
      <w:r>
        <w:rPr>
          <w:rFonts w:cs="Times New Roman" w:hint="default"/>
        </w:rPr>
        <w:t>Ⅰ</w:t>
      </w:r>
      <w:r>
        <w:rPr>
          <w:rFonts w:cs="Times New Roman" w:hint="default"/>
        </w:rPr>
        <w:t>级保护林地，占用</w:t>
      </w:r>
      <w:r>
        <w:rPr>
          <w:rFonts w:cs="Times New Roman" w:hint="default"/>
        </w:rPr>
        <w:t>Ⅱ</w:t>
      </w:r>
      <w:r>
        <w:rPr>
          <w:rFonts w:cs="Times New Roman" w:hint="default"/>
        </w:rPr>
        <w:t>级及其以下保护林地的需按照相关规定办理征占地手续，按照相关法律法规进行补偿和恢复。</w:t>
      </w:r>
    </w:p>
    <w:p w:rsidR="00A46452" w:rsidRDefault="009A3928" w:rsidP="00182EED">
      <w:pPr>
        <w:pStyle w:val="a5"/>
        <w:wordWrap w:val="0"/>
        <w:topLinePunct/>
        <w:spacing w:after="0" w:line="356" w:lineRule="auto"/>
        <w:ind w:firstLine="480"/>
        <w:rPr>
          <w:rFonts w:cs="Times New Roman" w:hint="default"/>
          <w:snapToGrid w:val="0"/>
          <w:lang w:val="zh-CN"/>
        </w:rPr>
      </w:pPr>
      <w:r>
        <w:rPr>
          <w:rFonts w:cs="Times New Roman" w:hint="default"/>
        </w:rPr>
        <w:t>本项目对重点公益林的影响主要是胡杨、柽柳灌丛，群落中伴生有花花柴、疏叶骆驼刺等。项目占用灌木林地比例微小，胡杨在采取保护措施的前提下，项目建设对林地的影响极小。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rPr>
        <w:t>4</w:t>
      </w:r>
      <w:r>
        <w:rPr>
          <w:rFonts w:cs="Times New Roman"/>
          <w:snapToGrid w:val="0"/>
          <w:szCs w:val="24"/>
          <w:lang w:val="zh-CN"/>
        </w:rPr>
        <w:t>）对荒漠段植被的影响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根据现场调查和遥感解译结果，荒漠区植被盖度低，自然植被在防止区域荒漠化发挥着重要的作用，损失的植物以柽柳、骆驼刺等植被类型为主。这些植被均</w:t>
      </w:r>
      <w:r>
        <w:rPr>
          <w:rFonts w:cs="Times New Roman"/>
          <w:snapToGrid w:val="0"/>
          <w:szCs w:val="24"/>
          <w:lang w:val="zh-CN"/>
        </w:rPr>
        <w:t>为区域的优势种，分布广泛，适应环境能力较强，因此本项目的建设不会造成该区段的生物量大量减少，亦不会造成物种丧失和生物多样性下降。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rPr>
        <w:t>5</w:t>
      </w:r>
      <w:r>
        <w:rPr>
          <w:rFonts w:cs="Times New Roman"/>
          <w:snapToGrid w:val="0"/>
          <w:szCs w:val="24"/>
          <w:lang w:val="zh-CN"/>
        </w:rPr>
        <w:t>）工程对沿线植物物种多样性的影响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拟建公路评价区植物物种多样性指数不高。沿线为林地、农田、荒漠等。由于拟建公路沿线群落植物种类均为区域常见和广布种，且沿线绝大部分地区为</w:t>
      </w:r>
      <w:r>
        <w:rPr>
          <w:rFonts w:cs="Times New Roman"/>
          <w:snapToGrid w:val="0"/>
          <w:szCs w:val="24"/>
        </w:rPr>
        <w:t>荒漠区，植被覆盖度较低</w:t>
      </w:r>
      <w:r>
        <w:rPr>
          <w:rFonts w:cs="Times New Roman"/>
          <w:snapToGrid w:val="0"/>
          <w:szCs w:val="24"/>
          <w:lang w:val="zh-CN"/>
        </w:rPr>
        <w:t>，加之公路建设破坏的面积占区域相应植被总面积的比例很小，这些植物物种不会因本工程的建设而灭绝或致危。因此工程施工对沿线生物多样性的影响相对较小。</w:t>
      </w:r>
    </w:p>
    <w:p w:rsidR="00A46452" w:rsidRDefault="009A3928">
      <w:pPr>
        <w:pStyle w:val="a5"/>
        <w:wordWrap w:val="0"/>
        <w:topLinePunct/>
        <w:spacing w:before="120"/>
        <w:ind w:firstLineChars="0" w:firstLine="0"/>
        <w:outlineLvl w:val="3"/>
        <w:rPr>
          <w:rFonts w:cs="Times New Roman" w:hint="default"/>
        </w:rPr>
      </w:pPr>
      <w:hyperlink r:id="rId55" w:history="1">
        <w:r>
          <w:rPr>
            <w:rFonts w:cs="Times New Roman" w:hint="default"/>
            <w:b/>
            <w:i/>
            <w:kern w:val="28"/>
          </w:rPr>
          <w:t>7</w:t>
        </w:r>
        <w:r>
          <w:rPr>
            <w:rFonts w:cs="Times New Roman" w:hint="default"/>
            <w:b/>
            <w:i/>
            <w:kern w:val="28"/>
          </w:rPr>
          <w:t>.</w:t>
        </w:r>
        <w:r>
          <w:rPr>
            <w:rFonts w:cs="Times New Roman" w:hint="default"/>
            <w:b/>
            <w:i/>
            <w:kern w:val="28"/>
          </w:rPr>
          <w:t>1</w:t>
        </w:r>
        <w:r>
          <w:rPr>
            <w:rFonts w:cs="Times New Roman" w:hint="default"/>
            <w:b/>
            <w:i/>
            <w:kern w:val="28"/>
          </w:rPr>
          <w:t>.</w:t>
        </w:r>
        <w:r>
          <w:rPr>
            <w:rFonts w:cs="Times New Roman" w:hint="default"/>
            <w:b/>
            <w:i/>
            <w:kern w:val="28"/>
          </w:rPr>
          <w:t>2</w:t>
        </w:r>
        <w:r>
          <w:rPr>
            <w:rFonts w:cs="Times New Roman" w:hint="default"/>
            <w:b/>
            <w:i/>
            <w:kern w:val="28"/>
          </w:rPr>
          <w:t>.</w:t>
        </w:r>
        <w:r>
          <w:rPr>
            <w:rFonts w:cs="Times New Roman" w:hint="default"/>
            <w:b/>
            <w:i/>
            <w:kern w:val="28"/>
          </w:rPr>
          <w:t>2</w:t>
        </w:r>
      </w:hyperlink>
      <w:r>
        <w:rPr>
          <w:rFonts w:cs="Times New Roman" w:hint="default"/>
          <w:b/>
          <w:i/>
          <w:kern w:val="28"/>
        </w:rPr>
        <w:t>对评价范围内重点保护植物的影响</w:t>
      </w:r>
    </w:p>
    <w:p w:rsidR="00A46452" w:rsidRDefault="009A3928">
      <w:pPr>
        <w:wordWrap w:val="0"/>
        <w:topLinePunct/>
        <w:ind w:firstLine="480"/>
        <w:rPr>
          <w:rFonts w:cs="Times New Roman"/>
          <w:spacing w:val="2"/>
          <w:szCs w:val="24"/>
        </w:rPr>
      </w:pPr>
      <w:r>
        <w:rPr>
          <w:rFonts w:cs="Times New Roman"/>
          <w:snapToGrid w:val="0"/>
          <w:lang w:val="zh-CN"/>
        </w:rPr>
        <w:t>工程占用区域植被类型较为简单，根据资料搜集及现场调查，评价范围内</w:t>
      </w:r>
      <w:r>
        <w:rPr>
          <w:rFonts w:cs="Times New Roman"/>
          <w:snapToGrid w:val="0"/>
        </w:rPr>
        <w:t>未发现</w:t>
      </w:r>
      <w:r>
        <w:rPr>
          <w:rFonts w:cs="Times New Roman"/>
          <w:snapToGrid w:val="0"/>
          <w:lang w:val="zh-CN"/>
        </w:rPr>
        <w:t>珍稀濒危植物、极小种群野生植物。发现</w:t>
      </w:r>
      <w:r>
        <w:rPr>
          <w:rFonts w:cs="Times New Roman"/>
          <w:snapToGrid w:val="0"/>
        </w:rPr>
        <w:t>国家、自治区重点</w:t>
      </w:r>
      <w:r>
        <w:rPr>
          <w:rFonts w:cs="Times New Roman"/>
          <w:snapToGrid w:val="0"/>
          <w:lang w:val="zh-CN"/>
        </w:rPr>
        <w:t>保护野生植物</w:t>
      </w:r>
      <w:r>
        <w:rPr>
          <w:rFonts w:cs="Times New Roman"/>
          <w:snapToGrid w:val="0"/>
        </w:rPr>
        <w:t>灰</w:t>
      </w:r>
      <w:r>
        <w:rPr>
          <w:rFonts w:cs="Times New Roman"/>
          <w:snapToGrid w:val="0"/>
          <w:lang w:val="zh-CN"/>
        </w:rPr>
        <w:t>胡杨、</w:t>
      </w:r>
      <w:r>
        <w:rPr>
          <w:rFonts w:cs="Times New Roman"/>
          <w:snapToGrid w:val="0"/>
        </w:rPr>
        <w:t>黑枸杞</w:t>
      </w:r>
      <w:r>
        <w:rPr>
          <w:rFonts w:cs="Times New Roman"/>
          <w:snapToGrid w:val="0"/>
          <w:lang w:val="zh-CN"/>
        </w:rPr>
        <w:t>、肉苁蓉、胀果甘草</w:t>
      </w:r>
      <w:r>
        <w:rPr>
          <w:rFonts w:cs="Times New Roman"/>
          <w:snapToGrid w:val="0"/>
        </w:rPr>
        <w:t>等</w:t>
      </w:r>
      <w:r>
        <w:rPr>
          <w:rFonts w:cs="Times New Roman"/>
          <w:snapToGrid w:val="0"/>
          <w:lang w:val="zh-CN"/>
        </w:rPr>
        <w:t>，在评价范围内主要分布于沿线植被较好路段。</w:t>
      </w:r>
      <w:r>
        <w:rPr>
          <w:rFonts w:cs="Times New Roman"/>
          <w:spacing w:val="2"/>
          <w:szCs w:val="24"/>
        </w:rPr>
        <w:t>由于上述植物适应能力强，为项目区广布种，本</w:t>
      </w:r>
      <w:r>
        <w:rPr>
          <w:rFonts w:cs="Times New Roman"/>
          <w:spacing w:val="1"/>
          <w:szCs w:val="24"/>
        </w:rPr>
        <w:t>项目占用数量总</w:t>
      </w:r>
      <w:r>
        <w:rPr>
          <w:rFonts w:cs="Times New Roman"/>
          <w:spacing w:val="2"/>
          <w:szCs w:val="24"/>
        </w:rPr>
        <w:t>体不多，这些植物物种不会因本管道的建设而灭绝或致危，不会对区</w:t>
      </w:r>
      <w:r>
        <w:rPr>
          <w:rFonts w:cs="Times New Roman"/>
          <w:spacing w:val="1"/>
          <w:szCs w:val="24"/>
        </w:rPr>
        <w:t>域内原有植物生</w:t>
      </w:r>
      <w:r>
        <w:rPr>
          <w:rFonts w:cs="Times New Roman"/>
          <w:spacing w:val="2"/>
          <w:szCs w:val="24"/>
        </w:rPr>
        <w:t>存环境造成明显影响，也不会引起区域内自然植被物种的减少。</w:t>
      </w:r>
    </w:p>
    <w:p w:rsidR="00A46452" w:rsidRDefault="009A3928">
      <w:pPr>
        <w:wordWrap w:val="0"/>
        <w:topLinePunct/>
        <w:ind w:firstLine="488"/>
        <w:rPr>
          <w:rFonts w:cs="Times New Roman"/>
          <w:snapToGrid w:val="0"/>
          <w:lang w:val="zh-CN"/>
        </w:rPr>
      </w:pPr>
      <w:r>
        <w:rPr>
          <w:rFonts w:cs="Times New Roman"/>
          <w:spacing w:val="2"/>
          <w:szCs w:val="24"/>
        </w:rPr>
        <w:t>上述</w:t>
      </w:r>
      <w:r>
        <w:rPr>
          <w:rFonts w:cs="Times New Roman"/>
          <w:snapToGrid w:val="0"/>
          <w:lang w:val="zh-CN"/>
        </w:rPr>
        <w:t>可能受工程建设期间施工活动扬尘影响，在采取洒水抑尘措施并加强施工期管理等措施后，工程建设和运行对其影响较小。</w:t>
      </w:r>
    </w:p>
    <w:p w:rsidR="00A46452" w:rsidRDefault="009A3928">
      <w:pPr>
        <w:wordWrap w:val="0"/>
        <w:topLinePunct/>
        <w:ind w:firstLine="488"/>
        <w:rPr>
          <w:rFonts w:cs="Times New Roman"/>
          <w:spacing w:val="-1"/>
        </w:rPr>
      </w:pPr>
      <w:r>
        <w:rPr>
          <w:rFonts w:cs="Times New Roman"/>
          <w:spacing w:val="2"/>
          <w:szCs w:val="24"/>
        </w:rPr>
        <w:t>同时</w:t>
      </w:r>
      <w:r>
        <w:rPr>
          <w:rFonts w:cs="Times New Roman"/>
          <w:spacing w:val="1"/>
          <w:szCs w:val="24"/>
        </w:rPr>
        <w:t>，施工期应严格</w:t>
      </w:r>
      <w:r>
        <w:rPr>
          <w:rFonts w:cs="Times New Roman"/>
          <w:spacing w:val="2"/>
          <w:szCs w:val="24"/>
        </w:rPr>
        <w:t>控制施工范围，划定施工红线，并对施工人员进行野生植物保护教育</w:t>
      </w:r>
      <w:r>
        <w:rPr>
          <w:rFonts w:cs="Times New Roman"/>
          <w:spacing w:val="1"/>
          <w:szCs w:val="24"/>
        </w:rPr>
        <w:t>，不得破坏公路</w:t>
      </w:r>
      <w:r>
        <w:rPr>
          <w:rFonts w:cs="Times New Roman"/>
          <w:szCs w:val="24"/>
        </w:rPr>
        <w:t xml:space="preserve"> </w:t>
      </w:r>
      <w:r>
        <w:rPr>
          <w:rFonts w:cs="Times New Roman"/>
          <w:spacing w:val="4"/>
          <w:szCs w:val="24"/>
        </w:rPr>
        <w:t>征地范围以外植物，对占用的保护植物优先进行移栽保护，无法移栽的按</w:t>
      </w:r>
      <w:r>
        <w:rPr>
          <w:rFonts w:eastAsia="Times New Roman" w:cs="Times New Roman"/>
          <w:spacing w:val="3"/>
          <w:szCs w:val="24"/>
        </w:rPr>
        <w:t>“</w:t>
      </w:r>
      <w:r>
        <w:rPr>
          <w:rFonts w:cs="Times New Roman"/>
          <w:spacing w:val="3"/>
          <w:szCs w:val="24"/>
        </w:rPr>
        <w:t>占一补一</w:t>
      </w:r>
      <w:r>
        <w:rPr>
          <w:rFonts w:eastAsia="Times New Roman" w:cs="Times New Roman"/>
          <w:spacing w:val="3"/>
          <w:szCs w:val="24"/>
        </w:rPr>
        <w:t>”</w:t>
      </w:r>
      <w:r>
        <w:rPr>
          <w:rFonts w:cs="Times New Roman"/>
          <w:spacing w:val="2"/>
          <w:szCs w:val="24"/>
        </w:rPr>
        <w:t>的原则进行异地补植，做到</w:t>
      </w:r>
      <w:r>
        <w:rPr>
          <w:rFonts w:eastAsia="Times New Roman" w:cs="Times New Roman"/>
          <w:spacing w:val="2"/>
          <w:szCs w:val="24"/>
        </w:rPr>
        <w:t>“</w:t>
      </w:r>
      <w:r>
        <w:rPr>
          <w:rFonts w:cs="Times New Roman"/>
          <w:spacing w:val="2"/>
          <w:szCs w:val="24"/>
        </w:rPr>
        <w:t>占补平衡</w:t>
      </w:r>
      <w:r>
        <w:rPr>
          <w:rFonts w:eastAsia="Times New Roman" w:cs="Times New Roman"/>
          <w:spacing w:val="2"/>
          <w:szCs w:val="24"/>
        </w:rPr>
        <w:t>”</w:t>
      </w:r>
      <w:r>
        <w:rPr>
          <w:rFonts w:cs="Times New Roman"/>
          <w:spacing w:val="2"/>
          <w:szCs w:val="24"/>
        </w:rPr>
        <w:t>。</w:t>
      </w:r>
      <w:r>
        <w:rPr>
          <w:rFonts w:cs="Times New Roman"/>
          <w:spacing w:val="1"/>
          <w:szCs w:val="24"/>
        </w:rPr>
        <w:t>在采取了相关管理和补偿措施后，本项目建</w:t>
      </w:r>
      <w:r>
        <w:rPr>
          <w:rFonts w:cs="Times New Roman"/>
          <w:spacing w:val="-1"/>
          <w:szCs w:val="24"/>
        </w:rPr>
        <w:t>设对沿线保护植物的影响不大。</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80" w:name="_Toc98413549"/>
      <w:bookmarkStart w:id="281" w:name="_Toc97464654"/>
      <w:bookmarkStart w:id="282" w:name="_Toc98414231"/>
      <w:r>
        <w:rPr>
          <w:rFonts w:cs="Times New Roman" w:hint="default"/>
          <w:sz w:val="28"/>
          <w:szCs w:val="28"/>
        </w:rPr>
        <w:t>7.1.</w:t>
      </w:r>
      <w:bookmarkEnd w:id="280"/>
      <w:bookmarkEnd w:id="281"/>
      <w:bookmarkEnd w:id="282"/>
      <w:r>
        <w:rPr>
          <w:rFonts w:cs="Times New Roman" w:hint="default"/>
          <w:sz w:val="28"/>
          <w:szCs w:val="28"/>
        </w:rPr>
        <w:t>3</w:t>
      </w:r>
      <w:r>
        <w:rPr>
          <w:rFonts w:cs="Times New Roman" w:hint="default"/>
          <w:sz w:val="28"/>
          <w:szCs w:val="28"/>
        </w:rPr>
        <w:t>对陆生动物影响分析</w:t>
      </w:r>
    </w:p>
    <w:p w:rsidR="00A46452" w:rsidRDefault="009A3928">
      <w:pPr>
        <w:pStyle w:val="a5"/>
        <w:wordWrap w:val="0"/>
        <w:topLinePunct/>
        <w:spacing w:before="120"/>
        <w:ind w:firstLineChars="0" w:firstLine="0"/>
        <w:outlineLvl w:val="3"/>
        <w:rPr>
          <w:rFonts w:cs="Times New Roman" w:hint="default"/>
          <w:b/>
          <w:i/>
          <w:kern w:val="28"/>
        </w:rPr>
      </w:pPr>
      <w:r>
        <w:rPr>
          <w:rFonts w:cs="Times New Roman" w:hint="default"/>
          <w:b/>
          <w:i/>
          <w:kern w:val="28"/>
        </w:rPr>
        <w:t>7</w:t>
      </w:r>
      <w:r>
        <w:rPr>
          <w:rFonts w:cs="Times New Roman" w:hint="default"/>
          <w:b/>
          <w:i/>
          <w:kern w:val="28"/>
        </w:rPr>
        <w:t>.1.3.1</w:t>
      </w:r>
      <w:r>
        <w:rPr>
          <w:rFonts w:cs="Times New Roman" w:hint="default"/>
          <w:b/>
          <w:i/>
          <w:kern w:val="28"/>
        </w:rPr>
        <w:t>施工期</w:t>
      </w:r>
    </w:p>
    <w:p w:rsidR="00A46452" w:rsidRDefault="009A3928">
      <w:pPr>
        <w:wordWrap w:val="0"/>
        <w:topLinePunct/>
        <w:ind w:firstLine="480"/>
        <w:rPr>
          <w:rFonts w:cs="Times New Roman"/>
          <w:snapToGrid w:val="0"/>
          <w:lang w:val="zh-CN"/>
        </w:rPr>
      </w:pPr>
      <w:r>
        <w:rPr>
          <w:rFonts w:cs="Times New Roman"/>
          <w:snapToGrid w:val="0"/>
          <w:lang w:val="zh-CN"/>
        </w:rPr>
        <w:t>工程施工期对动物的影响主要包括：工程永久和临时占地占用野生动物生境；施工产生的噪声对动物的惊吓、驱赶；施工产生的扬尘、废水以及施工人员的生活污水、生活垃圾等对动物生境的破坏及对部分啮齿目种类分布格局的影响；人类活动对动物的干扰等。</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）对两栖类的影响</w:t>
      </w:r>
    </w:p>
    <w:p w:rsidR="00A46452" w:rsidRDefault="009A3928">
      <w:pPr>
        <w:wordWrap w:val="0"/>
        <w:topLinePunct/>
        <w:ind w:firstLine="480"/>
        <w:rPr>
          <w:rFonts w:cs="Times New Roman"/>
          <w:snapToGrid w:val="0"/>
          <w:lang w:val="zh-CN"/>
        </w:rPr>
      </w:pPr>
      <w:r>
        <w:rPr>
          <w:rFonts w:cs="Times New Roman"/>
          <w:snapToGrid w:val="0"/>
          <w:lang w:val="zh-CN"/>
        </w:rPr>
        <w:t>1</w:t>
      </w:r>
      <w:r>
        <w:rPr>
          <w:rFonts w:cs="Times New Roman"/>
          <w:snapToGrid w:val="0"/>
          <w:lang w:val="zh-CN"/>
        </w:rPr>
        <w:t>）工程占地影响：</w:t>
      </w:r>
    </w:p>
    <w:p w:rsidR="00A46452" w:rsidRDefault="009A3928">
      <w:pPr>
        <w:wordWrap w:val="0"/>
        <w:topLinePunct/>
        <w:ind w:firstLine="480"/>
        <w:rPr>
          <w:rFonts w:cs="Times New Roman"/>
          <w:snapToGrid w:val="0"/>
          <w:lang w:val="zh-CN"/>
        </w:rPr>
      </w:pPr>
      <w:r>
        <w:rPr>
          <w:rFonts w:cs="Times New Roman"/>
          <w:snapToGrid w:val="0"/>
          <w:lang w:val="zh-CN"/>
        </w:rPr>
        <w:t>工程永久及临时占地会直接占用两栖类动物生境，使其生境面积缩小。根据工程占地情况，施工会破坏部分陆栖型种类的活动生境，但评价范围及其附近存在大面积的相似生境，可以供这些动物转移，因此工程占地对两栖类生境占用影响较小。施工活动结束后，随着植被</w:t>
      </w:r>
      <w:r>
        <w:rPr>
          <w:rFonts w:cs="Times New Roman"/>
          <w:snapToGrid w:val="0"/>
          <w:lang w:val="zh-CN"/>
        </w:rPr>
        <w:t>恢复，临时占地处的两栖类生存环境将会逐步得到恢复。</w:t>
      </w:r>
    </w:p>
    <w:p w:rsidR="00A46452" w:rsidRDefault="009A3928">
      <w:pPr>
        <w:numPr>
          <w:ilvl w:val="0"/>
          <w:numId w:val="15"/>
        </w:numPr>
        <w:wordWrap w:val="0"/>
        <w:topLinePunct/>
        <w:ind w:firstLine="480"/>
        <w:rPr>
          <w:rFonts w:cs="Times New Roman"/>
          <w:snapToGrid w:val="0"/>
          <w:lang w:val="zh-CN"/>
        </w:rPr>
      </w:pPr>
      <w:r>
        <w:rPr>
          <w:rFonts w:cs="Times New Roman"/>
          <w:snapToGrid w:val="0"/>
          <w:lang w:val="zh-CN"/>
        </w:rPr>
        <w:t>水环境影响：</w:t>
      </w:r>
    </w:p>
    <w:p w:rsidR="00A46452" w:rsidRDefault="009A3928">
      <w:pPr>
        <w:wordWrap w:val="0"/>
        <w:topLinePunct/>
        <w:ind w:firstLine="480"/>
        <w:rPr>
          <w:rFonts w:cs="Times New Roman"/>
          <w:snapToGrid w:val="0"/>
          <w:lang w:val="zh-CN"/>
        </w:rPr>
      </w:pPr>
      <w:r>
        <w:rPr>
          <w:rFonts w:cs="Times New Roman"/>
          <w:snapToGrid w:val="0"/>
          <w:lang w:val="zh-CN"/>
        </w:rPr>
        <w:t>工程经过水域，由于工程建设可能导致水质变化的因素有：施工材料随意堆放，随着雨水冲刷进入水域，造成水质的污染；施工人员生活垃圾、生活污水直接排入河道。水质的破坏（如石灰、水泥、渣料等溶于水会造成水体</w:t>
      </w:r>
      <w:r>
        <w:rPr>
          <w:rFonts w:cs="Times New Roman"/>
          <w:snapToGrid w:val="0"/>
          <w:lang w:val="zh-CN"/>
        </w:rPr>
        <w:t>pH</w:t>
      </w:r>
      <w:r>
        <w:rPr>
          <w:rFonts w:cs="Times New Roman"/>
          <w:snapToGrid w:val="0"/>
          <w:lang w:val="zh-CN"/>
        </w:rPr>
        <w:t>值、无机盐浓度改变）对于皮肤透水性、能通过表皮吸水的</w:t>
      </w:r>
      <w:r>
        <w:rPr>
          <w:rFonts w:cs="Times New Roman"/>
          <w:snapToGrid w:val="0"/>
        </w:rPr>
        <w:t>水生动物</w:t>
      </w:r>
      <w:r>
        <w:rPr>
          <w:rFonts w:cs="Times New Roman"/>
          <w:snapToGrid w:val="0"/>
          <w:lang w:val="zh-CN"/>
        </w:rPr>
        <w:t>来说具有很大的威胁；两栖类</w:t>
      </w:r>
      <w:r>
        <w:rPr>
          <w:rFonts w:cs="Times New Roman"/>
          <w:snapToGrid w:val="0"/>
        </w:rPr>
        <w:t>动物</w:t>
      </w:r>
      <w:r>
        <w:rPr>
          <w:rFonts w:cs="Times New Roman"/>
          <w:snapToGrid w:val="0"/>
          <w:lang w:val="zh-CN"/>
        </w:rPr>
        <w:t>的繁殖过程在水中进行，水中毒害物质也会威胁到它的后代繁衍。施工过程中需加强施工营地及施工队伍的环境管理，施工营地生活污水、固体废弃物不得随意排放，需结合区域</w:t>
      </w:r>
      <w:r>
        <w:rPr>
          <w:rFonts w:cs="Times New Roman"/>
          <w:snapToGrid w:val="0"/>
          <w:lang w:val="zh-CN"/>
        </w:rPr>
        <w:t>情况进行处理和收集。但这种影响是暂时的，施工结束后将消失。</w:t>
      </w:r>
    </w:p>
    <w:p w:rsidR="00A46452" w:rsidRDefault="009A3928">
      <w:pPr>
        <w:numPr>
          <w:ilvl w:val="0"/>
          <w:numId w:val="15"/>
        </w:numPr>
        <w:wordWrap w:val="0"/>
        <w:topLinePunct/>
        <w:ind w:firstLine="480"/>
        <w:rPr>
          <w:rFonts w:cs="Times New Roman"/>
          <w:snapToGrid w:val="0"/>
          <w:lang w:val="zh-CN"/>
        </w:rPr>
      </w:pPr>
      <w:r>
        <w:rPr>
          <w:rFonts w:cs="Times New Roman"/>
          <w:snapToGrid w:val="0"/>
          <w:lang w:val="zh-CN"/>
        </w:rPr>
        <w:t>施工影响：</w:t>
      </w:r>
    </w:p>
    <w:p w:rsidR="00A46452" w:rsidRDefault="009A3928">
      <w:pPr>
        <w:wordWrap w:val="0"/>
        <w:topLinePunct/>
        <w:ind w:firstLine="480"/>
        <w:rPr>
          <w:rFonts w:cs="Times New Roman"/>
        </w:rPr>
      </w:pPr>
      <w:r>
        <w:rPr>
          <w:rFonts w:cs="Times New Roman"/>
          <w:snapToGrid w:val="0"/>
          <w:lang w:val="zh-CN"/>
        </w:rPr>
        <w:t>工程建设过程中，由于施工车辆产生的噪声、施工爆破及人为活动的干扰等因素，可能导致线路两侧附近的两栖动物产生回避行为，使其向外围转移，但不会对两栖类的总体多样性产生影响。施工期随着施工便道的建成，尤其是临近水域的施工便道，工程车辆进场和材料运输可能造成迁移能力较差的两栖类受到碾压伤害；施工便道的修建对两栖类栖息地造成切割，形成一定的阻隔作用。施工期间，施工便道将结合既有道路情况和工程分布情况，尽量利用既有道路设置，且根据水系、渠道等设置涵</w:t>
      </w:r>
      <w:r>
        <w:rPr>
          <w:rFonts w:cs="Times New Roman"/>
          <w:snapToGrid w:val="0"/>
          <w:lang w:val="zh-CN"/>
        </w:rPr>
        <w:t>洞，尽量减少施工便道对两栖类迁移活动的影响。随着施工结束，施工便道的阻隔作用将逐步减小甚至消失。</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）对爬行类影响分析</w:t>
      </w:r>
    </w:p>
    <w:p w:rsidR="00A46452" w:rsidRDefault="009A3928">
      <w:pPr>
        <w:wordWrap w:val="0"/>
        <w:topLinePunct/>
        <w:ind w:firstLine="480"/>
        <w:rPr>
          <w:rFonts w:cs="Times New Roman"/>
          <w:snapToGrid w:val="0"/>
          <w:lang w:val="zh-CN"/>
        </w:rPr>
      </w:pPr>
      <w:r>
        <w:rPr>
          <w:rFonts w:cs="Times New Roman"/>
          <w:snapToGrid w:val="0"/>
        </w:rPr>
        <w:t>爬行类动物</w:t>
      </w:r>
      <w:r>
        <w:rPr>
          <w:rFonts w:cs="Times New Roman"/>
          <w:snapToGrid w:val="0"/>
          <w:lang w:val="zh-CN"/>
        </w:rPr>
        <w:t>的生理特点对水的依赖性不如两栖类明显，其生存方式也较两栖类更为多样。工程施工期对其影响与对两栖类影响相似，主要有：</w:t>
      </w:r>
    </w:p>
    <w:p w:rsidR="00A46452" w:rsidRDefault="009A3928">
      <w:pPr>
        <w:wordWrap w:val="0"/>
        <w:topLinePunct/>
        <w:ind w:firstLine="480"/>
        <w:rPr>
          <w:rFonts w:cs="Times New Roman"/>
          <w:snapToGrid w:val="0"/>
          <w:lang w:val="zh-CN"/>
        </w:rPr>
      </w:pPr>
      <w:r>
        <w:rPr>
          <w:rFonts w:cs="Times New Roman"/>
          <w:snapToGrid w:val="0"/>
          <w:szCs w:val="24"/>
          <w:lang w:val="zh-CN"/>
        </w:rPr>
        <w:t>1</w:t>
      </w:r>
      <w:r>
        <w:rPr>
          <w:rFonts w:cs="Times New Roman"/>
          <w:snapToGrid w:val="0"/>
          <w:szCs w:val="24"/>
          <w:lang w:val="zh-CN"/>
        </w:rPr>
        <w:t>）</w:t>
      </w:r>
      <w:r>
        <w:rPr>
          <w:rFonts w:cs="Times New Roman"/>
          <w:snapToGrid w:val="0"/>
          <w:lang w:val="zh-CN"/>
        </w:rPr>
        <w:t>工程占地影响：</w:t>
      </w:r>
    </w:p>
    <w:p w:rsidR="00A46452" w:rsidRDefault="009A3928">
      <w:pPr>
        <w:wordWrap w:val="0"/>
        <w:topLinePunct/>
        <w:ind w:firstLine="480"/>
        <w:rPr>
          <w:rFonts w:cs="Times New Roman"/>
          <w:snapToGrid w:val="0"/>
          <w:lang w:val="zh-CN"/>
        </w:rPr>
      </w:pPr>
      <w:r>
        <w:rPr>
          <w:rFonts w:cs="Times New Roman"/>
          <w:snapToGrid w:val="0"/>
          <w:lang w:val="zh-CN"/>
        </w:rPr>
        <w:t>评价范围内爬行类种类和数量较多的是灌丛型。</w:t>
      </w:r>
      <w:r>
        <w:rPr>
          <w:rFonts w:cs="Times New Roman"/>
          <w:snapToGrid w:val="0"/>
        </w:rPr>
        <w:t>主要</w:t>
      </w:r>
      <w:r>
        <w:rPr>
          <w:rFonts w:cs="Times New Roman"/>
          <w:snapToGrid w:val="0"/>
          <w:lang w:val="zh-CN"/>
        </w:rPr>
        <w:t>包括快步麻蜥、荒漠麻蜥等，主要在评价范围内的路边灌草丛、农田中活动。工程永久及临时占地会占用爬行类动物的栖息地并改变其内的植被和理化环境。临时占地区植被恢复前，喜阴湿的蛇类种群数量可能减少，但蜥蜴类</w:t>
      </w:r>
      <w:r>
        <w:rPr>
          <w:rFonts w:cs="Times New Roman"/>
          <w:snapToGrid w:val="0"/>
          <w:lang w:val="zh-CN"/>
        </w:rPr>
        <w:t>中喜阳、喜干燥的种类种群数量可能会增加；永久占地主要占用的动物生境以农田、草地、林地为主，影响灌丛石隙型爬行类，但由于影响类群为区域内种类和数量较多的类群，由于评价范围及其周围适合爬行类的相似生境较多，爬行类可顺利迁移，且临时占地植被恢复后，可重新回到原来的栖息地生活，因此占地及阻隔对其影响相对较小。</w:t>
      </w:r>
    </w:p>
    <w:p w:rsidR="00A46452" w:rsidRDefault="009A3928">
      <w:pPr>
        <w:wordWrap w:val="0"/>
        <w:topLinePunct/>
        <w:ind w:firstLine="480"/>
        <w:rPr>
          <w:rFonts w:cs="Times New Roman"/>
          <w:snapToGrid w:val="0"/>
          <w:lang w:val="zh-CN"/>
        </w:rPr>
      </w:pPr>
      <w:r>
        <w:rPr>
          <w:rFonts w:cs="Times New Roman"/>
          <w:snapToGrid w:val="0"/>
          <w:szCs w:val="24"/>
        </w:rPr>
        <w:t>2</w:t>
      </w:r>
      <w:r>
        <w:rPr>
          <w:rFonts w:cs="Times New Roman"/>
          <w:snapToGrid w:val="0"/>
          <w:szCs w:val="24"/>
          <w:lang w:val="zh-CN"/>
        </w:rPr>
        <w:t>）</w:t>
      </w:r>
      <w:r>
        <w:rPr>
          <w:rFonts w:cs="Times New Roman"/>
          <w:snapToGrid w:val="0"/>
          <w:lang w:val="zh-CN"/>
        </w:rPr>
        <w:t>施工影响</w:t>
      </w:r>
    </w:p>
    <w:p w:rsidR="00A46452" w:rsidRDefault="009A3928">
      <w:pPr>
        <w:wordWrap w:val="0"/>
        <w:topLinePunct/>
        <w:ind w:firstLine="480"/>
        <w:rPr>
          <w:rFonts w:cs="Times New Roman"/>
          <w:snapToGrid w:val="0"/>
          <w:lang w:val="zh-CN"/>
        </w:rPr>
      </w:pPr>
      <w:r>
        <w:rPr>
          <w:rFonts w:cs="Times New Roman"/>
          <w:snapToGrid w:val="0"/>
          <w:lang w:val="zh-CN"/>
        </w:rPr>
        <w:t>施工期路基开挖、施工人员入驻施工场地、施工材料的堆放、弃渣堆放等可能直接伤害爬行类</w:t>
      </w:r>
      <w:r>
        <w:rPr>
          <w:rFonts w:cs="Times New Roman"/>
          <w:snapToGrid w:val="0"/>
        </w:rPr>
        <w:t>动物</w:t>
      </w:r>
      <w:r>
        <w:rPr>
          <w:rFonts w:cs="Times New Roman"/>
          <w:snapToGrid w:val="0"/>
          <w:lang w:val="zh-CN"/>
        </w:rPr>
        <w:t>；施工便道的占地将造成其生境破坏，对其活动造成阻隔影响。施工过程中，施工材料及施工人员生活垃圾若随意丢弃会吸引昆虫和鼠类的聚集，以昆虫和鼠类为食物的爬行类会在施工区域聚集，对其分布格局产生一定影响；与两栖类类似，爬行类中也有一些种类经济价值较高，可能遭到施工人员的捕杀，除上述影响外，施工噪声、振动可能迫使它们远离施工区。施工期间采取加强施工人员管理和宣传教育、建筑材料和生活垃圾的集中收集处理等措施，影响可控。</w:t>
      </w:r>
    </w:p>
    <w:p w:rsidR="00A46452" w:rsidRDefault="009A3928">
      <w:pPr>
        <w:wordWrap w:val="0"/>
        <w:topLinePunct/>
        <w:ind w:firstLine="480"/>
        <w:rPr>
          <w:rFonts w:cs="Times New Roman"/>
          <w:snapToGrid w:val="0"/>
          <w:lang w:val="zh-CN"/>
        </w:rPr>
      </w:pPr>
      <w:r>
        <w:rPr>
          <w:rFonts w:cs="Times New Roman"/>
          <w:snapToGrid w:val="0"/>
          <w:szCs w:val="24"/>
          <w:lang w:val="zh-CN"/>
        </w:rPr>
        <w:t>3</w:t>
      </w:r>
      <w:r>
        <w:rPr>
          <w:rFonts w:cs="Times New Roman"/>
          <w:snapToGrid w:val="0"/>
          <w:szCs w:val="24"/>
          <w:lang w:val="zh-CN"/>
        </w:rPr>
        <w:t>）</w:t>
      </w:r>
      <w:r>
        <w:rPr>
          <w:rFonts w:cs="Times New Roman"/>
          <w:snapToGrid w:val="0"/>
          <w:lang w:val="zh-CN"/>
        </w:rPr>
        <w:t>水环境影响：</w:t>
      </w:r>
    </w:p>
    <w:p w:rsidR="00A46452" w:rsidRDefault="009A3928">
      <w:pPr>
        <w:wordWrap w:val="0"/>
        <w:topLinePunct/>
        <w:ind w:firstLine="480"/>
        <w:rPr>
          <w:rFonts w:cs="Times New Roman"/>
        </w:rPr>
      </w:pPr>
      <w:r>
        <w:rPr>
          <w:rFonts w:cs="Times New Roman"/>
          <w:snapToGrid w:val="0"/>
          <w:lang w:val="zh-CN"/>
        </w:rPr>
        <w:t>爬行类中的水栖型种类，分布于评价范围内的河流水域。部分邻近河流段桥梁建设，可能导</w:t>
      </w:r>
      <w:r>
        <w:rPr>
          <w:rFonts w:cs="Times New Roman"/>
          <w:snapToGrid w:val="0"/>
          <w:lang w:val="zh-CN"/>
        </w:rPr>
        <w:t>致水质、水体酸碱度的变化及水域附近的环境破坏，从而影响水栖类的生境。</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）对鸟类影响分析</w:t>
      </w:r>
    </w:p>
    <w:p w:rsidR="00A46452" w:rsidRDefault="009A3928">
      <w:pPr>
        <w:wordWrap w:val="0"/>
        <w:topLinePunct/>
        <w:ind w:firstLine="480"/>
        <w:rPr>
          <w:rFonts w:cs="Times New Roman"/>
          <w:snapToGrid w:val="0"/>
          <w:lang w:val="zh-CN"/>
        </w:rPr>
      </w:pPr>
      <w:r>
        <w:rPr>
          <w:rFonts w:cs="Times New Roman"/>
          <w:snapToGrid w:val="0"/>
          <w:lang w:val="zh-CN"/>
        </w:rPr>
        <w:t>鸟类</w:t>
      </w:r>
      <w:r>
        <w:rPr>
          <w:rFonts w:cs="Times New Roman"/>
          <w:snapToGrid w:val="0"/>
        </w:rPr>
        <w:t>擅长</w:t>
      </w:r>
      <w:r>
        <w:rPr>
          <w:rFonts w:cs="Times New Roman"/>
          <w:snapToGrid w:val="0"/>
          <w:lang w:val="zh-CN"/>
        </w:rPr>
        <w:t>飞翔，其特点是感官敏锐、迁移能力强，同时生活类型多种多样，工程施工期对其影响主要有：</w:t>
      </w:r>
    </w:p>
    <w:p w:rsidR="00A46452" w:rsidRDefault="009A3928">
      <w:pPr>
        <w:wordWrap w:val="0"/>
        <w:topLinePunct/>
        <w:ind w:firstLine="480"/>
        <w:rPr>
          <w:rFonts w:cs="Times New Roman"/>
          <w:snapToGrid w:val="0"/>
          <w:lang w:val="zh-CN"/>
        </w:rPr>
      </w:pPr>
      <w:r>
        <w:rPr>
          <w:rFonts w:cs="Times New Roman"/>
          <w:snapToGrid w:val="0"/>
          <w:szCs w:val="24"/>
          <w:lang w:val="zh-CN"/>
        </w:rPr>
        <w:t>1</w:t>
      </w:r>
      <w:r>
        <w:rPr>
          <w:rFonts w:cs="Times New Roman"/>
          <w:snapToGrid w:val="0"/>
          <w:szCs w:val="24"/>
          <w:lang w:val="zh-CN"/>
        </w:rPr>
        <w:t>）</w:t>
      </w:r>
      <w:r>
        <w:rPr>
          <w:rFonts w:cs="Times New Roman"/>
          <w:snapToGrid w:val="0"/>
          <w:lang w:val="zh-CN"/>
        </w:rPr>
        <w:t>噪声及振动影响：</w:t>
      </w:r>
    </w:p>
    <w:p w:rsidR="00A46452" w:rsidRDefault="009A3928">
      <w:pPr>
        <w:wordWrap w:val="0"/>
        <w:topLinePunct/>
        <w:ind w:firstLine="480"/>
        <w:rPr>
          <w:rFonts w:cs="Times New Roman"/>
          <w:snapToGrid w:val="0"/>
          <w:lang w:val="zh-CN"/>
        </w:rPr>
      </w:pPr>
      <w:r>
        <w:rPr>
          <w:rFonts w:cs="Times New Roman"/>
          <w:snapToGrid w:val="0"/>
          <w:lang w:val="zh-CN"/>
        </w:rPr>
        <w:t>工程施工采用的挖掘机、推土机、打桩机等施工机械固定源及混凝土搅拌运输车、压路机等各种运输车辆流动源将会产生一定强度的噪声，会对鸟类产生一定影响。其中施工机械和运输车辆产生的噪声持续时间较长，将使声源附近栖息的鸟类迁移到影响范围以外生活；除对鸟类有驱赶作用以外，可能会对处于繁殖期及迁徙期间的鸟类产生过度惊</w:t>
      </w:r>
      <w:r>
        <w:rPr>
          <w:rFonts w:cs="Times New Roman"/>
          <w:snapToGrid w:val="0"/>
          <w:lang w:val="zh-CN"/>
        </w:rPr>
        <w:t>吓而影响其正常的生理状态。由于鸟类的迁移能力强，评价范围内鸟类适宜生境较多，且噪声影响是暂时的，随着施工的结束而消失，因此，在做好科学合理的施工进度安排、采取适当的保护措施如选用低噪声设备等的前提下，噪声对鸟类的影响可得到有效减缓。</w:t>
      </w:r>
    </w:p>
    <w:p w:rsidR="00A46452" w:rsidRDefault="009A3928">
      <w:pPr>
        <w:wordWrap w:val="0"/>
        <w:topLinePunct/>
        <w:ind w:firstLine="480"/>
        <w:rPr>
          <w:rFonts w:cs="Times New Roman"/>
          <w:snapToGrid w:val="0"/>
          <w:lang w:val="zh-CN"/>
        </w:rPr>
      </w:pPr>
      <w:r>
        <w:rPr>
          <w:rFonts w:cs="Times New Roman"/>
          <w:snapToGrid w:val="0"/>
          <w:szCs w:val="24"/>
          <w:lang w:val="zh-CN"/>
        </w:rPr>
        <w:t>2</w:t>
      </w:r>
      <w:r>
        <w:rPr>
          <w:rFonts w:cs="Times New Roman"/>
          <w:snapToGrid w:val="0"/>
          <w:szCs w:val="24"/>
          <w:lang w:val="zh-CN"/>
        </w:rPr>
        <w:t>）</w:t>
      </w:r>
      <w:r>
        <w:rPr>
          <w:rFonts w:cs="Times New Roman"/>
          <w:snapToGrid w:val="0"/>
          <w:lang w:val="zh-CN"/>
        </w:rPr>
        <w:t>水环境影响：</w:t>
      </w:r>
    </w:p>
    <w:p w:rsidR="00A46452" w:rsidRDefault="009A3928">
      <w:pPr>
        <w:wordWrap w:val="0"/>
        <w:topLinePunct/>
        <w:ind w:firstLine="480"/>
        <w:rPr>
          <w:rFonts w:cs="Times New Roman"/>
          <w:snapToGrid w:val="0"/>
          <w:lang w:val="zh-CN"/>
        </w:rPr>
      </w:pPr>
      <w:r>
        <w:rPr>
          <w:rFonts w:cs="Times New Roman"/>
          <w:snapToGrid w:val="0"/>
          <w:lang w:val="zh-CN"/>
        </w:rPr>
        <w:t>鸟类中的游禽和涉禽依赖水域生存，傍水型鸟类对水也有一定依赖性，临近水域或涉水施工都会对其产生影响。桥梁施工废水、施工营地生活污水若未经处理直接排入水体，一方面会直接造成水生生物种类和数量减少，从而影响鸟类的捕食；另一方面将劣化水质，污染其生境，导致其无法在原生境中生存从而迁移他处。这些影响可通过污水处理达标排放等措施加以避免和消减，且随着施工的结束，影响将逐步消失。</w:t>
      </w:r>
    </w:p>
    <w:p w:rsidR="00A46452" w:rsidRDefault="009A3928">
      <w:pPr>
        <w:wordWrap w:val="0"/>
        <w:topLinePunct/>
        <w:ind w:firstLine="480"/>
        <w:rPr>
          <w:rFonts w:cs="Times New Roman"/>
          <w:snapToGrid w:val="0"/>
          <w:lang w:val="zh-CN"/>
        </w:rPr>
      </w:pPr>
      <w:r>
        <w:rPr>
          <w:rFonts w:cs="Times New Roman"/>
          <w:snapToGrid w:val="0"/>
          <w:szCs w:val="24"/>
          <w:lang w:val="zh-CN"/>
        </w:rPr>
        <w:t>3</w:t>
      </w:r>
      <w:r>
        <w:rPr>
          <w:rFonts w:cs="Times New Roman"/>
          <w:snapToGrid w:val="0"/>
          <w:szCs w:val="24"/>
          <w:lang w:val="zh-CN"/>
        </w:rPr>
        <w:t>）</w:t>
      </w:r>
      <w:r>
        <w:rPr>
          <w:rFonts w:cs="Times New Roman"/>
          <w:snapToGrid w:val="0"/>
          <w:lang w:val="zh-CN"/>
        </w:rPr>
        <w:t>工程占地影响：</w:t>
      </w:r>
    </w:p>
    <w:p w:rsidR="00A46452" w:rsidRDefault="009A3928">
      <w:pPr>
        <w:wordWrap w:val="0"/>
        <w:topLinePunct/>
        <w:ind w:firstLine="480"/>
        <w:rPr>
          <w:rFonts w:cs="Times New Roman"/>
          <w:snapToGrid w:val="0"/>
          <w:lang w:val="zh-CN"/>
        </w:rPr>
      </w:pPr>
      <w:r>
        <w:rPr>
          <w:rFonts w:cs="Times New Roman"/>
          <w:snapToGrid w:val="0"/>
          <w:lang w:val="zh-CN"/>
        </w:rPr>
        <w:t>施工期间工程永久及临时占地将占用部分鸟类生境，其中占用灌丛及灌草丛将占用部分鸣禽的生境；占用水域将占用游禽、涉禽和部分傍水</w:t>
      </w:r>
      <w:r>
        <w:rPr>
          <w:rFonts w:cs="Times New Roman"/>
          <w:snapToGrid w:val="0"/>
          <w:lang w:val="zh-CN"/>
        </w:rPr>
        <w:t>型鸟类的生境。根据占地数据及占比显示，项目对鸟类生境占用较少，且鸟类迁移能力强，周边可替代生境多，鸟类可较容易地转移到替代生境，占地对其影响较小。</w:t>
      </w:r>
    </w:p>
    <w:p w:rsidR="00A46452" w:rsidRDefault="009A3928">
      <w:pPr>
        <w:wordWrap w:val="0"/>
        <w:topLinePunct/>
        <w:ind w:firstLine="480"/>
        <w:rPr>
          <w:rFonts w:cs="Times New Roman"/>
          <w:snapToGrid w:val="0"/>
          <w:lang w:val="zh-CN"/>
        </w:rPr>
      </w:pPr>
      <w:r>
        <w:rPr>
          <w:rFonts w:cs="Times New Roman"/>
          <w:snapToGrid w:val="0"/>
          <w:szCs w:val="24"/>
          <w:lang w:val="zh-CN"/>
        </w:rPr>
        <w:t>4</w:t>
      </w:r>
      <w:r>
        <w:rPr>
          <w:rFonts w:cs="Times New Roman"/>
          <w:snapToGrid w:val="0"/>
          <w:szCs w:val="24"/>
          <w:lang w:val="zh-CN"/>
        </w:rPr>
        <w:t>）</w:t>
      </w:r>
      <w:r>
        <w:rPr>
          <w:rFonts w:cs="Times New Roman"/>
          <w:snapToGrid w:val="0"/>
          <w:lang w:val="zh-CN"/>
        </w:rPr>
        <w:t>人为活动影响：</w:t>
      </w:r>
    </w:p>
    <w:p w:rsidR="00A46452" w:rsidRDefault="009A3928">
      <w:pPr>
        <w:wordWrap w:val="0"/>
        <w:topLinePunct/>
        <w:ind w:firstLine="480"/>
        <w:rPr>
          <w:rFonts w:cs="Times New Roman"/>
        </w:rPr>
      </w:pPr>
      <w:r>
        <w:rPr>
          <w:rFonts w:cs="Times New Roman"/>
          <w:snapToGrid w:val="0"/>
          <w:lang w:val="zh-CN"/>
        </w:rPr>
        <w:t>鸟类生性警觉，施工期由于进驻的施工人员人数较多，施工人员的活动将对鸟类造成一定驱赶作用，但与噪声的影响类似，由于评价范围内鸟类适宜生境较多，且影响是暂时的，这种影响较小。施工场地产生的施工扬尘、运输扬尘等，可能对其生境造成污染；这些影响可通过洒水降尘等措施加以避免和消减，且随着施工的结束，影响将逐步消失，这些鸟类可以回到原栖息地继续生活。除此</w:t>
      </w:r>
      <w:r>
        <w:rPr>
          <w:rFonts w:cs="Times New Roman"/>
          <w:snapToGrid w:val="0"/>
          <w:lang w:val="zh-CN"/>
        </w:rPr>
        <w:t>之外施工人员的生活垃圾以及夜间施工照明对鸟类也会造成一定程度干扰和威胁。</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4</w:t>
      </w:r>
      <w:r>
        <w:rPr>
          <w:rFonts w:cs="Times New Roman"/>
          <w:snapToGrid w:val="0"/>
          <w:lang w:val="zh-CN"/>
        </w:rPr>
        <w:t>）对兽类影响分析</w:t>
      </w:r>
    </w:p>
    <w:p w:rsidR="00A46452" w:rsidRDefault="009A3928">
      <w:pPr>
        <w:wordWrap w:val="0"/>
        <w:topLinePunct/>
        <w:ind w:firstLine="480"/>
        <w:rPr>
          <w:rFonts w:cs="Times New Roman"/>
          <w:snapToGrid w:val="0"/>
          <w:lang w:val="zh-CN"/>
        </w:rPr>
      </w:pPr>
      <w:r>
        <w:rPr>
          <w:rFonts w:cs="Times New Roman"/>
          <w:snapToGrid w:val="0"/>
          <w:lang w:val="zh-CN"/>
        </w:rPr>
        <w:t>兽类感官非常敏锐、迁移能力强，对人类活动的敏感程度较鸟类更甚。兽类生活类型多种多样，工程施工期影响主要有：</w:t>
      </w:r>
    </w:p>
    <w:p w:rsidR="00A46452" w:rsidRDefault="009A3928">
      <w:pPr>
        <w:numPr>
          <w:ilvl w:val="0"/>
          <w:numId w:val="16"/>
        </w:numPr>
        <w:wordWrap w:val="0"/>
        <w:topLinePunct/>
        <w:ind w:firstLine="480"/>
        <w:rPr>
          <w:rFonts w:cs="Times New Roman"/>
          <w:snapToGrid w:val="0"/>
          <w:lang w:val="zh-CN"/>
        </w:rPr>
      </w:pPr>
      <w:r>
        <w:rPr>
          <w:rFonts w:cs="Times New Roman"/>
          <w:snapToGrid w:val="0"/>
          <w:lang w:val="zh-CN"/>
        </w:rPr>
        <w:t>工程占地影响</w:t>
      </w:r>
    </w:p>
    <w:p w:rsidR="00A46452" w:rsidRDefault="009A3928">
      <w:pPr>
        <w:wordWrap w:val="0"/>
        <w:topLinePunct/>
        <w:ind w:firstLine="480"/>
        <w:rPr>
          <w:rFonts w:cs="Times New Roman"/>
          <w:snapToGrid w:val="0"/>
          <w:lang w:val="zh-CN"/>
        </w:rPr>
      </w:pPr>
      <w:r>
        <w:rPr>
          <w:rFonts w:cs="Times New Roman"/>
          <w:snapToGrid w:val="0"/>
          <w:lang w:val="zh-CN"/>
        </w:rPr>
        <w:t>评价范围的兽类多为灌丛及林地生活的物种，施工占地占用其生境，</w:t>
      </w:r>
      <w:r>
        <w:rPr>
          <w:rFonts w:cs="Times New Roman"/>
          <w:snapToGrid w:val="0"/>
        </w:rPr>
        <w:t>但</w:t>
      </w:r>
      <w:r>
        <w:rPr>
          <w:rFonts w:cs="Times New Roman"/>
          <w:snapToGrid w:val="0"/>
          <w:lang w:val="zh-CN"/>
        </w:rPr>
        <w:t>公路</w:t>
      </w:r>
      <w:r>
        <w:rPr>
          <w:rFonts w:cs="Times New Roman"/>
          <w:snapToGrid w:val="0"/>
          <w:lang w:val="zh-CN"/>
        </w:rPr>
        <w:t>沿线可替代生境较多，同时由于兽类的活动能力较强，因此占用生境对评价范围内兽类影响有限。</w:t>
      </w:r>
    </w:p>
    <w:p w:rsidR="00A46452" w:rsidRDefault="009A3928">
      <w:pPr>
        <w:numPr>
          <w:ilvl w:val="0"/>
          <w:numId w:val="16"/>
        </w:numPr>
        <w:wordWrap w:val="0"/>
        <w:topLinePunct/>
        <w:ind w:firstLine="480"/>
        <w:rPr>
          <w:rFonts w:cs="Times New Roman"/>
          <w:snapToGrid w:val="0"/>
          <w:lang w:val="zh-CN"/>
        </w:rPr>
      </w:pPr>
      <w:r>
        <w:rPr>
          <w:rFonts w:cs="Times New Roman"/>
          <w:snapToGrid w:val="0"/>
          <w:lang w:val="zh-CN"/>
        </w:rPr>
        <w:t>噪声影响</w:t>
      </w:r>
    </w:p>
    <w:p w:rsidR="00A46452" w:rsidRDefault="009A3928">
      <w:pPr>
        <w:wordWrap w:val="0"/>
        <w:topLinePunct/>
        <w:ind w:firstLine="480"/>
        <w:rPr>
          <w:rFonts w:cs="Times New Roman"/>
          <w:snapToGrid w:val="0"/>
          <w:lang w:val="zh-CN"/>
        </w:rPr>
      </w:pPr>
      <w:r>
        <w:rPr>
          <w:rFonts w:cs="Times New Roman"/>
          <w:snapToGrid w:val="0"/>
          <w:lang w:val="zh-CN"/>
        </w:rPr>
        <w:t>与鸟类类似，兽类对噪声干扰也较敏感，施工期间施工机械、车辆运行等产生的噪声振动，会对噪声振动影响区兽类产生干扰，兽类在受到噪声及振动惊扰后会向其他地方迁移，寻找安全的生境，从而导致评价范围内警觉性高的兽类在评价范围域内部的分布格局变化。施工结束后，噪声振动源消除，部分兽类回到原栖息地，因此施工噪声振动仅会导致评价范围内的兽类物种丰富度暂时降低，对兽类种群和数量的影响是暂时的。</w:t>
      </w:r>
    </w:p>
    <w:p w:rsidR="00A46452" w:rsidRDefault="009A3928">
      <w:pPr>
        <w:numPr>
          <w:ilvl w:val="0"/>
          <w:numId w:val="16"/>
        </w:numPr>
        <w:wordWrap w:val="0"/>
        <w:topLinePunct/>
        <w:ind w:firstLine="480"/>
        <w:rPr>
          <w:rFonts w:cs="Times New Roman"/>
          <w:snapToGrid w:val="0"/>
          <w:lang w:val="zh-CN"/>
        </w:rPr>
      </w:pPr>
      <w:r>
        <w:rPr>
          <w:rFonts w:cs="Times New Roman"/>
          <w:snapToGrid w:val="0"/>
          <w:lang w:val="zh-CN"/>
        </w:rPr>
        <w:t>人为活动影响</w:t>
      </w:r>
    </w:p>
    <w:p w:rsidR="00A46452" w:rsidRDefault="009A3928">
      <w:pPr>
        <w:wordWrap w:val="0"/>
        <w:topLinePunct/>
        <w:ind w:firstLine="480"/>
        <w:rPr>
          <w:rFonts w:cs="Times New Roman"/>
          <w:snapToGrid w:val="0"/>
          <w:lang w:val="zh-CN"/>
        </w:rPr>
      </w:pPr>
      <w:r>
        <w:rPr>
          <w:rFonts w:cs="Times New Roman"/>
          <w:snapToGrid w:val="0"/>
          <w:lang w:val="zh-CN"/>
        </w:rPr>
        <w:t>评价范围内分布的</w:t>
      </w:r>
      <w:r>
        <w:rPr>
          <w:rFonts w:cs="Times New Roman"/>
          <w:snapToGrid w:val="0"/>
        </w:rPr>
        <w:t>鼠类</w:t>
      </w:r>
      <w:r>
        <w:rPr>
          <w:rFonts w:cs="Times New Roman"/>
          <w:snapToGrid w:val="0"/>
          <w:lang w:val="zh-CN"/>
        </w:rPr>
        <w:t>等与人伴居。施工过程中施工人员生活垃圾若不经处理随意丢弃，将会招引鼠类及昆虫类。一方面，会对鼠类分</w:t>
      </w:r>
      <w:r>
        <w:rPr>
          <w:rFonts w:cs="Times New Roman"/>
          <w:snapToGrid w:val="0"/>
          <w:lang w:val="zh-CN"/>
        </w:rPr>
        <w:t>布格局产生一定影响，进而使其捕食者蛇类的分布格局亦出现变化；另一方面，昆虫增多会吸引其捕食者，从而使</w:t>
      </w:r>
      <w:r>
        <w:rPr>
          <w:rFonts w:cs="Times New Roman"/>
          <w:snapToGrid w:val="0"/>
        </w:rPr>
        <w:t>其</w:t>
      </w:r>
      <w:r>
        <w:rPr>
          <w:rFonts w:cs="Times New Roman"/>
          <w:snapToGrid w:val="0"/>
          <w:lang w:val="zh-CN"/>
        </w:rPr>
        <w:t>也向生活垃圾丢弃处集中。这些因素综合起来会导致鼠类数量和分布格局改变，同时鼠类的聚集也会导致传染病的传播，危害施工人员及当地居民健康。</w:t>
      </w:r>
    </w:p>
    <w:p w:rsidR="00A46452" w:rsidRDefault="009A3928">
      <w:pPr>
        <w:wordWrap w:val="0"/>
        <w:topLinePunct/>
        <w:ind w:firstLine="480"/>
        <w:rPr>
          <w:rFonts w:cs="Times New Roman"/>
          <w:spacing w:val="-1"/>
          <w:lang w:val="zh-CN"/>
        </w:rPr>
      </w:pPr>
      <w:r>
        <w:rPr>
          <w:rFonts w:cs="Times New Roman"/>
          <w:snapToGrid w:val="0"/>
          <w:lang w:val="zh-CN"/>
        </w:rPr>
        <w:t>施工期施工人员进驻将对区域内兽类的数量和种类组成造成一定影响。一方面，对喜与人类生活的鼠类提供了食物来源和庇护所，使这些兽类数量增多；另一方面，其他兽类，特别是地面生活型的种类如松鼠科等种类等将远离施工区域。由于多数兽类的听、视觉或嗅觉较为敏锐，对人类的活动较为敏感，可以迁</w:t>
      </w:r>
      <w:r>
        <w:rPr>
          <w:rFonts w:cs="Times New Roman"/>
          <w:snapToGrid w:val="0"/>
          <w:lang w:val="zh-CN"/>
        </w:rPr>
        <w:t>移到远离工程的区域。施工区域可能对个体产生影响，兽类数量和种类组成不会发生较大变化，因此对兽类影响较小。</w:t>
      </w:r>
    </w:p>
    <w:p w:rsidR="00A46452" w:rsidRDefault="009A3928">
      <w:pPr>
        <w:pStyle w:val="42"/>
        <w:keepNext w:val="0"/>
        <w:keepLines w:val="0"/>
        <w:wordWrap w:val="0"/>
        <w:topLinePunct/>
        <w:spacing w:before="156" w:after="156"/>
        <w:rPr>
          <w:rFonts w:cs="Times New Roman" w:hint="default"/>
          <w:iCs/>
        </w:rPr>
      </w:pPr>
      <w:r>
        <w:rPr>
          <w:rFonts w:cs="Times New Roman" w:hint="default"/>
          <w:iCs/>
        </w:rPr>
        <w:t>7</w:t>
      </w:r>
      <w:r>
        <w:rPr>
          <w:rFonts w:cs="Times New Roman" w:hint="default"/>
          <w:iCs/>
        </w:rPr>
        <w:t>.1.</w:t>
      </w:r>
      <w:r>
        <w:rPr>
          <w:rFonts w:cs="Times New Roman" w:hint="default"/>
          <w:iCs/>
        </w:rPr>
        <w:t>3</w:t>
      </w:r>
      <w:r>
        <w:rPr>
          <w:rFonts w:cs="Times New Roman" w:hint="default"/>
          <w:iCs/>
        </w:rPr>
        <w:t>.2</w:t>
      </w:r>
      <w:r>
        <w:rPr>
          <w:rFonts w:cs="Times New Roman" w:hint="default"/>
          <w:iCs/>
        </w:rPr>
        <w:t>运营期</w:t>
      </w:r>
    </w:p>
    <w:p w:rsidR="00A46452" w:rsidRDefault="009A3928">
      <w:pPr>
        <w:wordWrap w:val="0"/>
        <w:topLinePunct/>
        <w:ind w:firstLine="480"/>
        <w:rPr>
          <w:rFonts w:cs="Times New Roman"/>
          <w:snapToGrid w:val="0"/>
          <w:lang w:val="zh-CN"/>
        </w:rPr>
      </w:pPr>
      <w:r>
        <w:rPr>
          <w:rFonts w:cs="Times New Roman"/>
          <w:snapToGrid w:val="0"/>
          <w:lang w:val="zh-CN"/>
        </w:rPr>
        <w:t>运营阶段，施工活动停止，人类活动多出现在</w:t>
      </w:r>
      <w:r>
        <w:rPr>
          <w:rFonts w:cs="Times New Roman"/>
          <w:snapToGrid w:val="0"/>
        </w:rPr>
        <w:t>公路服务区</w:t>
      </w:r>
      <w:r>
        <w:rPr>
          <w:rFonts w:cs="Times New Roman"/>
          <w:snapToGrid w:val="0"/>
          <w:lang w:val="zh-CN"/>
        </w:rPr>
        <w:t>附近，人类干扰因素较低；运输途中生活污水和生活垃圾不外排；施工期破坏的迹地逐步恢复，水土流失得到控制，生境变化对野生动物产生的异化效应缓解。运营期对动物的主要影响为</w:t>
      </w:r>
      <w:r>
        <w:rPr>
          <w:rFonts w:cs="Times New Roman"/>
          <w:snapToGrid w:val="0"/>
          <w:lang w:val="zh-CN"/>
        </w:rPr>
        <w:t>公路</w:t>
      </w:r>
      <w:r>
        <w:rPr>
          <w:rFonts w:cs="Times New Roman"/>
          <w:snapToGrid w:val="0"/>
          <w:lang w:val="zh-CN"/>
        </w:rPr>
        <w:t>造成的栖息地和迁移阻隔、运行产生的噪声和灯光污染。</w:t>
      </w:r>
    </w:p>
    <w:p w:rsidR="00A46452" w:rsidRDefault="009A3928">
      <w:pPr>
        <w:wordWrap w:val="0"/>
        <w:topLinePunct/>
        <w:ind w:firstLine="480"/>
        <w:rPr>
          <w:rFonts w:cs="Times New Roman"/>
          <w:snapToGrid w:val="0"/>
          <w:lang w:val="zh-CN"/>
        </w:rPr>
      </w:pPr>
      <w:r>
        <w:rPr>
          <w:rFonts w:cs="Times New Roman"/>
          <w:snapToGrid w:val="0"/>
          <w:lang w:val="zh-CN"/>
        </w:rPr>
        <w:t>工程建设完成后，将对沿线陆生动物的生境造成线性切割，使得动物生境丧失及生境片段化；</w:t>
      </w:r>
      <w:r>
        <w:rPr>
          <w:rFonts w:cs="Times New Roman"/>
          <w:snapToGrid w:val="0"/>
          <w:lang w:val="zh-CN"/>
        </w:rPr>
        <w:t>公路</w:t>
      </w:r>
      <w:r>
        <w:rPr>
          <w:rFonts w:cs="Times New Roman"/>
          <w:snapToGrid w:val="0"/>
          <w:lang w:val="zh-CN"/>
        </w:rPr>
        <w:t>噪声会对野生动物造成驱赶影响</w:t>
      </w:r>
      <w:r>
        <w:rPr>
          <w:rFonts w:cs="Times New Roman"/>
          <w:snapToGrid w:val="0"/>
          <w:lang w:val="zh-CN"/>
        </w:rPr>
        <w:t>导致其远离工程区域，从而使得陆生动物种群数量的变动和分布格局的变化。</w:t>
      </w:r>
    </w:p>
    <w:p w:rsidR="00A46452" w:rsidRDefault="009A3928">
      <w:pPr>
        <w:wordWrap w:val="0"/>
        <w:topLinePunct/>
        <w:ind w:firstLine="480"/>
        <w:rPr>
          <w:rFonts w:cs="Times New Roman"/>
          <w:snapToGrid w:val="0"/>
          <w:lang w:val="zh-CN"/>
        </w:rPr>
      </w:pPr>
      <w:r>
        <w:rPr>
          <w:rFonts w:cs="Times New Roman"/>
          <w:snapToGrid w:val="0"/>
          <w:lang w:val="zh-CN"/>
        </w:rPr>
        <w:t>工程桥梁较高，桥梁下方及涵洞通过生境引导可供两栖类、爬行类及兽类通行。虽然</w:t>
      </w:r>
      <w:r>
        <w:rPr>
          <w:rFonts w:cs="Times New Roman"/>
          <w:snapToGrid w:val="0"/>
          <w:lang w:val="zh-CN"/>
        </w:rPr>
        <w:t>公路</w:t>
      </w:r>
      <w:r>
        <w:rPr>
          <w:rFonts w:cs="Times New Roman"/>
          <w:snapToGrid w:val="0"/>
          <w:lang w:val="zh-CN"/>
        </w:rPr>
        <w:t>噪声会对桥梁、路基工程附近陆生动物造成驱赶，但</w:t>
      </w:r>
      <w:r>
        <w:rPr>
          <w:rFonts w:cs="Times New Roman"/>
          <w:snapToGrid w:val="0"/>
          <w:lang w:val="zh-CN"/>
        </w:rPr>
        <w:t>公路</w:t>
      </w:r>
      <w:r>
        <w:rPr>
          <w:rFonts w:cs="Times New Roman"/>
          <w:snapToGrid w:val="0"/>
          <w:lang w:val="zh-CN"/>
        </w:rPr>
        <w:t>噪声属于流动污染源，线长面广，具有间歇性，产生的噪声短暂，且随着时间的推移，沿线的野生动物会逐渐适应。与施工期相比，工程运营期影响较弱但持续时间长，因此对动物影响有所不同。</w:t>
      </w:r>
    </w:p>
    <w:p w:rsidR="00A46452" w:rsidRDefault="009A3928">
      <w:pPr>
        <w:wordWrap w:val="0"/>
        <w:topLinePunct/>
        <w:ind w:firstLine="480"/>
        <w:rPr>
          <w:rFonts w:cs="Times New Roman"/>
          <w:snapToGrid w:val="0"/>
          <w:lang w:val="zh-CN"/>
        </w:rPr>
      </w:pPr>
      <w:r>
        <w:rPr>
          <w:rFonts w:cs="Times New Roman"/>
          <w:snapToGrid w:val="0"/>
        </w:rPr>
        <w:t>A.</w:t>
      </w:r>
      <w:r>
        <w:rPr>
          <w:rFonts w:cs="Times New Roman"/>
          <w:snapToGrid w:val="0"/>
          <w:lang w:val="zh-CN"/>
        </w:rPr>
        <w:t>对爬行类影响</w:t>
      </w:r>
    </w:p>
    <w:p w:rsidR="00A46452" w:rsidRDefault="009A3928">
      <w:pPr>
        <w:wordWrap w:val="0"/>
        <w:topLinePunct/>
        <w:ind w:firstLine="480"/>
        <w:rPr>
          <w:rFonts w:cs="Times New Roman"/>
          <w:snapToGrid w:val="0"/>
          <w:lang w:val="zh-CN"/>
        </w:rPr>
      </w:pPr>
      <w:r>
        <w:rPr>
          <w:rFonts w:cs="Times New Roman"/>
          <w:snapToGrid w:val="0"/>
          <w:lang w:val="zh-CN"/>
        </w:rPr>
        <w:t>运营期对两栖爬行类的影响主要有栖息地隔离、迁徙阻隔影响。</w:t>
      </w:r>
    </w:p>
    <w:p w:rsidR="00A46452" w:rsidRDefault="009A3928">
      <w:pPr>
        <w:wordWrap w:val="0"/>
        <w:topLinePunct/>
        <w:ind w:firstLine="480"/>
        <w:rPr>
          <w:rFonts w:cs="Times New Roman"/>
          <w:snapToGrid w:val="0"/>
          <w:lang w:val="zh-CN"/>
        </w:rPr>
      </w:pPr>
      <w:r>
        <w:rPr>
          <w:rFonts w:cs="Times New Roman"/>
          <w:snapToGrid w:val="0"/>
          <w:lang w:val="zh-CN"/>
        </w:rPr>
        <w:t>公路</w:t>
      </w:r>
      <w:r>
        <w:rPr>
          <w:rFonts w:cs="Times New Roman"/>
          <w:snapToGrid w:val="0"/>
          <w:lang w:val="zh-CN"/>
        </w:rPr>
        <w:t>运营后，对爬行动物的影响主要体现在分割爬行动物的分布区，给种</w:t>
      </w:r>
      <w:r>
        <w:rPr>
          <w:rFonts w:cs="Times New Roman"/>
          <w:snapToGrid w:val="0"/>
          <w:lang w:val="zh-CN"/>
        </w:rPr>
        <w:t>群交流带来一定的障碍。</w:t>
      </w:r>
      <w:r>
        <w:rPr>
          <w:rFonts w:cs="Times New Roman"/>
          <w:szCs w:val="24"/>
        </w:rPr>
        <w:t>对于爬行动物而言，如蜥蜴类及蛇类等爬行动物，由于原分布区被部分破坏，公路的运营会导致这些动物的生活区向周围迁移。</w:t>
      </w:r>
      <w:r>
        <w:rPr>
          <w:rFonts w:cs="Times New Roman"/>
          <w:snapToGrid w:val="0"/>
          <w:lang w:val="zh-CN"/>
        </w:rPr>
        <w:t>本工程</w:t>
      </w:r>
      <w:r>
        <w:rPr>
          <w:rFonts w:cs="Times New Roman"/>
          <w:snapToGrid w:val="0"/>
        </w:rPr>
        <w:t>设置桥梁工程</w:t>
      </w:r>
      <w:r>
        <w:rPr>
          <w:rFonts w:cs="Times New Roman"/>
          <w:snapToGrid w:val="0"/>
          <w:lang w:val="zh-CN"/>
        </w:rPr>
        <w:t>不会对爬行类造成</w:t>
      </w:r>
      <w:r>
        <w:rPr>
          <w:rFonts w:cs="Times New Roman"/>
          <w:snapToGrid w:val="0"/>
        </w:rPr>
        <w:t>严重的</w:t>
      </w:r>
      <w:r>
        <w:rPr>
          <w:rFonts w:cs="Times New Roman"/>
          <w:snapToGrid w:val="0"/>
          <w:lang w:val="zh-CN"/>
        </w:rPr>
        <w:t>阻隔。路基工程将会设置涵洞，通过生境引导可供两栖爬行类通过，工程对两栖爬行类动物阻隔的影响较小。</w:t>
      </w:r>
    </w:p>
    <w:p w:rsidR="00A46452" w:rsidRDefault="009A3928">
      <w:pPr>
        <w:wordWrap w:val="0"/>
        <w:topLinePunct/>
        <w:ind w:firstLine="480"/>
        <w:rPr>
          <w:rFonts w:cs="Times New Roman"/>
          <w:snapToGrid w:val="0"/>
          <w:lang w:val="zh-CN"/>
        </w:rPr>
      </w:pPr>
      <w:r>
        <w:rPr>
          <w:rFonts w:cs="Times New Roman"/>
          <w:snapToGrid w:val="0"/>
        </w:rPr>
        <w:t>B.</w:t>
      </w:r>
      <w:r>
        <w:rPr>
          <w:rFonts w:cs="Times New Roman"/>
          <w:snapToGrid w:val="0"/>
          <w:lang w:val="zh-CN"/>
        </w:rPr>
        <w:t>对鸟类影响</w:t>
      </w:r>
    </w:p>
    <w:p w:rsidR="00A46452" w:rsidRDefault="009A3928">
      <w:pPr>
        <w:wordWrap w:val="0"/>
        <w:topLinePunct/>
        <w:ind w:firstLine="480"/>
        <w:rPr>
          <w:rFonts w:cs="Times New Roman"/>
          <w:snapToGrid w:val="0"/>
          <w:lang w:val="zh-CN"/>
        </w:rPr>
      </w:pPr>
      <w:r>
        <w:rPr>
          <w:rFonts w:cs="Times New Roman"/>
          <w:snapToGrid w:val="0"/>
          <w:lang w:val="zh-CN"/>
        </w:rPr>
        <w:t>运营期对鸟类的影响主要为</w:t>
      </w:r>
      <w:r>
        <w:rPr>
          <w:rFonts w:cs="Times New Roman"/>
          <w:snapToGrid w:val="0"/>
          <w:lang w:val="zh-CN"/>
        </w:rPr>
        <w:t>公路</w:t>
      </w:r>
      <w:r>
        <w:rPr>
          <w:rFonts w:cs="Times New Roman"/>
          <w:snapToGrid w:val="0"/>
          <w:lang w:val="zh-CN"/>
        </w:rPr>
        <w:t>运行时产生的噪声、灯光对鸟类的驱赶等。主要为：</w:t>
      </w:r>
    </w:p>
    <w:p w:rsidR="00A46452" w:rsidRDefault="009A3928">
      <w:pPr>
        <w:wordWrap w:val="0"/>
        <w:topLinePunct/>
        <w:ind w:firstLine="480"/>
        <w:rPr>
          <w:rFonts w:cs="Times New Roman"/>
          <w:snapToGrid w:val="0"/>
          <w:lang w:val="zh-CN"/>
        </w:rPr>
      </w:pPr>
      <w:r>
        <w:rPr>
          <w:rFonts w:cs="Times New Roman"/>
          <w:snapToGrid w:val="0"/>
          <w:lang w:val="zh-CN"/>
        </w:rPr>
        <w:t>1</w:t>
      </w:r>
      <w:r>
        <w:rPr>
          <w:rFonts w:cs="Times New Roman"/>
          <w:snapToGrid w:val="0"/>
          <w:lang w:val="zh-CN"/>
        </w:rPr>
        <w:t>）运行噪声影响</w:t>
      </w:r>
    </w:p>
    <w:p w:rsidR="00A46452" w:rsidRDefault="009A3928">
      <w:pPr>
        <w:wordWrap w:val="0"/>
        <w:topLinePunct/>
        <w:ind w:firstLine="480"/>
        <w:rPr>
          <w:rFonts w:cs="Times New Roman"/>
          <w:snapToGrid w:val="0"/>
          <w:lang w:val="zh-CN"/>
        </w:rPr>
      </w:pPr>
      <w:r>
        <w:rPr>
          <w:rFonts w:cs="Times New Roman"/>
          <w:snapToGrid w:val="0"/>
        </w:rPr>
        <w:t>汽车</w:t>
      </w:r>
      <w:r>
        <w:rPr>
          <w:rFonts w:cs="Times New Roman"/>
          <w:snapToGrid w:val="0"/>
          <w:lang w:val="zh-CN"/>
        </w:rPr>
        <w:t>鸣笛噪声会对</w:t>
      </w:r>
      <w:r>
        <w:rPr>
          <w:rFonts w:cs="Times New Roman"/>
          <w:snapToGrid w:val="0"/>
          <w:lang w:val="zh-CN"/>
        </w:rPr>
        <w:t>公路</w:t>
      </w:r>
      <w:r>
        <w:rPr>
          <w:rFonts w:cs="Times New Roman"/>
          <w:snapToGrid w:val="0"/>
          <w:lang w:val="zh-CN"/>
        </w:rPr>
        <w:t>两侧的鸟类正常活动产生不利影响，使某些鸟类远离或向外迁移，影响种群密度。此外，噪声级的大小是影响鸟类繁殖密度的重要因素，噪声可能影响鸟类繁殖率。但随着鸟类的适应，这种影响会逐年减低，甚至适应这种间歇性噪声的影响。</w:t>
      </w:r>
    </w:p>
    <w:p w:rsidR="00A46452" w:rsidRDefault="009A3928">
      <w:pPr>
        <w:wordWrap w:val="0"/>
        <w:topLinePunct/>
        <w:ind w:firstLine="480"/>
        <w:rPr>
          <w:rFonts w:cs="Times New Roman"/>
          <w:snapToGrid w:val="0"/>
          <w:lang w:val="zh-CN"/>
        </w:rPr>
      </w:pPr>
      <w:r>
        <w:rPr>
          <w:rFonts w:cs="Times New Roman"/>
          <w:snapToGrid w:val="0"/>
          <w:lang w:val="zh-CN"/>
        </w:rPr>
        <w:t>2</w:t>
      </w:r>
      <w:r>
        <w:rPr>
          <w:rFonts w:cs="Times New Roman"/>
          <w:snapToGrid w:val="0"/>
          <w:lang w:val="zh-CN"/>
        </w:rPr>
        <w:t>）夜间灯光影响</w:t>
      </w:r>
    </w:p>
    <w:p w:rsidR="00A46452" w:rsidRDefault="009A3928">
      <w:pPr>
        <w:wordWrap w:val="0"/>
        <w:topLinePunct/>
        <w:ind w:firstLine="480"/>
        <w:rPr>
          <w:rFonts w:cs="Times New Roman"/>
          <w:snapToGrid w:val="0"/>
          <w:lang w:val="zh-CN"/>
        </w:rPr>
      </w:pPr>
      <w:r>
        <w:rPr>
          <w:rFonts w:cs="Times New Roman"/>
          <w:snapToGrid w:val="0"/>
        </w:rPr>
        <w:t>公路运行时夜晚</w:t>
      </w:r>
      <w:r>
        <w:rPr>
          <w:rFonts w:cs="Times New Roman"/>
          <w:snapToGrid w:val="0"/>
          <w:lang w:val="zh-CN"/>
        </w:rPr>
        <w:t>的灯光也会对夜间飞行的鸟类产生影响，夜间突来的强光会影响它们的视线，增加被</w:t>
      </w:r>
      <w:r>
        <w:rPr>
          <w:rFonts w:cs="Times New Roman"/>
          <w:snapToGrid w:val="0"/>
        </w:rPr>
        <w:t>汽车</w:t>
      </w:r>
      <w:r>
        <w:rPr>
          <w:rFonts w:cs="Times New Roman"/>
          <w:snapToGrid w:val="0"/>
          <w:lang w:val="zh-CN"/>
        </w:rPr>
        <w:t>碰撞的</w:t>
      </w:r>
      <w:r>
        <w:rPr>
          <w:rFonts w:cs="Times New Roman"/>
          <w:snapToGrid w:val="0"/>
        </w:rPr>
        <w:t>概</w:t>
      </w:r>
      <w:r>
        <w:rPr>
          <w:rFonts w:cs="Times New Roman"/>
          <w:snapToGrid w:val="0"/>
          <w:lang w:val="zh-CN"/>
        </w:rPr>
        <w:t>率。</w:t>
      </w:r>
    </w:p>
    <w:p w:rsidR="00A46452" w:rsidRDefault="009A3928">
      <w:pPr>
        <w:wordWrap w:val="0"/>
        <w:topLinePunct/>
        <w:ind w:firstLine="480"/>
        <w:rPr>
          <w:rFonts w:cs="Times New Roman"/>
          <w:snapToGrid w:val="0"/>
          <w:lang w:val="zh-CN"/>
        </w:rPr>
      </w:pPr>
      <w:r>
        <w:rPr>
          <w:rFonts w:cs="Times New Roman"/>
          <w:snapToGrid w:val="0"/>
        </w:rPr>
        <w:t>C.</w:t>
      </w:r>
      <w:r>
        <w:rPr>
          <w:rFonts w:cs="Times New Roman"/>
          <w:snapToGrid w:val="0"/>
          <w:lang w:val="zh-CN"/>
        </w:rPr>
        <w:t>对兽类影响</w:t>
      </w:r>
    </w:p>
    <w:p w:rsidR="00A46452" w:rsidRDefault="009A3928">
      <w:pPr>
        <w:wordWrap w:val="0"/>
        <w:topLinePunct/>
        <w:ind w:firstLine="480"/>
        <w:rPr>
          <w:rFonts w:cs="Times New Roman"/>
          <w:snapToGrid w:val="0"/>
          <w:lang w:val="zh-CN"/>
        </w:rPr>
      </w:pPr>
      <w:r>
        <w:rPr>
          <w:rFonts w:cs="Times New Roman"/>
          <w:snapToGrid w:val="0"/>
          <w:lang w:val="zh-CN"/>
        </w:rPr>
        <w:t>运营期对兽类影响主要为</w:t>
      </w:r>
      <w:r>
        <w:rPr>
          <w:rFonts w:cs="Times New Roman"/>
          <w:snapToGrid w:val="0"/>
          <w:lang w:val="zh-CN"/>
        </w:rPr>
        <w:t>公路</w:t>
      </w:r>
      <w:r>
        <w:rPr>
          <w:rFonts w:cs="Times New Roman"/>
          <w:snapToGrid w:val="0"/>
          <w:lang w:val="zh-CN"/>
        </w:rPr>
        <w:t>运行时产生的噪声、灯光、迁徙阻隔影响：</w:t>
      </w:r>
    </w:p>
    <w:p w:rsidR="00A46452" w:rsidRDefault="009A3928">
      <w:pPr>
        <w:wordWrap w:val="0"/>
        <w:topLinePunct/>
        <w:ind w:firstLine="480"/>
        <w:rPr>
          <w:rFonts w:cs="Times New Roman"/>
          <w:snapToGrid w:val="0"/>
          <w:lang w:val="zh-CN"/>
        </w:rPr>
      </w:pPr>
      <w:r>
        <w:rPr>
          <w:rFonts w:cs="Times New Roman"/>
          <w:snapToGrid w:val="0"/>
          <w:lang w:val="zh-CN"/>
        </w:rPr>
        <w:t>1</w:t>
      </w:r>
      <w:r>
        <w:rPr>
          <w:rFonts w:cs="Times New Roman"/>
          <w:snapToGrid w:val="0"/>
          <w:lang w:val="zh-CN"/>
        </w:rPr>
        <w:t>）运行噪声影响</w:t>
      </w:r>
    </w:p>
    <w:p w:rsidR="00A46452" w:rsidRDefault="009A3928">
      <w:pPr>
        <w:wordWrap w:val="0"/>
        <w:topLinePunct/>
        <w:ind w:firstLine="480"/>
        <w:rPr>
          <w:rFonts w:cs="Times New Roman"/>
          <w:snapToGrid w:val="0"/>
          <w:lang w:val="zh-CN"/>
        </w:rPr>
      </w:pPr>
      <w:r>
        <w:rPr>
          <w:rFonts w:cs="Times New Roman"/>
          <w:snapToGrid w:val="0"/>
          <w:lang w:val="zh-CN"/>
        </w:rPr>
        <w:t>兽类对噪声敏感，突发噪声可能引起兽类过激反应，迫使区域内兽类离开，导致评价范围内兽类数量降低。但由于</w:t>
      </w:r>
      <w:r>
        <w:rPr>
          <w:rFonts w:cs="Times New Roman"/>
          <w:snapToGrid w:val="0"/>
          <w:lang w:val="zh-CN"/>
        </w:rPr>
        <w:t>公路</w:t>
      </w:r>
      <w:r>
        <w:rPr>
          <w:rFonts w:cs="Times New Roman"/>
          <w:snapToGrid w:val="0"/>
          <w:lang w:val="zh-CN"/>
        </w:rPr>
        <w:t>噪声属流动污染源，线长面广，具有间歇性，且兽类具有一定适应性，因此在运行一段时间后，区域内的兽类对</w:t>
      </w:r>
      <w:r>
        <w:rPr>
          <w:rFonts w:cs="Times New Roman"/>
          <w:snapToGrid w:val="0"/>
        </w:rPr>
        <w:t>公路</w:t>
      </w:r>
      <w:r>
        <w:rPr>
          <w:rFonts w:cs="Times New Roman"/>
          <w:snapToGrid w:val="0"/>
          <w:lang w:val="zh-CN"/>
        </w:rPr>
        <w:t>运行产生的噪声将会逐渐适应，运行噪声对区域内兽类影响有限。</w:t>
      </w:r>
    </w:p>
    <w:p w:rsidR="00A46452" w:rsidRDefault="009A3928">
      <w:pPr>
        <w:wordWrap w:val="0"/>
        <w:topLinePunct/>
        <w:ind w:firstLine="480"/>
        <w:rPr>
          <w:rFonts w:cs="Times New Roman"/>
          <w:snapToGrid w:val="0"/>
          <w:lang w:val="zh-CN"/>
        </w:rPr>
      </w:pPr>
      <w:r>
        <w:rPr>
          <w:rFonts w:cs="Times New Roman"/>
          <w:snapToGrid w:val="0"/>
          <w:lang w:val="zh-CN"/>
        </w:rPr>
        <w:t>2</w:t>
      </w:r>
      <w:r>
        <w:rPr>
          <w:rFonts w:cs="Times New Roman"/>
          <w:snapToGrid w:val="0"/>
          <w:lang w:val="zh-CN"/>
        </w:rPr>
        <w:t>）夜间灯光影响</w:t>
      </w:r>
    </w:p>
    <w:p w:rsidR="00A46452" w:rsidRDefault="009A3928">
      <w:pPr>
        <w:wordWrap w:val="0"/>
        <w:topLinePunct/>
        <w:ind w:firstLine="480"/>
        <w:rPr>
          <w:rFonts w:cs="Times New Roman"/>
          <w:snapToGrid w:val="0"/>
          <w:lang w:val="zh-CN"/>
        </w:rPr>
      </w:pPr>
      <w:r>
        <w:rPr>
          <w:rFonts w:cs="Times New Roman"/>
          <w:snapToGrid w:val="0"/>
          <w:lang w:val="zh-CN"/>
        </w:rPr>
        <w:t>对于陆生动物来说灯光是人类活动的直接信号，会直接干扰兽类的正常活动，迫使兽类避开线路两侧的灯光影响。另外灯光对某些夜行性动物如蝙蝠类等的生活节律亦会产生一定影响。从影响范围上看，灯光的干扰主要集中在</w:t>
      </w:r>
      <w:r>
        <w:rPr>
          <w:rFonts w:cs="Times New Roman"/>
          <w:snapToGrid w:val="0"/>
        </w:rPr>
        <w:t>公路</w:t>
      </w:r>
      <w:r>
        <w:rPr>
          <w:rFonts w:cs="Times New Roman"/>
          <w:snapToGrid w:val="0"/>
          <w:lang w:val="zh-CN"/>
        </w:rPr>
        <w:t>两侧有限范围内；从影响时间</w:t>
      </w:r>
      <w:r>
        <w:rPr>
          <w:rFonts w:cs="Times New Roman"/>
          <w:snapToGrid w:val="0"/>
          <w:lang w:val="zh-CN"/>
        </w:rPr>
        <w:t>上看，</w:t>
      </w:r>
      <w:r>
        <w:rPr>
          <w:rFonts w:cs="Times New Roman"/>
          <w:snapToGrid w:val="0"/>
        </w:rPr>
        <w:t>汽车</w:t>
      </w:r>
      <w:r>
        <w:rPr>
          <w:rFonts w:cs="Times New Roman"/>
          <w:snapToGrid w:val="0"/>
          <w:lang w:val="zh-CN"/>
        </w:rPr>
        <w:t>通行时间快，通过某一区域时间短，灯光持续时间短。因此灯光对区域内兽类影响有限。</w:t>
      </w:r>
    </w:p>
    <w:p w:rsidR="00A46452" w:rsidRDefault="009A3928">
      <w:pPr>
        <w:wordWrap w:val="0"/>
        <w:topLinePunct/>
        <w:ind w:firstLine="480"/>
        <w:rPr>
          <w:rFonts w:cs="Times New Roman"/>
          <w:snapToGrid w:val="0"/>
          <w:lang w:val="zh-CN"/>
        </w:rPr>
      </w:pPr>
      <w:r>
        <w:rPr>
          <w:rFonts w:cs="Times New Roman"/>
          <w:snapToGrid w:val="0"/>
          <w:lang w:val="zh-CN"/>
        </w:rPr>
        <w:t>3</w:t>
      </w:r>
      <w:r>
        <w:rPr>
          <w:rFonts w:cs="Times New Roman"/>
          <w:snapToGrid w:val="0"/>
          <w:lang w:val="zh-CN"/>
        </w:rPr>
        <w:t>）栖息地隔离和迁徙阻隔影响</w:t>
      </w:r>
    </w:p>
    <w:p w:rsidR="00A46452" w:rsidRDefault="009A3928">
      <w:pPr>
        <w:wordWrap w:val="0"/>
        <w:topLinePunct/>
        <w:ind w:firstLine="480"/>
        <w:rPr>
          <w:rFonts w:cs="Times New Roman"/>
          <w:snapToGrid w:val="0"/>
          <w:lang w:val="zh-CN"/>
        </w:rPr>
      </w:pPr>
      <w:r>
        <w:rPr>
          <w:rFonts w:cs="Times New Roman"/>
          <w:szCs w:val="24"/>
        </w:rPr>
        <w:t>对于部分灌丛中栖息的各种鼠类，食肉目的兽类，其栖息地将会被小部分破坏，但它们都具有一定迁移能力，食物来源也呈多样化趋势，所以工程不会对它们的栖息造成巨大的威胁。</w:t>
      </w:r>
      <w:r>
        <w:rPr>
          <w:rFonts w:cs="Times New Roman"/>
          <w:snapToGrid w:val="0"/>
          <w:lang w:val="zh-CN"/>
        </w:rPr>
        <w:t>运营期间，线路两侧的兽类可通过桥梁下方、涵洞等进行正常的迁移，项目对兽类栖息地隔离和迁移阻隔的影响较小。</w:t>
      </w:r>
    </w:p>
    <w:p w:rsidR="00A46452" w:rsidRDefault="009A3928">
      <w:pPr>
        <w:wordWrap w:val="0"/>
        <w:topLinePunct/>
        <w:ind w:firstLine="480"/>
        <w:rPr>
          <w:rFonts w:eastAsia="仿宋" w:cs="Times New Roman"/>
          <w:lang w:val="zh-CN"/>
        </w:rPr>
      </w:pPr>
      <w:r>
        <w:rPr>
          <w:rFonts w:cs="Times New Roman"/>
          <w:snapToGrid w:val="0"/>
          <w:lang w:val="zh-CN"/>
        </w:rPr>
        <w:t>本项目评价区域内大</w:t>
      </w:r>
      <w:r>
        <w:rPr>
          <w:rFonts w:cs="Times New Roman"/>
          <w:snapToGrid w:val="0"/>
        </w:rPr>
        <w:t>中</w:t>
      </w:r>
      <w:r>
        <w:rPr>
          <w:rFonts w:cs="Times New Roman"/>
          <w:snapToGrid w:val="0"/>
          <w:lang w:val="zh-CN"/>
        </w:rPr>
        <w:t>型野生动物中鹅喉羚较为罕见，主要以</w:t>
      </w:r>
      <w:r>
        <w:rPr>
          <w:rFonts w:cs="Times New Roman"/>
          <w:snapToGrid w:val="0"/>
        </w:rPr>
        <w:t>鸟类、</w:t>
      </w:r>
      <w:r>
        <w:rPr>
          <w:rFonts w:cs="Times New Roman"/>
          <w:snapToGrid w:val="0"/>
          <w:lang w:val="zh-CN"/>
        </w:rPr>
        <w:t>蜥蜴</w:t>
      </w:r>
      <w:r>
        <w:rPr>
          <w:rFonts w:cs="Times New Roman"/>
          <w:snapToGrid w:val="0"/>
          <w:lang w:val="zh-CN"/>
        </w:rPr>
        <w:t>、</w:t>
      </w:r>
      <w:r>
        <w:rPr>
          <w:rFonts w:cs="Times New Roman"/>
          <w:snapToGrid w:val="0"/>
        </w:rPr>
        <w:t>鼠类</w:t>
      </w:r>
      <w:r>
        <w:rPr>
          <w:rFonts w:cs="Times New Roman"/>
          <w:snapToGrid w:val="0"/>
          <w:lang w:val="zh-CN"/>
        </w:rPr>
        <w:t>动物为主。拟建项目净高大于</w:t>
      </w:r>
      <w:r>
        <w:rPr>
          <w:rFonts w:cs="Times New Roman"/>
          <w:snapToGrid w:val="0"/>
        </w:rPr>
        <w:t>3</w:t>
      </w:r>
      <w:r>
        <w:rPr>
          <w:rFonts w:cs="Times New Roman"/>
          <w:snapToGrid w:val="0"/>
          <w:lang w:val="zh-CN"/>
        </w:rPr>
        <w:t>m</w:t>
      </w:r>
      <w:r>
        <w:rPr>
          <w:rFonts w:cs="Times New Roman"/>
          <w:snapToGrid w:val="0"/>
          <w:lang w:val="zh-CN"/>
        </w:rPr>
        <w:t>、跨径大于</w:t>
      </w:r>
      <w:r>
        <w:rPr>
          <w:rFonts w:cs="Times New Roman"/>
          <w:snapToGrid w:val="0"/>
          <w:lang w:val="zh-CN"/>
        </w:rPr>
        <w:t>10m</w:t>
      </w:r>
      <w:r>
        <w:rPr>
          <w:rFonts w:cs="Times New Roman"/>
          <w:snapToGrid w:val="0"/>
          <w:lang w:val="zh-CN"/>
        </w:rPr>
        <w:t>的桥涵可作为鹅喉羚等大中型动物的下穿式野生动物通道；二级公路路段不封闭，</w:t>
      </w:r>
      <w:r>
        <w:rPr>
          <w:rFonts w:cs="Times New Roman"/>
          <w:snapToGrid w:val="0"/>
        </w:rPr>
        <w:t>也</w:t>
      </w:r>
      <w:r>
        <w:rPr>
          <w:rFonts w:cs="Times New Roman"/>
          <w:snapToGrid w:val="0"/>
          <w:lang w:val="zh-CN"/>
        </w:rPr>
        <w:t>可以供野生动物通行</w:t>
      </w:r>
      <w:r>
        <w:rPr>
          <w:rFonts w:cs="Times New Roman"/>
          <w:snapToGrid w:val="0"/>
          <w:lang w:val="zh-CN"/>
        </w:rPr>
        <w:t>。</w:t>
      </w:r>
    </w:p>
    <w:p w:rsidR="00A46452" w:rsidRDefault="009A3928">
      <w:pPr>
        <w:wordWrap w:val="0"/>
        <w:topLinePunct/>
        <w:ind w:firstLine="480"/>
        <w:rPr>
          <w:rFonts w:cs="Times New Roman"/>
          <w:snapToGrid w:val="0"/>
        </w:rPr>
      </w:pPr>
      <w:r>
        <w:rPr>
          <w:rFonts w:cs="Times New Roman"/>
          <w:snapToGrid w:val="0"/>
        </w:rPr>
        <w:t>D.</w:t>
      </w:r>
      <w:r>
        <w:rPr>
          <w:rFonts w:cs="Times New Roman"/>
          <w:snapToGrid w:val="0"/>
        </w:rPr>
        <w:t>小结</w:t>
      </w:r>
    </w:p>
    <w:p w:rsidR="00A46452" w:rsidRDefault="009A3928">
      <w:pPr>
        <w:wordWrap w:val="0"/>
        <w:topLinePunct/>
        <w:ind w:firstLine="480"/>
        <w:rPr>
          <w:rFonts w:cs="Times New Roman"/>
          <w:snapToGrid w:val="0"/>
          <w:lang w:val="zh-CN"/>
        </w:rPr>
      </w:pPr>
      <w:r>
        <w:rPr>
          <w:rFonts w:cs="Times New Roman"/>
          <w:szCs w:val="24"/>
        </w:rPr>
        <w:t>本项目两侧分布的鸟类、爬行类和小型哺乳类野生动物基本都是新疆荒漠区的广布种类，适应性和抗干扰性较强，而且公路两侧地域广阔，动物的活动空间很大，公路修建后这些动物可以就近迁入邻近区域生存，本项目沿线设计</w:t>
      </w:r>
      <w:r>
        <w:rPr>
          <w:rFonts w:cs="Times New Roman"/>
          <w:szCs w:val="24"/>
        </w:rPr>
        <w:t>新建大桥</w:t>
      </w:r>
      <w:r>
        <w:rPr>
          <w:rFonts w:cs="Times New Roman"/>
          <w:szCs w:val="24"/>
        </w:rPr>
        <w:t>4</w:t>
      </w:r>
      <w:r>
        <w:rPr>
          <w:rFonts w:cs="Times New Roman"/>
          <w:szCs w:val="24"/>
        </w:rPr>
        <w:t>座</w:t>
      </w:r>
      <w:r>
        <w:rPr>
          <w:rFonts w:cs="Times New Roman"/>
          <w:szCs w:val="24"/>
        </w:rPr>
        <w:t>/767m</w:t>
      </w:r>
      <w:r>
        <w:rPr>
          <w:rFonts w:cs="Times New Roman"/>
          <w:szCs w:val="24"/>
        </w:rPr>
        <w:t>、新建中桥</w:t>
      </w:r>
      <w:r>
        <w:rPr>
          <w:rFonts w:cs="Times New Roman"/>
          <w:szCs w:val="24"/>
        </w:rPr>
        <w:t>6</w:t>
      </w:r>
      <w:r>
        <w:rPr>
          <w:rFonts w:cs="Times New Roman"/>
          <w:szCs w:val="24"/>
        </w:rPr>
        <w:t>座</w:t>
      </w:r>
      <w:r>
        <w:rPr>
          <w:rFonts w:cs="Times New Roman"/>
          <w:szCs w:val="24"/>
        </w:rPr>
        <w:t>/356m</w:t>
      </w:r>
      <w:r>
        <w:rPr>
          <w:rFonts w:cs="Times New Roman"/>
          <w:szCs w:val="24"/>
        </w:rPr>
        <w:t>、新建小桥</w:t>
      </w:r>
      <w:r>
        <w:rPr>
          <w:rFonts w:cs="Times New Roman"/>
          <w:szCs w:val="24"/>
        </w:rPr>
        <w:t>4</w:t>
      </w:r>
      <w:r>
        <w:rPr>
          <w:rFonts w:cs="Times New Roman"/>
          <w:szCs w:val="24"/>
        </w:rPr>
        <w:t>座</w:t>
      </w:r>
      <w:r>
        <w:rPr>
          <w:rFonts w:cs="Times New Roman"/>
          <w:szCs w:val="24"/>
        </w:rPr>
        <w:t>/98m</w:t>
      </w:r>
      <w:r>
        <w:rPr>
          <w:rFonts w:cs="Times New Roman"/>
          <w:szCs w:val="24"/>
        </w:rPr>
        <w:t>，</w:t>
      </w:r>
      <w:r>
        <w:rPr>
          <w:rFonts w:cs="Times New Roman"/>
          <w:szCs w:val="24"/>
        </w:rPr>
        <w:t>利用大桥</w:t>
      </w:r>
      <w:r>
        <w:rPr>
          <w:rFonts w:cs="Times New Roman"/>
          <w:szCs w:val="24"/>
        </w:rPr>
        <w:t>1</w:t>
      </w:r>
      <w:r>
        <w:rPr>
          <w:rFonts w:cs="Times New Roman"/>
          <w:szCs w:val="24"/>
        </w:rPr>
        <w:t>座</w:t>
      </w:r>
      <w:r>
        <w:rPr>
          <w:rFonts w:cs="Times New Roman"/>
          <w:szCs w:val="24"/>
        </w:rPr>
        <w:t>/517m</w:t>
      </w:r>
      <w:r>
        <w:rPr>
          <w:rFonts w:cs="Times New Roman"/>
          <w:szCs w:val="24"/>
        </w:rPr>
        <w:t>、全线共设置主线涵洞</w:t>
      </w:r>
      <w:r>
        <w:rPr>
          <w:rFonts w:cs="Times New Roman"/>
          <w:szCs w:val="24"/>
        </w:rPr>
        <w:t>75</w:t>
      </w:r>
      <w:r>
        <w:rPr>
          <w:rFonts w:cs="Times New Roman"/>
          <w:szCs w:val="24"/>
        </w:rPr>
        <w:t>道（不含管线交叉处涵洞）</w:t>
      </w:r>
      <w:r>
        <w:rPr>
          <w:rFonts w:cs="Times New Roman"/>
          <w:szCs w:val="24"/>
        </w:rPr>
        <w:t>。</w:t>
      </w:r>
      <w:r>
        <w:rPr>
          <w:rFonts w:cs="Times New Roman"/>
          <w:szCs w:val="24"/>
        </w:rPr>
        <w:t>这些通道和涵洞的建设可以有效降低公路对野生动物</w:t>
      </w:r>
      <w:r>
        <w:rPr>
          <w:rFonts w:cs="Times New Roman"/>
          <w:szCs w:val="24"/>
        </w:rPr>
        <w:t>的阻隔影响。</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7.1.4</w:t>
      </w:r>
      <w:r>
        <w:rPr>
          <w:rFonts w:cs="Times New Roman" w:hint="default"/>
          <w:sz w:val="28"/>
          <w:szCs w:val="28"/>
        </w:rPr>
        <w:t>对水生生物的影响</w:t>
      </w:r>
    </w:p>
    <w:p w:rsidR="00A46452" w:rsidRDefault="009A3928" w:rsidP="00182EED">
      <w:pPr>
        <w:wordWrap w:val="0"/>
        <w:topLinePunct/>
        <w:adjustRightInd w:val="0"/>
        <w:spacing w:beforeLines="50" w:before="165" w:afterLines="50" w:after="165"/>
        <w:ind w:firstLineChars="0" w:firstLine="0"/>
        <w:textAlignment w:val="baseline"/>
        <w:outlineLvl w:val="3"/>
        <w:rPr>
          <w:rFonts w:cs="Times New Roman"/>
          <w:b/>
          <w:i/>
          <w:kern w:val="28"/>
        </w:rPr>
      </w:pPr>
      <w:r>
        <w:rPr>
          <w:rFonts w:cs="Times New Roman"/>
          <w:b/>
          <w:i/>
          <w:kern w:val="28"/>
        </w:rPr>
        <w:t>7</w:t>
      </w:r>
      <w:r>
        <w:rPr>
          <w:rFonts w:cs="Times New Roman"/>
          <w:b/>
          <w:i/>
          <w:kern w:val="28"/>
        </w:rPr>
        <w:t>.1.</w:t>
      </w:r>
      <w:r>
        <w:rPr>
          <w:rFonts w:cs="Times New Roman"/>
          <w:b/>
          <w:i/>
          <w:kern w:val="28"/>
        </w:rPr>
        <w:t>4</w:t>
      </w:r>
      <w:r>
        <w:rPr>
          <w:rFonts w:cs="Times New Roman"/>
          <w:b/>
          <w:i/>
          <w:kern w:val="28"/>
        </w:rPr>
        <w:t>.1</w:t>
      </w:r>
      <w:r>
        <w:rPr>
          <w:rFonts w:cs="Times New Roman"/>
          <w:b/>
          <w:i/>
          <w:kern w:val="28"/>
        </w:rPr>
        <w:t>施工期对鱼类的影响分析</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）对浮游生物影响</w:t>
      </w:r>
    </w:p>
    <w:p w:rsidR="00A46452" w:rsidRDefault="009A3928">
      <w:pPr>
        <w:wordWrap w:val="0"/>
        <w:topLinePunct/>
        <w:ind w:firstLine="480"/>
        <w:rPr>
          <w:rFonts w:cs="Times New Roman"/>
          <w:snapToGrid w:val="0"/>
          <w:lang w:val="zh-CN"/>
        </w:rPr>
      </w:pPr>
      <w:r>
        <w:rPr>
          <w:rFonts w:cs="Times New Roman"/>
          <w:snapToGrid w:val="0"/>
          <w:lang w:val="zh-CN"/>
        </w:rPr>
        <w:t>工程设计的桥梁设置</w:t>
      </w:r>
      <w:r>
        <w:rPr>
          <w:rFonts w:cs="Times New Roman"/>
          <w:snapToGrid w:val="0"/>
        </w:rPr>
        <w:t>桥</w:t>
      </w:r>
      <w:r>
        <w:rPr>
          <w:rFonts w:cs="Times New Roman"/>
          <w:snapToGrid w:val="0"/>
          <w:lang w:val="zh-CN"/>
        </w:rPr>
        <w:t>墩，涉水桥墩围堰方式为钢围堰，钢围堰沉底和抽水过程中，可能导致附近水体悬浮物增加，施工机械维修及工作时油污跑冒滴漏产生的含油污水等的排放亦会对桥梁跨越水域的水质产生一定程度的污染。桥梁附近临时堆放的施工材料，若由于保管不善或受暴雨冲刷将会进入水体，对水质产生影响；路面开挖后的临时弃土弃渣，在雨水冲刷下形成路面径流也会进入水。导致水体浑浊，改变水的酸碱度，破坏浮游生物的生长环境。</w:t>
      </w:r>
    </w:p>
    <w:p w:rsidR="00A46452" w:rsidRDefault="009A3928">
      <w:pPr>
        <w:wordWrap w:val="0"/>
        <w:topLinePunct/>
        <w:ind w:firstLine="480"/>
        <w:rPr>
          <w:rFonts w:cs="Times New Roman"/>
          <w:snapToGrid w:val="0"/>
          <w:lang w:val="zh-CN"/>
        </w:rPr>
      </w:pPr>
      <w:r>
        <w:rPr>
          <w:rFonts w:cs="Times New Roman"/>
          <w:snapToGrid w:val="0"/>
          <w:lang w:val="zh-CN"/>
        </w:rPr>
        <w:t>涉水桥墩施工临时占用水域建筑主要是钢围堰</w:t>
      </w:r>
      <w:r>
        <w:rPr>
          <w:rFonts w:cs="Times New Roman"/>
          <w:snapToGrid w:val="0"/>
        </w:rPr>
        <w:t>等</w:t>
      </w:r>
      <w:r>
        <w:rPr>
          <w:rFonts w:cs="Times New Roman"/>
          <w:snapToGrid w:val="0"/>
          <w:lang w:val="zh-CN"/>
        </w:rPr>
        <w:t>。钢围堰沉底和抽水过程中，会对河床底质产生搅动，产生底泥悬浮，导致水体透明度短暂下降，使浮游植物光合作用降低，影响浮游生物的生长繁殖。但涉水施工时间不长，</w:t>
      </w:r>
      <w:r>
        <w:rPr>
          <w:rFonts w:cs="Times New Roman"/>
          <w:snapToGrid w:val="0"/>
        </w:rPr>
        <w:t>随</w:t>
      </w:r>
      <w:r>
        <w:rPr>
          <w:rFonts w:cs="Times New Roman"/>
          <w:snapToGrid w:val="0"/>
          <w:lang w:val="zh-CN"/>
        </w:rPr>
        <w:t>着水下施工的结束，扰动的底泥由于自身的重力以及河水的流动不断沉降、稀释，上述影响消失。因此，工程施工对浮游植物的影响轻微，且是暂时的、可逆的。</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）对底栖动物影响</w:t>
      </w:r>
    </w:p>
    <w:p w:rsidR="00A46452" w:rsidRDefault="009A3928">
      <w:pPr>
        <w:wordWrap w:val="0"/>
        <w:topLinePunct/>
        <w:ind w:firstLine="480"/>
        <w:rPr>
          <w:rFonts w:cs="Times New Roman"/>
          <w:snapToGrid w:val="0"/>
          <w:lang w:val="zh-CN"/>
        </w:rPr>
      </w:pPr>
      <w:r>
        <w:rPr>
          <w:rFonts w:cs="Times New Roman"/>
          <w:snapToGrid w:val="0"/>
          <w:lang w:val="zh-CN"/>
        </w:rPr>
        <w:t>工程施工期间，钢围堰等涉水或临近水体的施工，可能引起河流水体悬浮物的短暂增加，一定直径内的悬浮物会影响到附近水域底栖动物的呼吸、摄食等生命活动。</w:t>
      </w:r>
    </w:p>
    <w:p w:rsidR="00A46452" w:rsidRDefault="009A3928" w:rsidP="00182EED">
      <w:pPr>
        <w:widowControl/>
        <w:ind w:firstLine="480"/>
        <w:jc w:val="left"/>
        <w:rPr>
          <w:rFonts w:cs="Times New Roman"/>
          <w:snapToGrid w:val="0"/>
          <w:lang w:val="zh-CN"/>
        </w:rPr>
      </w:pPr>
      <w:r>
        <w:rPr>
          <w:rFonts w:cs="Times New Roman"/>
          <w:snapToGrid w:val="0"/>
          <w:lang w:val="zh-CN"/>
        </w:rPr>
        <w:t>涉</w:t>
      </w:r>
      <w:r>
        <w:rPr>
          <w:rFonts w:cs="Times New Roman"/>
          <w:snapToGrid w:val="0"/>
          <w:lang w:val="zh-CN"/>
        </w:rPr>
        <w:t>水桥墩施工对施工区域内底栖动物影响较大，施工过程中会直接压覆底栖动物，造成施工区域底栖动物的直接损失；同时桥墩占用部分河床，会减少底栖动物栖息地面积，但桥墩占用面积较小，对底栖动物的影响较小；施工所产生的悬浮物也会影响到附近水域底栖动物的呼吸、摄食等生命活动，从而对该河段底栖动物的种类和数量产生影响。根据现场调查</w:t>
      </w:r>
      <w:r>
        <w:rPr>
          <w:rFonts w:cs="Times New Roman"/>
          <w:snapToGrid w:val="0"/>
        </w:rPr>
        <w:t>及资料收集，</w:t>
      </w:r>
      <w:r>
        <w:rPr>
          <w:rFonts w:cs="Times New Roman"/>
          <w:kern w:val="0"/>
          <w:szCs w:val="24"/>
          <w:lang w:bidi="ar"/>
        </w:rPr>
        <w:t>经喀什噶尔河下游河道自邦克尔水库以下，已基本无行洪通道，邦克尔水库、红海水库从叶尔羌河民生渠首引水。</w:t>
      </w:r>
      <w:r>
        <w:rPr>
          <w:rFonts w:cs="Times New Roman"/>
          <w:snapToGrid w:val="0"/>
        </w:rPr>
        <w:t>柯坪河的水生昆虫以</w:t>
      </w:r>
      <w:r>
        <w:rPr>
          <w:rFonts w:cs="Times New Roman"/>
          <w:kern w:val="0"/>
          <w:szCs w:val="24"/>
          <w:lang w:bidi="ar"/>
        </w:rPr>
        <w:t>双翅目的摇蚊及颤蚓目</w:t>
      </w:r>
      <w:r>
        <w:rPr>
          <w:rFonts w:cs="Times New Roman"/>
          <w:kern w:val="0"/>
          <w:szCs w:val="24"/>
          <w:lang w:bidi="ar"/>
        </w:rPr>
        <w:t>为主</w:t>
      </w:r>
      <w:r>
        <w:rPr>
          <w:rFonts w:cs="Times New Roman"/>
          <w:snapToGrid w:val="0"/>
          <w:lang w:val="zh-CN"/>
        </w:rPr>
        <w:t>且</w:t>
      </w:r>
      <w:r>
        <w:rPr>
          <w:rFonts w:cs="Times New Roman"/>
          <w:snapToGrid w:val="0"/>
        </w:rPr>
        <w:t>均</w:t>
      </w:r>
      <w:r>
        <w:rPr>
          <w:rFonts w:cs="Times New Roman"/>
          <w:snapToGrid w:val="0"/>
          <w:lang w:val="zh-CN"/>
        </w:rPr>
        <w:t>为常见种类</w:t>
      </w:r>
      <w:r>
        <w:rPr>
          <w:rFonts w:cs="Times New Roman"/>
          <w:snapToGrid w:val="0"/>
        </w:rPr>
        <w:t>；喀什噶尔河水生昆虫</w:t>
      </w:r>
      <w:r>
        <w:rPr>
          <w:rFonts w:cs="Times New Roman"/>
          <w:snapToGrid w:val="0"/>
          <w:szCs w:val="20"/>
        </w:rPr>
        <w:t>主要</w:t>
      </w:r>
      <w:r>
        <w:rPr>
          <w:rFonts w:cs="Times New Roman"/>
          <w:snapToGrid w:val="0"/>
          <w:szCs w:val="20"/>
        </w:rPr>
        <w:t>以</w:t>
      </w:r>
      <w:r>
        <w:rPr>
          <w:rFonts w:cs="Times New Roman"/>
          <w:kern w:val="1"/>
        </w:rPr>
        <w:t>毛翅目、蜻蜓目、蜉蝣目、双翅目</w:t>
      </w:r>
      <w:r>
        <w:rPr>
          <w:rFonts w:cs="Times New Roman"/>
          <w:kern w:val="1"/>
        </w:rPr>
        <w:t>4</w:t>
      </w:r>
      <w:r>
        <w:rPr>
          <w:rFonts w:cs="Times New Roman"/>
          <w:kern w:val="1"/>
        </w:rPr>
        <w:t>个目</w:t>
      </w:r>
      <w:r>
        <w:rPr>
          <w:rFonts w:cs="Times New Roman"/>
          <w:snapToGrid w:val="0"/>
          <w:szCs w:val="20"/>
        </w:rPr>
        <w:t>为主</w:t>
      </w:r>
      <w:r>
        <w:rPr>
          <w:rFonts w:cs="Times New Roman"/>
          <w:snapToGrid w:val="0"/>
          <w:lang w:val="zh-CN"/>
        </w:rPr>
        <w:t>且</w:t>
      </w:r>
      <w:r>
        <w:rPr>
          <w:rFonts w:cs="Times New Roman"/>
          <w:snapToGrid w:val="0"/>
        </w:rPr>
        <w:t>均</w:t>
      </w:r>
      <w:r>
        <w:rPr>
          <w:rFonts w:cs="Times New Roman"/>
          <w:snapToGrid w:val="0"/>
          <w:lang w:val="zh-CN"/>
        </w:rPr>
        <w:t>为常见种类，因此涉水工程对底栖动物的影响有限。</w:t>
      </w:r>
    </w:p>
    <w:p w:rsidR="00A46452" w:rsidRDefault="009A3928">
      <w:pPr>
        <w:wordWrap w:val="0"/>
        <w:topLinePunct/>
        <w:ind w:firstLine="480"/>
        <w:rPr>
          <w:rFonts w:cs="Times New Roman"/>
          <w:snapToGrid w:val="0"/>
          <w:lang w:val="zh-CN"/>
        </w:rPr>
      </w:pPr>
      <w:r>
        <w:rPr>
          <w:rFonts w:cs="Times New Roman"/>
          <w:snapToGrid w:val="0"/>
          <w:lang w:val="zh-CN"/>
        </w:rPr>
        <w:t>总体而言，涉水桥墩的建设对附近的底栖动物会产生一定影响，</w:t>
      </w:r>
      <w:r>
        <w:rPr>
          <w:rFonts w:cs="Times New Roman" w:hint="eastAsia"/>
          <w:snapToGrid w:val="0"/>
          <w:lang w:val="zh-CN"/>
        </w:rPr>
        <w:t>但</w:t>
      </w:r>
      <w:r>
        <w:rPr>
          <w:rFonts w:cs="Times New Roman"/>
          <w:snapToGrid w:val="0"/>
          <w:lang w:val="zh-CN"/>
        </w:rPr>
        <w:t>底栖动物都为常见种，因此影响有限。且在施工结束后随着河底底泥的逐渐稳定，周围的底栖动物会逐渐占据受损的生境，物种数量和生物量都会有一个缓慢回升的过程。</w:t>
      </w:r>
    </w:p>
    <w:p w:rsidR="00A46452" w:rsidRDefault="009A3928">
      <w:pPr>
        <w:wordWrap w:val="0"/>
        <w:topLinePunct/>
        <w:ind w:firstLine="480"/>
        <w:rPr>
          <w:rFonts w:cs="Times New Roman"/>
          <w:snapToGrid w:val="0"/>
        </w:rPr>
      </w:pPr>
      <w:r>
        <w:rPr>
          <w:rFonts w:cs="Times New Roman"/>
          <w:snapToGrid w:val="0"/>
          <w:lang w:val="zh-CN"/>
        </w:rPr>
        <w:t>（</w:t>
      </w:r>
      <w:r>
        <w:rPr>
          <w:rFonts w:cs="Times New Roman"/>
          <w:snapToGrid w:val="0"/>
        </w:rPr>
        <w:t>3</w:t>
      </w:r>
      <w:r>
        <w:rPr>
          <w:rFonts w:cs="Times New Roman"/>
          <w:snapToGrid w:val="0"/>
          <w:lang w:val="zh-CN"/>
        </w:rPr>
        <w:t>）</w:t>
      </w:r>
      <w:r>
        <w:rPr>
          <w:rFonts w:cs="Times New Roman"/>
          <w:snapToGrid w:val="0"/>
        </w:rPr>
        <w:t>对鱼类的影响</w:t>
      </w:r>
    </w:p>
    <w:p w:rsidR="00A46452" w:rsidRDefault="009A3928">
      <w:pPr>
        <w:wordWrap w:val="0"/>
        <w:topLinePunct/>
        <w:ind w:firstLine="480"/>
        <w:rPr>
          <w:rFonts w:cs="Times New Roman"/>
          <w:snapToGrid w:val="0"/>
          <w:lang w:val="zh-CN"/>
        </w:rPr>
      </w:pPr>
      <w:r>
        <w:rPr>
          <w:rFonts w:cs="Times New Roman"/>
          <w:snapToGrid w:val="0"/>
        </w:rPr>
        <w:t>1</w:t>
      </w:r>
      <w:r>
        <w:rPr>
          <w:rFonts w:cs="Times New Roman"/>
          <w:snapToGrid w:val="0"/>
        </w:rPr>
        <w:t>）</w:t>
      </w:r>
      <w:r>
        <w:rPr>
          <w:rFonts w:cs="Times New Roman"/>
          <w:snapToGrid w:val="0"/>
          <w:lang w:val="zh-CN"/>
        </w:rPr>
        <w:t>悬浮物对鱼类影响</w:t>
      </w:r>
    </w:p>
    <w:p w:rsidR="00A46452" w:rsidRDefault="009A3928">
      <w:pPr>
        <w:wordWrap w:val="0"/>
        <w:topLinePunct/>
        <w:ind w:firstLine="480"/>
        <w:rPr>
          <w:rFonts w:cs="Times New Roman"/>
          <w:snapToGrid w:val="0"/>
          <w:lang w:val="zh-CN"/>
        </w:rPr>
      </w:pPr>
      <w:r>
        <w:rPr>
          <w:rFonts w:cs="Times New Roman"/>
          <w:snapToGrid w:val="0"/>
          <w:lang w:val="zh-CN"/>
        </w:rPr>
        <w:t>涉水桥墩采用钢围堰方式施工，钢围堰沉底和抽水过程会扰动底泥，产生的悬浮泥沙会对鱼卵、仔稚鱼和幼体会造成伤害，主要表现为影响胚胎发育、堵塞生物的鳃部造成窒息死亡，悬浮物沉积造成水体缺氧而导致鱼类死亡等。通常认为，成年鱼类的活动能力较强，在悬浮泥沙浓度超过</w:t>
      </w:r>
      <w:r>
        <w:rPr>
          <w:rFonts w:cs="Times New Roman"/>
          <w:snapToGrid w:val="0"/>
          <w:lang w:val="zh-CN"/>
        </w:rPr>
        <w:t>10mg/L</w:t>
      </w:r>
      <w:r>
        <w:rPr>
          <w:rFonts w:cs="Times New Roman"/>
          <w:snapToGrid w:val="0"/>
          <w:lang w:val="zh-CN"/>
        </w:rPr>
        <w:t>的范围内成鱼可以回避，施工作业对其影响更多表现为</w:t>
      </w:r>
      <w:r>
        <w:rPr>
          <w:rFonts w:cs="Times New Roman"/>
          <w:snapToGrid w:val="0"/>
          <w:lang w:val="zh-CN"/>
        </w:rPr>
        <w:t>“</w:t>
      </w:r>
      <w:r>
        <w:rPr>
          <w:rFonts w:cs="Times New Roman"/>
          <w:snapToGrid w:val="0"/>
          <w:lang w:val="zh-CN"/>
        </w:rPr>
        <w:t>驱散效应</w:t>
      </w:r>
      <w:r>
        <w:rPr>
          <w:rFonts w:cs="Times New Roman"/>
          <w:snapToGrid w:val="0"/>
          <w:lang w:val="zh-CN"/>
        </w:rPr>
        <w:t>”</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桥梁涉水施工作业时间基本可控制在</w:t>
      </w:r>
      <w:r>
        <w:rPr>
          <w:rFonts w:cs="Times New Roman"/>
          <w:snapToGrid w:val="0"/>
          <w:lang w:val="zh-CN"/>
        </w:rPr>
        <w:t>6</w:t>
      </w:r>
      <w:r>
        <w:rPr>
          <w:rFonts w:cs="Times New Roman"/>
          <w:snapToGrid w:val="0"/>
          <w:lang w:val="zh-CN"/>
        </w:rPr>
        <w:t>个月以内，对水体造成扰动的时间主要集中在大临设施施工和钢围堰施工阶段，其余水下施工作业均位于钢护筒和围堰之内，基本不会对外界水体造成扰动，也不会排放污</w:t>
      </w:r>
      <w:r>
        <w:rPr>
          <w:rFonts w:cs="Times New Roman"/>
          <w:snapToGrid w:val="0"/>
          <w:lang w:val="zh-CN"/>
        </w:rPr>
        <w:t>染物，故桥梁施工涉水影响时间有限；同时</w:t>
      </w:r>
      <w:r>
        <w:rPr>
          <w:rFonts w:cs="Times New Roman"/>
          <w:snapToGrid w:val="0"/>
        </w:rPr>
        <w:t>项目区评价范围内</w:t>
      </w:r>
      <w:r>
        <w:rPr>
          <w:rFonts w:cs="Times New Roman"/>
          <w:snapToGrid w:val="0"/>
        </w:rPr>
        <w:t>鱼类分布较少，</w:t>
      </w:r>
      <w:r>
        <w:rPr>
          <w:rFonts w:cs="Times New Roman"/>
          <w:snapToGrid w:val="0"/>
          <w:lang w:val="zh-CN"/>
        </w:rPr>
        <w:t>因此，施工阶段不会对作业河段的鱼类带来较大的影响。</w:t>
      </w:r>
    </w:p>
    <w:p w:rsidR="00A46452" w:rsidRDefault="009A3928">
      <w:pPr>
        <w:wordWrap w:val="0"/>
        <w:topLinePunct/>
        <w:ind w:firstLine="480"/>
        <w:rPr>
          <w:rFonts w:cs="Times New Roman"/>
          <w:snapToGrid w:val="0"/>
          <w:lang w:val="zh-CN"/>
        </w:rPr>
      </w:pPr>
      <w:r>
        <w:rPr>
          <w:rFonts w:cs="Times New Roman"/>
          <w:snapToGrid w:val="0"/>
          <w:lang w:val="zh-CN"/>
        </w:rPr>
        <w:t>2</w:t>
      </w:r>
      <w:r>
        <w:rPr>
          <w:rFonts w:cs="Times New Roman"/>
          <w:snapToGrid w:val="0"/>
          <w:lang w:val="zh-CN"/>
        </w:rPr>
        <w:t>）施工噪声对鱼类影响</w:t>
      </w:r>
    </w:p>
    <w:p w:rsidR="00A46452" w:rsidRDefault="009A3928">
      <w:pPr>
        <w:wordWrap w:val="0"/>
        <w:topLinePunct/>
        <w:ind w:firstLine="480"/>
        <w:rPr>
          <w:rFonts w:cs="Times New Roman"/>
          <w:snapToGrid w:val="0"/>
          <w:lang w:val="zh-CN"/>
        </w:rPr>
      </w:pPr>
      <w:r>
        <w:rPr>
          <w:rFonts w:cs="Times New Roman"/>
          <w:snapToGrid w:val="0"/>
          <w:lang w:val="zh-CN"/>
        </w:rPr>
        <w:t>桥梁施工期噪声主要来自施工开挖、钻孔、砂石料粉碎、混凝土浇筑等施工活动中的施工机械运行、车辆运输和机械加工修配等。施工作业机械种类较多，路基填筑有推土机、压路机、装载机、平地机等；施工时有铲运机、平地机、推土机等噪声较大的机械联合作业时，叠加影响更加突出。</w:t>
      </w:r>
    </w:p>
    <w:p w:rsidR="00A46452" w:rsidRDefault="009A3928">
      <w:pPr>
        <w:wordWrap w:val="0"/>
        <w:topLinePunct/>
        <w:ind w:firstLine="480"/>
        <w:rPr>
          <w:rFonts w:cs="Times New Roman"/>
          <w:snapToGrid w:val="0"/>
          <w:lang w:val="zh-CN"/>
        </w:rPr>
      </w:pPr>
      <w:r>
        <w:rPr>
          <w:rFonts w:cs="Times New Roman"/>
          <w:snapToGrid w:val="0"/>
          <w:lang w:val="zh-CN"/>
        </w:rPr>
        <w:t>施工噪声会对施工区鱼类产生惊吓，但不会对鱼类造成直接、明显的伤害或死亡。</w:t>
      </w:r>
      <w:r>
        <w:rPr>
          <w:rFonts w:cs="Times New Roman"/>
          <w:snapToGrid w:val="0"/>
        </w:rPr>
        <w:t>加之项目鱼类分较少，</w:t>
      </w:r>
      <w:r>
        <w:rPr>
          <w:rFonts w:cs="Times New Roman"/>
          <w:snapToGrid w:val="0"/>
          <w:lang w:val="zh-CN"/>
        </w:rPr>
        <w:t>施工结束后其影响即消失。</w:t>
      </w:r>
    </w:p>
    <w:p w:rsidR="00A46452" w:rsidRDefault="009A3928">
      <w:pPr>
        <w:wordWrap w:val="0"/>
        <w:topLinePunct/>
        <w:ind w:firstLine="480"/>
        <w:rPr>
          <w:rFonts w:cs="Times New Roman"/>
          <w:snapToGrid w:val="0"/>
          <w:lang w:val="zh-CN"/>
        </w:rPr>
      </w:pPr>
      <w:r>
        <w:rPr>
          <w:rFonts w:cs="Times New Roman"/>
          <w:snapToGrid w:val="0"/>
          <w:lang w:val="zh-CN"/>
        </w:rPr>
        <w:t>3</w:t>
      </w:r>
      <w:r>
        <w:rPr>
          <w:rFonts w:cs="Times New Roman"/>
          <w:snapToGrid w:val="0"/>
          <w:lang w:val="zh-CN"/>
        </w:rPr>
        <w:t>）施工对鱼类重要生境的影响</w:t>
      </w:r>
    </w:p>
    <w:p w:rsidR="00A46452" w:rsidRDefault="009A3928">
      <w:pPr>
        <w:wordWrap w:val="0"/>
        <w:topLinePunct/>
        <w:ind w:firstLine="480"/>
        <w:rPr>
          <w:rFonts w:cs="Times New Roman"/>
          <w:snapToGrid w:val="0"/>
          <w:lang w:val="zh-CN"/>
        </w:rPr>
      </w:pPr>
      <w:r>
        <w:rPr>
          <w:rFonts w:cs="Times New Roman"/>
          <w:snapToGrid w:val="0"/>
          <w:lang w:val="zh-CN"/>
        </w:rPr>
        <w:t>根据现场调查，评价范围内的河段未发现成规模的鱼类产卵场、索饵场、越冬场和鱼类洄游通道。施工对鱼类重要生境无影响。</w:t>
      </w:r>
    </w:p>
    <w:p w:rsidR="00A46452" w:rsidRDefault="009A3928">
      <w:pPr>
        <w:wordWrap w:val="0"/>
        <w:topLinePunct/>
        <w:ind w:firstLine="480"/>
        <w:rPr>
          <w:rFonts w:cs="Times New Roman"/>
          <w:snapToGrid w:val="0"/>
          <w:lang w:val="zh-CN"/>
        </w:rPr>
      </w:pPr>
      <w:r>
        <w:rPr>
          <w:rFonts w:cs="Times New Roman"/>
          <w:snapToGrid w:val="0"/>
          <w:lang w:val="zh-CN"/>
        </w:rPr>
        <w:t>4</w:t>
      </w:r>
      <w:r>
        <w:rPr>
          <w:rFonts w:cs="Times New Roman"/>
          <w:snapToGrid w:val="0"/>
          <w:lang w:val="zh-CN"/>
        </w:rPr>
        <w:t>）其他影响</w:t>
      </w:r>
    </w:p>
    <w:p w:rsidR="00A46452" w:rsidRDefault="009A3928">
      <w:pPr>
        <w:wordWrap w:val="0"/>
        <w:topLinePunct/>
        <w:ind w:firstLine="480"/>
        <w:rPr>
          <w:rFonts w:cs="Times New Roman"/>
          <w:snapToGrid w:val="0"/>
          <w:lang w:val="zh-CN"/>
        </w:rPr>
      </w:pPr>
      <w:r>
        <w:rPr>
          <w:rFonts w:cs="Times New Roman"/>
          <w:snapToGrid w:val="0"/>
          <w:lang w:val="zh-CN"/>
        </w:rPr>
        <w:t>拟建工程施工材料、弃渣等不当堆放以及生活废渣废水不经处理进入水体中，将会对其中鱼类的生存环境造成破坏。施工期间废水主要来自生产和生活，包括混凝土拌和废水、施工机械冲洗含油废水、生活污水等，污染物以</w:t>
      </w:r>
      <w:r>
        <w:rPr>
          <w:rFonts w:cs="Times New Roman"/>
          <w:snapToGrid w:val="0"/>
          <w:lang w:val="zh-CN"/>
        </w:rPr>
        <w:t>SS</w:t>
      </w:r>
      <w:r>
        <w:rPr>
          <w:rFonts w:cs="Times New Roman"/>
          <w:snapToGrid w:val="0"/>
          <w:lang w:val="zh-CN"/>
        </w:rPr>
        <w:t>（悬浮物）为主，废水量以</w:t>
      </w:r>
      <w:r>
        <w:rPr>
          <w:rFonts w:cs="Times New Roman"/>
          <w:snapToGrid w:val="0"/>
        </w:rPr>
        <w:t>混凝土拌合</w:t>
      </w:r>
      <w:r>
        <w:rPr>
          <w:rFonts w:cs="Times New Roman"/>
          <w:snapToGrid w:val="0"/>
          <w:lang w:val="zh-CN"/>
        </w:rPr>
        <w:t>和</w:t>
      </w:r>
      <w:r>
        <w:rPr>
          <w:rFonts w:cs="Times New Roman"/>
          <w:snapToGrid w:val="0"/>
        </w:rPr>
        <w:t>废水及</w:t>
      </w:r>
      <w:r>
        <w:rPr>
          <w:rFonts w:cs="Times New Roman"/>
          <w:snapToGrid w:val="0"/>
          <w:lang w:val="zh-CN"/>
        </w:rPr>
        <w:t>生活污水居多，水质污染对鱼类有一定不利影响，但这种影响将随着工程结束而逐渐减弱直至消失</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同时，施工期施工人员可能存在的炸鱼、电鱼等非法活动，因此必须加强管理，避免施工人员对鱼类的滥捕现象，避免使鱼类资源受到人为影响。</w:t>
      </w:r>
    </w:p>
    <w:p w:rsidR="00A46452" w:rsidRDefault="009A3928" w:rsidP="00182EED">
      <w:pPr>
        <w:wordWrap w:val="0"/>
        <w:topLinePunct/>
        <w:adjustRightInd w:val="0"/>
        <w:spacing w:beforeLines="50" w:before="165" w:afterLines="50" w:after="165"/>
        <w:ind w:firstLineChars="0" w:firstLine="0"/>
        <w:textAlignment w:val="baseline"/>
        <w:outlineLvl w:val="3"/>
        <w:rPr>
          <w:rFonts w:cs="Times New Roman"/>
          <w:b/>
          <w:i/>
          <w:kern w:val="28"/>
        </w:rPr>
      </w:pPr>
      <w:r>
        <w:rPr>
          <w:rFonts w:cs="Times New Roman"/>
          <w:b/>
          <w:i/>
          <w:kern w:val="28"/>
        </w:rPr>
        <w:t>7</w:t>
      </w:r>
      <w:r>
        <w:rPr>
          <w:rFonts w:cs="Times New Roman"/>
          <w:b/>
          <w:i/>
          <w:kern w:val="28"/>
        </w:rPr>
        <w:t>.1.</w:t>
      </w:r>
      <w:r>
        <w:rPr>
          <w:rFonts w:cs="Times New Roman"/>
          <w:b/>
          <w:i/>
          <w:kern w:val="28"/>
        </w:rPr>
        <w:t>4</w:t>
      </w:r>
      <w:r>
        <w:rPr>
          <w:rFonts w:cs="Times New Roman"/>
          <w:b/>
          <w:i/>
          <w:kern w:val="28"/>
        </w:rPr>
        <w:t>.2</w:t>
      </w:r>
      <w:r>
        <w:rPr>
          <w:rFonts w:cs="Times New Roman"/>
          <w:b/>
          <w:i/>
          <w:kern w:val="28"/>
        </w:rPr>
        <w:t>运营期对鱼类的影响分析</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）对浮游生物影响</w:t>
      </w:r>
    </w:p>
    <w:p w:rsidR="00A46452" w:rsidRDefault="009A3928">
      <w:pPr>
        <w:wordWrap w:val="0"/>
        <w:topLinePunct/>
        <w:ind w:firstLine="480"/>
        <w:rPr>
          <w:rFonts w:cs="Times New Roman"/>
          <w:snapToGrid w:val="0"/>
          <w:lang w:val="zh-CN"/>
        </w:rPr>
      </w:pPr>
      <w:r>
        <w:rPr>
          <w:rFonts w:cs="Times New Roman"/>
          <w:snapToGrid w:val="0"/>
          <w:lang w:val="zh-CN"/>
        </w:rPr>
        <w:t>工程运营期对浮游生物的影响主要为桥梁面遮光，影响桥梁底部水域浮游植物光合作用，进而对浮游生物增殖产生一定的影响；但由于桥梁投影面积较小，</w:t>
      </w:r>
      <w:r>
        <w:rPr>
          <w:rFonts w:cs="Times New Roman"/>
          <w:snapToGrid w:val="0"/>
        </w:rPr>
        <w:t>项目区浮游生物较少，</w:t>
      </w:r>
      <w:r>
        <w:rPr>
          <w:rFonts w:cs="Times New Roman"/>
          <w:snapToGrid w:val="0"/>
          <w:lang w:val="zh-CN"/>
        </w:rPr>
        <w:t>工程运营期对浮游生物影响总体较小。</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）对底栖动物影响</w:t>
      </w:r>
    </w:p>
    <w:p w:rsidR="00A46452" w:rsidRDefault="009A3928">
      <w:pPr>
        <w:wordWrap w:val="0"/>
        <w:topLinePunct/>
        <w:ind w:firstLine="480"/>
        <w:rPr>
          <w:rFonts w:cs="Times New Roman"/>
          <w:snapToGrid w:val="0"/>
          <w:lang w:val="zh-CN"/>
        </w:rPr>
      </w:pPr>
      <w:r>
        <w:rPr>
          <w:rFonts w:cs="Times New Roman"/>
          <w:snapToGrid w:val="0"/>
          <w:lang w:val="zh-CN"/>
        </w:rPr>
        <w:t>工程运营期对底栖动物的影响主要为涉水桥墩永久占用底栖动物生存空间，对底栖动物分布造成一定挤压，</w:t>
      </w:r>
      <w:r>
        <w:rPr>
          <w:rFonts w:cs="Times New Roman"/>
          <w:snapToGrid w:val="0"/>
        </w:rPr>
        <w:t>项目区</w:t>
      </w:r>
      <w:r>
        <w:rPr>
          <w:rFonts w:cs="Times New Roman"/>
          <w:snapToGrid w:val="0"/>
          <w:lang w:val="zh-CN"/>
        </w:rPr>
        <w:t>底栖</w:t>
      </w:r>
      <w:r>
        <w:rPr>
          <w:rFonts w:cs="Times New Roman"/>
          <w:snapToGrid w:val="0"/>
          <w:lang w:val="zh-CN"/>
        </w:rPr>
        <w:t>动物</w:t>
      </w:r>
      <w:r>
        <w:rPr>
          <w:rFonts w:cs="Times New Roman"/>
          <w:snapToGrid w:val="0"/>
        </w:rPr>
        <w:t>较少，</w:t>
      </w:r>
      <w:r>
        <w:rPr>
          <w:rFonts w:cs="Times New Roman"/>
          <w:snapToGrid w:val="0"/>
          <w:lang w:val="zh-CN"/>
        </w:rPr>
        <w:t>工程运营期对底栖动物影响总体较小。</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）对鱼类影响</w:t>
      </w:r>
    </w:p>
    <w:p w:rsidR="00A46452" w:rsidRDefault="009A3928">
      <w:pPr>
        <w:wordWrap w:val="0"/>
        <w:topLinePunct/>
        <w:ind w:firstLine="480"/>
        <w:rPr>
          <w:rFonts w:cs="Times New Roman"/>
          <w:snapToGrid w:val="0"/>
          <w:lang w:val="zh-CN"/>
        </w:rPr>
      </w:pPr>
      <w:r>
        <w:rPr>
          <w:rFonts w:cs="Times New Roman"/>
          <w:snapToGrid w:val="0"/>
          <w:szCs w:val="24"/>
        </w:rPr>
        <w:t>本项目跨越</w:t>
      </w:r>
      <w:r>
        <w:rPr>
          <w:rFonts w:cs="Times New Roman"/>
          <w:snapToGrid w:val="0"/>
          <w:szCs w:val="24"/>
        </w:rPr>
        <w:t>水体</w:t>
      </w:r>
      <w:r>
        <w:rPr>
          <w:rFonts w:cs="Times New Roman"/>
          <w:snapToGrid w:val="0"/>
          <w:szCs w:val="24"/>
        </w:rPr>
        <w:t>均以桥梁方式跨越，桥墩间距足以使鱼类正常通过大桥，不会有阻隔作用</w:t>
      </w:r>
      <w:r>
        <w:rPr>
          <w:rFonts w:cs="Times New Roman"/>
          <w:snapToGrid w:val="0"/>
          <w:szCs w:val="24"/>
        </w:rPr>
        <w:t>影响</w:t>
      </w:r>
      <w:r>
        <w:rPr>
          <w:rFonts w:cs="Times New Roman"/>
          <w:snapToGrid w:val="0"/>
          <w:szCs w:val="24"/>
        </w:rPr>
        <w:t>鱼类的正常通过。桥墩后面的涡流会对鱼类的正常游动有一定影响。</w:t>
      </w:r>
    </w:p>
    <w:p w:rsidR="00A46452" w:rsidRDefault="009A3928">
      <w:pPr>
        <w:wordWrap w:val="0"/>
        <w:topLinePunct/>
        <w:ind w:firstLine="480"/>
        <w:rPr>
          <w:rFonts w:cs="Times New Roman"/>
          <w:snapToGrid w:val="0"/>
          <w:lang w:val="zh-CN"/>
        </w:rPr>
      </w:pPr>
      <w:r>
        <w:rPr>
          <w:rFonts w:cs="Times New Roman"/>
          <w:snapToGrid w:val="0"/>
          <w:lang w:val="zh-CN"/>
        </w:rPr>
        <w:t>工程运营期对鱼类影响主要为</w:t>
      </w:r>
      <w:r>
        <w:rPr>
          <w:rFonts w:cs="Times New Roman"/>
          <w:snapToGrid w:val="0"/>
        </w:rPr>
        <w:t>汽车</w:t>
      </w:r>
      <w:r>
        <w:rPr>
          <w:rFonts w:cs="Times New Roman"/>
          <w:snapToGrid w:val="0"/>
          <w:lang w:val="zh-CN"/>
        </w:rPr>
        <w:t>行驶产生的噪声及夜间照明灯光等产生的驱散效应。由于</w:t>
      </w:r>
      <w:r>
        <w:rPr>
          <w:rFonts w:cs="Times New Roman"/>
          <w:snapToGrid w:val="0"/>
          <w:lang w:val="zh-CN"/>
        </w:rPr>
        <w:t>公路</w:t>
      </w:r>
      <w:r>
        <w:rPr>
          <w:rFonts w:cs="Times New Roman"/>
          <w:snapToGrid w:val="0"/>
          <w:lang w:val="zh-CN"/>
        </w:rPr>
        <w:t>噪声属于流动污染源，线长面广，具有间歇性，且运行的</w:t>
      </w:r>
      <w:r>
        <w:rPr>
          <w:rFonts w:cs="Times New Roman"/>
          <w:snapToGrid w:val="0"/>
        </w:rPr>
        <w:t>汽车</w:t>
      </w:r>
      <w:r>
        <w:rPr>
          <w:rFonts w:cs="Times New Roman"/>
          <w:snapToGrid w:val="0"/>
          <w:lang w:val="zh-CN"/>
        </w:rPr>
        <w:t>速度较快，噪声短暂持续时间短。鱼类会对长期无害化的噪声产生一定适应。因此运行一段时间后，区域内鱼类对</w:t>
      </w:r>
      <w:r>
        <w:rPr>
          <w:rFonts w:cs="Times New Roman"/>
          <w:snapToGrid w:val="0"/>
        </w:rPr>
        <w:t>汽车</w:t>
      </w:r>
      <w:r>
        <w:rPr>
          <w:rFonts w:cs="Times New Roman"/>
          <w:snapToGrid w:val="0"/>
          <w:lang w:val="zh-CN"/>
        </w:rPr>
        <w:t>产生的噪声将会逐渐适应，运行噪声对区域内鱼类影响有限。</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7.1.5</w:t>
      </w:r>
      <w:r>
        <w:rPr>
          <w:rFonts w:cs="Times New Roman" w:hint="default"/>
          <w:sz w:val="28"/>
          <w:szCs w:val="28"/>
        </w:rPr>
        <w:t>重点工程生态环境影响分析</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7.1.5.1</w:t>
      </w:r>
      <w:r>
        <w:rPr>
          <w:rFonts w:cs="Times New Roman" w:hint="default"/>
          <w:iCs/>
        </w:rPr>
        <w:t>路基工程生态环境影响分析</w:t>
      </w:r>
    </w:p>
    <w:p w:rsidR="00A46452" w:rsidRDefault="009A3928">
      <w:pPr>
        <w:wordWrap w:val="0"/>
        <w:topLinePunct/>
        <w:ind w:firstLine="480"/>
        <w:rPr>
          <w:rFonts w:cs="Times New Roman"/>
          <w:snapToGrid w:val="0"/>
          <w:lang w:val="zh-CN"/>
        </w:rPr>
      </w:pPr>
      <w:r>
        <w:rPr>
          <w:rFonts w:cs="Times New Roman"/>
          <w:snapToGrid w:val="0"/>
          <w:lang w:val="zh-CN"/>
        </w:rPr>
        <w:t>路基工程影响分析如下：</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）占地、破坏植被及水土流失影响</w:t>
      </w:r>
    </w:p>
    <w:p w:rsidR="00A46452" w:rsidRDefault="009A3928">
      <w:pPr>
        <w:wordWrap w:val="0"/>
        <w:topLinePunct/>
        <w:ind w:firstLine="480"/>
        <w:rPr>
          <w:rFonts w:cs="Times New Roman"/>
          <w:snapToGrid w:val="0"/>
          <w:lang w:val="zh-CN"/>
        </w:rPr>
      </w:pPr>
      <w:r>
        <w:rPr>
          <w:rFonts w:cs="Times New Roman"/>
          <w:snapToGrid w:val="0"/>
          <w:lang w:val="zh-CN"/>
        </w:rPr>
        <w:t>路基修建将会占用土地资源，在修建过程中扰动地表，破坏地表植被，产生新的水土流失。</w:t>
      </w:r>
    </w:p>
    <w:p w:rsidR="00A46452" w:rsidRDefault="009A3928">
      <w:pPr>
        <w:wordWrap w:val="0"/>
        <w:topLinePunct/>
        <w:ind w:firstLine="480"/>
        <w:rPr>
          <w:rFonts w:cs="Times New Roman"/>
          <w:snapToGrid w:val="0"/>
          <w:lang w:val="zh-CN"/>
        </w:rPr>
      </w:pPr>
      <w:r>
        <w:rPr>
          <w:rFonts w:cs="Times New Roman"/>
          <w:snapToGrid w:val="0"/>
          <w:szCs w:val="24"/>
          <w:lang w:val="zh-CN"/>
        </w:rPr>
        <w:t>（</w:t>
      </w:r>
      <w:r>
        <w:rPr>
          <w:rFonts w:cs="Times New Roman"/>
          <w:snapToGrid w:val="0"/>
          <w:szCs w:val="24"/>
        </w:rPr>
        <w:t>2</w:t>
      </w:r>
      <w:r>
        <w:rPr>
          <w:rFonts w:cs="Times New Roman"/>
          <w:snapToGrid w:val="0"/>
          <w:szCs w:val="24"/>
          <w:lang w:val="zh-CN"/>
        </w:rPr>
        <w:t>）</w:t>
      </w:r>
      <w:r>
        <w:rPr>
          <w:rFonts w:cs="Times New Roman"/>
          <w:snapToGrid w:val="0"/>
          <w:lang w:val="zh-CN"/>
        </w:rPr>
        <w:t>对道路、水利设施的影响</w:t>
      </w:r>
    </w:p>
    <w:p w:rsidR="00A46452" w:rsidRDefault="009A3928" w:rsidP="00182EED">
      <w:pPr>
        <w:wordWrap w:val="0"/>
        <w:topLinePunct/>
        <w:ind w:leftChars="200" w:left="480" w:firstLineChars="0" w:firstLine="0"/>
        <w:rPr>
          <w:rFonts w:cs="Times New Roman"/>
          <w:snapToGrid w:val="0"/>
          <w:lang w:val="zh-CN"/>
        </w:rPr>
      </w:pPr>
      <w:r>
        <w:rPr>
          <w:rFonts w:cs="Times New Roman"/>
          <w:snapToGrid w:val="0"/>
          <w:lang w:val="zh-CN"/>
        </w:rPr>
        <w:t>路基修建会导致部分既有道路被阻拦，部分灌溉沟渠等水利设施受影响。</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）对景观的影响</w:t>
      </w:r>
    </w:p>
    <w:p w:rsidR="00A46452" w:rsidRDefault="009A3928">
      <w:pPr>
        <w:wordWrap w:val="0"/>
        <w:topLinePunct/>
        <w:ind w:firstLine="480"/>
        <w:rPr>
          <w:rFonts w:cs="Times New Roman"/>
          <w:snapToGrid w:val="0"/>
          <w:lang w:val="zh-CN"/>
        </w:rPr>
      </w:pPr>
      <w:r>
        <w:rPr>
          <w:rFonts w:cs="Times New Roman"/>
          <w:snapToGrid w:val="0"/>
          <w:lang w:val="zh-CN"/>
        </w:rPr>
        <w:t>工程路基修建将在地表形成一道条状的人工构筑物，扰乱所经区域的景观构成，对邻近</w:t>
      </w:r>
      <w:r>
        <w:rPr>
          <w:rFonts w:cs="Times New Roman"/>
          <w:snapToGrid w:val="0"/>
          <w:lang w:val="zh-CN"/>
        </w:rPr>
        <w:t>公路</w:t>
      </w:r>
      <w:r>
        <w:rPr>
          <w:rFonts w:cs="Times New Roman"/>
          <w:snapToGrid w:val="0"/>
          <w:lang w:val="zh-CN"/>
        </w:rPr>
        <w:t>的居民而言，尤为明显。</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7.1.5.2</w:t>
      </w:r>
      <w:r>
        <w:rPr>
          <w:rFonts w:cs="Times New Roman" w:hint="default"/>
          <w:iCs/>
        </w:rPr>
        <w:t>桥梁工程环境影响分析</w:t>
      </w:r>
    </w:p>
    <w:p w:rsidR="00A46452" w:rsidRDefault="009A3928">
      <w:pPr>
        <w:wordWrap w:val="0"/>
        <w:topLinePunct/>
        <w:ind w:firstLine="480"/>
        <w:rPr>
          <w:rFonts w:cs="Times New Roman"/>
          <w:snapToGrid w:val="0"/>
          <w:lang w:val="zh-CN"/>
        </w:rPr>
      </w:pPr>
      <w:r>
        <w:rPr>
          <w:rFonts w:cs="Times New Roman"/>
          <w:snapToGrid w:val="0"/>
          <w:lang w:val="zh-CN"/>
        </w:rPr>
        <w:t>工程新建桥梁工程影响分析如下：</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）占地、破坏植被及水土流失影响</w:t>
      </w:r>
    </w:p>
    <w:p w:rsidR="00A46452" w:rsidRDefault="009A3928">
      <w:pPr>
        <w:wordWrap w:val="0"/>
        <w:topLinePunct/>
        <w:ind w:firstLine="480"/>
        <w:rPr>
          <w:rFonts w:cs="Times New Roman"/>
          <w:snapToGrid w:val="0"/>
          <w:lang w:val="zh-CN"/>
        </w:rPr>
      </w:pPr>
      <w:r>
        <w:rPr>
          <w:rFonts w:cs="Times New Roman"/>
          <w:snapToGrid w:val="0"/>
          <w:lang w:val="zh-CN"/>
        </w:rPr>
        <w:t>桥墩修建将会占用土地资源，在修建过程中扰动地表，破坏地表植被，产生新的水土流失。</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）对水文情势及行洪的影响</w:t>
      </w:r>
    </w:p>
    <w:p w:rsidR="00A46452" w:rsidRDefault="009A3928">
      <w:pPr>
        <w:wordWrap w:val="0"/>
        <w:topLinePunct/>
        <w:ind w:firstLine="480"/>
        <w:rPr>
          <w:rFonts w:cs="Times New Roman"/>
          <w:snapToGrid w:val="0"/>
          <w:lang w:val="zh-CN"/>
        </w:rPr>
      </w:pPr>
      <w:r>
        <w:rPr>
          <w:rFonts w:cs="Times New Roman"/>
          <w:snapToGrid w:val="0"/>
          <w:lang w:val="zh-CN"/>
        </w:rPr>
        <w:t>工程修建过程中可能对</w:t>
      </w:r>
      <w:r>
        <w:rPr>
          <w:rFonts w:cs="Times New Roman"/>
          <w:snapToGrid w:val="0"/>
        </w:rPr>
        <w:t>喀什噶尔河、突来买提河、柯坪河、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加依洛萨依河</w:t>
      </w:r>
      <w:r>
        <w:rPr>
          <w:rFonts w:cs="Times New Roman"/>
          <w:snapToGrid w:val="0"/>
          <w:lang w:val="zh-CN"/>
        </w:rPr>
        <w:t>水文情势和行洪产生不利影响。</w:t>
      </w:r>
      <w:r>
        <w:rPr>
          <w:rFonts w:cs="Times New Roman"/>
          <w:snapToGrid w:val="0"/>
        </w:rPr>
        <w:t>河流为典型的季节性河流，结合</w:t>
      </w:r>
      <w:r>
        <w:rPr>
          <w:rFonts w:cs="Times New Roman"/>
          <w:snapToGrid w:val="0"/>
          <w:lang w:val="zh-CN"/>
        </w:rPr>
        <w:t>根据</w:t>
      </w:r>
      <w:r>
        <w:rPr>
          <w:rFonts w:cs="Times New Roman"/>
          <w:snapToGrid w:val="0"/>
        </w:rPr>
        <w:t>历史资料</w:t>
      </w:r>
      <w:r>
        <w:rPr>
          <w:rFonts w:cs="Times New Roman"/>
          <w:snapToGrid w:val="0"/>
          <w:lang w:val="zh-CN"/>
        </w:rPr>
        <w:t>，工程跨河桥梁</w:t>
      </w:r>
      <w:r>
        <w:rPr>
          <w:rFonts w:cs="Times New Roman"/>
          <w:snapToGrid w:val="0"/>
        </w:rPr>
        <w:t>基本</w:t>
      </w:r>
      <w:r>
        <w:rPr>
          <w:rFonts w:cs="Times New Roman"/>
          <w:snapToGrid w:val="0"/>
          <w:lang w:val="zh-CN"/>
        </w:rPr>
        <w:t>不影响所跨河流的水文情势和行洪安全。</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）对水生生物的影响</w:t>
      </w:r>
    </w:p>
    <w:p w:rsidR="00A46452" w:rsidRDefault="009A3928">
      <w:pPr>
        <w:wordWrap w:val="0"/>
        <w:topLinePunct/>
        <w:ind w:firstLine="480"/>
        <w:rPr>
          <w:rFonts w:cs="Times New Roman"/>
          <w:snapToGrid w:val="0"/>
          <w:lang w:val="zh-CN"/>
        </w:rPr>
      </w:pPr>
      <w:r>
        <w:rPr>
          <w:rFonts w:cs="Times New Roman"/>
          <w:snapToGrid w:val="0"/>
          <w:lang w:val="zh-CN"/>
        </w:rPr>
        <w:t>跨越河流的桥梁设置水中墩，在河流中修建水中墩会对河流的水生生物产生一定的影响，具体见</w:t>
      </w:r>
      <w:r>
        <w:rPr>
          <w:rFonts w:cs="Times New Roman" w:hint="eastAsia"/>
          <w:snapToGrid w:val="0"/>
        </w:rPr>
        <w:t>7.1.4</w:t>
      </w:r>
      <w:r>
        <w:rPr>
          <w:rFonts w:cs="Times New Roman"/>
          <w:snapToGrid w:val="0"/>
          <w:lang w:val="zh-CN"/>
        </w:rPr>
        <w:t>节。</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）对河流水质的影响</w:t>
      </w:r>
    </w:p>
    <w:p w:rsidR="00A46452" w:rsidRDefault="009A3928">
      <w:pPr>
        <w:wordWrap w:val="0"/>
        <w:topLinePunct/>
        <w:ind w:firstLine="480"/>
        <w:rPr>
          <w:rFonts w:cs="Times New Roman"/>
          <w:snapToGrid w:val="0"/>
          <w:lang w:val="zh-CN"/>
        </w:rPr>
      </w:pPr>
      <w:r>
        <w:rPr>
          <w:rFonts w:cs="Times New Roman"/>
          <w:snapToGrid w:val="0"/>
          <w:lang w:val="zh-CN"/>
        </w:rPr>
        <w:t>对河流水质的主要影响是施工过程中可能会导致弃渣和施工废水进入河流，产生新的水土流失和造成水体浊度增加，对河流水质的影响分析见地表水影响章节。</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7.1.5.3</w:t>
      </w:r>
      <w:r>
        <w:rPr>
          <w:rFonts w:cs="Times New Roman" w:hint="default"/>
          <w:iCs/>
        </w:rPr>
        <w:t>临时工程影响分析</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）施工场地</w:t>
      </w:r>
    </w:p>
    <w:p w:rsidR="00A46452" w:rsidRDefault="009A3928">
      <w:pPr>
        <w:wordWrap w:val="0"/>
        <w:topLinePunct/>
        <w:ind w:firstLine="480"/>
        <w:rPr>
          <w:rFonts w:cs="Times New Roman"/>
          <w:snapToGrid w:val="0"/>
          <w:lang w:val="zh-CN"/>
        </w:rPr>
      </w:pPr>
      <w:r>
        <w:rPr>
          <w:rFonts w:cs="Times New Roman"/>
          <w:snapToGrid w:val="0"/>
          <w:lang w:val="zh-CN"/>
        </w:rPr>
        <w:t>本工程拟设置临时施工场地</w:t>
      </w:r>
      <w:r>
        <w:rPr>
          <w:rFonts w:cs="Times New Roman"/>
          <w:snapToGrid w:val="0"/>
        </w:rPr>
        <w:t>3</w:t>
      </w:r>
      <w:r>
        <w:rPr>
          <w:rFonts w:cs="Times New Roman"/>
          <w:snapToGrid w:val="0"/>
          <w:lang w:val="zh-CN"/>
        </w:rPr>
        <w:t>处，总占地面积</w:t>
      </w:r>
      <w:r>
        <w:rPr>
          <w:rFonts w:cs="Times New Roman"/>
          <w:snapToGrid w:val="0"/>
        </w:rPr>
        <w:t>8.85</w:t>
      </w:r>
      <w:r>
        <w:rPr>
          <w:rFonts w:cs="Times New Roman"/>
          <w:snapToGrid w:val="0"/>
          <w:lang w:val="zh-CN"/>
        </w:rPr>
        <w:t>hm</w:t>
      </w:r>
      <w:r>
        <w:rPr>
          <w:rFonts w:cs="Times New Roman"/>
          <w:snapToGrid w:val="0"/>
          <w:vertAlign w:val="superscript"/>
          <w:lang w:val="zh-CN"/>
        </w:rPr>
        <w:t>2</w:t>
      </w:r>
      <w:r>
        <w:rPr>
          <w:rFonts w:cs="Times New Roman"/>
          <w:snapToGrid w:val="0"/>
          <w:lang w:val="zh-CN"/>
        </w:rPr>
        <w:t>。施工场地主要包括施工</w:t>
      </w:r>
      <w:r>
        <w:rPr>
          <w:rFonts w:cs="Times New Roman"/>
          <w:snapToGrid w:val="0"/>
        </w:rPr>
        <w:t>驻</w:t>
      </w:r>
      <w:r>
        <w:rPr>
          <w:rFonts w:cs="Times New Roman"/>
          <w:snapToGrid w:val="0"/>
          <w:lang w:val="zh-CN"/>
        </w:rPr>
        <w:t>地、水稳拌和站、沥青混凝土拌和站、水泥混凝土拌和站、钢筋加工场、混凝土预制场等。沿线生态敏感区范围内不设置施工场地。</w:t>
      </w:r>
    </w:p>
    <w:p w:rsidR="00A46452" w:rsidRDefault="009A3928">
      <w:pPr>
        <w:wordWrap w:val="0"/>
        <w:topLinePunct/>
        <w:ind w:firstLine="480"/>
        <w:rPr>
          <w:rFonts w:cs="Times New Roman"/>
          <w:snapToGrid w:val="0"/>
          <w:lang w:val="zh-CN"/>
        </w:rPr>
      </w:pPr>
      <w:r>
        <w:rPr>
          <w:rFonts w:cs="Times New Roman"/>
          <w:snapToGrid w:val="0"/>
          <w:lang w:val="zh-CN"/>
        </w:rPr>
        <w:t>根据《公路环境保护设计规范》（</w:t>
      </w:r>
      <w:r>
        <w:rPr>
          <w:rFonts w:cs="Times New Roman"/>
          <w:snapToGrid w:val="0"/>
          <w:lang w:val="zh-CN"/>
        </w:rPr>
        <w:t>JTGB04-2010</w:t>
      </w:r>
      <w:r>
        <w:rPr>
          <w:rFonts w:cs="Times New Roman"/>
          <w:snapToGrid w:val="0"/>
          <w:lang w:val="zh-CN"/>
        </w:rPr>
        <w:t>）中规定，本项目水泥混凝土拌和站周边</w:t>
      </w:r>
      <w:r>
        <w:rPr>
          <w:rFonts w:cs="Times New Roman"/>
          <w:snapToGrid w:val="0"/>
          <w:lang w:val="zh-CN"/>
        </w:rPr>
        <w:t>200m</w:t>
      </w:r>
      <w:r>
        <w:rPr>
          <w:rFonts w:cs="Times New Roman"/>
          <w:snapToGrid w:val="0"/>
          <w:lang w:val="zh-CN"/>
        </w:rPr>
        <w:t>范围内、沥青混凝土拌和站周边</w:t>
      </w:r>
      <w:r>
        <w:rPr>
          <w:rFonts w:cs="Times New Roman"/>
          <w:snapToGrid w:val="0"/>
          <w:lang w:val="zh-CN"/>
        </w:rPr>
        <w:t>3</w:t>
      </w:r>
      <w:r>
        <w:rPr>
          <w:rFonts w:cs="Times New Roman"/>
          <w:snapToGrid w:val="0"/>
          <w:lang w:val="zh-CN"/>
        </w:rPr>
        <w:t>00m</w:t>
      </w:r>
      <w:r>
        <w:rPr>
          <w:rFonts w:cs="Times New Roman"/>
          <w:snapToGrid w:val="0"/>
          <w:lang w:val="zh-CN"/>
        </w:rPr>
        <w:t>范围内无敏感目标。</w:t>
      </w:r>
    </w:p>
    <w:p w:rsidR="00A46452" w:rsidRDefault="009A3928">
      <w:pPr>
        <w:wordWrap w:val="0"/>
        <w:topLinePunct/>
        <w:ind w:firstLine="480"/>
        <w:rPr>
          <w:rFonts w:cs="Times New Roman"/>
          <w:snapToGrid w:val="0"/>
          <w:lang w:val="zh-CN"/>
        </w:rPr>
      </w:pPr>
      <w:r>
        <w:rPr>
          <w:rFonts w:cs="Times New Roman"/>
          <w:snapToGrid w:val="0"/>
          <w:lang w:val="zh-CN"/>
        </w:rPr>
        <w:t>施工期间，场地采取硬化，定期洒水降尘；大临工程应设置调节池、隔油池、沉淀池处理生产废水，处理后的水质满足《城市污水再生利用</w:t>
      </w:r>
      <w:r>
        <w:rPr>
          <w:rFonts w:cs="Times New Roman"/>
          <w:snapToGrid w:val="0"/>
          <w:lang w:val="zh-CN"/>
        </w:rPr>
        <w:t xml:space="preserve"> </w:t>
      </w:r>
      <w:r>
        <w:rPr>
          <w:rFonts w:cs="Times New Roman"/>
          <w:snapToGrid w:val="0"/>
          <w:lang w:val="zh-CN"/>
        </w:rPr>
        <w:t>城市杂用水水质标准》（</w:t>
      </w:r>
      <w:r>
        <w:rPr>
          <w:rFonts w:cs="Times New Roman"/>
          <w:snapToGrid w:val="0"/>
          <w:lang w:val="zh-CN"/>
        </w:rPr>
        <w:t>GB/T18920-2020</w:t>
      </w:r>
      <w:r>
        <w:rPr>
          <w:rFonts w:cs="Times New Roman"/>
          <w:snapToGrid w:val="0"/>
          <w:lang w:val="zh-CN"/>
        </w:rPr>
        <w:t>）相应标准的要求，回用于砂石料的冲洗、场地洒水降尘和绿化等，不向水体排放；施工人员生活污水</w:t>
      </w:r>
      <w:r>
        <w:rPr>
          <w:rFonts w:cs="Times New Roman"/>
        </w:rPr>
        <w:t>采取一体化污水处理设施处理达</w:t>
      </w:r>
      <w:r>
        <w:rPr>
          <w:rFonts w:cs="Times New Roman"/>
        </w:rPr>
        <w:t>标</w:t>
      </w:r>
      <w:r>
        <w:rPr>
          <w:rFonts w:cs="Times New Roman"/>
        </w:rPr>
        <w:t>可用于植被的绿化</w:t>
      </w:r>
      <w:r>
        <w:rPr>
          <w:rFonts w:cs="Times New Roman"/>
          <w:snapToGrid w:val="0"/>
          <w:lang w:val="zh-CN"/>
        </w:rPr>
        <w:t>；固体垃圾由环卫部门定期清运至沿线</w:t>
      </w:r>
      <w:r>
        <w:rPr>
          <w:rFonts w:cs="Times New Roman"/>
          <w:snapToGrid w:val="0"/>
        </w:rPr>
        <w:t>县市</w:t>
      </w:r>
      <w:r>
        <w:rPr>
          <w:rFonts w:cs="Times New Roman"/>
          <w:snapToGrid w:val="0"/>
          <w:lang w:val="zh-CN"/>
        </w:rPr>
        <w:t>生活垃圾处理</w:t>
      </w:r>
      <w:r>
        <w:rPr>
          <w:rFonts w:cs="Times New Roman"/>
          <w:snapToGrid w:val="0"/>
        </w:rPr>
        <w:t>厂</w:t>
      </w:r>
      <w:r>
        <w:rPr>
          <w:rFonts w:cs="Times New Roman"/>
          <w:snapToGrid w:val="0"/>
          <w:lang w:val="zh-CN"/>
        </w:rPr>
        <w:t>，严禁乱丢乱弃。施工场地内存料场搭设钢结构顶棚，三面围挡，设置降尘喷淋等设施，并在临近居民点的施工场界设扬尘在线监测和噪声监测。施工结束后场地进行整理恢复，结合场地实际情况播撒草籽，自然恢复，对植被、对环境影响较小。</w:t>
      </w:r>
    </w:p>
    <w:p w:rsidR="00A46452" w:rsidRDefault="00A46452" w:rsidP="00182EED">
      <w:pPr>
        <w:wordWrap w:val="0"/>
        <w:topLinePunct/>
        <w:spacing w:line="14" w:lineRule="exact"/>
        <w:ind w:firstLine="480"/>
        <w:rPr>
          <w:rFonts w:cs="Times New Roman"/>
        </w:rPr>
      </w:pP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）施工便道</w:t>
      </w:r>
    </w:p>
    <w:p w:rsidR="00A46452" w:rsidRDefault="009A3928">
      <w:pPr>
        <w:wordWrap w:val="0"/>
        <w:topLinePunct/>
        <w:ind w:firstLine="480"/>
        <w:rPr>
          <w:rFonts w:cs="Times New Roman"/>
          <w:snapToGrid w:val="0"/>
          <w:lang w:val="zh-CN"/>
        </w:rPr>
      </w:pPr>
      <w:r>
        <w:rPr>
          <w:rFonts w:cs="Times New Roman"/>
          <w:snapToGrid w:val="0"/>
          <w:lang w:val="zh-CN"/>
        </w:rPr>
        <w:t>施工便道多数为临时性工程，对生态环境的主要影响包括两个方面，一是施工临时占地对于地表植被和地表表层土壤的破坏，进而造成水土流失加剧，使得施工便道建设区域成为水土流失源地之一；二是施工便道使用过程中，工程材料及渣料的运输形成的粉尘、噪声对施工便道两侧区域造成的声环境和空气环境的污染。</w:t>
      </w:r>
    </w:p>
    <w:p w:rsidR="00A46452" w:rsidRDefault="009A3928">
      <w:pPr>
        <w:wordWrap w:val="0"/>
        <w:topLinePunct/>
        <w:ind w:firstLine="480"/>
        <w:rPr>
          <w:rFonts w:cs="Times New Roman"/>
          <w:snapToGrid w:val="0"/>
          <w:lang w:val="zh-CN"/>
        </w:rPr>
      </w:pPr>
      <w:r>
        <w:rPr>
          <w:rFonts w:cs="Times New Roman"/>
        </w:rPr>
        <w:t>施工时施工车辆借助拟建道路通行，</w:t>
      </w:r>
      <w:r>
        <w:rPr>
          <w:rFonts w:cs="Times New Roman"/>
          <w:bCs/>
        </w:rPr>
        <w:t>采用道路用地平整后直接进行路基施工的方式，平整一段施工一段减少临时占地</w:t>
      </w:r>
      <w:r>
        <w:rPr>
          <w:rFonts w:cs="Times New Roman"/>
        </w:rPr>
        <w:t>。因此施工便道对环境影响较小。</w:t>
      </w:r>
    </w:p>
    <w:p w:rsidR="00A46452" w:rsidRDefault="009A3928">
      <w:pPr>
        <w:wordWrap w:val="0"/>
        <w:topLinePunct/>
        <w:ind w:firstLine="480"/>
        <w:rPr>
          <w:rFonts w:cs="Times New Roman"/>
          <w:snapToGrid w:val="0"/>
          <w:lang w:val="zh-CN"/>
        </w:rPr>
      </w:pPr>
      <w:r>
        <w:rPr>
          <w:rFonts w:cs="Times New Roman"/>
          <w:snapToGrid w:val="0"/>
          <w:lang w:val="zh-CN"/>
        </w:rPr>
        <w:t>因此，施工期间及施工便道使用期间必须制定严格的生态环保施工组织方案，沿红线区边界需设立保护区区</w:t>
      </w:r>
      <w:r>
        <w:rPr>
          <w:rFonts w:cs="Times New Roman"/>
          <w:snapToGrid w:val="0"/>
          <w:lang w:val="zh-CN"/>
        </w:rPr>
        <w:t>界标示牌；施工场地及便道边设置垃圾箱用于收集沿线产生的垃圾固废。施工期结束后及时对施工便道完成垃圾的清运和地表的坑凹回填并回覆表土。</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w:t>
      </w:r>
      <w:r>
        <w:rPr>
          <w:rFonts w:cs="Times New Roman"/>
          <w:snapToGrid w:val="0"/>
          <w:lang w:val="zh-CN"/>
        </w:rPr>
        <w:t>料场对生态的影响</w:t>
      </w:r>
    </w:p>
    <w:p w:rsidR="00A46452" w:rsidRDefault="009A3928">
      <w:pPr>
        <w:wordWrap w:val="0"/>
        <w:topLinePunct/>
        <w:ind w:firstLine="480"/>
        <w:rPr>
          <w:rFonts w:cs="Times New Roman"/>
        </w:rPr>
      </w:pPr>
      <w:r>
        <w:rPr>
          <w:rFonts w:cs="Times New Roman"/>
        </w:rPr>
        <w:t>本项目结合选线的</w:t>
      </w:r>
      <w:r>
        <w:rPr>
          <w:rFonts w:cs="Times New Roman"/>
        </w:rPr>
        <w:t>地质</w:t>
      </w:r>
      <w:r>
        <w:rPr>
          <w:rFonts w:cs="Times New Roman"/>
        </w:rPr>
        <w:t>条件，</w:t>
      </w:r>
      <w:r>
        <w:rPr>
          <w:rFonts w:cs="Times New Roman"/>
        </w:rPr>
        <w:t>设计</w:t>
      </w:r>
      <w:r>
        <w:rPr>
          <w:rFonts w:cs="Times New Roman"/>
        </w:rPr>
        <w:t>设置</w:t>
      </w:r>
      <w:r>
        <w:rPr>
          <w:rFonts w:cs="Times New Roman"/>
        </w:rPr>
        <w:t>2</w:t>
      </w:r>
      <w:r>
        <w:rPr>
          <w:rFonts w:cs="Times New Roman"/>
        </w:rPr>
        <w:t>处商业砂砾石料场、</w:t>
      </w:r>
      <w:r>
        <w:rPr>
          <w:rFonts w:cs="Times New Roman"/>
        </w:rPr>
        <w:t>1</w:t>
      </w:r>
      <w:r>
        <w:rPr>
          <w:rFonts w:cs="Times New Roman"/>
        </w:rPr>
        <w:t>处</w:t>
      </w:r>
      <w:r>
        <w:rPr>
          <w:rFonts w:cs="Times New Roman"/>
        </w:rPr>
        <w:t>风积沙取土场，取土场施工对生态环境影响较大的方面为取土场占地和施工过程中对地表植被的破坏，以及取土运输车辆在取土场附近的施工便道上的无序行驶对环境的扰动、取土场地的施工扬尘和施工便道扬尘。施工时要求施工单位严格控制施工作业带范围，施工前设截排水设施，取土结束后对取土场底面、坡面进行了平整，通过以</w:t>
      </w:r>
      <w:r>
        <w:rPr>
          <w:rFonts w:cs="Times New Roman"/>
        </w:rPr>
        <w:t>上措施有效降低了取土场对生态环境的影响。</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w:t>
      </w:r>
      <w:r>
        <w:rPr>
          <w:rFonts w:cs="Times New Roman"/>
          <w:snapToGrid w:val="0"/>
          <w:lang w:val="zh-CN"/>
        </w:rPr>
        <w:t>弃土场对生态的影响</w:t>
      </w:r>
    </w:p>
    <w:p w:rsidR="00A46452" w:rsidRDefault="009A3928">
      <w:pPr>
        <w:wordWrap w:val="0"/>
        <w:topLinePunct/>
        <w:ind w:firstLine="480"/>
        <w:rPr>
          <w:rFonts w:cs="Times New Roman"/>
        </w:rPr>
      </w:pPr>
      <w:r>
        <w:rPr>
          <w:rFonts w:cs="Times New Roman"/>
        </w:rPr>
        <w:t>本项目</w:t>
      </w:r>
      <w:r>
        <w:rPr>
          <w:rFonts w:cs="Times New Roman"/>
        </w:rPr>
        <w:t>原设计</w:t>
      </w:r>
      <w:r>
        <w:rPr>
          <w:rFonts w:cs="Times New Roman"/>
        </w:rPr>
        <w:t>3</w:t>
      </w:r>
      <w:r>
        <w:rPr>
          <w:rFonts w:cs="Times New Roman"/>
        </w:rPr>
        <w:t>处弃土场</w:t>
      </w:r>
      <w:r>
        <w:rPr>
          <w:rFonts w:cs="Times New Roman"/>
        </w:rPr>
        <w:t>，</w:t>
      </w:r>
      <w:r>
        <w:rPr>
          <w:rFonts w:cs="Times New Roman"/>
        </w:rPr>
        <w:t>均远离村庄，不占用自然保护区、农用地、林地等生态敏感区，且不在地质灾害</w:t>
      </w:r>
      <w:r>
        <w:rPr>
          <w:rFonts w:cs="Times New Roman"/>
        </w:rPr>
        <w:t>易</w:t>
      </w:r>
      <w:r>
        <w:rPr>
          <w:rFonts w:cs="Times New Roman"/>
        </w:rPr>
        <w:t>发区内，为沿线可消纳弃渣（土）的</w:t>
      </w:r>
      <w:r>
        <w:rPr>
          <w:rFonts w:cs="Times New Roman"/>
        </w:rPr>
        <w:t>区域</w:t>
      </w:r>
      <w:r>
        <w:rPr>
          <w:rFonts w:cs="Times New Roman"/>
        </w:rPr>
        <w:t>，</w:t>
      </w:r>
      <w:r>
        <w:rPr>
          <w:rFonts w:cs="Times New Roman"/>
        </w:rPr>
        <w:t>几乎无植被覆盖</w:t>
      </w:r>
      <w:r>
        <w:rPr>
          <w:rFonts w:cs="Times New Roman"/>
        </w:rPr>
        <w:t>。施工时各施工单位严格控制施工作业带范围，弃土结束后及时进行了平整，弃土场对植被影响较小，对环境影响较小。</w:t>
      </w:r>
    </w:p>
    <w:p w:rsidR="00A46452" w:rsidRDefault="009A3928">
      <w:pPr>
        <w:wordWrap w:val="0"/>
        <w:topLinePunct/>
        <w:ind w:firstLine="480"/>
        <w:rPr>
          <w:rFonts w:cs="Times New Roman"/>
        </w:rPr>
      </w:pPr>
      <w:r>
        <w:rPr>
          <w:rFonts w:cs="Times New Roman"/>
        </w:rPr>
        <w:t>（</w:t>
      </w:r>
      <w:r>
        <w:rPr>
          <w:rFonts w:cs="Times New Roman"/>
        </w:rPr>
        <w:t>5</w:t>
      </w:r>
      <w:r>
        <w:rPr>
          <w:rFonts w:cs="Times New Roman"/>
        </w:rPr>
        <w:t>）弃土场对景观的影响分析</w:t>
      </w:r>
    </w:p>
    <w:p w:rsidR="00A46452" w:rsidRDefault="009A3928">
      <w:pPr>
        <w:wordWrap w:val="0"/>
        <w:topLinePunct/>
        <w:ind w:firstLine="480"/>
        <w:rPr>
          <w:rFonts w:cs="Times New Roman"/>
        </w:rPr>
      </w:pPr>
      <w:r>
        <w:rPr>
          <w:rFonts w:cs="Times New Roman"/>
        </w:rPr>
        <w:t>本项目设置</w:t>
      </w:r>
      <w:r>
        <w:rPr>
          <w:rFonts w:cs="Times New Roman"/>
        </w:rPr>
        <w:t>3</w:t>
      </w:r>
      <w:r>
        <w:rPr>
          <w:rFonts w:cs="Times New Roman"/>
        </w:rPr>
        <w:t>处弃土场，一处弃土场距离主要干线公路距离较远，超过</w:t>
      </w:r>
      <w:r>
        <w:rPr>
          <w:rFonts w:cs="Times New Roman"/>
        </w:rPr>
        <w:t>300m</w:t>
      </w:r>
      <w:r>
        <w:rPr>
          <w:rFonts w:cs="Times New Roman"/>
        </w:rPr>
        <w:t>范围；两处弃土场距离主要交通干线吐和高速的距离约为</w:t>
      </w:r>
      <w:r>
        <w:rPr>
          <w:rFonts w:cs="Times New Roman"/>
        </w:rPr>
        <w:t>300m</w:t>
      </w:r>
      <w:r>
        <w:rPr>
          <w:rFonts w:cs="Times New Roman"/>
        </w:rPr>
        <w:t>，本项目取土场对景观影响不大。</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7</w:t>
      </w:r>
      <w:r>
        <w:rPr>
          <w:rFonts w:cs="Times New Roman"/>
          <w:snapToGrid w:val="0"/>
          <w:lang w:val="zh-CN"/>
        </w:rPr>
        <w:t>）</w:t>
      </w:r>
      <w:r>
        <w:rPr>
          <w:rFonts w:cs="Times New Roman"/>
          <w:snapToGrid w:val="0"/>
          <w:lang w:val="zh-CN"/>
        </w:rPr>
        <w:t>临时占地影响分析进一步要求</w:t>
      </w:r>
    </w:p>
    <w:p w:rsidR="00A46452" w:rsidRDefault="009A3928">
      <w:pPr>
        <w:wordWrap w:val="0"/>
        <w:topLinePunct/>
        <w:ind w:firstLine="480"/>
        <w:rPr>
          <w:rFonts w:cs="Times New Roman"/>
          <w:snapToGrid w:val="0"/>
          <w:lang w:val="zh-CN"/>
        </w:rPr>
      </w:pPr>
      <w:r>
        <w:rPr>
          <w:rFonts w:cs="Times New Roman"/>
          <w:snapToGrid w:val="0"/>
          <w:lang w:val="zh-CN"/>
        </w:rPr>
        <w:t>本次环评对于临时用地本评价作出以下要求：选址尽量做到少占地、减少对植被破坏、减少水土流失；如非占用不可，为便于后期进行植被恢复，要求应预先对表土进行剥离，并集中堆放，表面采用地表剥离的植被进行覆盖，坡脚采用装土编织袋或石块进行拦挡防护，最终用于土地复垦。</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7.1.6</w:t>
      </w:r>
      <w:r>
        <w:rPr>
          <w:rFonts w:cs="Times New Roman" w:hint="default"/>
          <w:sz w:val="28"/>
          <w:szCs w:val="28"/>
        </w:rPr>
        <w:t>土地荒漠化影响分析</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本工程占地</w:t>
      </w:r>
      <w:r>
        <w:rPr>
          <w:rFonts w:cs="Times New Roman"/>
          <w:snapToGrid w:val="0"/>
          <w:szCs w:val="24"/>
        </w:rPr>
        <w:t>呈</w:t>
      </w:r>
      <w:r>
        <w:rPr>
          <w:rFonts w:cs="Times New Roman"/>
          <w:snapToGrid w:val="0"/>
          <w:szCs w:val="24"/>
        </w:rPr>
        <w:t>线状分布，在施工阶段，对施工范围内场地的地表砾幕进行铲除或掩埋，破坏了地表土壤的保护层，同时在开挖处或填方处又改变了原地面的坡度与坡长等。这些工程行为与区域内不易改变的气候因素、土壤因素等的综合影响，是导致公路建设期间征地范围内水土流失加剧的主要原因。</w:t>
      </w:r>
      <w:r>
        <w:rPr>
          <w:rFonts w:cs="Times New Roman"/>
          <w:snapToGrid w:val="0"/>
          <w:szCs w:val="24"/>
        </w:rPr>
        <w:t>项目</w:t>
      </w:r>
      <w:r>
        <w:rPr>
          <w:rFonts w:cs="Times New Roman"/>
          <w:snapToGrid w:val="0"/>
          <w:szCs w:val="24"/>
        </w:rPr>
        <w:t>建设对当地水土流失影响分析汇总见表</w:t>
      </w:r>
      <w:r>
        <w:rPr>
          <w:rFonts w:cs="Times New Roman"/>
          <w:snapToGrid w:val="0"/>
          <w:szCs w:val="24"/>
        </w:rPr>
        <w:t>5.1-3</w:t>
      </w:r>
      <w:r>
        <w:rPr>
          <w:rFonts w:cs="Times New Roman"/>
          <w:snapToGrid w:val="0"/>
          <w:szCs w:val="24"/>
        </w:rPr>
        <w:t>。在营运期，这种影响将随着路基、边坡的防护工程实施与植被恢复工程的落实而逐步得到控制。所造成的水土流失因素如下：</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w:t>
      </w:r>
      <w:r>
        <w:rPr>
          <w:rFonts w:ascii="Times New Roman" w:hAnsi="Times New Roman" w:cs="Times New Roman" w:hint="default"/>
          <w:color w:val="auto"/>
        </w:rPr>
        <w:t>1</w:t>
      </w:r>
      <w:r>
        <w:rPr>
          <w:rFonts w:ascii="Times New Roman" w:hAnsi="Times New Roman" w:cs="Times New Roman" w:hint="default"/>
          <w:color w:val="auto"/>
        </w:rPr>
        <w:t>）施工作业</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机械碾压、人员践踏、路基开挖等，均会造成地表扰动，导致结皮丧失，壤土裸露，土质疏松</w:t>
      </w:r>
      <w:r>
        <w:rPr>
          <w:rFonts w:ascii="Times New Roman" w:hAnsi="Times New Roman" w:cs="Times New Roman" w:hint="default"/>
          <w:color w:val="auto"/>
        </w:rPr>
        <w:t>，在风力和水力的作用下会诱发水土流失。</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w:t>
      </w:r>
      <w:r>
        <w:rPr>
          <w:rFonts w:ascii="Times New Roman" w:hAnsi="Times New Roman" w:cs="Times New Roman" w:hint="default"/>
          <w:color w:val="auto"/>
        </w:rPr>
        <w:t>2</w:t>
      </w:r>
      <w:r>
        <w:rPr>
          <w:rFonts w:ascii="Times New Roman" w:hAnsi="Times New Roman" w:cs="Times New Roman" w:hint="default"/>
          <w:color w:val="auto"/>
        </w:rPr>
        <w:t>）取、弃土场</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由于取土和弃渣比较疏松，受到风力和水力的侵蚀会发生水土流失。</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w:t>
      </w:r>
      <w:r>
        <w:rPr>
          <w:rFonts w:ascii="Times New Roman" w:hAnsi="Times New Roman" w:cs="Times New Roman" w:hint="default"/>
          <w:color w:val="auto"/>
        </w:rPr>
        <w:t>3</w:t>
      </w:r>
      <w:r>
        <w:rPr>
          <w:rFonts w:ascii="Times New Roman" w:hAnsi="Times New Roman" w:cs="Times New Roman" w:hint="default"/>
          <w:color w:val="auto"/>
        </w:rPr>
        <w:t>）路基边坡</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路基填方形成坡面，在未采取防护措施之前，遇到大风天或暴雨易产生水土流失。</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w:t>
      </w:r>
      <w:r>
        <w:rPr>
          <w:rFonts w:ascii="Times New Roman" w:hAnsi="Times New Roman" w:cs="Times New Roman" w:hint="default"/>
          <w:color w:val="auto"/>
        </w:rPr>
        <w:t>4</w:t>
      </w:r>
      <w:r>
        <w:rPr>
          <w:rFonts w:ascii="Times New Roman" w:hAnsi="Times New Roman" w:cs="Times New Roman" w:hint="default"/>
          <w:color w:val="auto"/>
        </w:rPr>
        <w:t>）施工便道</w:t>
      </w:r>
    </w:p>
    <w:p w:rsidR="00A46452" w:rsidRDefault="009A3928">
      <w:pPr>
        <w:pStyle w:val="5a"/>
        <w:wordWrap w:val="0"/>
        <w:topLinePunct/>
        <w:adjustRightInd w:val="0"/>
        <w:snapToGrid w:val="0"/>
        <w:spacing w:line="360" w:lineRule="auto"/>
        <w:rPr>
          <w:rFonts w:ascii="Times New Roman" w:hAnsi="Times New Roman" w:cs="Times New Roman" w:hint="default"/>
          <w:color w:val="auto"/>
        </w:rPr>
      </w:pPr>
      <w:r>
        <w:rPr>
          <w:rFonts w:ascii="Times New Roman" w:hAnsi="Times New Roman" w:cs="Times New Roman" w:hint="default"/>
          <w:color w:val="auto"/>
        </w:rPr>
        <w:t>施工便道多为砂砾石便道，车辆运送材料时，会带起大量扬尘。</w:t>
      </w:r>
    </w:p>
    <w:p w:rsidR="00A46452" w:rsidRDefault="009A3928">
      <w:pPr>
        <w:wordWrap w:val="0"/>
        <w:topLinePunct/>
        <w:adjustRightInd w:val="0"/>
        <w:snapToGrid w:val="0"/>
        <w:spacing w:line="240" w:lineRule="auto"/>
        <w:ind w:firstLineChars="0" w:firstLine="0"/>
        <w:rPr>
          <w:rFonts w:eastAsia="黑体" w:cs="Times New Roman"/>
          <w:szCs w:val="24"/>
        </w:rPr>
      </w:pPr>
      <w:r>
        <w:rPr>
          <w:rFonts w:eastAsia="黑体" w:cs="Times New Roman"/>
          <w:szCs w:val="24"/>
        </w:rPr>
        <w:t>表</w:t>
      </w:r>
      <w:r>
        <w:rPr>
          <w:rFonts w:eastAsia="黑体" w:cs="Times New Roman" w:hint="eastAsia"/>
          <w:szCs w:val="24"/>
        </w:rPr>
        <w:t>7</w:t>
      </w:r>
      <w:r>
        <w:rPr>
          <w:rFonts w:eastAsia="黑体" w:cs="Times New Roman"/>
          <w:szCs w:val="24"/>
        </w:rPr>
        <w:t>.1-</w:t>
      </w:r>
      <w:r>
        <w:rPr>
          <w:rFonts w:eastAsia="黑体" w:cs="Times New Roman" w:hint="eastAsia"/>
          <w:szCs w:val="24"/>
        </w:rPr>
        <w:t>4</w:t>
      </w:r>
      <w:r>
        <w:rPr>
          <w:rFonts w:eastAsia="黑体" w:cs="Times New Roman"/>
          <w:szCs w:val="24"/>
        </w:rPr>
        <w:t xml:space="preserve">            </w:t>
      </w:r>
      <w:r>
        <w:rPr>
          <w:rFonts w:eastAsia="黑体" w:cs="Times New Roman"/>
          <w:szCs w:val="24"/>
        </w:rPr>
        <w:t xml:space="preserve">     </w:t>
      </w:r>
      <w:r>
        <w:rPr>
          <w:rFonts w:eastAsia="黑体" w:cs="Times New Roman"/>
          <w:szCs w:val="24"/>
        </w:rPr>
        <w:t>水土流失影响分析汇总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6"/>
        <w:gridCol w:w="685"/>
        <w:gridCol w:w="1560"/>
        <w:gridCol w:w="2141"/>
        <w:gridCol w:w="1466"/>
        <w:gridCol w:w="1957"/>
      </w:tblGrid>
      <w:tr w:rsidR="00A46452">
        <w:trPr>
          <w:cantSplit/>
          <w:trHeight w:val="312"/>
        </w:trPr>
        <w:tc>
          <w:tcPr>
            <w:tcW w:w="414" w:type="pct"/>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序号</w:t>
            </w:r>
          </w:p>
        </w:tc>
        <w:tc>
          <w:tcPr>
            <w:tcW w:w="1318" w:type="pct"/>
            <w:gridSpan w:val="2"/>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项目</w:t>
            </w:r>
          </w:p>
        </w:tc>
        <w:tc>
          <w:tcPr>
            <w:tcW w:w="1256" w:type="pct"/>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施工基本情况</w:t>
            </w:r>
          </w:p>
        </w:tc>
        <w:tc>
          <w:tcPr>
            <w:tcW w:w="861" w:type="pct"/>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自然条件</w:t>
            </w:r>
          </w:p>
        </w:tc>
        <w:tc>
          <w:tcPr>
            <w:tcW w:w="1149" w:type="pct"/>
            <w:vMerge w:val="restar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可能产生的水土流失因素</w:t>
            </w:r>
          </w:p>
        </w:tc>
      </w:tr>
      <w:tr w:rsidR="00A46452">
        <w:trPr>
          <w:cantSplit/>
          <w:trHeight w:val="312"/>
        </w:trPr>
        <w:tc>
          <w:tcPr>
            <w:tcW w:w="414"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318" w:type="pct"/>
            <w:gridSpan w:val="2"/>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b/>
                <w:sz w:val="18"/>
                <w:szCs w:val="18"/>
              </w:rPr>
            </w:pPr>
          </w:p>
        </w:tc>
        <w:tc>
          <w:tcPr>
            <w:tcW w:w="1256"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b/>
                <w:sz w:val="18"/>
                <w:szCs w:val="18"/>
              </w:rPr>
            </w:pPr>
          </w:p>
        </w:tc>
        <w:tc>
          <w:tcPr>
            <w:tcW w:w="861"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b/>
                <w:sz w:val="18"/>
                <w:szCs w:val="18"/>
              </w:rPr>
            </w:pPr>
          </w:p>
        </w:tc>
        <w:tc>
          <w:tcPr>
            <w:tcW w:w="1149"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b/>
                <w:sz w:val="18"/>
                <w:szCs w:val="18"/>
              </w:rPr>
            </w:pPr>
          </w:p>
        </w:tc>
      </w:tr>
      <w:tr w:rsidR="00A46452">
        <w:trPr>
          <w:cantSplit/>
          <w:trHeight w:val="227"/>
        </w:trPr>
        <w:tc>
          <w:tcPr>
            <w:tcW w:w="414" w:type="pct"/>
            <w:vMerge w:val="restar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1</w:t>
            </w:r>
          </w:p>
        </w:tc>
        <w:tc>
          <w:tcPr>
            <w:tcW w:w="402" w:type="pct"/>
            <w:vMerge w:val="restar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线路工程</w:t>
            </w:r>
          </w:p>
        </w:tc>
        <w:tc>
          <w:tcPr>
            <w:tcW w:w="91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路基工程</w:t>
            </w:r>
          </w:p>
        </w:tc>
        <w:tc>
          <w:tcPr>
            <w:tcW w:w="125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路基施工扰动原地貌；填方路基要分层填土，分层压实，最后进行边坡整修；挖方路基要分层挖土，开挖将产生弃渣</w:t>
            </w:r>
          </w:p>
        </w:tc>
        <w:tc>
          <w:tcPr>
            <w:tcW w:w="861"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地表有砾幕覆盖，大风天气</w:t>
            </w:r>
          </w:p>
        </w:tc>
        <w:tc>
          <w:tcPr>
            <w:tcW w:w="1149"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破坏地表土壤、扬尘，土壤侵蚀主要发生在填挖坡面，侵蚀类型水</w:t>
            </w:r>
            <w:r>
              <w:rPr>
                <w:rFonts w:cs="Times New Roman"/>
                <w:sz w:val="18"/>
                <w:szCs w:val="18"/>
              </w:rPr>
              <w:t>-</w:t>
            </w:r>
            <w:r>
              <w:rPr>
                <w:rFonts w:cs="Times New Roman"/>
                <w:sz w:val="18"/>
                <w:szCs w:val="18"/>
              </w:rPr>
              <w:t>风复合侵蚀</w:t>
            </w:r>
          </w:p>
        </w:tc>
      </w:tr>
      <w:tr w:rsidR="00A46452">
        <w:trPr>
          <w:cantSplit/>
          <w:trHeight w:val="227"/>
        </w:trPr>
        <w:tc>
          <w:tcPr>
            <w:tcW w:w="414"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rPr>
                <w:rFonts w:cs="Times New Roman"/>
                <w:sz w:val="18"/>
                <w:szCs w:val="18"/>
              </w:rPr>
            </w:pPr>
          </w:p>
        </w:tc>
        <w:tc>
          <w:tcPr>
            <w:tcW w:w="402"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91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桥涵工程</w:t>
            </w:r>
          </w:p>
        </w:tc>
        <w:tc>
          <w:tcPr>
            <w:tcW w:w="125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桥涵工程基础开挖将产生部分弃渣</w:t>
            </w:r>
          </w:p>
        </w:tc>
        <w:tc>
          <w:tcPr>
            <w:tcW w:w="861"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干沟、大风天气</w:t>
            </w:r>
          </w:p>
        </w:tc>
        <w:tc>
          <w:tcPr>
            <w:tcW w:w="1149"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侵蚀对置将产生一定量的风蚀</w:t>
            </w:r>
          </w:p>
        </w:tc>
      </w:tr>
      <w:tr w:rsidR="00A46452">
        <w:trPr>
          <w:cantSplit/>
          <w:trHeight w:val="227"/>
        </w:trPr>
        <w:tc>
          <w:tcPr>
            <w:tcW w:w="41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2</w:t>
            </w:r>
          </w:p>
        </w:tc>
        <w:tc>
          <w:tcPr>
            <w:tcW w:w="1318"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施工便道</w:t>
            </w:r>
          </w:p>
        </w:tc>
        <w:tc>
          <w:tcPr>
            <w:tcW w:w="125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碾压频繁</w:t>
            </w:r>
          </w:p>
        </w:tc>
        <w:tc>
          <w:tcPr>
            <w:tcW w:w="861"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大风天气</w:t>
            </w:r>
          </w:p>
        </w:tc>
        <w:tc>
          <w:tcPr>
            <w:tcW w:w="1149"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扬尘、风蚀</w:t>
            </w:r>
          </w:p>
        </w:tc>
      </w:tr>
      <w:tr w:rsidR="00A46452">
        <w:trPr>
          <w:cantSplit/>
          <w:trHeight w:val="227"/>
        </w:trPr>
        <w:tc>
          <w:tcPr>
            <w:tcW w:w="414" w:type="pct"/>
            <w:tcBorders>
              <w:top w:val="single" w:sz="4" w:space="0" w:color="auto"/>
              <w:left w:val="single" w:sz="12" w:space="0" w:color="auto"/>
              <w:bottom w:val="single" w:sz="12" w:space="0" w:color="auto"/>
              <w:right w:val="single" w:sz="4" w:space="0" w:color="auto"/>
              <w:tl2br w:val="nil"/>
              <w:tr2bl w:val="nil"/>
            </w:tcBorders>
            <w:shd w:val="clear" w:color="000000" w:fill="auto"/>
            <w:noWrap/>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3</w:t>
            </w:r>
          </w:p>
        </w:tc>
        <w:tc>
          <w:tcPr>
            <w:tcW w:w="1318" w:type="pct"/>
            <w:gridSpan w:val="2"/>
            <w:tcBorders>
              <w:top w:val="single" w:sz="4" w:space="0" w:color="auto"/>
              <w:left w:val="single" w:sz="4" w:space="0" w:color="auto"/>
              <w:bottom w:val="single" w:sz="12" w:space="0" w:color="auto"/>
              <w:right w:val="single" w:sz="4" w:space="0" w:color="auto"/>
              <w:tl2br w:val="nil"/>
              <w:tr2bl w:val="nil"/>
            </w:tcBorders>
            <w:shd w:val="clear" w:color="000000" w:fill="auto"/>
            <w:noWrap/>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施工场站（拌合站、预制场）</w:t>
            </w:r>
          </w:p>
        </w:tc>
        <w:tc>
          <w:tcPr>
            <w:tcW w:w="1256" w:type="pct"/>
            <w:tcBorders>
              <w:top w:val="single" w:sz="4" w:space="0" w:color="auto"/>
              <w:left w:val="single" w:sz="4" w:space="0" w:color="auto"/>
              <w:bottom w:val="single" w:sz="12" w:space="0" w:color="auto"/>
              <w:right w:val="single" w:sz="4" w:space="0" w:color="auto"/>
              <w:tl2br w:val="nil"/>
              <w:tr2bl w:val="nil"/>
            </w:tcBorders>
            <w:shd w:val="clear" w:color="000000"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施工前常去进行场地平整；施工完毕后施工迹地为裸露的地面</w:t>
            </w:r>
          </w:p>
        </w:tc>
        <w:tc>
          <w:tcPr>
            <w:tcW w:w="861" w:type="pct"/>
            <w:tcBorders>
              <w:top w:val="single" w:sz="4" w:space="0" w:color="auto"/>
              <w:left w:val="single" w:sz="4" w:space="0" w:color="auto"/>
              <w:bottom w:val="single" w:sz="12" w:space="0" w:color="auto"/>
              <w:right w:val="single" w:sz="4" w:space="0" w:color="auto"/>
              <w:tl2br w:val="nil"/>
              <w:tr2bl w:val="nil"/>
            </w:tcBorders>
            <w:shd w:val="clear" w:color="000000" w:fill="auto"/>
            <w:noWrap/>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大风天气</w:t>
            </w:r>
          </w:p>
        </w:tc>
        <w:tc>
          <w:tcPr>
            <w:tcW w:w="1149" w:type="pct"/>
            <w:tcBorders>
              <w:top w:val="single" w:sz="4" w:space="0" w:color="auto"/>
              <w:left w:val="single" w:sz="4" w:space="0" w:color="auto"/>
              <w:bottom w:val="single" w:sz="12" w:space="0" w:color="auto"/>
              <w:right w:val="single" w:sz="12" w:space="0" w:color="auto"/>
              <w:tl2br w:val="nil"/>
              <w:tr2bl w:val="nil"/>
            </w:tcBorders>
            <w:shd w:val="clear" w:color="000000" w:fill="auto"/>
            <w:vAlign w:val="center"/>
          </w:tcPr>
          <w:p w:rsidR="00A46452" w:rsidRDefault="009A3928">
            <w:pPr>
              <w:wordWrap w:val="0"/>
              <w:topLinePunct/>
              <w:adjustRightInd w:val="0"/>
              <w:snapToGrid w:val="0"/>
              <w:spacing w:line="240" w:lineRule="exact"/>
              <w:ind w:firstLineChars="0" w:firstLine="0"/>
              <w:rPr>
                <w:rFonts w:cs="Times New Roman"/>
                <w:sz w:val="18"/>
                <w:szCs w:val="18"/>
              </w:rPr>
            </w:pPr>
            <w:r>
              <w:rPr>
                <w:rFonts w:cs="Times New Roman"/>
                <w:sz w:val="18"/>
                <w:szCs w:val="18"/>
              </w:rPr>
              <w:t>临建拆除后，大面积裸露地面在侵蚀外营力作用下将产生一定量的水土流失</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7.1.7</w:t>
      </w:r>
      <w:r>
        <w:rPr>
          <w:rFonts w:cs="Times New Roman" w:hint="default"/>
          <w:sz w:val="28"/>
          <w:szCs w:val="28"/>
        </w:rPr>
        <w:t>对沙化土地产生的影响分析</w:t>
      </w:r>
    </w:p>
    <w:p w:rsidR="00A46452" w:rsidRDefault="009A3928">
      <w:pPr>
        <w:pStyle w:val="12"/>
        <w:widowControl w:val="0"/>
        <w:wordWrap w:val="0"/>
        <w:topLinePunct/>
        <w:adjustRightInd w:val="0"/>
        <w:snapToGrid w:val="0"/>
        <w:spacing w:after="0"/>
        <w:ind w:firstLine="472"/>
        <w:rPr>
          <w:rFonts w:cs="Times New Roman" w:hint="default"/>
        </w:rPr>
      </w:pPr>
      <w:r>
        <w:rPr>
          <w:rFonts w:cs="Times New Roman" w:hint="default"/>
          <w:spacing w:val="-2"/>
        </w:rPr>
        <w:t>本项目施工期对沿线沙化土地的影响主要体现在施工占地以及施工作业导致的水土流失等现象：</w:t>
      </w:r>
    </w:p>
    <w:p w:rsidR="00A46452" w:rsidRDefault="009A3928">
      <w:pPr>
        <w:pStyle w:val="12"/>
        <w:widowControl w:val="0"/>
        <w:wordWrap w:val="0"/>
        <w:topLinePunct/>
        <w:adjustRightInd w:val="0"/>
        <w:snapToGrid w:val="0"/>
        <w:spacing w:after="0"/>
        <w:ind w:firstLine="472"/>
        <w:rPr>
          <w:rFonts w:cs="Times New Roman" w:hint="default"/>
          <w:spacing w:val="-2"/>
        </w:rPr>
      </w:pPr>
      <w:r>
        <w:rPr>
          <w:rFonts w:cs="Times New Roman" w:hint="default"/>
          <w:spacing w:val="-2"/>
        </w:rPr>
        <w:t>（</w:t>
      </w:r>
      <w:r>
        <w:rPr>
          <w:rFonts w:cs="Times New Roman" w:hint="default"/>
          <w:spacing w:val="-2"/>
        </w:rPr>
        <w:t>1</w:t>
      </w:r>
      <w:r>
        <w:rPr>
          <w:rFonts w:cs="Times New Roman" w:hint="default"/>
          <w:spacing w:val="-2"/>
        </w:rPr>
        <w:t>）工程占地对沿线沙化土地的影响</w:t>
      </w:r>
    </w:p>
    <w:p w:rsidR="00A46452" w:rsidRDefault="009A3928">
      <w:pPr>
        <w:pStyle w:val="12"/>
        <w:widowControl w:val="0"/>
        <w:wordWrap w:val="0"/>
        <w:topLinePunct/>
        <w:adjustRightInd w:val="0"/>
        <w:snapToGrid w:val="0"/>
        <w:spacing w:after="0"/>
        <w:ind w:firstLine="472"/>
        <w:rPr>
          <w:rFonts w:cs="Times New Roman" w:hint="default"/>
          <w:spacing w:val="-2"/>
        </w:rPr>
      </w:pPr>
      <w:r>
        <w:rPr>
          <w:rFonts w:cs="Times New Roman" w:hint="default"/>
          <w:spacing w:val="-2"/>
        </w:rPr>
        <w:t>公路建设会铲除征地范围内的植被，直接破坏荒漠植被、扰动砾幕，致使地表裸露、水土流失加重，在风力作用下，极易起尘扬沙，若不能做好防护治理工作，可能加剧沙化扩展。工程建设过程中对原地貌的扰动将降低工程沿线永久以及临时占地范围内的土壤抗侵蚀能力，造成土地沙化。</w:t>
      </w:r>
    </w:p>
    <w:p w:rsidR="00A46452" w:rsidRDefault="009A3928">
      <w:pPr>
        <w:pStyle w:val="12"/>
        <w:widowControl w:val="0"/>
        <w:wordWrap w:val="0"/>
        <w:topLinePunct/>
        <w:adjustRightInd w:val="0"/>
        <w:snapToGrid w:val="0"/>
        <w:spacing w:after="0"/>
        <w:ind w:firstLine="472"/>
        <w:rPr>
          <w:rFonts w:cs="Times New Roman" w:hint="default"/>
          <w:spacing w:val="-2"/>
        </w:rPr>
      </w:pPr>
      <w:r>
        <w:rPr>
          <w:rFonts w:cs="Times New Roman" w:hint="default"/>
          <w:spacing w:val="-2"/>
        </w:rPr>
        <w:t>（</w:t>
      </w:r>
      <w:r>
        <w:rPr>
          <w:rFonts w:cs="Times New Roman" w:hint="default"/>
          <w:spacing w:val="-2"/>
        </w:rPr>
        <w:t>2</w:t>
      </w:r>
      <w:r>
        <w:rPr>
          <w:rFonts w:cs="Times New Roman" w:hint="default"/>
          <w:spacing w:val="-2"/>
        </w:rPr>
        <w:t>）路基施工对沿线沙化土地的影响</w:t>
      </w:r>
    </w:p>
    <w:p w:rsidR="00A46452" w:rsidRDefault="009A3928">
      <w:pPr>
        <w:pStyle w:val="12"/>
        <w:widowControl w:val="0"/>
        <w:wordWrap w:val="0"/>
        <w:topLinePunct/>
        <w:adjustRightInd w:val="0"/>
        <w:snapToGrid w:val="0"/>
        <w:spacing w:after="0"/>
        <w:ind w:firstLine="472"/>
        <w:rPr>
          <w:rFonts w:cs="Times New Roman" w:hint="default"/>
          <w:spacing w:val="-2"/>
        </w:rPr>
      </w:pPr>
      <w:r>
        <w:rPr>
          <w:rFonts w:cs="Times New Roman" w:hint="default"/>
          <w:spacing w:val="-2"/>
        </w:rPr>
        <w:t>公路建设会对表层土壤产生扰动，破坏原有的生物结皮，产生地表吹蚀，引起局部土壤流动。路基工程开挖和填筑等施工活动，将扰动地表、改变地表土壤结构和损坏林草植被等水土保持设施，使原地表的水土保持功能降低或丧失，土壤侵蚀强度较建设前将会明显增加。此外，路基压实时，需要</w:t>
      </w:r>
      <w:r>
        <w:rPr>
          <w:rFonts w:cs="Times New Roman" w:hint="default"/>
          <w:spacing w:val="-2"/>
        </w:rPr>
        <w:t>使用</w:t>
      </w:r>
      <w:r>
        <w:rPr>
          <w:rFonts w:cs="Times New Roman" w:hint="default"/>
          <w:spacing w:val="-2"/>
        </w:rPr>
        <w:t>振动压路机，以保证路基的压实度。压路机产生的震动也会导致路基附近的土层结构出现松动，地表结皮破坏，出现裂缝，结皮覆盖的沙地成为沙源。</w:t>
      </w:r>
    </w:p>
    <w:p w:rsidR="00A46452" w:rsidRDefault="009A3928">
      <w:pPr>
        <w:pStyle w:val="12"/>
        <w:widowControl w:val="0"/>
        <w:wordWrap w:val="0"/>
        <w:topLinePunct/>
        <w:adjustRightInd w:val="0"/>
        <w:snapToGrid w:val="0"/>
        <w:spacing w:after="0"/>
        <w:ind w:firstLine="472"/>
        <w:jc w:val="both"/>
        <w:rPr>
          <w:rFonts w:cs="Times New Roman" w:hint="default"/>
          <w:spacing w:val="-2"/>
        </w:rPr>
      </w:pPr>
      <w:r>
        <w:rPr>
          <w:rFonts w:cs="Times New Roman" w:hint="default"/>
          <w:spacing w:val="-2"/>
        </w:rPr>
        <w:t>（</w:t>
      </w:r>
      <w:r>
        <w:rPr>
          <w:rFonts w:cs="Times New Roman" w:hint="default"/>
          <w:spacing w:val="-2"/>
        </w:rPr>
        <w:t>3</w:t>
      </w:r>
      <w:r>
        <w:rPr>
          <w:rFonts w:cs="Times New Roman" w:hint="default"/>
          <w:spacing w:val="-2"/>
        </w:rPr>
        <w:t>）施工临时用地对沿线沙化土地的影响</w:t>
      </w:r>
    </w:p>
    <w:p w:rsidR="00A46452" w:rsidRDefault="009A3928">
      <w:pPr>
        <w:pStyle w:val="12"/>
        <w:widowControl w:val="0"/>
        <w:wordWrap w:val="0"/>
        <w:topLinePunct/>
        <w:adjustRightInd w:val="0"/>
        <w:snapToGrid w:val="0"/>
        <w:spacing w:after="0"/>
        <w:ind w:firstLine="456"/>
        <w:jc w:val="both"/>
        <w:rPr>
          <w:rFonts w:cs="Times New Roman" w:hint="default"/>
        </w:rPr>
      </w:pPr>
      <w:r>
        <w:rPr>
          <w:rFonts w:cs="Times New Roman" w:hint="default"/>
          <w:spacing w:val="-6"/>
        </w:rPr>
        <w:t>本项目</w:t>
      </w:r>
      <w:r>
        <w:rPr>
          <w:rFonts w:cs="Times New Roman" w:hint="default"/>
          <w:spacing w:val="-6"/>
        </w:rPr>
        <w:t>设置</w:t>
      </w:r>
      <w:r>
        <w:rPr>
          <w:rFonts w:cs="Times New Roman" w:hint="default"/>
          <w:spacing w:val="-6"/>
        </w:rPr>
        <w:t>的风积沙料场</w:t>
      </w:r>
      <w:r>
        <w:rPr>
          <w:rFonts w:cs="Times New Roman" w:hint="default"/>
          <w:spacing w:val="-6"/>
        </w:rPr>
        <w:t>、</w:t>
      </w:r>
      <w:r>
        <w:rPr>
          <w:rFonts w:cs="Times New Roman" w:hint="default"/>
          <w:spacing w:val="-6"/>
        </w:rPr>
        <w:t>施工站场、弃土场等临时工程的设置会占用用地范围内的</w:t>
      </w:r>
      <w:r>
        <w:rPr>
          <w:rFonts w:cs="Times New Roman" w:hint="default"/>
          <w:spacing w:val="-6"/>
        </w:rPr>
        <w:t>植被，短期内致使地表裸露</w:t>
      </w:r>
      <w:r>
        <w:rPr>
          <w:rFonts w:cs="Times New Roman" w:hint="default"/>
          <w:spacing w:val="-4"/>
        </w:rPr>
        <w:t>程度加剧、水土流失和风沙影响加重。此外，在施工过程中，各种车辆（尤其是重型卡车）在荒漠上行驶将使经过的土壤变紧实，严重的经过多次碾压后植物很难再生长，甚至退化为沙地。此外，由于项目地处内陆地区，风沙较大，空气干燥，加上局部地表植被覆盖度低，若土石方堆存过程中未采取防尘网苫盖、洒水抑尘等措施，地表沙化的土壤及废土、废渣遇大风天气易产生严重的扬尘，形成沙尘天气。</w:t>
      </w:r>
    </w:p>
    <w:p w:rsidR="00A46452" w:rsidRDefault="009A3928">
      <w:pPr>
        <w:pStyle w:val="12"/>
        <w:widowControl w:val="0"/>
        <w:wordWrap w:val="0"/>
        <w:topLinePunct/>
        <w:adjustRightInd w:val="0"/>
        <w:snapToGrid w:val="0"/>
        <w:spacing w:after="0"/>
        <w:ind w:firstLine="456"/>
        <w:jc w:val="both"/>
        <w:rPr>
          <w:rFonts w:cs="Times New Roman" w:hint="default"/>
        </w:rPr>
      </w:pPr>
      <w:r>
        <w:rPr>
          <w:rFonts w:cs="Times New Roman" w:hint="default"/>
          <w:spacing w:val="-6"/>
        </w:rPr>
        <w:t>公路建设过程中不可避免地要修建一定数量的施工便道，主要为纵向施工便</w:t>
      </w:r>
      <w:r>
        <w:rPr>
          <w:rFonts w:cs="Times New Roman" w:hint="default"/>
          <w:spacing w:val="-2"/>
        </w:rPr>
        <w:t>道，车辆在便道行驶时，碾压地表，便道范围内生长的植物基本消失。工程结束</w:t>
      </w:r>
      <w:r>
        <w:rPr>
          <w:rFonts w:cs="Times New Roman" w:hint="default"/>
          <w:spacing w:val="-17"/>
        </w:rPr>
        <w:t>后，由于施工便道被车辆反复碾压，土壤密实，硬度高，如果不进行松土等作业，</w:t>
      </w:r>
      <w:r>
        <w:rPr>
          <w:rFonts w:cs="Times New Roman" w:hint="default"/>
          <w:spacing w:val="-2"/>
        </w:rPr>
        <w:t>植物种子不能在便道的土壤中扎根，便道长期处于没有植被覆盖的情况，该区域很容易发生沙化，造成更大面积的沙化。</w:t>
      </w:r>
    </w:p>
    <w:p w:rsidR="00A46452" w:rsidRDefault="009A3928">
      <w:pPr>
        <w:pStyle w:val="12"/>
        <w:widowControl w:val="0"/>
        <w:wordWrap w:val="0"/>
        <w:topLinePunct/>
        <w:adjustRightInd w:val="0"/>
        <w:snapToGrid w:val="0"/>
        <w:spacing w:after="0"/>
        <w:ind w:firstLine="472"/>
        <w:jc w:val="both"/>
        <w:rPr>
          <w:rFonts w:cs="Times New Roman" w:hint="default"/>
          <w:spacing w:val="-2"/>
        </w:rPr>
      </w:pPr>
      <w:r>
        <w:rPr>
          <w:rFonts w:cs="Times New Roman" w:hint="default"/>
          <w:spacing w:val="-2"/>
        </w:rPr>
        <w:t>（</w:t>
      </w:r>
      <w:r>
        <w:rPr>
          <w:rFonts w:cs="Times New Roman" w:hint="default"/>
          <w:spacing w:val="-2"/>
        </w:rPr>
        <w:t>4</w:t>
      </w:r>
      <w:r>
        <w:rPr>
          <w:rFonts w:cs="Times New Roman" w:hint="default"/>
          <w:spacing w:val="-2"/>
        </w:rPr>
        <w:t>）施工人员对沿线沙化土地的影响</w:t>
      </w:r>
    </w:p>
    <w:p w:rsidR="00A46452" w:rsidRDefault="009A3928">
      <w:pPr>
        <w:pStyle w:val="12"/>
        <w:widowControl w:val="0"/>
        <w:wordWrap w:val="0"/>
        <w:topLinePunct/>
        <w:adjustRightInd w:val="0"/>
        <w:snapToGrid w:val="0"/>
        <w:spacing w:after="0"/>
        <w:ind w:firstLine="448"/>
        <w:jc w:val="both"/>
        <w:rPr>
          <w:rFonts w:cs="Times New Roman" w:hint="default"/>
          <w:spacing w:val="-2"/>
        </w:rPr>
      </w:pPr>
      <w:r>
        <w:rPr>
          <w:rFonts w:cs="Times New Roman" w:hint="default"/>
          <w:spacing w:val="-8"/>
        </w:rPr>
        <w:t>在施工建设过程还会因施工人员踩踏、机械作业对地表植被及土壤结构的破</w:t>
      </w:r>
      <w:r>
        <w:rPr>
          <w:rFonts w:cs="Times New Roman" w:hint="default"/>
          <w:spacing w:val="-2"/>
        </w:rPr>
        <w:t>坏，引发水土流失，发生风蚀现象，施工期风蚀影响在大风天气下较为明显，施工过程中易被大风扬起沙尘，在路基填料采挖和拉运的过程中，由于土质疏松，在没有遮盖措施的情况</w:t>
      </w:r>
      <w:r>
        <w:rPr>
          <w:rFonts w:cs="Times New Roman" w:hint="default"/>
          <w:spacing w:val="-2"/>
        </w:rPr>
        <w:t>下，拉料沿线扬尘严重，造成风蚀危害。</w:t>
      </w:r>
    </w:p>
    <w:p w:rsidR="00A46452" w:rsidRDefault="009A3928">
      <w:pPr>
        <w:pStyle w:val="12"/>
        <w:widowControl w:val="0"/>
        <w:wordWrap w:val="0"/>
        <w:topLinePunct/>
        <w:adjustRightInd w:val="0"/>
        <w:snapToGrid w:val="0"/>
        <w:spacing w:after="0"/>
        <w:ind w:firstLine="472"/>
        <w:rPr>
          <w:rFonts w:cs="Times New Roman" w:hint="default"/>
          <w:spacing w:val="-2"/>
        </w:rPr>
      </w:pPr>
      <w:r>
        <w:rPr>
          <w:rFonts w:cs="Times New Roman" w:hint="default"/>
          <w:spacing w:val="-2"/>
        </w:rPr>
        <w:t>项目沿线</w:t>
      </w:r>
      <w:r>
        <w:rPr>
          <w:rFonts w:cs="Times New Roman" w:hint="default"/>
          <w:spacing w:val="-2"/>
        </w:rPr>
        <w:t>穿越</w:t>
      </w:r>
      <w:r>
        <w:rPr>
          <w:rFonts w:cs="Times New Roman" w:hint="default"/>
          <w:spacing w:val="-2"/>
        </w:rPr>
        <w:t>荒地，植被覆盖度低，公路施工对土地沙化的影响主要为公路施工期间，路基开挖和填筑、站场建设等工程活动将不可避免地扰动原地貌、破坏地表植被，改变土体结构，使土壤抗蚀性降低，为风力侵蚀提供了丰富的沙源，加剧局部地段土地沙化发展。</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7.1.8</w:t>
      </w:r>
      <w:r>
        <w:rPr>
          <w:rFonts w:cs="Times New Roman" w:hint="default"/>
          <w:sz w:val="28"/>
          <w:szCs w:val="28"/>
        </w:rPr>
        <w:t>水土流失影响分析</w:t>
      </w:r>
    </w:p>
    <w:p w:rsidR="00A46452" w:rsidRDefault="009A3928">
      <w:pPr>
        <w:pStyle w:val="12"/>
        <w:widowControl w:val="0"/>
        <w:wordWrap w:val="0"/>
        <w:topLinePunct/>
        <w:adjustRightInd w:val="0"/>
        <w:snapToGrid w:val="0"/>
        <w:spacing w:after="0"/>
        <w:ind w:firstLine="460"/>
        <w:jc w:val="both"/>
        <w:rPr>
          <w:rFonts w:cs="Times New Roman" w:hint="default"/>
          <w:spacing w:val="-2"/>
        </w:rPr>
      </w:pPr>
      <w:r>
        <w:rPr>
          <w:rFonts w:cs="Times New Roman" w:hint="default"/>
          <w:spacing w:val="-5"/>
        </w:rPr>
        <w:t>由于在公路的施工阶段对施工范围的地表植被进行铲除或掩埋，破坏了地表</w:t>
      </w:r>
      <w:r>
        <w:rPr>
          <w:rFonts w:cs="Times New Roman" w:hint="default"/>
          <w:spacing w:val="-4"/>
        </w:rPr>
        <w:t>土壤的保护层。同时在开挖处或填方处又改变了原地面的坡度与坡长等。这些人</w:t>
      </w:r>
      <w:r>
        <w:rPr>
          <w:rFonts w:cs="Times New Roman" w:hint="default"/>
          <w:spacing w:val="-9"/>
        </w:rPr>
        <w:t>为的工程行为在当地的气候因素、土壤因素条件下引发或加剧了评价范围内的水</w:t>
      </w:r>
      <w:r>
        <w:rPr>
          <w:rFonts w:cs="Times New Roman" w:hint="default"/>
          <w:spacing w:val="-4"/>
        </w:rPr>
        <w:t>土流失，明显表现在施工期。而随着路基、边坡防护工程实施落实，水土流失也</w:t>
      </w:r>
      <w:r>
        <w:rPr>
          <w:rFonts w:cs="Times New Roman" w:hint="default"/>
          <w:spacing w:val="-2"/>
        </w:rPr>
        <w:t>逐步得到控制。</w:t>
      </w:r>
    </w:p>
    <w:p w:rsidR="00A46452" w:rsidRDefault="009A3928">
      <w:pPr>
        <w:pStyle w:val="12"/>
        <w:widowControl w:val="0"/>
        <w:wordWrap w:val="0"/>
        <w:topLinePunct/>
        <w:adjustRightInd w:val="0"/>
        <w:snapToGrid w:val="0"/>
        <w:spacing w:after="0"/>
        <w:ind w:firstLine="472"/>
        <w:jc w:val="both"/>
        <w:rPr>
          <w:rFonts w:cs="Times New Roman" w:hint="default"/>
          <w:spacing w:val="-4"/>
        </w:rPr>
      </w:pPr>
      <w:r>
        <w:rPr>
          <w:rFonts w:cs="Times New Roman" w:hint="default"/>
          <w:spacing w:val="-2"/>
        </w:rPr>
        <w:t>填方工程：施工过程中，形成了一定的坡面和坡度。在公路路堤施工</w:t>
      </w:r>
      <w:r>
        <w:rPr>
          <w:rFonts w:cs="Times New Roman" w:hint="default"/>
          <w:spacing w:val="-7"/>
        </w:rPr>
        <w:t>过程中一般是填一段压实一段且采取分层压实，因此在这些区域产生的水土流失</w:t>
      </w:r>
      <w:r>
        <w:rPr>
          <w:rFonts w:cs="Times New Roman" w:hint="default"/>
          <w:spacing w:val="-4"/>
        </w:rPr>
        <w:t>量很小。</w:t>
      </w:r>
    </w:p>
    <w:p w:rsidR="00A46452" w:rsidRDefault="009A3928">
      <w:pPr>
        <w:pStyle w:val="12"/>
        <w:widowControl w:val="0"/>
        <w:wordWrap w:val="0"/>
        <w:topLinePunct/>
        <w:adjustRightInd w:val="0"/>
        <w:snapToGrid w:val="0"/>
        <w:spacing w:after="0"/>
        <w:ind w:firstLine="476"/>
        <w:jc w:val="both"/>
        <w:rPr>
          <w:rFonts w:cs="Times New Roman" w:hint="default"/>
          <w:spacing w:val="-2"/>
        </w:rPr>
      </w:pPr>
      <w:r>
        <w:rPr>
          <w:rFonts w:cs="Times New Roman" w:hint="default"/>
          <w:spacing w:val="-1"/>
        </w:rPr>
        <w:t>挖方工程：施工初期不仅新的路基顶面会暴露，同时还增加挖方区域</w:t>
      </w:r>
      <w:r>
        <w:rPr>
          <w:rFonts w:cs="Times New Roman" w:hint="default"/>
          <w:spacing w:val="-4"/>
        </w:rPr>
        <w:t>挖方边坡的坡面。而在坡面上的植被被完全铲除，在短时间内即为土质边坡，若不加大力度恢复植被或进行工程防护措施，裸露的坡</w:t>
      </w:r>
      <w:r>
        <w:rPr>
          <w:rFonts w:cs="Times New Roman" w:hint="default"/>
          <w:spacing w:val="-2"/>
        </w:rPr>
        <w:t>面会增加当地的水土流失量。</w:t>
      </w:r>
    </w:p>
    <w:p w:rsidR="00A46452" w:rsidRDefault="009A3928">
      <w:pPr>
        <w:pStyle w:val="12"/>
        <w:widowControl w:val="0"/>
        <w:wordWrap w:val="0"/>
        <w:topLinePunct/>
        <w:adjustRightInd w:val="0"/>
        <w:snapToGrid w:val="0"/>
        <w:spacing w:after="0"/>
        <w:ind w:firstLine="472"/>
        <w:jc w:val="both"/>
        <w:rPr>
          <w:rFonts w:cs="Times New Roman" w:hint="default"/>
          <w:spacing w:val="-2"/>
        </w:rPr>
      </w:pPr>
      <w:r>
        <w:rPr>
          <w:rFonts w:cs="Times New Roman" w:hint="default"/>
          <w:spacing w:val="-2"/>
        </w:rPr>
        <w:t>在桥、涵洞施工过程，桥头的开挖面，路基施工中的弃渣、弃土若处理不好，也会产生水土流</w:t>
      </w:r>
      <w:r>
        <w:rPr>
          <w:rFonts w:cs="Times New Roman" w:hint="default"/>
          <w:spacing w:val="-2"/>
        </w:rPr>
        <w:t>失。</w:t>
      </w:r>
    </w:p>
    <w:p w:rsidR="00A46452" w:rsidRDefault="009A3928">
      <w:pPr>
        <w:pStyle w:val="12"/>
        <w:widowControl w:val="0"/>
        <w:wordWrap w:val="0"/>
        <w:topLinePunct/>
        <w:adjustRightInd w:val="0"/>
        <w:snapToGrid w:val="0"/>
        <w:spacing w:after="0"/>
        <w:ind w:firstLine="472"/>
        <w:jc w:val="both"/>
        <w:rPr>
          <w:rFonts w:cs="Times New Roman" w:hint="default"/>
          <w:spacing w:val="-4"/>
        </w:rPr>
      </w:pPr>
      <w:r>
        <w:rPr>
          <w:rFonts w:cs="Times New Roman" w:hint="default"/>
          <w:spacing w:val="-2"/>
        </w:rPr>
        <w:t>由于施工人员践踏、机械作业对地表植被及土壤结构的破坏，将造成</w:t>
      </w:r>
      <w:r>
        <w:rPr>
          <w:rFonts w:cs="Times New Roman" w:hint="default"/>
          <w:spacing w:val="-4"/>
        </w:rPr>
        <w:t>成片的裸地，而项目区土壤质地多为</w:t>
      </w:r>
      <w:r>
        <w:rPr>
          <w:rFonts w:cs="Times New Roman" w:hint="default"/>
          <w:spacing w:val="-4"/>
        </w:rPr>
        <w:t>砂壤土</w:t>
      </w:r>
      <w:r>
        <w:rPr>
          <w:rFonts w:cs="Times New Roman" w:hint="default"/>
          <w:spacing w:val="-4"/>
        </w:rPr>
        <w:t>，遇暴雨或大风天气，将会引发水土流失。</w:t>
      </w:r>
    </w:p>
    <w:p w:rsidR="00A46452" w:rsidRDefault="009A3928">
      <w:pPr>
        <w:pStyle w:val="12"/>
        <w:widowControl w:val="0"/>
        <w:wordWrap w:val="0"/>
        <w:topLinePunct/>
        <w:adjustRightInd w:val="0"/>
        <w:snapToGrid w:val="0"/>
        <w:spacing w:after="0"/>
        <w:ind w:firstLine="472"/>
        <w:jc w:val="both"/>
        <w:rPr>
          <w:rFonts w:cs="Times New Roman" w:hint="default"/>
          <w:spacing w:val="-2"/>
        </w:rPr>
      </w:pPr>
      <w:r>
        <w:rPr>
          <w:rFonts w:cs="Times New Roman" w:hint="default"/>
          <w:spacing w:val="-2"/>
        </w:rPr>
        <w:t>施工期风蚀影响在大风天气下较为明显，施工过程中产生的堆积土，由于土质疏松，易被大风扬起沙尘，造成水土流失。</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7.1.9</w:t>
      </w:r>
      <w:r>
        <w:rPr>
          <w:rFonts w:cs="Times New Roman" w:hint="default"/>
          <w:sz w:val="28"/>
          <w:szCs w:val="28"/>
        </w:rPr>
        <w:t>对景观影响分析</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7.1.9.1</w:t>
      </w:r>
      <w:r>
        <w:rPr>
          <w:rFonts w:cs="Times New Roman" w:hint="default"/>
          <w:iCs/>
        </w:rPr>
        <w:t>施工期景观影响分析</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）路基工程对景观环境的影响</w:t>
      </w:r>
    </w:p>
    <w:p w:rsidR="00A46452" w:rsidRDefault="009A3928">
      <w:pPr>
        <w:wordWrap w:val="0"/>
        <w:topLinePunct/>
        <w:ind w:firstLine="480"/>
        <w:rPr>
          <w:rFonts w:cs="Times New Roman"/>
          <w:snapToGrid w:val="0"/>
          <w:lang w:val="zh-CN"/>
        </w:rPr>
      </w:pPr>
      <w:r>
        <w:rPr>
          <w:rFonts w:cs="Times New Roman"/>
          <w:snapToGrid w:val="0"/>
          <w:lang w:val="zh-CN"/>
        </w:rPr>
        <w:t>随着项目的实施，人为工程活动将对自然生态环境带来一定的影响，主要表现在施工期间砍伐林地、占用耕地、填筑路基等。路基填挖施工必将破坏长期以来形成的地形地貌和地表植被，影响动物栖息环境，破坏土体的自然平衡，引起斜坡失稳，水土流失，破坏原有的景观，从而对区域景观环境质量产生影响。根据环境现状调查可知，本项目沿线经过地区多为荒漠景观等，大量的施工机械和人员进驻给原有的景观环境增添了不和谐的景色。</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）桥梁工程</w:t>
      </w:r>
    </w:p>
    <w:p w:rsidR="00A46452" w:rsidRDefault="009A3928">
      <w:pPr>
        <w:wordWrap w:val="0"/>
        <w:topLinePunct/>
        <w:ind w:firstLine="480"/>
        <w:rPr>
          <w:rFonts w:cs="Times New Roman"/>
          <w:snapToGrid w:val="0"/>
          <w:lang w:val="zh-CN"/>
        </w:rPr>
      </w:pPr>
      <w:r>
        <w:rPr>
          <w:rFonts w:cs="Times New Roman"/>
          <w:snapToGrid w:val="0"/>
          <w:lang w:val="zh-CN"/>
        </w:rPr>
        <w:t>桥梁工程施工尤其是跨河渠下部结构施工对水体的颜色、浊度、流速、水质产生影响。</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）取（弃）土场对景观环</w:t>
      </w:r>
      <w:r>
        <w:rPr>
          <w:rFonts w:cs="Times New Roman"/>
          <w:snapToGrid w:val="0"/>
          <w:lang w:val="zh-CN"/>
        </w:rPr>
        <w:t>境的影响</w:t>
      </w:r>
    </w:p>
    <w:p w:rsidR="00A46452" w:rsidRDefault="009A3928">
      <w:pPr>
        <w:wordWrap w:val="0"/>
        <w:topLinePunct/>
        <w:ind w:firstLine="480"/>
        <w:rPr>
          <w:rFonts w:cs="Times New Roman"/>
          <w:snapToGrid w:val="0"/>
          <w:lang w:val="zh-CN"/>
        </w:rPr>
      </w:pPr>
      <w:r>
        <w:rPr>
          <w:rFonts w:cs="Times New Roman"/>
          <w:snapToGrid w:val="0"/>
          <w:lang w:val="zh-CN"/>
        </w:rPr>
        <w:t>取（弃）土场的设置，将直接破坏选址的原地形地貌及植被。弃渣场弃渣形成突兀、不规则的堆状物，与周围景观形成反差。同时，弃渣及运输作业过程中，旱季易形成扬尘，雨季易产生土壤侵蚀，对周围景观产生破坏和影响。</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4</w:t>
      </w:r>
      <w:r>
        <w:rPr>
          <w:rFonts w:cs="Times New Roman"/>
          <w:snapToGrid w:val="0"/>
          <w:lang w:val="zh-CN"/>
        </w:rPr>
        <w:t>）临时工程设施对景观环境的影响</w:t>
      </w:r>
    </w:p>
    <w:p w:rsidR="00A46452" w:rsidRDefault="009A3928">
      <w:pPr>
        <w:wordWrap w:val="0"/>
        <w:topLinePunct/>
        <w:ind w:firstLine="480"/>
        <w:rPr>
          <w:rFonts w:cs="Times New Roman"/>
          <w:snapToGrid w:val="0"/>
          <w:lang w:val="zh-CN"/>
        </w:rPr>
      </w:pPr>
      <w:r>
        <w:rPr>
          <w:rFonts w:cs="Times New Roman"/>
          <w:snapToGrid w:val="0"/>
          <w:lang w:val="zh-CN"/>
        </w:rPr>
        <w:t>施工期临时工程设施主要包括施工便道、施工</w:t>
      </w:r>
      <w:r>
        <w:rPr>
          <w:rFonts w:cs="Times New Roman"/>
          <w:snapToGrid w:val="0"/>
        </w:rPr>
        <w:t>驻地</w:t>
      </w:r>
      <w:r>
        <w:rPr>
          <w:rFonts w:cs="Times New Roman"/>
          <w:snapToGrid w:val="0"/>
          <w:lang w:val="zh-CN"/>
        </w:rPr>
        <w:t>、拌和站等。施工便道对景观的影响主要表现在施工期易产生扬尘污染；拌和站施工期间排放出烟尘和沥青烟，对区域景观环境形成不和谐的空气污染。</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lang w:val="zh-CN"/>
        </w:rPr>
      </w:pPr>
      <w:r>
        <w:rPr>
          <w:rFonts w:cs="Times New Roman" w:hint="default"/>
          <w:iCs/>
        </w:rPr>
        <w:t>7.1.9.2</w:t>
      </w:r>
      <w:r>
        <w:rPr>
          <w:rFonts w:cs="Times New Roman" w:hint="default"/>
          <w:iCs/>
        </w:rPr>
        <w:t>运营期</w:t>
      </w:r>
      <w:r>
        <w:rPr>
          <w:rFonts w:cs="Times New Roman" w:hint="default"/>
          <w:iCs/>
          <w:lang w:val="zh-CN"/>
        </w:rPr>
        <w:t>景观影响分析</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）路基工程对自然景观的切割影响</w:t>
      </w:r>
    </w:p>
    <w:p w:rsidR="00A46452" w:rsidRDefault="009A3928">
      <w:pPr>
        <w:wordWrap w:val="0"/>
        <w:topLinePunct/>
        <w:ind w:firstLine="480"/>
        <w:rPr>
          <w:rFonts w:cs="Times New Roman"/>
          <w:snapToGrid w:val="0"/>
          <w:lang w:val="zh-CN"/>
        </w:rPr>
      </w:pPr>
      <w:r>
        <w:rPr>
          <w:rFonts w:cs="Times New Roman"/>
          <w:snapToGrid w:val="0"/>
          <w:lang w:val="zh-CN"/>
        </w:rPr>
        <w:t>公路建成后，路</w:t>
      </w:r>
      <w:r>
        <w:rPr>
          <w:rFonts w:cs="Times New Roman"/>
          <w:snapToGrid w:val="0"/>
          <w:lang w:val="zh-CN"/>
        </w:rPr>
        <w:t>基工程对沿线原本的自然景观环境产生影响，使其空间被破坏。根据项目可研报告，受本项目建设影响的景观类型主要为绿洲农业</w:t>
      </w:r>
      <w:r>
        <w:rPr>
          <w:rFonts w:cs="Times New Roman"/>
          <w:snapToGrid w:val="0"/>
        </w:rPr>
        <w:t>景观及荒漠生态景观，</w:t>
      </w:r>
      <w:r>
        <w:rPr>
          <w:rFonts w:cs="Times New Roman"/>
          <w:snapToGrid w:val="0"/>
          <w:lang w:val="zh-CN"/>
        </w:rPr>
        <w:t>农田景观的敏感性较高，阈值较高，</w:t>
      </w:r>
      <w:r>
        <w:rPr>
          <w:rFonts w:cs="Times New Roman"/>
          <w:snapToGrid w:val="0"/>
        </w:rPr>
        <w:t>本项目在绿洲区大部分为原有公路的改扩建，对自然景观影响并不显著</w:t>
      </w:r>
      <w:r>
        <w:rPr>
          <w:rFonts w:cs="Times New Roman"/>
          <w:snapToGrid w:val="0"/>
          <w:lang w:val="zh-CN"/>
        </w:rPr>
        <w:t>。</w:t>
      </w:r>
      <w:r>
        <w:rPr>
          <w:rFonts w:cs="Times New Roman"/>
          <w:snapToGrid w:val="0"/>
        </w:rPr>
        <w:t>荒漠区</w:t>
      </w:r>
      <w:r>
        <w:rPr>
          <w:rFonts w:cs="Times New Roman"/>
          <w:snapToGrid w:val="0"/>
          <w:lang w:val="zh-CN"/>
        </w:rPr>
        <w:t>里新建一条公路为整个</w:t>
      </w:r>
      <w:r>
        <w:rPr>
          <w:rFonts w:cs="Times New Roman"/>
          <w:snapToGrid w:val="0"/>
        </w:rPr>
        <w:t>荒漠</w:t>
      </w:r>
      <w:r>
        <w:rPr>
          <w:rFonts w:cs="Times New Roman"/>
          <w:snapToGrid w:val="0"/>
          <w:lang w:val="zh-CN"/>
        </w:rPr>
        <w:t>区增加了人文景观。</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）取弃土场对景观的影响</w:t>
      </w:r>
    </w:p>
    <w:p w:rsidR="00A46452" w:rsidRDefault="009A3928">
      <w:pPr>
        <w:wordWrap w:val="0"/>
        <w:topLinePunct/>
        <w:ind w:firstLine="480"/>
        <w:rPr>
          <w:rFonts w:cs="Times New Roman"/>
          <w:snapToGrid w:val="0"/>
          <w:lang w:val="zh-CN"/>
        </w:rPr>
      </w:pPr>
      <w:r>
        <w:rPr>
          <w:rFonts w:cs="Times New Roman"/>
          <w:snapToGrid w:val="0"/>
          <w:lang w:val="zh-CN"/>
        </w:rPr>
        <w:t>本项目建设将在公路沿线两侧一定范围内设置取（弃）土场。</w:t>
      </w:r>
    </w:p>
    <w:p w:rsidR="00A46452" w:rsidRDefault="009A3928">
      <w:pPr>
        <w:wordWrap w:val="0"/>
        <w:topLinePunct/>
        <w:ind w:firstLine="480"/>
        <w:rPr>
          <w:rFonts w:cs="Times New Roman"/>
          <w:snapToGrid w:val="0"/>
          <w:lang w:val="zh-CN"/>
        </w:rPr>
      </w:pPr>
      <w:r>
        <w:rPr>
          <w:rFonts w:cs="Times New Roman"/>
          <w:snapToGrid w:val="0"/>
          <w:lang w:val="zh-CN"/>
        </w:rPr>
        <w:t>取（弃）土场主要为风沙土，在营运初期，取弃土（渣）与周围景观环境在色彩、形态、质感等方面差别较大，对行车者的视觉冲击较大。</w:t>
      </w:r>
    </w:p>
    <w:p w:rsidR="00A46452" w:rsidRDefault="009A3928">
      <w:pPr>
        <w:wordWrap w:val="0"/>
        <w:topLinePunct/>
        <w:ind w:firstLine="480"/>
        <w:rPr>
          <w:rFonts w:cs="Times New Roman"/>
          <w:snapToGrid w:val="0"/>
          <w:lang w:val="zh-CN"/>
        </w:rPr>
      </w:pPr>
      <w:r>
        <w:rPr>
          <w:rFonts w:cs="Times New Roman"/>
          <w:snapToGrid w:val="0"/>
          <w:lang w:val="zh-CN"/>
        </w:rPr>
        <w:t>景观距离视点的距离越近、</w:t>
      </w:r>
      <w:r>
        <w:rPr>
          <w:rFonts w:cs="Times New Roman"/>
          <w:snapToGrid w:val="0"/>
          <w:lang w:val="zh-CN"/>
        </w:rPr>
        <w:t>相对坡度越高，景观的敏感性就越高，对人的视觉冲击就越大。为减缓营运期取（弃）土场对公路景观的影响，取（弃）土场宜设置在近景带以外，即设置在距离公路中心线</w:t>
      </w:r>
      <w:r>
        <w:rPr>
          <w:rFonts w:cs="Times New Roman"/>
          <w:snapToGrid w:val="0"/>
          <w:lang w:val="zh-CN"/>
        </w:rPr>
        <w:t>400m</w:t>
      </w:r>
      <w:r>
        <w:rPr>
          <w:rFonts w:cs="Times New Roman"/>
          <w:snapToGrid w:val="0"/>
          <w:lang w:val="zh-CN"/>
        </w:rPr>
        <w:t>以外。</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3</w:t>
      </w:r>
      <w:r>
        <w:rPr>
          <w:rFonts w:cs="Times New Roman"/>
          <w:snapToGrid w:val="0"/>
        </w:rPr>
        <w:t>）公路构筑物对景观环境的影响</w:t>
      </w:r>
    </w:p>
    <w:p w:rsidR="00A46452" w:rsidRDefault="009A3928">
      <w:pPr>
        <w:wordWrap w:val="0"/>
        <w:topLinePunct/>
        <w:ind w:firstLine="480"/>
        <w:rPr>
          <w:rFonts w:cs="Times New Roman"/>
          <w:snapToGrid w:val="0"/>
        </w:rPr>
      </w:pPr>
      <w:r>
        <w:rPr>
          <w:rFonts w:cs="Times New Roman"/>
          <w:snapToGrid w:val="0"/>
        </w:rPr>
        <w:t>本项目建成后，公路路基等构筑物将改变沿线传统的视觉环境，使沿线景观环境受到影响。一方面，高大的路堤阻挡沿线居民的视野，阻断景观廊道等，都造成景观影响。另一方面，公路构筑物也形成了公路上特有的风景线，可能将建筑物与周围景观融为一体。由于本项目尚处于工可研究阶段，无详细资料来评价这些构筑物对景观环境的具体影响程度</w:t>
      </w:r>
      <w:r>
        <w:rPr>
          <w:rFonts w:cs="Times New Roman"/>
          <w:snapToGrid w:val="0"/>
        </w:rPr>
        <w:t>。建议在下一阶段设计中，研究公路路基周围的景观环境现状，开展景观设计，使这些构筑物形状、色彩、质感、体量与周围环境相协调，使公路内部景观融入外部景观，降低对周围景观环境的影响。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7.1.9.3</w:t>
      </w:r>
      <w:r>
        <w:rPr>
          <w:rFonts w:cs="Times New Roman" w:hint="default"/>
          <w:iCs/>
        </w:rPr>
        <w:t>景观生态体系质量综合评价</w:t>
      </w:r>
    </w:p>
    <w:p w:rsidR="00A46452" w:rsidRDefault="009A3928" w:rsidP="00182EED">
      <w:pPr>
        <w:ind w:firstLine="480"/>
        <w:rPr>
          <w:rFonts w:cs="Times New Roman"/>
        </w:rPr>
      </w:pPr>
      <w:r>
        <w:rPr>
          <w:rFonts w:cs="Times New Roman"/>
        </w:rPr>
        <w:t>（</w:t>
      </w:r>
      <w:r>
        <w:rPr>
          <w:rFonts w:cs="Times New Roman"/>
        </w:rPr>
        <w:t>1</w:t>
      </w:r>
      <w:r>
        <w:rPr>
          <w:rFonts w:cs="Times New Roman"/>
        </w:rPr>
        <w:t>）恢复稳定性和阻抗稳定性分析</w:t>
      </w:r>
    </w:p>
    <w:p w:rsidR="00A46452" w:rsidRDefault="009A3928" w:rsidP="00182EED">
      <w:pPr>
        <w:ind w:firstLine="480"/>
        <w:rPr>
          <w:rFonts w:cs="Times New Roman"/>
        </w:rPr>
      </w:pPr>
      <w:r>
        <w:rPr>
          <w:rFonts w:cs="Times New Roman"/>
        </w:rPr>
        <w:t>生态体系的稳定状况包括两个特征，即恢复和阻抗。恢复稳定性与高亚稳定元素（如植被）的数量和生产能力较为密切，植被生产力越高，其恢复稳定性越强，反之则弱。阻抗稳定性与景观异质性关系紧密。</w:t>
      </w:r>
    </w:p>
    <w:p w:rsidR="00A46452" w:rsidRDefault="009A3928" w:rsidP="00182EED">
      <w:pPr>
        <w:ind w:firstLine="480"/>
        <w:rPr>
          <w:rFonts w:cs="Times New Roman"/>
        </w:rPr>
      </w:pPr>
      <w:r>
        <w:rPr>
          <w:rFonts w:cs="Times New Roman"/>
        </w:rPr>
        <w:t>工程建成后，评价范围内各种土地利用类型发生了变化，耕地、林地、草地、园地、未利用地等面积减少，建设用地面积（主要是站场、路基等占地）增加。评价范围内土地利用类型中除草地和林地下降幅度稍大外，其他各种植被类型的面积和比例与现状相差不大；评价范围内主要以荒漠生态系统、森林生态系统和农田生态系统为主，森林生态系统主要以落叶阔叶林和落叶灌丛为主，生物组分较为简单，系统内的阻抗稳定性取决于人类活动，本工程对其阻抗稳定性影响较小。</w:t>
      </w:r>
    </w:p>
    <w:p w:rsidR="00A46452" w:rsidRDefault="009A3928" w:rsidP="00182EED">
      <w:pPr>
        <w:ind w:firstLine="480"/>
        <w:rPr>
          <w:rFonts w:cs="Times New Roman"/>
        </w:rPr>
      </w:pPr>
      <w:r>
        <w:rPr>
          <w:rFonts w:cs="Times New Roman"/>
        </w:rPr>
        <w:t>工程施工过程中虽占用林地，但由于公路工程为线性分布，尤其是线路选线过程避让了覆盖度高的区</w:t>
      </w:r>
      <w:r>
        <w:rPr>
          <w:rFonts w:cs="Times New Roman"/>
        </w:rPr>
        <w:t>域，避免了工程对大量林木的破坏。故本工程对森林生态系统内的生物组分破坏较小，系统内的阻抗稳定性变化甚微。</w:t>
      </w:r>
    </w:p>
    <w:p w:rsidR="00A46452" w:rsidRDefault="009A3928" w:rsidP="00182EED">
      <w:pPr>
        <w:ind w:firstLine="480"/>
        <w:rPr>
          <w:rFonts w:cs="Times New Roman"/>
        </w:rPr>
      </w:pPr>
      <w:r>
        <w:rPr>
          <w:rFonts w:cs="Times New Roman"/>
        </w:rPr>
        <w:t>工程建成后林地、耕地、草地、园地、水域等生态系统的恢复能力较强，恢复稳定性受影响轻微。</w:t>
      </w:r>
    </w:p>
    <w:p w:rsidR="00A46452" w:rsidRDefault="009A3928" w:rsidP="00182EED">
      <w:pPr>
        <w:ind w:firstLine="480"/>
        <w:rPr>
          <w:rFonts w:cs="Times New Roman"/>
        </w:rPr>
      </w:pPr>
      <w:r>
        <w:rPr>
          <w:rFonts w:cs="Times New Roman"/>
        </w:rPr>
        <w:t>通过以上分析，工程建设不可避免地占用沿线部分土地，但对土地利用格局的影响不大，对土地生产力及生物量的影响轻微，生态系统的恢复稳定性和阻抗稳定性不会发生明显改变，不会影响生态系统的自我调节能力。随着施工结束后绿化复垦等措施的实施，生态系统的生产能力、生物量将逐步得到恢复，工程对系统内阻抗稳定性和恢复稳定性影响较小。</w:t>
      </w:r>
    </w:p>
    <w:p w:rsidR="00A46452" w:rsidRDefault="009A3928" w:rsidP="00182EED">
      <w:pPr>
        <w:ind w:firstLine="480"/>
        <w:rPr>
          <w:rFonts w:cs="Times New Roman"/>
        </w:rPr>
      </w:pPr>
      <w:r>
        <w:rPr>
          <w:rFonts w:cs="Times New Roman"/>
        </w:rPr>
        <w:t>（</w:t>
      </w:r>
      <w:r>
        <w:rPr>
          <w:rFonts w:cs="Times New Roman"/>
        </w:rPr>
        <w:t>2</w:t>
      </w:r>
      <w:r>
        <w:rPr>
          <w:rFonts w:cs="Times New Roman"/>
        </w:rPr>
        <w:t>）景观生态体系质量综合评价</w:t>
      </w:r>
    </w:p>
    <w:p w:rsidR="00A46452" w:rsidRDefault="009A3928" w:rsidP="00182EED">
      <w:pPr>
        <w:ind w:firstLine="480"/>
        <w:rPr>
          <w:rFonts w:cs="Times New Roman"/>
        </w:rPr>
      </w:pPr>
      <w:r>
        <w:rPr>
          <w:rFonts w:cs="Times New Roman"/>
        </w:rPr>
        <w:t>工程实施前后的各景观类型优势度值计算结果见表</w:t>
      </w:r>
      <w:r>
        <w:rPr>
          <w:rFonts w:cs="Times New Roman" w:hint="eastAsia"/>
        </w:rPr>
        <w:t>7</w:t>
      </w:r>
      <w:r>
        <w:rPr>
          <w:rFonts w:cs="Times New Roman"/>
        </w:rPr>
        <w:t>.1-5</w:t>
      </w:r>
      <w:r>
        <w:rPr>
          <w:rFonts w:cs="Times New Roman"/>
        </w:rPr>
        <w:t>。</w:t>
      </w:r>
      <w:r>
        <w:rPr>
          <w:rFonts w:cs="Times New Roman"/>
        </w:rPr>
        <w:t xml:space="preserve"> </w:t>
      </w:r>
    </w:p>
    <w:p w:rsidR="00A46452" w:rsidRDefault="009A3928">
      <w:pPr>
        <w:spacing w:line="240" w:lineRule="auto"/>
        <w:ind w:firstLineChars="0" w:firstLine="0"/>
        <w:rPr>
          <w:rFonts w:cs="Times New Roman"/>
          <w:b/>
          <w:bCs/>
        </w:rPr>
      </w:pPr>
      <w:r>
        <w:rPr>
          <w:rFonts w:cs="Times New Roman"/>
          <w:b/>
          <w:bCs/>
        </w:rPr>
        <w:t>表</w:t>
      </w:r>
      <w:r>
        <w:rPr>
          <w:rFonts w:cs="Times New Roman" w:hint="eastAsia"/>
          <w:b/>
          <w:bCs/>
        </w:rPr>
        <w:t>7</w:t>
      </w:r>
      <w:r>
        <w:rPr>
          <w:rFonts w:cs="Times New Roman"/>
          <w:b/>
          <w:bCs/>
        </w:rPr>
        <w:t>.1-5</w:t>
      </w:r>
      <w:r>
        <w:rPr>
          <w:rFonts w:cs="Times New Roman"/>
          <w:b/>
          <w:bCs/>
        </w:rPr>
        <w:t xml:space="preserve">          </w:t>
      </w:r>
      <w:r>
        <w:rPr>
          <w:rFonts w:cs="Times New Roman"/>
          <w:b/>
          <w:bCs/>
        </w:rPr>
        <w:t xml:space="preserve">    </w:t>
      </w:r>
      <w:r>
        <w:rPr>
          <w:rFonts w:cs="Times New Roman"/>
          <w:b/>
          <w:bCs/>
        </w:rPr>
        <w:t>工程实施前</w:t>
      </w:r>
      <w:r>
        <w:rPr>
          <w:rFonts w:cs="Times New Roman"/>
          <w:b/>
          <w:bCs/>
        </w:rPr>
        <w:t>后</w:t>
      </w:r>
      <w:r>
        <w:rPr>
          <w:rFonts w:cs="Times New Roman"/>
          <w:b/>
          <w:bCs/>
        </w:rPr>
        <w:t>主要景观类型</w:t>
      </w:r>
      <w:r>
        <w:rPr>
          <w:rFonts w:cs="Times New Roman"/>
          <w:b/>
          <w:bCs/>
        </w:rPr>
        <w:t>指数对比表</w:t>
      </w:r>
    </w:p>
    <w:tbl>
      <w:tblPr>
        <w:tblW w:w="8715"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93"/>
        <w:gridCol w:w="911"/>
        <w:gridCol w:w="1152"/>
        <w:gridCol w:w="994"/>
        <w:gridCol w:w="994"/>
        <w:gridCol w:w="1383"/>
        <w:gridCol w:w="994"/>
        <w:gridCol w:w="994"/>
      </w:tblGrid>
      <w:tr w:rsidR="00A46452">
        <w:trPr>
          <w:trHeight w:val="288"/>
          <w:jc w:val="center"/>
        </w:trPr>
        <w:tc>
          <w:tcPr>
            <w:tcW w:w="2204" w:type="dxa"/>
            <w:gridSpan w:val="2"/>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景观类型</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建设用地景观</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耕地景观</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水域景观</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未利用地景观</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草地景观</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林地景观</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斑块类型面积（</w:t>
            </w:r>
            <w:r>
              <w:rPr>
                <w:rFonts w:cs="Times New Roman"/>
                <w:sz w:val="21"/>
              </w:rPr>
              <w:t>CA</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298.96</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3032.36</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57.16</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4127.68</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1061.92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3037.12</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556.36</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2978.12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56.52</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4053.16</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1033.40</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2946.20</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斑块所占景观面积比例（</w:t>
            </w:r>
            <w:r>
              <w:rPr>
                <w:rFonts w:cs="Times New Roman"/>
                <w:sz w:val="21"/>
              </w:rPr>
              <w:t>PLAND</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2.57</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26.11</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0.49</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35.54</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9.14</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26.15</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4.79</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25.62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0.49</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34.63</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8.89</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25.58</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最大斑块指数（</w:t>
            </w:r>
            <w:r>
              <w:rPr>
                <w:rFonts w:cs="Times New Roman"/>
                <w:sz w:val="21"/>
              </w:rPr>
              <w:t>LPI</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0.87</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3.86</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0.09</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24.52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4.68</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7.70</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1.27</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3.78</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0.06</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23.74</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4.55</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7.59</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散布与并列指数（</w:t>
            </w:r>
            <w:r>
              <w:rPr>
                <w:rFonts w:cs="Times New Roman"/>
                <w:sz w:val="21"/>
              </w:rPr>
              <w:t>IJI</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71.77</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79.50</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72.67</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85.24</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94.79</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85.34</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83.60</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76.87</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75.02</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69.35</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78.19</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82.92</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聚集度指数（</w:t>
            </w:r>
            <w:r>
              <w:rPr>
                <w:rFonts w:cs="Times New Roman"/>
                <w:sz w:val="21"/>
              </w:rPr>
              <w:t>AI</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79.95</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96.12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56.87</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98.21</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97.34</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96.06</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1152"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70.98</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95.32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56.47</w:t>
            </w:r>
          </w:p>
        </w:tc>
        <w:tc>
          <w:tcPr>
            <w:tcW w:w="138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97.18</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95.92</w:t>
            </w:r>
          </w:p>
        </w:tc>
        <w:tc>
          <w:tcPr>
            <w:tcW w:w="99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95.21</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蔓延度指数（</w:t>
            </w:r>
            <w:r>
              <w:rPr>
                <w:rFonts w:cs="Times New Roman"/>
                <w:sz w:val="21"/>
              </w:rPr>
              <w:t>CONTAG</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56.38</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53.27</w:t>
            </w:r>
          </w:p>
        </w:tc>
      </w:tr>
      <w:tr w:rsidR="00A46452">
        <w:trPr>
          <w:trHeight w:val="288"/>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变化量</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-3.11</w:t>
            </w:r>
          </w:p>
        </w:tc>
      </w:tr>
      <w:tr w:rsidR="00A46452">
        <w:trPr>
          <w:trHeight w:val="312"/>
          <w:jc w:val="center"/>
        </w:trPr>
        <w:tc>
          <w:tcPr>
            <w:tcW w:w="1293" w:type="dxa"/>
            <w:vMerge w:val="restart"/>
            <w:tcBorders>
              <w:tl2br w:val="nil"/>
              <w:tr2bl w:val="nil"/>
            </w:tcBorders>
            <w:shd w:val="clear" w:color="auto" w:fill="auto"/>
            <w:vAlign w:val="center"/>
          </w:tcPr>
          <w:p w:rsidR="00A46452" w:rsidRDefault="009A3928">
            <w:pPr>
              <w:spacing w:line="240" w:lineRule="auto"/>
              <w:ind w:firstLineChars="0" w:firstLine="0"/>
              <w:rPr>
                <w:rFonts w:cs="Times New Roman"/>
                <w:sz w:val="21"/>
              </w:rPr>
            </w:pPr>
            <w:r>
              <w:rPr>
                <w:rFonts w:cs="Times New Roman"/>
                <w:sz w:val="21"/>
              </w:rPr>
              <w:t>香农多样性指数（</w:t>
            </w:r>
            <w:r>
              <w:rPr>
                <w:rFonts w:cs="Times New Roman"/>
                <w:sz w:val="21"/>
              </w:rPr>
              <w:t>SHDI</w:t>
            </w:r>
            <w:r>
              <w:rPr>
                <w:rFonts w:cs="Times New Roman"/>
                <w:sz w:val="21"/>
              </w:rPr>
              <w:t>）</w:t>
            </w: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现状年</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1.41</w:t>
            </w:r>
          </w:p>
        </w:tc>
      </w:tr>
      <w:tr w:rsidR="00A46452">
        <w:trPr>
          <w:trHeight w:val="312"/>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建设后</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1.45</w:t>
            </w:r>
          </w:p>
        </w:tc>
      </w:tr>
      <w:tr w:rsidR="00A46452">
        <w:trPr>
          <w:trHeight w:val="288"/>
          <w:jc w:val="center"/>
        </w:trPr>
        <w:tc>
          <w:tcPr>
            <w:tcW w:w="1293" w:type="dxa"/>
            <w:vMerge/>
            <w:tcBorders>
              <w:tl2br w:val="nil"/>
              <w:tr2bl w:val="nil"/>
            </w:tcBorders>
            <w:shd w:val="clear" w:color="auto" w:fill="auto"/>
            <w:vAlign w:val="center"/>
          </w:tcPr>
          <w:p w:rsidR="00A46452" w:rsidRDefault="00A46452">
            <w:pPr>
              <w:spacing w:line="240" w:lineRule="auto"/>
              <w:ind w:firstLineChars="0" w:firstLine="0"/>
              <w:jc w:val="center"/>
              <w:rPr>
                <w:rFonts w:cs="Times New Roman"/>
                <w:sz w:val="21"/>
              </w:rPr>
            </w:pPr>
          </w:p>
        </w:tc>
        <w:tc>
          <w:tcPr>
            <w:tcW w:w="9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变化量</w:t>
            </w:r>
          </w:p>
        </w:tc>
        <w:tc>
          <w:tcPr>
            <w:tcW w:w="6511" w:type="dxa"/>
            <w:gridSpan w:val="6"/>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21"/>
              </w:rPr>
            </w:pPr>
            <w:r>
              <w:rPr>
                <w:rFonts w:cs="Times New Roman"/>
                <w:sz w:val="21"/>
              </w:rPr>
              <w:t>0.04</w:t>
            </w:r>
          </w:p>
        </w:tc>
      </w:tr>
    </w:tbl>
    <w:p w:rsidR="00A46452" w:rsidRDefault="009A3928" w:rsidP="00182EED">
      <w:pPr>
        <w:ind w:firstLine="480"/>
        <w:rPr>
          <w:rFonts w:cs="Times New Roman"/>
        </w:rPr>
      </w:pPr>
      <w:r>
        <w:rPr>
          <w:rFonts w:cs="Times New Roman"/>
        </w:rPr>
        <w:t>由上表数据显示可知，</w:t>
      </w:r>
      <w:r>
        <w:rPr>
          <w:rFonts w:cs="Times New Roman"/>
        </w:rPr>
        <w:t>工程建成后</w:t>
      </w:r>
      <w:r>
        <w:rPr>
          <w:rFonts w:cs="Times New Roman"/>
        </w:rPr>
        <w:t>评价区域内，以</w:t>
      </w:r>
      <w:r>
        <w:rPr>
          <w:rFonts w:cs="Times New Roman"/>
        </w:rPr>
        <w:t>沙地、盐碱地、裸岩石砾地和裸土地</w:t>
      </w:r>
      <w:r>
        <w:rPr>
          <w:rFonts w:cs="Times New Roman"/>
        </w:rPr>
        <w:t>为主的</w:t>
      </w:r>
      <w:r>
        <w:rPr>
          <w:rFonts w:cs="Times New Roman"/>
        </w:rPr>
        <w:t>未利用地</w:t>
      </w:r>
      <w:r>
        <w:rPr>
          <w:rFonts w:cs="Times New Roman"/>
        </w:rPr>
        <w:t>景观的斑块类型面积（</w:t>
      </w:r>
      <w:r>
        <w:rPr>
          <w:rFonts w:cs="Times New Roman"/>
        </w:rPr>
        <w:t>CA</w:t>
      </w:r>
      <w:r>
        <w:rPr>
          <w:rFonts w:cs="Times New Roman"/>
        </w:rPr>
        <w:t>）为</w:t>
      </w:r>
      <w:r>
        <w:rPr>
          <w:rFonts w:cs="Times New Roman"/>
        </w:rPr>
        <w:t>4053.16</w:t>
      </w:r>
      <w:r>
        <w:rPr>
          <w:rFonts w:cs="Times New Roman"/>
        </w:rPr>
        <w:t>，斑块所占景观面积比例（</w:t>
      </w:r>
      <w:r>
        <w:rPr>
          <w:rFonts w:cs="Times New Roman"/>
        </w:rPr>
        <w:t>PLAND</w:t>
      </w:r>
      <w:r>
        <w:rPr>
          <w:rFonts w:cs="Times New Roman"/>
        </w:rPr>
        <w:t>）为</w:t>
      </w:r>
      <w:r>
        <w:rPr>
          <w:rFonts w:cs="Times New Roman"/>
        </w:rPr>
        <w:t>34.63</w:t>
      </w:r>
      <w:r>
        <w:rPr>
          <w:rFonts w:cs="Times New Roman"/>
        </w:rPr>
        <w:t>，最大斑块指数（</w:t>
      </w:r>
      <w:r>
        <w:rPr>
          <w:rFonts w:cs="Times New Roman"/>
        </w:rPr>
        <w:t>LPI</w:t>
      </w:r>
      <w:r>
        <w:rPr>
          <w:rFonts w:cs="Times New Roman"/>
        </w:rPr>
        <w:t>）为</w:t>
      </w:r>
      <w:r>
        <w:rPr>
          <w:rFonts w:cs="Times New Roman"/>
        </w:rPr>
        <w:t>23.74</w:t>
      </w:r>
      <w:r>
        <w:rPr>
          <w:rFonts w:cs="Times New Roman"/>
        </w:rPr>
        <w:t>，均远大于其他景观类型，说明</w:t>
      </w:r>
      <w:r>
        <w:rPr>
          <w:rFonts w:cs="Times New Roman"/>
        </w:rPr>
        <w:t>未利用地</w:t>
      </w:r>
      <w:r>
        <w:rPr>
          <w:rFonts w:cs="Times New Roman"/>
        </w:rPr>
        <w:t>景观相对面积大，连通程度高，</w:t>
      </w:r>
      <w:r>
        <w:rPr>
          <w:rFonts w:cs="Times New Roman"/>
        </w:rPr>
        <w:t>工程建成后未利用地依然为</w:t>
      </w:r>
      <w:r>
        <w:rPr>
          <w:rFonts w:cs="Times New Roman"/>
        </w:rPr>
        <w:t>评价区域的模地。</w:t>
      </w:r>
      <w:r>
        <w:rPr>
          <w:rFonts w:cs="Times New Roman"/>
        </w:rPr>
        <w:t>工程建成后，林地景观、未利用地景观、草地景观、耕地景观和水域景观均有所下降，主要原因是工程建成后占用了这些景观，将其转化为以公路用地为主的建设用地景观。工程建设后对生态环境有较强调控能力的林地景观斑块所占景观面积比例（</w:t>
      </w:r>
      <w:r>
        <w:rPr>
          <w:rFonts w:cs="Times New Roman"/>
        </w:rPr>
        <w:t>PLAND</w:t>
      </w:r>
      <w:r>
        <w:rPr>
          <w:rFonts w:cs="Times New Roman"/>
        </w:rPr>
        <w:t>）为</w:t>
      </w:r>
      <w:r>
        <w:rPr>
          <w:rFonts w:cs="Times New Roman"/>
        </w:rPr>
        <w:t>25.58</w:t>
      </w:r>
      <w:r>
        <w:rPr>
          <w:rFonts w:cs="Times New Roman"/>
        </w:rPr>
        <w:t>，最大斑块指数（</w:t>
      </w:r>
      <w:r>
        <w:rPr>
          <w:rFonts w:cs="Times New Roman"/>
        </w:rPr>
        <w:t>LPI</w:t>
      </w:r>
      <w:r>
        <w:rPr>
          <w:rFonts w:cs="Times New Roman"/>
        </w:rPr>
        <w:t>）为</w:t>
      </w:r>
      <w:r>
        <w:rPr>
          <w:rFonts w:cs="Times New Roman"/>
        </w:rPr>
        <w:t>7.59</w:t>
      </w:r>
      <w:r>
        <w:rPr>
          <w:rFonts w:cs="Times New Roman"/>
        </w:rPr>
        <w:t>，斑块类型面积（</w:t>
      </w:r>
      <w:r>
        <w:rPr>
          <w:rFonts w:cs="Times New Roman"/>
        </w:rPr>
        <w:t>CA</w:t>
      </w:r>
      <w:r>
        <w:rPr>
          <w:rFonts w:cs="Times New Roman"/>
        </w:rPr>
        <w:t>），由</w:t>
      </w:r>
      <w:r>
        <w:rPr>
          <w:rFonts w:cs="Times New Roman"/>
        </w:rPr>
        <w:t>3037.12</w:t>
      </w:r>
      <w:r>
        <w:rPr>
          <w:rFonts w:cs="Times New Roman"/>
        </w:rPr>
        <w:t>降至</w:t>
      </w:r>
      <w:r>
        <w:rPr>
          <w:rFonts w:cs="Times New Roman"/>
        </w:rPr>
        <w:t>29</w:t>
      </w:r>
      <w:r>
        <w:rPr>
          <w:rFonts w:cs="Times New Roman"/>
        </w:rPr>
        <w:t>46.20</w:t>
      </w:r>
      <w:r>
        <w:rPr>
          <w:rFonts w:cs="Times New Roman"/>
        </w:rPr>
        <w:t>，降幅约为</w:t>
      </w:r>
      <w:r>
        <w:rPr>
          <w:rFonts w:cs="Times New Roman"/>
        </w:rPr>
        <w:t>2.99%</w:t>
      </w:r>
      <w:r>
        <w:rPr>
          <w:rFonts w:cs="Times New Roman"/>
        </w:rPr>
        <w:t>，虽然工程建成后林地斑块减少，但相对于评价范围而言，数值均较高，仅次于未利用地景观，说明林地景观分布面积较大，在该区域的分布较多，对林地景观影响不大；</w:t>
      </w:r>
      <w:r>
        <w:rPr>
          <w:rFonts w:cs="Times New Roman"/>
        </w:rPr>
        <w:t>建设用地景观的聚集度指数（</w:t>
      </w:r>
      <w:r>
        <w:rPr>
          <w:rFonts w:cs="Times New Roman"/>
        </w:rPr>
        <w:t>AI</w:t>
      </w:r>
      <w:r>
        <w:rPr>
          <w:rFonts w:cs="Times New Roman"/>
        </w:rPr>
        <w:t>）为</w:t>
      </w:r>
      <w:r>
        <w:rPr>
          <w:rFonts w:cs="Times New Roman"/>
        </w:rPr>
        <w:t>70.98</w:t>
      </w:r>
      <w:r>
        <w:rPr>
          <w:rFonts w:cs="Times New Roman"/>
        </w:rPr>
        <w:t>，说明建设用地景观</w:t>
      </w:r>
      <w:r>
        <w:rPr>
          <w:rFonts w:cs="Times New Roman"/>
        </w:rPr>
        <w:t>在</w:t>
      </w:r>
      <w:r>
        <w:rPr>
          <w:rFonts w:cs="Times New Roman"/>
        </w:rPr>
        <w:t>评价区内分布</w:t>
      </w:r>
      <w:r>
        <w:rPr>
          <w:rFonts w:cs="Times New Roman"/>
        </w:rPr>
        <w:t>比建设前较为破碎</w:t>
      </w:r>
      <w:r>
        <w:rPr>
          <w:rFonts w:cs="Times New Roman"/>
        </w:rPr>
        <w:t>，破碎化程度</w:t>
      </w:r>
      <w:r>
        <w:rPr>
          <w:rFonts w:cs="Times New Roman"/>
        </w:rPr>
        <w:t>增加</w:t>
      </w:r>
      <w:r>
        <w:rPr>
          <w:rFonts w:cs="Times New Roman"/>
        </w:rPr>
        <w:t>，集中连接程度</w:t>
      </w:r>
      <w:r>
        <w:rPr>
          <w:rFonts w:cs="Times New Roman"/>
        </w:rPr>
        <w:t>有所下降，主要是公路作为线性人工廊道，直接切割原有连续的建设用地斑块</w:t>
      </w:r>
      <w:r>
        <w:rPr>
          <w:rFonts w:cs="Times New Roman"/>
        </w:rPr>
        <w:t>；</w:t>
      </w:r>
      <w:r>
        <w:rPr>
          <w:rFonts w:cs="Times New Roman"/>
        </w:rPr>
        <w:t>未利用地</w:t>
      </w:r>
      <w:r>
        <w:rPr>
          <w:rFonts w:cs="Times New Roman"/>
        </w:rPr>
        <w:t>景观斑块所占景观面积比例（</w:t>
      </w:r>
      <w:r>
        <w:rPr>
          <w:rFonts w:cs="Times New Roman"/>
        </w:rPr>
        <w:t>PLAND</w:t>
      </w:r>
      <w:r>
        <w:rPr>
          <w:rFonts w:cs="Times New Roman"/>
        </w:rPr>
        <w:t>）为</w:t>
      </w:r>
      <w:r>
        <w:rPr>
          <w:rFonts w:cs="Times New Roman"/>
        </w:rPr>
        <w:t>34.63</w:t>
      </w:r>
      <w:r>
        <w:rPr>
          <w:rFonts w:cs="Times New Roman"/>
        </w:rPr>
        <w:t>，散布与并列指数（</w:t>
      </w:r>
      <w:r>
        <w:rPr>
          <w:rFonts w:cs="Times New Roman"/>
        </w:rPr>
        <w:t>IJI</w:t>
      </w:r>
      <w:r>
        <w:rPr>
          <w:rFonts w:cs="Times New Roman"/>
        </w:rPr>
        <w:t>）为</w:t>
      </w:r>
      <w:r>
        <w:rPr>
          <w:rFonts w:cs="Times New Roman"/>
        </w:rPr>
        <w:t>69.35</w:t>
      </w:r>
      <w:r>
        <w:rPr>
          <w:rFonts w:cs="Times New Roman"/>
        </w:rPr>
        <w:t>，说明未利用地受自然条件（水分、土壤条件）制约分布特征较明显，分布区域</w:t>
      </w:r>
      <w:r>
        <w:rPr>
          <w:rFonts w:cs="Times New Roman"/>
        </w:rPr>
        <w:t>依然</w:t>
      </w:r>
      <w:r>
        <w:rPr>
          <w:rFonts w:cs="Times New Roman"/>
        </w:rPr>
        <w:t>较为集中，</w:t>
      </w:r>
      <w:r>
        <w:rPr>
          <w:rFonts w:cs="Times New Roman"/>
        </w:rPr>
        <w:t>但由于</w:t>
      </w:r>
      <w:r>
        <w:rPr>
          <w:rFonts w:cs="Times New Roman"/>
        </w:rPr>
        <w:t>公路作为线性人工屏障，直接切割未利用地，将其分割为更小、更分散的斑块；</w:t>
      </w:r>
      <w:r>
        <w:rPr>
          <w:rFonts w:cs="Times New Roman"/>
        </w:rPr>
        <w:t>耕地景观指数因子相比于建设前景观指数因子有所降低，但相比于整个评价范围内而言，变化及影响程度不大</w:t>
      </w:r>
      <w:r>
        <w:rPr>
          <w:rFonts w:cs="Times New Roman"/>
        </w:rPr>
        <w:t>。</w:t>
      </w:r>
    </w:p>
    <w:p w:rsidR="00A46452" w:rsidRDefault="009A3928" w:rsidP="00182EED">
      <w:pPr>
        <w:ind w:firstLine="480"/>
        <w:rPr>
          <w:rFonts w:cs="Times New Roman"/>
        </w:rPr>
      </w:pPr>
      <w:r>
        <w:rPr>
          <w:rFonts w:cs="Times New Roman"/>
        </w:rPr>
        <w:t>从评价区域整体来看，工程建设后区域内蔓延度指数（</w:t>
      </w:r>
      <w:r>
        <w:rPr>
          <w:rFonts w:cs="Times New Roman"/>
        </w:rPr>
        <w:t>CONTAG</w:t>
      </w:r>
      <w:r>
        <w:rPr>
          <w:rFonts w:cs="Times New Roman"/>
        </w:rPr>
        <w:t>）为</w:t>
      </w:r>
      <w:r>
        <w:rPr>
          <w:rFonts w:cs="Times New Roman"/>
        </w:rPr>
        <w:t>53.27</w:t>
      </w:r>
      <w:r>
        <w:rPr>
          <w:rFonts w:cs="Times New Roman"/>
        </w:rPr>
        <w:t>，较现状年仅减少</w:t>
      </w:r>
      <w:r>
        <w:rPr>
          <w:rFonts w:cs="Times New Roman"/>
        </w:rPr>
        <w:t>3.11</w:t>
      </w:r>
      <w:r>
        <w:rPr>
          <w:rFonts w:cs="Times New Roman"/>
        </w:rPr>
        <w:t>，说明景观中优势斑块类型（如森林、农田、建成区等）的聚集性减弱，原有的大面积连续斑块被分割或转化为其他类型，导致景观趋向破碎化或异质化</w:t>
      </w:r>
      <w:r>
        <w:rPr>
          <w:rFonts w:cs="Times New Roman"/>
        </w:rPr>
        <w:t>，</w:t>
      </w:r>
      <w:r>
        <w:rPr>
          <w:rFonts w:cs="Times New Roman"/>
        </w:rPr>
        <w:t>使得区域景观具有多</w:t>
      </w:r>
      <w:r>
        <w:rPr>
          <w:rFonts w:cs="Times New Roman"/>
        </w:rPr>
        <w:t>种要素的密集格局有所增强，景观的破碎化程度有所增加</w:t>
      </w:r>
      <w:r>
        <w:rPr>
          <w:rFonts w:cs="Times New Roman"/>
        </w:rPr>
        <w:t>，</w:t>
      </w:r>
      <w:r>
        <w:rPr>
          <w:rFonts w:cs="Times New Roman"/>
        </w:rPr>
        <w:t>这主要是公路建设的线性切割效应所引起的</w:t>
      </w:r>
      <w:r>
        <w:rPr>
          <w:rFonts w:cs="Times New Roman"/>
        </w:rPr>
        <w:t>。</w:t>
      </w:r>
      <w:r>
        <w:rPr>
          <w:rFonts w:cs="Times New Roman"/>
        </w:rPr>
        <w:t>工程建成后，香农多样性指数（</w:t>
      </w:r>
      <w:r>
        <w:rPr>
          <w:rFonts w:cs="Times New Roman"/>
        </w:rPr>
        <w:t>SHDI</w:t>
      </w:r>
      <w:r>
        <w:rPr>
          <w:rFonts w:cs="Times New Roman"/>
        </w:rPr>
        <w:t>），较现状年增加了</w:t>
      </w:r>
      <w:r>
        <w:rPr>
          <w:rFonts w:cs="Times New Roman"/>
        </w:rPr>
        <w:t>0.0</w:t>
      </w:r>
      <w:r>
        <w:rPr>
          <w:rFonts w:cs="Times New Roman"/>
        </w:rPr>
        <w:t>4</w:t>
      </w:r>
      <w:r>
        <w:rPr>
          <w:rFonts w:cs="Times New Roman"/>
        </w:rPr>
        <w:t>，说明工程建设后评价区土地利用类型更加丰富</w:t>
      </w:r>
      <w:r>
        <w:rPr>
          <w:rFonts w:cs="Times New Roman"/>
        </w:rPr>
        <w:t>和均衡</w:t>
      </w:r>
      <w:r>
        <w:rPr>
          <w:rFonts w:cs="Times New Roman"/>
        </w:rPr>
        <w:t>，地类破碎化程度提高，各类景观呈均衡化发展趋势，区域景观异质性和多样性将增加，但变化较小。</w:t>
      </w:r>
    </w:p>
    <w:p w:rsidR="00A46452" w:rsidRDefault="009A3928" w:rsidP="00182EED">
      <w:pPr>
        <w:ind w:firstLine="480"/>
        <w:rPr>
          <w:rFonts w:cs="Times New Roman"/>
        </w:rPr>
      </w:pPr>
      <w:r>
        <w:rPr>
          <w:rFonts w:cs="Times New Roman"/>
        </w:rPr>
        <w:t>根据生态环境现状调查结果，荒漠区生态系统是区域背景化的生态系统类型。公路建成后，评价范围的各类土地利用类型面积都相应有所降低，且各土地利用类型的</w:t>
      </w:r>
      <w:r>
        <w:rPr>
          <w:rFonts w:cs="Times New Roman"/>
        </w:rPr>
        <w:t>斑块</w:t>
      </w:r>
      <w:r>
        <w:rPr>
          <w:rFonts w:cs="Times New Roman"/>
        </w:rPr>
        <w:t>数量在公路修建以后有所升高，这也正与公路作为一</w:t>
      </w:r>
      <w:r>
        <w:rPr>
          <w:rFonts w:cs="Times New Roman"/>
        </w:rPr>
        <w:t>种</w:t>
      </w:r>
      <w:r>
        <w:rPr>
          <w:rFonts w:cs="Times New Roman"/>
        </w:rPr>
        <w:t>线性的切割作用对原有斑</w:t>
      </w:r>
      <w:r>
        <w:rPr>
          <w:rFonts w:cs="Times New Roman"/>
        </w:rPr>
        <w:t>块的切割，使得生成一些新的小斑块这个事实相符合，但是新生成的斑块的数量比较少，对地形的破碎作用不明显。</w:t>
      </w:r>
    </w:p>
    <w:p w:rsidR="00A46452" w:rsidRDefault="009A3928" w:rsidP="00182EED">
      <w:pPr>
        <w:ind w:firstLine="480"/>
        <w:rPr>
          <w:rFonts w:cs="Times New Roman"/>
        </w:rPr>
      </w:pPr>
      <w:r>
        <w:rPr>
          <w:rFonts w:cs="Times New Roman"/>
        </w:rPr>
        <w:t>拟建公路工程兴建后土地利用格局发生了变化，其中建设用地拼块因公路的修建使其重要性提高，</w:t>
      </w:r>
      <w:r>
        <w:rPr>
          <w:rFonts w:cs="Times New Roman"/>
        </w:rPr>
        <w:t>未利用地</w:t>
      </w:r>
      <w:r>
        <w:rPr>
          <w:rFonts w:cs="Times New Roman"/>
        </w:rPr>
        <w:t>作为区域背景化生态系统类型的优势度值有所减少，但仍然是各种土地利用类型中最大的。可见工程实施和运行没有改变评价范围自然体系的景观格局。</w:t>
      </w:r>
    </w:p>
    <w:p w:rsidR="00A46452" w:rsidRDefault="009A3928" w:rsidP="00182EED">
      <w:pPr>
        <w:ind w:firstLine="480"/>
        <w:rPr>
          <w:rFonts w:cs="Times New Roman"/>
          <w:snapToGrid w:val="0"/>
        </w:rPr>
      </w:pPr>
      <w:r>
        <w:rPr>
          <w:rFonts w:cs="Times New Roman"/>
        </w:rPr>
        <w:t>综上所述，工程施工造成的区域土地利用格局的变化，将对评价范围自然体系产生影响，通过工程涉及</w:t>
      </w:r>
      <w:r>
        <w:rPr>
          <w:rFonts w:cs="Times New Roman"/>
        </w:rPr>
        <w:t>区域</w:t>
      </w:r>
      <w:r>
        <w:rPr>
          <w:rFonts w:cs="Times New Roman"/>
        </w:rPr>
        <w:t>自然生态系统体系的自我调节，在工程运行一段时间后，工程影响区自然体系的性质和功能将得</w:t>
      </w:r>
      <w:r>
        <w:rPr>
          <w:rFonts w:cs="Times New Roman"/>
        </w:rPr>
        <w:t>到恢复。另外，</w:t>
      </w:r>
      <w:r>
        <w:rPr>
          <w:rFonts w:cs="Times New Roman"/>
        </w:rPr>
        <w:t>公路的建设</w:t>
      </w:r>
      <w:r>
        <w:rPr>
          <w:rFonts w:cs="Times New Roman"/>
        </w:rPr>
        <w:t>本质是人类基础设施对自然景观的强制性重构，其背后可能隐藏着生态服务功能退化、生物多样性丧失等风险。未来需在</w:t>
      </w:r>
      <w:r>
        <w:rPr>
          <w:rFonts w:cs="Times New Roman"/>
        </w:rPr>
        <w:t>“</w:t>
      </w:r>
      <w:r>
        <w:rPr>
          <w:rFonts w:cs="Times New Roman"/>
        </w:rPr>
        <w:t>生态优先</w:t>
      </w:r>
      <w:r>
        <w:rPr>
          <w:rFonts w:cs="Times New Roman"/>
        </w:rPr>
        <w:t>”</w:t>
      </w:r>
      <w:r>
        <w:rPr>
          <w:rFonts w:cs="Times New Roman"/>
        </w:rPr>
        <w:t>原则下，通过空间规划避让、工程生态化设计（如低路基、生态桥隧）及受损未利用地修复，实现交通建设与生态保护的平衡。在工程建设过程中应注意生态系统的保护，使受到影响的生态系统的自然生产力尽快得到恢复</w:t>
      </w:r>
      <w:r>
        <w:rPr>
          <w:rFonts w:cs="Times New Roman"/>
          <w:snapToGrid w:val="0"/>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7.1.10</w:t>
      </w:r>
      <w:r>
        <w:rPr>
          <w:rFonts w:cs="Times New Roman" w:hint="default"/>
          <w:sz w:val="28"/>
          <w:szCs w:val="28"/>
        </w:rPr>
        <w:t>生态系统结构及区域生物多样性影响分析</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7.1.10.1</w:t>
      </w:r>
      <w:r>
        <w:rPr>
          <w:rFonts w:cs="Times New Roman" w:hint="default"/>
          <w:iCs/>
        </w:rPr>
        <w:t>对生态系统类型的影响</w:t>
      </w:r>
    </w:p>
    <w:p w:rsidR="00A46452" w:rsidRDefault="009A3928">
      <w:pPr>
        <w:wordWrap w:val="0"/>
        <w:topLinePunct/>
        <w:ind w:firstLine="480"/>
        <w:rPr>
          <w:rFonts w:cs="Times New Roman"/>
          <w:snapToGrid w:val="0"/>
        </w:rPr>
      </w:pPr>
      <w:r>
        <w:rPr>
          <w:rFonts w:cs="Times New Roman"/>
          <w:snapToGrid w:val="0"/>
        </w:rPr>
        <w:t>评价范围内生态系统类型主要包括林地生态系统、灌丛生态系统、草地生态系统、湿地生态系统、农田生态系统、荒漠生态系统和城镇生态系统，它们具有水土保持、物质提供多种功能。本工程建设对评价范围内原有生态系统产生的主要影响为工程占地。</w:t>
      </w:r>
    </w:p>
    <w:p w:rsidR="00A46452" w:rsidRDefault="009A3928">
      <w:pPr>
        <w:wordWrap w:val="0"/>
        <w:topLinePunct/>
        <w:spacing w:line="240" w:lineRule="auto"/>
        <w:ind w:firstLineChars="0" w:firstLine="0"/>
        <w:rPr>
          <w:rFonts w:eastAsia="Times New Roman" w:cs="Times New Roman"/>
          <w:sz w:val="13"/>
          <w:szCs w:val="13"/>
        </w:rPr>
      </w:pPr>
      <w:r>
        <w:rPr>
          <w:rFonts w:eastAsia="黑体" w:cs="Times New Roman"/>
          <w:szCs w:val="24"/>
        </w:rPr>
        <w:t>表</w:t>
      </w:r>
      <w:r>
        <w:rPr>
          <w:rFonts w:eastAsia="黑体" w:cs="Times New Roman" w:hint="eastAsia"/>
          <w:szCs w:val="24"/>
        </w:rPr>
        <w:t>7</w:t>
      </w:r>
      <w:r>
        <w:rPr>
          <w:rFonts w:eastAsia="黑体" w:cs="Times New Roman"/>
          <w:szCs w:val="24"/>
        </w:rPr>
        <w:t>.1-</w:t>
      </w:r>
      <w:r>
        <w:rPr>
          <w:rFonts w:eastAsia="黑体" w:cs="Times New Roman" w:hint="eastAsia"/>
          <w:szCs w:val="24"/>
        </w:rPr>
        <w:t>6</w:t>
      </w:r>
      <w:r>
        <w:rPr>
          <w:rFonts w:eastAsia="黑体" w:cs="Times New Roman"/>
          <w:szCs w:val="24"/>
        </w:rPr>
        <w:t xml:space="preserve">           </w:t>
      </w:r>
      <w:r>
        <w:rPr>
          <w:rFonts w:eastAsia="黑体" w:cs="Times New Roman"/>
          <w:szCs w:val="24"/>
        </w:rPr>
        <w:t>工程占地区各生态系统面积统计表</w:t>
      </w:r>
      <w:r>
        <w:rPr>
          <w:rFonts w:eastAsia="黑体" w:cs="Times New Roman"/>
          <w:spacing w:val="5"/>
          <w:sz w:val="20"/>
          <w:szCs w:val="20"/>
        </w:rPr>
        <w:t xml:space="preserve">          </w:t>
      </w:r>
      <w:r>
        <w:rPr>
          <w:rFonts w:eastAsia="黑体" w:cs="Times New Roman"/>
          <w:szCs w:val="24"/>
        </w:rPr>
        <w:t>单位：</w:t>
      </w:r>
      <w:r>
        <w:rPr>
          <w:rFonts w:eastAsia="黑体" w:cs="Times New Roman"/>
          <w:szCs w:val="24"/>
        </w:rPr>
        <w:t>hm</w:t>
      </w:r>
      <w:r>
        <w:rPr>
          <w:rFonts w:eastAsia="黑体" w:cs="Times New Roman"/>
          <w:szCs w:val="24"/>
          <w:vertAlign w:val="superscript"/>
        </w:rPr>
        <w:t>2</w:t>
      </w:r>
    </w:p>
    <w:tbl>
      <w:tblPr>
        <w:tblStyle w:val="TableNormal"/>
        <w:tblW w:w="4996"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127"/>
        <w:gridCol w:w="1024"/>
        <w:gridCol w:w="1024"/>
        <w:gridCol w:w="1025"/>
        <w:gridCol w:w="1025"/>
        <w:gridCol w:w="1027"/>
        <w:gridCol w:w="1035"/>
        <w:gridCol w:w="1035"/>
      </w:tblGrid>
      <w:tr w:rsidR="00A46452">
        <w:trPr>
          <w:trHeight w:val="559"/>
          <w:jc w:val="center"/>
        </w:trPr>
        <w:tc>
          <w:tcPr>
            <w:tcW w:w="677" w:type="pct"/>
            <w:tcBorders>
              <w:tl2br w:val="nil"/>
              <w:tr2bl w:val="nil"/>
            </w:tcBorders>
            <w:vAlign w:val="center"/>
          </w:tcPr>
          <w:p w:rsidR="00A46452" w:rsidRDefault="009A3928">
            <w:pPr>
              <w:pStyle w:val="TableText"/>
              <w:wordWrap w:val="0"/>
              <w:topLinePunct/>
              <w:spacing w:line="260" w:lineRule="exact"/>
              <w:ind w:firstLineChars="0" w:firstLine="0"/>
              <w:jc w:val="center"/>
              <w:rPr>
                <w:sz w:val="18"/>
                <w:szCs w:val="18"/>
              </w:rPr>
            </w:pPr>
            <w:r>
              <w:rPr>
                <w:spacing w:val="-2"/>
                <w:sz w:val="18"/>
                <w:szCs w:val="18"/>
              </w:rPr>
              <w:t>占地类型</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sz w:val="18"/>
                <w:szCs w:val="18"/>
              </w:rPr>
            </w:pPr>
            <w:r>
              <w:rPr>
                <w:rFonts w:cs="Times New Roman"/>
                <w:kern w:val="0"/>
                <w:sz w:val="18"/>
                <w:szCs w:val="18"/>
                <w:lang w:bidi="ar"/>
              </w:rPr>
              <w:t>林地生态系统</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sz w:val="18"/>
                <w:szCs w:val="18"/>
              </w:rPr>
            </w:pPr>
            <w:r>
              <w:rPr>
                <w:rFonts w:cs="Times New Roman"/>
                <w:kern w:val="0"/>
                <w:sz w:val="18"/>
                <w:szCs w:val="18"/>
                <w:lang w:bidi="ar"/>
              </w:rPr>
              <w:t>荒漠生态系统</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sz w:val="18"/>
                <w:szCs w:val="18"/>
              </w:rPr>
            </w:pPr>
            <w:r>
              <w:rPr>
                <w:rFonts w:cs="Times New Roman"/>
                <w:kern w:val="0"/>
                <w:sz w:val="18"/>
                <w:szCs w:val="18"/>
                <w:lang w:bidi="ar"/>
              </w:rPr>
              <w:t>草地生态系统</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sz w:val="18"/>
                <w:szCs w:val="18"/>
              </w:rPr>
            </w:pPr>
            <w:r>
              <w:rPr>
                <w:rFonts w:cs="Times New Roman"/>
                <w:kern w:val="0"/>
                <w:sz w:val="18"/>
                <w:szCs w:val="18"/>
                <w:lang w:bidi="ar"/>
              </w:rPr>
              <w:t>农田生态系统</w:t>
            </w:r>
          </w:p>
        </w:tc>
        <w:tc>
          <w:tcPr>
            <w:tcW w:w="616"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sz w:val="18"/>
                <w:szCs w:val="18"/>
              </w:rPr>
            </w:pPr>
            <w:r>
              <w:rPr>
                <w:rFonts w:cs="Times New Roman"/>
                <w:kern w:val="0"/>
                <w:sz w:val="18"/>
                <w:szCs w:val="18"/>
                <w:lang w:bidi="ar"/>
              </w:rPr>
              <w:t>城镇生态系统</w:t>
            </w: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河流生态系统</w:t>
            </w:r>
          </w:p>
        </w:tc>
        <w:tc>
          <w:tcPr>
            <w:tcW w:w="621" w:type="pct"/>
            <w:tcBorders>
              <w:tl2br w:val="nil"/>
              <w:tr2bl w:val="nil"/>
            </w:tcBorders>
            <w:vAlign w:val="center"/>
          </w:tcPr>
          <w:p w:rsidR="00A46452" w:rsidRDefault="009A3928">
            <w:pPr>
              <w:pStyle w:val="TableText"/>
              <w:wordWrap w:val="0"/>
              <w:topLinePunct/>
              <w:spacing w:line="260" w:lineRule="exact"/>
              <w:ind w:firstLineChars="0" w:firstLine="0"/>
              <w:jc w:val="center"/>
              <w:rPr>
                <w:sz w:val="18"/>
                <w:szCs w:val="18"/>
              </w:rPr>
            </w:pPr>
            <w:r>
              <w:rPr>
                <w:spacing w:val="4"/>
                <w:sz w:val="18"/>
                <w:szCs w:val="18"/>
              </w:rPr>
              <w:t>合计</w:t>
            </w:r>
          </w:p>
        </w:tc>
      </w:tr>
      <w:tr w:rsidR="00A46452">
        <w:trPr>
          <w:trHeight w:val="292"/>
          <w:jc w:val="center"/>
        </w:trPr>
        <w:tc>
          <w:tcPr>
            <w:tcW w:w="677" w:type="pct"/>
            <w:tcBorders>
              <w:tl2br w:val="nil"/>
              <w:tr2bl w:val="nil"/>
            </w:tcBorders>
            <w:vAlign w:val="center"/>
          </w:tcPr>
          <w:p w:rsidR="00A46452" w:rsidRDefault="009A3928">
            <w:pPr>
              <w:pStyle w:val="TableText"/>
              <w:wordWrap w:val="0"/>
              <w:topLinePunct/>
              <w:spacing w:line="260" w:lineRule="exact"/>
              <w:ind w:firstLineChars="0" w:firstLine="0"/>
              <w:jc w:val="center"/>
              <w:rPr>
                <w:sz w:val="18"/>
                <w:szCs w:val="18"/>
              </w:rPr>
            </w:pPr>
            <w:r>
              <w:rPr>
                <w:spacing w:val="6"/>
                <w:sz w:val="18"/>
                <w:szCs w:val="18"/>
              </w:rPr>
              <w:t>永久占地</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139.</w:t>
            </w:r>
            <w:r>
              <w:rPr>
                <w:rFonts w:cs="Times New Roman"/>
                <w:kern w:val="0"/>
                <w:sz w:val="18"/>
                <w:szCs w:val="18"/>
                <w:lang w:bidi="ar"/>
              </w:rPr>
              <w:t>15</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2.98</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97.</w:t>
            </w:r>
            <w:r>
              <w:rPr>
                <w:rFonts w:cs="Times New Roman"/>
                <w:kern w:val="0"/>
                <w:sz w:val="18"/>
                <w:szCs w:val="18"/>
                <w:lang w:bidi="ar"/>
              </w:rPr>
              <w:t>91</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34.2</w:t>
            </w:r>
            <w:r>
              <w:rPr>
                <w:rFonts w:cs="Times New Roman"/>
                <w:kern w:val="0"/>
                <w:sz w:val="18"/>
                <w:szCs w:val="18"/>
                <w:lang w:bidi="ar"/>
              </w:rPr>
              <w:t>7</w:t>
            </w:r>
          </w:p>
        </w:tc>
        <w:tc>
          <w:tcPr>
            <w:tcW w:w="616"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26.</w:t>
            </w:r>
            <w:r>
              <w:rPr>
                <w:rFonts w:cs="Times New Roman"/>
                <w:kern w:val="0"/>
                <w:sz w:val="18"/>
                <w:szCs w:val="18"/>
                <w:lang w:bidi="ar"/>
              </w:rPr>
              <w:t>49</w:t>
            </w:r>
          </w:p>
        </w:tc>
        <w:tc>
          <w:tcPr>
            <w:tcW w:w="621" w:type="pct"/>
            <w:tcBorders>
              <w:tl2br w:val="nil"/>
              <w:tr2bl w:val="nil"/>
            </w:tcBorders>
            <w:vAlign w:val="center"/>
          </w:tcPr>
          <w:p w:rsidR="00A46452" w:rsidRDefault="00A46452">
            <w:pPr>
              <w:wordWrap w:val="0"/>
              <w:topLinePunct/>
              <w:spacing w:line="260" w:lineRule="exact"/>
              <w:ind w:firstLineChars="0" w:firstLine="0"/>
              <w:jc w:val="center"/>
              <w:textAlignment w:val="top"/>
              <w:rPr>
                <w:rFonts w:cs="Times New Roman"/>
                <w:kern w:val="0"/>
                <w:sz w:val="18"/>
                <w:szCs w:val="18"/>
                <w:lang w:bidi="ar"/>
              </w:rPr>
            </w:pP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300.80</w:t>
            </w:r>
          </w:p>
        </w:tc>
      </w:tr>
      <w:tr w:rsidR="00A46452">
        <w:trPr>
          <w:trHeight w:val="292"/>
          <w:jc w:val="center"/>
        </w:trPr>
        <w:tc>
          <w:tcPr>
            <w:tcW w:w="677" w:type="pct"/>
            <w:tcBorders>
              <w:tl2br w:val="nil"/>
              <w:tr2bl w:val="nil"/>
            </w:tcBorders>
            <w:vAlign w:val="center"/>
          </w:tcPr>
          <w:p w:rsidR="00A46452" w:rsidRDefault="009A3928">
            <w:pPr>
              <w:pStyle w:val="TableText"/>
              <w:wordWrap w:val="0"/>
              <w:topLinePunct/>
              <w:spacing w:line="260" w:lineRule="exact"/>
              <w:ind w:firstLineChars="0" w:firstLine="0"/>
              <w:jc w:val="center"/>
              <w:rPr>
                <w:sz w:val="18"/>
                <w:szCs w:val="18"/>
              </w:rPr>
            </w:pPr>
            <w:r>
              <w:rPr>
                <w:spacing w:val="4"/>
                <w:sz w:val="18"/>
                <w:szCs w:val="18"/>
              </w:rPr>
              <w:t>临时占地</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10.65</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335</w:t>
            </w:r>
          </w:p>
        </w:tc>
        <w:tc>
          <w:tcPr>
            <w:tcW w:w="615" w:type="pct"/>
            <w:tcBorders>
              <w:tl2br w:val="nil"/>
              <w:tr2bl w:val="nil"/>
            </w:tcBorders>
            <w:vAlign w:val="center"/>
          </w:tcPr>
          <w:p w:rsidR="00A46452" w:rsidRDefault="00A46452">
            <w:pPr>
              <w:wordWrap w:val="0"/>
              <w:topLinePunct/>
              <w:spacing w:line="260" w:lineRule="exact"/>
              <w:ind w:firstLineChars="0" w:firstLine="0"/>
              <w:jc w:val="center"/>
              <w:textAlignment w:val="top"/>
              <w:rPr>
                <w:rFonts w:cs="Times New Roman"/>
                <w:kern w:val="0"/>
                <w:sz w:val="18"/>
                <w:szCs w:val="18"/>
                <w:lang w:bidi="ar"/>
              </w:rPr>
            </w:pP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0.8</w:t>
            </w:r>
            <w:r>
              <w:rPr>
                <w:rFonts w:cs="Times New Roman"/>
                <w:kern w:val="0"/>
                <w:sz w:val="18"/>
                <w:szCs w:val="18"/>
                <w:lang w:bidi="ar"/>
              </w:rPr>
              <w:t>2</w:t>
            </w:r>
          </w:p>
        </w:tc>
        <w:tc>
          <w:tcPr>
            <w:tcW w:w="616" w:type="pct"/>
            <w:tcBorders>
              <w:tl2br w:val="nil"/>
              <w:tr2bl w:val="nil"/>
            </w:tcBorders>
            <w:vAlign w:val="center"/>
          </w:tcPr>
          <w:p w:rsidR="00A46452" w:rsidRDefault="00A46452">
            <w:pPr>
              <w:wordWrap w:val="0"/>
              <w:topLinePunct/>
              <w:spacing w:line="260" w:lineRule="exact"/>
              <w:ind w:firstLineChars="0" w:firstLine="0"/>
              <w:jc w:val="center"/>
              <w:textAlignment w:val="top"/>
              <w:rPr>
                <w:rFonts w:cs="Times New Roman"/>
                <w:kern w:val="0"/>
                <w:sz w:val="18"/>
                <w:szCs w:val="18"/>
                <w:lang w:bidi="ar"/>
              </w:rPr>
            </w:pP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0.02</w:t>
            </w: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top"/>
              <w:rPr>
                <w:rFonts w:cs="Times New Roman"/>
                <w:kern w:val="0"/>
                <w:sz w:val="18"/>
                <w:szCs w:val="18"/>
                <w:lang w:bidi="ar"/>
              </w:rPr>
            </w:pPr>
            <w:r>
              <w:rPr>
                <w:rFonts w:cs="Times New Roman"/>
                <w:kern w:val="0"/>
                <w:sz w:val="18"/>
                <w:szCs w:val="18"/>
                <w:lang w:bidi="ar"/>
              </w:rPr>
              <w:t>346.49</w:t>
            </w:r>
          </w:p>
        </w:tc>
      </w:tr>
      <w:tr w:rsidR="00A46452">
        <w:trPr>
          <w:trHeight w:val="301"/>
          <w:jc w:val="center"/>
        </w:trPr>
        <w:tc>
          <w:tcPr>
            <w:tcW w:w="677" w:type="pct"/>
            <w:tcBorders>
              <w:tl2br w:val="nil"/>
              <w:tr2bl w:val="nil"/>
            </w:tcBorders>
            <w:vAlign w:val="center"/>
          </w:tcPr>
          <w:p w:rsidR="00A46452" w:rsidRDefault="009A3928">
            <w:pPr>
              <w:pStyle w:val="TableText"/>
              <w:wordWrap w:val="0"/>
              <w:topLinePunct/>
              <w:spacing w:line="260" w:lineRule="exact"/>
              <w:ind w:firstLineChars="0" w:firstLine="0"/>
              <w:jc w:val="center"/>
              <w:rPr>
                <w:sz w:val="18"/>
                <w:szCs w:val="18"/>
              </w:rPr>
            </w:pPr>
            <w:r>
              <w:rPr>
                <w:spacing w:val="4"/>
                <w:sz w:val="18"/>
                <w:szCs w:val="18"/>
              </w:rPr>
              <w:t>合计</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149.80</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337.98</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97.9</w:t>
            </w:r>
            <w:r>
              <w:rPr>
                <w:rFonts w:cs="Times New Roman"/>
                <w:kern w:val="0"/>
                <w:sz w:val="18"/>
                <w:szCs w:val="18"/>
                <w:lang w:bidi="ar"/>
              </w:rPr>
              <w:t>1</w:t>
            </w:r>
          </w:p>
        </w:tc>
        <w:tc>
          <w:tcPr>
            <w:tcW w:w="615"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35.09</w:t>
            </w:r>
          </w:p>
        </w:tc>
        <w:tc>
          <w:tcPr>
            <w:tcW w:w="616"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26.</w:t>
            </w:r>
            <w:r>
              <w:rPr>
                <w:rFonts w:cs="Times New Roman"/>
                <w:kern w:val="0"/>
                <w:sz w:val="18"/>
                <w:szCs w:val="18"/>
                <w:lang w:bidi="ar"/>
              </w:rPr>
              <w:t>49</w:t>
            </w: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0.02</w:t>
            </w:r>
          </w:p>
        </w:tc>
        <w:tc>
          <w:tcPr>
            <w:tcW w:w="621" w:type="pct"/>
            <w:tcBorders>
              <w:tl2br w:val="nil"/>
              <w:tr2bl w:val="nil"/>
            </w:tcBorders>
            <w:vAlign w:val="center"/>
          </w:tcPr>
          <w:p w:rsidR="00A46452" w:rsidRDefault="009A3928">
            <w:pPr>
              <w:wordWrap w:val="0"/>
              <w:topLinePunct/>
              <w:spacing w:line="260" w:lineRule="exact"/>
              <w:ind w:firstLineChars="0" w:firstLine="0"/>
              <w:jc w:val="center"/>
              <w:textAlignment w:val="center"/>
              <w:rPr>
                <w:rFonts w:cs="Times New Roman"/>
                <w:kern w:val="0"/>
                <w:sz w:val="18"/>
                <w:szCs w:val="18"/>
                <w:lang w:bidi="ar"/>
              </w:rPr>
            </w:pPr>
            <w:r>
              <w:rPr>
                <w:rFonts w:cs="Times New Roman"/>
                <w:kern w:val="0"/>
                <w:sz w:val="18"/>
                <w:szCs w:val="18"/>
                <w:lang w:bidi="ar"/>
              </w:rPr>
              <w:t>647.29</w:t>
            </w:r>
          </w:p>
        </w:tc>
      </w:tr>
    </w:tbl>
    <w:p w:rsidR="00A46452" w:rsidRDefault="009A3928">
      <w:pPr>
        <w:wordWrap w:val="0"/>
        <w:topLinePunct/>
        <w:ind w:firstLine="480"/>
        <w:rPr>
          <w:rFonts w:cs="Times New Roman"/>
          <w:snapToGrid w:val="0"/>
        </w:rPr>
      </w:pPr>
      <w:r>
        <w:rPr>
          <w:rFonts w:cs="Times New Roman"/>
          <w:snapToGrid w:val="0"/>
        </w:rPr>
        <w:t>由上表可知，工程建设占用林地生态系统、草地生态系统面积较大，其对评价范围内林地生态系统、草地生态系统有一定影响。</w:t>
      </w:r>
    </w:p>
    <w:p w:rsidR="00A46452" w:rsidRDefault="009A3928">
      <w:pPr>
        <w:wordWrap w:val="0"/>
        <w:topLinePunct/>
        <w:ind w:firstLine="480"/>
        <w:rPr>
          <w:rFonts w:cs="Times New Roman"/>
          <w:snapToGrid w:val="0"/>
        </w:rPr>
      </w:pPr>
      <w:r>
        <w:rPr>
          <w:rFonts w:cs="Times New Roman"/>
          <w:snapToGrid w:val="0"/>
        </w:rPr>
        <w:t>工程对评价范围内林地生态系统的影响主要为工程占用。工程占用使林地生态系统的生产者减少，施工活动也会使得工程区附近林地生态系统中生产者生产能力降低，占地范围及附近区域的非生物环境发生改变，使局部区域能量流动和物质循环能力降低。林地植被发生逆行演替，群落多样性减小，稳定性降低，对环境的抵抗能力下降，使局部林地生态系统对环境的适应能力下降。</w:t>
      </w:r>
    </w:p>
    <w:p w:rsidR="00A46452" w:rsidRDefault="009A3928">
      <w:pPr>
        <w:wordWrap w:val="0"/>
        <w:topLinePunct/>
        <w:ind w:firstLine="480"/>
        <w:rPr>
          <w:rFonts w:cs="Times New Roman"/>
          <w:snapToGrid w:val="0"/>
        </w:rPr>
      </w:pPr>
      <w:r>
        <w:rPr>
          <w:rFonts w:cs="Times New Roman"/>
          <w:snapToGrid w:val="0"/>
        </w:rPr>
        <w:t>工程对评价范围内荒漠生态系统、草地生态系统的影响主要是工程占用、机械施工碾压、施工扬尘、废气、固体废物、施工人员不规范施工等。施工活动会使得施工区域内荒漠生态系统、草地生态系</w:t>
      </w:r>
      <w:r>
        <w:rPr>
          <w:rFonts w:cs="Times New Roman"/>
          <w:snapToGrid w:val="0"/>
        </w:rPr>
        <w:t>统破碎化；运营期对评价范围内荒漠生态系统、草地生态系统的影响主要是路基等建筑阻隔了生态系统内物种交流，从而影响荒漠生态系统、草地生态系统的结构和功能。</w:t>
      </w:r>
    </w:p>
    <w:p w:rsidR="00A46452" w:rsidRDefault="009A3928">
      <w:pPr>
        <w:wordWrap w:val="0"/>
        <w:topLinePunct/>
        <w:ind w:firstLine="480"/>
        <w:rPr>
          <w:rFonts w:cs="Times New Roman"/>
          <w:snapToGrid w:val="0"/>
        </w:rPr>
      </w:pPr>
      <w:r>
        <w:rPr>
          <w:rFonts w:cs="Times New Roman"/>
          <w:snapToGrid w:val="0"/>
        </w:rPr>
        <w:t>工程对评价范围内湿地生态系统的影响主要为施工占地、桥墩施工废水、施工扬尘、固体废弃物等对湿地生态系统的影响，此外施工噪声亦会影响湿地内动物活动。</w:t>
      </w:r>
    </w:p>
    <w:p w:rsidR="00A46452" w:rsidRDefault="009A3928">
      <w:pPr>
        <w:wordWrap w:val="0"/>
        <w:topLinePunct/>
        <w:ind w:firstLine="480"/>
        <w:rPr>
          <w:rFonts w:cs="Times New Roman"/>
          <w:snapToGrid w:val="0"/>
        </w:rPr>
      </w:pPr>
      <w:r>
        <w:rPr>
          <w:rFonts w:cs="Times New Roman"/>
          <w:snapToGrid w:val="0"/>
        </w:rPr>
        <w:t>工程评价范围内农田生态系统工程占地对其直接影响可承受。农田生态系统是人工建立的生态系统，人的作用非常关键，人工栽培农作物是这一生态系统的主要成分，评价范围内农田生态系统的农作物主要为棉花、玉米等，农田生态系统内人为</w:t>
      </w:r>
      <w:r>
        <w:rPr>
          <w:rFonts w:cs="Times New Roman"/>
          <w:snapToGrid w:val="0"/>
        </w:rPr>
        <w:t>活动频繁，自然植被零星分布，动物种类较少，因此工程施工运营对其影响较小。</w:t>
      </w:r>
    </w:p>
    <w:p w:rsidR="00A46452" w:rsidRDefault="009A3928">
      <w:pPr>
        <w:wordWrap w:val="0"/>
        <w:topLinePunct/>
        <w:ind w:firstLine="480"/>
        <w:rPr>
          <w:rFonts w:cs="Times New Roman"/>
        </w:rPr>
      </w:pPr>
      <w:r>
        <w:rPr>
          <w:rFonts w:cs="Times New Roman"/>
          <w:snapToGrid w:val="0"/>
        </w:rPr>
        <w:t>城镇生态系统是居民与环境相互作用而形成的统一整体，也是人类对自然环境的适应、加工、改造而建设起来的特殊的人工生态系统。本工程对城镇生态系统的影响是双向的。负面影响为工程建设征地与拆迁影响，征地拆迁加剧了所在区域内土地资源紧张状况，征地、拆迁补偿和安置处理不慎，可能导致受影响居民生活水平下降。正面影响为拉动沿线各地经济发展和人民生活水平的提高，产生较高社会经济效益；带动沿线城镇建设与发展，加快城市化进程；公路运输具有污染小、能耗低、运量</w:t>
      </w:r>
      <w:r>
        <w:rPr>
          <w:rFonts w:cs="Times New Roman"/>
          <w:snapToGrid w:val="0"/>
        </w:rPr>
        <w:t>大、速度快、效率高、安全经济等特点，有利于区域发展循环经济、建设节约型和友好型社会。</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7.1.10.2</w:t>
      </w:r>
      <w:r>
        <w:rPr>
          <w:rFonts w:cs="Times New Roman" w:hint="default"/>
          <w:iCs/>
        </w:rPr>
        <w:t>对生态系统结构的影响分析</w:t>
      </w:r>
    </w:p>
    <w:p w:rsidR="00A46452" w:rsidRDefault="009A3928">
      <w:pPr>
        <w:wordWrap w:val="0"/>
        <w:topLinePunct/>
        <w:ind w:firstLine="480"/>
        <w:rPr>
          <w:rFonts w:cs="Times New Roman"/>
          <w:snapToGrid w:val="0"/>
          <w:lang w:val="zh-CN"/>
        </w:rPr>
      </w:pPr>
      <w:r>
        <w:rPr>
          <w:rFonts w:cs="Times New Roman"/>
          <w:snapToGrid w:val="0"/>
          <w:lang w:val="zh-CN"/>
        </w:rPr>
        <w:t>公路沿线各类生态系统是属于开放的系统，虽然其初级生产力较低，能量流动受到限制，系统中营养物质缺乏，物质循环的规模小、速率很低，但其具有自我调节功能，在系统不受人为干扰的情况下，会保持自身的生态平衡，其结构、功能以及能量的输入输出都处于动态稳定的状态下。</w:t>
      </w:r>
    </w:p>
    <w:p w:rsidR="00A46452" w:rsidRDefault="009A3928">
      <w:pPr>
        <w:wordWrap w:val="0"/>
        <w:topLinePunct/>
        <w:ind w:firstLine="480"/>
        <w:rPr>
          <w:rFonts w:cs="Times New Roman"/>
          <w:snapToGrid w:val="0"/>
          <w:lang w:val="zh-CN"/>
        </w:rPr>
      </w:pPr>
      <w:r>
        <w:rPr>
          <w:rFonts w:cs="Times New Roman"/>
          <w:snapToGrid w:val="0"/>
          <w:lang w:val="zh-CN"/>
        </w:rPr>
        <w:t>拟建公路沿线典型生态系统有绿洲生态系统和荒漠生态系统。工程建成和运行后，评价范围内林地、</w:t>
      </w:r>
      <w:r>
        <w:rPr>
          <w:rFonts w:cs="Times New Roman"/>
          <w:snapToGrid w:val="0"/>
        </w:rPr>
        <w:t>耕地、荒漠灌丛</w:t>
      </w:r>
      <w:r>
        <w:rPr>
          <w:rFonts w:cs="Times New Roman"/>
          <w:snapToGrid w:val="0"/>
          <w:lang w:val="zh-CN"/>
        </w:rPr>
        <w:t>面积发生变化不大。工程实施后本区域内绝大部分的覆被面积和植被类型没有发生变化，对本区域生态环境起控制作用的组分未变动，生境的异质性没有发生大的改变。</w:t>
      </w:r>
    </w:p>
    <w:p w:rsidR="00A46452" w:rsidRDefault="009A3928">
      <w:pPr>
        <w:wordWrap w:val="0"/>
        <w:topLinePunct/>
        <w:ind w:firstLine="480"/>
        <w:rPr>
          <w:rFonts w:cs="Times New Roman"/>
          <w:snapToGrid w:val="0"/>
          <w:lang w:val="zh-CN"/>
        </w:rPr>
      </w:pPr>
      <w:r>
        <w:rPr>
          <w:rFonts w:cs="Times New Roman"/>
          <w:snapToGrid w:val="0"/>
          <w:lang w:val="zh-CN"/>
        </w:rPr>
        <w:t>工程施工及运营过程在一定程度上破坏了原有生态系统结构的完整性，打破了其系统的平衡，必然会降低生态系统的生产力。部分物流能流途径发生障碍，物质循环受阻，能量流动中断，因此将对区域内生物的栖息环境产生不良影响，同时系统自我调节能力减弱，受扰动后恢复能力降低，生态稳定性降低，生物种群、数量、种群结构和生态位将受到一定程度的影响。本项目公路占地主要为绿洲生态区及荒漠生</w:t>
      </w:r>
      <w:r>
        <w:rPr>
          <w:rFonts w:cs="Times New Roman"/>
          <w:snapToGrid w:val="0"/>
          <w:lang w:val="zh-CN"/>
        </w:rPr>
        <w:t>态区，对生态系统结构和功能的影响较小，造成的不利影响均在可接受的范围内。因此，项目建设不会改变现有生态系统的完整性和功能的持续性。</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7.1.10.3</w:t>
      </w:r>
      <w:r>
        <w:rPr>
          <w:rFonts w:cs="Times New Roman" w:hint="default"/>
          <w:iCs/>
        </w:rPr>
        <w:t>对区域生物多样性的影响</w:t>
      </w:r>
    </w:p>
    <w:p w:rsidR="00A46452" w:rsidRDefault="009A3928">
      <w:pPr>
        <w:wordWrap w:val="0"/>
        <w:topLinePunct/>
        <w:ind w:firstLine="480"/>
        <w:rPr>
          <w:rFonts w:cs="Times New Roman"/>
          <w:snapToGrid w:val="0"/>
        </w:rPr>
      </w:pPr>
      <w:r>
        <w:rPr>
          <w:rFonts w:cs="Times New Roman"/>
          <w:snapToGrid w:val="0"/>
        </w:rPr>
        <w:t>本项目的建设对区域陆生动植物的种群数量、物种丰富度、分布情况、群落结构不会产生较大影响；不会产生明显的生境分割、阻隔、破碎化，且在评价区周边分布有适宜野生动植物生存的替代生境，对生境的影响较小；通过绿化或植被恢复，将大大弥补生态功能损失，对区域生态系统结构和功能不会造成明显影响。综合上述对物种、生境及生态系统的影响程度，可判定本项目建设对</w:t>
      </w:r>
      <w:r>
        <w:rPr>
          <w:rFonts w:cs="Times New Roman"/>
          <w:snapToGrid w:val="0"/>
        </w:rPr>
        <w:t>区域生物多样性的影响较低。</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7.1.10.4</w:t>
      </w:r>
      <w:r>
        <w:rPr>
          <w:rFonts w:cs="Times New Roman" w:hint="default"/>
          <w:iCs/>
        </w:rPr>
        <w:t>对生态系统完整性的影响</w:t>
      </w:r>
    </w:p>
    <w:p w:rsidR="00A46452" w:rsidRDefault="009A3928">
      <w:pPr>
        <w:pStyle w:val="a5"/>
        <w:wordWrap w:val="0"/>
        <w:topLinePunct/>
        <w:ind w:firstLine="480"/>
        <w:rPr>
          <w:rFonts w:cs="Times New Roman" w:hint="default"/>
          <w:snapToGrid w:val="0"/>
        </w:rPr>
      </w:pPr>
      <w:r>
        <w:rPr>
          <w:rFonts w:cs="Times New Roman" w:hint="default"/>
          <w:snapToGrid w:val="0"/>
        </w:rPr>
        <w:t>工程对评价范围内自然体系生态完整性的影响主要由工程占地引起的。工程建设永久占用的土地，将改变区域土地类型，切割原有生态空间；同时，工程占地主要集中在路基、弃渣场等区域，占地类型以林地、</w:t>
      </w:r>
      <w:r>
        <w:rPr>
          <w:rFonts w:cs="Times New Roman" w:hint="default"/>
          <w:snapToGrid w:val="0"/>
        </w:rPr>
        <w:t>草地</w:t>
      </w:r>
      <w:r>
        <w:rPr>
          <w:rFonts w:cs="Times New Roman" w:hint="default"/>
          <w:snapToGrid w:val="0"/>
        </w:rPr>
        <w:t>为主，工程建成后，各种拼块类型面积发生变化导致区域自然生态体系生产能力和稳定状况发生改变，可能对本区域生态完整性具有一定影响。</w:t>
      </w:r>
    </w:p>
    <w:p w:rsidR="00A46452" w:rsidRDefault="009A3928">
      <w:pPr>
        <w:pStyle w:val="31"/>
        <w:keepNext w:val="0"/>
        <w:keepLines w:val="0"/>
        <w:wordWrap w:val="0"/>
        <w:topLinePunct/>
        <w:adjustRightInd w:val="0"/>
        <w:snapToGrid w:val="0"/>
        <w:spacing w:before="120" w:after="120"/>
        <w:rPr>
          <w:rFonts w:cs="Times New Roman" w:hint="default"/>
          <w:sz w:val="28"/>
        </w:rPr>
      </w:pPr>
      <w:r>
        <w:rPr>
          <w:rFonts w:cs="Times New Roman" w:hint="default"/>
          <w:sz w:val="28"/>
        </w:rPr>
        <w:t>7.1.10</w:t>
      </w:r>
      <w:r>
        <w:rPr>
          <w:rFonts w:cs="Times New Roman" w:hint="default"/>
          <w:sz w:val="28"/>
        </w:rPr>
        <w:t>生态影响评价结论</w:t>
      </w:r>
    </w:p>
    <w:p w:rsidR="00A46452" w:rsidRDefault="009A3928">
      <w:pPr>
        <w:pStyle w:val="BodyTextIndent1"/>
        <w:wordWrap w:val="0"/>
        <w:topLinePunct/>
        <w:adjustRightInd w:val="0"/>
        <w:snapToGrid w:val="0"/>
        <w:spacing w:after="0"/>
        <w:ind w:leftChars="0" w:left="0" w:firstLine="480"/>
        <w:rPr>
          <w:rFonts w:cs="Times New Roman" w:hint="default"/>
          <w:sz w:val="24"/>
          <w:lang w:val="de-DE"/>
        </w:rPr>
      </w:pPr>
      <w:r>
        <w:rPr>
          <w:rFonts w:cs="Times New Roman" w:hint="default"/>
          <w:snapToGrid w:val="0"/>
          <w:sz w:val="24"/>
        </w:rPr>
        <w:t>根据现场调查及资料收集，本项目评价区域内无自然保护区、风景名胜区等生态敏感区</w:t>
      </w:r>
      <w:r>
        <w:rPr>
          <w:rFonts w:cs="Times New Roman" w:hint="default"/>
          <w:snapToGrid w:val="0"/>
          <w:sz w:val="24"/>
        </w:rPr>
        <w:t>，</w:t>
      </w:r>
      <w:r>
        <w:rPr>
          <w:rFonts w:cs="Times New Roman" w:hint="default"/>
          <w:sz w:val="24"/>
          <w:lang w:val="de-DE"/>
        </w:rPr>
        <w:t>工程</w:t>
      </w:r>
      <w:r>
        <w:rPr>
          <w:rFonts w:cs="Times New Roman" w:hint="default"/>
          <w:sz w:val="24"/>
        </w:rPr>
        <w:t>不</w:t>
      </w:r>
      <w:r>
        <w:rPr>
          <w:rFonts w:cs="Times New Roman" w:hint="default"/>
          <w:sz w:val="24"/>
          <w:lang w:val="de-DE"/>
        </w:rPr>
        <w:t>涉及生态保护红线区。</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工程对生态环境的影响主要是永久占地及各类临时占地。本项目公路建设将占用土地、造成植被破坏，引发水土流失。需要采取一定的生态补偿和恢复措施。工程对生态格局、生态演替趋势、景观生态环境等有一定影响。</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）工程永久占地将使评价区内部分耕地、林地等转变为交通运输用地，但工程整体呈线性分布，线路横向影响范围较狭窄，因此对整个评价区而言，不会导致沿线土地利用格局发生明显变化。</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2</w:t>
      </w:r>
      <w:r>
        <w:rPr>
          <w:rFonts w:cs="Times New Roman"/>
          <w:snapToGrid w:val="0"/>
          <w:szCs w:val="24"/>
        </w:rPr>
        <w:t>）工程建设虽导致植被破坏，但受破坏的植物种类较少，多数植物均为常见种且扩散能力强、分布范围广。且评价区内植物群落结构</w:t>
      </w:r>
      <w:r>
        <w:rPr>
          <w:rFonts w:cs="Times New Roman"/>
          <w:snapToGrid w:val="0"/>
          <w:szCs w:val="24"/>
        </w:rPr>
        <w:t>简单，在本地区广泛分布，群落类型非特有类型。工程建设对植物种群数量、物种丰富度、群落结构及分布范围、植被覆盖度分布格局影响较小。</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3</w:t>
      </w:r>
      <w:r>
        <w:rPr>
          <w:rFonts w:cs="Times New Roman"/>
          <w:snapToGrid w:val="0"/>
          <w:szCs w:val="24"/>
        </w:rPr>
        <w:t>）工程实施会暂时破坏动物原有的栖息环境，使其向周围相似生境中扩散，引起趋避反应，但不会造成其主要生境的丧失、退化以及破碎化，各动物种群可以通过自由扩散等方式在生态系统内部进行自我调节，所以不会对区域的动物种群数量及分布产生较大影响。</w:t>
      </w:r>
    </w:p>
    <w:p w:rsidR="00A46452" w:rsidRDefault="009A3928">
      <w:pPr>
        <w:wordWrap w:val="0"/>
        <w:topLinePunct/>
        <w:adjustRightInd w:val="0"/>
        <w:snapToGrid w:val="0"/>
        <w:ind w:firstLine="480"/>
        <w:rPr>
          <w:rFonts w:cs="Times New Roman"/>
          <w:szCs w:val="24"/>
        </w:rPr>
      </w:pPr>
      <w:r>
        <w:rPr>
          <w:rFonts w:cs="Times New Roman"/>
          <w:snapToGrid w:val="0"/>
          <w:szCs w:val="24"/>
        </w:rPr>
        <w:t>（</w:t>
      </w:r>
      <w:r>
        <w:rPr>
          <w:rFonts w:cs="Times New Roman"/>
          <w:snapToGrid w:val="0"/>
          <w:szCs w:val="24"/>
        </w:rPr>
        <w:t>4</w:t>
      </w:r>
      <w:r>
        <w:rPr>
          <w:rFonts w:cs="Times New Roman"/>
          <w:snapToGrid w:val="0"/>
          <w:szCs w:val="24"/>
        </w:rPr>
        <w:t>）涉水工程会对鱼类资源、饵料生物资源产生一定不利影响，但相对于整个评价河段，影响范围较小，评价河段水域生态环境和水生生物的正常生活未受到明显</w:t>
      </w:r>
      <w:r>
        <w:rPr>
          <w:rFonts w:cs="Times New Roman"/>
          <w:snapToGrid w:val="0"/>
          <w:szCs w:val="24"/>
        </w:rPr>
        <w:t>的重大干扰。本项目不会对评价河段水生生态的结构和功能造成明显的影响。</w:t>
      </w:r>
      <w:r>
        <w:rPr>
          <w:rFonts w:cs="Times New Roman"/>
          <w:spacing w:val="-2"/>
          <w:szCs w:val="24"/>
        </w:rPr>
        <w:t>建设项目生态环境影响评价自查表见表</w:t>
      </w:r>
      <w:r>
        <w:rPr>
          <w:rFonts w:cs="Times New Roman" w:hint="eastAsia"/>
          <w:spacing w:val="-2"/>
          <w:szCs w:val="24"/>
        </w:rPr>
        <w:t>7</w:t>
      </w:r>
      <w:r>
        <w:rPr>
          <w:rFonts w:eastAsia="Times New Roman" w:cs="Times New Roman"/>
          <w:spacing w:val="-2"/>
          <w:szCs w:val="24"/>
        </w:rPr>
        <w:t>.1-</w:t>
      </w:r>
      <w:r>
        <w:rPr>
          <w:rFonts w:cs="Times New Roman" w:hint="eastAsia"/>
          <w:spacing w:val="-2"/>
          <w:szCs w:val="24"/>
        </w:rPr>
        <w:t>7</w:t>
      </w:r>
      <w:r>
        <w:rPr>
          <w:rFonts w:cs="Times New Roman"/>
          <w:spacing w:val="-10"/>
          <w:szCs w:val="24"/>
        </w:rPr>
        <w:t>。</w:t>
      </w:r>
    </w:p>
    <w:p w:rsidR="00A46452" w:rsidRDefault="009A3928">
      <w:pPr>
        <w:wordWrap w:val="0"/>
        <w:topLinePunct/>
        <w:adjustRightInd w:val="0"/>
        <w:snapToGrid w:val="0"/>
        <w:spacing w:line="240" w:lineRule="auto"/>
        <w:ind w:firstLineChars="0" w:firstLine="0"/>
        <w:jc w:val="left"/>
        <w:rPr>
          <w:rFonts w:eastAsia="黑体" w:cs="Times New Roman"/>
          <w:szCs w:val="24"/>
        </w:rPr>
      </w:pPr>
      <w:r>
        <w:rPr>
          <w:rFonts w:eastAsia="黑体" w:cs="Times New Roman"/>
          <w:szCs w:val="24"/>
        </w:rPr>
        <w:t>表</w:t>
      </w:r>
      <w:r>
        <w:rPr>
          <w:rFonts w:eastAsia="黑体" w:cs="Times New Roman" w:hint="eastAsia"/>
          <w:szCs w:val="24"/>
        </w:rPr>
        <w:t>7</w:t>
      </w:r>
      <w:r>
        <w:rPr>
          <w:rFonts w:eastAsia="黑体" w:cs="Times New Roman"/>
          <w:szCs w:val="24"/>
        </w:rPr>
        <w:t>.1-</w:t>
      </w:r>
      <w:r>
        <w:rPr>
          <w:rFonts w:eastAsia="黑体" w:cs="Times New Roman" w:hint="eastAsia"/>
          <w:szCs w:val="24"/>
        </w:rPr>
        <w:t>7</w:t>
      </w:r>
      <w:r>
        <w:rPr>
          <w:rFonts w:eastAsia="黑体" w:cs="Times New Roman"/>
          <w:szCs w:val="24"/>
        </w:rPr>
        <w:tab/>
        <w:t xml:space="preserve">          </w:t>
      </w:r>
      <w:r>
        <w:rPr>
          <w:rFonts w:eastAsia="黑体" w:cs="Times New Roman"/>
          <w:szCs w:val="24"/>
        </w:rPr>
        <w:t xml:space="preserve">            </w:t>
      </w:r>
      <w:r>
        <w:rPr>
          <w:rFonts w:eastAsia="黑体" w:cs="Times New Roman"/>
          <w:szCs w:val="24"/>
        </w:rPr>
        <w:t>生态影响评价自查表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88"/>
        <w:gridCol w:w="1256"/>
        <w:gridCol w:w="6185"/>
      </w:tblGrid>
      <w:tr w:rsidR="00A46452">
        <w:trPr>
          <w:trHeight w:val="296"/>
        </w:trPr>
        <w:tc>
          <w:tcPr>
            <w:tcW w:w="1287" w:type="pct"/>
            <w:gridSpan w:val="2"/>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工作内容</w:t>
            </w:r>
          </w:p>
        </w:tc>
        <w:tc>
          <w:tcPr>
            <w:tcW w:w="3713"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自查项目</w:t>
            </w:r>
          </w:p>
        </w:tc>
      </w:tr>
      <w:tr w:rsidR="00A46452">
        <w:trPr>
          <w:trHeight w:val="762"/>
        </w:trPr>
        <w:tc>
          <w:tcPr>
            <w:tcW w:w="533" w:type="pct"/>
            <w:vMerge w:val="restar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生态影响识别</w:t>
            </w: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生态保护目标</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重要物种</w:t>
            </w:r>
            <w:r>
              <w:rPr>
                <w:rFonts w:cs="Times New Roman"/>
                <w:sz w:val="21"/>
              </w:rPr>
              <w:t>□</w:t>
            </w:r>
            <w:r>
              <w:rPr>
                <w:rFonts w:cs="Times New Roman"/>
                <w:sz w:val="21"/>
              </w:rPr>
              <w:t>；国家公园</w:t>
            </w:r>
            <w:r>
              <w:rPr>
                <w:rFonts w:cs="Times New Roman"/>
                <w:sz w:val="21"/>
              </w:rPr>
              <w:t>□</w:t>
            </w:r>
            <w:r>
              <w:rPr>
                <w:rFonts w:cs="Times New Roman"/>
                <w:sz w:val="21"/>
              </w:rPr>
              <w:t>；自然保护区</w:t>
            </w:r>
            <w:r>
              <w:rPr>
                <w:rFonts w:cs="Times New Roman"/>
                <w:sz w:val="21"/>
              </w:rPr>
              <w:t>□</w:t>
            </w:r>
            <w:r>
              <w:rPr>
                <w:rFonts w:cs="Times New Roman"/>
                <w:sz w:val="21"/>
              </w:rPr>
              <w:t>；自然公园</w:t>
            </w:r>
            <w:r>
              <w:rPr>
                <w:rFonts w:cs="Times New Roman"/>
                <w:sz w:val="21"/>
              </w:rPr>
              <w:t>□</w:t>
            </w:r>
            <w:r>
              <w:rPr>
                <w:rFonts w:cs="Times New Roman"/>
                <w:sz w:val="21"/>
              </w:rPr>
              <w:t>；世界自然遗产</w:t>
            </w:r>
            <w:r>
              <w:rPr>
                <w:rFonts w:cs="Times New Roman"/>
                <w:sz w:val="21"/>
              </w:rPr>
              <w:t>□</w:t>
            </w:r>
            <w:r>
              <w:rPr>
                <w:rFonts w:cs="Times New Roman"/>
                <w:sz w:val="21"/>
              </w:rPr>
              <w:t>；生态保护红线</w:t>
            </w:r>
            <w:r>
              <w:rPr>
                <w:rFonts w:cs="Times New Roman"/>
                <w:sz w:val="21"/>
              </w:rPr>
              <w:t>□</w:t>
            </w:r>
            <w:r>
              <w:rPr>
                <w:rFonts w:cs="Times New Roman"/>
                <w:sz w:val="21"/>
              </w:rPr>
              <w:t>；重要生境</w:t>
            </w:r>
            <w:r>
              <w:rPr>
                <w:rFonts w:cs="Times New Roman"/>
                <w:sz w:val="21"/>
              </w:rPr>
              <w:t>□</w:t>
            </w:r>
            <w:r>
              <w:rPr>
                <w:rFonts w:cs="Times New Roman"/>
                <w:sz w:val="21"/>
              </w:rPr>
              <w:t>；其他具有重要生态功能、对保护生物多样性具有重要意义的区域</w:t>
            </w:r>
            <w:r>
              <w:rPr>
                <w:rFonts w:cs="Times New Roman"/>
                <w:sz w:val="21"/>
              </w:rPr>
              <w:t>□</w:t>
            </w:r>
            <w:r>
              <w:rPr>
                <w:rFonts w:cs="Times New Roman"/>
                <w:sz w:val="21"/>
              </w:rPr>
              <w:t>；其他</w:t>
            </w:r>
            <w:r>
              <w:rPr>
                <w:rFonts w:cs="Times New Roman"/>
                <w:sz w:val="21"/>
              </w:rPr>
              <w:t>☑</w:t>
            </w:r>
          </w:p>
        </w:tc>
      </w:tr>
      <w:tr w:rsidR="00A46452">
        <w:trPr>
          <w:trHeight w:val="294"/>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影响方式</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工程占用</w:t>
            </w:r>
            <w:r>
              <w:rPr>
                <w:rFonts w:cs="Times New Roman"/>
                <w:b/>
                <w:sz w:val="21"/>
              </w:rPr>
              <w:t>√</w:t>
            </w:r>
            <w:r>
              <w:rPr>
                <w:rFonts w:cs="Times New Roman"/>
                <w:sz w:val="21"/>
              </w:rPr>
              <w:t>；施工活动干扰</w:t>
            </w:r>
            <w:r>
              <w:rPr>
                <w:rFonts w:cs="Times New Roman"/>
                <w:b/>
                <w:sz w:val="21"/>
              </w:rPr>
              <w:t>√</w:t>
            </w:r>
            <w:r>
              <w:rPr>
                <w:rFonts w:cs="Times New Roman"/>
                <w:sz w:val="21"/>
              </w:rPr>
              <w:t>；改变环境条件</w:t>
            </w:r>
            <w:r>
              <w:rPr>
                <w:rFonts w:cs="Times New Roman"/>
                <w:b/>
                <w:sz w:val="21"/>
              </w:rPr>
              <w:t>√</w:t>
            </w:r>
            <w:r>
              <w:rPr>
                <w:rFonts w:cs="Times New Roman"/>
                <w:sz w:val="21"/>
              </w:rPr>
              <w:t>；其他</w:t>
            </w:r>
            <w:r>
              <w:rPr>
                <w:rFonts w:cs="Times New Roman"/>
                <w:sz w:val="21"/>
              </w:rPr>
              <w:t>□</w:t>
            </w:r>
          </w:p>
        </w:tc>
      </w:tr>
      <w:tr w:rsidR="00A46452">
        <w:trPr>
          <w:trHeight w:val="2412"/>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评价因子</w:t>
            </w:r>
          </w:p>
        </w:tc>
        <w:tc>
          <w:tcPr>
            <w:tcW w:w="3713" w:type="pct"/>
            <w:vAlign w:val="center"/>
          </w:tcPr>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物种</w:t>
            </w:r>
            <w:r>
              <w:rPr>
                <w:rFonts w:cs="Times New Roman"/>
                <w:sz w:val="21"/>
              </w:rPr>
              <w:t>☑</w:t>
            </w:r>
            <w:r>
              <w:rPr>
                <w:rFonts w:cs="Times New Roman"/>
                <w:sz w:val="21"/>
              </w:rPr>
              <w:t>（</w:t>
            </w:r>
            <w:r>
              <w:rPr>
                <w:rFonts w:cs="Times New Roman"/>
                <w:sz w:val="21"/>
              </w:rPr>
              <w:t>分布范围、种群数量、种群结构、行为</w:t>
            </w:r>
            <w:r>
              <w:rPr>
                <w:rFonts w:cs="Times New Roman"/>
                <w:sz w:val="21"/>
              </w:rPr>
              <w:t>等</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生境</w:t>
            </w:r>
            <w:r>
              <w:rPr>
                <w:rFonts w:cs="Times New Roman"/>
                <w:sz w:val="21"/>
              </w:rPr>
              <w:t>☑</w:t>
            </w:r>
            <w:r>
              <w:rPr>
                <w:rFonts w:cs="Times New Roman"/>
                <w:sz w:val="21"/>
              </w:rPr>
              <w:t>（</w:t>
            </w:r>
            <w:r>
              <w:rPr>
                <w:rFonts w:cs="Times New Roman"/>
                <w:sz w:val="21"/>
              </w:rPr>
              <w:t>生境面积、质量、连通性等</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生物群落</w:t>
            </w:r>
            <w:r>
              <w:rPr>
                <w:rFonts w:cs="Times New Roman"/>
                <w:sz w:val="21"/>
              </w:rPr>
              <w:t>☑</w:t>
            </w:r>
            <w:r>
              <w:rPr>
                <w:rFonts w:cs="Times New Roman"/>
                <w:sz w:val="21"/>
              </w:rPr>
              <w:t>（</w:t>
            </w:r>
            <w:r>
              <w:rPr>
                <w:rFonts w:cs="Times New Roman"/>
                <w:sz w:val="21"/>
              </w:rPr>
              <w:t>物种组成、群落结构等</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生态系统</w:t>
            </w:r>
            <w:r>
              <w:rPr>
                <w:rFonts w:cs="Times New Roman"/>
                <w:sz w:val="21"/>
              </w:rPr>
              <w:t>☑</w:t>
            </w:r>
            <w:r>
              <w:rPr>
                <w:rFonts w:cs="Times New Roman"/>
                <w:sz w:val="21"/>
              </w:rPr>
              <w:t>（植被覆盖度、生产力、生物量、生态系统功能等）</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生物多样性</w:t>
            </w:r>
            <w:r>
              <w:rPr>
                <w:rFonts w:cs="Times New Roman"/>
                <w:sz w:val="21"/>
              </w:rPr>
              <w:t>☑</w:t>
            </w:r>
            <w:r>
              <w:rPr>
                <w:rFonts w:cs="Times New Roman"/>
                <w:sz w:val="21"/>
              </w:rPr>
              <w:t>（</w:t>
            </w:r>
            <w:r>
              <w:rPr>
                <w:rFonts w:cs="Times New Roman"/>
                <w:sz w:val="21"/>
              </w:rPr>
              <w:t xml:space="preserve"> </w:t>
            </w:r>
            <w:r>
              <w:rPr>
                <w:rFonts w:cs="Times New Roman"/>
                <w:sz w:val="21"/>
              </w:rPr>
              <w:t>物种丰富度、均匀度、优势度等</w:t>
            </w:r>
            <w:r>
              <w:rPr>
                <w:rFonts w:cs="Times New Roman"/>
                <w:sz w:val="21"/>
              </w:rPr>
              <w:t xml:space="preserve"> </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生态敏感区</w:t>
            </w:r>
            <w:r>
              <w:rPr>
                <w:rFonts w:cs="Times New Roman"/>
                <w:sz w:val="21"/>
              </w:rPr>
              <w:t>☑</w:t>
            </w:r>
            <w:r>
              <w:rPr>
                <w:rFonts w:cs="Times New Roman"/>
                <w:sz w:val="21"/>
              </w:rPr>
              <w:t>（</w:t>
            </w:r>
            <w:r>
              <w:rPr>
                <w:rFonts w:cs="Times New Roman"/>
                <w:sz w:val="18"/>
                <w:szCs w:val="18"/>
              </w:rPr>
              <w:t>主要保护对象、生态功能等</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自然景观</w:t>
            </w:r>
            <w:r>
              <w:rPr>
                <w:rFonts w:cs="Times New Roman"/>
                <w:sz w:val="21"/>
              </w:rPr>
              <w:t>☑</w:t>
            </w:r>
            <w:r>
              <w:rPr>
                <w:rFonts w:cs="Times New Roman"/>
                <w:sz w:val="21"/>
              </w:rPr>
              <w:t>（景观多样性、完整性等）</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自然遗迹</w:t>
            </w:r>
            <w:r>
              <w:rPr>
                <w:rFonts w:cs="Times New Roman"/>
                <w:sz w:val="21"/>
              </w:rPr>
              <w:t>□</w:t>
            </w:r>
            <w:r>
              <w:rPr>
                <w:rFonts w:cs="Times New Roman"/>
                <w:sz w:val="21"/>
              </w:rPr>
              <w:t>（</w:t>
            </w:r>
            <w:r>
              <w:rPr>
                <w:rFonts w:cs="Times New Roman"/>
                <w:sz w:val="21"/>
              </w:rPr>
              <w:t xml:space="preserve">         </w:t>
            </w:r>
            <w:r>
              <w:rPr>
                <w:rFonts w:cs="Times New Roman"/>
                <w:sz w:val="21"/>
              </w:rPr>
              <w:t>）</w:t>
            </w:r>
          </w:p>
          <w:p w:rsidR="00A46452" w:rsidRDefault="009A3928">
            <w:pPr>
              <w:pStyle w:val="TableParagraph"/>
              <w:tabs>
                <w:tab w:val="left" w:pos="3092"/>
              </w:tabs>
              <w:wordWrap w:val="0"/>
              <w:topLinePunct/>
              <w:spacing w:line="240" w:lineRule="auto"/>
              <w:ind w:firstLineChars="0" w:firstLine="0"/>
              <w:rPr>
                <w:rFonts w:cs="Times New Roman"/>
                <w:sz w:val="21"/>
              </w:rPr>
            </w:pPr>
            <w:r>
              <w:rPr>
                <w:rFonts w:cs="Times New Roman"/>
                <w:sz w:val="21"/>
              </w:rPr>
              <w:t>其他</w:t>
            </w:r>
            <w:r>
              <w:rPr>
                <w:rFonts w:cs="Times New Roman"/>
                <w:b/>
                <w:sz w:val="21"/>
              </w:rPr>
              <w:t>√</w:t>
            </w:r>
            <w:r>
              <w:rPr>
                <w:rFonts w:cs="Times New Roman"/>
                <w:sz w:val="21"/>
              </w:rPr>
              <w:t>（</w:t>
            </w:r>
            <w:r>
              <w:rPr>
                <w:rFonts w:cs="Times New Roman"/>
                <w:sz w:val="21"/>
              </w:rPr>
              <w:t xml:space="preserve">   </w:t>
            </w:r>
            <w:r>
              <w:rPr>
                <w:rFonts w:cs="Times New Roman"/>
                <w:sz w:val="21"/>
              </w:rPr>
              <w:t>）</w:t>
            </w:r>
          </w:p>
        </w:tc>
      </w:tr>
      <w:tr w:rsidR="00A46452">
        <w:trPr>
          <w:trHeight w:val="294"/>
        </w:trPr>
        <w:tc>
          <w:tcPr>
            <w:tcW w:w="1287" w:type="pct"/>
            <w:gridSpan w:val="2"/>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评价等级</w:t>
            </w:r>
          </w:p>
        </w:tc>
        <w:tc>
          <w:tcPr>
            <w:tcW w:w="3713" w:type="pct"/>
            <w:vAlign w:val="center"/>
          </w:tcPr>
          <w:p w:rsidR="00A46452" w:rsidRDefault="009A3928">
            <w:pPr>
              <w:pStyle w:val="TableParagraph"/>
              <w:tabs>
                <w:tab w:val="left" w:pos="1471"/>
                <w:tab w:val="left" w:pos="2823"/>
              </w:tabs>
              <w:wordWrap w:val="0"/>
              <w:topLinePunct/>
              <w:spacing w:line="240" w:lineRule="auto"/>
              <w:ind w:firstLineChars="0" w:firstLine="0"/>
              <w:rPr>
                <w:rFonts w:cs="Times New Roman"/>
                <w:sz w:val="21"/>
              </w:rPr>
            </w:pPr>
            <w:r>
              <w:rPr>
                <w:rFonts w:cs="Times New Roman"/>
                <w:sz w:val="21"/>
              </w:rPr>
              <w:t>一级</w:t>
            </w:r>
            <w:r>
              <w:rPr>
                <w:rFonts w:cs="Times New Roman"/>
                <w:sz w:val="21"/>
              </w:rPr>
              <w:t xml:space="preserve">□   </w:t>
            </w:r>
            <w:r>
              <w:rPr>
                <w:rFonts w:cs="Times New Roman"/>
                <w:sz w:val="21"/>
              </w:rPr>
              <w:t>二级</w:t>
            </w:r>
            <w:r>
              <w:rPr>
                <w:rFonts w:cs="Times New Roman"/>
                <w:sz w:val="21"/>
              </w:rPr>
              <w:t>☑</w:t>
            </w:r>
            <w:r>
              <w:rPr>
                <w:rFonts w:cs="Times New Roman"/>
                <w:sz w:val="21"/>
              </w:rPr>
              <w:t xml:space="preserve">   </w:t>
            </w:r>
            <w:r>
              <w:rPr>
                <w:rFonts w:cs="Times New Roman"/>
                <w:sz w:val="21"/>
              </w:rPr>
              <w:t>三级</w:t>
            </w:r>
            <w:r>
              <w:rPr>
                <w:rFonts w:cs="Times New Roman"/>
                <w:sz w:val="21"/>
              </w:rPr>
              <w:t>☑</w:t>
            </w:r>
            <w:r>
              <w:rPr>
                <w:rFonts w:cs="Times New Roman"/>
                <w:b/>
                <w:sz w:val="21"/>
              </w:rPr>
              <w:t xml:space="preserve">    </w:t>
            </w:r>
            <w:r>
              <w:rPr>
                <w:rFonts w:cs="Times New Roman"/>
                <w:sz w:val="21"/>
              </w:rPr>
              <w:t>生态影响简单分析</w:t>
            </w:r>
          </w:p>
        </w:tc>
      </w:tr>
      <w:tr w:rsidR="00A46452">
        <w:trPr>
          <w:trHeight w:val="294"/>
        </w:trPr>
        <w:tc>
          <w:tcPr>
            <w:tcW w:w="1287" w:type="pct"/>
            <w:gridSpan w:val="2"/>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评价范围</w:t>
            </w:r>
          </w:p>
        </w:tc>
        <w:tc>
          <w:tcPr>
            <w:tcW w:w="3713" w:type="pct"/>
            <w:vAlign w:val="center"/>
          </w:tcPr>
          <w:p w:rsidR="00A46452" w:rsidRDefault="009A3928">
            <w:pPr>
              <w:pStyle w:val="TableParagraph"/>
              <w:tabs>
                <w:tab w:val="left" w:pos="1560"/>
              </w:tabs>
              <w:wordWrap w:val="0"/>
              <w:topLinePunct/>
              <w:spacing w:line="240" w:lineRule="auto"/>
              <w:ind w:firstLineChars="0" w:firstLine="0"/>
              <w:rPr>
                <w:rFonts w:cs="Times New Roman"/>
                <w:sz w:val="21"/>
              </w:rPr>
            </w:pPr>
            <w:r>
              <w:rPr>
                <w:rFonts w:cs="Times New Roman"/>
                <w:sz w:val="21"/>
              </w:rPr>
              <w:t>陆域面积</w:t>
            </w:r>
            <w:r>
              <w:rPr>
                <w:rFonts w:cs="Times New Roman"/>
                <w:spacing w:val="-92"/>
                <w:sz w:val="21"/>
              </w:rPr>
              <w:t>：</w:t>
            </w:r>
            <w:r>
              <w:rPr>
                <w:rFonts w:cs="Times New Roman"/>
                <w:sz w:val="21"/>
              </w:rPr>
              <w:t>（</w:t>
            </w:r>
            <w:r>
              <w:rPr>
                <w:rFonts w:cs="Times New Roman"/>
                <w:sz w:val="21"/>
              </w:rPr>
              <w:t>2.54</w:t>
            </w:r>
            <w:r>
              <w:rPr>
                <w:rFonts w:cs="Times New Roman"/>
                <w:sz w:val="21"/>
              </w:rPr>
              <w:t>）</w:t>
            </w:r>
            <w:r>
              <w:rPr>
                <w:rFonts w:cs="Times New Roman"/>
                <w:spacing w:val="-2"/>
                <w:sz w:val="21"/>
              </w:rPr>
              <w:t>k</w:t>
            </w:r>
            <w:r>
              <w:rPr>
                <w:rFonts w:cs="Times New Roman"/>
                <w:spacing w:val="-4"/>
                <w:sz w:val="21"/>
              </w:rPr>
              <w:t>m</w:t>
            </w:r>
            <w:r>
              <w:rPr>
                <w:rFonts w:cs="Times New Roman"/>
                <w:w w:val="97"/>
                <w:sz w:val="21"/>
                <w:vertAlign w:val="superscript"/>
              </w:rPr>
              <w:t>2</w:t>
            </w:r>
            <w:r>
              <w:rPr>
                <w:rFonts w:cs="Times New Roman"/>
                <w:sz w:val="21"/>
              </w:rPr>
              <w:t>；水</w:t>
            </w:r>
            <w:r>
              <w:rPr>
                <w:rFonts w:cs="Times New Roman"/>
                <w:spacing w:val="2"/>
                <w:sz w:val="21"/>
              </w:rPr>
              <w:t>域</w:t>
            </w:r>
            <w:r>
              <w:rPr>
                <w:rFonts w:cs="Times New Roman"/>
                <w:sz w:val="21"/>
              </w:rPr>
              <w:t>面积（）</w:t>
            </w:r>
            <w:r>
              <w:rPr>
                <w:rFonts w:cs="Times New Roman"/>
                <w:sz w:val="21"/>
              </w:rPr>
              <w:t>km</w:t>
            </w:r>
            <w:r>
              <w:rPr>
                <w:rFonts w:cs="Times New Roman"/>
                <w:sz w:val="21"/>
                <w:vertAlign w:val="superscript"/>
              </w:rPr>
              <w:t>2</w:t>
            </w:r>
          </w:p>
        </w:tc>
      </w:tr>
      <w:tr w:rsidR="00A46452">
        <w:trPr>
          <w:trHeight w:val="530"/>
        </w:trPr>
        <w:tc>
          <w:tcPr>
            <w:tcW w:w="533" w:type="pct"/>
            <w:vMerge w:val="restar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pacing w:val="-5"/>
                <w:sz w:val="21"/>
              </w:rPr>
              <w:t>生态现状</w:t>
            </w:r>
            <w:r>
              <w:rPr>
                <w:rFonts w:cs="Times New Roman"/>
                <w:sz w:val="21"/>
              </w:rPr>
              <w:t>调查与评价</w:t>
            </w: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调查方法</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资料收集</w:t>
            </w:r>
            <w:r>
              <w:rPr>
                <w:rFonts w:cs="Times New Roman"/>
                <w:sz w:val="21"/>
              </w:rPr>
              <w:t>☑</w:t>
            </w:r>
            <w:r>
              <w:rPr>
                <w:rFonts w:cs="Times New Roman"/>
                <w:sz w:val="21"/>
              </w:rPr>
              <w:t>；遥感调查</w:t>
            </w:r>
            <w:r>
              <w:rPr>
                <w:rFonts w:cs="Times New Roman"/>
                <w:sz w:val="21"/>
              </w:rPr>
              <w:t>☑</w:t>
            </w:r>
            <w:r>
              <w:rPr>
                <w:rFonts w:cs="Times New Roman"/>
                <w:sz w:val="21"/>
              </w:rPr>
              <w:t>；调查样方、样线</w:t>
            </w:r>
            <w:r>
              <w:rPr>
                <w:rFonts w:cs="Times New Roman"/>
                <w:sz w:val="21"/>
              </w:rPr>
              <w:t>□</w:t>
            </w:r>
            <w:r>
              <w:rPr>
                <w:rFonts w:cs="Times New Roman"/>
                <w:sz w:val="21"/>
              </w:rPr>
              <w:t>；调查点位、断面</w:t>
            </w:r>
            <w:r>
              <w:rPr>
                <w:rFonts w:cs="Times New Roman"/>
                <w:sz w:val="21"/>
              </w:rPr>
              <w:t>□</w:t>
            </w:r>
            <w:r>
              <w:rPr>
                <w:rFonts w:cs="Times New Roman"/>
                <w:sz w:val="21"/>
              </w:rPr>
              <w:t>；专家和公众咨询法</w:t>
            </w:r>
            <w:r>
              <w:rPr>
                <w:rFonts w:cs="Times New Roman"/>
                <w:sz w:val="21"/>
              </w:rPr>
              <w:t>☑</w:t>
            </w:r>
            <w:r>
              <w:rPr>
                <w:rFonts w:cs="Times New Roman"/>
                <w:sz w:val="21"/>
              </w:rPr>
              <w:t>；其他</w:t>
            </w:r>
            <w:r>
              <w:rPr>
                <w:rFonts w:cs="Times New Roman"/>
                <w:sz w:val="21"/>
              </w:rPr>
              <w:t>☑</w:t>
            </w:r>
          </w:p>
        </w:tc>
      </w:tr>
      <w:tr w:rsidR="00A46452">
        <w:trPr>
          <w:trHeight w:val="558"/>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调查时间</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春季</w:t>
            </w:r>
            <w:r>
              <w:rPr>
                <w:rFonts w:cs="Times New Roman"/>
                <w:sz w:val="21"/>
              </w:rPr>
              <w:t>□</w:t>
            </w:r>
            <w:r>
              <w:rPr>
                <w:rFonts w:cs="Times New Roman"/>
                <w:sz w:val="21"/>
              </w:rPr>
              <w:t>；夏季</w:t>
            </w:r>
            <w:r>
              <w:rPr>
                <w:rFonts w:cs="Times New Roman"/>
                <w:sz w:val="21"/>
              </w:rPr>
              <w:t>□</w:t>
            </w:r>
            <w:r>
              <w:rPr>
                <w:rFonts w:cs="Times New Roman"/>
                <w:sz w:val="21"/>
              </w:rPr>
              <w:t>；秋季</w:t>
            </w:r>
            <w:r>
              <w:rPr>
                <w:rFonts w:cs="Times New Roman"/>
                <w:sz w:val="21"/>
              </w:rPr>
              <w:t>□</w:t>
            </w:r>
            <w:r>
              <w:rPr>
                <w:rFonts w:cs="Times New Roman"/>
                <w:sz w:val="21"/>
              </w:rPr>
              <w:t>；冬季</w:t>
            </w:r>
            <w:r>
              <w:rPr>
                <w:rFonts w:cs="Times New Roman"/>
                <w:sz w:val="21"/>
              </w:rPr>
              <w:t>□</w:t>
            </w:r>
          </w:p>
          <w:p w:rsidR="00A46452" w:rsidRDefault="009A3928">
            <w:pPr>
              <w:pStyle w:val="TableParagraph"/>
              <w:wordWrap w:val="0"/>
              <w:topLinePunct/>
              <w:spacing w:line="240" w:lineRule="auto"/>
              <w:ind w:firstLineChars="0" w:firstLine="0"/>
              <w:rPr>
                <w:rFonts w:cs="Times New Roman"/>
                <w:sz w:val="21"/>
              </w:rPr>
            </w:pPr>
            <w:r>
              <w:rPr>
                <w:rFonts w:cs="Times New Roman"/>
                <w:sz w:val="21"/>
              </w:rPr>
              <w:t>丰水期</w:t>
            </w:r>
            <w:r>
              <w:rPr>
                <w:rFonts w:cs="Times New Roman"/>
                <w:sz w:val="21"/>
              </w:rPr>
              <w:t>□</w:t>
            </w:r>
            <w:r>
              <w:rPr>
                <w:rFonts w:cs="Times New Roman"/>
                <w:sz w:val="21"/>
              </w:rPr>
              <w:t>；枯水期</w:t>
            </w:r>
            <w:r>
              <w:rPr>
                <w:rFonts w:cs="Times New Roman"/>
                <w:sz w:val="21"/>
              </w:rPr>
              <w:t>□</w:t>
            </w:r>
            <w:r>
              <w:rPr>
                <w:rFonts w:cs="Times New Roman"/>
                <w:sz w:val="21"/>
              </w:rPr>
              <w:t>；平水期</w:t>
            </w:r>
            <w:r>
              <w:rPr>
                <w:rFonts w:cs="Times New Roman"/>
                <w:sz w:val="21"/>
              </w:rPr>
              <w:t>□</w:t>
            </w:r>
          </w:p>
        </w:tc>
      </w:tr>
      <w:tr w:rsidR="00A46452">
        <w:trPr>
          <w:trHeight w:val="561"/>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所在区域的</w:t>
            </w:r>
          </w:p>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生态问题</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水土流失</w:t>
            </w:r>
            <w:r>
              <w:rPr>
                <w:rFonts w:cs="Times New Roman"/>
                <w:sz w:val="21"/>
              </w:rPr>
              <w:t>☑</w:t>
            </w:r>
            <w:r>
              <w:rPr>
                <w:rFonts w:cs="Times New Roman"/>
                <w:sz w:val="21"/>
              </w:rPr>
              <w:t>；沙漠化</w:t>
            </w:r>
            <w:r>
              <w:rPr>
                <w:rFonts w:cs="Times New Roman"/>
                <w:sz w:val="21"/>
              </w:rPr>
              <w:t>☑</w:t>
            </w:r>
            <w:r>
              <w:rPr>
                <w:rFonts w:cs="Times New Roman"/>
                <w:sz w:val="21"/>
              </w:rPr>
              <w:t>；石漠化</w:t>
            </w:r>
            <w:r>
              <w:rPr>
                <w:rFonts w:cs="Times New Roman"/>
                <w:sz w:val="21"/>
              </w:rPr>
              <w:t>□</w:t>
            </w:r>
            <w:r>
              <w:rPr>
                <w:rFonts w:cs="Times New Roman"/>
                <w:sz w:val="21"/>
              </w:rPr>
              <w:t>；盐渍化</w:t>
            </w:r>
            <w:r>
              <w:rPr>
                <w:rFonts w:cs="Times New Roman"/>
                <w:sz w:val="21"/>
              </w:rPr>
              <w:t>□</w:t>
            </w:r>
            <w:r>
              <w:rPr>
                <w:rFonts w:cs="Times New Roman"/>
                <w:sz w:val="21"/>
              </w:rPr>
              <w:t>；生物入侵</w:t>
            </w:r>
            <w:r>
              <w:rPr>
                <w:rFonts w:cs="Times New Roman"/>
                <w:sz w:val="21"/>
              </w:rPr>
              <w:t>□</w:t>
            </w:r>
            <w:r>
              <w:rPr>
                <w:rFonts w:cs="Times New Roman"/>
                <w:sz w:val="21"/>
              </w:rPr>
              <w:t>；污染危害</w:t>
            </w:r>
            <w:r>
              <w:rPr>
                <w:rFonts w:cs="Times New Roman"/>
                <w:sz w:val="21"/>
              </w:rPr>
              <w:t>□</w:t>
            </w:r>
            <w:r>
              <w:rPr>
                <w:rFonts w:cs="Times New Roman"/>
                <w:sz w:val="21"/>
              </w:rPr>
              <w:t>；其他</w:t>
            </w:r>
            <w:r>
              <w:rPr>
                <w:rFonts w:cs="Times New Roman"/>
                <w:sz w:val="21"/>
              </w:rPr>
              <w:t>☑</w:t>
            </w:r>
          </w:p>
        </w:tc>
      </w:tr>
      <w:tr w:rsidR="00A46452">
        <w:trPr>
          <w:trHeight w:val="527"/>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评价内容</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植被</w:t>
            </w:r>
            <w:r>
              <w:rPr>
                <w:rFonts w:cs="Times New Roman"/>
                <w:sz w:val="21"/>
              </w:rPr>
              <w:t>/</w:t>
            </w:r>
            <w:r>
              <w:rPr>
                <w:rFonts w:cs="Times New Roman"/>
                <w:sz w:val="21"/>
              </w:rPr>
              <w:t>植物群落</w:t>
            </w:r>
            <w:r>
              <w:rPr>
                <w:rFonts w:cs="Times New Roman"/>
                <w:sz w:val="21"/>
              </w:rPr>
              <w:t>☑</w:t>
            </w:r>
            <w:r>
              <w:rPr>
                <w:rFonts w:cs="Times New Roman"/>
                <w:sz w:val="21"/>
              </w:rPr>
              <w:t>；土地利用</w:t>
            </w:r>
            <w:r>
              <w:rPr>
                <w:rFonts w:cs="Times New Roman"/>
                <w:sz w:val="21"/>
              </w:rPr>
              <w:t>☑</w:t>
            </w:r>
            <w:r>
              <w:rPr>
                <w:rFonts w:cs="Times New Roman"/>
                <w:sz w:val="21"/>
              </w:rPr>
              <w:t>；生态系统</w:t>
            </w:r>
            <w:r>
              <w:rPr>
                <w:rFonts w:cs="Times New Roman"/>
                <w:sz w:val="21"/>
              </w:rPr>
              <w:t>☑</w:t>
            </w:r>
            <w:r>
              <w:rPr>
                <w:rFonts w:cs="Times New Roman"/>
                <w:sz w:val="21"/>
              </w:rPr>
              <w:t>；生物多样性</w:t>
            </w:r>
            <w:r>
              <w:rPr>
                <w:rFonts w:cs="Times New Roman"/>
                <w:sz w:val="21"/>
              </w:rPr>
              <w:t>☑</w:t>
            </w:r>
            <w:r>
              <w:rPr>
                <w:rFonts w:cs="Times New Roman"/>
                <w:sz w:val="21"/>
              </w:rPr>
              <w:t>；重要物种</w:t>
            </w:r>
            <w:r>
              <w:rPr>
                <w:rFonts w:cs="Times New Roman"/>
                <w:sz w:val="21"/>
              </w:rPr>
              <w:t>□</w:t>
            </w:r>
            <w:r>
              <w:rPr>
                <w:rFonts w:cs="Times New Roman"/>
                <w:sz w:val="21"/>
              </w:rPr>
              <w:t>；生态敏感区</w:t>
            </w:r>
            <w:r>
              <w:rPr>
                <w:rFonts w:cs="Times New Roman"/>
                <w:sz w:val="21"/>
              </w:rPr>
              <w:t>□</w:t>
            </w:r>
            <w:r>
              <w:rPr>
                <w:rFonts w:cs="Times New Roman"/>
                <w:sz w:val="21"/>
              </w:rPr>
              <w:t>；其他</w:t>
            </w:r>
            <w:r>
              <w:rPr>
                <w:rFonts w:cs="Times New Roman"/>
                <w:sz w:val="21"/>
              </w:rPr>
              <w:t>☑</w:t>
            </w:r>
          </w:p>
        </w:tc>
      </w:tr>
      <w:tr w:rsidR="00A46452">
        <w:trPr>
          <w:trHeight w:val="297"/>
        </w:trPr>
        <w:tc>
          <w:tcPr>
            <w:tcW w:w="533" w:type="pct"/>
            <w:vMerge w:val="restar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pacing w:val="-5"/>
                <w:sz w:val="21"/>
              </w:rPr>
              <w:t>生态影响</w:t>
            </w:r>
            <w:r>
              <w:rPr>
                <w:rFonts w:cs="Times New Roman"/>
                <w:sz w:val="21"/>
              </w:rPr>
              <w:t>预测与评价</w:t>
            </w: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评价方法</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定性</w:t>
            </w:r>
            <w:r>
              <w:rPr>
                <w:rFonts w:cs="Times New Roman"/>
                <w:sz w:val="21"/>
              </w:rPr>
              <w:t>□</w:t>
            </w:r>
            <w:r>
              <w:rPr>
                <w:rFonts w:cs="Times New Roman"/>
                <w:sz w:val="21"/>
              </w:rPr>
              <w:t>；定性和定量</w:t>
            </w:r>
            <w:r>
              <w:rPr>
                <w:rFonts w:cs="Times New Roman"/>
                <w:sz w:val="21"/>
              </w:rPr>
              <w:t>☑</w:t>
            </w:r>
          </w:p>
        </w:tc>
      </w:tr>
      <w:tr w:rsidR="00A46452">
        <w:trPr>
          <w:trHeight w:val="527"/>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评价内容</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植被</w:t>
            </w:r>
            <w:r>
              <w:rPr>
                <w:rFonts w:cs="Times New Roman"/>
                <w:sz w:val="21"/>
              </w:rPr>
              <w:t>/</w:t>
            </w:r>
            <w:r>
              <w:rPr>
                <w:rFonts w:cs="Times New Roman"/>
                <w:sz w:val="21"/>
              </w:rPr>
              <w:t>植物群落</w:t>
            </w:r>
            <w:r>
              <w:rPr>
                <w:rFonts w:cs="Times New Roman"/>
                <w:sz w:val="21"/>
              </w:rPr>
              <w:t>☑</w:t>
            </w:r>
            <w:r>
              <w:rPr>
                <w:rFonts w:cs="Times New Roman"/>
                <w:sz w:val="21"/>
              </w:rPr>
              <w:t>；土地利用</w:t>
            </w:r>
            <w:r>
              <w:rPr>
                <w:rFonts w:cs="Times New Roman"/>
                <w:sz w:val="21"/>
              </w:rPr>
              <w:t>☑</w:t>
            </w:r>
            <w:r>
              <w:rPr>
                <w:rFonts w:cs="Times New Roman"/>
                <w:sz w:val="21"/>
              </w:rPr>
              <w:t>；生态系统</w:t>
            </w:r>
            <w:r>
              <w:rPr>
                <w:rFonts w:cs="Times New Roman"/>
                <w:sz w:val="21"/>
              </w:rPr>
              <w:t>☑</w:t>
            </w:r>
            <w:r>
              <w:rPr>
                <w:rFonts w:cs="Times New Roman"/>
                <w:sz w:val="21"/>
              </w:rPr>
              <w:t>；生物多样性</w:t>
            </w:r>
            <w:r>
              <w:rPr>
                <w:rFonts w:cs="Times New Roman"/>
                <w:sz w:val="21"/>
              </w:rPr>
              <w:t>☑</w:t>
            </w:r>
            <w:r>
              <w:rPr>
                <w:rFonts w:cs="Times New Roman"/>
                <w:sz w:val="21"/>
              </w:rPr>
              <w:t>；重要物种</w:t>
            </w:r>
            <w:r>
              <w:rPr>
                <w:rFonts w:cs="Times New Roman"/>
                <w:sz w:val="21"/>
              </w:rPr>
              <w:t>☑</w:t>
            </w:r>
            <w:r>
              <w:rPr>
                <w:rFonts w:cs="Times New Roman"/>
                <w:sz w:val="21"/>
              </w:rPr>
              <w:t>；生态敏感区</w:t>
            </w:r>
            <w:r>
              <w:rPr>
                <w:rFonts w:cs="Times New Roman"/>
                <w:sz w:val="21"/>
              </w:rPr>
              <w:t>□</w:t>
            </w:r>
            <w:r>
              <w:rPr>
                <w:rFonts w:cs="Times New Roman"/>
                <w:sz w:val="21"/>
              </w:rPr>
              <w:t>；生物入侵风险</w:t>
            </w:r>
            <w:r>
              <w:rPr>
                <w:rFonts w:cs="Times New Roman"/>
                <w:sz w:val="21"/>
              </w:rPr>
              <w:t>□</w:t>
            </w:r>
            <w:r>
              <w:rPr>
                <w:rFonts w:cs="Times New Roman"/>
                <w:sz w:val="21"/>
              </w:rPr>
              <w:t>；其他</w:t>
            </w:r>
            <w:r>
              <w:rPr>
                <w:rFonts w:cs="Times New Roman"/>
                <w:sz w:val="21"/>
              </w:rPr>
              <w:t>☑</w:t>
            </w:r>
          </w:p>
        </w:tc>
      </w:tr>
      <w:tr w:rsidR="00A46452">
        <w:trPr>
          <w:trHeight w:val="294"/>
        </w:trPr>
        <w:tc>
          <w:tcPr>
            <w:tcW w:w="533" w:type="pct"/>
            <w:vMerge w:val="restart"/>
            <w:vAlign w:val="center"/>
          </w:tcPr>
          <w:p w:rsidR="00A46452" w:rsidRDefault="00A46452">
            <w:pPr>
              <w:pStyle w:val="TableParagraph"/>
              <w:wordWrap w:val="0"/>
              <w:topLinePunct/>
              <w:spacing w:line="240" w:lineRule="auto"/>
              <w:ind w:firstLineChars="0" w:firstLine="0"/>
              <w:jc w:val="center"/>
              <w:rPr>
                <w:rFonts w:cs="Times New Roman"/>
                <w:sz w:val="21"/>
              </w:rPr>
            </w:pPr>
          </w:p>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生态保护对策措施</w:t>
            </w: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对策措施</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避让</w:t>
            </w:r>
            <w:r>
              <w:rPr>
                <w:rFonts w:cs="Times New Roman"/>
                <w:sz w:val="21"/>
              </w:rPr>
              <w:t>☑</w:t>
            </w:r>
            <w:r>
              <w:rPr>
                <w:rFonts w:cs="Times New Roman"/>
                <w:sz w:val="21"/>
              </w:rPr>
              <w:t>；减缓</w:t>
            </w:r>
            <w:r>
              <w:rPr>
                <w:rFonts w:cs="Times New Roman"/>
                <w:sz w:val="21"/>
              </w:rPr>
              <w:t>☑</w:t>
            </w:r>
            <w:r>
              <w:rPr>
                <w:rFonts w:cs="Times New Roman"/>
                <w:sz w:val="21"/>
              </w:rPr>
              <w:t>；生态修复</w:t>
            </w:r>
            <w:r>
              <w:rPr>
                <w:rFonts w:cs="Times New Roman"/>
                <w:sz w:val="21"/>
              </w:rPr>
              <w:t>☑</w:t>
            </w:r>
            <w:r>
              <w:rPr>
                <w:rFonts w:cs="Times New Roman"/>
                <w:sz w:val="21"/>
              </w:rPr>
              <w:t>；生态补偿</w:t>
            </w:r>
            <w:r>
              <w:rPr>
                <w:rFonts w:cs="Times New Roman"/>
                <w:sz w:val="21"/>
              </w:rPr>
              <w:t>☑</w:t>
            </w:r>
            <w:r>
              <w:rPr>
                <w:rFonts w:cs="Times New Roman"/>
                <w:sz w:val="21"/>
              </w:rPr>
              <w:t>；科研</w:t>
            </w:r>
            <w:r>
              <w:rPr>
                <w:rFonts w:cs="Times New Roman"/>
                <w:sz w:val="21"/>
              </w:rPr>
              <w:t>□</w:t>
            </w:r>
            <w:r>
              <w:rPr>
                <w:rFonts w:cs="Times New Roman"/>
                <w:sz w:val="21"/>
              </w:rPr>
              <w:t>；其他</w:t>
            </w:r>
            <w:r>
              <w:rPr>
                <w:rFonts w:cs="Times New Roman"/>
                <w:sz w:val="21"/>
              </w:rPr>
              <w:t>☑</w:t>
            </w:r>
          </w:p>
        </w:tc>
      </w:tr>
      <w:tr w:rsidR="00A46452">
        <w:trPr>
          <w:trHeight w:val="297"/>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生态监测计划</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全生命周期</w:t>
            </w:r>
            <w:r>
              <w:rPr>
                <w:rFonts w:cs="Times New Roman"/>
                <w:sz w:val="21"/>
              </w:rPr>
              <w:t>□</w:t>
            </w:r>
            <w:r>
              <w:rPr>
                <w:rFonts w:cs="Times New Roman"/>
                <w:sz w:val="21"/>
              </w:rPr>
              <w:t>；长期跟踪</w:t>
            </w:r>
            <w:r>
              <w:rPr>
                <w:rFonts w:cs="Times New Roman"/>
                <w:sz w:val="21"/>
              </w:rPr>
              <w:t>☑</w:t>
            </w:r>
            <w:r>
              <w:rPr>
                <w:rFonts w:cs="Times New Roman"/>
                <w:sz w:val="21"/>
              </w:rPr>
              <w:t>；常规</w:t>
            </w:r>
            <w:r>
              <w:rPr>
                <w:rFonts w:cs="Times New Roman"/>
                <w:sz w:val="21"/>
              </w:rPr>
              <w:t>□</w:t>
            </w:r>
            <w:r>
              <w:rPr>
                <w:rFonts w:cs="Times New Roman"/>
                <w:sz w:val="21"/>
              </w:rPr>
              <w:t>；无</w:t>
            </w:r>
            <w:r>
              <w:rPr>
                <w:rFonts w:cs="Times New Roman"/>
                <w:sz w:val="21"/>
              </w:rPr>
              <w:t>□</w:t>
            </w:r>
          </w:p>
        </w:tc>
      </w:tr>
      <w:tr w:rsidR="00A46452">
        <w:trPr>
          <w:trHeight w:val="294"/>
        </w:trPr>
        <w:tc>
          <w:tcPr>
            <w:tcW w:w="533" w:type="pct"/>
            <w:vMerge/>
            <w:vAlign w:val="center"/>
          </w:tcPr>
          <w:p w:rsidR="00A46452" w:rsidRDefault="00A46452">
            <w:pPr>
              <w:wordWrap w:val="0"/>
              <w:topLinePunct/>
              <w:spacing w:line="240" w:lineRule="auto"/>
              <w:ind w:firstLineChars="0" w:firstLine="0"/>
              <w:jc w:val="center"/>
              <w:rPr>
                <w:rFonts w:cs="Times New Roman"/>
              </w:rPr>
            </w:pP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环境管理</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环境监理</w:t>
            </w:r>
            <w:r>
              <w:rPr>
                <w:rFonts w:cs="Times New Roman"/>
                <w:b/>
                <w:sz w:val="21"/>
              </w:rPr>
              <w:t>√</w:t>
            </w:r>
            <w:r>
              <w:rPr>
                <w:rFonts w:cs="Times New Roman"/>
                <w:sz w:val="21"/>
              </w:rPr>
              <w:t>；环境影响后评价</w:t>
            </w:r>
            <w:r>
              <w:rPr>
                <w:rFonts w:cs="Times New Roman"/>
                <w:sz w:val="21"/>
              </w:rPr>
              <w:t>□</w:t>
            </w:r>
            <w:r>
              <w:rPr>
                <w:rFonts w:cs="Times New Roman"/>
                <w:sz w:val="21"/>
              </w:rPr>
              <w:t>；其他</w:t>
            </w:r>
            <w:r>
              <w:rPr>
                <w:rFonts w:cs="Times New Roman"/>
                <w:sz w:val="21"/>
              </w:rPr>
              <w:t>□</w:t>
            </w:r>
          </w:p>
        </w:tc>
      </w:tr>
      <w:tr w:rsidR="00A46452">
        <w:trPr>
          <w:trHeight w:val="294"/>
        </w:trPr>
        <w:tc>
          <w:tcPr>
            <w:tcW w:w="533"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评价结论</w:t>
            </w:r>
          </w:p>
        </w:tc>
        <w:tc>
          <w:tcPr>
            <w:tcW w:w="754" w:type="pct"/>
            <w:vAlign w:val="center"/>
          </w:tcPr>
          <w:p w:rsidR="00A46452" w:rsidRDefault="009A3928">
            <w:pPr>
              <w:pStyle w:val="TableParagraph"/>
              <w:wordWrap w:val="0"/>
              <w:topLinePunct/>
              <w:spacing w:line="240" w:lineRule="auto"/>
              <w:ind w:firstLineChars="0" w:firstLine="0"/>
              <w:jc w:val="center"/>
              <w:rPr>
                <w:rFonts w:cs="Times New Roman"/>
                <w:sz w:val="21"/>
              </w:rPr>
            </w:pPr>
            <w:r>
              <w:rPr>
                <w:rFonts w:cs="Times New Roman"/>
                <w:sz w:val="21"/>
              </w:rPr>
              <w:t>生态影响</w:t>
            </w:r>
          </w:p>
        </w:tc>
        <w:tc>
          <w:tcPr>
            <w:tcW w:w="3713" w:type="pct"/>
            <w:vAlign w:val="center"/>
          </w:tcPr>
          <w:p w:rsidR="00A46452" w:rsidRDefault="009A3928">
            <w:pPr>
              <w:pStyle w:val="TableParagraph"/>
              <w:wordWrap w:val="0"/>
              <w:topLinePunct/>
              <w:spacing w:line="240" w:lineRule="auto"/>
              <w:ind w:firstLineChars="0" w:firstLine="0"/>
              <w:rPr>
                <w:rFonts w:cs="Times New Roman"/>
                <w:sz w:val="21"/>
              </w:rPr>
            </w:pPr>
            <w:r>
              <w:rPr>
                <w:rFonts w:cs="Times New Roman"/>
                <w:sz w:val="21"/>
              </w:rPr>
              <w:t>可行</w:t>
            </w:r>
            <w:r>
              <w:rPr>
                <w:rFonts w:cs="Times New Roman"/>
                <w:b/>
                <w:sz w:val="21"/>
              </w:rPr>
              <w:t>√</w:t>
            </w:r>
            <w:r>
              <w:rPr>
                <w:rFonts w:cs="Times New Roman"/>
                <w:sz w:val="21"/>
              </w:rPr>
              <w:t>；不可行</w:t>
            </w:r>
            <w:r>
              <w:rPr>
                <w:rFonts w:cs="Times New Roman"/>
                <w:sz w:val="21"/>
              </w:rPr>
              <w:t>□</w:t>
            </w:r>
          </w:p>
        </w:tc>
      </w:tr>
      <w:tr w:rsidR="00A46452">
        <w:trPr>
          <w:trHeight w:val="296"/>
        </w:trPr>
        <w:tc>
          <w:tcPr>
            <w:tcW w:w="5000" w:type="pct"/>
            <w:gridSpan w:val="3"/>
            <w:vAlign w:val="center"/>
          </w:tcPr>
          <w:p w:rsidR="00A46452" w:rsidRDefault="009A3928">
            <w:pPr>
              <w:pStyle w:val="TableParagraph"/>
              <w:tabs>
                <w:tab w:val="left" w:pos="3259"/>
              </w:tabs>
              <w:wordWrap w:val="0"/>
              <w:topLinePunct/>
              <w:spacing w:line="240" w:lineRule="auto"/>
              <w:ind w:firstLineChars="0" w:firstLine="0"/>
              <w:rPr>
                <w:rFonts w:cs="Times New Roman"/>
                <w:sz w:val="21"/>
              </w:rPr>
            </w:pPr>
            <w:r>
              <w:rPr>
                <w:rFonts w:cs="Times New Roman"/>
                <w:sz w:val="21"/>
              </w:rPr>
              <w:t>注：</w:t>
            </w:r>
            <w:r>
              <w:rPr>
                <w:rFonts w:cs="Times New Roman"/>
                <w:sz w:val="21"/>
              </w:rPr>
              <w:t>“□”</w:t>
            </w:r>
            <w:r>
              <w:rPr>
                <w:rFonts w:cs="Times New Roman"/>
                <w:sz w:val="21"/>
              </w:rPr>
              <w:t>为勾选项，可</w:t>
            </w:r>
            <w:r>
              <w:rPr>
                <w:rFonts w:cs="Times New Roman"/>
                <w:sz w:val="21"/>
              </w:rPr>
              <w:t>√</w:t>
            </w:r>
            <w:r>
              <w:rPr>
                <w:rFonts w:cs="Times New Roman"/>
                <w:sz w:val="21"/>
              </w:rPr>
              <w:t>；</w:t>
            </w:r>
            <w:r>
              <w:rPr>
                <w:rFonts w:cs="Times New Roman"/>
                <w:sz w:val="21"/>
              </w:rPr>
              <w:t>“</w:t>
            </w:r>
            <w:r>
              <w:rPr>
                <w:rFonts w:cs="Times New Roman"/>
                <w:sz w:val="21"/>
              </w:rPr>
              <w:t>（）</w:t>
            </w:r>
            <w:r>
              <w:rPr>
                <w:rFonts w:cs="Times New Roman"/>
                <w:sz w:val="21"/>
              </w:rPr>
              <w:t>”</w:t>
            </w:r>
            <w:r>
              <w:rPr>
                <w:rFonts w:cs="Times New Roman"/>
                <w:sz w:val="21"/>
              </w:rPr>
              <w:t>为内容填写项</w:t>
            </w:r>
            <w:r>
              <w:rPr>
                <w:rFonts w:cs="Times New Roman"/>
                <w:sz w:val="21"/>
              </w:rPr>
              <w:t>。</w:t>
            </w:r>
          </w:p>
        </w:tc>
      </w:tr>
    </w:tbl>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83" w:name="_Toc187080706"/>
      <w:bookmarkStart w:id="284" w:name="_Toc25249"/>
      <w:bookmarkStart w:id="285" w:name="_Toc491045002"/>
      <w:r>
        <w:rPr>
          <w:rFonts w:cs="Times New Roman" w:hint="default"/>
          <w:sz w:val="30"/>
          <w:szCs w:val="30"/>
        </w:rPr>
        <w:t>7</w:t>
      </w:r>
      <w:r>
        <w:rPr>
          <w:rFonts w:cs="Times New Roman" w:hint="default"/>
          <w:sz w:val="30"/>
          <w:szCs w:val="30"/>
        </w:rPr>
        <w:t>.2</w:t>
      </w:r>
      <w:r>
        <w:rPr>
          <w:rFonts w:cs="Times New Roman" w:hint="default"/>
          <w:sz w:val="30"/>
          <w:szCs w:val="30"/>
        </w:rPr>
        <w:t>大气环境影响分析</w:t>
      </w:r>
      <w:bookmarkEnd w:id="283"/>
      <w:bookmarkEnd w:id="284"/>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7.2.1</w:t>
      </w:r>
      <w:r>
        <w:rPr>
          <w:rFonts w:cs="Times New Roman" w:hint="default"/>
          <w:sz w:val="28"/>
          <w:szCs w:val="28"/>
        </w:rPr>
        <w:t>施工期大气环境影响分析</w:t>
      </w:r>
    </w:p>
    <w:p w:rsidR="00A46452" w:rsidRDefault="009A3928">
      <w:pPr>
        <w:wordWrap w:val="0"/>
        <w:topLinePunct/>
        <w:ind w:firstLine="480"/>
        <w:rPr>
          <w:rFonts w:cs="Times New Roman"/>
          <w:snapToGrid w:val="0"/>
          <w:lang w:val="zh-CN"/>
        </w:rPr>
      </w:pPr>
      <w:r>
        <w:rPr>
          <w:rFonts w:cs="Times New Roman"/>
          <w:snapToGrid w:val="0"/>
          <w:lang w:val="zh-CN"/>
        </w:rPr>
        <w:t>拟建公路建设过程中，将进行大量的土石方填挖、筑路材料的运输及拌合、沥青加热搅拌、摊铺等作业工作。根据工程可行性研究中间成果，本工程路面采用沥青混凝土路面，因此，该工程施工期的主要环境空气污染物是</w:t>
      </w:r>
      <w:r>
        <w:rPr>
          <w:rFonts w:cs="Times New Roman"/>
          <w:snapToGrid w:val="0"/>
          <w:lang w:val="zh-CN"/>
        </w:rPr>
        <w:t>TSP</w:t>
      </w:r>
      <w:r>
        <w:rPr>
          <w:rFonts w:cs="Times New Roman"/>
          <w:snapToGrid w:val="0"/>
          <w:lang w:val="zh-CN"/>
        </w:rPr>
        <w:t>，其次为沥青加热搅拌、摊铺时的烟气和动力机械排出的尾气污染物，还有少量机械废气，其中尤以</w:t>
      </w:r>
      <w:r>
        <w:rPr>
          <w:rFonts w:cs="Times New Roman"/>
          <w:snapToGrid w:val="0"/>
          <w:lang w:val="zh-CN"/>
        </w:rPr>
        <w:t>TSP</w:t>
      </w:r>
      <w:r>
        <w:rPr>
          <w:rFonts w:cs="Times New Roman"/>
          <w:snapToGrid w:val="0"/>
          <w:lang w:val="zh-CN"/>
        </w:rPr>
        <w:t>对周围环境影响较为突出。</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w:t>
      </w:r>
      <w:r>
        <w:rPr>
          <w:rFonts w:cs="Times New Roman"/>
          <w:snapToGrid w:val="0"/>
          <w:lang w:val="zh-CN"/>
        </w:rPr>
        <w:t>TSP</w:t>
      </w:r>
      <w:r>
        <w:rPr>
          <w:rFonts w:cs="Times New Roman"/>
          <w:snapToGrid w:val="0"/>
          <w:lang w:val="zh-CN"/>
        </w:rPr>
        <w:t>的影响分析</w:t>
      </w:r>
    </w:p>
    <w:p w:rsidR="00A46452" w:rsidRDefault="009A3928">
      <w:pPr>
        <w:wordWrap w:val="0"/>
        <w:topLinePunct/>
        <w:ind w:firstLine="480"/>
        <w:rPr>
          <w:rFonts w:cs="Times New Roman"/>
          <w:snapToGrid w:val="0"/>
          <w:lang w:val="zh-CN"/>
        </w:rPr>
      </w:pPr>
      <w:r>
        <w:rPr>
          <w:rFonts w:cs="Times New Roman"/>
          <w:snapToGrid w:val="0"/>
          <w:lang w:val="zh-CN"/>
        </w:rPr>
        <w:t>TSP</w:t>
      </w:r>
      <w:r>
        <w:rPr>
          <w:rFonts w:cs="Times New Roman"/>
          <w:snapToGrid w:val="0"/>
          <w:lang w:val="zh-CN"/>
        </w:rPr>
        <w:t>污染的主要来源是开放或封闭不严的砂石料拌和、混凝土拌和站、预制场、储料场、材料运输过程中的漏撒，临时道路及未铺装道路路面起尘以及土石方开发和回填等。</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w:instrText>
      </w:r>
      <w:r>
        <w:rPr>
          <w:rFonts w:cs="Times New Roman"/>
          <w:snapToGrid w:val="0"/>
          <w:lang w:val="zh-CN"/>
        </w:rPr>
        <w:instrText xml:space="preserve">*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砂石料拌和产生的扬尘</w:t>
      </w:r>
    </w:p>
    <w:p w:rsidR="00A46452" w:rsidRDefault="009A3928">
      <w:pPr>
        <w:wordWrap w:val="0"/>
        <w:topLinePunct/>
        <w:ind w:firstLine="480"/>
        <w:rPr>
          <w:rFonts w:cs="Times New Roman"/>
          <w:snapToGrid w:val="0"/>
          <w:lang w:val="zh-CN"/>
        </w:rPr>
      </w:pPr>
      <w:r>
        <w:rPr>
          <w:rFonts w:cs="Times New Roman"/>
          <w:snapToGrid w:val="0"/>
          <w:lang w:val="zh-CN"/>
        </w:rPr>
        <w:t>砂石料拌和施工工艺基本上可以分为两种：路拌和厂拌，两种拌和方式都会造成许多粉尘产生。路拌引起的粉尘污染的特点是随施工地点的迁移而移动，污染面较窄，但受污染纵向范围较大，影响范围一般集中在下风向</w:t>
      </w:r>
      <w:r>
        <w:rPr>
          <w:rFonts w:cs="Times New Roman"/>
          <w:snapToGrid w:val="0"/>
          <w:lang w:val="zh-CN"/>
        </w:rPr>
        <w:t>50m</w:t>
      </w:r>
      <w:r>
        <w:rPr>
          <w:rFonts w:cs="Times New Roman"/>
          <w:snapToGrid w:val="0"/>
          <w:lang w:val="zh-CN"/>
        </w:rPr>
        <w:t>的条带范围内，且砂石料中的石灰成分可能会对路旁地表植被的表面形成灼伤；而站拌引起的粉尘污染则集中在拌和站周围，对拌和站附近影响表现为量大而面广，其影响范围可达下风向</w:t>
      </w:r>
      <w:r>
        <w:rPr>
          <w:rFonts w:cs="Times New Roman"/>
          <w:snapToGrid w:val="0"/>
          <w:lang w:val="zh-CN"/>
        </w:rPr>
        <w:t>150m</w:t>
      </w:r>
      <w:r>
        <w:rPr>
          <w:rFonts w:cs="Times New Roman"/>
          <w:snapToGrid w:val="0"/>
          <w:lang w:val="zh-CN"/>
        </w:rPr>
        <w:t>。砂石料拌和站按要求应布置在居民点下风向，拌和站应远离居民区敏感点（采取先进设施，适当距离应大于</w:t>
      </w:r>
      <w:r>
        <w:rPr>
          <w:rFonts w:cs="Times New Roman"/>
          <w:snapToGrid w:val="0"/>
          <w:lang w:val="zh-CN"/>
        </w:rPr>
        <w:t>30</w:t>
      </w:r>
      <w:r>
        <w:rPr>
          <w:rFonts w:cs="Times New Roman"/>
          <w:snapToGrid w:val="0"/>
          <w:lang w:val="zh-CN"/>
        </w:rPr>
        <w:t>0m</w:t>
      </w:r>
      <w:r>
        <w:rPr>
          <w:rFonts w:cs="Times New Roman"/>
          <w:snapToGrid w:val="0"/>
          <w:lang w:val="zh-CN"/>
        </w:rPr>
        <w:t>），尽量减少砂石料拌和对居民点影响。</w:t>
      </w:r>
    </w:p>
    <w:p w:rsidR="00A46452" w:rsidRDefault="009A3928">
      <w:pPr>
        <w:wordWrap w:val="0"/>
        <w:topLinePunct/>
        <w:ind w:firstLine="480"/>
        <w:rPr>
          <w:rFonts w:cs="Times New Roman"/>
          <w:snapToGrid w:val="0"/>
          <w:lang w:val="zh-CN"/>
        </w:rPr>
      </w:pPr>
      <w:r>
        <w:rPr>
          <w:rFonts w:cs="Times New Roman"/>
          <w:snapToGrid w:val="0"/>
          <w:lang w:val="zh-CN"/>
        </w:rPr>
        <w:t>根据以往高等级公路施工经验，底基层一般采用路拌法施工，基层采用厂拌法施工，并使用摊铺机摊铺。考虑到本工程主要路基填筑作业将在</w:t>
      </w:r>
      <w:r>
        <w:rPr>
          <w:rFonts w:cs="Times New Roman"/>
          <w:snapToGrid w:val="0"/>
        </w:rPr>
        <w:t>2</w:t>
      </w:r>
      <w:r>
        <w:rPr>
          <w:rFonts w:cs="Times New Roman"/>
          <w:snapToGrid w:val="0"/>
          <w:lang w:val="zh-CN"/>
        </w:rPr>
        <w:t>年内完成的实际情况，其路基填筑作业可能会对路线两侧</w:t>
      </w:r>
      <w:r>
        <w:rPr>
          <w:rFonts w:cs="Times New Roman"/>
          <w:snapToGrid w:val="0"/>
          <w:lang w:val="zh-CN"/>
        </w:rPr>
        <w:t>50m</w:t>
      </w:r>
      <w:r>
        <w:rPr>
          <w:rFonts w:cs="Times New Roman"/>
          <w:snapToGrid w:val="0"/>
          <w:lang w:val="zh-CN"/>
        </w:rPr>
        <w:t>内的村庄和拌和站周围</w:t>
      </w:r>
      <w:r>
        <w:rPr>
          <w:rFonts w:cs="Times New Roman"/>
          <w:snapToGrid w:val="0"/>
          <w:lang w:val="zh-CN"/>
        </w:rPr>
        <w:t>150m</w:t>
      </w:r>
      <w:r>
        <w:rPr>
          <w:rFonts w:cs="Times New Roman"/>
          <w:snapToGrid w:val="0"/>
          <w:lang w:val="zh-CN"/>
        </w:rPr>
        <w:t>范围内的村庄造成粉尘污染，项目设置的</w:t>
      </w:r>
      <w:r>
        <w:rPr>
          <w:rFonts w:cs="Times New Roman"/>
          <w:snapToGrid w:val="0"/>
        </w:rPr>
        <w:t>3</w:t>
      </w:r>
      <w:r>
        <w:rPr>
          <w:rFonts w:cs="Times New Roman"/>
          <w:snapToGrid w:val="0"/>
          <w:lang w:val="zh-CN"/>
        </w:rPr>
        <w:t>处</w:t>
      </w:r>
      <w:r>
        <w:rPr>
          <w:rFonts w:cs="Times New Roman"/>
          <w:snapToGrid w:val="0"/>
        </w:rPr>
        <w:t>综合站场</w:t>
      </w:r>
      <w:r>
        <w:rPr>
          <w:rFonts w:cs="Times New Roman"/>
          <w:snapToGrid w:val="0"/>
          <w:lang w:val="zh-CN"/>
        </w:rPr>
        <w:t>，</w:t>
      </w:r>
      <w:r>
        <w:rPr>
          <w:rFonts w:cs="Times New Roman"/>
          <w:snapToGrid w:val="0"/>
        </w:rPr>
        <w:t>主</w:t>
      </w:r>
      <w:r>
        <w:rPr>
          <w:rFonts w:cs="Times New Roman"/>
          <w:snapToGrid w:val="0"/>
          <w:lang w:val="zh-CN"/>
        </w:rPr>
        <w:t>周边</w:t>
      </w:r>
      <w:r>
        <w:rPr>
          <w:rFonts w:cs="Times New Roman"/>
          <w:snapToGrid w:val="0"/>
        </w:rPr>
        <w:t>500</w:t>
      </w:r>
      <w:r>
        <w:rPr>
          <w:rFonts w:cs="Times New Roman"/>
          <w:snapToGrid w:val="0"/>
          <w:lang w:val="zh-CN"/>
        </w:rPr>
        <w:t>km</w:t>
      </w:r>
      <w:r>
        <w:rPr>
          <w:rFonts w:cs="Times New Roman"/>
          <w:snapToGrid w:val="0"/>
          <w:lang w:val="zh-CN"/>
        </w:rPr>
        <w:t>内无居民区；因此砂石料拌和对环境影响较小。</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散体材料储料场扬尘</w:t>
      </w:r>
    </w:p>
    <w:p w:rsidR="00A46452" w:rsidRDefault="009A3928">
      <w:pPr>
        <w:wordWrap w:val="0"/>
        <w:topLinePunct/>
        <w:ind w:firstLine="480"/>
        <w:rPr>
          <w:rFonts w:cs="Times New Roman"/>
          <w:snapToGrid w:val="0"/>
          <w:lang w:val="zh-CN"/>
        </w:rPr>
      </w:pPr>
      <w:r>
        <w:rPr>
          <w:rFonts w:cs="Times New Roman"/>
          <w:snapToGrid w:val="0"/>
          <w:lang w:val="zh-CN"/>
        </w:rPr>
        <w:t>沙石料、石灰等散体材料储料场均堆放在道路红线范围内，临时贮存时在风力作用下也易发生扬尘。其扬尘基本上集中在下风向</w:t>
      </w:r>
      <w:r>
        <w:rPr>
          <w:rFonts w:cs="Times New Roman"/>
          <w:snapToGrid w:val="0"/>
          <w:lang w:val="zh-CN"/>
        </w:rPr>
        <w:t>50m</w:t>
      </w:r>
      <w:r>
        <w:rPr>
          <w:rFonts w:cs="Times New Roman"/>
          <w:snapToGrid w:val="0"/>
          <w:lang w:val="zh-CN"/>
        </w:rPr>
        <w:t>条带范围内</w:t>
      </w:r>
      <w:r>
        <w:rPr>
          <w:rFonts w:cs="Times New Roman"/>
          <w:snapToGrid w:val="0"/>
          <w:lang w:val="zh-CN"/>
        </w:rPr>
        <w:t>，考虑到其对人体和植物的有害作用，散体堆料场下风向</w:t>
      </w:r>
      <w:r>
        <w:rPr>
          <w:rFonts w:cs="Times New Roman"/>
          <w:snapToGrid w:val="0"/>
          <w:lang w:val="zh-CN"/>
        </w:rPr>
        <w:t>300m</w:t>
      </w:r>
      <w:r>
        <w:rPr>
          <w:rFonts w:cs="Times New Roman"/>
          <w:snapToGrid w:val="0"/>
          <w:lang w:val="zh-CN"/>
        </w:rPr>
        <w:t>内没有居民点，对其存放应做好防护工作，通过洒水、篷布遮挡等措施，可有效地防止风吹扬尘。</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散体材料运输扬尘</w:t>
      </w:r>
    </w:p>
    <w:p w:rsidR="00A46452" w:rsidRDefault="009A3928">
      <w:pPr>
        <w:wordWrap w:val="0"/>
        <w:topLinePunct/>
        <w:ind w:firstLine="480"/>
        <w:rPr>
          <w:rFonts w:cs="Times New Roman"/>
          <w:snapToGrid w:val="0"/>
          <w:lang w:val="zh-CN"/>
        </w:rPr>
      </w:pPr>
      <w:r>
        <w:rPr>
          <w:rFonts w:cs="Times New Roman"/>
          <w:snapToGrid w:val="0"/>
          <w:lang w:val="zh-CN"/>
        </w:rPr>
        <w:t>在施工中，材料的运输也将给沿线环境空气造成扬尘污染。根据同类项目的监测数值进行类别分析，施工期车辆运输扬尘在施工沿线地区所造成的污染较重，且影响范围较大，石灰和粉煤灰等散体物质的运输极易引起粉尘污染，其影响范围可达下风向</w:t>
      </w:r>
      <w:r>
        <w:rPr>
          <w:rFonts w:cs="Times New Roman"/>
          <w:snapToGrid w:val="0"/>
          <w:lang w:val="zh-CN"/>
        </w:rPr>
        <w:t>150m</w:t>
      </w:r>
      <w:r>
        <w:rPr>
          <w:rFonts w:cs="Times New Roman"/>
          <w:snapToGrid w:val="0"/>
          <w:lang w:val="zh-CN"/>
        </w:rPr>
        <w:t>（在下风向</w:t>
      </w:r>
      <w:r>
        <w:rPr>
          <w:rFonts w:cs="Times New Roman"/>
          <w:snapToGrid w:val="0"/>
          <w:lang w:val="zh-CN"/>
        </w:rPr>
        <w:t>150m</w:t>
      </w:r>
      <w:r>
        <w:rPr>
          <w:rFonts w:cs="Times New Roman"/>
          <w:snapToGrid w:val="0"/>
          <w:lang w:val="zh-CN"/>
        </w:rPr>
        <w:t>，</w:t>
      </w:r>
      <w:r>
        <w:rPr>
          <w:rFonts w:cs="Times New Roman"/>
          <w:snapToGrid w:val="0"/>
          <w:lang w:val="zh-CN"/>
        </w:rPr>
        <w:t>TSP</w:t>
      </w:r>
      <w:r>
        <w:rPr>
          <w:rFonts w:cs="Times New Roman"/>
          <w:snapToGrid w:val="0"/>
          <w:lang w:val="zh-CN"/>
        </w:rPr>
        <w:t>污染仍可能超过环境空气质量二级标准的</w:t>
      </w:r>
      <w:r>
        <w:rPr>
          <w:rFonts w:cs="Times New Roman"/>
          <w:snapToGrid w:val="0"/>
          <w:lang w:val="zh-CN"/>
        </w:rPr>
        <w:t>4</w:t>
      </w:r>
      <w:r>
        <w:rPr>
          <w:rFonts w:cs="Times New Roman"/>
          <w:snapToGrid w:val="0"/>
          <w:lang w:val="zh-CN"/>
        </w:rPr>
        <w:t>倍之多）。扬尘属于粒径较小的降尘（</w:t>
      </w:r>
      <w:r>
        <w:rPr>
          <w:rFonts w:cs="Times New Roman"/>
          <w:snapToGrid w:val="0"/>
          <w:lang w:val="zh-CN"/>
        </w:rPr>
        <w:t>10μm~20μm</w:t>
      </w:r>
      <w:r>
        <w:rPr>
          <w:rFonts w:cs="Times New Roman"/>
          <w:snapToGrid w:val="0"/>
          <w:lang w:val="zh-CN"/>
        </w:rPr>
        <w:t>），在未铺装道路表面（泥土），粒径分布小于</w:t>
      </w:r>
      <w:r>
        <w:rPr>
          <w:rFonts w:cs="Times New Roman"/>
          <w:snapToGrid w:val="0"/>
          <w:lang w:val="zh-CN"/>
        </w:rPr>
        <w:t>5μm</w:t>
      </w:r>
      <w:r>
        <w:rPr>
          <w:rFonts w:cs="Times New Roman"/>
          <w:snapToGrid w:val="0"/>
          <w:lang w:val="zh-CN"/>
        </w:rPr>
        <w:t>的粉尘占</w:t>
      </w:r>
      <w:r>
        <w:rPr>
          <w:rFonts w:cs="Times New Roman"/>
          <w:snapToGrid w:val="0"/>
          <w:lang w:val="zh-CN"/>
        </w:rPr>
        <w:t>8%</w:t>
      </w:r>
      <w:r>
        <w:rPr>
          <w:rFonts w:cs="Times New Roman"/>
          <w:snapToGrid w:val="0"/>
          <w:lang w:val="zh-CN"/>
        </w:rPr>
        <w:t>，</w:t>
      </w:r>
      <w:r>
        <w:rPr>
          <w:rFonts w:cs="Times New Roman"/>
          <w:snapToGrid w:val="0"/>
          <w:lang w:val="zh-CN"/>
        </w:rPr>
        <w:t>5μm~10μm</w:t>
      </w:r>
      <w:r>
        <w:rPr>
          <w:rFonts w:cs="Times New Roman"/>
          <w:snapToGrid w:val="0"/>
          <w:lang w:val="zh-CN"/>
        </w:rPr>
        <w:t>的占</w:t>
      </w:r>
      <w:r>
        <w:rPr>
          <w:rFonts w:cs="Times New Roman"/>
          <w:snapToGrid w:val="0"/>
          <w:lang w:val="zh-CN"/>
        </w:rPr>
        <w:t>24%</w:t>
      </w:r>
      <w:r>
        <w:rPr>
          <w:rFonts w:cs="Times New Roman"/>
          <w:snapToGrid w:val="0"/>
          <w:lang w:val="zh-CN"/>
        </w:rPr>
        <w:t>，大于</w:t>
      </w:r>
      <w:r>
        <w:rPr>
          <w:rFonts w:cs="Times New Roman"/>
          <w:snapToGrid w:val="0"/>
          <w:lang w:val="zh-CN"/>
        </w:rPr>
        <w:t>30μm</w:t>
      </w:r>
      <w:r>
        <w:rPr>
          <w:rFonts w:cs="Times New Roman"/>
          <w:snapToGrid w:val="0"/>
          <w:lang w:val="zh-CN"/>
        </w:rPr>
        <w:t>的占</w:t>
      </w:r>
      <w:r>
        <w:rPr>
          <w:rFonts w:cs="Times New Roman"/>
          <w:snapToGrid w:val="0"/>
          <w:lang w:val="zh-CN"/>
        </w:rPr>
        <w:t>68%</w:t>
      </w:r>
      <w:r>
        <w:rPr>
          <w:rFonts w:cs="Times New Roman"/>
          <w:snapToGrid w:val="0"/>
          <w:lang w:val="zh-CN"/>
        </w:rPr>
        <w:t>。因此，临时道路、施工便道和正在施工的道路极易起尘。为减</w:t>
      </w:r>
      <w:r>
        <w:rPr>
          <w:rFonts w:cs="Times New Roman"/>
          <w:snapToGrid w:val="0"/>
          <w:lang w:val="zh-CN"/>
        </w:rPr>
        <w:t>少起尘量，建议在人口稠密集中的地区采取经常洒水降尘措施。据资料介绍，通过洒水可有效地减少起尘量（达</w:t>
      </w:r>
      <w:r>
        <w:rPr>
          <w:rFonts w:cs="Times New Roman"/>
          <w:snapToGrid w:val="0"/>
          <w:lang w:val="zh-CN"/>
        </w:rPr>
        <w:t>70%</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综上所述，施工期对环境空气的污染，随着气象条件的不同而不同，因此，对运输散体物质车辆必须严加管理，采取用篷布盖严和洒水防护措施，并加强施工计划、管理手段。</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施工便道扬尘</w:t>
      </w:r>
    </w:p>
    <w:p w:rsidR="00A46452" w:rsidRDefault="009A3928">
      <w:pPr>
        <w:wordWrap w:val="0"/>
        <w:topLinePunct/>
        <w:ind w:firstLine="480"/>
        <w:rPr>
          <w:rFonts w:cs="Times New Roman"/>
          <w:snapToGrid w:val="0"/>
          <w:lang w:val="zh-CN"/>
        </w:rPr>
      </w:pPr>
      <w:r>
        <w:rPr>
          <w:rFonts w:cs="Times New Roman"/>
          <w:snapToGrid w:val="0"/>
          <w:lang w:val="zh-CN"/>
        </w:rPr>
        <w:t>本项目施工便道为砂石路面，因此施工车辆将产生运输扬尘。据有关资料介绍，扬尘属于粒径较小的降尘（</w:t>
      </w:r>
      <w:r>
        <w:rPr>
          <w:rFonts w:cs="Times New Roman"/>
          <w:snapToGrid w:val="0"/>
          <w:lang w:val="zh-CN"/>
        </w:rPr>
        <w:t>10μm~20μm</w:t>
      </w:r>
      <w:r>
        <w:rPr>
          <w:rFonts w:cs="Times New Roman"/>
          <w:snapToGrid w:val="0"/>
          <w:lang w:val="zh-CN"/>
        </w:rPr>
        <w:t>），因此，为减少起尘量，应采取定期洒水降尘措施。</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土石方开发和回填扬尘</w:t>
      </w:r>
    </w:p>
    <w:p w:rsidR="00A46452" w:rsidRDefault="009A3928">
      <w:pPr>
        <w:wordWrap w:val="0"/>
        <w:topLinePunct/>
        <w:ind w:firstLine="480"/>
        <w:rPr>
          <w:rFonts w:cs="Times New Roman"/>
          <w:snapToGrid w:val="0"/>
          <w:lang w:val="zh-CN"/>
        </w:rPr>
      </w:pPr>
      <w:r>
        <w:rPr>
          <w:rFonts w:cs="Times New Roman"/>
          <w:snapToGrid w:val="0"/>
          <w:lang w:val="zh-CN"/>
        </w:rPr>
        <w:t>施工期路基开挖、土石方运输及回填等工程也会产</w:t>
      </w:r>
      <w:r>
        <w:rPr>
          <w:rFonts w:cs="Times New Roman"/>
          <w:snapToGrid w:val="0"/>
          <w:lang w:val="zh-CN"/>
        </w:rPr>
        <w:t>生扬尘影响，且影响范围较大，应做好防护措施：一是按要求编制施工扬尘控制方案；二是配置洒水车对场内挖掘施工和转运道路产生的扬尘进行洒水降尘；三是对施工场地的临时堆土和运输车辆托运的土石方进行苫盖；四是施工现场设置围挡，将现场完全封闭施工，确保工地施工扬尘污染得到有效控制。</w:t>
      </w:r>
    </w:p>
    <w:p w:rsidR="00A46452" w:rsidRDefault="009A3928">
      <w:pPr>
        <w:wordWrap w:val="0"/>
        <w:topLinePunct/>
        <w:ind w:firstLine="480"/>
        <w:rPr>
          <w:rFonts w:cs="Times New Roman"/>
          <w:snapToGrid w:val="0"/>
          <w:lang w:val="zh-CN"/>
        </w:rPr>
      </w:pPr>
      <w:r>
        <w:rPr>
          <w:rFonts w:cs="Times New Roman"/>
          <w:snapToGrid w:val="0"/>
          <w:lang w:val="zh-CN"/>
        </w:rPr>
        <w:t>施工作业层外侧必须使用密闭安全网进行封闭；施工场地出口处应当设置冲洗设施以及配套的排水、泥浆沉淀设施，运输车辆驶出施工现场前应当将槽帮和车轮冲洗干净；施工工地应当硬化并保持清洁；闲置三个月以上的施工工地，应当对其裸露的泥地进行临时绿化或者采</w:t>
      </w:r>
      <w:r>
        <w:rPr>
          <w:rFonts w:cs="Times New Roman"/>
          <w:snapToGrid w:val="0"/>
          <w:lang w:val="zh-CN"/>
        </w:rPr>
        <w:t>用铺装等防尘措施；施工工地内的散装物料、渣土和建筑垃圾应当遮盖或者在库房内存放，不得在施工工地外堆放；运送过程中应当采用密闭方式运输，禁止凌空抛洒；在易产生扬尘污染的施工过程中应当采取洒水或者喷淋等降尘措施；运输时，应当使用密闭装置，防止运输过程中发生遗撒或者泄漏。</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）沥青烟和苯并芘的影响分析</w:t>
      </w:r>
    </w:p>
    <w:p w:rsidR="00A46452" w:rsidRDefault="009A3928">
      <w:pPr>
        <w:wordWrap w:val="0"/>
        <w:topLinePunct/>
        <w:ind w:firstLine="480"/>
        <w:rPr>
          <w:rFonts w:cs="Times New Roman"/>
          <w:snapToGrid w:val="0"/>
          <w:lang w:val="zh-CN"/>
        </w:rPr>
      </w:pPr>
      <w:r>
        <w:rPr>
          <w:rFonts w:cs="Times New Roman"/>
          <w:snapToGrid w:val="0"/>
          <w:lang w:val="zh-CN"/>
        </w:rPr>
        <w:t>拟建公路采用沥青混凝土路面结构，项目共设</w:t>
      </w:r>
      <w:r>
        <w:rPr>
          <w:rFonts w:cs="Times New Roman"/>
          <w:snapToGrid w:val="0"/>
          <w:lang w:val="zh-CN"/>
        </w:rPr>
        <w:t>3</w:t>
      </w:r>
      <w:r>
        <w:rPr>
          <w:rFonts w:cs="Times New Roman"/>
          <w:snapToGrid w:val="0"/>
          <w:lang w:val="zh-CN"/>
        </w:rPr>
        <w:t>处综合站场，其中</w:t>
      </w:r>
      <w:r>
        <w:rPr>
          <w:rFonts w:cs="Times New Roman"/>
          <w:snapToGrid w:val="0"/>
          <w:lang w:val="zh-CN"/>
        </w:rPr>
        <w:t>1</w:t>
      </w:r>
      <w:r>
        <w:rPr>
          <w:rFonts w:cs="Times New Roman"/>
          <w:snapToGrid w:val="0"/>
          <w:lang w:val="zh-CN"/>
        </w:rPr>
        <w:t>处配置沥青混凝土拌和站，集中供应全线沥青混凝土需求。其生产工艺由沥青供应系统和拌和系统两部分组成：沥青供应系统采用导热油加热装置实现沥青储罐恒温控制；拌</w:t>
      </w:r>
      <w:r>
        <w:rPr>
          <w:rFonts w:cs="Times New Roman"/>
          <w:snapToGrid w:val="0"/>
          <w:lang w:val="zh-CN"/>
        </w:rPr>
        <w:t>和系统包含冷料计量、骨料烘干、称重搅拌等工序，配套布袋除尘及沥青烟气净化装置。沥青混凝土拌和站主要的大气污染物是沥青烟和苯并芘。施工期间的沥青混凝土生产和路面摊铺等作业过程中均会有沥青烟和苯并芘的排放。</w:t>
      </w:r>
    </w:p>
    <w:p w:rsidR="00A46452" w:rsidRDefault="009A3928">
      <w:pPr>
        <w:wordWrap w:val="0"/>
        <w:topLinePunct/>
        <w:ind w:firstLine="480"/>
        <w:rPr>
          <w:rFonts w:cs="Times New Roman"/>
          <w:snapToGrid w:val="0"/>
        </w:rPr>
      </w:pPr>
      <w:r>
        <w:rPr>
          <w:rFonts w:cs="Times New Roman"/>
          <w:snapToGrid w:val="0"/>
          <w:lang w:val="zh-CN"/>
        </w:rPr>
        <w:t>本项目拟选用</w:t>
      </w:r>
      <w:r>
        <w:rPr>
          <w:rFonts w:cs="Times New Roman"/>
          <w:snapToGrid w:val="0"/>
        </w:rPr>
        <w:t>的沥青混凝土拌和设备，该设备技术先进，性能可靠，中心控制系统为电脑智能式全自动化系统，快速物料筛选系统，搅拌驱动强劲，封闭性能好。此外，沥青</w:t>
      </w:r>
      <w:r>
        <w:rPr>
          <w:rFonts w:cs="Times New Roman"/>
          <w:snapToGrid w:val="0"/>
        </w:rPr>
        <w:t>拌和站</w:t>
      </w:r>
      <w:r>
        <w:rPr>
          <w:rFonts w:cs="Times New Roman"/>
          <w:snapToGrid w:val="0"/>
        </w:rPr>
        <w:t>的加热采用环境污染较小的</w:t>
      </w:r>
      <w:r>
        <w:rPr>
          <w:rFonts w:cs="Times New Roman"/>
          <w:snapToGrid w:val="0"/>
        </w:rPr>
        <w:t>燃料</w:t>
      </w:r>
      <w:r>
        <w:rPr>
          <w:rFonts w:cs="Times New Roman"/>
          <w:snapToGrid w:val="0"/>
        </w:rPr>
        <w:t>。</w:t>
      </w:r>
    </w:p>
    <w:p w:rsidR="00A46452" w:rsidRDefault="009A3928">
      <w:pPr>
        <w:wordWrap w:val="0"/>
        <w:topLinePunct/>
        <w:ind w:firstLine="480"/>
        <w:rPr>
          <w:rFonts w:cs="Times New Roman"/>
          <w:snapToGrid w:val="0"/>
        </w:rPr>
      </w:pPr>
      <w:r>
        <w:rPr>
          <w:rFonts w:cs="Times New Roman"/>
          <w:snapToGrid w:val="0"/>
        </w:rPr>
        <w:t>沥青混凝土拌和站</w:t>
      </w:r>
      <w:r>
        <w:rPr>
          <w:rFonts w:cs="Times New Roman"/>
          <w:snapToGrid w:val="0"/>
        </w:rPr>
        <w:t>拌和</w:t>
      </w:r>
      <w:r>
        <w:rPr>
          <w:rFonts w:cs="Times New Roman"/>
          <w:snapToGrid w:val="0"/>
        </w:rPr>
        <w:t>工艺为：</w:t>
      </w:r>
      <w:r>
        <w:rPr>
          <w:rFonts w:cs="Times New Roman"/>
          <w:snapToGrid w:val="0"/>
        </w:rPr>
        <w:t>拌和站</w:t>
      </w:r>
      <w:r>
        <w:rPr>
          <w:rFonts w:cs="Times New Roman"/>
          <w:snapToGrid w:val="0"/>
        </w:rPr>
        <w:t>主要由上料机组、烘干加热机组、拌合机组、沥青供给机组、矿粉供给机组、成品料储存机组及中央控制室组成。</w:t>
      </w:r>
      <w:r>
        <w:rPr>
          <w:rFonts w:cs="Times New Roman"/>
          <w:snapToGrid w:val="0"/>
        </w:rPr>
        <w:t>拌和</w:t>
      </w:r>
      <w:r>
        <w:rPr>
          <w:rFonts w:cs="Times New Roman"/>
          <w:snapToGrid w:val="0"/>
        </w:rPr>
        <w:t>工艺为：当中央控制室发出开机命令后，冷料仓冷料经皮带输送机输送到干燥滚筒内，烘干后的骨料，由热料提升机输送到振动筛上进行筛分。筛分后的骨料落入</w:t>
      </w:r>
      <w:r>
        <w:rPr>
          <w:rFonts w:cs="Times New Roman"/>
          <w:snapToGrid w:val="0"/>
        </w:rPr>
        <w:t>隔热</w:t>
      </w:r>
      <w:r>
        <w:rPr>
          <w:rFonts w:cs="Times New Roman"/>
          <w:snapToGrid w:val="0"/>
        </w:rPr>
        <w:t>料仓室。各骨料和粉料由各自室门落入各自的称量斗内由</w:t>
      </w:r>
      <w:r>
        <w:rPr>
          <w:rFonts w:cs="Times New Roman"/>
          <w:snapToGrid w:val="0"/>
        </w:rPr>
        <w:t>电子秤</w:t>
      </w:r>
      <w:r>
        <w:rPr>
          <w:rFonts w:cs="Times New Roman"/>
          <w:snapToGrid w:val="0"/>
        </w:rPr>
        <w:t>计量，随后放入拌缸内，经称量好后的热沥青经喷洒泵经喷嘴随后喷入拌缸内。各种混合料经充分搅拌后，形成成品料，卸到送料斗车里。送料斗车经轨道卸入储料罐。最后通过卸料闸门，将成品料放到运输汽车上，用无热源或高温容</w:t>
      </w:r>
      <w:r>
        <w:rPr>
          <w:rFonts w:cs="Times New Roman"/>
          <w:snapToGrid w:val="0"/>
        </w:rPr>
        <w:t>器将沥青运至铺筑工地。</w:t>
      </w:r>
    </w:p>
    <w:p w:rsidR="00A46452" w:rsidRDefault="009A3928">
      <w:pPr>
        <w:wordWrap w:val="0"/>
        <w:topLinePunct/>
        <w:ind w:firstLine="480"/>
        <w:rPr>
          <w:rFonts w:cs="Times New Roman"/>
          <w:snapToGrid w:val="0"/>
        </w:rPr>
      </w:pPr>
      <w:r>
        <w:rPr>
          <w:rFonts w:cs="Times New Roman"/>
          <w:snapToGrid w:val="0"/>
        </w:rPr>
        <w:t>对于沥青混凝土拌和站来说，</w:t>
      </w:r>
      <w:r>
        <w:rPr>
          <w:rFonts w:cs="Times New Roman"/>
          <w:snapToGrid w:val="0"/>
        </w:rPr>
        <w:t>拌和</w:t>
      </w:r>
      <w:r>
        <w:rPr>
          <w:rFonts w:cs="Times New Roman"/>
          <w:snapToGrid w:val="0"/>
        </w:rPr>
        <w:t>过程中沥青的使用均为精确计量，最后在拌缸内完成充分搅拌，整个系统密闭进行，不会产生沥青烟的</w:t>
      </w:r>
      <w:r>
        <w:rPr>
          <w:rFonts w:cs="Times New Roman"/>
          <w:snapToGrid w:val="0"/>
        </w:rPr>
        <w:t>泄漏</w:t>
      </w:r>
      <w:r>
        <w:rPr>
          <w:rFonts w:cs="Times New Roman"/>
          <w:snapToGrid w:val="0"/>
        </w:rPr>
        <w:t>。烘干筒、振动筛、称量装置和搅拌装置在作业时产生大量粉尘，这些粉尘在引风机产生的负压作用下由风筒导出，先进入旋风除尘器，在旋转过程中，气流中大颗粒的石屑由于离心作用而碰撞器壁，落入底部后，被螺旋输送器回收送入骨料砂仓中。经过第一次除尘的空气接着进入布袋除尘器进一步过滤，收集的粉尘由螺旋输送器送入主塔上的矿粉桶回收。经过二次过滤的净化空气通过引风机、烟囱进入大气。</w:t>
      </w:r>
    </w:p>
    <w:p w:rsidR="00A46452" w:rsidRDefault="009A3928">
      <w:pPr>
        <w:wordWrap w:val="0"/>
        <w:topLinePunct/>
        <w:ind w:firstLine="480"/>
        <w:rPr>
          <w:rFonts w:cs="Times New Roman"/>
          <w:snapToGrid w:val="0"/>
        </w:rPr>
      </w:pPr>
      <w:r>
        <w:rPr>
          <w:rFonts w:cs="Times New Roman"/>
          <w:snapToGrid w:val="0"/>
        </w:rPr>
        <w:t>交通运输部公路科学研究所委托北京市环境保护监测中心对京郊大羊坊沥青混凝土搅拌站进行了现场监测以供类比分析。大羊坊搅拌站使用的设备是意大利马利尼（</w:t>
      </w:r>
      <w:r>
        <w:rPr>
          <w:rFonts w:cs="Times New Roman"/>
          <w:snapToGrid w:val="0"/>
        </w:rPr>
        <w:t>MARINI</w:t>
      </w:r>
      <w:r>
        <w:rPr>
          <w:rFonts w:cs="Times New Roman"/>
          <w:snapToGrid w:val="0"/>
        </w:rPr>
        <w:t>）公司制造的，型号为</w:t>
      </w:r>
      <w:r>
        <w:rPr>
          <w:rFonts w:cs="Times New Roman"/>
          <w:snapToGrid w:val="0"/>
        </w:rPr>
        <w:t>MV2A</w:t>
      </w:r>
      <w:r>
        <w:rPr>
          <w:rFonts w:cs="Times New Roman"/>
          <w:snapToGrid w:val="0"/>
        </w:rPr>
        <w:t>，生产能力为</w:t>
      </w:r>
      <w:r>
        <w:rPr>
          <w:rFonts w:cs="Times New Roman"/>
          <w:snapToGrid w:val="0"/>
        </w:rPr>
        <w:t>160t/h</w:t>
      </w:r>
      <w:r>
        <w:rPr>
          <w:rFonts w:cs="Times New Roman"/>
          <w:snapToGrid w:val="0"/>
        </w:rPr>
        <w:t>沥青混凝土，设有两级除尘装置，排气筒高度为</w:t>
      </w:r>
      <w:r>
        <w:rPr>
          <w:rFonts w:cs="Times New Roman"/>
          <w:snapToGrid w:val="0"/>
        </w:rPr>
        <w:t>10m</w:t>
      </w:r>
      <w:r>
        <w:rPr>
          <w:rFonts w:cs="Times New Roman"/>
          <w:snapToGrid w:val="0"/>
        </w:rPr>
        <w:t>。测试期间使用国产和沙特进口混合沥青原料，实际产量为</w:t>
      </w:r>
      <w:r>
        <w:rPr>
          <w:rFonts w:cs="Times New Roman"/>
          <w:snapToGrid w:val="0"/>
        </w:rPr>
        <w:t>120t/h</w:t>
      </w:r>
      <w:r>
        <w:rPr>
          <w:rFonts w:cs="Times New Roman"/>
          <w:snapToGrid w:val="0"/>
        </w:rPr>
        <w:t>。监测结果表明，在下风向</w:t>
      </w:r>
      <w:r>
        <w:rPr>
          <w:rFonts w:cs="Times New Roman"/>
          <w:snapToGrid w:val="0"/>
        </w:rPr>
        <w:t>100m</w:t>
      </w:r>
      <w:r>
        <w:rPr>
          <w:rFonts w:cs="Times New Roman"/>
          <w:snapToGrid w:val="0"/>
        </w:rPr>
        <w:t>处，沥青搅拌站周围的环境空气中沥青烟的浓度在</w:t>
      </w:r>
      <w:r>
        <w:rPr>
          <w:rFonts w:cs="Times New Roman"/>
          <w:snapToGrid w:val="0"/>
        </w:rPr>
        <w:t>1.16mg/m³</w:t>
      </w:r>
      <w:r>
        <w:rPr>
          <w:rFonts w:cs="Times New Roman"/>
          <w:snapToGrid w:val="0"/>
        </w:rPr>
        <w:t>～</w:t>
      </w:r>
      <w:r>
        <w:rPr>
          <w:rFonts w:cs="Times New Roman"/>
          <w:snapToGrid w:val="0"/>
        </w:rPr>
        <w:t>1.29mg/m³</w:t>
      </w:r>
      <w:r>
        <w:rPr>
          <w:rFonts w:cs="Times New Roman"/>
          <w:snapToGrid w:val="0"/>
        </w:rPr>
        <w:t>范围内，比对照点浓度略高。搅拌机排气筒监测结果表明沥青烟排放平均浓度、排放量</w:t>
      </w:r>
      <w:r>
        <w:rPr>
          <w:rFonts w:cs="Times New Roman"/>
          <w:snapToGrid w:val="0"/>
        </w:rPr>
        <w:t>也基本可满足《大气污染物综合排放标准》（</w:t>
      </w:r>
      <w:r>
        <w:rPr>
          <w:rFonts w:cs="Times New Roman"/>
          <w:snapToGrid w:val="0"/>
        </w:rPr>
        <w:t>GB16297-96</w:t>
      </w:r>
      <w:r>
        <w:rPr>
          <w:rFonts w:cs="Times New Roman"/>
          <w:snapToGrid w:val="0"/>
        </w:rPr>
        <w:t>）最高允许排放浓度（建筑搅拌</w:t>
      </w:r>
      <w:r>
        <w:rPr>
          <w:rFonts w:cs="Times New Roman"/>
          <w:snapToGrid w:val="0"/>
        </w:rPr>
        <w:t>75mg/m³</w:t>
      </w:r>
      <w:r>
        <w:rPr>
          <w:rFonts w:cs="Times New Roman"/>
          <w:snapToGrid w:val="0"/>
        </w:rPr>
        <w:t>；熔炼、浸涂</w:t>
      </w:r>
      <w:r>
        <w:rPr>
          <w:rFonts w:cs="Times New Roman"/>
          <w:snapToGrid w:val="0"/>
        </w:rPr>
        <w:t>40mg/m³</w:t>
      </w:r>
      <w:r>
        <w:rPr>
          <w:rFonts w:cs="Times New Roman"/>
          <w:snapToGrid w:val="0"/>
        </w:rPr>
        <w:t>；最大排放速率</w:t>
      </w:r>
      <w:r>
        <w:rPr>
          <w:rFonts w:cs="Times New Roman"/>
          <w:snapToGrid w:val="0"/>
        </w:rPr>
        <w:t>≤0.18kg/h</w:t>
      </w:r>
      <w:r>
        <w:rPr>
          <w:rFonts w:cs="Times New Roman"/>
          <w:snapToGrid w:val="0"/>
        </w:rPr>
        <w:t>）限值要求。</w:t>
      </w:r>
    </w:p>
    <w:p w:rsidR="00A46452" w:rsidRDefault="009A3928">
      <w:pPr>
        <w:wordWrap w:val="0"/>
        <w:topLinePunct/>
        <w:ind w:firstLine="480"/>
        <w:rPr>
          <w:rFonts w:cs="Times New Roman"/>
          <w:snapToGrid w:val="0"/>
        </w:rPr>
      </w:pPr>
      <w:r>
        <w:rPr>
          <w:rFonts w:cs="Times New Roman"/>
          <w:snapToGrid w:val="0"/>
        </w:rPr>
        <w:t>根据大羊坊沥青混凝土搅拌站的现场监测结果类比分析，在本工程铺设沥青混凝土路面时，经现代的沥青混凝土</w:t>
      </w:r>
      <w:r>
        <w:rPr>
          <w:rFonts w:cs="Times New Roman"/>
          <w:snapToGrid w:val="0"/>
        </w:rPr>
        <w:t>拌和</w:t>
      </w:r>
      <w:r>
        <w:rPr>
          <w:rFonts w:cs="Times New Roman"/>
          <w:snapToGrid w:val="0"/>
        </w:rPr>
        <w:t>设备除尘后的净化空气含尘量低于</w:t>
      </w:r>
      <w:r>
        <w:rPr>
          <w:rFonts w:cs="Times New Roman"/>
          <w:snapToGrid w:val="0"/>
        </w:rPr>
        <w:t>120mg/m</w:t>
      </w:r>
      <w:r>
        <w:rPr>
          <w:rFonts w:cs="Times New Roman"/>
          <w:snapToGrid w:val="0"/>
          <w:vertAlign w:val="superscript"/>
        </w:rPr>
        <w:t>3</w:t>
      </w:r>
      <w:r>
        <w:rPr>
          <w:rFonts w:cs="Times New Roman"/>
          <w:snapToGrid w:val="0"/>
        </w:rPr>
        <w:t>，满足环境保护要求。</w:t>
      </w:r>
    </w:p>
    <w:p w:rsidR="00A46452" w:rsidRDefault="009A3928">
      <w:pPr>
        <w:wordWrap w:val="0"/>
        <w:topLinePunct/>
        <w:ind w:firstLine="480"/>
        <w:rPr>
          <w:rFonts w:cs="Times New Roman"/>
          <w:snapToGrid w:val="0"/>
        </w:rPr>
      </w:pPr>
      <w:r>
        <w:rPr>
          <w:rFonts w:cs="Times New Roman"/>
          <w:snapToGrid w:val="0"/>
        </w:rPr>
        <w:t>当混合料在重力作用下由</w:t>
      </w:r>
      <w:r>
        <w:rPr>
          <w:rFonts w:cs="Times New Roman"/>
          <w:snapToGrid w:val="0"/>
        </w:rPr>
        <w:t>拌合</w:t>
      </w:r>
      <w:r>
        <w:rPr>
          <w:rFonts w:cs="Times New Roman"/>
          <w:snapToGrid w:val="0"/>
        </w:rPr>
        <w:t>缸底部或成品料仓被卸入运输卡车时，会释放部分沥青烟，为无组织排放。根据类比分析，在设备正常运行时，沥青烟排放浓度为</w:t>
      </w:r>
      <w:r>
        <w:rPr>
          <w:rFonts w:cs="Times New Roman"/>
          <w:snapToGrid w:val="0"/>
        </w:rPr>
        <w:t>22.7mg/m</w:t>
      </w:r>
      <w:r>
        <w:rPr>
          <w:rFonts w:cs="Times New Roman"/>
          <w:snapToGrid w:val="0"/>
          <w:vertAlign w:val="superscript"/>
        </w:rPr>
        <w:t>3</w:t>
      </w:r>
      <w:r>
        <w:rPr>
          <w:rFonts w:cs="Times New Roman"/>
          <w:snapToGrid w:val="0"/>
        </w:rPr>
        <w:t>，完全符合</w:t>
      </w:r>
      <w:r>
        <w:rPr>
          <w:rFonts w:cs="Times New Roman"/>
          <w:snapToGrid w:val="0"/>
        </w:rPr>
        <w:t>《大气污染物综合排放标准》（</w:t>
      </w:r>
      <w:r>
        <w:rPr>
          <w:rFonts w:cs="Times New Roman"/>
          <w:snapToGrid w:val="0"/>
        </w:rPr>
        <w:t>GB16297-1996</w:t>
      </w:r>
      <w:r>
        <w:rPr>
          <w:rFonts w:cs="Times New Roman"/>
          <w:snapToGrid w:val="0"/>
        </w:rPr>
        <w:t>）中沥青烟排放标准限值</w:t>
      </w:r>
      <w:r>
        <w:rPr>
          <w:rFonts w:cs="Times New Roman"/>
          <w:snapToGrid w:val="0"/>
        </w:rPr>
        <w:t>40mg/m</w:t>
      </w:r>
      <w:r>
        <w:rPr>
          <w:rFonts w:cs="Times New Roman"/>
          <w:snapToGrid w:val="0"/>
          <w:vertAlign w:val="superscript"/>
        </w:rPr>
        <w:t>3</w:t>
      </w:r>
      <w:r>
        <w:rPr>
          <w:rFonts w:cs="Times New Roman"/>
          <w:snapToGrid w:val="0"/>
        </w:rPr>
        <w:t>~75mg/m</w:t>
      </w:r>
      <w:r>
        <w:rPr>
          <w:rFonts w:cs="Times New Roman"/>
          <w:snapToGrid w:val="0"/>
          <w:vertAlign w:val="superscript"/>
        </w:rPr>
        <w:t>3</w:t>
      </w:r>
      <w:r>
        <w:rPr>
          <w:rFonts w:cs="Times New Roman"/>
          <w:snapToGrid w:val="0"/>
        </w:rPr>
        <w:t>。在封闭式沥青熬化作业工艺下，下风向</w:t>
      </w:r>
      <w:r>
        <w:rPr>
          <w:rFonts w:cs="Times New Roman"/>
          <w:snapToGrid w:val="0"/>
        </w:rPr>
        <w:t>50m</w:t>
      </w:r>
      <w:r>
        <w:rPr>
          <w:rFonts w:cs="Times New Roman"/>
          <w:snapToGrid w:val="0"/>
        </w:rPr>
        <w:t>处苯并芘的浓度小于等于</w:t>
      </w:r>
      <w:r>
        <w:rPr>
          <w:rFonts w:cs="Times New Roman"/>
          <w:snapToGrid w:val="0"/>
        </w:rPr>
        <w:t>0.01μg/m</w:t>
      </w:r>
      <w:r>
        <w:rPr>
          <w:rFonts w:cs="Times New Roman"/>
          <w:snapToGrid w:val="0"/>
          <w:vertAlign w:val="superscript"/>
        </w:rPr>
        <w:t>3</w:t>
      </w:r>
      <w:r>
        <w:rPr>
          <w:rFonts w:cs="Times New Roman"/>
          <w:snapToGrid w:val="0"/>
        </w:rPr>
        <w:t>，下风向</w:t>
      </w:r>
      <w:r>
        <w:rPr>
          <w:rFonts w:cs="Times New Roman"/>
          <w:snapToGrid w:val="0"/>
        </w:rPr>
        <w:t>60m</w:t>
      </w:r>
      <w:r>
        <w:rPr>
          <w:rFonts w:cs="Times New Roman"/>
          <w:snapToGrid w:val="0"/>
        </w:rPr>
        <w:t>处</w:t>
      </w:r>
      <w:r>
        <w:rPr>
          <w:rFonts w:cs="Times New Roman"/>
          <w:snapToGrid w:val="0"/>
        </w:rPr>
        <w:t>THC</w:t>
      </w:r>
      <w:r>
        <w:rPr>
          <w:rFonts w:cs="Times New Roman"/>
          <w:snapToGrid w:val="0"/>
        </w:rPr>
        <w:t>的浓度小于等于</w:t>
      </w:r>
      <w:r>
        <w:rPr>
          <w:rFonts w:cs="Times New Roman"/>
          <w:snapToGrid w:val="0"/>
        </w:rPr>
        <w:t>0.16mg/m</w:t>
      </w:r>
      <w:r>
        <w:rPr>
          <w:rFonts w:cs="Times New Roman"/>
          <w:snapToGrid w:val="0"/>
          <w:vertAlign w:val="superscript"/>
        </w:rPr>
        <w:t>3</w:t>
      </w:r>
      <w:r>
        <w:rPr>
          <w:rFonts w:cs="Times New Roman"/>
          <w:snapToGrid w:val="0"/>
        </w:rPr>
        <w:t>，可以达到相关标准。</w:t>
      </w:r>
    </w:p>
    <w:p w:rsidR="00A46452" w:rsidRDefault="009A3928">
      <w:pPr>
        <w:wordWrap w:val="0"/>
        <w:topLinePunct/>
        <w:ind w:firstLine="480"/>
        <w:rPr>
          <w:rFonts w:cs="Times New Roman"/>
          <w:snapToGrid w:val="0"/>
          <w:lang w:val="zh-CN"/>
        </w:rPr>
      </w:pPr>
      <w:r>
        <w:rPr>
          <w:rFonts w:cs="Times New Roman"/>
          <w:snapToGrid w:val="0"/>
          <w:lang w:val="zh-CN"/>
        </w:rPr>
        <w:t>为此环评要求，项目实施后自建的沥青混凝土拌和设备需安装必要的密封除尘装置。沥青熔化、加温、搅拌应在密封的容器中作业。并配备除尘设备、沥青烟净化设施和排放筒，拌和站的选址应避开居民区在</w:t>
      </w:r>
      <w:r>
        <w:rPr>
          <w:rFonts w:cs="Times New Roman"/>
          <w:snapToGrid w:val="0"/>
          <w:lang w:val="zh-CN"/>
        </w:rPr>
        <w:t>300m</w:t>
      </w:r>
      <w:r>
        <w:rPr>
          <w:rFonts w:cs="Times New Roman"/>
          <w:snapToGrid w:val="0"/>
          <w:lang w:val="zh-CN"/>
        </w:rPr>
        <w:t>外。</w:t>
      </w:r>
    </w:p>
    <w:p w:rsidR="00A46452" w:rsidRDefault="009A3928">
      <w:pPr>
        <w:wordWrap w:val="0"/>
        <w:topLinePunct/>
        <w:ind w:firstLine="480"/>
        <w:rPr>
          <w:rFonts w:cs="Times New Roman"/>
          <w:snapToGrid w:val="0"/>
          <w:lang w:val="zh-CN"/>
        </w:rPr>
      </w:pPr>
      <w:r>
        <w:rPr>
          <w:rFonts w:cs="Times New Roman"/>
          <w:snapToGrid w:val="0"/>
          <w:lang w:val="zh-CN"/>
        </w:rPr>
        <w:t>综上所述，沥青拌和站采取封闭站拌，采用先进设备、布袋除</w:t>
      </w:r>
      <w:r>
        <w:rPr>
          <w:rFonts w:cs="Times New Roman"/>
          <w:snapToGrid w:val="0"/>
          <w:lang w:val="zh-CN"/>
        </w:rPr>
        <w:t>尘，</w:t>
      </w:r>
      <w:r>
        <w:rPr>
          <w:rFonts w:cs="Times New Roman"/>
          <w:snapToGrid w:val="0"/>
        </w:rPr>
        <w:t>烟气收集管道设置烟气净化装置，经净化的烟气由</w:t>
      </w:r>
      <w:r>
        <w:rPr>
          <w:rFonts w:cs="Times New Roman"/>
          <w:snapToGrid w:val="0"/>
        </w:rPr>
        <w:t>15m</w:t>
      </w:r>
      <w:r>
        <w:rPr>
          <w:rFonts w:cs="Times New Roman"/>
          <w:snapToGrid w:val="0"/>
        </w:rPr>
        <w:t>高的排气筒排放，</w:t>
      </w:r>
      <w:r>
        <w:rPr>
          <w:rFonts w:cs="Times New Roman"/>
          <w:snapToGrid w:val="0"/>
          <w:lang w:val="zh-CN"/>
        </w:rPr>
        <w:t>沥青烟气对周围环境影响较小。</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）机械废气</w:t>
      </w:r>
    </w:p>
    <w:p w:rsidR="00A46452" w:rsidRDefault="009A3928">
      <w:pPr>
        <w:wordWrap w:val="0"/>
        <w:topLinePunct/>
        <w:ind w:firstLine="480"/>
        <w:rPr>
          <w:rFonts w:cs="Times New Roman"/>
          <w:snapToGrid w:val="0"/>
          <w:lang w:val="zh-CN"/>
        </w:rPr>
      </w:pPr>
      <w:r>
        <w:rPr>
          <w:rFonts w:cs="Times New Roman"/>
          <w:snapToGrid w:val="0"/>
          <w:lang w:val="zh-CN"/>
        </w:rPr>
        <w:t>本项目施工过程用到的施工机械，主要包括挖掘机、装卸机、推土机、平地机等机械，以柴油为燃料，会产生一定量废气，包括</w:t>
      </w:r>
      <w:r>
        <w:rPr>
          <w:rFonts w:cs="Times New Roman"/>
          <w:snapToGrid w:val="0"/>
          <w:lang w:val="zh-CN"/>
        </w:rPr>
        <w:t>CO</w:t>
      </w:r>
      <w:r>
        <w:rPr>
          <w:rFonts w:cs="Times New Roman"/>
          <w:snapToGrid w:val="0"/>
          <w:lang w:val="zh-CN"/>
        </w:rPr>
        <w:t>、</w:t>
      </w:r>
      <w:r>
        <w:rPr>
          <w:rFonts w:cs="Times New Roman"/>
          <w:snapToGrid w:val="0"/>
          <w:lang w:val="zh-CN"/>
        </w:rPr>
        <w:t>NO</w:t>
      </w:r>
      <w:r>
        <w:rPr>
          <w:rFonts w:cs="Times New Roman"/>
          <w:snapToGrid w:val="0"/>
          <w:vertAlign w:val="subscript"/>
          <w:lang w:val="zh-CN"/>
        </w:rPr>
        <w:t>x</w:t>
      </w:r>
      <w:r>
        <w:rPr>
          <w:rFonts w:cs="Times New Roman"/>
          <w:snapToGrid w:val="0"/>
          <w:lang w:val="zh-CN"/>
        </w:rPr>
        <w:t>等，项目施工期施工车流量不大，分布较零散，污染物产生量不大，通过采取使用优质燃油、保证车辆处于良好工况等措施后，废气经自然扩散，对环境影响不大。</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）房屋拆迁扬尘</w:t>
      </w:r>
    </w:p>
    <w:p w:rsidR="00A46452" w:rsidRDefault="009A3928">
      <w:pPr>
        <w:wordWrap w:val="0"/>
        <w:topLinePunct/>
        <w:ind w:firstLine="480"/>
        <w:rPr>
          <w:rFonts w:cs="Times New Roman"/>
          <w:snapToGrid w:val="0"/>
          <w:lang w:val="zh-CN"/>
        </w:rPr>
      </w:pPr>
      <w:r>
        <w:rPr>
          <w:rFonts w:cs="Times New Roman"/>
          <w:snapToGrid w:val="0"/>
          <w:lang w:val="zh-CN"/>
        </w:rPr>
        <w:t>拆迁扬尘包括建筑钻孔、敲打产生的粉尘，房屋外墙倒塌过程产生的扬尘和建筑垃圾运输过程中车辆带起的扬尘，以及车上装载的物料碎屑飞扬进入空气。这些拆迁扬尘将对周围的环境空气产生一定的污染，对操作人员和周围近距离居民的身体健康有一定的影响。建设单位应制定有效的拆迁方案，拆除房屋或者其他建（构）筑物时应当设置围挡，采取洒水降尘等扬尘污染防治措施，对拆迁操作人员采取劳保防护，以减少拆迁扬尘对操作人员及周围环境敏感点的影响。房屋拆迁后产生的建筑垃圾，应交由具有相应资质的承运单位，及时清运处置；建筑垃圾堆放期间，需采取防尘</w:t>
      </w:r>
      <w:r>
        <w:rPr>
          <w:rFonts w:cs="Times New Roman"/>
          <w:snapToGrid w:val="0"/>
          <w:lang w:val="zh-CN"/>
        </w:rPr>
        <w:t>网（布）覆盖。</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7.2.2</w:t>
      </w:r>
      <w:r>
        <w:rPr>
          <w:rFonts w:cs="Times New Roman" w:hint="default"/>
          <w:sz w:val="28"/>
          <w:szCs w:val="28"/>
        </w:rPr>
        <w:t>运营期大气环境影响预测与评价</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7.2.2.1</w:t>
      </w:r>
      <w:r>
        <w:rPr>
          <w:rFonts w:cs="Times New Roman" w:hint="default"/>
          <w:iCs/>
        </w:rPr>
        <w:t>汽车尾气影响分析</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一般来讲，敏感点受汽车尾气中的</w:t>
      </w:r>
      <w:r>
        <w:rPr>
          <w:rFonts w:cs="Times New Roman"/>
          <w:snapToGrid w:val="0"/>
          <w:szCs w:val="24"/>
          <w:lang w:val="zh-CN"/>
        </w:rPr>
        <w:t>NO</w:t>
      </w:r>
      <w:r>
        <w:rPr>
          <w:rFonts w:cs="Times New Roman"/>
          <w:snapToGrid w:val="0"/>
          <w:szCs w:val="24"/>
          <w:vertAlign w:val="subscript"/>
          <w:lang w:val="zh-CN"/>
        </w:rPr>
        <w:t>x</w:t>
      </w:r>
      <w:r>
        <w:rPr>
          <w:rFonts w:cs="Times New Roman"/>
          <w:snapToGrid w:val="0"/>
          <w:szCs w:val="24"/>
          <w:lang w:val="zh-CN"/>
        </w:rPr>
        <w:t>污染的程度与汽车尾气排放量、气象条件有关，同时还与敏感点同路之间水平距离有较大关系，即交通量越大，污染物排放量越大；相对距离路越近，污染物浓度越高；风速越小，越不利于扩散，污染物浓度越高；敏感建筑处在道路下风向时，其影响程度越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公路为开放式的广域扩散空间，且单辆汽车为移动式污染源，整个公路可看作很长路段的线状污染源，汽车尾气相对于长路段来说，扩散至公路两侧一定距离的敏感点处的</w:t>
      </w:r>
      <w:r>
        <w:rPr>
          <w:rFonts w:cs="Times New Roman"/>
          <w:snapToGrid w:val="0"/>
          <w:szCs w:val="24"/>
          <w:lang w:val="zh-CN"/>
        </w:rPr>
        <w:t>NO</w:t>
      </w:r>
      <w:r>
        <w:rPr>
          <w:rFonts w:cs="Times New Roman"/>
          <w:snapToGrid w:val="0"/>
          <w:szCs w:val="24"/>
          <w:vertAlign w:val="subscript"/>
          <w:lang w:val="zh-CN"/>
        </w:rPr>
        <w:t>x</w:t>
      </w:r>
      <w:r>
        <w:rPr>
          <w:rFonts w:cs="Times New Roman"/>
          <w:snapToGrid w:val="0"/>
          <w:szCs w:val="24"/>
          <w:lang w:val="zh-CN"/>
        </w:rPr>
        <w:t>浓度较低。根据</w:t>
      </w:r>
      <w:r>
        <w:rPr>
          <w:rFonts w:cs="Times New Roman"/>
          <w:snapToGrid w:val="0"/>
          <w:szCs w:val="24"/>
          <w:lang w:val="zh-CN"/>
        </w:rPr>
        <w:t>G3018</w:t>
      </w:r>
      <w:r>
        <w:rPr>
          <w:rFonts w:cs="Times New Roman"/>
          <w:snapToGrid w:val="0"/>
          <w:szCs w:val="24"/>
          <w:lang w:val="zh-CN"/>
        </w:rPr>
        <w:t>线精河至阿拉山口公路工程环境影响报告书对阿拉山口主线收费站</w:t>
      </w:r>
      <w:r>
        <w:rPr>
          <w:rFonts w:cs="Times New Roman"/>
          <w:snapToGrid w:val="0"/>
          <w:szCs w:val="24"/>
          <w:lang w:val="zh-CN"/>
        </w:rPr>
        <w:t>NO</w:t>
      </w:r>
      <w:r>
        <w:rPr>
          <w:rFonts w:cs="Times New Roman"/>
          <w:snapToGrid w:val="0"/>
          <w:szCs w:val="24"/>
          <w:vertAlign w:val="subscript"/>
          <w:lang w:val="zh-CN"/>
        </w:rPr>
        <w:t>2</w:t>
      </w:r>
      <w:r>
        <w:rPr>
          <w:rFonts w:cs="Times New Roman"/>
          <w:snapToGrid w:val="0"/>
          <w:szCs w:val="24"/>
          <w:lang w:val="zh-CN"/>
        </w:rPr>
        <w:t>浓度实测数据，环境空气中</w:t>
      </w:r>
      <w:r>
        <w:rPr>
          <w:rFonts w:cs="Times New Roman"/>
          <w:snapToGrid w:val="0"/>
          <w:szCs w:val="24"/>
          <w:lang w:val="zh-CN"/>
        </w:rPr>
        <w:t>NO</w:t>
      </w:r>
      <w:r>
        <w:rPr>
          <w:rFonts w:cs="Times New Roman"/>
          <w:snapToGrid w:val="0"/>
          <w:szCs w:val="24"/>
          <w:vertAlign w:val="subscript"/>
          <w:lang w:val="zh-CN"/>
        </w:rPr>
        <w:t>2</w:t>
      </w:r>
      <w:r>
        <w:rPr>
          <w:rFonts w:cs="Times New Roman"/>
          <w:snapToGrid w:val="0"/>
          <w:szCs w:val="24"/>
          <w:lang w:val="zh-CN"/>
        </w:rPr>
        <w:t>浓度均能满足《环境空气质量标准》（</w:t>
      </w:r>
      <w:r>
        <w:rPr>
          <w:rFonts w:cs="Times New Roman"/>
          <w:snapToGrid w:val="0"/>
          <w:szCs w:val="24"/>
          <w:lang w:val="zh-CN"/>
        </w:rPr>
        <w:t>GB3095-2012</w:t>
      </w:r>
      <w:r>
        <w:rPr>
          <w:rFonts w:cs="Times New Roman"/>
          <w:snapToGrid w:val="0"/>
          <w:szCs w:val="24"/>
          <w:lang w:val="zh-CN"/>
        </w:rPr>
        <w:t>）中二级标准要求，汽车尾气对周边环境空气影响较小。</w:t>
      </w:r>
    </w:p>
    <w:p w:rsidR="00A46452" w:rsidRDefault="009A3928" w:rsidP="00182EED">
      <w:pPr>
        <w:wordWrap w:val="0"/>
        <w:topLinePunct/>
        <w:ind w:firstLine="480"/>
        <w:rPr>
          <w:rFonts w:cs="Times New Roman"/>
          <w:snapToGrid w:val="0"/>
          <w:szCs w:val="24"/>
          <w:lang w:val="zh-CN"/>
        </w:rPr>
      </w:pPr>
      <w:r>
        <w:rPr>
          <w:rFonts w:cs="Times New Roman"/>
          <w:snapToGrid w:val="0"/>
          <w:lang w:val="zh-CN"/>
        </w:rPr>
        <w:t>本项目沿线有</w:t>
      </w:r>
      <w:r>
        <w:rPr>
          <w:rFonts w:cs="Times New Roman" w:hint="eastAsia"/>
          <w:snapToGrid w:val="0"/>
        </w:rPr>
        <w:t>幸福佳园一期</w:t>
      </w:r>
      <w:r>
        <w:rPr>
          <w:rFonts w:cs="Times New Roman"/>
          <w:snapToGrid w:val="0"/>
        </w:rPr>
        <w:t>、柯坪湖州小学、玉尔其乡居民区等多</w:t>
      </w:r>
      <w:r>
        <w:rPr>
          <w:rFonts w:cs="Times New Roman"/>
          <w:snapToGrid w:val="0"/>
          <w:lang w:val="zh-CN"/>
        </w:rPr>
        <w:t>个环境敏感点，距离道路中心线的最近距离分别为</w:t>
      </w:r>
      <w:r>
        <w:rPr>
          <w:rFonts w:cs="Times New Roman"/>
          <w:snapToGrid w:val="0"/>
        </w:rPr>
        <w:t>30</w:t>
      </w:r>
      <w:r>
        <w:rPr>
          <w:rFonts w:cs="Times New Roman"/>
          <w:snapToGrid w:val="0"/>
        </w:rPr>
        <w:t>～</w:t>
      </w:r>
      <w:r>
        <w:rPr>
          <w:rFonts w:cs="Times New Roman"/>
          <w:snapToGrid w:val="0"/>
        </w:rPr>
        <w:t>150m</w:t>
      </w:r>
      <w:r>
        <w:rPr>
          <w:rFonts w:cs="Times New Roman"/>
          <w:snapToGrid w:val="0"/>
          <w:lang w:val="zh-CN"/>
        </w:rPr>
        <w:t>。项目区环境空气容量较大，项目建成运营后，</w:t>
      </w:r>
      <w:r>
        <w:rPr>
          <w:rFonts w:cs="Times New Roman"/>
          <w:snapToGrid w:val="0"/>
        </w:rPr>
        <w:t>全线交通量分布不均衡，交通量增长速度较快。预测</w:t>
      </w:r>
      <w:r>
        <w:rPr>
          <w:rFonts w:cs="Times New Roman"/>
          <w:snapToGrid w:val="0"/>
        </w:rPr>
        <w:t>2042</w:t>
      </w:r>
      <w:r>
        <w:rPr>
          <w:rFonts w:cs="Times New Roman"/>
          <w:snapToGrid w:val="0"/>
        </w:rPr>
        <w:t>年主线平均交通量折算成小客车为</w:t>
      </w:r>
      <w:r>
        <w:rPr>
          <w:rFonts w:cs="Times New Roman"/>
          <w:snapToGrid w:val="0"/>
        </w:rPr>
        <w:t>7170</w:t>
      </w:r>
      <w:r>
        <w:rPr>
          <w:rFonts w:cs="Times New Roman"/>
          <w:snapToGrid w:val="0"/>
        </w:rPr>
        <w:t>辆</w:t>
      </w:r>
      <w:r>
        <w:rPr>
          <w:rFonts w:cs="Times New Roman"/>
          <w:snapToGrid w:val="0"/>
        </w:rPr>
        <w:t>/</w:t>
      </w:r>
      <w:r>
        <w:rPr>
          <w:rFonts w:cs="Times New Roman"/>
          <w:snapToGrid w:val="0"/>
        </w:rPr>
        <w:t>日</w:t>
      </w:r>
      <w:r>
        <w:rPr>
          <w:rFonts w:cs="Times New Roman"/>
          <w:snapToGrid w:val="0"/>
          <w:lang w:val="zh-CN"/>
        </w:rPr>
        <w:t>。随着车用燃油标准及机动车污染治理水平的不断提高，同等数量汽车的尾气造成的影响会逐渐降低，</w:t>
      </w:r>
      <w:r>
        <w:rPr>
          <w:rFonts w:cs="Times New Roman"/>
          <w:snapToGrid w:val="0"/>
          <w:szCs w:val="24"/>
          <w:lang w:val="zh-CN"/>
        </w:rPr>
        <w:t>本项目建成后，汽车尾气中</w:t>
      </w:r>
      <w:r>
        <w:rPr>
          <w:rFonts w:cs="Times New Roman"/>
          <w:snapToGrid w:val="0"/>
          <w:szCs w:val="24"/>
          <w:lang w:val="zh-CN"/>
        </w:rPr>
        <w:t>NO</w:t>
      </w:r>
      <w:r>
        <w:rPr>
          <w:rFonts w:cs="Times New Roman"/>
          <w:snapToGrid w:val="0"/>
          <w:szCs w:val="24"/>
          <w:vertAlign w:val="subscript"/>
          <w:lang w:val="zh-CN"/>
        </w:rPr>
        <w:t>2</w:t>
      </w:r>
      <w:r>
        <w:rPr>
          <w:rFonts w:cs="Times New Roman"/>
          <w:snapToGrid w:val="0"/>
          <w:szCs w:val="24"/>
          <w:lang w:val="zh-CN"/>
        </w:rPr>
        <w:t>在距路中心线</w:t>
      </w:r>
      <w:r>
        <w:rPr>
          <w:rFonts w:cs="Times New Roman"/>
          <w:snapToGrid w:val="0"/>
          <w:szCs w:val="24"/>
          <w:lang w:val="zh-CN"/>
        </w:rPr>
        <w:t>20m</w:t>
      </w:r>
      <w:r>
        <w:rPr>
          <w:rFonts w:cs="Times New Roman"/>
          <w:snapToGrid w:val="0"/>
          <w:szCs w:val="24"/>
          <w:lang w:val="zh-CN"/>
        </w:rPr>
        <w:t>以内达到《环境空气质量标准》（</w:t>
      </w:r>
      <w:r>
        <w:rPr>
          <w:rFonts w:cs="Times New Roman"/>
          <w:snapToGrid w:val="0"/>
          <w:szCs w:val="24"/>
          <w:lang w:val="zh-CN"/>
        </w:rPr>
        <w:t>GB3095-2012</w:t>
      </w:r>
      <w:r>
        <w:rPr>
          <w:rFonts w:cs="Times New Roman"/>
          <w:snapToGrid w:val="0"/>
          <w:szCs w:val="24"/>
          <w:lang w:val="zh-CN"/>
        </w:rPr>
        <w:t>）中二级标准。因此，项目沿线环境空气敏感点在项目运营后受汽车尾气的污染影响可接受。</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根据全国已建公路环境保护竣工验收调查的结果，汽车尾气对环境的影响范围和程度十分有限，其中</w:t>
      </w:r>
      <w:r>
        <w:rPr>
          <w:rFonts w:cs="Times New Roman"/>
          <w:snapToGrid w:val="0"/>
          <w:szCs w:val="24"/>
          <w:lang w:val="zh-CN"/>
        </w:rPr>
        <w:t>TSP</w:t>
      </w:r>
      <w:r>
        <w:rPr>
          <w:rFonts w:cs="Times New Roman"/>
          <w:snapToGrid w:val="0"/>
          <w:szCs w:val="24"/>
          <w:lang w:val="zh-CN"/>
        </w:rPr>
        <w:t>扬尘主要源于环境本底，路面起尘贡献值极小。日交通量达到</w:t>
      </w:r>
      <w:r>
        <w:rPr>
          <w:rFonts w:cs="Times New Roman"/>
          <w:snapToGrid w:val="0"/>
          <w:szCs w:val="24"/>
          <w:lang w:val="zh-CN"/>
        </w:rPr>
        <w:t>3</w:t>
      </w:r>
      <w:r>
        <w:rPr>
          <w:rFonts w:cs="Times New Roman"/>
          <w:snapToGrid w:val="0"/>
          <w:szCs w:val="24"/>
          <w:lang w:val="zh-CN"/>
        </w:rPr>
        <w:t>万辆时，</w:t>
      </w:r>
      <w:r>
        <w:rPr>
          <w:rFonts w:cs="Times New Roman"/>
          <w:snapToGrid w:val="0"/>
          <w:szCs w:val="24"/>
          <w:lang w:val="zh-CN"/>
        </w:rPr>
        <w:t>NO</w:t>
      </w:r>
      <w:r>
        <w:rPr>
          <w:rFonts w:cs="Times New Roman"/>
          <w:snapToGrid w:val="0"/>
          <w:szCs w:val="24"/>
          <w:vertAlign w:val="subscript"/>
          <w:lang w:val="zh-CN"/>
        </w:rPr>
        <w:t>2</w:t>
      </w:r>
      <w:r>
        <w:rPr>
          <w:rFonts w:cs="Times New Roman"/>
          <w:snapToGrid w:val="0"/>
          <w:szCs w:val="24"/>
          <w:lang w:val="zh-CN"/>
        </w:rPr>
        <w:t>和</w:t>
      </w:r>
      <w:r>
        <w:rPr>
          <w:rFonts w:cs="Times New Roman"/>
          <w:snapToGrid w:val="0"/>
          <w:szCs w:val="24"/>
          <w:lang w:val="zh-CN"/>
        </w:rPr>
        <w:t>TSP</w:t>
      </w:r>
      <w:r>
        <w:rPr>
          <w:rFonts w:cs="Times New Roman"/>
          <w:snapToGrid w:val="0"/>
          <w:szCs w:val="24"/>
          <w:lang w:val="zh-CN"/>
        </w:rPr>
        <w:t>均不超标。随着我国执行单车排放标准的不断提高，单车尾气的排放量将会</w:t>
      </w:r>
      <w:r>
        <w:rPr>
          <w:rFonts w:cs="Times New Roman"/>
          <w:snapToGrid w:val="0"/>
          <w:szCs w:val="24"/>
          <w:lang w:val="zh-CN"/>
        </w:rPr>
        <w:t>不断降低，运输车种构成比例将更为优化，逐步减少高能耗、高排污的车种比例，汽车尾气排放将大大降低，因此公路汽车尾气对沿线两侧环境空气的影响范围将会缩小，公路对沿线空气质量带来的影响轻微。建议注意工程营运期绿化养护管理，加强道路管理及路面维修养护，使道路保持良好营运状态，努力使公路沿线空气环境维持良好状况。</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7.2.2.2</w:t>
      </w:r>
      <w:r>
        <w:rPr>
          <w:rFonts w:cs="Times New Roman" w:hint="default"/>
          <w:iCs/>
        </w:rPr>
        <w:t>沿线设施集中源排放影响</w:t>
      </w:r>
    </w:p>
    <w:p w:rsidR="00A46452" w:rsidRDefault="009A3928">
      <w:pPr>
        <w:wordWrap w:val="0"/>
        <w:topLinePunct/>
        <w:ind w:firstLine="480"/>
        <w:rPr>
          <w:rFonts w:cs="Times New Roman"/>
        </w:rPr>
      </w:pPr>
      <w:r>
        <w:rPr>
          <w:rFonts w:cs="Times New Roman"/>
          <w:snapToGrid w:val="0"/>
          <w:lang w:val="zh-CN"/>
        </w:rPr>
        <w:t>本项目</w:t>
      </w:r>
      <w:r>
        <w:rPr>
          <w:rFonts w:cs="Times New Roman"/>
          <w:snapToGrid w:val="0"/>
        </w:rPr>
        <w:t>服务区</w:t>
      </w:r>
      <w:r>
        <w:rPr>
          <w:rFonts w:cs="Times New Roman"/>
          <w:snapToGrid w:val="0"/>
          <w:lang w:val="zh-CN"/>
        </w:rPr>
        <w:t>等附属设施的洗浴、饮水、餐饮一般使用电能，电能属于清洁能源不会污染大气环境，对周边环境空气的影响相对较小。</w:t>
      </w:r>
      <w:r>
        <w:rPr>
          <w:rFonts w:cs="Times New Roman"/>
          <w:snapToGrid w:val="0"/>
        </w:rPr>
        <w:t>服务</w:t>
      </w:r>
      <w:r>
        <w:rPr>
          <w:rFonts w:cs="Times New Roman"/>
          <w:snapToGrid w:val="0"/>
          <w:lang w:val="zh-CN"/>
        </w:rPr>
        <w:t>区餐饮采用低污染的燃气灶，且配备符合国家《饮食</w:t>
      </w:r>
      <w:r>
        <w:rPr>
          <w:rFonts w:cs="Times New Roman"/>
          <w:snapToGrid w:val="0"/>
          <w:lang w:val="zh-CN"/>
        </w:rPr>
        <w:t>业油烟排放标准》（</w:t>
      </w:r>
      <w:r>
        <w:rPr>
          <w:rFonts w:cs="Times New Roman"/>
          <w:snapToGrid w:val="0"/>
          <w:lang w:val="zh-CN"/>
        </w:rPr>
        <w:t>GB18483-2001</w:t>
      </w:r>
      <w:r>
        <w:rPr>
          <w:rFonts w:cs="Times New Roman"/>
          <w:snapToGrid w:val="0"/>
          <w:lang w:val="zh-CN"/>
        </w:rPr>
        <w:t>）要求的油烟净化和排放装置，服务区净化效率不小于</w:t>
      </w:r>
      <w:r>
        <w:rPr>
          <w:rFonts w:cs="Times New Roman"/>
          <w:snapToGrid w:val="0"/>
          <w:lang w:val="zh-CN"/>
        </w:rPr>
        <w:t>75%</w:t>
      </w:r>
      <w:r>
        <w:rPr>
          <w:rFonts w:cs="Times New Roman"/>
          <w:snapToGrid w:val="0"/>
          <w:lang w:val="zh-CN"/>
        </w:rPr>
        <w:t>，油烟排放浓度小于</w:t>
      </w:r>
      <w:r>
        <w:rPr>
          <w:rFonts w:cs="Times New Roman"/>
          <w:snapToGrid w:val="0"/>
          <w:lang w:val="zh-CN"/>
        </w:rPr>
        <w:t>2.0mg/m</w:t>
      </w:r>
      <w:r>
        <w:rPr>
          <w:rFonts w:cs="Times New Roman"/>
          <w:snapToGrid w:val="0"/>
          <w:vertAlign w:val="superscript"/>
          <w:lang w:val="zh-CN"/>
        </w:rPr>
        <w:t>3</w:t>
      </w:r>
      <w:r>
        <w:rPr>
          <w:rFonts w:cs="Times New Roman"/>
          <w:snapToGrid w:val="0"/>
          <w:lang w:val="zh-CN"/>
        </w:rPr>
        <w:t>，对四周局地范围内环境空气质量的污染影响较轻微。</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86" w:name="_Toc24322"/>
      <w:bookmarkStart w:id="287" w:name="_Toc187080707"/>
      <w:r>
        <w:rPr>
          <w:rFonts w:cs="Times New Roman" w:hint="default"/>
          <w:sz w:val="30"/>
          <w:szCs w:val="30"/>
        </w:rPr>
        <w:t>7</w:t>
      </w:r>
      <w:r>
        <w:rPr>
          <w:rFonts w:cs="Times New Roman" w:hint="default"/>
          <w:sz w:val="30"/>
          <w:szCs w:val="30"/>
        </w:rPr>
        <w:t>.3</w:t>
      </w:r>
      <w:r>
        <w:rPr>
          <w:rFonts w:cs="Times New Roman" w:hint="default"/>
          <w:sz w:val="30"/>
          <w:szCs w:val="30"/>
        </w:rPr>
        <w:t>地表水环境影响预测与评价</w:t>
      </w:r>
      <w:bookmarkEnd w:id="286"/>
      <w:bookmarkEnd w:id="28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7.3.1</w:t>
      </w:r>
      <w:r>
        <w:rPr>
          <w:rFonts w:cs="Times New Roman" w:hint="default"/>
          <w:sz w:val="28"/>
          <w:szCs w:val="28"/>
        </w:rPr>
        <w:t>施工期地表水环境影响预测与评价</w:t>
      </w:r>
    </w:p>
    <w:p w:rsidR="00A46452" w:rsidRDefault="009A3928">
      <w:pPr>
        <w:wordWrap w:val="0"/>
        <w:topLinePunct/>
        <w:adjustRightInd w:val="0"/>
        <w:snapToGrid w:val="0"/>
        <w:ind w:firstLine="480"/>
        <w:rPr>
          <w:rFonts w:cs="Times New Roman"/>
          <w:szCs w:val="24"/>
        </w:rPr>
      </w:pPr>
      <w:r>
        <w:rPr>
          <w:rFonts w:cs="Times New Roman"/>
          <w:szCs w:val="24"/>
        </w:rPr>
        <w:t>本项目施工过程对水环境的影响主要包括以下几方面：（</w:t>
      </w:r>
      <w:r>
        <w:rPr>
          <w:rFonts w:cs="Times New Roman"/>
          <w:szCs w:val="24"/>
        </w:rPr>
        <w:t>1</w:t>
      </w:r>
      <w:r>
        <w:rPr>
          <w:rFonts w:cs="Times New Roman"/>
          <w:szCs w:val="24"/>
        </w:rPr>
        <w:t>）桥涵施工；（</w:t>
      </w:r>
      <w:r>
        <w:rPr>
          <w:rFonts w:cs="Times New Roman"/>
          <w:szCs w:val="24"/>
        </w:rPr>
        <w:t>2</w:t>
      </w:r>
      <w:r>
        <w:rPr>
          <w:rFonts w:cs="Times New Roman"/>
          <w:szCs w:val="24"/>
        </w:rPr>
        <w:t>）生产废水；（</w:t>
      </w:r>
      <w:r>
        <w:rPr>
          <w:rFonts w:cs="Times New Roman"/>
          <w:szCs w:val="24"/>
        </w:rPr>
        <w:t>3</w:t>
      </w:r>
      <w:r>
        <w:rPr>
          <w:rFonts w:cs="Times New Roman"/>
          <w:szCs w:val="24"/>
        </w:rPr>
        <w:t>）生活污水。</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7.3.1.1</w:t>
      </w:r>
      <w:r>
        <w:rPr>
          <w:rFonts w:cs="Times New Roman" w:hint="default"/>
          <w:iCs/>
        </w:rPr>
        <w:t>桥梁、涵洞施工影响分析</w:t>
      </w:r>
    </w:p>
    <w:p w:rsidR="00A46452" w:rsidRDefault="009A3928" w:rsidP="00182EED">
      <w:pPr>
        <w:wordWrap w:val="0"/>
        <w:topLinePunct/>
        <w:adjustRightInd w:val="0"/>
        <w:snapToGrid w:val="0"/>
        <w:ind w:firstLine="480"/>
        <w:jc w:val="left"/>
        <w:rPr>
          <w:rFonts w:cs="Times New Roman"/>
          <w:szCs w:val="24"/>
        </w:rPr>
      </w:pPr>
      <w:r>
        <w:rPr>
          <w:rFonts w:cs="Times New Roman"/>
          <w:szCs w:val="24"/>
        </w:rPr>
        <w:t>全线</w:t>
      </w:r>
      <w:r>
        <w:rPr>
          <w:rFonts w:cs="Times New Roman"/>
          <w:szCs w:val="24"/>
        </w:rPr>
        <w:t>新建大桥</w:t>
      </w:r>
      <w:r>
        <w:rPr>
          <w:rFonts w:cs="Times New Roman"/>
          <w:szCs w:val="24"/>
        </w:rPr>
        <w:t>4</w:t>
      </w:r>
      <w:r>
        <w:rPr>
          <w:rFonts w:cs="Times New Roman"/>
          <w:szCs w:val="24"/>
        </w:rPr>
        <w:t>座</w:t>
      </w:r>
      <w:r>
        <w:rPr>
          <w:rFonts w:cs="Times New Roman"/>
          <w:szCs w:val="24"/>
        </w:rPr>
        <w:t>/767m</w:t>
      </w:r>
      <w:r>
        <w:rPr>
          <w:rFonts w:cs="Times New Roman"/>
          <w:szCs w:val="24"/>
        </w:rPr>
        <w:t>、新建中桥</w:t>
      </w:r>
      <w:r>
        <w:rPr>
          <w:rFonts w:cs="Times New Roman"/>
          <w:szCs w:val="24"/>
        </w:rPr>
        <w:t>6</w:t>
      </w:r>
      <w:r>
        <w:rPr>
          <w:rFonts w:cs="Times New Roman"/>
          <w:szCs w:val="24"/>
        </w:rPr>
        <w:t>座</w:t>
      </w:r>
      <w:r>
        <w:rPr>
          <w:rFonts w:cs="Times New Roman"/>
          <w:szCs w:val="24"/>
        </w:rPr>
        <w:t>/356m</w:t>
      </w:r>
      <w:r>
        <w:rPr>
          <w:rFonts w:cs="Times New Roman"/>
          <w:szCs w:val="24"/>
        </w:rPr>
        <w:t>、新建小桥</w:t>
      </w:r>
      <w:r>
        <w:rPr>
          <w:rFonts w:cs="Times New Roman"/>
          <w:szCs w:val="24"/>
        </w:rPr>
        <w:t>4</w:t>
      </w:r>
      <w:r>
        <w:rPr>
          <w:rFonts w:cs="Times New Roman"/>
          <w:szCs w:val="24"/>
        </w:rPr>
        <w:t>座</w:t>
      </w:r>
      <w:r>
        <w:rPr>
          <w:rFonts w:cs="Times New Roman"/>
          <w:szCs w:val="24"/>
        </w:rPr>
        <w:t>/98m</w:t>
      </w:r>
      <w:r>
        <w:rPr>
          <w:rFonts w:cs="Times New Roman"/>
          <w:szCs w:val="24"/>
        </w:rPr>
        <w:t>，</w:t>
      </w:r>
      <w:r>
        <w:rPr>
          <w:rFonts w:cs="Times New Roman"/>
          <w:szCs w:val="24"/>
        </w:rPr>
        <w:t>利用大桥</w:t>
      </w:r>
      <w:r>
        <w:rPr>
          <w:rFonts w:cs="Times New Roman"/>
          <w:szCs w:val="24"/>
        </w:rPr>
        <w:t>1</w:t>
      </w:r>
      <w:r>
        <w:rPr>
          <w:rFonts w:cs="Times New Roman"/>
          <w:szCs w:val="24"/>
        </w:rPr>
        <w:t>座</w:t>
      </w:r>
      <w:r>
        <w:rPr>
          <w:rFonts w:cs="Times New Roman"/>
          <w:szCs w:val="24"/>
        </w:rPr>
        <w:t>/517m</w:t>
      </w:r>
      <w:r>
        <w:rPr>
          <w:rFonts w:cs="Times New Roman"/>
          <w:kern w:val="0"/>
          <w:szCs w:val="24"/>
          <w:lang w:bidi="ar"/>
        </w:rPr>
        <w:t>，</w:t>
      </w:r>
      <w:r>
        <w:rPr>
          <w:rFonts w:cs="Times New Roman"/>
          <w:szCs w:val="24"/>
        </w:rPr>
        <w:t>桥梁设计尽量避免在水体中设置桥墩或者少设置桥墩，对于在水中设置桥墩时，应当采用先进的施工工艺，如：采用钢围堰，尽量避免采用有污染物排放的施工工艺。为避免桥梁施工对其水质造成污染，本环评要求桥涵施工应提前跟当地水管处联系，选择在枯水期及停水期施工，减少对水体的影响，从而减少施工期水污染。</w:t>
      </w:r>
    </w:p>
    <w:p w:rsidR="00A46452" w:rsidRDefault="009A3928">
      <w:pPr>
        <w:wordWrap w:val="0"/>
        <w:topLinePunct/>
        <w:adjustRightInd w:val="0"/>
        <w:snapToGrid w:val="0"/>
        <w:ind w:firstLine="482"/>
        <w:rPr>
          <w:rFonts w:cs="Times New Roman"/>
          <w:b/>
          <w:bCs/>
          <w:kern w:val="0"/>
          <w:szCs w:val="28"/>
        </w:rPr>
      </w:pPr>
      <w:r>
        <w:rPr>
          <w:rFonts w:cs="Times New Roman"/>
          <w:b/>
          <w:bCs/>
          <w:kern w:val="0"/>
          <w:szCs w:val="28"/>
        </w:rPr>
        <w:t>1</w:t>
      </w:r>
      <w:r>
        <w:rPr>
          <w:rFonts w:cs="Times New Roman"/>
          <w:b/>
          <w:bCs/>
          <w:kern w:val="0"/>
          <w:szCs w:val="28"/>
        </w:rPr>
        <w:t>.</w:t>
      </w:r>
      <w:r>
        <w:rPr>
          <w:rFonts w:cs="Times New Roman"/>
          <w:b/>
          <w:bCs/>
          <w:kern w:val="0"/>
          <w:szCs w:val="28"/>
        </w:rPr>
        <w:t>桥梁施工对水体的扰动</w:t>
      </w:r>
    </w:p>
    <w:p w:rsidR="00A46452" w:rsidRDefault="009A3928">
      <w:pPr>
        <w:wordWrap w:val="0"/>
        <w:topLinePunct/>
        <w:adjustRightInd w:val="0"/>
        <w:snapToGrid w:val="0"/>
        <w:ind w:firstLine="480"/>
        <w:rPr>
          <w:rFonts w:cs="Times New Roman"/>
          <w:kern w:val="0"/>
          <w:szCs w:val="28"/>
        </w:rPr>
      </w:pPr>
      <w:r>
        <w:rPr>
          <w:rFonts w:cs="Times New Roman"/>
          <w:kern w:val="0"/>
          <w:szCs w:val="28"/>
        </w:rPr>
        <w:t>桥梁的施工顺序为：桥墩桥台基础施工、桥墩桥台施工、桥梁上部结构施工、桥面铺装。</w:t>
      </w:r>
    </w:p>
    <w:p w:rsidR="00A46452" w:rsidRDefault="009A3928">
      <w:pPr>
        <w:wordWrap w:val="0"/>
        <w:topLinePunct/>
        <w:ind w:firstLine="480"/>
        <w:rPr>
          <w:rFonts w:cs="Times New Roman"/>
        </w:rPr>
      </w:pPr>
      <w:r>
        <w:rPr>
          <w:rFonts w:cs="Times New Roman"/>
        </w:rPr>
        <w:t>施工期桥梁水下基础施工对河流水环境影响的主要环节有：</w:t>
      </w:r>
    </w:p>
    <w:p w:rsidR="00A46452" w:rsidRDefault="009A3928">
      <w:pPr>
        <w:wordWrap w:val="0"/>
        <w:topLinePunct/>
        <w:ind w:firstLine="480"/>
        <w:rPr>
          <w:rFonts w:cs="Times New Roman"/>
        </w:rPr>
      </w:pPr>
      <w:r>
        <w:rPr>
          <w:rFonts w:cs="Times New Roman"/>
        </w:rPr>
        <w:t>（</w:t>
      </w:r>
      <w:r>
        <w:rPr>
          <w:rFonts w:cs="Times New Roman"/>
        </w:rPr>
        <w:t>1</w:t>
      </w:r>
      <w:r>
        <w:rPr>
          <w:rFonts w:cs="Times New Roman"/>
        </w:rPr>
        <w:t>）围堰：本项目一般桥梁桥墩采用围堰施工，施工时首先在施工的涉水桥墩外围采用薄壁钢围堰将桥墩钻孔桩施工范围与区域外河床水域隔开，对围堰内积水抽干后进行桥墩钻孔桩及承台等施工，钻孔过程产生的废弃物直接输送到岸边沉淀处理，施工废水经沉淀后循环利用，对过滤和沉淀的较大颗粒物及开挖土石进行晾晒后清运至场平工程区域进行回填。钢板桩围堰和钢护筒工艺均会对河底底泥产生扰动，使局部水域的悬浮物浓度升高。</w:t>
      </w:r>
    </w:p>
    <w:p w:rsidR="00A46452" w:rsidRDefault="009A3928">
      <w:pPr>
        <w:wordWrap w:val="0"/>
        <w:topLinePunct/>
        <w:ind w:firstLine="480"/>
        <w:rPr>
          <w:rFonts w:cs="Times New Roman"/>
          <w:spacing w:val="-2"/>
        </w:rPr>
      </w:pPr>
      <w:r>
        <w:rPr>
          <w:rFonts w:cs="Times New Roman"/>
        </w:rPr>
        <w:t>（</w:t>
      </w:r>
      <w:r>
        <w:rPr>
          <w:rFonts w:cs="Times New Roman"/>
        </w:rPr>
        <w:t>2</w:t>
      </w:r>
      <w:r>
        <w:rPr>
          <w:rFonts w:cs="Times New Roman"/>
        </w:rPr>
        <w:t>）钻孔和清孔：钻孔泥浆由水、粘土（或膨润土）和添加剂（如碳酸钠，掺入量</w:t>
      </w:r>
      <w:r>
        <w:rPr>
          <w:rFonts w:cs="Times New Roman"/>
        </w:rPr>
        <w:t>0.1</w:t>
      </w:r>
      <w:r>
        <w:rPr>
          <w:rFonts w:cs="Times New Roman"/>
        </w:rPr>
        <w:t>%</w:t>
      </w:r>
      <w:r>
        <w:rPr>
          <w:rFonts w:cs="Times New Roman"/>
        </w:rPr>
        <w:t>～</w:t>
      </w:r>
      <w:r>
        <w:rPr>
          <w:rFonts w:cs="Times New Roman"/>
        </w:rPr>
        <w:t>0.4%</w:t>
      </w:r>
      <w:r>
        <w:rPr>
          <w:rFonts w:cs="Times New Roman"/>
        </w:rPr>
        <w:t>；羧基纤维素，掺入量</w:t>
      </w:r>
      <w:r>
        <w:rPr>
          <w:rFonts w:cs="Times New Roman"/>
        </w:rPr>
        <w:t>&lt;0.</w:t>
      </w:r>
      <w:r>
        <w:rPr>
          <w:rFonts w:cs="Times New Roman"/>
        </w:rPr>
        <w:t>1%</w:t>
      </w:r>
      <w:r>
        <w:rPr>
          <w:rFonts w:cs="Times New Roman"/>
        </w:rPr>
        <w:t>）组成，施工过程中会有少量含泥浆废水产生，目前大型建设工程施工钻孔时，一般都采用泥浆回收措施降低成本、减少环境污染；类比大桥施工的监测结果，采用泥浆分离机回收泥浆，含泥浆污水的</w:t>
      </w:r>
      <w:r>
        <w:rPr>
          <w:rFonts w:cs="Times New Roman"/>
        </w:rPr>
        <w:t>SS</w:t>
      </w:r>
      <w:r>
        <w:rPr>
          <w:rFonts w:cs="Times New Roman"/>
        </w:rPr>
        <w:t>浓度由处理前的</w:t>
      </w:r>
      <w:r>
        <w:rPr>
          <w:rFonts w:cs="Times New Roman"/>
        </w:rPr>
        <w:t>1690mg/L</w:t>
      </w:r>
      <w:r>
        <w:rPr>
          <w:rFonts w:cs="Times New Roman"/>
        </w:rPr>
        <w:t>降低到处理后的</w:t>
      </w:r>
      <w:r>
        <w:rPr>
          <w:rFonts w:cs="Times New Roman"/>
        </w:rPr>
        <w:t>66mg/L</w:t>
      </w:r>
      <w:r>
        <w:rPr>
          <w:rFonts w:cs="Times New Roman"/>
        </w:rPr>
        <w:t>，达到</w:t>
      </w:r>
      <w:r>
        <w:rPr>
          <w:rFonts w:cs="Times New Roman"/>
        </w:rPr>
        <w:t>GB8978-1996</w:t>
      </w:r>
      <w:r>
        <w:rPr>
          <w:rFonts w:cs="Times New Roman"/>
        </w:rPr>
        <w:t>中的一级标准；在钻进过程中，如产生钻孔漏浆，会限制在围堰内而不与水体直接接触，不会造成水污染；据有关桥梁工程的专家介绍，钻孔漏浆的发生概率</w:t>
      </w:r>
      <w:r>
        <w:rPr>
          <w:rFonts w:cs="Times New Roman"/>
        </w:rPr>
        <w:t>&lt;1.0%</w:t>
      </w:r>
      <w:r>
        <w:rPr>
          <w:rFonts w:cs="Times New Roman"/>
        </w:rPr>
        <w:t>，可见因钻孔漏浆造成水污染的可能很小。钻孔达到深度和质量要求后会进行清孔作业，所清出的钻渣</w:t>
      </w:r>
      <w:r>
        <w:rPr>
          <w:rFonts w:cs="Times New Roman"/>
        </w:rPr>
        <w:t>输送到</w:t>
      </w:r>
      <w:r>
        <w:rPr>
          <w:rFonts w:cs="Times New Roman"/>
        </w:rPr>
        <w:t>岸上进行进一步处理，一般不会造成水污染；即使清孔的钻渣有泄漏产生，也会限制在围堰内而不与水体直接接触，不会造成水污染处理后的泥浆水以及砂石料冲洗水经沉淀池沉淀固化后满足《城市污水再生利用</w:t>
      </w:r>
      <w:r>
        <w:rPr>
          <w:rFonts w:cs="Times New Roman"/>
        </w:rPr>
        <w:t xml:space="preserve"> </w:t>
      </w:r>
      <w:r>
        <w:rPr>
          <w:rFonts w:cs="Times New Roman"/>
        </w:rPr>
        <w:t>城市</w:t>
      </w:r>
      <w:r>
        <w:rPr>
          <w:rFonts w:cs="Times New Roman"/>
        </w:rPr>
        <w:t>饮用水</w:t>
      </w:r>
      <w:r>
        <w:rPr>
          <w:rFonts w:cs="Times New Roman"/>
        </w:rPr>
        <w:t>水质标准》（</w:t>
      </w:r>
      <w:r>
        <w:rPr>
          <w:rFonts w:cs="Times New Roman"/>
        </w:rPr>
        <w:t>GB/T 18920-2020</w:t>
      </w:r>
      <w:r>
        <w:rPr>
          <w:rFonts w:cs="Times New Roman"/>
        </w:rPr>
        <w:t>）可回用于洒水。</w:t>
      </w:r>
    </w:p>
    <w:p w:rsidR="00A46452" w:rsidRDefault="009A3928">
      <w:pPr>
        <w:wordWrap w:val="0"/>
        <w:topLinePunct/>
        <w:ind w:firstLine="480"/>
        <w:rPr>
          <w:rFonts w:cs="Times New Roman"/>
        </w:rPr>
      </w:pPr>
      <w:r>
        <w:rPr>
          <w:rFonts w:cs="Times New Roman"/>
        </w:rPr>
        <w:t>（</w:t>
      </w:r>
      <w:r>
        <w:rPr>
          <w:rFonts w:cs="Times New Roman"/>
        </w:rPr>
        <w:t>3</w:t>
      </w:r>
      <w:r>
        <w:rPr>
          <w:rFonts w:cs="Times New Roman"/>
        </w:rPr>
        <w:t>）混凝土灌注</w:t>
      </w:r>
    </w:p>
    <w:p w:rsidR="00A46452" w:rsidRDefault="009A3928">
      <w:pPr>
        <w:wordWrap w:val="0"/>
        <w:topLinePunct/>
        <w:ind w:firstLine="480"/>
        <w:rPr>
          <w:rFonts w:cs="Times New Roman"/>
        </w:rPr>
      </w:pPr>
      <w:r>
        <w:rPr>
          <w:rFonts w:cs="Times New Roman"/>
        </w:rPr>
        <w:t>目前桥梁桥墩施工一般采用刚性导管进行混凝土灌注，在灌注过程中可能产生溢浆和漏浆，但混凝土灌注也是在围堰内进行，因此不会对水体造成污染。</w:t>
      </w:r>
    </w:p>
    <w:p w:rsidR="00A46452" w:rsidRDefault="009A3928">
      <w:pPr>
        <w:wordWrap w:val="0"/>
        <w:topLinePunct/>
        <w:ind w:firstLine="480"/>
        <w:rPr>
          <w:rFonts w:cs="Times New Roman"/>
        </w:rPr>
      </w:pPr>
      <w:r>
        <w:rPr>
          <w:rFonts w:cs="Times New Roman"/>
        </w:rPr>
        <w:t>（</w:t>
      </w:r>
      <w:r>
        <w:rPr>
          <w:rFonts w:cs="Times New Roman"/>
        </w:rPr>
        <w:t>4</w:t>
      </w:r>
      <w:r>
        <w:rPr>
          <w:rFonts w:cs="Times New Roman"/>
        </w:rPr>
        <w:t>）围堰拆除</w:t>
      </w:r>
    </w:p>
    <w:p w:rsidR="00A46452" w:rsidRDefault="009A3928">
      <w:pPr>
        <w:wordWrap w:val="0"/>
        <w:topLinePunct/>
        <w:ind w:firstLine="480"/>
        <w:rPr>
          <w:rFonts w:cs="Times New Roman"/>
        </w:rPr>
      </w:pPr>
      <w:r>
        <w:rPr>
          <w:rFonts w:cs="Times New Roman"/>
        </w:rPr>
        <w:t>待项目桥梁基础工程施工完成后对桥墩周边设置的临时围堰和钢护筒进行拆除。围堰和钢护筒拆除对水环境造成的影响同围堰和钢护筒施工相似，会对河底底泥产生扰动，使局部水域的悬浮物浓度升高，短时间内对河水有一定的影响，影响范围一般为施工点</w:t>
      </w:r>
      <w:r>
        <w:rPr>
          <w:rFonts w:cs="Times New Roman"/>
        </w:rPr>
        <w:t>50m</w:t>
      </w:r>
      <w:r>
        <w:rPr>
          <w:rFonts w:cs="Times New Roman"/>
        </w:rPr>
        <w:t>～</w:t>
      </w:r>
      <w:r>
        <w:rPr>
          <w:rFonts w:cs="Times New Roman"/>
        </w:rPr>
        <w:t>100m</w:t>
      </w:r>
      <w:r>
        <w:rPr>
          <w:rFonts w:cs="Times New Roman"/>
        </w:rPr>
        <w:t>内，但随着河水的流动、泥沙沉降，围堰和拆堰对河水水质产生的影响很小。因此，桥梁基础施工过程中对地表水体水质影响较小。随着围堰和拆堰的结束，施工引起的悬浮物增加对河流水综上所述，桥梁工程施工对水环境的影响主要集中在围堰和围堰拆除过程中，会导致局部水域</w:t>
      </w:r>
      <w:r>
        <w:rPr>
          <w:rFonts w:cs="Times New Roman"/>
        </w:rPr>
        <w:t>SS</w:t>
      </w:r>
      <w:r>
        <w:rPr>
          <w:rFonts w:cs="Times New Roman"/>
        </w:rPr>
        <w:t>浓度升高，但这种影</w:t>
      </w:r>
      <w:r>
        <w:rPr>
          <w:rFonts w:cs="Times New Roman"/>
        </w:rPr>
        <w:t>响是轻微的、短暂的和局部的，随着围堰和拆堰的结束，施工引起的悬浮物增加对河流水质的影响也将结束。</w:t>
      </w:r>
    </w:p>
    <w:p w:rsidR="00A46452" w:rsidRDefault="009A3928">
      <w:pPr>
        <w:wordWrap w:val="0"/>
        <w:topLinePunct/>
        <w:ind w:firstLine="480"/>
        <w:rPr>
          <w:rFonts w:cs="Times New Roman"/>
        </w:rPr>
      </w:pPr>
      <w:r>
        <w:rPr>
          <w:rFonts w:cs="Times New Roman"/>
        </w:rPr>
        <w:t>综上所述，桥梁工程施工对水环境的影响主要集中在围堰和围堰拆除过程中，会导致局部水域</w:t>
      </w:r>
      <w:r>
        <w:rPr>
          <w:rFonts w:cs="Times New Roman"/>
        </w:rPr>
        <w:t>SS</w:t>
      </w:r>
      <w:r>
        <w:rPr>
          <w:rFonts w:cs="Times New Roman"/>
        </w:rPr>
        <w:t>浓度升高，但这种影响是轻微的、短暂的和局部的，随着围堰和拆堰的结束，施工引起的悬浮物增加对河流水质的影响也将结束。</w:t>
      </w:r>
    </w:p>
    <w:p w:rsidR="00A46452" w:rsidRDefault="009A3928">
      <w:pPr>
        <w:wordWrap w:val="0"/>
        <w:topLinePunct/>
        <w:ind w:firstLine="482"/>
        <w:rPr>
          <w:rFonts w:cs="Times New Roman"/>
          <w:b/>
          <w:bCs/>
        </w:rPr>
      </w:pPr>
      <w:r>
        <w:rPr>
          <w:rFonts w:cs="Times New Roman"/>
          <w:b/>
          <w:bCs/>
        </w:rPr>
        <w:t>2.</w:t>
      </w:r>
      <w:r>
        <w:rPr>
          <w:rFonts w:cs="Times New Roman"/>
          <w:b/>
          <w:bCs/>
        </w:rPr>
        <w:t>施工便桥拆除施工环境影响分析</w:t>
      </w:r>
    </w:p>
    <w:p w:rsidR="00A46452" w:rsidRDefault="009A3928">
      <w:pPr>
        <w:wordWrap w:val="0"/>
        <w:topLinePunct/>
        <w:ind w:firstLine="480"/>
        <w:rPr>
          <w:rFonts w:cs="Times New Roman"/>
        </w:rPr>
      </w:pPr>
      <w:r>
        <w:rPr>
          <w:rFonts w:cs="Times New Roman"/>
        </w:rPr>
        <w:t>根据公路工程施工场地设置的经验，桥梁的施工场地将可能设在河的两侧。在桥梁施工期间，若作业场、物料堆场的施工材料（如沥青、油料、化学品及一些粉末状材料等）堆放在水体附近，由于保管不善或受暴雨冲刷等原因进入水体，将会引起水体污染。废弃建材堆场的残留物质随地表径流进入水体也会造成水污染。粉状物料的堆场若没有严格的遮挡、掩盖等措施将会起尘，从而污染水体。施工场地的生产废水主要来自预制场内的预制件、钢砼梁柱的养护水及砂石冲洗废水等。类比同类工程，大桥施工场地产生的污水主要的污染物是</w:t>
      </w:r>
      <w:r>
        <w:rPr>
          <w:rFonts w:cs="Times New Roman"/>
        </w:rPr>
        <w:t>SS</w:t>
      </w:r>
      <w:r>
        <w:rPr>
          <w:rFonts w:cs="Times New Roman"/>
        </w:rPr>
        <w:t>，</w:t>
      </w:r>
      <w:r>
        <w:rPr>
          <w:rFonts w:cs="Times New Roman"/>
        </w:rPr>
        <w:t>pH</w:t>
      </w:r>
      <w:r>
        <w:rPr>
          <w:rFonts w:cs="Times New Roman"/>
        </w:rPr>
        <w:t>值一般为</w:t>
      </w:r>
      <w:r>
        <w:rPr>
          <w:rFonts w:cs="Times New Roman"/>
        </w:rPr>
        <w:t>8</w:t>
      </w:r>
      <w:r>
        <w:rPr>
          <w:rFonts w:cs="Times New Roman"/>
        </w:rPr>
        <w:t>～</w:t>
      </w:r>
      <w:r>
        <w:rPr>
          <w:rFonts w:cs="Times New Roman"/>
        </w:rPr>
        <w:t>10</w:t>
      </w:r>
      <w:r>
        <w:rPr>
          <w:rFonts w:cs="Times New Roman"/>
        </w:rPr>
        <w:t>，偏弱碱性</w:t>
      </w:r>
      <w:r>
        <w:rPr>
          <w:rFonts w:cs="Times New Roman"/>
        </w:rPr>
        <w:t>，根据桥梁工程施工经验，施工场地均设置隔油、沉淀池处理生产废水，处理后的水质满足《城市污水再生利用城市杂用水水质标准》（</w:t>
      </w:r>
      <w:r>
        <w:rPr>
          <w:rFonts w:cs="Times New Roman"/>
        </w:rPr>
        <w:t>GB/T18920-2020</w:t>
      </w:r>
      <w:r>
        <w:rPr>
          <w:rFonts w:cs="Times New Roman"/>
        </w:rPr>
        <w:t>）相应标准，处理后的尾水回用于砂石料的冲洗、场地洒水降尘和绿化等，不向水体排放，对水环境的影响较小。</w:t>
      </w:r>
    </w:p>
    <w:p w:rsidR="00A46452" w:rsidRDefault="009A3928">
      <w:pPr>
        <w:wordWrap w:val="0"/>
        <w:topLinePunct/>
        <w:ind w:firstLine="482"/>
        <w:rPr>
          <w:rFonts w:cs="Times New Roman"/>
          <w:b/>
          <w:bCs/>
        </w:rPr>
      </w:pPr>
      <w:r>
        <w:rPr>
          <w:rFonts w:cs="Times New Roman"/>
          <w:b/>
          <w:bCs/>
        </w:rPr>
        <w:t>3.</w:t>
      </w:r>
      <w:r>
        <w:rPr>
          <w:rFonts w:cs="Times New Roman"/>
          <w:b/>
          <w:bCs/>
        </w:rPr>
        <w:t>桥梁施工对水文情势的影响</w:t>
      </w:r>
    </w:p>
    <w:p w:rsidR="00A46452" w:rsidRDefault="009A3928">
      <w:pPr>
        <w:wordWrap w:val="0"/>
        <w:topLinePunct/>
        <w:ind w:firstLine="480"/>
        <w:rPr>
          <w:rFonts w:cs="Times New Roman"/>
          <w:spacing w:val="-4"/>
          <w:szCs w:val="24"/>
        </w:rPr>
      </w:pPr>
      <w:r>
        <w:rPr>
          <w:rFonts w:cs="Times New Roman"/>
        </w:rPr>
        <w:t>施工活动采取水中桩基施工会占用河道，由于现状</w:t>
      </w:r>
      <w:r>
        <w:rPr>
          <w:rFonts w:cs="Times New Roman"/>
        </w:rPr>
        <w:t>工程穿越河段的</w:t>
      </w:r>
      <w:r>
        <w:rPr>
          <w:rFonts w:cs="Times New Roman"/>
        </w:rPr>
        <w:t>突来买提河、喀什噶尔河、柯坪河属于季节性河流，可选择在枯水期施工，设置钢围堰后会引起上游水位发生小幅度的壅水，局部水流受桥墩压缩作用，流速及流矢方向有所改变，但对工程段河道流</w:t>
      </w:r>
      <w:r>
        <w:rPr>
          <w:rFonts w:cs="Times New Roman"/>
        </w:rPr>
        <w:t>速整体影响不大。施工结束后，围堰施工对水文情势的影响也随之消失。</w:t>
      </w:r>
    </w:p>
    <w:p w:rsidR="00A46452" w:rsidRDefault="009A3928">
      <w:pPr>
        <w:wordWrap w:val="0"/>
        <w:topLinePunct/>
        <w:ind w:firstLine="482"/>
        <w:rPr>
          <w:rFonts w:cs="Times New Roman"/>
        </w:rPr>
      </w:pPr>
      <w:r>
        <w:rPr>
          <w:rFonts w:cs="Times New Roman"/>
          <w:b/>
          <w:bCs/>
        </w:rPr>
        <w:t>4.</w:t>
      </w:r>
      <w:r>
        <w:rPr>
          <w:rFonts w:cs="Times New Roman"/>
          <w:b/>
          <w:bCs/>
        </w:rPr>
        <w:t>施工机械漏油对河流水质的影响</w:t>
      </w:r>
    </w:p>
    <w:p w:rsidR="00A46452" w:rsidRDefault="009A3928">
      <w:pPr>
        <w:wordWrap w:val="0"/>
        <w:topLinePunct/>
        <w:ind w:firstLine="480"/>
        <w:rPr>
          <w:rFonts w:cs="Times New Roman"/>
        </w:rPr>
      </w:pPr>
      <w:r>
        <w:rPr>
          <w:rFonts w:cs="Times New Roman"/>
        </w:rPr>
        <w:t>施工废油也可造成水体污染。在桥梁上部结构现场浇筑工艺过程中，要使用大量模板和机械油料，如机械油料泄漏或将使用后的废油直接弃入水体，会使水环境中石油类等水质指标值增加，造成水体质量下降。因此，无论在桥梁下部结构钻孔机械作业，还是在上部结构的现场浇筑过程中，应避免将施工废渣、废油、废水等弃入水体。同时，桥梁施工作业完毕后，要清理施工现场，以防施工废料等随雨水进入河中。同时应加强管理，施工材料如沥青、油料、化学品等</w:t>
      </w:r>
      <w:r>
        <w:rPr>
          <w:rFonts w:cs="Times New Roman"/>
        </w:rPr>
        <w:t>的堆放地点应远离河床，并备有临时遮挡的帆布，防止雨水冲刷。废弃机械油料和废油要及时回收后进行处理，遗漏在土壤中的机械油料和废油要回收并按照《危险废物贮存污染控制标准》（</w:t>
      </w:r>
      <w:r>
        <w:rPr>
          <w:rFonts w:cs="Times New Roman"/>
        </w:rPr>
        <w:t>GB18597-2023</w:t>
      </w:r>
      <w:r>
        <w:rPr>
          <w:rFonts w:cs="Times New Roman"/>
        </w:rPr>
        <w:t>）进行临时储存，然后交由具有危险品回收及处置资质的单位进行处理。</w:t>
      </w:r>
    </w:p>
    <w:p w:rsidR="00A46452" w:rsidRDefault="009A3928">
      <w:pPr>
        <w:wordWrap w:val="0"/>
        <w:topLinePunct/>
        <w:ind w:firstLine="480"/>
        <w:rPr>
          <w:rFonts w:cs="Times New Roman"/>
        </w:rPr>
      </w:pPr>
      <w:r>
        <w:rPr>
          <w:rFonts w:cs="Times New Roman"/>
        </w:rPr>
        <w:t>总之，在桥梁施工过程中，采取严格按照桥梁施工规范施工、对施工机械和施工场地加强现场管理等措施，可避免和减缓桥梁施工对沿线地表水的环境污染。环评要求跨越河桥梁涉水桥墩施工时，选择在枯水期进行，涉水工程（桥梁的涉水桥墩和边坡的涉水基底）施工前期通过围堰形式避</w:t>
      </w:r>
      <w:r>
        <w:rPr>
          <w:rFonts w:cs="Times New Roman"/>
        </w:rPr>
        <w:t>免工程与河水直接接触。在桥梁施工过程中对主要施工工序提出以下要求：</w:t>
      </w:r>
    </w:p>
    <w:p w:rsidR="00A46452" w:rsidRDefault="009A3928">
      <w:pPr>
        <w:wordWrap w:val="0"/>
        <w:topLinePunct/>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钻孔施工</w:t>
      </w:r>
    </w:p>
    <w:p w:rsidR="00A46452" w:rsidRDefault="009A3928">
      <w:pPr>
        <w:wordWrap w:val="0"/>
        <w:topLinePunct/>
        <w:ind w:firstLine="480"/>
        <w:rPr>
          <w:rFonts w:cs="Times New Roman"/>
        </w:rPr>
      </w:pPr>
      <w:r>
        <w:rPr>
          <w:rFonts w:cs="Times New Roman"/>
        </w:rPr>
        <w:t>在钻孔过程中与地表水体不发生直接关系，但会产生废弃的钻渣、泥浆水，要求施工时集中收集堆放至沉淀池中，清出的沉淀物运至临时堆渣场集中堆放，堆渣场存放地点必须与当地生态环境局、水利局等有关部门协商选址，应在设在河岸上、河流淹没范围外并采取一定的拦挡、防渗防护措施，并及时清运至弃土场，防止钻渣进入水体，从而避免对河流水质的影响。</w:t>
      </w:r>
    </w:p>
    <w:p w:rsidR="00A46452" w:rsidRDefault="009A3928">
      <w:pPr>
        <w:wordWrap w:val="0"/>
        <w:topLinePunct/>
        <w:ind w:firstLine="480"/>
        <w:rPr>
          <w:rFonts w:cs="Times New Roman"/>
        </w:rPr>
      </w:pPr>
      <w:r>
        <w:rPr>
          <w:rFonts w:cs="Times New Roman"/>
        </w:rPr>
        <w:t>②</w:t>
      </w:r>
      <w:r>
        <w:rPr>
          <w:rFonts w:cs="Times New Roman"/>
        </w:rPr>
        <w:t>清孔施工</w:t>
      </w:r>
    </w:p>
    <w:p w:rsidR="00A46452" w:rsidRDefault="009A3928">
      <w:pPr>
        <w:wordWrap w:val="0"/>
        <w:topLinePunct/>
        <w:ind w:firstLine="480"/>
        <w:rPr>
          <w:rFonts w:cs="Times New Roman"/>
        </w:rPr>
      </w:pPr>
      <w:r>
        <w:rPr>
          <w:rFonts w:cs="Times New Roman"/>
        </w:rPr>
        <w:t>钻孔达到要求深度和满足质量要求后，即进行清孔工序。所清出的钻渣或</w:t>
      </w:r>
      <w:r>
        <w:rPr>
          <w:rFonts w:cs="Times New Roman"/>
        </w:rPr>
        <w:t>泥浆水均不得倾入地表水体中，应当运至沉淀池中处理，废渣集中拉运至弃土场。</w:t>
      </w:r>
    </w:p>
    <w:p w:rsidR="00A46452" w:rsidRDefault="009A3928">
      <w:pPr>
        <w:wordWrap w:val="0"/>
        <w:topLinePunct/>
        <w:ind w:firstLine="480"/>
        <w:rPr>
          <w:rFonts w:cs="Times New Roman"/>
        </w:rPr>
      </w:pPr>
      <w:r>
        <w:rPr>
          <w:rFonts w:cs="Times New Roman"/>
        </w:rPr>
        <w:t>③</w:t>
      </w:r>
      <w:r>
        <w:rPr>
          <w:rFonts w:cs="Times New Roman"/>
        </w:rPr>
        <w:t>吊放钢筋骨架施工</w:t>
      </w:r>
    </w:p>
    <w:p w:rsidR="00A46452" w:rsidRDefault="009A3928">
      <w:pPr>
        <w:wordWrap w:val="0"/>
        <w:topLinePunct/>
        <w:ind w:firstLine="480"/>
        <w:rPr>
          <w:rFonts w:cs="Times New Roman"/>
        </w:rPr>
      </w:pPr>
      <w:r>
        <w:rPr>
          <w:rFonts w:cs="Times New Roman"/>
        </w:rPr>
        <w:t>将符合工程质量要求的整体制作或分节制作的钢筋骨架，用机械设备吊放进已经清孔的钻孔内，此道工序也是限制在钻孔内进行，因此，对地表水质不会产生负面影响。</w:t>
      </w:r>
    </w:p>
    <w:p w:rsidR="00A46452" w:rsidRDefault="009A3928">
      <w:pPr>
        <w:wordWrap w:val="0"/>
        <w:topLinePunct/>
        <w:ind w:firstLine="480"/>
        <w:rPr>
          <w:rFonts w:cs="Times New Roman"/>
        </w:rPr>
      </w:pPr>
      <w:r>
        <w:rPr>
          <w:rFonts w:cs="Times New Roman"/>
        </w:rPr>
        <w:t>④</w:t>
      </w:r>
      <w:r>
        <w:rPr>
          <w:rFonts w:cs="Times New Roman"/>
        </w:rPr>
        <w:t>灌注混凝土</w:t>
      </w:r>
    </w:p>
    <w:p w:rsidR="00A46452" w:rsidRDefault="009A3928">
      <w:pPr>
        <w:wordWrap w:val="0"/>
        <w:topLinePunct/>
        <w:ind w:firstLine="480"/>
        <w:rPr>
          <w:rFonts w:cs="Times New Roman"/>
        </w:rPr>
      </w:pPr>
      <w:r>
        <w:rPr>
          <w:rFonts w:cs="Times New Roman"/>
        </w:rPr>
        <w:t>将符合设计配合比要求的混凝土拌和物，通过刚性导管进行灌注。在灌注过程中，应将井孔内溢出的泥浆引流至沉淀池中，防止污染河道水质。项目设置有混凝土拌和站施工区，通过罐车拉运大桥桥址处进行灌注，不会对地表水质产生污染。</w:t>
      </w:r>
    </w:p>
    <w:p w:rsidR="00A46452" w:rsidRDefault="009A3928">
      <w:pPr>
        <w:wordWrap w:val="0"/>
        <w:topLinePunct/>
        <w:ind w:firstLine="480"/>
        <w:rPr>
          <w:rFonts w:cs="Times New Roman"/>
        </w:rPr>
      </w:pPr>
      <w:r>
        <w:rPr>
          <w:rFonts w:cs="Times New Roman"/>
        </w:rPr>
        <w:t>综合上述，环评要求对泥浆水和废渣严格处置</w:t>
      </w:r>
      <w:r>
        <w:rPr>
          <w:rFonts w:cs="Times New Roman"/>
        </w:rPr>
        <w:t>，严禁排入地表水体，同时加强桥梁施工管理，在桥梁施工期间，堆放的作业场、物料堆场的施工材料（如沥青、油料、化学品及一些粉末状材料等）。若保管不善或受暴雨冲刷等原因进入水体，将会引起水体污染；废弃建材堆场的残留物随地表径流进入水体也会造成水污染。粉状物料的堆场若没有严格的遮挡、掩盖等措施，将会随风起尘，从而污染水体。这些建材堆场的设置应远离周边水体，并且需要采取遮挡、掩盖等措施防止径流冲刷。</w:t>
      </w:r>
    </w:p>
    <w:p w:rsidR="00A46452" w:rsidRDefault="009A3928">
      <w:pPr>
        <w:wordWrap w:val="0"/>
        <w:topLinePunct/>
        <w:ind w:firstLine="482"/>
        <w:rPr>
          <w:rFonts w:cs="Times New Roman"/>
          <w:b/>
          <w:bCs/>
        </w:rPr>
      </w:pPr>
      <w:r>
        <w:rPr>
          <w:rFonts w:cs="Times New Roman"/>
          <w:b/>
          <w:bCs/>
        </w:rPr>
        <w:t>5.</w:t>
      </w:r>
      <w:r>
        <w:rPr>
          <w:rFonts w:cs="Times New Roman"/>
          <w:b/>
          <w:bCs/>
        </w:rPr>
        <w:t>涵洞施工的废水影响</w:t>
      </w:r>
    </w:p>
    <w:p w:rsidR="00A46452" w:rsidRDefault="009A3928">
      <w:pPr>
        <w:wordWrap w:val="0"/>
        <w:topLinePunct/>
        <w:ind w:firstLine="480"/>
        <w:rPr>
          <w:rFonts w:cs="Times New Roman"/>
        </w:rPr>
      </w:pPr>
      <w:r>
        <w:rPr>
          <w:rFonts w:cs="Times New Roman"/>
        </w:rPr>
        <w:t>本工程涵洞主要保证拟建公路沿线通畅。因此为避免拆除物落入水体，造成悬浮物污染，因此涵洞施工在非</w:t>
      </w:r>
      <w:r>
        <w:rPr>
          <w:rFonts w:cs="Times New Roman"/>
        </w:rPr>
        <w:t>灌溉期进行，并由管理部门关闭上游水闸，严格规范筑路材料堆放，明确施工范围，严格进行施工现场管理，杜绝各类施工废水、废渣弃入农灌渠中，因此涵洞施工对地表水水质影响较小。</w:t>
      </w:r>
    </w:p>
    <w:p w:rsidR="00A46452" w:rsidRDefault="009A3928">
      <w:pPr>
        <w:wordWrap w:val="0"/>
        <w:topLinePunct/>
        <w:ind w:firstLine="482"/>
        <w:rPr>
          <w:rFonts w:cs="Times New Roman"/>
          <w:b/>
          <w:bCs/>
        </w:rPr>
      </w:pPr>
      <w:r>
        <w:rPr>
          <w:rFonts w:cs="Times New Roman"/>
          <w:b/>
          <w:bCs/>
        </w:rPr>
        <w:t>6.</w:t>
      </w:r>
      <w:r>
        <w:rPr>
          <w:rFonts w:cs="Times New Roman"/>
          <w:b/>
          <w:bCs/>
        </w:rPr>
        <w:t>施工期对水生生态影响分析</w:t>
      </w:r>
    </w:p>
    <w:p w:rsidR="00A46452" w:rsidRDefault="009A3928">
      <w:pPr>
        <w:wordWrap w:val="0"/>
        <w:topLinePunct/>
        <w:ind w:firstLine="480"/>
        <w:rPr>
          <w:rFonts w:cs="Times New Roman"/>
        </w:rPr>
      </w:pPr>
      <w:r>
        <w:rPr>
          <w:rFonts w:cs="Times New Roman"/>
        </w:rPr>
        <w:t>地表水体桥梁施工时，涉水桥墩施工宜选择在枯水期及非灌溉季节进行，可避免施工前期工程与河水、渠水直接接触。根据调查，本工程跨越的河流一般在</w:t>
      </w:r>
      <w:r>
        <w:rPr>
          <w:rFonts w:cs="Times New Roman"/>
        </w:rPr>
        <w:t>6</w:t>
      </w:r>
      <w:r>
        <w:rPr>
          <w:rFonts w:cs="Times New Roman"/>
        </w:rPr>
        <w:t>月</w:t>
      </w:r>
      <w:r>
        <w:rPr>
          <w:rFonts w:cs="Times New Roman"/>
        </w:rPr>
        <w:t>~9</w:t>
      </w:r>
      <w:r>
        <w:rPr>
          <w:rFonts w:cs="Times New Roman"/>
        </w:rPr>
        <w:t>月丰水期，枯水期为</w:t>
      </w:r>
      <w:r>
        <w:rPr>
          <w:rFonts w:cs="Times New Roman"/>
        </w:rPr>
        <w:t>10</w:t>
      </w:r>
      <w:r>
        <w:rPr>
          <w:rFonts w:cs="Times New Roman"/>
        </w:rPr>
        <w:t>月至次年</w:t>
      </w:r>
      <w:r>
        <w:rPr>
          <w:rFonts w:cs="Times New Roman"/>
        </w:rPr>
        <w:t>5</w:t>
      </w:r>
      <w:r>
        <w:rPr>
          <w:rFonts w:cs="Times New Roman"/>
        </w:rPr>
        <w:t>月，共计</w:t>
      </w:r>
      <w:r>
        <w:rPr>
          <w:rFonts w:cs="Times New Roman"/>
        </w:rPr>
        <w:t>10</w:t>
      </w:r>
      <w:r>
        <w:rPr>
          <w:rFonts w:cs="Times New Roman"/>
        </w:rPr>
        <w:t>个月。跨越河流河及干渠的桥梁施工期应选择枯水期，因此桥梁施工过程中，河道基本处于断流无水状态，同时采取先进桥梁施工工艺，河道桥</w:t>
      </w:r>
      <w:r>
        <w:rPr>
          <w:rFonts w:cs="Times New Roman"/>
        </w:rPr>
        <w:t>梁施工对水生生态影响较小。</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7.3.1.2</w:t>
      </w:r>
      <w:r>
        <w:rPr>
          <w:rFonts w:cs="Times New Roman" w:hint="default"/>
          <w:iCs/>
        </w:rPr>
        <w:t>路基、站场工程施工水环境影响评价</w:t>
      </w:r>
    </w:p>
    <w:p w:rsidR="00A46452" w:rsidRDefault="009A3928">
      <w:pPr>
        <w:wordWrap w:val="0"/>
        <w:topLinePunct/>
        <w:ind w:firstLine="482"/>
        <w:rPr>
          <w:rFonts w:cs="Times New Roman"/>
          <w:b/>
          <w:bCs/>
        </w:rPr>
      </w:pPr>
      <w:r>
        <w:rPr>
          <w:rFonts w:cs="Times New Roman"/>
          <w:b/>
          <w:bCs/>
        </w:rPr>
        <w:t>1</w:t>
      </w:r>
      <w:r>
        <w:rPr>
          <w:rFonts w:cs="Times New Roman"/>
          <w:b/>
          <w:bCs/>
        </w:rPr>
        <w:t>、路基、站场工程施工水环境影响</w:t>
      </w:r>
    </w:p>
    <w:p w:rsidR="00A46452" w:rsidRDefault="009A3928">
      <w:pPr>
        <w:wordWrap w:val="0"/>
        <w:topLinePunct/>
        <w:ind w:firstLine="480"/>
        <w:rPr>
          <w:rFonts w:cs="Times New Roman"/>
        </w:rPr>
      </w:pPr>
      <w:r>
        <w:rPr>
          <w:rFonts w:cs="Times New Roman"/>
        </w:rPr>
        <w:t>路基、站场工程施工将破坏地表，产生取、弃土，遇雨将产生水土流失，进入水体增加水体泥沙含量。</w:t>
      </w:r>
    </w:p>
    <w:p w:rsidR="00A46452" w:rsidRDefault="009A3928">
      <w:pPr>
        <w:wordWrap w:val="0"/>
        <w:topLinePunct/>
        <w:ind w:firstLine="482"/>
        <w:rPr>
          <w:rFonts w:cs="Times New Roman"/>
          <w:b/>
          <w:bCs/>
        </w:rPr>
      </w:pPr>
      <w:r>
        <w:rPr>
          <w:rFonts w:cs="Times New Roman"/>
          <w:b/>
          <w:bCs/>
        </w:rPr>
        <w:t>2</w:t>
      </w:r>
      <w:r>
        <w:rPr>
          <w:rFonts w:cs="Times New Roman"/>
          <w:b/>
          <w:bCs/>
        </w:rPr>
        <w:t>、路基、站场工程施工期水环境保护措施</w:t>
      </w:r>
    </w:p>
    <w:p w:rsidR="00A46452" w:rsidRDefault="009A3928">
      <w:pPr>
        <w:wordWrap w:val="0"/>
        <w:topLinePunct/>
        <w:ind w:firstLine="480"/>
        <w:rPr>
          <w:rFonts w:cs="Times New Roman"/>
        </w:rPr>
      </w:pPr>
      <w:r>
        <w:rPr>
          <w:rFonts w:cs="Times New Roman"/>
        </w:rPr>
        <w:t>对路基、站场边坡及取弃土场设置临时苫盖、拦挡、排水沟及沉砂池等截排水设施，避免高浊度含泥水进入水体。</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7.3.1.3</w:t>
      </w:r>
      <w:r>
        <w:rPr>
          <w:rFonts w:cs="Times New Roman" w:hint="default"/>
          <w:iCs/>
        </w:rPr>
        <w:t>施工场地水环境影响评价</w:t>
      </w:r>
    </w:p>
    <w:p w:rsidR="00A46452" w:rsidRDefault="009A3928" w:rsidP="00182EED">
      <w:pPr>
        <w:pStyle w:val="a5"/>
        <w:wordWrap w:val="0"/>
        <w:topLinePunct/>
        <w:ind w:firstLine="480"/>
        <w:rPr>
          <w:rFonts w:cs="Times New Roman" w:hint="default"/>
        </w:rPr>
      </w:pPr>
      <w:r>
        <w:rPr>
          <w:rFonts w:cs="Times New Roman" w:hint="default"/>
        </w:rPr>
        <w:t>1</w:t>
      </w:r>
      <w:r>
        <w:rPr>
          <w:rFonts w:cs="Times New Roman" w:hint="default"/>
        </w:rPr>
        <w:t>、水环境影响分析</w:t>
      </w:r>
    </w:p>
    <w:p w:rsidR="00A46452" w:rsidRDefault="009A3928">
      <w:pPr>
        <w:wordWrap w:val="0"/>
        <w:topLinePunct/>
        <w:ind w:firstLine="480"/>
        <w:rPr>
          <w:rFonts w:cs="Times New Roman"/>
        </w:rPr>
      </w:pPr>
      <w:r>
        <w:rPr>
          <w:rFonts w:cs="Times New Roman"/>
        </w:rPr>
        <w:t>施工场地废水主要包括混凝土拌和站废水、预制场养护废水和清洗机械、车辆等产生的含油污水。</w:t>
      </w:r>
    </w:p>
    <w:p w:rsidR="00A46452" w:rsidRDefault="009A3928">
      <w:pPr>
        <w:wordWrap w:val="0"/>
        <w:topLinePunct/>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冲洗废水及含油废水</w:t>
      </w:r>
    </w:p>
    <w:p w:rsidR="00A46452" w:rsidRDefault="009A3928">
      <w:pPr>
        <w:wordWrap w:val="0"/>
        <w:topLinePunct/>
        <w:ind w:firstLine="480"/>
        <w:rPr>
          <w:rFonts w:cs="Times New Roman"/>
        </w:rPr>
      </w:pPr>
      <w:r>
        <w:rPr>
          <w:rFonts w:cs="Times New Roman"/>
        </w:rPr>
        <w:t>施工过程中的含油废水主要是机械设备和运输车辆维修产生的废油、冲洗过程中产生的含油废水。本项目机械及车辆维修依托周边县市的社会资源，施工站场、营地不设机械维修站，无维修废油产生。</w:t>
      </w:r>
    </w:p>
    <w:p w:rsidR="00A46452" w:rsidRDefault="009A3928">
      <w:pPr>
        <w:wordWrap w:val="0"/>
        <w:topLinePunct/>
        <w:ind w:firstLine="480"/>
        <w:rPr>
          <w:rFonts w:cs="Times New Roman"/>
        </w:rPr>
      </w:pPr>
      <w:r>
        <w:rPr>
          <w:rFonts w:cs="Times New Roman"/>
        </w:rPr>
        <w:t>工区冲洗点对施工机械、设备、车辆等进行冲洗作业时会产生冲洗废水，冲洗废水具有悬浮物含量高、水量小、间歇集中并含有少量石油类等特点。工区施工机械、车辆存在跑、冒、滴、漏时，也会产生少量含油废水。</w:t>
      </w:r>
    </w:p>
    <w:p w:rsidR="00A46452" w:rsidRDefault="009A3928">
      <w:pPr>
        <w:wordWrap w:val="0"/>
        <w:topLinePunct/>
        <w:ind w:firstLine="480"/>
        <w:rPr>
          <w:rFonts w:cs="Times New Roman"/>
        </w:rPr>
      </w:pPr>
      <w:r>
        <w:rPr>
          <w:rFonts w:cs="Times New Roman"/>
        </w:rPr>
        <w:t>这类废水主要集中在施工场地出入口冲洗点。综合站场内均分别设置</w:t>
      </w:r>
      <w:r>
        <w:rPr>
          <w:rFonts w:cs="Times New Roman"/>
        </w:rPr>
        <w:t>1</w:t>
      </w:r>
      <w:r>
        <w:rPr>
          <w:rFonts w:cs="Times New Roman"/>
        </w:rPr>
        <w:t>座有效容积不低于</w:t>
      </w:r>
      <w:r>
        <w:rPr>
          <w:rFonts w:cs="Times New Roman"/>
        </w:rPr>
        <w:t>5m</w:t>
      </w:r>
      <w:r>
        <w:rPr>
          <w:rFonts w:cs="Times New Roman"/>
          <w:vertAlign w:val="superscript"/>
        </w:rPr>
        <w:t>3</w:t>
      </w:r>
      <w:r>
        <w:rPr>
          <w:rFonts w:cs="Times New Roman"/>
        </w:rPr>
        <w:t>的隔</w:t>
      </w:r>
      <w:r>
        <w:rPr>
          <w:rFonts w:cs="Times New Roman"/>
        </w:rPr>
        <w:t>油沉淀池对含油废水进行收集，经沉淀、隔油处理后泼洒降尘，严禁排入地表水体，可以有效降低对区域环境的不利影响。</w:t>
      </w:r>
    </w:p>
    <w:p w:rsidR="00A46452" w:rsidRDefault="009A3928">
      <w:pPr>
        <w:wordWrap w:val="0"/>
        <w:topLinePunct/>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构件预制场混凝土搅拌生产废水</w:t>
      </w:r>
    </w:p>
    <w:p w:rsidR="00A46452" w:rsidRDefault="009A3928">
      <w:pPr>
        <w:wordWrap w:val="0"/>
        <w:topLinePunct/>
        <w:ind w:firstLine="480"/>
        <w:rPr>
          <w:rFonts w:cs="Times New Roman"/>
        </w:rPr>
      </w:pPr>
      <w:r>
        <w:rPr>
          <w:rFonts w:cs="Times New Roman"/>
        </w:rPr>
        <w:t>构件预制场和</w:t>
      </w:r>
      <w:r>
        <w:rPr>
          <w:rFonts w:cs="Times New Roman"/>
        </w:rPr>
        <w:t>拌和站</w:t>
      </w:r>
      <w:r>
        <w:rPr>
          <w:rFonts w:cs="Times New Roman"/>
        </w:rPr>
        <w:t>用于制造桥涵等工程所需的各种规格的预制构件及路面工程基层水泥稳定碎石的</w:t>
      </w:r>
      <w:r>
        <w:rPr>
          <w:rFonts w:cs="Times New Roman"/>
        </w:rPr>
        <w:t>拌和</w:t>
      </w:r>
      <w:r>
        <w:rPr>
          <w:rFonts w:cs="Times New Roman"/>
        </w:rPr>
        <w:t>，在搅拌混凝土的生产过程及制作预制构件时会有废水产生，混凝土搅拌筒和料罐的冲洗废水是主要污染源。混凝土生产废水具有悬浮物浓度高、水量小、间歇集中排放等特点。</w:t>
      </w:r>
    </w:p>
    <w:p w:rsidR="00A46452" w:rsidRDefault="009A3928">
      <w:pPr>
        <w:wordWrap w:val="0"/>
        <w:topLinePunct/>
        <w:ind w:firstLine="480"/>
        <w:rPr>
          <w:rFonts w:cs="Times New Roman"/>
        </w:rPr>
      </w:pPr>
      <w:r>
        <w:rPr>
          <w:rFonts w:cs="Times New Roman"/>
        </w:rPr>
        <w:t>根据工程设计及水保资料，本项目设置</w:t>
      </w:r>
      <w:r>
        <w:rPr>
          <w:rFonts w:cs="Times New Roman"/>
        </w:rPr>
        <w:t>3</w:t>
      </w:r>
      <w:r>
        <w:rPr>
          <w:rFonts w:cs="Times New Roman"/>
        </w:rPr>
        <w:t>处综合站场内均有预制场</w:t>
      </w:r>
      <w:r>
        <w:rPr>
          <w:rFonts w:cs="Times New Roman"/>
        </w:rPr>
        <w:t>、</w:t>
      </w:r>
      <w:r>
        <w:rPr>
          <w:rFonts w:cs="Times New Roman"/>
        </w:rPr>
        <w:t>混凝土</w:t>
      </w:r>
      <w:r>
        <w:rPr>
          <w:rFonts w:cs="Times New Roman"/>
        </w:rPr>
        <w:t>拌和站</w:t>
      </w:r>
      <w:r>
        <w:rPr>
          <w:rFonts w:cs="Times New Roman"/>
        </w:rPr>
        <w:t>）。根据有关资料，</w:t>
      </w:r>
      <w:r>
        <w:rPr>
          <w:rFonts w:cs="Times New Roman"/>
        </w:rPr>
        <w:t>混凝土</w:t>
      </w:r>
      <w:r>
        <w:rPr>
          <w:rFonts w:cs="Times New Roman"/>
        </w:rPr>
        <w:t>搅拌筒</w:t>
      </w:r>
      <w:r>
        <w:rPr>
          <w:rFonts w:cs="Times New Roman"/>
        </w:rPr>
        <w:t>和料罐每次冲洗生产的污水量约</w:t>
      </w:r>
      <w:r>
        <w:rPr>
          <w:rFonts w:cs="Times New Roman"/>
        </w:rPr>
        <w:t>0.5m</w:t>
      </w:r>
      <w:r>
        <w:rPr>
          <w:rFonts w:cs="Times New Roman"/>
          <w:vertAlign w:val="superscript"/>
        </w:rPr>
        <w:t>3</w:t>
      </w:r>
      <w:r>
        <w:rPr>
          <w:rFonts w:cs="Times New Roman"/>
        </w:rPr>
        <w:t>，</w:t>
      </w:r>
      <w:r>
        <w:rPr>
          <w:rFonts w:cs="Times New Roman"/>
        </w:rPr>
        <w:t>SS</w:t>
      </w:r>
      <w:r>
        <w:rPr>
          <w:rFonts w:cs="Times New Roman"/>
        </w:rPr>
        <w:t>浓度约</w:t>
      </w:r>
      <w:r>
        <w:rPr>
          <w:rFonts w:cs="Times New Roman"/>
        </w:rPr>
        <w:t>5000mg/L</w:t>
      </w:r>
      <w:r>
        <w:rPr>
          <w:rFonts w:cs="Times New Roman"/>
        </w:rPr>
        <w:t>，</w:t>
      </w:r>
      <w:r>
        <w:rPr>
          <w:rFonts w:cs="Times New Roman"/>
        </w:rPr>
        <w:t>pH</w:t>
      </w:r>
      <w:r>
        <w:rPr>
          <w:rFonts w:cs="Times New Roman"/>
        </w:rPr>
        <w:t>值在</w:t>
      </w:r>
      <w:r>
        <w:rPr>
          <w:rFonts w:cs="Times New Roman"/>
        </w:rPr>
        <w:t>12</w:t>
      </w:r>
      <w:r>
        <w:rPr>
          <w:rFonts w:cs="Times New Roman"/>
        </w:rPr>
        <w:t>左右，混凝土</w:t>
      </w:r>
      <w:r>
        <w:rPr>
          <w:rFonts w:cs="Times New Roman"/>
        </w:rPr>
        <w:t>拌和站</w:t>
      </w:r>
      <w:r>
        <w:rPr>
          <w:rFonts w:cs="Times New Roman"/>
        </w:rPr>
        <w:t>和预制场产生的生产废水需要设沉淀池集中处理，处理后的尾水回用，不得直接排放。</w:t>
      </w:r>
    </w:p>
    <w:p w:rsidR="00A46452" w:rsidRDefault="009A3928">
      <w:pPr>
        <w:wordWrap w:val="0"/>
        <w:topLinePunct/>
        <w:ind w:firstLine="480"/>
        <w:rPr>
          <w:rFonts w:cs="Times New Roman"/>
        </w:rPr>
      </w:pPr>
      <w:r>
        <w:rPr>
          <w:rFonts w:cs="Times New Roman"/>
        </w:rPr>
        <w:t>环评要求构件预制场混凝土搅拌场内设置多级沉淀池，对搅拌车冲洗废水进行沉淀处理，沉淀后的废水回用，用于场地冲洗。同时，场地内设置有导水沟，冲洗水部分蒸发，剩余冲洗水经导水沟进入沉淀池。因此，搅拌站废水均经沉淀处理回用，不外排。对于沉淀池内的沉积物，定期清掏清运，确保多级沉淀池的正常运行。</w:t>
      </w:r>
    </w:p>
    <w:p w:rsidR="00A46452" w:rsidRDefault="009A3928">
      <w:pPr>
        <w:wordWrap w:val="0"/>
        <w:topLinePunct/>
        <w:ind w:firstLine="480"/>
        <w:rPr>
          <w:rFonts w:cs="Times New Roman"/>
        </w:rPr>
      </w:pPr>
      <w:r>
        <w:rPr>
          <w:rFonts w:cs="Times New Roman"/>
        </w:rPr>
        <w:t>另外，施工区内含有毒物质的材料如沥青、油料、化学品物质等如保管不善被暴雨冲刷进入地表，会对土壤造成较大危害，施工开始前先挖两侧的排水沟，保证路面径流不会影响到土壤环境，项目应加强管理，施工材料如沥青、油料、化学品等的堆放地点应集中堆放，并备有临时遮挡的帆布，防止雨水冲刷。</w:t>
      </w:r>
    </w:p>
    <w:p w:rsidR="00A46452" w:rsidRDefault="009A3928">
      <w:pPr>
        <w:wordWrap w:val="0"/>
        <w:topLinePunct/>
        <w:ind w:firstLine="480"/>
        <w:rPr>
          <w:rFonts w:cs="Times New Roman"/>
        </w:rPr>
      </w:pPr>
      <w:r>
        <w:rPr>
          <w:rFonts w:cs="Times New Roman"/>
        </w:rPr>
        <w:t>综上，项目施工期生产废水、生活污水不会对区域地表水环境造成污染影响。</w:t>
      </w:r>
    </w:p>
    <w:p w:rsidR="00A46452" w:rsidRDefault="009A3928">
      <w:pPr>
        <w:wordWrap w:val="0"/>
        <w:topLinePunct/>
        <w:ind w:firstLine="480"/>
        <w:rPr>
          <w:rFonts w:cs="Times New Roman"/>
        </w:rPr>
      </w:pPr>
      <w:bookmarkStart w:id="288" w:name="_Toc98413559"/>
      <w:bookmarkStart w:id="289" w:name="_Toc57826759"/>
      <w:bookmarkStart w:id="290" w:name="_Toc34989598"/>
      <w:bookmarkStart w:id="291" w:name="_Toc97464664"/>
      <w:bookmarkStart w:id="292" w:name="_Toc98414241"/>
      <w:r>
        <w:rPr>
          <w:rFonts w:cs="Times New Roman"/>
        </w:rPr>
        <w:t>（</w:t>
      </w:r>
      <w:r>
        <w:rPr>
          <w:rFonts w:cs="Times New Roman"/>
        </w:rPr>
        <w:t>2</w:t>
      </w:r>
      <w:r>
        <w:rPr>
          <w:rFonts w:cs="Times New Roman"/>
        </w:rPr>
        <w:t>）生活污水</w:t>
      </w:r>
    </w:p>
    <w:p w:rsidR="00A46452" w:rsidRDefault="009A3928">
      <w:pPr>
        <w:wordWrap w:val="0"/>
        <w:topLinePunct/>
        <w:ind w:firstLine="480"/>
        <w:rPr>
          <w:rFonts w:cs="Times New Roman"/>
        </w:rPr>
      </w:pPr>
      <w:r>
        <w:rPr>
          <w:rFonts w:cs="Times New Roman"/>
        </w:rPr>
        <w:t>施工区生活污水来源于施工营地，由施工人员就餐和洗涤产生的污水及粪便水，主要含</w:t>
      </w:r>
      <w:r>
        <w:rPr>
          <w:rFonts w:cs="Times New Roman"/>
        </w:rPr>
        <w:t>COD</w:t>
      </w:r>
      <w:r>
        <w:rPr>
          <w:rFonts w:cs="Times New Roman"/>
        </w:rPr>
        <w:t>、</w:t>
      </w:r>
      <w:r>
        <w:rPr>
          <w:rFonts w:cs="Times New Roman"/>
        </w:rPr>
        <w:t>SS</w:t>
      </w:r>
      <w:r>
        <w:rPr>
          <w:rFonts w:cs="Times New Roman"/>
        </w:rPr>
        <w:t>、氨氮、</w:t>
      </w:r>
      <w:r>
        <w:rPr>
          <w:rFonts w:cs="Times New Roman"/>
        </w:rPr>
        <w:t>SS</w:t>
      </w:r>
      <w:r>
        <w:rPr>
          <w:rFonts w:cs="Times New Roman"/>
        </w:rPr>
        <w:t>、和动植物油等。本项目常驻施工人员约为</w:t>
      </w:r>
      <w:r>
        <w:rPr>
          <w:rFonts w:cs="Times New Roman"/>
        </w:rPr>
        <w:t>100</w:t>
      </w:r>
      <w:r>
        <w:rPr>
          <w:rFonts w:cs="Times New Roman"/>
        </w:rPr>
        <w:t>人</w:t>
      </w:r>
      <w:r>
        <w:rPr>
          <w:rFonts w:cs="Times New Roman"/>
        </w:rPr>
        <w:t>/d</w:t>
      </w:r>
      <w:r>
        <w:rPr>
          <w:rFonts w:cs="Times New Roman"/>
        </w:rPr>
        <w:t>，</w:t>
      </w:r>
      <w:r>
        <w:rPr>
          <w:rFonts w:cs="Times New Roman"/>
        </w:rPr>
        <w:t>设</w:t>
      </w:r>
      <w:r>
        <w:rPr>
          <w:rFonts w:cs="Times New Roman"/>
        </w:rPr>
        <w:t>3</w:t>
      </w:r>
      <w:r>
        <w:rPr>
          <w:rFonts w:cs="Times New Roman"/>
        </w:rPr>
        <w:t>处施工</w:t>
      </w:r>
      <w:r>
        <w:rPr>
          <w:rFonts w:cs="Times New Roman"/>
        </w:rPr>
        <w:t>驻地</w:t>
      </w:r>
      <w:r>
        <w:rPr>
          <w:rFonts w:cs="Times New Roman"/>
        </w:rPr>
        <w:t>，每处施工</w:t>
      </w:r>
      <w:r>
        <w:rPr>
          <w:rFonts w:cs="Times New Roman"/>
        </w:rPr>
        <w:t>驻</w:t>
      </w:r>
      <w:r>
        <w:rPr>
          <w:rFonts w:cs="Times New Roman"/>
        </w:rPr>
        <w:t>地约有</w:t>
      </w:r>
      <w:r>
        <w:rPr>
          <w:rFonts w:cs="Times New Roman"/>
        </w:rPr>
        <w:t>3</w:t>
      </w:r>
      <w:r>
        <w:rPr>
          <w:rFonts w:cs="Times New Roman"/>
        </w:rPr>
        <w:t>0</w:t>
      </w:r>
      <w:r>
        <w:rPr>
          <w:rFonts w:cs="Times New Roman"/>
        </w:rPr>
        <w:t>人。施工人员每人每天排放的生活污水量为</w:t>
      </w:r>
      <w:r>
        <w:rPr>
          <w:rFonts w:cs="Times New Roman"/>
        </w:rPr>
        <w:t>0.072t</w:t>
      </w:r>
      <w:r>
        <w:rPr>
          <w:rFonts w:cs="Times New Roman"/>
        </w:rPr>
        <w:t>，</w:t>
      </w:r>
      <w:r>
        <w:rPr>
          <w:rFonts w:cs="Times New Roman"/>
        </w:rPr>
        <w:t>3</w:t>
      </w:r>
      <w:r>
        <w:rPr>
          <w:rFonts w:cs="Times New Roman"/>
        </w:rPr>
        <w:t>处施工</w:t>
      </w:r>
      <w:r>
        <w:rPr>
          <w:rFonts w:cs="Times New Roman"/>
        </w:rPr>
        <w:t>驻</w:t>
      </w:r>
      <w:r>
        <w:rPr>
          <w:rFonts w:cs="Times New Roman"/>
        </w:rPr>
        <w:t>地每天产生生活污水约为</w:t>
      </w:r>
      <w:r>
        <w:rPr>
          <w:rFonts w:cs="Times New Roman"/>
        </w:rPr>
        <w:t>7.2</w:t>
      </w:r>
      <w:r>
        <w:rPr>
          <w:rFonts w:cs="Times New Roman"/>
        </w:rPr>
        <w:t>t</w:t>
      </w:r>
      <w:r>
        <w:rPr>
          <w:rFonts w:cs="Times New Roman"/>
        </w:rPr>
        <w:t>。</w:t>
      </w:r>
    </w:p>
    <w:p w:rsidR="00A46452" w:rsidRDefault="009A3928">
      <w:pPr>
        <w:wordWrap w:val="0"/>
        <w:topLinePunct/>
        <w:ind w:firstLine="480"/>
        <w:rPr>
          <w:rFonts w:cs="Times New Roman"/>
        </w:rPr>
      </w:pPr>
      <w:r>
        <w:rPr>
          <w:rFonts w:cs="Times New Roman"/>
        </w:rPr>
        <w:t>3</w:t>
      </w:r>
      <w:r>
        <w:rPr>
          <w:rFonts w:cs="Times New Roman"/>
        </w:rPr>
        <w:t>处自建施工</w:t>
      </w:r>
      <w:r>
        <w:rPr>
          <w:rFonts w:cs="Times New Roman"/>
        </w:rPr>
        <w:t>驻地</w:t>
      </w:r>
      <w:r>
        <w:rPr>
          <w:rFonts w:cs="Times New Roman"/>
        </w:rPr>
        <w:t>位于综合站场内，生活污水集中收集经设置的一体化污水处理设施处理满足</w:t>
      </w:r>
      <w:r>
        <w:rPr>
          <w:rFonts w:cs="Times New Roman"/>
          <w:bCs/>
        </w:rPr>
        <w:t>新疆维吾尔自治区地方标准《农村生活污水处理排放标准》（</w:t>
      </w:r>
      <w:r>
        <w:rPr>
          <w:rFonts w:cs="Times New Roman"/>
          <w:bCs/>
        </w:rPr>
        <w:t>DB654275-2019</w:t>
      </w:r>
      <w:r>
        <w:rPr>
          <w:rFonts w:cs="Times New Roman"/>
          <w:bCs/>
        </w:rPr>
        <w:t>）表</w:t>
      </w:r>
      <w:r>
        <w:rPr>
          <w:rFonts w:cs="Times New Roman"/>
          <w:bCs/>
        </w:rPr>
        <w:t>2</w:t>
      </w:r>
      <w:r>
        <w:rPr>
          <w:rFonts w:cs="Times New Roman"/>
          <w:bCs/>
        </w:rPr>
        <w:t>中</w:t>
      </w:r>
      <w:r>
        <w:rPr>
          <w:rFonts w:cs="Times New Roman"/>
          <w:bCs/>
        </w:rPr>
        <w:t>B</w:t>
      </w:r>
      <w:r>
        <w:rPr>
          <w:rFonts w:cs="Times New Roman"/>
          <w:bCs/>
        </w:rPr>
        <w:t>级限值后</w:t>
      </w:r>
      <w:r>
        <w:rPr>
          <w:rFonts w:cs="Times New Roman"/>
        </w:rPr>
        <w:t>，出水满足</w:t>
      </w:r>
      <w:r>
        <w:rPr>
          <w:rFonts w:cs="Times New Roman"/>
        </w:rPr>
        <w:t>B</w:t>
      </w:r>
      <w:r>
        <w:rPr>
          <w:rFonts w:cs="Times New Roman"/>
        </w:rPr>
        <w:t>级限值后可用于植被的绿化。</w:t>
      </w:r>
    </w:p>
    <w:p w:rsidR="00A46452" w:rsidRDefault="009A3928">
      <w:pPr>
        <w:wordWrap w:val="0"/>
        <w:topLinePunct/>
        <w:ind w:firstLine="480"/>
        <w:rPr>
          <w:rFonts w:cs="Times New Roman"/>
        </w:rPr>
      </w:pPr>
      <w:r>
        <w:rPr>
          <w:rFonts w:cs="Times New Roman"/>
        </w:rPr>
        <w:t>施工人员排放的生活污水各污染物排放量</w:t>
      </w:r>
      <w:r>
        <w:rPr>
          <w:rFonts w:cs="Times New Roman"/>
        </w:rPr>
        <w:t>见</w:t>
      </w:r>
      <w:r>
        <w:rPr>
          <w:rFonts w:cs="Times New Roman"/>
        </w:rPr>
        <w:t>表</w:t>
      </w:r>
      <w:r>
        <w:rPr>
          <w:rFonts w:cs="Times New Roman" w:hint="eastAsia"/>
        </w:rPr>
        <w:t>7</w:t>
      </w:r>
      <w:r>
        <w:rPr>
          <w:rFonts w:cs="Times New Roman"/>
        </w:rPr>
        <w:t>.</w:t>
      </w:r>
      <w:r>
        <w:rPr>
          <w:rFonts w:cs="Times New Roman" w:hint="eastAsia"/>
        </w:rPr>
        <w:t>3</w:t>
      </w:r>
      <w:r>
        <w:rPr>
          <w:rFonts w:cs="Times New Roman"/>
        </w:rPr>
        <w:t>-1</w:t>
      </w:r>
      <w:r>
        <w:rPr>
          <w:rFonts w:cs="Times New Roman"/>
        </w:rPr>
        <w:t>。</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hint="eastAsia"/>
        </w:rPr>
        <w:t>7</w:t>
      </w:r>
      <w:r>
        <w:rPr>
          <w:rFonts w:eastAsia="黑体" w:cs="Times New Roman"/>
        </w:rPr>
        <w:t>.</w:t>
      </w:r>
      <w:r>
        <w:rPr>
          <w:rFonts w:eastAsia="黑体" w:cs="Times New Roman" w:hint="eastAsia"/>
        </w:rPr>
        <w:t>3</w:t>
      </w:r>
      <w:r>
        <w:rPr>
          <w:rFonts w:eastAsia="黑体" w:cs="Times New Roman"/>
        </w:rPr>
        <w:t xml:space="preserve">-1        </w:t>
      </w:r>
      <w:r>
        <w:rPr>
          <w:rFonts w:eastAsia="黑体" w:cs="Times New Roman"/>
        </w:rPr>
        <w:t xml:space="preserve">         </w:t>
      </w:r>
      <w:r>
        <w:rPr>
          <w:rFonts w:eastAsia="黑体" w:cs="Times New Roman"/>
        </w:rPr>
        <w:t>施工期生活污水污染物排放量</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7"/>
        <w:gridCol w:w="1217"/>
        <w:gridCol w:w="1216"/>
        <w:gridCol w:w="1216"/>
        <w:gridCol w:w="1216"/>
        <w:gridCol w:w="1216"/>
        <w:gridCol w:w="1217"/>
      </w:tblGrid>
      <w:tr w:rsidR="00A46452">
        <w:tc>
          <w:tcPr>
            <w:tcW w:w="1237"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排放量（</w:t>
            </w:r>
            <w:r>
              <w:rPr>
                <w:rFonts w:cs="Times New Roman"/>
                <w:sz w:val="18"/>
                <w:szCs w:val="18"/>
              </w:rPr>
              <w:t>t/d</w:t>
            </w:r>
            <w:r>
              <w:rPr>
                <w:rFonts w:cs="Times New Roman"/>
                <w:sz w:val="18"/>
                <w:szCs w:val="18"/>
              </w:rPr>
              <w:t>）</w:t>
            </w:r>
          </w:p>
        </w:tc>
        <w:tc>
          <w:tcPr>
            <w:tcW w:w="1237" w:type="dxa"/>
            <w:vAlign w:val="center"/>
          </w:tcPr>
          <w:p w:rsidR="00A46452" w:rsidRDefault="009A3928">
            <w:pPr>
              <w:wordWrap w:val="0"/>
              <w:topLinePunct/>
              <w:adjustRightInd w:val="0"/>
              <w:spacing w:line="240" w:lineRule="auto"/>
              <w:ind w:firstLineChars="0" w:firstLine="0"/>
              <w:jc w:val="center"/>
              <w:rPr>
                <w:rFonts w:cs="Times New Roman"/>
                <w:bCs/>
                <w:kern w:val="0"/>
                <w:sz w:val="18"/>
                <w:szCs w:val="18"/>
              </w:rPr>
            </w:pPr>
            <w:r>
              <w:rPr>
                <w:rFonts w:cs="Times New Roman"/>
                <w:bCs/>
                <w:kern w:val="0"/>
                <w:sz w:val="18"/>
                <w:szCs w:val="18"/>
              </w:rPr>
              <w:t>COD</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c>
          <w:tcPr>
            <w:tcW w:w="1237" w:type="dxa"/>
            <w:vAlign w:val="center"/>
          </w:tcPr>
          <w:p w:rsidR="00A46452" w:rsidRDefault="009A3928">
            <w:pPr>
              <w:wordWrap w:val="0"/>
              <w:topLinePunct/>
              <w:adjustRightInd w:val="0"/>
              <w:spacing w:line="240" w:lineRule="auto"/>
              <w:ind w:firstLineChars="0" w:firstLine="0"/>
              <w:jc w:val="center"/>
              <w:rPr>
                <w:rFonts w:cs="Times New Roman"/>
                <w:bCs/>
                <w:kern w:val="0"/>
                <w:sz w:val="18"/>
                <w:szCs w:val="18"/>
              </w:rPr>
            </w:pPr>
            <w:r>
              <w:rPr>
                <w:rFonts w:cs="Times New Roman"/>
                <w:bCs/>
                <w:kern w:val="0"/>
                <w:sz w:val="18"/>
                <w:szCs w:val="18"/>
              </w:rPr>
              <w:t>BOD5</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c>
          <w:tcPr>
            <w:tcW w:w="1237" w:type="dxa"/>
            <w:vAlign w:val="center"/>
          </w:tcPr>
          <w:p w:rsidR="00A46452" w:rsidRDefault="009A3928">
            <w:pPr>
              <w:wordWrap w:val="0"/>
              <w:topLinePunct/>
              <w:adjustRightInd w:val="0"/>
              <w:spacing w:line="240" w:lineRule="auto"/>
              <w:ind w:firstLineChars="0" w:firstLine="0"/>
              <w:jc w:val="center"/>
              <w:rPr>
                <w:rFonts w:cs="Times New Roman"/>
                <w:bCs/>
                <w:kern w:val="0"/>
                <w:sz w:val="18"/>
                <w:szCs w:val="18"/>
              </w:rPr>
            </w:pPr>
            <w:r>
              <w:rPr>
                <w:rFonts w:cs="Times New Roman"/>
                <w:bCs/>
                <w:kern w:val="0"/>
                <w:sz w:val="18"/>
                <w:szCs w:val="18"/>
              </w:rPr>
              <w:t>SS</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c>
          <w:tcPr>
            <w:tcW w:w="1237"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氨氮</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c>
          <w:tcPr>
            <w:tcW w:w="1237"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石油类</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c>
          <w:tcPr>
            <w:tcW w:w="1238"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动植物油</w:t>
            </w:r>
          </w:p>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rPr>
              <w:t>（</w:t>
            </w:r>
            <w:r>
              <w:rPr>
                <w:rFonts w:cs="Times New Roman"/>
                <w:bCs/>
                <w:kern w:val="0"/>
                <w:sz w:val="18"/>
                <w:szCs w:val="18"/>
              </w:rPr>
              <w:t>kg/d</w:t>
            </w:r>
            <w:r>
              <w:rPr>
                <w:rFonts w:cs="Times New Roman"/>
                <w:kern w:val="0"/>
                <w:sz w:val="18"/>
                <w:szCs w:val="18"/>
              </w:rPr>
              <w:t>）</w:t>
            </w:r>
          </w:p>
        </w:tc>
      </w:tr>
      <w:tr w:rsidR="00A46452">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11.52</w:t>
            </w:r>
          </w:p>
        </w:tc>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2.88</w:t>
            </w:r>
          </w:p>
        </w:tc>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4.032</w:t>
            </w:r>
          </w:p>
        </w:tc>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0.3456</w:t>
            </w:r>
          </w:p>
        </w:tc>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2.88</w:t>
            </w:r>
          </w:p>
        </w:tc>
        <w:tc>
          <w:tcPr>
            <w:tcW w:w="1237"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0.3456</w:t>
            </w:r>
          </w:p>
        </w:tc>
        <w:tc>
          <w:tcPr>
            <w:tcW w:w="1238" w:type="dxa"/>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11.52</w:t>
            </w:r>
          </w:p>
        </w:tc>
      </w:tr>
    </w:tbl>
    <w:p w:rsidR="00A46452" w:rsidRDefault="009A3928" w:rsidP="00182EED">
      <w:pPr>
        <w:wordWrap w:val="0"/>
        <w:topLinePunct/>
        <w:spacing w:beforeLines="50" w:before="165"/>
        <w:ind w:firstLine="480"/>
        <w:rPr>
          <w:rFonts w:cs="Times New Roman"/>
          <w:szCs w:val="24"/>
        </w:rPr>
      </w:pPr>
      <w:r>
        <w:rPr>
          <w:rFonts w:cs="Times New Roman"/>
        </w:rPr>
        <w:t>本项目的生活污水仅限于施工期，时间上相对而言是短暂的，且水量不大，施工营地排放的生活污水经当地的生活污水处理设施和地埋式一体化生物化粪池处理及经污水处理设施处理，对水环境影响造成的影响可接受。</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7.3.2</w:t>
      </w:r>
      <w:r>
        <w:rPr>
          <w:rFonts w:cs="Times New Roman" w:hint="default"/>
          <w:sz w:val="28"/>
          <w:szCs w:val="28"/>
        </w:rPr>
        <w:t>运营期地表水环境影响预测与评价</w:t>
      </w:r>
      <w:bookmarkEnd w:id="288"/>
      <w:bookmarkEnd w:id="289"/>
      <w:bookmarkEnd w:id="290"/>
      <w:bookmarkEnd w:id="291"/>
      <w:bookmarkEnd w:id="292"/>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7.3.2.1</w:t>
      </w:r>
      <w:r>
        <w:rPr>
          <w:rFonts w:cs="Times New Roman" w:hint="default"/>
          <w:iCs/>
        </w:rPr>
        <w:t>路（桥）面径流影响分析</w:t>
      </w:r>
    </w:p>
    <w:p w:rsidR="00A46452" w:rsidRDefault="009A3928">
      <w:pPr>
        <w:wordWrap w:val="0"/>
        <w:topLinePunct/>
        <w:ind w:firstLine="480"/>
        <w:rPr>
          <w:rFonts w:cs="Times New Roman"/>
        </w:rPr>
      </w:pPr>
      <w:r>
        <w:rPr>
          <w:rFonts w:cs="Times New Roman"/>
        </w:rPr>
        <w:t>（</w:t>
      </w:r>
      <w:r>
        <w:rPr>
          <w:rFonts w:cs="Times New Roman"/>
        </w:rPr>
        <w:t>1</w:t>
      </w:r>
      <w:r>
        <w:rPr>
          <w:rFonts w:cs="Times New Roman"/>
        </w:rPr>
        <w:t>）路（桥）面径流水环境影响分析</w:t>
      </w:r>
    </w:p>
    <w:p w:rsidR="00A46452" w:rsidRDefault="009A3928">
      <w:pPr>
        <w:wordWrap w:val="0"/>
        <w:topLinePunct/>
        <w:ind w:firstLine="480"/>
        <w:rPr>
          <w:rFonts w:cs="Times New Roman"/>
        </w:rPr>
      </w:pPr>
      <w:r>
        <w:rPr>
          <w:rFonts w:cs="Times New Roman"/>
        </w:rPr>
        <w:t>公路路面径流污染是公路营运期货物运输过程中在路面上的抛洒，汽车尾气中微粒在路面上的降落，汽车燃油在路面上的滴漏及轮胎与路面的磨损物等，当降水形成路面径流，这些有害物质被挟带排入水体造成水环境质量下降的现象。</w:t>
      </w:r>
    </w:p>
    <w:p w:rsidR="00A46452" w:rsidRDefault="009A3928">
      <w:pPr>
        <w:wordWrap w:val="0"/>
        <w:topLinePunct/>
        <w:ind w:firstLine="480"/>
        <w:rPr>
          <w:rFonts w:cs="Times New Roman"/>
        </w:rPr>
      </w:pPr>
      <w:r>
        <w:rPr>
          <w:rFonts w:cs="Times New Roman"/>
        </w:rPr>
        <w:t>根据研究结果表明，公路路面径流中的污染物有</w:t>
      </w:r>
      <w:r>
        <w:rPr>
          <w:rFonts w:cs="Times New Roman"/>
        </w:rPr>
        <w:t>SS</w:t>
      </w:r>
      <w:r>
        <w:rPr>
          <w:rFonts w:cs="Times New Roman"/>
        </w:rPr>
        <w:t>、石油类、有机物等。</w:t>
      </w:r>
      <w:r>
        <w:rPr>
          <w:rFonts w:cs="Times New Roman"/>
        </w:rPr>
        <w:t>SS</w:t>
      </w:r>
      <w:r>
        <w:rPr>
          <w:rFonts w:cs="Times New Roman"/>
        </w:rPr>
        <w:t>是公路路面径流最主要的污染物，其主要来源是轮胎磨损颗粒，筑路材料磨损颗粒，运输物品的</w:t>
      </w:r>
      <w:r>
        <w:rPr>
          <w:rFonts w:cs="Times New Roman"/>
        </w:rPr>
        <w:t>泄漏</w:t>
      </w:r>
      <w:r>
        <w:rPr>
          <w:rFonts w:cs="Times New Roman"/>
        </w:rPr>
        <w:t>，刹车连接装置产生的颗粒</w:t>
      </w:r>
      <w:r>
        <w:rPr>
          <w:rFonts w:cs="Times New Roman"/>
        </w:rPr>
        <w:t>及其他</w:t>
      </w:r>
      <w:r>
        <w:rPr>
          <w:rFonts w:cs="Times New Roman"/>
        </w:rPr>
        <w:t>与车辆运行有关的颗粒物，大气降尘及除冰剂等。</w:t>
      </w:r>
    </w:p>
    <w:p w:rsidR="00A46452" w:rsidRDefault="009A3928">
      <w:pPr>
        <w:wordWrap w:val="0"/>
        <w:topLinePunct/>
        <w:ind w:firstLine="480"/>
        <w:rPr>
          <w:rFonts w:cs="Times New Roman"/>
        </w:rPr>
      </w:pPr>
      <w:r>
        <w:rPr>
          <w:rFonts w:cs="Times New Roman"/>
        </w:rPr>
        <w:t>（</w:t>
      </w:r>
      <w:r>
        <w:rPr>
          <w:rFonts w:cs="Times New Roman"/>
        </w:rPr>
        <w:t>2</w:t>
      </w:r>
      <w:r>
        <w:rPr>
          <w:rFonts w:cs="Times New Roman"/>
        </w:rPr>
        <w:t>）影响路面径流污染的因素</w:t>
      </w:r>
    </w:p>
    <w:p w:rsidR="00A46452" w:rsidRDefault="009A3928">
      <w:pPr>
        <w:wordWrap w:val="0"/>
        <w:topLinePunct/>
        <w:ind w:firstLine="480"/>
        <w:rPr>
          <w:rFonts w:cs="Times New Roman"/>
        </w:rPr>
      </w:pPr>
      <w:r>
        <w:rPr>
          <w:rFonts w:cs="Times New Roman"/>
        </w:rPr>
        <w:t>由路</w:t>
      </w:r>
      <w:r>
        <w:rPr>
          <w:rFonts w:cs="Times New Roman"/>
        </w:rPr>
        <w:t>面径流污染物的来源可知，引起路面径流水污染的因素很多，主要包括气象状况、交通状况、公路周围土地利用状况及路面清扫、维护状况等几个方面。</w:t>
      </w:r>
    </w:p>
    <w:p w:rsidR="00A46452" w:rsidRDefault="009A3928">
      <w:pPr>
        <w:wordWrap w:val="0"/>
        <w:topLinePunct/>
        <w:ind w:firstLine="480"/>
        <w:rPr>
          <w:rFonts w:cs="Times New Roman"/>
        </w:rPr>
      </w:pPr>
      <w:r>
        <w:rPr>
          <w:rFonts w:cs="Times New Roman"/>
        </w:rPr>
        <w:t>①</w:t>
      </w:r>
      <w:r>
        <w:rPr>
          <w:rFonts w:cs="Times New Roman"/>
        </w:rPr>
        <w:t>气象状况</w:t>
      </w:r>
    </w:p>
    <w:p w:rsidR="00A46452" w:rsidRDefault="009A3928">
      <w:pPr>
        <w:wordWrap w:val="0"/>
        <w:topLinePunct/>
        <w:ind w:firstLine="480"/>
        <w:rPr>
          <w:rFonts w:cs="Times New Roman"/>
        </w:rPr>
      </w:pPr>
      <w:r>
        <w:rPr>
          <w:rFonts w:cs="Times New Roman"/>
        </w:rPr>
        <w:t>包括降雨强度、降雨量、降雨历时等因素，降雨强度决定着淋洗路面污染物的能量大小，降雨量决定着稀释污染物的水量，降雨历时决定污染物在降雨期间累积于路面的时间长短。</w:t>
      </w:r>
    </w:p>
    <w:p w:rsidR="00A46452" w:rsidRDefault="009A3928">
      <w:pPr>
        <w:wordWrap w:val="0"/>
        <w:topLinePunct/>
        <w:ind w:firstLine="480"/>
        <w:rPr>
          <w:rFonts w:cs="Times New Roman"/>
        </w:rPr>
      </w:pPr>
      <w:r>
        <w:rPr>
          <w:rFonts w:cs="Times New Roman"/>
        </w:rPr>
        <w:t>②</w:t>
      </w:r>
      <w:r>
        <w:rPr>
          <w:rFonts w:cs="Times New Roman"/>
        </w:rPr>
        <w:t>交通状况</w:t>
      </w:r>
    </w:p>
    <w:p w:rsidR="00A46452" w:rsidRDefault="009A3928">
      <w:pPr>
        <w:wordWrap w:val="0"/>
        <w:topLinePunct/>
        <w:ind w:firstLine="480"/>
        <w:rPr>
          <w:rFonts w:cs="Times New Roman"/>
        </w:rPr>
      </w:pPr>
      <w:r>
        <w:rPr>
          <w:rFonts w:cs="Times New Roman"/>
        </w:rPr>
        <w:t>交通状况是引起路面径流污染的决定性因素，包括交通流量、车型构成及路面类型等。交通流量及车型构成决定着与汽车交通相关污染物的类型及排放量。</w:t>
      </w:r>
    </w:p>
    <w:p w:rsidR="00A46452" w:rsidRDefault="009A3928">
      <w:pPr>
        <w:wordWrap w:val="0"/>
        <w:topLinePunct/>
        <w:ind w:firstLine="480"/>
        <w:rPr>
          <w:rFonts w:cs="Times New Roman"/>
        </w:rPr>
      </w:pPr>
      <w:r>
        <w:rPr>
          <w:rFonts w:cs="Times New Roman"/>
        </w:rPr>
        <w:t>③</w:t>
      </w:r>
      <w:r>
        <w:rPr>
          <w:rFonts w:cs="Times New Roman"/>
        </w:rPr>
        <w:t>公路沿线土地利用状况</w:t>
      </w:r>
    </w:p>
    <w:p w:rsidR="00A46452" w:rsidRDefault="009A3928">
      <w:pPr>
        <w:wordWrap w:val="0"/>
        <w:topLinePunct/>
        <w:ind w:firstLine="480"/>
        <w:rPr>
          <w:rFonts w:cs="Times New Roman"/>
        </w:rPr>
      </w:pPr>
      <w:r>
        <w:rPr>
          <w:rFonts w:cs="Times New Roman"/>
        </w:rPr>
        <w:t>公路沿线土地利用及与地理环境特</w:t>
      </w:r>
      <w:r>
        <w:rPr>
          <w:rFonts w:cs="Times New Roman"/>
        </w:rPr>
        <w:t>征相关的非道路活动，决定着非道路污染源在路面的沉积状况。路面清扫的频率及效果，影响晴天时在路面累积的污染物量。</w:t>
      </w:r>
    </w:p>
    <w:p w:rsidR="00A46452" w:rsidRDefault="009A3928">
      <w:pPr>
        <w:wordWrap w:val="0"/>
        <w:topLinePunct/>
        <w:ind w:firstLine="480"/>
        <w:rPr>
          <w:rFonts w:cs="Times New Roman"/>
        </w:rPr>
      </w:pPr>
      <w:r>
        <w:rPr>
          <w:rFonts w:cs="Times New Roman"/>
        </w:rPr>
        <w:t>（</w:t>
      </w:r>
      <w:r>
        <w:rPr>
          <w:rFonts w:cs="Times New Roman"/>
        </w:rPr>
        <w:t>3</w:t>
      </w:r>
      <w:r>
        <w:rPr>
          <w:rFonts w:cs="Times New Roman"/>
        </w:rPr>
        <w:t>）路（桥）面径流对地表水水质影响分析</w:t>
      </w:r>
    </w:p>
    <w:p w:rsidR="00A46452" w:rsidRDefault="009A3928">
      <w:pPr>
        <w:wordWrap w:val="0"/>
        <w:topLinePunct/>
        <w:ind w:firstLine="480"/>
        <w:rPr>
          <w:rFonts w:cs="Times New Roman"/>
        </w:rPr>
      </w:pPr>
      <w:r>
        <w:rPr>
          <w:rFonts w:cs="Times New Roman"/>
        </w:rPr>
        <w:t>本项目建成运营后，随着交通量的逐年增加，沉降在路面上的机动车尾气排放物、汽车泄漏的油类以及散落在路面上的其他有害物质也会逐年增加，上述污染物将随降雨进入地表水水体。主要污染物</w:t>
      </w:r>
      <w:r>
        <w:rPr>
          <w:rFonts w:cs="Times New Roman"/>
        </w:rPr>
        <w:t>SS</w:t>
      </w:r>
      <w:r>
        <w:rPr>
          <w:rFonts w:cs="Times New Roman"/>
        </w:rPr>
        <w:t>平均浓度为</w:t>
      </w:r>
      <w:r>
        <w:rPr>
          <w:rFonts w:cs="Times New Roman"/>
        </w:rPr>
        <w:t>443.6mg/L</w:t>
      </w:r>
      <w:r>
        <w:rPr>
          <w:rFonts w:cs="Times New Roman"/>
        </w:rPr>
        <w:t>，</w:t>
      </w:r>
      <w:r>
        <w:rPr>
          <w:rFonts w:cs="Times New Roman"/>
        </w:rPr>
        <w:t>COD</w:t>
      </w:r>
      <w:r>
        <w:rPr>
          <w:rFonts w:cs="Times New Roman"/>
        </w:rPr>
        <w:t>平均浓度为</w:t>
      </w:r>
      <w:r>
        <w:rPr>
          <w:rFonts w:cs="Times New Roman"/>
        </w:rPr>
        <w:t>210mg/L</w:t>
      </w:r>
      <w:r>
        <w:rPr>
          <w:rFonts w:cs="Times New Roman"/>
        </w:rPr>
        <w:t>。可见，路面径流中</w:t>
      </w:r>
      <w:r>
        <w:rPr>
          <w:rFonts w:cs="Times New Roman"/>
        </w:rPr>
        <w:t>COD</w:t>
      </w:r>
      <w:r>
        <w:rPr>
          <w:rFonts w:cs="Times New Roman"/>
        </w:rPr>
        <w:t>平均浓度大于《污水综合排放标准》（</w:t>
      </w:r>
      <w:r>
        <w:rPr>
          <w:rFonts w:cs="Times New Roman"/>
        </w:rPr>
        <w:t>GB8978-1996</w:t>
      </w:r>
      <w:r>
        <w:rPr>
          <w:rFonts w:cs="Times New Roman"/>
        </w:rPr>
        <w:t>）二级标准，</w:t>
      </w:r>
      <w:r>
        <w:rPr>
          <w:rFonts w:cs="Times New Roman"/>
        </w:rPr>
        <w:t>SS</w:t>
      </w:r>
      <w:r>
        <w:rPr>
          <w:rFonts w:cs="Times New Roman"/>
        </w:rPr>
        <w:t>浓度则高于《农田灌溉水质</w:t>
      </w:r>
      <w:r>
        <w:rPr>
          <w:rFonts w:cs="Times New Roman"/>
        </w:rPr>
        <w:t>标准》中的相应标准值。因此，路面径流中污染物浓度相对较高，汇入附近河流会污染沿线地表水体。根据经验及相关实验，一般来说，降雨历时超过</w:t>
      </w:r>
      <w:r>
        <w:rPr>
          <w:rFonts w:cs="Times New Roman"/>
        </w:rPr>
        <w:t>1h</w:t>
      </w:r>
      <w:r>
        <w:rPr>
          <w:rFonts w:cs="Times New Roman"/>
        </w:rPr>
        <w:t>，则路面基本被冲洗干净，路面径流污染物的浓度相对稳定在较低水平。另外，新疆是一个干燥、多风少雨的地区，</w:t>
      </w:r>
      <w:r>
        <w:rPr>
          <w:rFonts w:cs="Times New Roman"/>
        </w:rPr>
        <w:t>项目区</w:t>
      </w:r>
      <w:r>
        <w:rPr>
          <w:rFonts w:cs="Times New Roman"/>
        </w:rPr>
        <w:t>位于新疆的西南部，多年平均降水量相对更低，因此雨冲刷路面产生的路面径流污水几乎可以忽略不计，因此，拟建公路对地表水环境影响甚微。</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7.3.2.2</w:t>
      </w:r>
      <w:r>
        <w:rPr>
          <w:rFonts w:cs="Times New Roman" w:hint="default"/>
          <w:iCs/>
        </w:rPr>
        <w:t>沿线设施生活污水影响分析</w:t>
      </w:r>
    </w:p>
    <w:p w:rsidR="00A46452" w:rsidRDefault="009A3928">
      <w:pPr>
        <w:wordWrap w:val="0"/>
        <w:topLinePunct/>
        <w:ind w:firstLine="480"/>
        <w:rPr>
          <w:rFonts w:cs="Times New Roman"/>
        </w:rPr>
      </w:pPr>
      <w:r>
        <w:rPr>
          <w:rFonts w:cs="Times New Roman"/>
        </w:rPr>
        <w:t>本项目设停车区</w:t>
      </w:r>
      <w:r>
        <w:rPr>
          <w:rFonts w:cs="Times New Roman"/>
        </w:rPr>
        <w:t>3</w:t>
      </w:r>
      <w:r>
        <w:rPr>
          <w:rFonts w:cs="Times New Roman"/>
        </w:rPr>
        <w:t>处、服务区</w:t>
      </w:r>
      <w:r>
        <w:rPr>
          <w:rFonts w:cs="Times New Roman"/>
        </w:rPr>
        <w:t>2</w:t>
      </w:r>
      <w:r>
        <w:rPr>
          <w:rFonts w:cs="Times New Roman"/>
        </w:rPr>
        <w:t>处</w:t>
      </w:r>
      <w:r>
        <w:rPr>
          <w:rFonts w:cs="Times New Roman"/>
        </w:rPr>
        <w:t>、</w:t>
      </w:r>
      <w:r>
        <w:rPr>
          <w:rFonts w:cs="Times New Roman"/>
        </w:rPr>
        <w:t>治超站</w:t>
      </w:r>
      <w:r>
        <w:rPr>
          <w:rFonts w:cs="Times New Roman"/>
        </w:rPr>
        <w:t>1</w:t>
      </w:r>
      <w:r>
        <w:rPr>
          <w:rFonts w:cs="Times New Roman"/>
        </w:rPr>
        <w:t>处</w:t>
      </w:r>
      <w:r>
        <w:rPr>
          <w:rFonts w:cs="Times New Roman"/>
        </w:rPr>
        <w:t>。沿线服务区、</w:t>
      </w:r>
      <w:r>
        <w:rPr>
          <w:rFonts w:cs="Times New Roman"/>
        </w:rPr>
        <w:t>治超站</w:t>
      </w:r>
      <w:r>
        <w:rPr>
          <w:rFonts w:cs="Times New Roman"/>
        </w:rPr>
        <w:t>等附属设施产生的生活污水无法通过管道</w:t>
      </w:r>
      <w:r>
        <w:rPr>
          <w:rFonts w:cs="Times New Roman"/>
        </w:rPr>
        <w:t>进入城镇污水处理及排放系统，因此，应设置污水处理设施将污水处理达标后尽量回用，不外排。</w:t>
      </w:r>
    </w:p>
    <w:p w:rsidR="00A46452" w:rsidRDefault="009A3928">
      <w:pPr>
        <w:wordWrap w:val="0"/>
        <w:topLinePunct/>
        <w:ind w:firstLine="480"/>
        <w:rPr>
          <w:rFonts w:cs="Times New Roman"/>
        </w:rPr>
      </w:pPr>
      <w:r>
        <w:rPr>
          <w:rFonts w:cs="Times New Roman"/>
        </w:rPr>
        <w:t>本项目服务区、停车区内分布有绿化用地，且项目沿线为缺水地区，可消纳项目回用水。</w:t>
      </w:r>
    </w:p>
    <w:p w:rsidR="00A46452" w:rsidRDefault="009A3928">
      <w:pPr>
        <w:wordWrap w:val="0"/>
        <w:topLinePunct/>
        <w:ind w:firstLine="480"/>
        <w:rPr>
          <w:rFonts w:cs="Times New Roman"/>
        </w:rPr>
      </w:pPr>
      <w:r>
        <w:rPr>
          <w:rFonts w:cs="Times New Roman"/>
        </w:rPr>
        <w:t>根据第</w:t>
      </w:r>
      <w:r>
        <w:rPr>
          <w:rFonts w:cs="Times New Roman"/>
        </w:rPr>
        <w:t>5.2</w:t>
      </w:r>
      <w:r>
        <w:rPr>
          <w:rFonts w:cs="Times New Roman"/>
        </w:rPr>
        <w:t>.</w:t>
      </w:r>
      <w:r>
        <w:rPr>
          <w:rFonts w:cs="Times New Roman"/>
        </w:rPr>
        <w:t>2</w:t>
      </w:r>
      <w:r>
        <w:rPr>
          <w:rFonts w:cs="Times New Roman"/>
        </w:rPr>
        <w:t>.2</w:t>
      </w:r>
      <w:r>
        <w:rPr>
          <w:rFonts w:cs="Times New Roman"/>
        </w:rPr>
        <w:t>小节的污染源强计算，营运期公路辅助设施产生的生活污水量为</w:t>
      </w:r>
      <w:r>
        <w:rPr>
          <w:rFonts w:cs="Times New Roman"/>
        </w:rPr>
        <w:t>9.42</w:t>
      </w:r>
      <w:r>
        <w:rPr>
          <w:rFonts w:cs="Times New Roman"/>
        </w:rPr>
        <w:t>m</w:t>
      </w:r>
      <w:r>
        <w:rPr>
          <w:rFonts w:cs="Times New Roman"/>
          <w:vertAlign w:val="superscript"/>
        </w:rPr>
        <w:t>3/</w:t>
      </w:r>
      <w:r>
        <w:rPr>
          <w:rFonts w:cs="Times New Roman"/>
        </w:rPr>
        <w:t>d</w:t>
      </w:r>
      <w:r>
        <w:rPr>
          <w:rFonts w:cs="Times New Roman"/>
        </w:rPr>
        <w:t>，生活污水主要污染物浓度见</w:t>
      </w:r>
      <w:r>
        <w:rPr>
          <w:rFonts w:cs="Times New Roman" w:hint="eastAsia"/>
        </w:rPr>
        <w:t>表</w:t>
      </w:r>
      <w:r>
        <w:rPr>
          <w:rFonts w:cs="Times New Roman"/>
        </w:rPr>
        <w:t>5</w:t>
      </w:r>
      <w:r>
        <w:rPr>
          <w:rFonts w:cs="Times New Roman"/>
        </w:rPr>
        <w:t>.</w:t>
      </w:r>
      <w:r>
        <w:rPr>
          <w:rFonts w:cs="Times New Roman"/>
        </w:rPr>
        <w:t>2</w:t>
      </w:r>
      <w:r>
        <w:rPr>
          <w:rFonts w:cs="Times New Roman"/>
        </w:rPr>
        <w:t>-1</w:t>
      </w:r>
      <w:r>
        <w:rPr>
          <w:rFonts w:cs="Times New Roman"/>
        </w:rPr>
        <w:t>3</w:t>
      </w:r>
      <w:r>
        <w:rPr>
          <w:rFonts w:cs="Times New Roman"/>
        </w:rPr>
        <w:t>，污染物浓度已超过新疆维吾尔自治区地方标准《农村生活污水处理排放标准》（</w:t>
      </w:r>
      <w:r>
        <w:rPr>
          <w:rFonts w:cs="Times New Roman"/>
        </w:rPr>
        <w:t>DB654275-2019</w:t>
      </w:r>
      <w:r>
        <w:rPr>
          <w:rFonts w:cs="Times New Roman"/>
        </w:rPr>
        <w:t>）表</w:t>
      </w:r>
      <w:r>
        <w:rPr>
          <w:rFonts w:cs="Times New Roman"/>
        </w:rPr>
        <w:t>2</w:t>
      </w:r>
      <w:r>
        <w:rPr>
          <w:rFonts w:cs="Times New Roman"/>
        </w:rPr>
        <w:t>中</w:t>
      </w:r>
      <w:r>
        <w:rPr>
          <w:rFonts w:cs="Times New Roman"/>
        </w:rPr>
        <w:t>A</w:t>
      </w:r>
      <w:r>
        <w:rPr>
          <w:rFonts w:cs="Times New Roman"/>
        </w:rPr>
        <w:t>级限值的相应指标，如果不采取措施排放，将对周围地表水环境产生影响。</w:t>
      </w:r>
    </w:p>
    <w:p w:rsidR="00A46452" w:rsidRDefault="009A3928">
      <w:pPr>
        <w:wordWrap w:val="0"/>
        <w:topLinePunct/>
        <w:ind w:firstLine="480"/>
        <w:rPr>
          <w:rFonts w:cs="Times New Roman"/>
        </w:rPr>
      </w:pPr>
      <w:r>
        <w:rPr>
          <w:rFonts w:cs="Times New Roman"/>
        </w:rPr>
        <w:t>本项目各服务设施永久占地内绿化面积总计约为</w:t>
      </w:r>
      <w:r>
        <w:rPr>
          <w:rFonts w:cs="Times New Roman"/>
        </w:rPr>
        <w:t>5874.41</w:t>
      </w:r>
      <w:r>
        <w:rPr>
          <w:rFonts w:cs="Times New Roman"/>
        </w:rPr>
        <w:t>m</w:t>
      </w:r>
      <w:r>
        <w:rPr>
          <w:rFonts w:cs="Times New Roman"/>
          <w:vertAlign w:val="superscript"/>
        </w:rPr>
        <w:t>2</w:t>
      </w:r>
      <w:r>
        <w:rPr>
          <w:rFonts w:cs="Times New Roman"/>
        </w:rPr>
        <w:t>，用水量按城市微喷、南疆</w:t>
      </w:r>
      <w:r>
        <w:rPr>
          <w:rFonts w:cs="Times New Roman"/>
        </w:rPr>
        <w:t>0.002m</w:t>
      </w:r>
      <w:r>
        <w:rPr>
          <w:rFonts w:cs="Times New Roman"/>
          <w:vertAlign w:val="superscript"/>
        </w:rPr>
        <w:t>3</w:t>
      </w:r>
      <w:r>
        <w:rPr>
          <w:rFonts w:cs="Times New Roman"/>
        </w:rPr>
        <w:t>/m</w:t>
      </w:r>
      <w:r>
        <w:rPr>
          <w:rFonts w:cs="Times New Roman"/>
          <w:vertAlign w:val="superscript"/>
        </w:rPr>
        <w:t>2</w:t>
      </w:r>
      <w:r>
        <w:rPr>
          <w:rFonts w:cs="Times New Roman"/>
        </w:rPr>
        <w:t>·d</w:t>
      </w:r>
      <w:r>
        <w:rPr>
          <w:rFonts w:cs="Times New Roman"/>
        </w:rPr>
        <w:t>计，合计日用水量为</w:t>
      </w:r>
      <w:r>
        <w:rPr>
          <w:rFonts w:cs="Times New Roman"/>
        </w:rPr>
        <w:t>11.75</w:t>
      </w:r>
      <w:r>
        <w:rPr>
          <w:rFonts w:cs="Times New Roman"/>
        </w:rPr>
        <w:t>m</w:t>
      </w:r>
      <w:r>
        <w:rPr>
          <w:rFonts w:cs="Times New Roman"/>
          <w:vertAlign w:val="superscript"/>
        </w:rPr>
        <w:t>3</w:t>
      </w:r>
      <w:r>
        <w:rPr>
          <w:rFonts w:cs="Times New Roman"/>
        </w:rPr>
        <w:t>/d</w:t>
      </w:r>
      <w:r>
        <w:rPr>
          <w:rFonts w:cs="Times New Roman"/>
        </w:rPr>
        <w:t>。</w:t>
      </w:r>
    </w:p>
    <w:p w:rsidR="00A46452" w:rsidRDefault="009A3928">
      <w:pPr>
        <w:wordWrap w:val="0"/>
        <w:topLinePunct/>
        <w:ind w:firstLine="480"/>
        <w:rPr>
          <w:rFonts w:cs="Times New Roman"/>
        </w:rPr>
      </w:pPr>
      <w:r>
        <w:rPr>
          <w:rFonts w:cs="Times New Roman"/>
        </w:rPr>
        <w:t>本项目总绿化用水量大于服务区、停车区、</w:t>
      </w:r>
      <w:r>
        <w:rPr>
          <w:rFonts w:cs="Times New Roman"/>
        </w:rPr>
        <w:t>治超站</w:t>
      </w:r>
      <w:r>
        <w:rPr>
          <w:rFonts w:cs="Times New Roman"/>
        </w:rPr>
        <w:t>等处的生活污水产生量（</w:t>
      </w:r>
      <w:r>
        <w:rPr>
          <w:rFonts w:cs="Times New Roman"/>
        </w:rPr>
        <w:t>9.42</w:t>
      </w:r>
      <w:r>
        <w:rPr>
          <w:rFonts w:cs="Times New Roman"/>
        </w:rPr>
        <w:t>m</w:t>
      </w:r>
      <w:r>
        <w:rPr>
          <w:rFonts w:cs="Times New Roman"/>
          <w:vertAlign w:val="superscript"/>
        </w:rPr>
        <w:t>3</w:t>
      </w:r>
      <w:r>
        <w:rPr>
          <w:rFonts w:cs="Times New Roman"/>
        </w:rPr>
        <w:t>/d</w:t>
      </w:r>
      <w:r>
        <w:rPr>
          <w:rFonts w:cs="Times New Roman"/>
        </w:rPr>
        <w:t>），服务区等产生的污水在夏季可</w:t>
      </w:r>
      <w:r>
        <w:rPr>
          <w:rFonts w:cs="Times New Roman"/>
        </w:rPr>
        <w:t>部分</w:t>
      </w:r>
      <w:r>
        <w:rPr>
          <w:rFonts w:cs="Times New Roman"/>
        </w:rPr>
        <w:t>回用。冬季</w:t>
      </w:r>
      <w:r>
        <w:rPr>
          <w:rFonts w:cs="Times New Roman"/>
        </w:rPr>
        <w:t>储存池贮存</w:t>
      </w:r>
      <w:r>
        <w:rPr>
          <w:rFonts w:cs="Times New Roman"/>
        </w:rPr>
        <w:t>。一体化污水处理设施的工艺流程如下图</w:t>
      </w:r>
      <w:r>
        <w:rPr>
          <w:rFonts w:cs="Times New Roman"/>
        </w:rPr>
        <w:t>5.4-</w:t>
      </w:r>
      <w:r>
        <w:rPr>
          <w:rFonts w:cs="Times New Roman"/>
        </w:rPr>
        <w:t>2</w:t>
      </w:r>
      <w:r>
        <w:rPr>
          <w:rFonts w:cs="Times New Roman"/>
        </w:rPr>
        <w:t>，一体化污水处理设施采取厂家直接购买的方式，其处理规模大于日污水产生量。</w:t>
      </w:r>
    </w:p>
    <w:p w:rsidR="00A46452" w:rsidRDefault="009A3928">
      <w:pPr>
        <w:wordWrap w:val="0"/>
        <w:topLinePunct/>
        <w:ind w:firstLine="480"/>
        <w:rPr>
          <w:rFonts w:cs="Times New Roman"/>
        </w:rPr>
      </w:pPr>
      <w:r>
        <w:rPr>
          <w:rFonts w:cs="Times New Roman"/>
        </w:rPr>
        <w:t>对服务区等服务设施的生活污水采取一体化污水处理设施处理达到新疆维吾尔自治区地方标准《农村生活污水处理排放标准</w:t>
      </w:r>
      <w:r>
        <w:rPr>
          <w:rFonts w:cs="Times New Roman"/>
        </w:rPr>
        <w:t>》（</w:t>
      </w:r>
      <w:r>
        <w:rPr>
          <w:rFonts w:cs="Times New Roman"/>
        </w:rPr>
        <w:t>DB654275-2019</w:t>
      </w:r>
      <w:r>
        <w:rPr>
          <w:rFonts w:cs="Times New Roman"/>
        </w:rPr>
        <w:t>）表</w:t>
      </w:r>
      <w:r>
        <w:rPr>
          <w:rFonts w:cs="Times New Roman"/>
        </w:rPr>
        <w:t>2</w:t>
      </w:r>
      <w:r>
        <w:rPr>
          <w:rFonts w:cs="Times New Roman"/>
        </w:rPr>
        <w:t>中</w:t>
      </w:r>
      <w:r>
        <w:rPr>
          <w:rFonts w:cs="Times New Roman"/>
        </w:rPr>
        <w:t>A</w:t>
      </w:r>
      <w:r>
        <w:rPr>
          <w:rFonts w:cs="Times New Roman"/>
        </w:rPr>
        <w:t>级限值，出水满足</w:t>
      </w:r>
      <w:r>
        <w:rPr>
          <w:rFonts w:cs="Times New Roman"/>
        </w:rPr>
        <w:t>A</w:t>
      </w:r>
      <w:r>
        <w:rPr>
          <w:rFonts w:cs="Times New Roman"/>
        </w:rPr>
        <w:t>级限值后，夏季用于各服务区等设施的绿化，冬季</w:t>
      </w:r>
      <w:r>
        <w:rPr>
          <w:rFonts w:cs="Times New Roman"/>
        </w:rPr>
        <w:t>储存池贮存</w:t>
      </w:r>
      <w:r>
        <w:rPr>
          <w:rFonts w:cs="Times New Roman"/>
        </w:rPr>
        <w:t>。</w:t>
      </w:r>
    </w:p>
    <w:p w:rsidR="00A46452" w:rsidRDefault="009A3928">
      <w:pPr>
        <w:wordWrap w:val="0"/>
        <w:topLinePunct/>
        <w:ind w:firstLine="480"/>
        <w:rPr>
          <w:rFonts w:cs="Times New Roman"/>
        </w:rPr>
      </w:pPr>
      <w:r>
        <w:rPr>
          <w:rFonts w:cs="Times New Roman"/>
        </w:rPr>
        <w:t>综上分析，经采取上述措施后，项目营运期废水对环境影响较小。</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293" w:name="_Toc491045003"/>
      <w:bookmarkStart w:id="294" w:name="_Toc3238"/>
      <w:bookmarkStart w:id="295" w:name="_Toc187080708"/>
      <w:bookmarkEnd w:id="285"/>
      <w:r>
        <w:rPr>
          <w:rFonts w:cs="Times New Roman" w:hint="default"/>
          <w:sz w:val="30"/>
          <w:szCs w:val="30"/>
        </w:rPr>
        <w:t>7</w:t>
      </w:r>
      <w:r>
        <w:rPr>
          <w:rFonts w:cs="Times New Roman" w:hint="default"/>
          <w:sz w:val="30"/>
          <w:szCs w:val="30"/>
        </w:rPr>
        <w:t>.4</w:t>
      </w:r>
      <w:r>
        <w:rPr>
          <w:rFonts w:cs="Times New Roman" w:hint="default"/>
          <w:sz w:val="30"/>
          <w:szCs w:val="30"/>
        </w:rPr>
        <w:t>声环境影响预测与评价</w:t>
      </w:r>
      <w:bookmarkEnd w:id="293"/>
      <w:bookmarkEnd w:id="294"/>
      <w:bookmarkEnd w:id="295"/>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96" w:name="_Toc34989594"/>
      <w:bookmarkStart w:id="297" w:name="_Toc57826755"/>
      <w:r>
        <w:rPr>
          <w:rFonts w:cs="Times New Roman" w:hint="default"/>
          <w:sz w:val="28"/>
          <w:szCs w:val="28"/>
        </w:rPr>
        <w:t>7.4.1</w:t>
      </w:r>
      <w:r>
        <w:rPr>
          <w:rFonts w:cs="Times New Roman" w:hint="default"/>
          <w:sz w:val="28"/>
          <w:szCs w:val="28"/>
        </w:rPr>
        <w:t>施工期声环境影响预测与评价</w:t>
      </w:r>
      <w:bookmarkEnd w:id="296"/>
      <w:bookmarkEnd w:id="297"/>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1</w:t>
      </w:r>
      <w:r>
        <w:rPr>
          <w:rFonts w:cs="Times New Roman"/>
          <w:snapToGrid w:val="0"/>
          <w:szCs w:val="24"/>
          <w:lang w:val="zh-CN"/>
        </w:rPr>
        <w:t>）公路施工噪声源强</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公路建设施工阶段的噪声主要来自施工过程中施工机械和运输车辆产生的噪声，具有噪声大、无规律的特点，它对外界环境的影响是暂时的，随施工结束而消失。</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据调查，国内目前道路施工采用的机械设备主要有推土机、挖掘机、平地机、压路机和铺路机等，其声压级实地监测结果见表</w:t>
      </w:r>
      <w:r>
        <w:rPr>
          <w:rFonts w:cs="Times New Roman" w:hint="eastAsia"/>
          <w:snapToGrid w:val="0"/>
          <w:szCs w:val="24"/>
        </w:rPr>
        <w:t>7</w:t>
      </w:r>
      <w:r>
        <w:rPr>
          <w:rFonts w:cs="Times New Roman"/>
          <w:snapToGrid w:val="0"/>
          <w:szCs w:val="24"/>
          <w:lang w:val="zh-CN"/>
        </w:rPr>
        <w:t>.4-1</w:t>
      </w:r>
      <w:r>
        <w:rPr>
          <w:rFonts w:cs="Times New Roman"/>
          <w:snapToGrid w:val="0"/>
          <w:szCs w:val="24"/>
          <w:lang w:val="zh-CN"/>
        </w:rPr>
        <w:t>。</w:t>
      </w:r>
    </w:p>
    <w:p w:rsidR="00A46452" w:rsidRDefault="00A46452">
      <w:pPr>
        <w:pStyle w:val="1c"/>
        <w:wordWrap w:val="0"/>
        <w:topLinePunct/>
        <w:adjustRightInd w:val="0"/>
        <w:snapToGrid w:val="0"/>
        <w:ind w:firstLineChars="100" w:firstLine="240"/>
        <w:jc w:val="left"/>
        <w:rPr>
          <w:rFonts w:ascii="Times New Roman" w:hAnsi="Times New Roman" w:cs="Times New Roman" w:hint="default"/>
          <w:sz w:val="24"/>
          <w:szCs w:val="24"/>
        </w:rPr>
      </w:pPr>
    </w:p>
    <w:p w:rsidR="00A46452" w:rsidRDefault="009A3928">
      <w:pPr>
        <w:pStyle w:val="1c"/>
        <w:wordWrap w:val="0"/>
        <w:topLinePunct/>
        <w:adjustRightInd w:val="0"/>
        <w:snapToGrid w:val="0"/>
        <w:ind w:firstLineChars="100" w:firstLine="24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.4-1      </w:t>
      </w:r>
      <w:r>
        <w:rPr>
          <w:rFonts w:ascii="Times New Roman" w:hAnsi="Times New Roman" w:cs="Times New Roman" w:hint="default"/>
          <w:sz w:val="24"/>
          <w:szCs w:val="24"/>
        </w:rPr>
        <w:t>公路施工机械设备声级测试值及范围单位：</w:t>
      </w:r>
      <w:r>
        <w:rPr>
          <w:rFonts w:ascii="Times New Roman" w:hAnsi="Times New Roman" w:cs="Times New Roman" w:hint="default"/>
          <w:sz w:val="24"/>
          <w:szCs w:val="24"/>
        </w:rPr>
        <w:t>dB</w:t>
      </w:r>
      <w:r>
        <w:rPr>
          <w:rFonts w:ascii="Times New Roman" w:hAnsi="Times New Roman" w:cs="Times New Roman" w:hint="default"/>
          <w:sz w:val="24"/>
          <w:szCs w:val="24"/>
        </w:rPr>
        <w:t>（</w:t>
      </w:r>
      <w:r>
        <w:rPr>
          <w:rFonts w:ascii="Times New Roman" w:hAnsi="Times New Roman" w:cs="Times New Roman" w:hint="default"/>
          <w:sz w:val="24"/>
          <w:szCs w:val="24"/>
        </w:rPr>
        <w:t>A</w:t>
      </w:r>
      <w:r>
        <w:rPr>
          <w:rFonts w:ascii="Times New Roman" w:hAnsi="Times New Roman" w:cs="Times New Roman" w:hint="default"/>
          <w:sz w:val="24"/>
          <w:szCs w:val="24"/>
        </w:rPr>
        <w:t>）</w:t>
      </w:r>
    </w:p>
    <w:tbl>
      <w:tblPr>
        <w:tblW w:w="5000" w:type="pct"/>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6"/>
        <w:gridCol w:w="2070"/>
        <w:gridCol w:w="2406"/>
        <w:gridCol w:w="1596"/>
        <w:gridCol w:w="1567"/>
      </w:tblGrid>
      <w:tr w:rsidR="00A46452">
        <w:trPr>
          <w:trHeight w:val="20"/>
        </w:trPr>
        <w:tc>
          <w:tcPr>
            <w:tcW w:w="514" w:type="pc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序号</w:t>
            </w:r>
          </w:p>
        </w:tc>
        <w:tc>
          <w:tcPr>
            <w:tcW w:w="1215" w:type="pc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机械类型</w:t>
            </w:r>
          </w:p>
        </w:tc>
        <w:tc>
          <w:tcPr>
            <w:tcW w:w="1412" w:type="pc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型号</w:t>
            </w:r>
          </w:p>
        </w:tc>
        <w:tc>
          <w:tcPr>
            <w:tcW w:w="937" w:type="pc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测点距施工机械距离（</w:t>
            </w:r>
            <w:r>
              <w:rPr>
                <w:rFonts w:cs="Times New Roman" w:hint="default"/>
                <w:color w:val="auto"/>
                <w:sz w:val="18"/>
                <w:szCs w:val="18"/>
              </w:rPr>
              <w:t>m</w:t>
            </w:r>
            <w:r>
              <w:rPr>
                <w:rFonts w:cs="Times New Roman" w:hint="default"/>
                <w:color w:val="auto"/>
                <w:sz w:val="18"/>
                <w:szCs w:val="18"/>
              </w:rPr>
              <w:t>）</w:t>
            </w:r>
          </w:p>
        </w:tc>
        <w:tc>
          <w:tcPr>
            <w:tcW w:w="920" w:type="pct"/>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最大声级</w:t>
            </w:r>
            <w:r>
              <w:rPr>
                <w:rFonts w:cs="Times New Roman" w:hint="default"/>
                <w:color w:val="auto"/>
                <w:sz w:val="18"/>
                <w:szCs w:val="18"/>
              </w:rPr>
              <w:t>Lmax</w:t>
            </w:r>
            <w:r>
              <w:rPr>
                <w:rFonts w:cs="Times New Roman" w:hint="default"/>
                <w:color w:val="auto"/>
                <w:sz w:val="18"/>
                <w:szCs w:val="18"/>
              </w:rPr>
              <w:t>（</w:t>
            </w:r>
            <w:r>
              <w:rPr>
                <w:rFonts w:cs="Times New Roman" w:hint="default"/>
                <w:color w:val="auto"/>
                <w:sz w:val="18"/>
                <w:szCs w:val="18"/>
              </w:rPr>
              <w:t>dB(A)</w:t>
            </w:r>
            <w:r>
              <w:rPr>
                <w:rFonts w:cs="Times New Roman" w:hint="default"/>
                <w:color w:val="auto"/>
                <w:sz w:val="18"/>
                <w:szCs w:val="18"/>
              </w:rPr>
              <w:t>）</w:t>
            </w:r>
          </w:p>
        </w:tc>
      </w:tr>
      <w:tr w:rsidR="00A46452">
        <w:trPr>
          <w:trHeight w:val="20"/>
        </w:trPr>
        <w:tc>
          <w:tcPr>
            <w:tcW w:w="514" w:type="pct"/>
            <w:vMerge w:val="restar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1</w:t>
            </w:r>
          </w:p>
        </w:tc>
        <w:tc>
          <w:tcPr>
            <w:tcW w:w="1215"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轮式装卸机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ZL40</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90</w:t>
            </w:r>
          </w:p>
        </w:tc>
      </w:tr>
      <w:tr w:rsidR="00A46452">
        <w:trPr>
          <w:trHeight w:val="20"/>
        </w:trPr>
        <w:tc>
          <w:tcPr>
            <w:tcW w:w="514"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p>
        </w:tc>
        <w:tc>
          <w:tcPr>
            <w:tcW w:w="1215"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ZL50</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90</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2</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平地机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PY160A</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90</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3</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振动式压路机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YZJ10B</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86</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4</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双轮双振压路机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CC21</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81</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三轮压路机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81</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6</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轮胎压路机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ZL16</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76</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7</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推土机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T140</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86</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轮胎式液压挖掘机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W4-60C</w:t>
            </w:r>
            <w:r>
              <w:rPr>
                <w:rFonts w:cs="Times New Roman" w:hint="default"/>
                <w:color w:val="auto"/>
                <w:sz w:val="18"/>
                <w:szCs w:val="18"/>
              </w:rPr>
              <w:t>型</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84</w:t>
            </w:r>
          </w:p>
        </w:tc>
      </w:tr>
      <w:tr w:rsidR="00A46452">
        <w:trPr>
          <w:trHeight w:val="20"/>
        </w:trPr>
        <w:tc>
          <w:tcPr>
            <w:tcW w:w="514" w:type="pct"/>
            <w:vMerge w:val="restar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9</w:t>
            </w:r>
          </w:p>
        </w:tc>
        <w:tc>
          <w:tcPr>
            <w:tcW w:w="1215"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摊铺机</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Fifond311ABGCO</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82</w:t>
            </w:r>
          </w:p>
        </w:tc>
      </w:tr>
      <w:tr w:rsidR="00A46452">
        <w:trPr>
          <w:trHeight w:val="20"/>
        </w:trPr>
        <w:tc>
          <w:tcPr>
            <w:tcW w:w="514"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p>
        </w:tc>
        <w:tc>
          <w:tcPr>
            <w:tcW w:w="1215"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VoGELE</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5</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87</w:t>
            </w:r>
          </w:p>
        </w:tc>
      </w:tr>
      <w:tr w:rsidR="00A46452">
        <w:trPr>
          <w:trHeight w:val="20"/>
        </w:trPr>
        <w:tc>
          <w:tcPr>
            <w:tcW w:w="514"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10</w:t>
            </w:r>
          </w:p>
        </w:tc>
        <w:tc>
          <w:tcPr>
            <w:tcW w:w="1215"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发电机组</w:t>
            </w:r>
          </w:p>
        </w:tc>
        <w:tc>
          <w:tcPr>
            <w:tcW w:w="141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FKV-75</w:t>
            </w:r>
          </w:p>
        </w:tc>
        <w:tc>
          <w:tcPr>
            <w:tcW w:w="93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1</w:t>
            </w:r>
          </w:p>
        </w:tc>
        <w:tc>
          <w:tcPr>
            <w:tcW w:w="920"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98</w:t>
            </w:r>
          </w:p>
        </w:tc>
      </w:tr>
      <w:tr w:rsidR="00A46452">
        <w:trPr>
          <w:trHeight w:val="20"/>
        </w:trPr>
        <w:tc>
          <w:tcPr>
            <w:tcW w:w="514" w:type="pct"/>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11</w:t>
            </w:r>
          </w:p>
        </w:tc>
        <w:tc>
          <w:tcPr>
            <w:tcW w:w="1215"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冲击式钻井机</w:t>
            </w:r>
          </w:p>
        </w:tc>
        <w:tc>
          <w:tcPr>
            <w:tcW w:w="1412"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22</w:t>
            </w:r>
            <w:r>
              <w:rPr>
                <w:rFonts w:cs="Times New Roman" w:hint="default"/>
                <w:color w:val="auto"/>
                <w:sz w:val="18"/>
                <w:szCs w:val="18"/>
              </w:rPr>
              <w:t>型</w:t>
            </w:r>
          </w:p>
        </w:tc>
        <w:tc>
          <w:tcPr>
            <w:tcW w:w="937"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1</w:t>
            </w:r>
          </w:p>
        </w:tc>
        <w:tc>
          <w:tcPr>
            <w:tcW w:w="920" w:type="pct"/>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rsidP="00182EED">
            <w:pPr>
              <w:pStyle w:val="06"/>
              <w:widowControl w:val="0"/>
              <w:wordWrap w:val="0"/>
              <w:topLinePunct/>
              <w:adjustRightInd w:val="0"/>
              <w:snapToGrid w:val="0"/>
              <w:spacing w:line="240" w:lineRule="atLeast"/>
              <w:ind w:firstLine="360"/>
              <w:jc w:val="center"/>
              <w:rPr>
                <w:rFonts w:cs="Times New Roman" w:hint="default"/>
                <w:color w:val="auto"/>
                <w:sz w:val="18"/>
                <w:szCs w:val="18"/>
              </w:rPr>
            </w:pPr>
            <w:r>
              <w:rPr>
                <w:rFonts w:cs="Times New Roman" w:hint="default"/>
                <w:color w:val="auto"/>
                <w:sz w:val="18"/>
                <w:szCs w:val="18"/>
              </w:rPr>
              <w:t>87</w:t>
            </w:r>
          </w:p>
        </w:tc>
      </w:tr>
    </w:tbl>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）影响预测模式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噪声从声源传播到受声点，受传播距离，空气吸收，阻挡物的反射与屏障等因素的影响而产生衰减。用</w:t>
      </w:r>
      <w:r>
        <w:rPr>
          <w:rFonts w:cs="Times New Roman"/>
          <w:snapToGrid w:val="0"/>
          <w:szCs w:val="24"/>
          <w:lang w:val="zh-CN"/>
        </w:rPr>
        <w:t>A</w:t>
      </w:r>
      <w:r>
        <w:rPr>
          <w:rFonts w:cs="Times New Roman"/>
          <w:snapToGrid w:val="0"/>
          <w:szCs w:val="24"/>
          <w:lang w:val="zh-CN"/>
        </w:rPr>
        <w:t>声级进行预测时，其预测模式如下：</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 xml:space="preserve">  </w:t>
      </w:r>
      <w:r>
        <w:rPr>
          <w:rFonts w:cs="Times New Roman"/>
          <w:snapToGrid w:val="0"/>
          <w:szCs w:val="24"/>
        </w:rPr>
        <w:t xml:space="preserve">              </w:t>
      </w:r>
      <w:r>
        <w:rPr>
          <w:rFonts w:cs="Times New Roman"/>
          <w:snapToGrid w:val="0"/>
          <w:szCs w:val="24"/>
          <w:lang w:val="zh-CN"/>
        </w:rPr>
        <w:t>L</w:t>
      </w:r>
      <w:r>
        <w:rPr>
          <w:rFonts w:cs="Times New Roman"/>
          <w:snapToGrid w:val="0"/>
          <w:szCs w:val="24"/>
          <w:vertAlign w:val="subscript"/>
          <w:lang w:val="zh-CN"/>
        </w:rPr>
        <w:t>A(r)=</w:t>
      </w:r>
      <w:r>
        <w:rPr>
          <w:rFonts w:cs="Times New Roman"/>
          <w:snapToGrid w:val="0"/>
          <w:szCs w:val="24"/>
          <w:lang w:val="zh-CN"/>
        </w:rPr>
        <w:t>LA(r</w:t>
      </w:r>
      <w:r>
        <w:rPr>
          <w:rFonts w:cs="Times New Roman"/>
          <w:snapToGrid w:val="0"/>
          <w:szCs w:val="24"/>
          <w:vertAlign w:val="subscript"/>
          <w:lang w:val="zh-CN"/>
        </w:rPr>
        <w:t>0</w:t>
      </w:r>
      <w:r>
        <w:rPr>
          <w:rFonts w:cs="Times New Roman"/>
          <w:snapToGrid w:val="0"/>
          <w:szCs w:val="24"/>
          <w:lang w:val="zh-CN"/>
        </w:rPr>
        <w:t>)-(A</w:t>
      </w:r>
      <w:r>
        <w:rPr>
          <w:rFonts w:cs="Times New Roman"/>
          <w:snapToGrid w:val="0"/>
          <w:szCs w:val="24"/>
          <w:vertAlign w:val="subscript"/>
          <w:lang w:val="zh-CN"/>
        </w:rPr>
        <w:t>der</w:t>
      </w:r>
      <w:r>
        <w:rPr>
          <w:rFonts w:cs="Times New Roman"/>
          <w:snapToGrid w:val="0"/>
          <w:szCs w:val="24"/>
          <w:lang w:val="zh-CN"/>
        </w:rPr>
        <w:t>＋</w:t>
      </w:r>
      <w:r>
        <w:rPr>
          <w:rFonts w:cs="Times New Roman"/>
          <w:snapToGrid w:val="0"/>
          <w:szCs w:val="24"/>
          <w:lang w:val="zh-CN"/>
        </w:rPr>
        <w:t>A</w:t>
      </w:r>
      <w:r>
        <w:rPr>
          <w:rFonts w:cs="Times New Roman"/>
          <w:snapToGrid w:val="0"/>
          <w:szCs w:val="24"/>
          <w:vertAlign w:val="subscript"/>
          <w:lang w:val="zh-CN"/>
        </w:rPr>
        <w:t>bar</w:t>
      </w:r>
      <w:r>
        <w:rPr>
          <w:rFonts w:cs="Times New Roman"/>
          <w:snapToGrid w:val="0"/>
          <w:szCs w:val="24"/>
          <w:lang w:val="zh-CN"/>
        </w:rPr>
        <w:t>＋</w:t>
      </w:r>
      <w:r>
        <w:rPr>
          <w:rFonts w:cs="Times New Roman"/>
          <w:snapToGrid w:val="0"/>
          <w:szCs w:val="24"/>
          <w:lang w:val="zh-CN"/>
        </w:rPr>
        <w:t>A</w:t>
      </w:r>
      <w:r>
        <w:rPr>
          <w:rFonts w:cs="Times New Roman"/>
          <w:snapToGrid w:val="0"/>
          <w:szCs w:val="24"/>
          <w:vertAlign w:val="subscript"/>
          <w:lang w:val="zh-CN"/>
        </w:rPr>
        <w:t>atam</w:t>
      </w:r>
      <w:r>
        <w:rPr>
          <w:rFonts w:cs="Times New Roman"/>
          <w:snapToGrid w:val="0"/>
          <w:szCs w:val="24"/>
          <w:lang w:val="zh-CN"/>
        </w:rPr>
        <w:t>＋</w:t>
      </w:r>
      <w:r>
        <w:rPr>
          <w:rFonts w:cs="Times New Roman"/>
          <w:snapToGrid w:val="0"/>
          <w:szCs w:val="24"/>
          <w:lang w:val="zh-CN"/>
        </w:rPr>
        <w:t>A</w:t>
      </w:r>
      <w:r>
        <w:rPr>
          <w:rFonts w:cs="Times New Roman"/>
          <w:snapToGrid w:val="0"/>
          <w:szCs w:val="24"/>
          <w:vertAlign w:val="subscript"/>
          <w:lang w:val="zh-CN"/>
        </w:rPr>
        <w:t>exc</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式中，</w:t>
      </w:r>
      <w:r>
        <w:rPr>
          <w:rFonts w:cs="Times New Roman"/>
          <w:snapToGrid w:val="0"/>
          <w:szCs w:val="24"/>
          <w:lang w:val="zh-CN"/>
        </w:rPr>
        <w:t>L</w:t>
      </w:r>
      <w:r>
        <w:rPr>
          <w:rFonts w:cs="Times New Roman"/>
          <w:snapToGrid w:val="0"/>
          <w:szCs w:val="24"/>
          <w:vertAlign w:val="subscript"/>
          <w:lang w:val="zh-CN"/>
        </w:rPr>
        <w:t>A(r)</w:t>
      </w:r>
      <w:r>
        <w:rPr>
          <w:rFonts w:cs="Times New Roman"/>
          <w:snapToGrid w:val="0"/>
          <w:szCs w:val="24"/>
          <w:lang w:val="zh-CN"/>
        </w:rPr>
        <w:t>－距声源</w:t>
      </w:r>
      <w:r>
        <w:rPr>
          <w:rFonts w:cs="Times New Roman"/>
          <w:snapToGrid w:val="0"/>
          <w:szCs w:val="24"/>
          <w:lang w:val="zh-CN"/>
        </w:rPr>
        <w:t>r</w:t>
      </w:r>
      <w:r>
        <w:rPr>
          <w:rFonts w:cs="Times New Roman"/>
          <w:snapToGrid w:val="0"/>
          <w:szCs w:val="24"/>
          <w:lang w:val="zh-CN"/>
        </w:rPr>
        <w:t>处的</w:t>
      </w:r>
      <w:r>
        <w:rPr>
          <w:rFonts w:cs="Times New Roman"/>
          <w:snapToGrid w:val="0"/>
          <w:szCs w:val="24"/>
          <w:lang w:val="zh-CN"/>
        </w:rPr>
        <w:t>A</w:t>
      </w:r>
      <w:r>
        <w:rPr>
          <w:rFonts w:cs="Times New Roman"/>
          <w:snapToGrid w:val="0"/>
          <w:szCs w:val="24"/>
          <w:lang w:val="zh-CN"/>
        </w:rPr>
        <w:t>声级；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 xml:space="preserve">      L</w:t>
      </w:r>
      <w:r>
        <w:rPr>
          <w:rFonts w:cs="Times New Roman"/>
          <w:snapToGrid w:val="0"/>
          <w:szCs w:val="24"/>
          <w:vertAlign w:val="subscript"/>
          <w:lang w:val="zh-CN"/>
        </w:rPr>
        <w:t>A(r0)</w:t>
      </w:r>
      <w:r>
        <w:rPr>
          <w:rFonts w:cs="Times New Roman"/>
          <w:snapToGrid w:val="0"/>
          <w:szCs w:val="24"/>
          <w:lang w:val="zh-CN"/>
        </w:rPr>
        <w:t>－参考位置</w:t>
      </w:r>
      <w:r>
        <w:rPr>
          <w:rFonts w:cs="Times New Roman"/>
          <w:snapToGrid w:val="0"/>
          <w:szCs w:val="24"/>
          <w:lang w:val="zh-CN"/>
        </w:rPr>
        <w:t>r</w:t>
      </w:r>
      <w:r>
        <w:rPr>
          <w:rFonts w:cs="Times New Roman"/>
          <w:snapToGrid w:val="0"/>
          <w:szCs w:val="24"/>
          <w:vertAlign w:val="subscript"/>
          <w:lang w:val="zh-CN"/>
        </w:rPr>
        <w:t>0</w:t>
      </w:r>
      <w:r>
        <w:rPr>
          <w:rFonts w:cs="Times New Roman"/>
          <w:snapToGrid w:val="0"/>
          <w:szCs w:val="24"/>
          <w:lang w:val="zh-CN"/>
        </w:rPr>
        <w:t>处的</w:t>
      </w:r>
      <w:r>
        <w:rPr>
          <w:rFonts w:cs="Times New Roman"/>
          <w:snapToGrid w:val="0"/>
          <w:szCs w:val="24"/>
          <w:lang w:val="zh-CN"/>
        </w:rPr>
        <w:t>A</w:t>
      </w:r>
      <w:r>
        <w:rPr>
          <w:rFonts w:cs="Times New Roman"/>
          <w:snapToGrid w:val="0"/>
          <w:szCs w:val="24"/>
          <w:lang w:val="zh-CN"/>
        </w:rPr>
        <w:t>声级；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A</w:t>
      </w:r>
      <w:r>
        <w:rPr>
          <w:rFonts w:cs="Times New Roman"/>
          <w:snapToGrid w:val="0"/>
          <w:szCs w:val="24"/>
          <w:vertAlign w:val="subscript"/>
          <w:lang w:val="zh-CN"/>
        </w:rPr>
        <w:t>der</w:t>
      </w:r>
      <w:r>
        <w:rPr>
          <w:rFonts w:cs="Times New Roman"/>
          <w:snapToGrid w:val="0"/>
          <w:szCs w:val="24"/>
          <w:lang w:val="zh-CN"/>
        </w:rPr>
        <w:t>－声波几何发散所引起的</w:t>
      </w:r>
      <w:r>
        <w:rPr>
          <w:rFonts w:cs="Times New Roman"/>
          <w:snapToGrid w:val="0"/>
          <w:szCs w:val="24"/>
          <w:lang w:val="zh-CN"/>
        </w:rPr>
        <w:t>A</w:t>
      </w:r>
      <w:r>
        <w:rPr>
          <w:rFonts w:cs="Times New Roman"/>
          <w:snapToGrid w:val="0"/>
          <w:szCs w:val="24"/>
          <w:lang w:val="zh-CN"/>
        </w:rPr>
        <w:t>声级衰减量，即距离所引起的衰减，无指向性点声源几何发散衰减的基本公式为：</w:t>
      </w:r>
      <w:r>
        <w:rPr>
          <w:rFonts w:cs="Times New Roman"/>
          <w:snapToGrid w:val="0"/>
          <w:szCs w:val="24"/>
          <w:lang w:val="zh-CN"/>
        </w:rPr>
        <w:t>Ader</w:t>
      </w:r>
      <w:r>
        <w:rPr>
          <w:rFonts w:cs="Times New Roman"/>
          <w:snapToGrid w:val="0"/>
          <w:szCs w:val="24"/>
          <w:lang w:val="zh-CN"/>
        </w:rPr>
        <w:t>＝</w:t>
      </w:r>
      <w:r>
        <w:rPr>
          <w:rFonts w:cs="Times New Roman"/>
          <w:snapToGrid w:val="0"/>
          <w:szCs w:val="24"/>
          <w:lang w:val="zh-CN"/>
        </w:rPr>
        <w:t>20 lg(r /r</w:t>
      </w:r>
      <w:r>
        <w:rPr>
          <w:rFonts w:cs="Times New Roman"/>
          <w:snapToGrid w:val="0"/>
          <w:szCs w:val="24"/>
          <w:vertAlign w:val="subscript"/>
          <w:lang w:val="zh-CN"/>
        </w:rPr>
        <w:t>0</w:t>
      </w:r>
      <w:r>
        <w:rPr>
          <w:rFonts w:cs="Times New Roman"/>
          <w:snapToGrid w:val="0"/>
          <w:szCs w:val="24"/>
          <w:lang w:val="zh-CN"/>
        </w:rPr>
        <w:t>)</w:t>
      </w:r>
      <w:r>
        <w:rPr>
          <w:rFonts w:cs="Times New Roman"/>
          <w:snapToGrid w:val="0"/>
          <w:szCs w:val="24"/>
          <w:lang w:val="zh-CN"/>
        </w:rPr>
        <w:t>，可以计算得到，距离每增加一倍，衰减值是</w:t>
      </w:r>
      <w:r>
        <w:rPr>
          <w:rFonts w:cs="Times New Roman"/>
          <w:snapToGrid w:val="0"/>
          <w:szCs w:val="24"/>
          <w:lang w:val="zh-CN"/>
        </w:rPr>
        <w:t>6dB(A)</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A</w:t>
      </w:r>
      <w:r>
        <w:rPr>
          <w:rFonts w:cs="Times New Roman"/>
          <w:snapToGrid w:val="0"/>
          <w:szCs w:val="24"/>
          <w:vertAlign w:val="subscript"/>
          <w:lang w:val="zh-CN"/>
        </w:rPr>
        <w:t>bar</w:t>
      </w:r>
      <w:r>
        <w:rPr>
          <w:rFonts w:cs="Times New Roman"/>
          <w:snapToGrid w:val="0"/>
          <w:szCs w:val="24"/>
          <w:lang w:val="zh-CN"/>
        </w:rPr>
        <w:t>－遮挡物所引起的</w:t>
      </w:r>
      <w:r>
        <w:rPr>
          <w:rFonts w:cs="Times New Roman"/>
          <w:snapToGrid w:val="0"/>
          <w:szCs w:val="24"/>
          <w:lang w:val="zh-CN"/>
        </w:rPr>
        <w:t>A</w:t>
      </w:r>
      <w:r>
        <w:rPr>
          <w:rFonts w:cs="Times New Roman"/>
          <w:snapToGrid w:val="0"/>
          <w:szCs w:val="24"/>
          <w:lang w:val="zh-CN"/>
        </w:rPr>
        <w:t>声级衰减量，遮挡物通常包括建筑物墙壁的阻挡、建筑物声屏障效应以及植物的吸收效应等，对于产生阻挡的植物而言，只有通过密集的植物丛时，才会对噪声产生阻挡衰减作用；</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pict>
          <v:shape id="_x0000_s1027" type="#_x0000_t75" style="position:absolute;left:0;text-align:left;margin-left:381pt;margin-top:-7.8pt;width:24pt;height:30.75pt;z-index:251661312;mso-wrap-distance-left:9pt;mso-wrap-distance-top:0;mso-wrap-distance-right:9pt;mso-wrap-distance-bottom:0;mso-width-relative:page;mso-height-relative:page" fillcolor="#001">
            <v:imagedata r:id="rId56" o:title=""/>
            <w10:wrap type="square"/>
          </v:shape>
          <o:OLEObject Type="Embed" ProgID="Msxml2.SAXXMLReader.6.0" ShapeID="_x0000_s1027" DrawAspect="Content" ObjectID="_1812464704" r:id="rId57"/>
        </w:pict>
      </w:r>
      <w:r>
        <w:rPr>
          <w:rFonts w:cs="Times New Roman"/>
          <w:snapToGrid w:val="0"/>
          <w:szCs w:val="24"/>
          <w:lang w:val="zh-CN"/>
        </w:rPr>
        <w:t>A</w:t>
      </w:r>
      <w:r>
        <w:rPr>
          <w:rFonts w:cs="Times New Roman"/>
          <w:snapToGrid w:val="0"/>
          <w:szCs w:val="24"/>
          <w:vertAlign w:val="subscript"/>
          <w:lang w:val="zh-CN"/>
        </w:rPr>
        <w:t>atam</w:t>
      </w:r>
      <w:r>
        <w:rPr>
          <w:rFonts w:cs="Times New Roman"/>
          <w:snapToGrid w:val="0"/>
          <w:szCs w:val="24"/>
          <w:lang w:val="zh-CN"/>
        </w:rPr>
        <w:t>－空气吸收所引起的</w:t>
      </w:r>
      <w:r>
        <w:rPr>
          <w:rFonts w:cs="Times New Roman"/>
          <w:snapToGrid w:val="0"/>
          <w:szCs w:val="24"/>
          <w:lang w:val="zh-CN"/>
        </w:rPr>
        <w:t>A</w:t>
      </w:r>
      <w:r>
        <w:rPr>
          <w:rFonts w:cs="Times New Roman"/>
          <w:snapToGrid w:val="0"/>
          <w:szCs w:val="24"/>
          <w:lang w:val="zh-CN"/>
        </w:rPr>
        <w:t>声级衰减量，其计算公式为：</w:t>
      </w:r>
      <w:r>
        <w:rPr>
          <w:rFonts w:cs="Times New Roman"/>
          <w:snapToGrid w:val="0"/>
          <w:szCs w:val="24"/>
          <w:lang w:val="zh-CN"/>
        </w:rPr>
        <w:t>A</w:t>
      </w:r>
      <w:r>
        <w:rPr>
          <w:rFonts w:cs="Times New Roman"/>
          <w:snapToGrid w:val="0"/>
          <w:szCs w:val="24"/>
          <w:vertAlign w:val="subscript"/>
          <w:lang w:val="zh-CN"/>
        </w:rPr>
        <w:t>atam</w:t>
      </w:r>
      <w:r>
        <w:rPr>
          <w:rFonts w:cs="Times New Roman"/>
          <w:snapToGrid w:val="0"/>
          <w:szCs w:val="24"/>
          <w:lang w:val="zh-CN"/>
        </w:rPr>
        <w:t>＝其中</w:t>
      </w:r>
      <w:r>
        <w:rPr>
          <w:rFonts w:cs="Times New Roman"/>
          <w:snapToGrid w:val="0"/>
          <w:szCs w:val="24"/>
          <w:lang w:val="zh-CN"/>
        </w:rPr>
        <w:object w:dxaOrig="212" w:dyaOrig="212">
          <v:shape id="_x0000_i1025" type="#_x0000_t75" style="width:10.6pt;height:10.6pt" o:ole="" fillcolor="#001">
            <v:imagedata r:id="rId58" o:title=""/>
          </v:shape>
          <o:OLEObject Type="Embed" ProgID="Msxml2.SAXXMLReader.6.0" ShapeID="_x0000_i1025" DrawAspect="Content" ObjectID="_1812464696" r:id="rId59"/>
        </w:object>
      </w:r>
      <w:r>
        <w:rPr>
          <w:rFonts w:cs="Times New Roman"/>
          <w:snapToGrid w:val="0"/>
          <w:szCs w:val="24"/>
          <w:lang w:val="zh-CN"/>
        </w:rPr>
        <w:t>是每</w:t>
      </w:r>
      <w:r>
        <w:rPr>
          <w:rFonts w:cs="Times New Roman"/>
          <w:snapToGrid w:val="0"/>
          <w:szCs w:val="24"/>
          <w:lang w:val="zh-CN"/>
        </w:rPr>
        <w:t>100</w:t>
      </w:r>
      <w:r>
        <w:rPr>
          <w:rFonts w:cs="Times New Roman"/>
          <w:snapToGrid w:val="0"/>
          <w:szCs w:val="24"/>
          <w:lang w:val="zh-CN"/>
        </w:rPr>
        <w:t>米空气的吸声系数，其值与温度、湿度以及噪声的频率有关，一般来讲，对高频部分的空气吸声系数很大，而对中低频部分则很小，</w:t>
      </w:r>
      <w:r>
        <w:rPr>
          <w:rFonts w:cs="Times New Roman"/>
          <w:snapToGrid w:val="0"/>
          <w:szCs w:val="24"/>
          <w:lang w:val="zh-CN"/>
        </w:rPr>
        <w:object w:dxaOrig="212" w:dyaOrig="212">
          <v:shape id="_x0000_i1026" type="#_x0000_t75" style="width:10.6pt;height:10.6pt" o:ole="" fillcolor="#001">
            <v:imagedata r:id="rId60" o:title=""/>
          </v:shape>
          <o:OLEObject Type="Embed" ProgID="Msxml2.SAXXMLReader.6.0" ShapeID="_x0000_i1026" DrawAspect="Content" ObjectID="_1812464697" r:id="rId61"/>
        </w:object>
      </w:r>
      <w:r>
        <w:rPr>
          <w:rFonts w:cs="Times New Roman"/>
          <w:snapToGrid w:val="0"/>
          <w:szCs w:val="24"/>
          <w:lang w:val="zh-CN"/>
        </w:rPr>
        <w:t>是预测点到参考位置点的距离，当</w:t>
      </w:r>
      <w:r>
        <w:rPr>
          <w:rFonts w:cs="Times New Roman"/>
          <w:snapToGrid w:val="0"/>
          <w:szCs w:val="24"/>
          <w:lang w:val="zh-CN"/>
        </w:rPr>
        <w:object w:dxaOrig="212" w:dyaOrig="212">
          <v:shape id="_x0000_i1027" type="#_x0000_t75" style="width:10.6pt;height:10.6pt" o:ole="" fillcolor="#001">
            <v:imagedata r:id="rId60" o:title=""/>
          </v:shape>
          <o:OLEObject Type="Embed" ProgID="Msxml2.SAXXMLReader.6.0" ShapeID="_x0000_i1027" DrawAspect="Content" ObjectID="_1812464698" r:id="rId62"/>
        </w:object>
      </w:r>
      <w:r>
        <w:rPr>
          <w:rFonts w:cs="Times New Roman"/>
          <w:snapToGrid w:val="0"/>
          <w:szCs w:val="24"/>
          <w:lang w:val="zh-CN"/>
        </w:rPr>
        <w:t>&lt;200m</w:t>
      </w:r>
      <w:r>
        <w:rPr>
          <w:rFonts w:cs="Times New Roman"/>
          <w:snapToGrid w:val="0"/>
          <w:szCs w:val="24"/>
          <w:lang w:val="zh-CN"/>
        </w:rPr>
        <w:t>时，</w:t>
      </w:r>
      <w:r>
        <w:rPr>
          <w:rFonts w:cs="Times New Roman"/>
          <w:snapToGrid w:val="0"/>
          <w:szCs w:val="24"/>
          <w:lang w:val="zh-CN"/>
        </w:rPr>
        <w:t>Aatam</w:t>
      </w:r>
      <w:r>
        <w:rPr>
          <w:rFonts w:cs="Times New Roman"/>
          <w:snapToGrid w:val="0"/>
          <w:szCs w:val="24"/>
          <w:lang w:val="zh-CN"/>
        </w:rPr>
        <w:t>近似为零，一般情况忽略不计。</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A</w:t>
      </w:r>
      <w:r>
        <w:rPr>
          <w:rFonts w:cs="Times New Roman"/>
          <w:snapToGrid w:val="0"/>
          <w:szCs w:val="24"/>
          <w:vertAlign w:val="subscript"/>
          <w:lang w:val="zh-CN"/>
        </w:rPr>
        <w:t>exc</w:t>
      </w:r>
      <w:r>
        <w:rPr>
          <w:rFonts w:cs="Times New Roman"/>
          <w:snapToGrid w:val="0"/>
          <w:szCs w:val="24"/>
          <w:lang w:val="zh-CN"/>
        </w:rPr>
        <w:t>－附加</w:t>
      </w:r>
      <w:r>
        <w:rPr>
          <w:rFonts w:cs="Times New Roman"/>
          <w:snapToGrid w:val="0"/>
          <w:szCs w:val="24"/>
          <w:lang w:val="zh-CN"/>
        </w:rPr>
        <w:t>A</w:t>
      </w:r>
      <w:r>
        <w:rPr>
          <w:rFonts w:cs="Times New Roman"/>
          <w:snapToGrid w:val="0"/>
          <w:szCs w:val="24"/>
          <w:lang w:val="zh-CN"/>
        </w:rPr>
        <w:t>声级衰减量，附加声级衰减包括声波在传播过程中由于云、雾、温度梯度、风而引起的声能量衰减及地面反射和吸收，或近地面的气象条件所引起的衰减。一般情况下的环境影响评价中，不需考虑风、云、雾及温度梯度所引起的附加影响。但是遇到下列情况就要考虑地面效应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①</w:t>
      </w:r>
      <w:r>
        <w:rPr>
          <w:rFonts w:cs="Times New Roman"/>
          <w:snapToGrid w:val="0"/>
          <w:szCs w:val="24"/>
          <w:lang w:val="zh-CN"/>
        </w:rPr>
        <w:t>预测点距声源</w:t>
      </w:r>
      <w:r>
        <w:rPr>
          <w:rFonts w:cs="Times New Roman"/>
          <w:snapToGrid w:val="0"/>
          <w:szCs w:val="24"/>
          <w:lang w:val="zh-CN"/>
        </w:rPr>
        <w:t>50m</w:t>
      </w:r>
      <w:r>
        <w:rPr>
          <w:rFonts w:cs="Times New Roman"/>
          <w:snapToGrid w:val="0"/>
          <w:szCs w:val="24"/>
          <w:lang w:val="zh-CN"/>
        </w:rPr>
        <w:t>以上；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②</w:t>
      </w:r>
      <w:r>
        <w:rPr>
          <w:rFonts w:cs="Times New Roman"/>
          <w:snapToGrid w:val="0"/>
          <w:szCs w:val="24"/>
          <w:lang w:val="zh-CN"/>
        </w:rPr>
        <w:t>声源距地面高度和预测点距地面高度的平均值小于</w:t>
      </w:r>
      <w:r>
        <w:rPr>
          <w:rFonts w:cs="Times New Roman"/>
          <w:snapToGrid w:val="0"/>
          <w:szCs w:val="24"/>
          <w:lang w:val="zh-CN"/>
        </w:rPr>
        <w:t>3 m</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③</w:t>
      </w:r>
      <w:r>
        <w:rPr>
          <w:rFonts w:cs="Times New Roman"/>
          <w:snapToGrid w:val="0"/>
          <w:szCs w:val="24"/>
          <w:lang w:val="zh-CN"/>
        </w:rPr>
        <w:t>声源与预测点之间的地面为荒地。</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由于</w:t>
      </w:r>
      <w:r>
        <w:rPr>
          <w:rFonts w:cs="Times New Roman"/>
          <w:snapToGrid w:val="0"/>
          <w:szCs w:val="24"/>
          <w:lang w:val="zh-CN"/>
        </w:rPr>
        <w:t>上述情况导致的附加衰减量可以用公式</w:t>
      </w:r>
      <w:r>
        <w:rPr>
          <w:rFonts w:cs="Times New Roman"/>
          <w:snapToGrid w:val="0"/>
          <w:szCs w:val="24"/>
          <w:lang w:val="zh-CN"/>
        </w:rPr>
        <w:t>Aexc</w:t>
      </w:r>
      <w:r>
        <w:rPr>
          <w:rFonts w:cs="Times New Roman"/>
          <w:snapToGrid w:val="0"/>
          <w:szCs w:val="24"/>
          <w:lang w:val="zh-CN"/>
        </w:rPr>
        <w:t>＝</w:t>
      </w:r>
      <w:r>
        <w:rPr>
          <w:rFonts w:cs="Times New Roman"/>
          <w:snapToGrid w:val="0"/>
          <w:szCs w:val="24"/>
          <w:lang w:val="zh-CN"/>
        </w:rPr>
        <w:t>5lg(r/r0</w:t>
      </w:r>
      <w:r>
        <w:rPr>
          <w:rFonts w:cs="Times New Roman"/>
          <w:snapToGrid w:val="0"/>
          <w:szCs w:val="24"/>
          <w:lang w:val="zh-CN"/>
        </w:rPr>
        <w:t>）计算。</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pict>
          <v:shape id="_x0000_s1028" type="#_x0000_t75" style="position:absolute;left:0;text-align:left;margin-left:131.55pt;margin-top:15.4pt;width:143.3pt;height:29.8pt;z-index:251660288;mso-width-relative:page;mso-height-relative:page">
            <v:imagedata r:id="rId63" o:title=""/>
          </v:shape>
          <o:OLEObject Type="Embed" ProgID="Msxml2.SAXXMLReader.6.0" ShapeID="_x0000_s1028" DrawAspect="Content" ObjectID="_1812464705" r:id="rId64"/>
        </w:pict>
      </w:r>
      <w:r>
        <w:rPr>
          <w:rFonts w:cs="Times New Roman"/>
          <w:snapToGrid w:val="0"/>
          <w:szCs w:val="24"/>
          <w:lang w:val="zh-CN"/>
        </w:rPr>
        <w:t>本次评价采用下列公式计算距离施工机械不同距离处的噪声值。</w:t>
      </w:r>
    </w:p>
    <w:p w:rsidR="00A46452" w:rsidRDefault="00A46452">
      <w:pPr>
        <w:wordWrap w:val="0"/>
        <w:topLinePunct/>
        <w:adjustRightInd w:val="0"/>
        <w:snapToGrid w:val="0"/>
        <w:ind w:firstLine="480"/>
        <w:rPr>
          <w:rFonts w:cs="Times New Roman"/>
          <w:snapToGrid w:val="0"/>
          <w:szCs w:val="24"/>
          <w:lang w:val="zh-CN"/>
        </w:rPr>
      </w:pP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L</w:t>
      </w:r>
      <w:r>
        <w:rPr>
          <w:rFonts w:cs="Times New Roman"/>
          <w:snapToGrid w:val="0"/>
          <w:szCs w:val="24"/>
          <w:vertAlign w:val="subscript"/>
          <w:lang w:val="zh-CN"/>
        </w:rPr>
        <w:t>A(r)</w:t>
      </w:r>
      <w:r>
        <w:rPr>
          <w:rFonts w:cs="Times New Roman"/>
          <w:snapToGrid w:val="0"/>
          <w:szCs w:val="24"/>
          <w:lang w:val="zh-CN"/>
        </w:rPr>
        <w:t>＝</w:t>
      </w:r>
      <w:r>
        <w:rPr>
          <w:rFonts w:cs="Times New Roman"/>
          <w:snapToGrid w:val="0"/>
          <w:szCs w:val="24"/>
          <w:lang w:val="zh-CN"/>
        </w:rPr>
        <w:t>L</w:t>
      </w:r>
      <w:r>
        <w:rPr>
          <w:rFonts w:cs="Times New Roman"/>
          <w:snapToGrid w:val="0"/>
          <w:szCs w:val="24"/>
          <w:vertAlign w:val="subscript"/>
          <w:lang w:val="zh-CN"/>
        </w:rPr>
        <w:t>A(r0)</w:t>
      </w:r>
      <w:r>
        <w:rPr>
          <w:rFonts w:cs="Times New Roman"/>
          <w:snapToGrid w:val="0"/>
          <w:szCs w:val="24"/>
          <w:lang w:val="zh-CN"/>
        </w:rPr>
        <w:t>－</w:t>
      </w:r>
      <w:r>
        <w:rPr>
          <w:rFonts w:cs="Times New Roman"/>
          <w:snapToGrid w:val="0"/>
          <w:szCs w:val="24"/>
          <w:lang w:val="zh-CN"/>
        </w:rPr>
        <w:t>A</w:t>
      </w:r>
      <w:r>
        <w:rPr>
          <w:rFonts w:cs="Times New Roman"/>
          <w:snapToGrid w:val="0"/>
          <w:szCs w:val="24"/>
          <w:vertAlign w:val="subscript"/>
          <w:lang w:val="zh-CN"/>
        </w:rPr>
        <w:t>der</w:t>
      </w:r>
      <w:r>
        <w:rPr>
          <w:rFonts w:cs="Times New Roman"/>
          <w:snapToGrid w:val="0"/>
          <w:szCs w:val="24"/>
          <w:lang w:val="zh-CN"/>
        </w:rPr>
        <w:t>＝</w:t>
      </w:r>
      <w:r>
        <w:rPr>
          <w:rFonts w:cs="Times New Roman"/>
          <w:snapToGrid w:val="0"/>
          <w:szCs w:val="24"/>
          <w:lang w:val="zh-CN"/>
        </w:rPr>
        <w:t>L</w:t>
      </w:r>
      <w:r>
        <w:rPr>
          <w:rFonts w:cs="Times New Roman"/>
          <w:snapToGrid w:val="0"/>
          <w:szCs w:val="24"/>
          <w:vertAlign w:val="subscript"/>
          <w:lang w:val="zh-CN"/>
        </w:rPr>
        <w:t>A(r0)</w:t>
      </w:r>
      <w:r>
        <w:rPr>
          <w:rFonts w:cs="Times New Roman"/>
          <w:snapToGrid w:val="0"/>
          <w:szCs w:val="24"/>
          <w:lang w:val="zh-CN"/>
        </w:rPr>
        <w:t>－</w:t>
      </w:r>
      <w:r>
        <w:rPr>
          <w:rFonts w:cs="Times New Roman"/>
          <w:snapToGrid w:val="0"/>
          <w:szCs w:val="24"/>
          <w:lang w:val="zh-CN"/>
        </w:rPr>
        <w:t>20 lg(r /r0)</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多个机械同时作业的总等效连续</w:t>
      </w:r>
      <w:r>
        <w:rPr>
          <w:rFonts w:cs="Times New Roman"/>
          <w:snapToGrid w:val="0"/>
          <w:szCs w:val="24"/>
          <w:lang w:val="zh-CN"/>
        </w:rPr>
        <w:t>A</w:t>
      </w:r>
      <w:r>
        <w:rPr>
          <w:rFonts w:cs="Times New Roman"/>
          <w:snapToGrid w:val="0"/>
          <w:szCs w:val="24"/>
          <w:lang w:val="zh-CN"/>
        </w:rPr>
        <w:t>声级计算公式为：</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式中，</w:t>
      </w:r>
      <w:r>
        <w:rPr>
          <w:rFonts w:cs="Times New Roman"/>
          <w:snapToGrid w:val="0"/>
          <w:szCs w:val="24"/>
          <w:lang w:val="zh-CN"/>
        </w:rPr>
        <w:t>Leqi</w:t>
      </w:r>
      <w:r>
        <w:rPr>
          <w:rFonts w:cs="Times New Roman"/>
          <w:snapToGrid w:val="0"/>
          <w:szCs w:val="24"/>
          <w:lang w:val="zh-CN"/>
        </w:rPr>
        <w:t>－第</w:t>
      </w:r>
      <w:r>
        <w:rPr>
          <w:rFonts w:cs="Times New Roman"/>
          <w:snapToGrid w:val="0"/>
          <w:szCs w:val="24"/>
          <w:lang w:val="zh-CN"/>
        </w:rPr>
        <w:t>i</w:t>
      </w:r>
      <w:r>
        <w:rPr>
          <w:rFonts w:cs="Times New Roman"/>
          <w:snapToGrid w:val="0"/>
          <w:szCs w:val="24"/>
          <w:lang w:val="zh-CN"/>
        </w:rPr>
        <w:t>个声源对某预测点的等效声级。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在预测某处的噪声值时，首先利用上式计算声源在该处的总等效连续</w:t>
      </w:r>
      <w:r>
        <w:rPr>
          <w:rFonts w:cs="Times New Roman"/>
          <w:snapToGrid w:val="0"/>
          <w:szCs w:val="24"/>
          <w:lang w:val="zh-CN"/>
        </w:rPr>
        <w:t>A</w:t>
      </w:r>
      <w:r>
        <w:rPr>
          <w:rFonts w:cs="Times New Roman"/>
          <w:snapToGrid w:val="0"/>
          <w:szCs w:val="24"/>
          <w:lang w:val="zh-CN"/>
        </w:rPr>
        <w:t>声级，然后叠加该处的背景值，具体计算公式如下：</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L</w:t>
      </w:r>
      <w:r>
        <w:rPr>
          <w:rFonts w:cs="Times New Roman"/>
          <w:snapToGrid w:val="0"/>
          <w:szCs w:val="24"/>
          <w:vertAlign w:val="subscript"/>
          <w:lang w:val="zh-CN"/>
        </w:rPr>
        <w:t>pt</w:t>
      </w:r>
      <w:r>
        <w:rPr>
          <w:rFonts w:cs="Times New Roman"/>
          <w:snapToGrid w:val="0"/>
          <w:szCs w:val="24"/>
          <w:lang w:val="zh-CN"/>
        </w:rPr>
        <w:t>=10 lg(100.1L</w:t>
      </w:r>
      <w:r>
        <w:rPr>
          <w:rFonts w:cs="Times New Roman"/>
          <w:snapToGrid w:val="0"/>
          <w:szCs w:val="24"/>
          <w:vertAlign w:val="subscript"/>
          <w:lang w:val="zh-CN"/>
        </w:rPr>
        <w:t>1</w:t>
      </w:r>
      <w:r>
        <w:rPr>
          <w:rFonts w:cs="Times New Roman"/>
          <w:snapToGrid w:val="0"/>
          <w:szCs w:val="24"/>
          <w:lang w:val="zh-CN"/>
        </w:rPr>
        <w:t>+100.1L</w:t>
      </w:r>
      <w:r>
        <w:rPr>
          <w:rFonts w:cs="Times New Roman"/>
          <w:snapToGrid w:val="0"/>
          <w:szCs w:val="24"/>
          <w:lang w:val="zh-CN"/>
        </w:rPr>
        <w:object w:dxaOrig="125" w:dyaOrig="210">
          <v:shape id="_x0000_i1028" type="#_x0000_t75" style="width:6.25pt;height:10.5pt" o:ole="" fillcolor="#001">
            <v:imagedata r:id="rId65" o:title=""/>
          </v:shape>
          <o:OLEObject Type="Embed" ProgID="Msxml2.SAXXMLReader.6.0" ShapeID="_x0000_i1028" DrawAspect="Content" ObjectID="_1812464699" r:id="rId66"/>
        </w:objec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式中，</w:t>
      </w:r>
      <w:r>
        <w:rPr>
          <w:rFonts w:cs="Times New Roman"/>
          <w:snapToGrid w:val="0"/>
          <w:szCs w:val="24"/>
          <w:lang w:val="zh-CN"/>
        </w:rPr>
        <w:t>L</w:t>
      </w:r>
      <w:r>
        <w:rPr>
          <w:rFonts w:cs="Times New Roman"/>
          <w:snapToGrid w:val="0"/>
          <w:szCs w:val="24"/>
          <w:vertAlign w:val="subscript"/>
          <w:lang w:val="zh-CN"/>
        </w:rPr>
        <w:t>pt</w:t>
      </w:r>
      <w:r>
        <w:rPr>
          <w:rFonts w:cs="Times New Roman"/>
          <w:snapToGrid w:val="0"/>
          <w:szCs w:val="24"/>
          <w:lang w:val="zh-CN"/>
        </w:rPr>
        <w:t>－声场中某一点两个声源不同作用产生的总的声级；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 xml:space="preserve">      L</w:t>
      </w:r>
      <w:r>
        <w:rPr>
          <w:rFonts w:cs="Times New Roman"/>
          <w:snapToGrid w:val="0"/>
          <w:szCs w:val="24"/>
          <w:vertAlign w:val="subscript"/>
          <w:lang w:val="zh-CN"/>
        </w:rPr>
        <w:t>1</w:t>
      </w:r>
      <w:r>
        <w:rPr>
          <w:rFonts w:cs="Times New Roman"/>
          <w:snapToGrid w:val="0"/>
          <w:szCs w:val="24"/>
          <w:lang w:val="zh-CN"/>
        </w:rPr>
        <w:t>－该点的背景噪声值；</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 xml:space="preserve">      L</w:t>
      </w:r>
      <w:r>
        <w:rPr>
          <w:rFonts w:cs="Times New Roman"/>
          <w:snapToGrid w:val="0"/>
          <w:szCs w:val="24"/>
          <w:vertAlign w:val="subscript"/>
          <w:lang w:val="zh-CN"/>
        </w:rPr>
        <w:t>2</w:t>
      </w:r>
      <w:r>
        <w:rPr>
          <w:rFonts w:cs="Times New Roman"/>
          <w:snapToGrid w:val="0"/>
          <w:szCs w:val="24"/>
          <w:lang w:val="zh-CN"/>
        </w:rPr>
        <w:t>－另外一个声源到该点的声级值。</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3</w:t>
      </w:r>
      <w:r>
        <w:rPr>
          <w:rFonts w:cs="Times New Roman"/>
          <w:snapToGrid w:val="0"/>
          <w:szCs w:val="24"/>
          <w:lang w:val="zh-CN"/>
        </w:rPr>
        <w:t>）预测结果</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根据公路施工中几种主要机械设备的噪声值进行预测计算，预测单台机械设备的噪声值。现场施工时具体投入多少台机械设备很难预测，本次评价假设同一处施工路段有</w:t>
      </w:r>
      <w:r>
        <w:rPr>
          <w:rFonts w:cs="Times New Roman"/>
          <w:snapToGrid w:val="0"/>
          <w:szCs w:val="24"/>
          <w:lang w:val="zh-CN"/>
        </w:rPr>
        <w:t>5</w:t>
      </w:r>
      <w:r>
        <w:rPr>
          <w:rFonts w:cs="Times New Roman"/>
          <w:snapToGrid w:val="0"/>
          <w:szCs w:val="24"/>
          <w:lang w:val="zh-CN"/>
        </w:rPr>
        <w:t>台设备同时使用，将所产生的噪声叠加后预测对某个距离的总声压级。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施工期单台机械设备噪声预测值，详见表</w:t>
      </w:r>
      <w:r>
        <w:rPr>
          <w:rFonts w:cs="Times New Roman" w:hint="eastAsia"/>
          <w:snapToGrid w:val="0"/>
          <w:szCs w:val="24"/>
        </w:rPr>
        <w:t>7</w:t>
      </w:r>
      <w:r>
        <w:rPr>
          <w:rFonts w:cs="Times New Roman"/>
          <w:snapToGrid w:val="0"/>
          <w:szCs w:val="24"/>
          <w:lang w:val="zh-CN"/>
        </w:rPr>
        <w:t>.4-2</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.4-2              </w:t>
      </w:r>
      <w:r>
        <w:rPr>
          <w:rFonts w:ascii="Times New Roman" w:hAnsi="Times New Roman" w:cs="Times New Roman" w:hint="default"/>
          <w:sz w:val="24"/>
          <w:szCs w:val="24"/>
        </w:rPr>
        <w:t xml:space="preserve">   </w:t>
      </w:r>
      <w:r>
        <w:rPr>
          <w:rFonts w:ascii="Times New Roman" w:hAnsi="Times New Roman" w:cs="Times New Roman" w:hint="default"/>
          <w:sz w:val="24"/>
          <w:szCs w:val="24"/>
        </w:rPr>
        <w:t>单台机械设备的噪声预测值</w:t>
      </w:r>
    </w:p>
    <w:tbl>
      <w:tblPr>
        <w:tblW w:w="0" w:type="auto"/>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73"/>
        <w:gridCol w:w="644"/>
        <w:gridCol w:w="644"/>
        <w:gridCol w:w="644"/>
        <w:gridCol w:w="644"/>
        <w:gridCol w:w="644"/>
        <w:gridCol w:w="747"/>
        <w:gridCol w:w="747"/>
        <w:gridCol w:w="747"/>
        <w:gridCol w:w="747"/>
        <w:gridCol w:w="741"/>
      </w:tblGrid>
      <w:tr w:rsidR="00A46452">
        <w:trPr>
          <w:trHeight w:val="340"/>
        </w:trPr>
        <w:tc>
          <w:tcPr>
            <w:tcW w:w="1573" w:type="dxa"/>
            <w:vMerge w:val="restar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机械类型</w:t>
            </w:r>
          </w:p>
        </w:tc>
        <w:tc>
          <w:tcPr>
            <w:tcW w:w="6949" w:type="dxa"/>
            <w:gridSpan w:val="10"/>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噪声预测值</w:t>
            </w:r>
            <w:r>
              <w:rPr>
                <w:rFonts w:cs="Times New Roman" w:hint="default"/>
                <w:sz w:val="18"/>
                <w:szCs w:val="18"/>
              </w:rPr>
              <w:t>（</w:t>
            </w:r>
            <w:r>
              <w:rPr>
                <w:rFonts w:cs="Times New Roman" w:hint="default"/>
                <w:sz w:val="18"/>
                <w:szCs w:val="18"/>
              </w:rPr>
              <w:t>dB(A)</w:t>
            </w:r>
            <w:r>
              <w:rPr>
                <w:rFonts w:cs="Times New Roman" w:hint="default"/>
                <w:sz w:val="18"/>
                <w:szCs w:val="18"/>
              </w:rPr>
              <w:t>）</w:t>
            </w:r>
          </w:p>
        </w:tc>
      </w:tr>
      <w:tr w:rsidR="00A46452">
        <w:trPr>
          <w:trHeight w:val="340"/>
        </w:trPr>
        <w:tc>
          <w:tcPr>
            <w:tcW w:w="1573" w:type="dxa"/>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5m</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10m</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20m</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40m</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50m</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100m</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150m</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200m</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300m</w:t>
            </w:r>
          </w:p>
        </w:tc>
        <w:tc>
          <w:tcPr>
            <w:tcW w:w="741"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400m</w:t>
            </w:r>
          </w:p>
        </w:tc>
      </w:tr>
      <w:tr w:rsidR="00A46452">
        <w:trPr>
          <w:trHeight w:val="340"/>
        </w:trPr>
        <w:tc>
          <w:tcPr>
            <w:tcW w:w="1573" w:type="dxa"/>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推土机</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86</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80</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74</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68</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66</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60</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56.5</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54</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50.5</w:t>
            </w:r>
          </w:p>
        </w:tc>
        <w:tc>
          <w:tcPr>
            <w:tcW w:w="741"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48</w:t>
            </w:r>
          </w:p>
        </w:tc>
      </w:tr>
      <w:tr w:rsidR="00A46452">
        <w:trPr>
          <w:trHeight w:val="340"/>
        </w:trPr>
        <w:tc>
          <w:tcPr>
            <w:tcW w:w="1573" w:type="dxa"/>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振动式压路机</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86</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80</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74</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68</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66</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60</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56.5</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54</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50.5</w:t>
            </w:r>
          </w:p>
        </w:tc>
        <w:tc>
          <w:tcPr>
            <w:tcW w:w="741"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48</w:t>
            </w:r>
          </w:p>
        </w:tc>
      </w:tr>
      <w:tr w:rsidR="00A46452">
        <w:trPr>
          <w:trHeight w:val="340"/>
        </w:trPr>
        <w:tc>
          <w:tcPr>
            <w:tcW w:w="1573" w:type="dxa"/>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液压挖土机</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84</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78</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72</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66</w:t>
            </w:r>
          </w:p>
        </w:tc>
        <w:tc>
          <w:tcPr>
            <w:tcW w:w="64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64</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58</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54.5</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52</w:t>
            </w:r>
          </w:p>
        </w:tc>
        <w:tc>
          <w:tcPr>
            <w:tcW w:w="74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48.5</w:t>
            </w:r>
          </w:p>
        </w:tc>
        <w:tc>
          <w:tcPr>
            <w:tcW w:w="741"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46</w:t>
            </w:r>
          </w:p>
        </w:tc>
      </w:tr>
      <w:tr w:rsidR="00A46452">
        <w:trPr>
          <w:trHeight w:val="340"/>
        </w:trPr>
        <w:tc>
          <w:tcPr>
            <w:tcW w:w="1573" w:type="dxa"/>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卡车</w:t>
            </w:r>
          </w:p>
        </w:tc>
        <w:tc>
          <w:tcPr>
            <w:tcW w:w="64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91</w:t>
            </w:r>
          </w:p>
        </w:tc>
        <w:tc>
          <w:tcPr>
            <w:tcW w:w="64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85</w:t>
            </w:r>
          </w:p>
        </w:tc>
        <w:tc>
          <w:tcPr>
            <w:tcW w:w="64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79</w:t>
            </w:r>
          </w:p>
        </w:tc>
        <w:tc>
          <w:tcPr>
            <w:tcW w:w="64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73</w:t>
            </w:r>
          </w:p>
        </w:tc>
        <w:tc>
          <w:tcPr>
            <w:tcW w:w="64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71</w:t>
            </w:r>
          </w:p>
        </w:tc>
        <w:tc>
          <w:tcPr>
            <w:tcW w:w="747"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65</w:t>
            </w:r>
          </w:p>
        </w:tc>
        <w:tc>
          <w:tcPr>
            <w:tcW w:w="747"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61.5</w:t>
            </w:r>
          </w:p>
        </w:tc>
        <w:tc>
          <w:tcPr>
            <w:tcW w:w="747"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59</w:t>
            </w:r>
          </w:p>
        </w:tc>
        <w:tc>
          <w:tcPr>
            <w:tcW w:w="747"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55.4</w:t>
            </w:r>
          </w:p>
        </w:tc>
        <w:tc>
          <w:tcPr>
            <w:tcW w:w="741" w:type="dxa"/>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 w:val="18"/>
                <w:szCs w:val="18"/>
              </w:rPr>
            </w:pPr>
            <w:r>
              <w:rPr>
                <w:rFonts w:cs="Times New Roman" w:hint="default"/>
                <w:sz w:val="18"/>
                <w:szCs w:val="18"/>
              </w:rPr>
              <w:t>53</w:t>
            </w:r>
          </w:p>
        </w:tc>
      </w:tr>
    </w:tbl>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施工期多台机械设备同时运转噪声预测值</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具体预测值见表</w:t>
      </w:r>
      <w:r>
        <w:rPr>
          <w:rFonts w:cs="Times New Roman" w:hint="eastAsia"/>
          <w:snapToGrid w:val="0"/>
          <w:szCs w:val="24"/>
        </w:rPr>
        <w:t>7</w:t>
      </w:r>
      <w:r>
        <w:rPr>
          <w:rFonts w:cs="Times New Roman"/>
          <w:snapToGrid w:val="0"/>
          <w:szCs w:val="24"/>
          <w:lang w:val="zh-CN"/>
        </w:rPr>
        <w:t>.4-3</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.4-3         </w:t>
      </w:r>
      <w:r>
        <w:rPr>
          <w:rFonts w:ascii="Times New Roman" w:hAnsi="Times New Roman" w:cs="Times New Roman" w:hint="default"/>
          <w:sz w:val="24"/>
          <w:szCs w:val="24"/>
        </w:rPr>
        <w:t xml:space="preserve">   </w:t>
      </w:r>
      <w:r>
        <w:rPr>
          <w:rFonts w:ascii="Times New Roman" w:hAnsi="Times New Roman" w:cs="Times New Roman" w:hint="default"/>
          <w:sz w:val="24"/>
          <w:szCs w:val="24"/>
        </w:rPr>
        <w:t>多台机械设备同时运转的噪声预测值</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(dB(A))</w:t>
      </w:r>
    </w:p>
    <w:tbl>
      <w:tblPr>
        <w:tblW w:w="5000" w:type="pct"/>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9"/>
        <w:gridCol w:w="655"/>
        <w:gridCol w:w="655"/>
        <w:gridCol w:w="655"/>
        <w:gridCol w:w="656"/>
        <w:gridCol w:w="656"/>
        <w:gridCol w:w="656"/>
        <w:gridCol w:w="656"/>
        <w:gridCol w:w="656"/>
        <w:gridCol w:w="656"/>
        <w:gridCol w:w="656"/>
        <w:gridCol w:w="649"/>
      </w:tblGrid>
      <w:tr w:rsidR="00A46452">
        <w:trPr>
          <w:trHeight w:val="340"/>
        </w:trPr>
        <w:tc>
          <w:tcPr>
            <w:tcW w:w="769" w:type="pc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距离（</w:t>
            </w:r>
            <w:r>
              <w:rPr>
                <w:rFonts w:cs="Times New Roman"/>
                <w:sz w:val="18"/>
                <w:szCs w:val="18"/>
              </w:rPr>
              <w:t>m</w:t>
            </w:r>
            <w:r>
              <w:rPr>
                <w:rFonts w:cs="Times New Roman"/>
                <w:sz w:val="18"/>
                <w:szCs w:val="18"/>
              </w:rPr>
              <w:t>）</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150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300</w:t>
            </w:r>
          </w:p>
        </w:tc>
        <w:tc>
          <w:tcPr>
            <w:tcW w:w="385"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400</w:t>
            </w:r>
          </w:p>
        </w:tc>
        <w:tc>
          <w:tcPr>
            <w:tcW w:w="381" w:type="pc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500</w:t>
            </w:r>
          </w:p>
        </w:tc>
      </w:tr>
      <w:tr w:rsidR="00A46452">
        <w:trPr>
          <w:trHeight w:val="340"/>
        </w:trPr>
        <w:tc>
          <w:tcPr>
            <w:tcW w:w="769" w:type="pct"/>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噪声预测值</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93.6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86.6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80.6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74.6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73.6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67.6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64.1</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61.6</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58.1</w:t>
            </w:r>
          </w:p>
        </w:tc>
        <w:tc>
          <w:tcPr>
            <w:tcW w:w="385"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55.6</w:t>
            </w:r>
          </w:p>
        </w:tc>
        <w:tc>
          <w:tcPr>
            <w:tcW w:w="381"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pStyle w:val="CharCharCharCharCharCharCharCharChar"/>
              <w:wordWrap w:val="0"/>
              <w:topLinePunct/>
              <w:adjustRightInd w:val="0"/>
              <w:snapToGrid w:val="0"/>
              <w:spacing w:line="240" w:lineRule="auto"/>
              <w:ind w:firstLineChars="0" w:firstLine="0"/>
              <w:jc w:val="center"/>
              <w:rPr>
                <w:rFonts w:cs="Times New Roman" w:hint="default"/>
                <w:szCs w:val="18"/>
              </w:rPr>
            </w:pPr>
            <w:r>
              <w:rPr>
                <w:rFonts w:cs="Times New Roman" w:hint="default"/>
                <w:szCs w:val="18"/>
              </w:rPr>
              <w:t>53.6</w:t>
            </w:r>
          </w:p>
        </w:tc>
      </w:tr>
    </w:tbl>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从表</w:t>
      </w:r>
      <w:r>
        <w:rPr>
          <w:rFonts w:cs="Times New Roman"/>
          <w:snapToGrid w:val="0"/>
          <w:szCs w:val="24"/>
          <w:lang w:val="zh-CN"/>
        </w:rPr>
        <w:t>5.4-2</w:t>
      </w:r>
      <w:r>
        <w:rPr>
          <w:rFonts w:cs="Times New Roman"/>
          <w:snapToGrid w:val="0"/>
          <w:szCs w:val="24"/>
          <w:lang w:val="zh-CN"/>
        </w:rPr>
        <w:t>预测结果可知：单台机械施工，昼间距离施工现场</w:t>
      </w:r>
      <w:r>
        <w:rPr>
          <w:rFonts w:cs="Times New Roman"/>
          <w:snapToGrid w:val="0"/>
          <w:szCs w:val="24"/>
          <w:lang w:val="zh-CN"/>
        </w:rPr>
        <w:t>50m</w:t>
      </w:r>
      <w:r>
        <w:rPr>
          <w:rFonts w:cs="Times New Roman"/>
          <w:snapToGrid w:val="0"/>
          <w:szCs w:val="24"/>
          <w:lang w:val="zh-CN"/>
        </w:rPr>
        <w:t>以外噪声基本可以满足《建筑施工场界环境噪声排放标准》（</w:t>
      </w:r>
      <w:r>
        <w:rPr>
          <w:rFonts w:cs="Times New Roman"/>
          <w:snapToGrid w:val="0"/>
          <w:szCs w:val="24"/>
          <w:lang w:val="zh-CN"/>
        </w:rPr>
        <w:t>GB12523-2011</w:t>
      </w:r>
      <w:r>
        <w:rPr>
          <w:rFonts w:cs="Times New Roman"/>
          <w:snapToGrid w:val="0"/>
          <w:szCs w:val="24"/>
          <w:lang w:val="zh-CN"/>
        </w:rPr>
        <w:t>）标准要求，但在施工场地外围约</w:t>
      </w:r>
      <w:r>
        <w:rPr>
          <w:rFonts w:cs="Times New Roman"/>
          <w:snapToGrid w:val="0"/>
          <w:szCs w:val="24"/>
          <w:lang w:val="zh-CN"/>
        </w:rPr>
        <w:t>50m</w:t>
      </w:r>
      <w:r>
        <w:rPr>
          <w:rFonts w:cs="Times New Roman"/>
          <w:snapToGrid w:val="0"/>
          <w:szCs w:val="24"/>
          <w:lang w:val="zh-CN"/>
        </w:rPr>
        <w:t>范围内的人将受较大的影响；夜间施工，距离施工现场约</w:t>
      </w:r>
      <w:r>
        <w:rPr>
          <w:rFonts w:cs="Times New Roman"/>
          <w:snapToGrid w:val="0"/>
          <w:szCs w:val="24"/>
          <w:lang w:val="zh-CN"/>
        </w:rPr>
        <w:t>300m</w:t>
      </w:r>
      <w:r>
        <w:rPr>
          <w:rFonts w:cs="Times New Roman"/>
          <w:snapToGrid w:val="0"/>
          <w:szCs w:val="24"/>
          <w:lang w:val="zh-CN"/>
        </w:rPr>
        <w:t>才能满足标准要求。</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从表</w:t>
      </w:r>
      <w:r>
        <w:rPr>
          <w:rFonts w:cs="Times New Roman"/>
          <w:snapToGrid w:val="0"/>
          <w:szCs w:val="24"/>
          <w:lang w:val="zh-CN"/>
        </w:rPr>
        <w:t>5.4-3</w:t>
      </w:r>
      <w:r>
        <w:rPr>
          <w:rFonts w:cs="Times New Roman"/>
          <w:snapToGrid w:val="0"/>
          <w:szCs w:val="24"/>
          <w:lang w:val="zh-CN"/>
        </w:rPr>
        <w:t>预测结果可知：多台机械设备同时运转时，昼间距离噪声源</w:t>
      </w:r>
      <w:r>
        <w:rPr>
          <w:rFonts w:cs="Times New Roman"/>
          <w:snapToGrid w:val="0"/>
          <w:szCs w:val="24"/>
          <w:lang w:val="zh-CN"/>
        </w:rPr>
        <w:t>80m</w:t>
      </w:r>
      <w:r>
        <w:rPr>
          <w:rFonts w:cs="Times New Roman"/>
          <w:snapToGrid w:val="0"/>
          <w:szCs w:val="24"/>
          <w:lang w:val="zh-CN"/>
        </w:rPr>
        <w:t>左右才能满足《建筑施工场界环境噪声排放标准》（</w:t>
      </w:r>
      <w:r>
        <w:rPr>
          <w:rFonts w:cs="Times New Roman"/>
          <w:snapToGrid w:val="0"/>
          <w:szCs w:val="24"/>
          <w:lang w:val="zh-CN"/>
        </w:rPr>
        <w:t>GB12523-2011</w:t>
      </w:r>
      <w:r>
        <w:rPr>
          <w:rFonts w:cs="Times New Roman"/>
          <w:snapToGrid w:val="0"/>
          <w:szCs w:val="24"/>
          <w:lang w:val="zh-CN"/>
        </w:rPr>
        <w:t>）标准要求，但在场地外围约</w:t>
      </w:r>
      <w:r>
        <w:rPr>
          <w:rFonts w:cs="Times New Roman"/>
          <w:snapToGrid w:val="0"/>
          <w:szCs w:val="24"/>
          <w:lang w:val="zh-CN"/>
        </w:rPr>
        <w:t>80m</w:t>
      </w:r>
      <w:r>
        <w:rPr>
          <w:rFonts w:cs="Times New Roman"/>
          <w:snapToGrid w:val="0"/>
          <w:szCs w:val="24"/>
          <w:lang w:val="zh-CN"/>
        </w:rPr>
        <w:t>范围内的人员将受较大的影响；在夜间施工，距离施工现场约</w:t>
      </w:r>
      <w:r>
        <w:rPr>
          <w:rFonts w:cs="Times New Roman"/>
          <w:snapToGrid w:val="0"/>
          <w:szCs w:val="24"/>
          <w:lang w:val="zh-CN"/>
        </w:rPr>
        <w:t>500m</w:t>
      </w:r>
      <w:r>
        <w:rPr>
          <w:rFonts w:cs="Times New Roman"/>
          <w:snapToGrid w:val="0"/>
          <w:szCs w:val="24"/>
          <w:lang w:val="zh-CN"/>
        </w:rPr>
        <w:t>能满足《建筑施工场界环境噪声排放标准》（</w:t>
      </w:r>
      <w:r>
        <w:rPr>
          <w:rFonts w:cs="Times New Roman"/>
          <w:snapToGrid w:val="0"/>
          <w:szCs w:val="24"/>
          <w:lang w:val="zh-CN"/>
        </w:rPr>
        <w:t>GB12523-2011</w:t>
      </w:r>
      <w:r>
        <w:rPr>
          <w:rFonts w:cs="Times New Roman"/>
          <w:snapToGrid w:val="0"/>
          <w:szCs w:val="24"/>
          <w:lang w:val="zh-CN"/>
        </w:rPr>
        <w:t>），夜间施工对周边环境的影响更为严重。因此，在</w:t>
      </w:r>
      <w:r>
        <w:rPr>
          <w:rFonts w:cs="Times New Roman"/>
          <w:snapToGrid w:val="0"/>
          <w:szCs w:val="24"/>
        </w:rPr>
        <w:t>柯坪县</w:t>
      </w:r>
      <w:r>
        <w:rPr>
          <w:rFonts w:cs="Times New Roman"/>
          <w:snapToGrid w:val="0"/>
          <w:szCs w:val="24"/>
          <w:lang w:val="zh-CN"/>
        </w:rPr>
        <w:t>声环境敏感区分布的路段禁止夜间施工。</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施工噪声主要发生在路基施工、路面施工阶段，因此，做好道路沿线各敏感点施工期的噪声防护和治理工作十分重要。</w:t>
      </w:r>
      <w:r>
        <w:rPr>
          <w:rFonts w:cs="Times New Roman"/>
          <w:snapToGrid w:val="0"/>
          <w:szCs w:val="24"/>
        </w:rPr>
        <w:t>公路施工噪声是社会</w:t>
      </w:r>
      <w:r>
        <w:rPr>
          <w:rFonts w:cs="Times New Roman"/>
          <w:snapToGrid w:val="0"/>
          <w:szCs w:val="24"/>
        </w:rPr>
        <w:t>发展过程中的短期污染行为，一般的居民均能理解。但是建设施工单位为保护沿线居民的正常生活和休息，应合理地安排施工进度和时间，文明施工、环保施工，并采取必要的噪声控制措施，降低施工噪声对环境的影响。因此施工时，应合理安排施工流程，尽量避免多台施工机械同时施工，禁止夜间施工；当距离敏感点较近时，采取临时围护屏障来降噪；对高噪音施工机械设备安装消声器，加装减震垫，做好以上措施后，因施工对敏感点造成的噪声影响可</w:t>
      </w:r>
      <w:r>
        <w:rPr>
          <w:rFonts w:cs="Times New Roman"/>
          <w:snapToGrid w:val="0"/>
          <w:szCs w:val="24"/>
        </w:rPr>
        <w:t>大大降低</w:t>
      </w:r>
      <w:r>
        <w:rPr>
          <w:rFonts w:cs="Times New Roman"/>
          <w:snapToGrid w:val="0"/>
          <w:szCs w:val="24"/>
        </w:rPr>
        <w:t>，同时现场施工人员应配备头盔、耳塞等个人防护用品来减轻噪声对</w:t>
      </w:r>
      <w:r>
        <w:rPr>
          <w:rFonts w:cs="Times New Roman"/>
          <w:snapToGrid w:val="0"/>
          <w:szCs w:val="24"/>
        </w:rPr>
        <w:t>其影响</w:t>
      </w:r>
      <w:r>
        <w:rPr>
          <w:rFonts w:cs="Times New Roman"/>
          <w:snapToGrid w:val="0"/>
          <w:szCs w:val="24"/>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298" w:name="_Toc34989595"/>
      <w:bookmarkStart w:id="299" w:name="_Toc57826756"/>
      <w:r>
        <w:rPr>
          <w:rFonts w:cs="Times New Roman" w:hint="default"/>
          <w:sz w:val="28"/>
          <w:szCs w:val="28"/>
        </w:rPr>
        <w:t>7.4.2</w:t>
      </w:r>
      <w:r>
        <w:rPr>
          <w:rFonts w:cs="Times New Roman" w:hint="default"/>
          <w:sz w:val="28"/>
          <w:szCs w:val="28"/>
        </w:rPr>
        <w:t>运营期声环境影响预测</w:t>
      </w:r>
      <w:r>
        <w:rPr>
          <w:rFonts w:cs="Times New Roman" w:hint="default"/>
          <w:sz w:val="28"/>
          <w:szCs w:val="28"/>
        </w:rPr>
        <w:t>与评价</w:t>
      </w:r>
      <w:bookmarkEnd w:id="298"/>
      <w:bookmarkEnd w:id="299"/>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运营期对声环境的影响主要来自交通噪声。根据《环境影响评价技术导则声环境》（</w:t>
      </w:r>
      <w:r>
        <w:rPr>
          <w:rFonts w:cs="Times New Roman"/>
          <w:snapToGrid w:val="0"/>
          <w:szCs w:val="24"/>
          <w:lang w:val="zh-CN"/>
        </w:rPr>
        <w:t>HJ2.4-2021</w:t>
      </w:r>
      <w:r>
        <w:rPr>
          <w:rFonts w:cs="Times New Roman"/>
          <w:snapToGrid w:val="0"/>
          <w:szCs w:val="24"/>
          <w:lang w:val="zh-CN"/>
        </w:rPr>
        <w:t>），对运营期在近期、中期、远期的噪声总体水平及敏感点的噪声影响作出预测和评价，以便根据噪声影响的实际情况因地制宜地制定合理的降噪措施，并给今后在项目沿线的相关规划提供科学的依据。</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7.4.2.1</w:t>
      </w:r>
      <w:r>
        <w:rPr>
          <w:rFonts w:cs="Times New Roman" w:hint="default"/>
          <w:iCs/>
        </w:rPr>
        <w:t>工程交通量</w:t>
      </w:r>
    </w:p>
    <w:p w:rsidR="00A46452" w:rsidRDefault="009A3928">
      <w:pPr>
        <w:wordWrap w:val="0"/>
        <w:topLinePunct/>
        <w:adjustRightInd w:val="0"/>
        <w:snapToGrid w:val="0"/>
        <w:ind w:firstLine="480"/>
        <w:rPr>
          <w:rFonts w:cs="Times New Roman"/>
          <w:szCs w:val="24"/>
        </w:rPr>
      </w:pPr>
      <w:r>
        <w:rPr>
          <w:rFonts w:cs="Times New Roman"/>
          <w:szCs w:val="24"/>
        </w:rPr>
        <w:t>根据《环境影响评价技术导则</w:t>
      </w:r>
      <w:r>
        <w:rPr>
          <w:rFonts w:cs="Times New Roman"/>
          <w:szCs w:val="24"/>
        </w:rPr>
        <w:t xml:space="preserve"> </w:t>
      </w:r>
      <w:r>
        <w:rPr>
          <w:rFonts w:cs="Times New Roman"/>
          <w:szCs w:val="24"/>
        </w:rPr>
        <w:t>公路建设项目》（</w:t>
      </w:r>
      <w:r>
        <w:rPr>
          <w:rFonts w:cs="Times New Roman"/>
          <w:szCs w:val="24"/>
        </w:rPr>
        <w:t>HJ1358-2024</w:t>
      </w:r>
      <w:r>
        <w:rPr>
          <w:rFonts w:cs="Times New Roman"/>
          <w:szCs w:val="24"/>
        </w:rPr>
        <w:t>）附录</w:t>
      </w:r>
      <w:r>
        <w:rPr>
          <w:rFonts w:cs="Times New Roman"/>
          <w:szCs w:val="24"/>
        </w:rPr>
        <w:t>B.1.1.1</w:t>
      </w:r>
      <w:r>
        <w:rPr>
          <w:rFonts w:cs="Times New Roman"/>
          <w:szCs w:val="24"/>
        </w:rPr>
        <w:t>中的</w:t>
      </w:r>
      <w:r>
        <w:rPr>
          <w:rFonts w:cs="Times New Roman"/>
          <w:szCs w:val="24"/>
        </w:rPr>
        <w:t>“</w:t>
      </w:r>
      <w:r>
        <w:rPr>
          <w:rFonts w:cs="Times New Roman"/>
          <w:szCs w:val="24"/>
        </w:rPr>
        <w:t>b</w:t>
      </w:r>
      <w:r>
        <w:rPr>
          <w:rFonts w:cs="Times New Roman"/>
          <w:szCs w:val="24"/>
        </w:rPr>
        <w:t>）车型分类及车辆折算系数</w:t>
      </w:r>
      <w:r>
        <w:rPr>
          <w:rFonts w:cs="Times New Roman"/>
          <w:szCs w:val="24"/>
        </w:rPr>
        <w:t>”</w:t>
      </w:r>
      <w:r>
        <w:rPr>
          <w:rFonts w:cs="Times New Roman"/>
          <w:szCs w:val="24"/>
        </w:rPr>
        <w:t>，本次车型分类方法按照</w:t>
      </w:r>
      <w:r>
        <w:rPr>
          <w:rFonts w:cs="Times New Roman"/>
          <w:szCs w:val="24"/>
        </w:rPr>
        <w:t xml:space="preserve">JTG </w:t>
      </w:r>
      <w:r>
        <w:rPr>
          <w:rFonts w:cs="Times New Roman"/>
          <w:szCs w:val="24"/>
        </w:rPr>
        <w:t>B01</w:t>
      </w:r>
      <w:r>
        <w:rPr>
          <w:rFonts w:cs="Times New Roman"/>
          <w:szCs w:val="24"/>
        </w:rPr>
        <w:t>中有关车型划分的标准进行，按照不同折算系数分别将上表中的相对交通量折算成绝对交通量，车型换算系数大型车</w:t>
      </w:r>
      <w:r>
        <w:rPr>
          <w:rFonts w:cs="Times New Roman"/>
          <w:szCs w:val="24"/>
        </w:rPr>
        <w:t>3.0</w:t>
      </w:r>
      <w:r>
        <w:rPr>
          <w:rFonts w:cs="Times New Roman"/>
          <w:szCs w:val="24"/>
        </w:rPr>
        <w:t>，中型车</w:t>
      </w:r>
      <w:r>
        <w:rPr>
          <w:rFonts w:cs="Times New Roman"/>
          <w:szCs w:val="24"/>
        </w:rPr>
        <w:t>1.5</w:t>
      </w:r>
      <w:r>
        <w:rPr>
          <w:rFonts w:cs="Times New Roman"/>
          <w:szCs w:val="24"/>
        </w:rPr>
        <w:t>，小型车</w:t>
      </w:r>
      <w:r>
        <w:rPr>
          <w:rFonts w:cs="Times New Roman"/>
          <w:szCs w:val="24"/>
        </w:rPr>
        <w:t>1.0</w:t>
      </w:r>
      <w:r>
        <w:rPr>
          <w:rFonts w:cs="Times New Roman"/>
          <w:szCs w:val="24"/>
        </w:rPr>
        <w:t>。将可研交通量预测成果的当量车流量通过车型比和折算系数反算转换成自然车流量，拟建道路近期、中期、远期车型比及昼夜比见表</w:t>
      </w:r>
      <w:r>
        <w:rPr>
          <w:rFonts w:cs="Times New Roman" w:hint="eastAsia"/>
          <w:szCs w:val="24"/>
        </w:rPr>
        <w:t>7</w:t>
      </w:r>
      <w:r>
        <w:rPr>
          <w:rFonts w:cs="Times New Roman"/>
          <w:szCs w:val="24"/>
        </w:rPr>
        <w:t>.4-4</w:t>
      </w:r>
      <w:r>
        <w:rPr>
          <w:rFonts w:cs="Times New Roman"/>
          <w:szCs w:val="24"/>
        </w:rPr>
        <w:t>，车流量预测结果详见表</w:t>
      </w:r>
      <w:r>
        <w:rPr>
          <w:rFonts w:cs="Times New Roman" w:hint="eastAsia"/>
          <w:szCs w:val="24"/>
        </w:rPr>
        <w:t>7</w:t>
      </w:r>
      <w:r>
        <w:rPr>
          <w:rFonts w:cs="Times New Roman"/>
          <w:szCs w:val="24"/>
        </w:rPr>
        <w:t>.4-5</w:t>
      </w:r>
      <w:r>
        <w:rPr>
          <w:rFonts w:cs="Times New Roman"/>
          <w:szCs w:val="24"/>
        </w:rPr>
        <w:t>。</w:t>
      </w:r>
    </w:p>
    <w:p w:rsidR="00A46452" w:rsidRDefault="009A3928">
      <w:pPr>
        <w:wordWrap w:val="0"/>
        <w:topLinePunct/>
        <w:adjustRightInd w:val="0"/>
        <w:snapToGrid w:val="0"/>
        <w:spacing w:line="240" w:lineRule="auto"/>
        <w:ind w:firstLineChars="0" w:firstLine="0"/>
        <w:jc w:val="left"/>
        <w:rPr>
          <w:rFonts w:eastAsia="黑体" w:cs="Times New Roman"/>
          <w:szCs w:val="24"/>
        </w:rPr>
      </w:pPr>
      <w:r>
        <w:rPr>
          <w:rFonts w:eastAsia="黑体" w:cs="Times New Roman"/>
          <w:szCs w:val="24"/>
        </w:rPr>
        <w:t>表</w:t>
      </w:r>
      <w:r>
        <w:rPr>
          <w:rFonts w:eastAsia="黑体" w:cs="Times New Roman" w:hint="eastAsia"/>
          <w:szCs w:val="24"/>
        </w:rPr>
        <w:t>7</w:t>
      </w:r>
      <w:r>
        <w:rPr>
          <w:rFonts w:eastAsia="黑体" w:cs="Times New Roman"/>
          <w:szCs w:val="24"/>
        </w:rPr>
        <w:t xml:space="preserve">.4-4                  </w:t>
      </w:r>
      <w:r>
        <w:rPr>
          <w:rFonts w:eastAsia="黑体" w:cs="Times New Roman"/>
          <w:szCs w:val="24"/>
        </w:rPr>
        <w:t xml:space="preserve">       </w:t>
      </w:r>
      <w:r>
        <w:rPr>
          <w:rFonts w:eastAsia="黑体" w:cs="Times New Roman"/>
          <w:szCs w:val="24"/>
        </w:rPr>
        <w:t>车型比及昼夜比</w:t>
      </w:r>
    </w:p>
    <w:tbl>
      <w:tblPr>
        <w:tblStyle w:val="1a"/>
        <w:tblW w:w="4998" w:type="pct"/>
        <w:jc w:val="center"/>
        <w:tblLook w:val="04A0" w:firstRow="1" w:lastRow="0" w:firstColumn="1" w:lastColumn="0" w:noHBand="0" w:noVBand="1"/>
      </w:tblPr>
      <w:tblGrid>
        <w:gridCol w:w="1698"/>
        <w:gridCol w:w="1045"/>
        <w:gridCol w:w="1398"/>
        <w:gridCol w:w="1370"/>
        <w:gridCol w:w="1374"/>
        <w:gridCol w:w="1627"/>
      </w:tblGrid>
      <w:tr w:rsidR="00A46452">
        <w:trPr>
          <w:trHeight w:val="198"/>
          <w:jc w:val="center"/>
        </w:trPr>
        <w:tc>
          <w:tcPr>
            <w:tcW w:w="997" w:type="pct"/>
            <w:vMerge w:val="restart"/>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车型分类</w:t>
            </w:r>
          </w:p>
        </w:tc>
        <w:tc>
          <w:tcPr>
            <w:tcW w:w="613" w:type="pct"/>
            <w:vMerge w:val="restart"/>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年份</w:t>
            </w:r>
          </w:p>
        </w:tc>
        <w:tc>
          <w:tcPr>
            <w:tcW w:w="2433" w:type="pct"/>
            <w:gridSpan w:val="3"/>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车型比</w:t>
            </w:r>
          </w:p>
        </w:tc>
        <w:tc>
          <w:tcPr>
            <w:tcW w:w="956" w:type="pct"/>
            <w:vMerge w:val="restart"/>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昼夜比</w:t>
            </w:r>
          </w:p>
        </w:tc>
      </w:tr>
      <w:tr w:rsidR="00A46452">
        <w:trPr>
          <w:trHeight w:val="312"/>
          <w:jc w:val="center"/>
        </w:trPr>
        <w:tc>
          <w:tcPr>
            <w:tcW w:w="997" w:type="pct"/>
            <w:vMerge/>
            <w:noWrap/>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613" w:type="pct"/>
            <w:vMerge/>
            <w:noWrap/>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821" w:type="pct"/>
            <w:shd w:val="clear" w:color="auto" w:fill="auto"/>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小型车</w:t>
            </w:r>
          </w:p>
        </w:tc>
        <w:tc>
          <w:tcPr>
            <w:tcW w:w="805" w:type="pct"/>
            <w:shd w:val="clear" w:color="auto" w:fill="auto"/>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中型车</w:t>
            </w:r>
          </w:p>
        </w:tc>
        <w:tc>
          <w:tcPr>
            <w:tcW w:w="805" w:type="pct"/>
            <w:tcBorders>
              <w:bottom w:val="single" w:sz="4" w:space="0" w:color="auto"/>
            </w:tcBorders>
            <w:shd w:val="clear" w:color="auto" w:fill="auto"/>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大型车</w:t>
            </w:r>
          </w:p>
        </w:tc>
        <w:tc>
          <w:tcPr>
            <w:tcW w:w="956" w:type="pct"/>
            <w:vMerge/>
            <w:tcBorders>
              <w:bottom w:val="single" w:sz="4" w:space="0" w:color="auto"/>
            </w:tcBorders>
            <w:shd w:val="clear" w:color="auto" w:fill="auto"/>
          </w:tcPr>
          <w:p w:rsidR="00A46452" w:rsidRDefault="00A46452">
            <w:pPr>
              <w:pStyle w:val="TableParagraph"/>
              <w:wordWrap w:val="0"/>
              <w:topLinePunct/>
              <w:adjustRightInd w:val="0"/>
              <w:snapToGrid w:val="0"/>
              <w:spacing w:line="240" w:lineRule="exact"/>
              <w:ind w:firstLineChars="0" w:firstLine="0"/>
              <w:jc w:val="center"/>
              <w:rPr>
                <w:rFonts w:cs="Times New Roman"/>
                <w:sz w:val="18"/>
                <w:szCs w:val="18"/>
              </w:rPr>
            </w:pPr>
          </w:p>
        </w:tc>
      </w:tr>
      <w:tr w:rsidR="00A46452">
        <w:trPr>
          <w:trHeight w:val="291"/>
          <w:jc w:val="center"/>
        </w:trPr>
        <w:tc>
          <w:tcPr>
            <w:tcW w:w="997" w:type="pct"/>
            <w:vMerge w:val="restart"/>
            <w:noWrap/>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折算比例</w:t>
            </w:r>
          </w:p>
        </w:tc>
        <w:tc>
          <w:tcPr>
            <w:tcW w:w="613" w:type="pc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202</w:t>
            </w:r>
            <w:r>
              <w:rPr>
                <w:rFonts w:cs="Times New Roman"/>
                <w:kern w:val="0"/>
                <w:sz w:val="18"/>
                <w:szCs w:val="18"/>
              </w:rPr>
              <w:t>8</w:t>
            </w:r>
          </w:p>
        </w:tc>
        <w:tc>
          <w:tcPr>
            <w:tcW w:w="821" w:type="pct"/>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70.02</w:t>
            </w:r>
            <w:r>
              <w:rPr>
                <w:rFonts w:cs="Times New Roman"/>
                <w:sz w:val="18"/>
                <w:szCs w:val="18"/>
              </w:rPr>
              <w:t>%</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20.18</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9.8</w:t>
            </w:r>
            <w:r>
              <w:rPr>
                <w:rFonts w:cs="Times New Roman"/>
                <w:kern w:val="0"/>
                <w:sz w:val="18"/>
                <w:szCs w:val="18"/>
                <w:lang w:bidi="ar"/>
              </w:rPr>
              <w:t>0</w:t>
            </w:r>
            <w:r>
              <w:rPr>
                <w:rFonts w:cs="Times New Roman"/>
                <w:kern w:val="0"/>
                <w:sz w:val="18"/>
                <w:szCs w:val="18"/>
                <w:lang w:bidi="ar"/>
              </w:rPr>
              <w:t>%</w:t>
            </w:r>
          </w:p>
        </w:tc>
        <w:tc>
          <w:tcPr>
            <w:tcW w:w="956"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rPr>
              <w:t>0.67:0.33</w:t>
            </w:r>
          </w:p>
        </w:tc>
      </w:tr>
      <w:tr w:rsidR="00A46452">
        <w:trPr>
          <w:trHeight w:val="285"/>
          <w:jc w:val="center"/>
        </w:trPr>
        <w:tc>
          <w:tcPr>
            <w:tcW w:w="997" w:type="pct"/>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613" w:type="pc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203</w:t>
            </w:r>
            <w:r>
              <w:rPr>
                <w:rFonts w:cs="Times New Roman"/>
                <w:kern w:val="0"/>
                <w:sz w:val="18"/>
                <w:szCs w:val="18"/>
              </w:rPr>
              <w:t>5</w:t>
            </w:r>
          </w:p>
        </w:tc>
        <w:tc>
          <w:tcPr>
            <w:tcW w:w="821" w:type="pct"/>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70.01</w:t>
            </w:r>
            <w:r>
              <w:rPr>
                <w:rFonts w:cs="Times New Roman"/>
                <w:sz w:val="18"/>
                <w:szCs w:val="18"/>
              </w:rPr>
              <w:t>%</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20.18</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9.81%</w:t>
            </w:r>
          </w:p>
        </w:tc>
        <w:tc>
          <w:tcPr>
            <w:tcW w:w="956"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rPr>
              <w:t>0.67:0.33</w:t>
            </w:r>
          </w:p>
        </w:tc>
      </w:tr>
      <w:tr w:rsidR="00A46452">
        <w:trPr>
          <w:trHeight w:val="285"/>
          <w:jc w:val="center"/>
        </w:trPr>
        <w:tc>
          <w:tcPr>
            <w:tcW w:w="997" w:type="pct"/>
            <w:vMerge/>
          </w:tcPr>
          <w:p w:rsidR="00A46452" w:rsidRDefault="00A46452">
            <w:pPr>
              <w:wordWrap w:val="0"/>
              <w:topLinePunct/>
              <w:adjustRightInd w:val="0"/>
              <w:snapToGrid w:val="0"/>
              <w:spacing w:line="240" w:lineRule="exact"/>
              <w:ind w:firstLineChars="0" w:firstLine="0"/>
              <w:jc w:val="center"/>
              <w:rPr>
                <w:rFonts w:cs="Times New Roman"/>
                <w:kern w:val="0"/>
                <w:sz w:val="18"/>
                <w:szCs w:val="18"/>
              </w:rPr>
            </w:pPr>
          </w:p>
        </w:tc>
        <w:tc>
          <w:tcPr>
            <w:tcW w:w="613" w:type="pct"/>
          </w:tcPr>
          <w:p w:rsidR="00A46452" w:rsidRDefault="009A3928">
            <w:pPr>
              <w:wordWrap w:val="0"/>
              <w:topLinePunct/>
              <w:adjustRightInd w:val="0"/>
              <w:snapToGrid w:val="0"/>
              <w:spacing w:line="240" w:lineRule="exact"/>
              <w:ind w:firstLineChars="0" w:firstLine="0"/>
              <w:jc w:val="center"/>
              <w:rPr>
                <w:rFonts w:cs="Times New Roman"/>
                <w:kern w:val="0"/>
                <w:sz w:val="18"/>
                <w:szCs w:val="18"/>
              </w:rPr>
            </w:pPr>
            <w:r>
              <w:rPr>
                <w:rFonts w:cs="Times New Roman"/>
                <w:kern w:val="0"/>
                <w:sz w:val="18"/>
                <w:szCs w:val="18"/>
              </w:rPr>
              <w:t>204</w:t>
            </w:r>
            <w:r>
              <w:rPr>
                <w:rFonts w:cs="Times New Roman"/>
                <w:kern w:val="0"/>
                <w:sz w:val="18"/>
                <w:szCs w:val="18"/>
              </w:rPr>
              <w:t>2</w:t>
            </w:r>
          </w:p>
        </w:tc>
        <w:tc>
          <w:tcPr>
            <w:tcW w:w="821" w:type="pct"/>
          </w:tcPr>
          <w:p w:rsidR="00A46452" w:rsidRDefault="009A3928">
            <w:pPr>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70.03</w:t>
            </w:r>
            <w:r>
              <w:rPr>
                <w:rFonts w:cs="Times New Roman"/>
                <w:sz w:val="18"/>
                <w:szCs w:val="18"/>
              </w:rPr>
              <w:t>%</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20.15</w:t>
            </w:r>
          </w:p>
        </w:tc>
        <w:tc>
          <w:tcPr>
            <w:tcW w:w="805"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9.82%</w:t>
            </w:r>
          </w:p>
        </w:tc>
        <w:tc>
          <w:tcPr>
            <w:tcW w:w="956" w:type="pct"/>
            <w:tcBorders>
              <w:left w:val="single" w:sz="6" w:space="0" w:color="000000"/>
            </w:tcBorders>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rPr>
              <w:t>0.67:0.33</w:t>
            </w:r>
          </w:p>
        </w:tc>
      </w:tr>
    </w:tbl>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.4-5</w:t>
      </w:r>
      <w:r>
        <w:rPr>
          <w:rFonts w:ascii="Times New Roman" w:hAnsi="Times New Roman" w:cs="Times New Roman" w:hint="default"/>
          <w:sz w:val="24"/>
          <w:szCs w:val="24"/>
        </w:rPr>
        <w:tab/>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各车型交通量预测结果（单位：辆</w:t>
      </w:r>
      <w:r>
        <w:rPr>
          <w:rFonts w:ascii="Times New Roman" w:hAnsi="Times New Roman" w:cs="Times New Roman" w:hint="default"/>
          <w:sz w:val="24"/>
          <w:szCs w:val="24"/>
        </w:rPr>
        <w:t>/h</w:t>
      </w:r>
      <w:r>
        <w:rPr>
          <w:rFonts w:ascii="Times New Roman" w:hAnsi="Times New Roman" w:cs="Times New Roman" w:hint="default"/>
          <w:sz w:val="24"/>
          <w:szCs w:val="24"/>
        </w:rPr>
        <w:t>）</w:t>
      </w:r>
    </w:p>
    <w:tbl>
      <w:tblPr>
        <w:tblStyle w:val="affff7"/>
        <w:tblW w:w="4998" w:type="pct"/>
        <w:jc w:val="center"/>
        <w:tblLook w:val="04A0" w:firstRow="1" w:lastRow="0" w:firstColumn="1" w:lastColumn="0" w:noHBand="0" w:noVBand="1"/>
      </w:tblPr>
      <w:tblGrid>
        <w:gridCol w:w="1426"/>
        <w:gridCol w:w="857"/>
        <w:gridCol w:w="1027"/>
        <w:gridCol w:w="964"/>
        <w:gridCol w:w="1161"/>
        <w:gridCol w:w="957"/>
        <w:gridCol w:w="1163"/>
        <w:gridCol w:w="957"/>
      </w:tblGrid>
      <w:tr w:rsidR="00A46452">
        <w:trPr>
          <w:trHeight w:val="284"/>
          <w:jc w:val="center"/>
        </w:trPr>
        <w:tc>
          <w:tcPr>
            <w:tcW w:w="836"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路段</w:t>
            </w:r>
          </w:p>
        </w:tc>
        <w:tc>
          <w:tcPr>
            <w:tcW w:w="503"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车型</w:t>
            </w:r>
          </w:p>
        </w:tc>
        <w:tc>
          <w:tcPr>
            <w:tcW w:w="1169" w:type="pct"/>
            <w:gridSpan w:val="2"/>
          </w:tcPr>
          <w:p w:rsidR="00A46452" w:rsidRDefault="009A3928">
            <w:pPr>
              <w:pStyle w:val="TableText"/>
              <w:wordWrap w:val="0"/>
              <w:topLinePunct/>
              <w:adjustRightInd w:val="0"/>
              <w:snapToGrid w:val="0"/>
              <w:spacing w:line="240" w:lineRule="auto"/>
              <w:ind w:firstLineChars="0" w:firstLine="0"/>
              <w:jc w:val="center"/>
              <w:rPr>
                <w:rFonts w:eastAsia="宋体"/>
                <w:sz w:val="18"/>
                <w:szCs w:val="18"/>
                <w:lang w:eastAsia="zh-CN"/>
              </w:rPr>
            </w:pPr>
            <w:r>
              <w:rPr>
                <w:spacing w:val="-3"/>
                <w:sz w:val="21"/>
                <w:szCs w:val="21"/>
              </w:rPr>
              <w:t>2028</w:t>
            </w:r>
            <w:r>
              <w:rPr>
                <w:rFonts w:eastAsia="宋体"/>
                <w:spacing w:val="-3"/>
                <w:sz w:val="21"/>
                <w:szCs w:val="21"/>
                <w:lang w:eastAsia="zh-CN"/>
              </w:rPr>
              <w:t>（</w:t>
            </w:r>
            <w:r>
              <w:rPr>
                <w:rFonts w:eastAsia="宋体"/>
                <w:spacing w:val="-3"/>
                <w:sz w:val="21"/>
                <w:szCs w:val="21"/>
                <w:lang w:eastAsia="zh-CN"/>
              </w:rPr>
              <w:t>近期</w:t>
            </w:r>
            <w:r>
              <w:rPr>
                <w:rFonts w:eastAsia="宋体"/>
                <w:spacing w:val="-3"/>
                <w:sz w:val="21"/>
                <w:szCs w:val="21"/>
                <w:lang w:eastAsia="zh-CN"/>
              </w:rPr>
              <w:t>）</w:t>
            </w:r>
          </w:p>
        </w:tc>
        <w:tc>
          <w:tcPr>
            <w:tcW w:w="1244" w:type="pct"/>
            <w:gridSpan w:val="2"/>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3"/>
                <w:sz w:val="21"/>
                <w:szCs w:val="21"/>
              </w:rPr>
              <w:t>2035</w:t>
            </w:r>
            <w:r>
              <w:rPr>
                <w:rFonts w:eastAsia="宋体"/>
                <w:spacing w:val="-3"/>
                <w:sz w:val="21"/>
                <w:szCs w:val="21"/>
                <w:lang w:eastAsia="zh-CN"/>
              </w:rPr>
              <w:t>（</w:t>
            </w:r>
            <w:r>
              <w:rPr>
                <w:rFonts w:eastAsia="宋体"/>
                <w:spacing w:val="-3"/>
                <w:sz w:val="21"/>
                <w:szCs w:val="21"/>
                <w:lang w:eastAsia="zh-CN"/>
              </w:rPr>
              <w:t>中期</w:t>
            </w:r>
            <w:r>
              <w:rPr>
                <w:rFonts w:eastAsia="宋体"/>
                <w:spacing w:val="-3"/>
                <w:sz w:val="21"/>
                <w:szCs w:val="21"/>
                <w:lang w:eastAsia="zh-CN"/>
              </w:rPr>
              <w:t>）</w:t>
            </w:r>
          </w:p>
        </w:tc>
        <w:tc>
          <w:tcPr>
            <w:tcW w:w="1245" w:type="pct"/>
            <w:gridSpan w:val="2"/>
          </w:tcPr>
          <w:p w:rsidR="00A46452" w:rsidRDefault="009A3928">
            <w:pPr>
              <w:pStyle w:val="TableText"/>
              <w:wordWrap w:val="0"/>
              <w:topLinePunct/>
              <w:adjustRightInd w:val="0"/>
              <w:snapToGrid w:val="0"/>
              <w:spacing w:line="240" w:lineRule="auto"/>
              <w:ind w:firstLineChars="0" w:firstLine="0"/>
              <w:jc w:val="center"/>
              <w:rPr>
                <w:sz w:val="18"/>
                <w:szCs w:val="18"/>
              </w:rPr>
            </w:pPr>
            <w:r>
              <w:rPr>
                <w:spacing w:val="-3"/>
                <w:sz w:val="21"/>
                <w:szCs w:val="21"/>
              </w:rPr>
              <w:t>204</w:t>
            </w:r>
            <w:r>
              <w:rPr>
                <w:rFonts w:eastAsia="宋体"/>
                <w:spacing w:val="-3"/>
                <w:sz w:val="21"/>
                <w:szCs w:val="21"/>
                <w:lang w:eastAsia="zh-CN"/>
              </w:rPr>
              <w:t>2</w:t>
            </w:r>
            <w:r>
              <w:rPr>
                <w:rFonts w:eastAsia="宋体"/>
                <w:spacing w:val="-3"/>
                <w:sz w:val="21"/>
                <w:szCs w:val="21"/>
                <w:lang w:eastAsia="zh-CN"/>
              </w:rPr>
              <w:t>（</w:t>
            </w:r>
            <w:r>
              <w:rPr>
                <w:rFonts w:eastAsia="宋体"/>
                <w:spacing w:val="-3"/>
                <w:sz w:val="21"/>
                <w:szCs w:val="21"/>
                <w:lang w:eastAsia="zh-CN"/>
              </w:rPr>
              <w:t>远期</w:t>
            </w:r>
            <w:r>
              <w:rPr>
                <w:rFonts w:eastAsia="宋体"/>
                <w:spacing w:val="-3"/>
                <w:sz w:val="21"/>
                <w:szCs w:val="21"/>
                <w:lang w:eastAsia="zh-CN"/>
              </w:rPr>
              <w:t>）</w:t>
            </w:r>
          </w:p>
        </w:tc>
      </w:tr>
      <w:tr w:rsidR="00A46452">
        <w:trPr>
          <w:trHeight w:val="284"/>
          <w:jc w:val="center"/>
        </w:trPr>
        <w:tc>
          <w:tcPr>
            <w:tcW w:w="836"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503"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6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566"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68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56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c>
          <w:tcPr>
            <w:tcW w:w="68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昼间</w:t>
            </w:r>
          </w:p>
        </w:tc>
        <w:tc>
          <w:tcPr>
            <w:tcW w:w="562"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夜间</w:t>
            </w:r>
          </w:p>
        </w:tc>
      </w:tr>
      <w:tr w:rsidR="00A46452">
        <w:trPr>
          <w:trHeight w:val="284"/>
          <w:jc w:val="center"/>
        </w:trPr>
        <w:tc>
          <w:tcPr>
            <w:tcW w:w="836" w:type="pct"/>
            <w:vMerge w:val="restar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cs="Times New Roman"/>
                <w:sz w:val="18"/>
                <w:szCs w:val="18"/>
              </w:rPr>
              <w:t>图木舒克市</w:t>
            </w:r>
            <w:r>
              <w:rPr>
                <w:rFonts w:cs="Times New Roman"/>
                <w:sz w:val="18"/>
                <w:szCs w:val="18"/>
              </w:rPr>
              <w:t>—</w:t>
            </w:r>
            <w:r>
              <w:rPr>
                <w:rFonts w:cs="Times New Roman"/>
                <w:sz w:val="18"/>
                <w:szCs w:val="18"/>
              </w:rPr>
              <w:t>柯坪县</w:t>
            </w:r>
            <w:r>
              <w:rPr>
                <w:rFonts w:cs="Times New Roman"/>
                <w:sz w:val="18"/>
                <w:szCs w:val="18"/>
              </w:rPr>
              <w:t>项目</w:t>
            </w:r>
          </w:p>
        </w:tc>
        <w:tc>
          <w:tcPr>
            <w:tcW w:w="5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小车</w:t>
            </w:r>
          </w:p>
        </w:tc>
        <w:tc>
          <w:tcPr>
            <w:tcW w:w="603" w:type="pct"/>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sz w:val="18"/>
                <w:szCs w:val="18"/>
              </w:rPr>
              <w:t>1</w:t>
            </w:r>
            <w:r>
              <w:rPr>
                <w:rFonts w:cs="Times New Roman"/>
                <w:sz w:val="18"/>
                <w:szCs w:val="18"/>
              </w:rPr>
              <w:t>38</w:t>
            </w:r>
          </w:p>
        </w:tc>
        <w:tc>
          <w:tcPr>
            <w:tcW w:w="56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7</w:t>
            </w:r>
            <w:r>
              <w:rPr>
                <w:rFonts w:cs="Times New Roman"/>
                <w:sz w:val="18"/>
                <w:szCs w:val="18"/>
              </w:rPr>
              <w:t>0</w:t>
            </w:r>
          </w:p>
        </w:tc>
        <w:tc>
          <w:tcPr>
            <w:tcW w:w="68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196</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101</w:t>
            </w:r>
          </w:p>
        </w:tc>
        <w:tc>
          <w:tcPr>
            <w:tcW w:w="68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319</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164</w:t>
            </w:r>
          </w:p>
        </w:tc>
      </w:tr>
      <w:tr w:rsidR="00A46452">
        <w:trPr>
          <w:trHeight w:val="284"/>
          <w:jc w:val="center"/>
        </w:trPr>
        <w:tc>
          <w:tcPr>
            <w:tcW w:w="836"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5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中车</w:t>
            </w:r>
          </w:p>
        </w:tc>
        <w:tc>
          <w:tcPr>
            <w:tcW w:w="60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39</w:t>
            </w:r>
          </w:p>
        </w:tc>
        <w:tc>
          <w:tcPr>
            <w:tcW w:w="56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20</w:t>
            </w:r>
          </w:p>
        </w:tc>
        <w:tc>
          <w:tcPr>
            <w:tcW w:w="68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56</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29</w:t>
            </w:r>
          </w:p>
        </w:tc>
        <w:tc>
          <w:tcPr>
            <w:tcW w:w="68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91</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47</w:t>
            </w:r>
          </w:p>
        </w:tc>
      </w:tr>
      <w:tr w:rsidR="00A46452">
        <w:trPr>
          <w:trHeight w:val="284"/>
          <w:jc w:val="center"/>
        </w:trPr>
        <w:tc>
          <w:tcPr>
            <w:tcW w:w="836"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503" w:type="pct"/>
          </w:tcPr>
          <w:p w:rsidR="00A46452" w:rsidRDefault="009A3928">
            <w:pPr>
              <w:wordWrap w:val="0"/>
              <w:topLinePunct/>
              <w:adjustRightInd w:val="0"/>
              <w:snapToGrid w:val="0"/>
              <w:spacing w:line="240" w:lineRule="auto"/>
              <w:ind w:firstLineChars="0" w:firstLine="0"/>
              <w:jc w:val="center"/>
              <w:rPr>
                <w:rFonts w:eastAsiaTheme="minorEastAsia" w:cs="Times New Roman"/>
                <w:sz w:val="18"/>
                <w:szCs w:val="18"/>
              </w:rPr>
            </w:pPr>
            <w:r>
              <w:rPr>
                <w:rFonts w:eastAsiaTheme="minorEastAsia" w:cs="Times New Roman"/>
                <w:sz w:val="18"/>
                <w:szCs w:val="18"/>
              </w:rPr>
              <w:t>大车</w:t>
            </w:r>
          </w:p>
        </w:tc>
        <w:tc>
          <w:tcPr>
            <w:tcW w:w="60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19</w:t>
            </w:r>
          </w:p>
        </w:tc>
        <w:tc>
          <w:tcPr>
            <w:tcW w:w="566"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10</w:t>
            </w:r>
          </w:p>
        </w:tc>
        <w:tc>
          <w:tcPr>
            <w:tcW w:w="68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27</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14</w:t>
            </w:r>
          </w:p>
        </w:tc>
        <w:tc>
          <w:tcPr>
            <w:tcW w:w="68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44</w:t>
            </w:r>
          </w:p>
        </w:tc>
        <w:tc>
          <w:tcPr>
            <w:tcW w:w="562"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23</w:t>
            </w:r>
          </w:p>
        </w:tc>
      </w:tr>
      <w:tr w:rsidR="00A46452">
        <w:trPr>
          <w:trHeight w:val="284"/>
          <w:jc w:val="center"/>
        </w:trPr>
        <w:tc>
          <w:tcPr>
            <w:tcW w:w="836" w:type="pct"/>
            <w:vMerge/>
          </w:tcPr>
          <w:p w:rsidR="00A46452" w:rsidRDefault="00A46452">
            <w:pPr>
              <w:wordWrap w:val="0"/>
              <w:topLinePunct/>
              <w:adjustRightInd w:val="0"/>
              <w:snapToGrid w:val="0"/>
              <w:spacing w:line="240" w:lineRule="auto"/>
              <w:ind w:firstLineChars="0" w:firstLine="0"/>
              <w:jc w:val="center"/>
              <w:rPr>
                <w:rFonts w:eastAsiaTheme="minorEastAsia" w:cs="Times New Roman"/>
                <w:sz w:val="18"/>
                <w:szCs w:val="18"/>
              </w:rPr>
            </w:pPr>
          </w:p>
        </w:tc>
        <w:tc>
          <w:tcPr>
            <w:tcW w:w="503" w:type="pct"/>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eastAsiaTheme="minorEastAsia" w:cs="Times New Roman"/>
                <w:sz w:val="18"/>
                <w:szCs w:val="18"/>
              </w:rPr>
              <w:t>合计</w:t>
            </w:r>
          </w:p>
        </w:tc>
        <w:tc>
          <w:tcPr>
            <w:tcW w:w="603"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kern w:val="0"/>
                <w:sz w:val="18"/>
                <w:szCs w:val="18"/>
              </w:rPr>
            </w:pPr>
            <w:r>
              <w:rPr>
                <w:rFonts w:cs="Times New Roman"/>
                <w:kern w:val="0"/>
                <w:sz w:val="18"/>
                <w:szCs w:val="18"/>
                <w:lang w:bidi="ar"/>
              </w:rPr>
              <w:t>196</w:t>
            </w:r>
          </w:p>
        </w:tc>
        <w:tc>
          <w:tcPr>
            <w:tcW w:w="566"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100</w:t>
            </w:r>
          </w:p>
        </w:tc>
        <w:tc>
          <w:tcPr>
            <w:tcW w:w="682"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279</w:t>
            </w:r>
          </w:p>
        </w:tc>
        <w:tc>
          <w:tcPr>
            <w:tcW w:w="562"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144</w:t>
            </w:r>
          </w:p>
        </w:tc>
        <w:tc>
          <w:tcPr>
            <w:tcW w:w="683"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454</w:t>
            </w:r>
          </w:p>
        </w:tc>
        <w:tc>
          <w:tcPr>
            <w:tcW w:w="562" w:type="pct"/>
            <w:vAlign w:val="top"/>
          </w:tcPr>
          <w:p w:rsidR="00A46452" w:rsidRDefault="009A3928">
            <w:pPr>
              <w:wordWrap w:val="0"/>
              <w:topLinePunct/>
              <w:adjustRightInd w:val="0"/>
              <w:snapToGrid w:val="0"/>
              <w:spacing w:line="240" w:lineRule="auto"/>
              <w:ind w:firstLineChars="0" w:firstLine="0"/>
              <w:jc w:val="center"/>
              <w:textAlignment w:val="top"/>
              <w:rPr>
                <w:rFonts w:cs="Times New Roman"/>
                <w:sz w:val="18"/>
                <w:szCs w:val="18"/>
              </w:rPr>
            </w:pPr>
            <w:r>
              <w:rPr>
                <w:rFonts w:cs="Times New Roman"/>
                <w:kern w:val="0"/>
                <w:sz w:val="18"/>
                <w:szCs w:val="18"/>
                <w:lang w:bidi="ar"/>
              </w:rPr>
              <w:t>234</w:t>
            </w:r>
          </w:p>
        </w:tc>
      </w:tr>
    </w:tbl>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7.4.2.2</w:t>
      </w:r>
      <w:r>
        <w:rPr>
          <w:rFonts w:cs="Times New Roman" w:hint="default"/>
          <w:iCs/>
        </w:rPr>
        <w:t>预测模式</w:t>
      </w:r>
    </w:p>
    <w:p w:rsidR="00A46452" w:rsidRDefault="009A3928">
      <w:pPr>
        <w:wordWrap w:val="0"/>
        <w:topLinePunct/>
        <w:adjustRightInd w:val="0"/>
        <w:snapToGrid w:val="0"/>
        <w:ind w:firstLine="480"/>
        <w:rPr>
          <w:rFonts w:cs="Times New Roman"/>
          <w:szCs w:val="24"/>
        </w:rPr>
      </w:pPr>
      <w:r>
        <w:rPr>
          <w:rFonts w:cs="Times New Roman"/>
          <w:szCs w:val="24"/>
        </w:rPr>
        <w:t>本次声环境影响评价选用《环境影响评价技术导则</w:t>
      </w:r>
      <w:r>
        <w:rPr>
          <w:rFonts w:cs="Times New Roman"/>
          <w:szCs w:val="24"/>
        </w:rPr>
        <w:t xml:space="preserve"> </w:t>
      </w:r>
      <w:r>
        <w:rPr>
          <w:rFonts w:cs="Times New Roman"/>
          <w:szCs w:val="24"/>
        </w:rPr>
        <w:t>声环境》（</w:t>
      </w:r>
      <w:r>
        <w:rPr>
          <w:rFonts w:cs="Times New Roman"/>
          <w:szCs w:val="24"/>
        </w:rPr>
        <w:t>HJ2.4-2021</w:t>
      </w:r>
      <w:r>
        <w:rPr>
          <w:rFonts w:cs="Times New Roman"/>
          <w:szCs w:val="24"/>
        </w:rPr>
        <w:t>）中推荐的公路噪声预测模式进行预测。</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1</w:t>
      </w:r>
      <w:r>
        <w:rPr>
          <w:rFonts w:cs="Times New Roman"/>
          <w:szCs w:val="24"/>
        </w:rPr>
        <w:t>）基本预测模式</w:t>
      </w:r>
    </w:p>
    <w:p w:rsidR="00A46452" w:rsidRDefault="009A3928">
      <w:pPr>
        <w:wordWrap w:val="0"/>
        <w:topLinePunct/>
        <w:adjustRightInd w:val="0"/>
        <w:snapToGrid w:val="0"/>
        <w:ind w:firstLine="480"/>
        <w:rPr>
          <w:rFonts w:cs="Times New Roman"/>
          <w:szCs w:val="24"/>
        </w:rPr>
      </w:pPr>
      <w:r>
        <w:rPr>
          <w:rFonts w:cs="Times New Roman"/>
          <w:szCs w:val="24"/>
        </w:rPr>
        <w:sym w:font="Wingdings" w:char="0081"/>
      </w:r>
      <w:r>
        <w:rPr>
          <w:rFonts w:cs="Times New Roman"/>
          <w:szCs w:val="24"/>
        </w:rPr>
        <w:t>第</w:t>
      </w:r>
      <w:r>
        <w:rPr>
          <w:rFonts w:cs="Times New Roman"/>
          <w:szCs w:val="24"/>
        </w:rPr>
        <w:t>i</w:t>
      </w:r>
      <w:r>
        <w:rPr>
          <w:rFonts w:cs="Times New Roman"/>
          <w:szCs w:val="24"/>
        </w:rPr>
        <w:t>类车等效声级的预测模式</w:t>
      </w:r>
    </w:p>
    <w:p w:rsidR="00A46452" w:rsidRDefault="009A3928" w:rsidP="00182EED">
      <w:pPr>
        <w:pStyle w:val="affff6"/>
        <w:wordWrap w:val="0"/>
        <w:overflowPunct/>
        <w:topLinePunct/>
        <w:snapToGrid w:val="0"/>
        <w:ind w:firstLine="480"/>
        <w:jc w:val="center"/>
        <w:rPr>
          <w:rFonts w:ascii="Times New Roman" w:hAnsi="Times New Roman" w:cs="Times New Roman"/>
        </w:rPr>
      </w:pPr>
      <w:r>
        <w:rPr>
          <w:rFonts w:ascii="Times New Roman" w:hAnsi="Times New Roman" w:cs="Times New Roman"/>
          <w:position w:val="-30"/>
        </w:rPr>
        <w:object w:dxaOrig="6316" w:dyaOrig="735">
          <v:shape id="_x0000_i1029" type="#_x0000_t75" style="width:315.8pt;height:36.75pt" o:ole="">
            <v:imagedata r:id="rId67" o:title=""/>
          </v:shape>
          <o:OLEObject Type="Embed" ProgID="Msxml2.SAXXMLReader.6.0" ShapeID="_x0000_i1029" DrawAspect="Content" ObjectID="_1812464700" r:id="rId68"/>
        </w:objec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Leq</w:t>
      </w:r>
      <w:r>
        <w:rPr>
          <w:rFonts w:cs="Times New Roman"/>
          <w:szCs w:val="24"/>
        </w:rPr>
        <w:t>（</w:t>
      </w:r>
      <w:r>
        <w:rPr>
          <w:rFonts w:cs="Times New Roman"/>
          <w:szCs w:val="24"/>
        </w:rPr>
        <w:t>h</w:t>
      </w:r>
      <w:r>
        <w:rPr>
          <w:rFonts w:cs="Times New Roman"/>
          <w:szCs w:val="24"/>
        </w:rPr>
        <w:t>）</w:t>
      </w:r>
      <w:r>
        <w:rPr>
          <w:rFonts w:cs="Times New Roman"/>
          <w:szCs w:val="24"/>
        </w:rPr>
        <w:t>i——</w:t>
      </w:r>
      <w:r>
        <w:rPr>
          <w:rFonts w:cs="Times New Roman"/>
          <w:szCs w:val="24"/>
        </w:rPr>
        <w:t>第</w:t>
      </w:r>
      <w:r>
        <w:rPr>
          <w:rFonts w:cs="Times New Roman"/>
          <w:szCs w:val="24"/>
        </w:rPr>
        <w:t>i</w:t>
      </w:r>
      <w:r>
        <w:rPr>
          <w:rFonts w:cs="Times New Roman"/>
          <w:szCs w:val="24"/>
        </w:rPr>
        <w:t>类车的小时等效声级，</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L</w:t>
      </w:r>
      <w:r>
        <w:rPr>
          <w:rFonts w:cs="Times New Roman"/>
          <w:szCs w:val="24"/>
          <w:vertAlign w:val="subscript"/>
        </w:rPr>
        <w:t>OE</w:t>
      </w:r>
      <w:r>
        <w:rPr>
          <w:rFonts w:cs="Times New Roman"/>
          <w:szCs w:val="24"/>
        </w:rPr>
        <w:t>）</w:t>
      </w:r>
      <w:r>
        <w:rPr>
          <w:rFonts w:cs="Times New Roman"/>
          <w:szCs w:val="24"/>
          <w:vertAlign w:val="subscript"/>
        </w:rPr>
        <w:t>i</w:t>
      </w:r>
      <w:r>
        <w:rPr>
          <w:rFonts w:cs="Times New Roman"/>
          <w:szCs w:val="24"/>
        </w:rPr>
        <w:t>——</w:t>
      </w:r>
      <w:r>
        <w:rPr>
          <w:rFonts w:cs="Times New Roman"/>
          <w:szCs w:val="24"/>
        </w:rPr>
        <w:t>第</w:t>
      </w:r>
      <w:r>
        <w:rPr>
          <w:rFonts w:cs="Times New Roman"/>
          <w:szCs w:val="24"/>
        </w:rPr>
        <w:t>i</w:t>
      </w:r>
      <w:r>
        <w:rPr>
          <w:rFonts w:cs="Times New Roman"/>
          <w:szCs w:val="24"/>
        </w:rPr>
        <w:t>类车速度为</w:t>
      </w:r>
      <w:r>
        <w:rPr>
          <w:rFonts w:cs="Times New Roman"/>
          <w:szCs w:val="24"/>
        </w:rPr>
        <w:t>V</w:t>
      </w:r>
      <w:r>
        <w:rPr>
          <w:rFonts w:cs="Times New Roman"/>
          <w:szCs w:val="24"/>
          <w:vertAlign w:val="subscript"/>
        </w:rPr>
        <w:t>i</w:t>
      </w:r>
      <w:r>
        <w:rPr>
          <w:rFonts w:cs="Times New Roman"/>
          <w:szCs w:val="24"/>
        </w:rPr>
        <w:t>，</w:t>
      </w:r>
      <w:r>
        <w:rPr>
          <w:rFonts w:cs="Times New Roman"/>
          <w:szCs w:val="24"/>
        </w:rPr>
        <w:t>km/h</w:t>
      </w:r>
      <w:r>
        <w:rPr>
          <w:rFonts w:cs="Times New Roman"/>
          <w:szCs w:val="24"/>
        </w:rPr>
        <w:t>；水平距离为</w:t>
      </w:r>
      <w:r>
        <w:rPr>
          <w:rFonts w:cs="Times New Roman"/>
          <w:szCs w:val="24"/>
        </w:rPr>
        <w:t>7.5m</w:t>
      </w:r>
      <w:r>
        <w:rPr>
          <w:rFonts w:cs="Times New Roman"/>
          <w:szCs w:val="24"/>
        </w:rPr>
        <w:t>处的能量平均</w:t>
      </w:r>
      <w:r>
        <w:rPr>
          <w:rFonts w:cs="Times New Roman"/>
          <w:szCs w:val="24"/>
        </w:rPr>
        <w:t>A</w:t>
      </w:r>
      <w:r>
        <w:rPr>
          <w:rFonts w:cs="Times New Roman"/>
          <w:szCs w:val="24"/>
        </w:rPr>
        <w:t>声级，</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N</w:t>
      </w:r>
      <w:r>
        <w:rPr>
          <w:rFonts w:cs="Times New Roman"/>
          <w:szCs w:val="24"/>
          <w:vertAlign w:val="subscript"/>
        </w:rPr>
        <w:t>i</w:t>
      </w:r>
      <w:r>
        <w:rPr>
          <w:rFonts w:cs="Times New Roman"/>
          <w:szCs w:val="24"/>
        </w:rPr>
        <w:t>——</w:t>
      </w:r>
      <w:r>
        <w:rPr>
          <w:rFonts w:cs="Times New Roman"/>
          <w:szCs w:val="24"/>
        </w:rPr>
        <w:t>昼间、夜间通过某个预测点的第</w:t>
      </w:r>
      <w:r>
        <w:rPr>
          <w:rFonts w:cs="Times New Roman"/>
          <w:szCs w:val="24"/>
        </w:rPr>
        <w:t>i</w:t>
      </w:r>
      <w:r>
        <w:rPr>
          <w:rFonts w:cs="Times New Roman"/>
          <w:szCs w:val="24"/>
        </w:rPr>
        <w:t>类车平均小时车流量，辆</w:t>
      </w:r>
      <w:r>
        <w:rPr>
          <w:rFonts w:cs="Times New Roman"/>
          <w:szCs w:val="24"/>
        </w:rPr>
        <w:t>/h</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r——</w:t>
      </w:r>
      <w:r>
        <w:rPr>
          <w:rFonts w:cs="Times New Roman"/>
          <w:szCs w:val="24"/>
        </w:rPr>
        <w:t>从车道中心线到预测点的距离，</w:t>
      </w:r>
      <w:r>
        <w:rPr>
          <w:rFonts w:cs="Times New Roman"/>
          <w:szCs w:val="24"/>
        </w:rPr>
        <w:t>m</w:t>
      </w:r>
      <w:r>
        <w:rPr>
          <w:rFonts w:cs="Times New Roman"/>
          <w:szCs w:val="24"/>
        </w:rPr>
        <w:t>；（</w:t>
      </w:r>
      <w:r>
        <w:rPr>
          <w:rFonts w:cs="Times New Roman"/>
          <w:szCs w:val="24"/>
        </w:rPr>
        <w:t>A12</w:t>
      </w:r>
      <w:r>
        <w:rPr>
          <w:rFonts w:cs="Times New Roman"/>
          <w:szCs w:val="24"/>
        </w:rPr>
        <w:t>）适用于</w:t>
      </w:r>
      <w:r>
        <w:rPr>
          <w:rFonts w:cs="Times New Roman"/>
          <w:szCs w:val="24"/>
        </w:rPr>
        <w:t xml:space="preserve">r </w:t>
      </w:r>
      <w:r>
        <w:rPr>
          <w:rFonts w:cs="Times New Roman"/>
          <w:szCs w:val="24"/>
        </w:rPr>
        <w:t>＞</w:t>
      </w:r>
      <w:r>
        <w:rPr>
          <w:rFonts w:cs="Times New Roman"/>
          <w:szCs w:val="24"/>
        </w:rPr>
        <w:t>7.5m</w:t>
      </w:r>
      <w:r>
        <w:rPr>
          <w:rFonts w:cs="Times New Roman"/>
          <w:szCs w:val="24"/>
        </w:rPr>
        <w:t>预测点的噪声预测。</w:t>
      </w:r>
    </w:p>
    <w:p w:rsidR="00A46452" w:rsidRDefault="009A3928">
      <w:pPr>
        <w:wordWrap w:val="0"/>
        <w:topLinePunct/>
        <w:adjustRightInd w:val="0"/>
        <w:snapToGrid w:val="0"/>
        <w:ind w:firstLine="480"/>
        <w:rPr>
          <w:rFonts w:cs="Times New Roman"/>
          <w:szCs w:val="24"/>
        </w:rPr>
      </w:pPr>
      <w:r>
        <w:rPr>
          <w:rFonts w:cs="Times New Roman"/>
          <w:szCs w:val="24"/>
        </w:rPr>
        <w:t>V</w:t>
      </w:r>
      <w:r>
        <w:rPr>
          <w:rFonts w:cs="Times New Roman"/>
          <w:szCs w:val="24"/>
          <w:vertAlign w:val="subscript"/>
        </w:rPr>
        <w:t>i</w:t>
      </w:r>
      <w:r>
        <w:rPr>
          <w:rFonts w:cs="Times New Roman"/>
          <w:szCs w:val="24"/>
        </w:rPr>
        <w:t>——</w:t>
      </w:r>
      <w:r>
        <w:rPr>
          <w:rFonts w:cs="Times New Roman"/>
          <w:szCs w:val="24"/>
        </w:rPr>
        <w:t>第</w:t>
      </w:r>
      <w:r>
        <w:rPr>
          <w:rFonts w:cs="Times New Roman"/>
          <w:szCs w:val="24"/>
        </w:rPr>
        <w:t>i</w:t>
      </w:r>
      <w:r>
        <w:rPr>
          <w:rFonts w:cs="Times New Roman"/>
          <w:szCs w:val="24"/>
        </w:rPr>
        <w:t>类车的平均车速，</w:t>
      </w:r>
      <w:r>
        <w:rPr>
          <w:rFonts w:cs="Times New Roman"/>
          <w:szCs w:val="24"/>
        </w:rPr>
        <w:t>km/h</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T——</w:t>
      </w:r>
      <w:r>
        <w:rPr>
          <w:rFonts w:cs="Times New Roman"/>
          <w:szCs w:val="24"/>
        </w:rPr>
        <w:t>计算等效声级的时间，</w:t>
      </w:r>
      <w:r>
        <w:rPr>
          <w:rFonts w:cs="Times New Roman"/>
          <w:szCs w:val="24"/>
        </w:rPr>
        <w:t>1h</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Ψ</w:t>
      </w:r>
      <w:r>
        <w:rPr>
          <w:rFonts w:cs="Times New Roman"/>
          <w:szCs w:val="24"/>
          <w:vertAlign w:val="subscript"/>
        </w:rPr>
        <w:t>1</w:t>
      </w:r>
      <w:r>
        <w:rPr>
          <w:rFonts w:cs="Times New Roman"/>
          <w:szCs w:val="24"/>
        </w:rPr>
        <w:t>、</w:t>
      </w:r>
      <w:r>
        <w:rPr>
          <w:rFonts w:cs="Times New Roman"/>
          <w:szCs w:val="24"/>
        </w:rPr>
        <w:t>Ψ</w:t>
      </w:r>
      <w:r>
        <w:rPr>
          <w:rFonts w:cs="Times New Roman"/>
          <w:szCs w:val="24"/>
          <w:vertAlign w:val="subscript"/>
        </w:rPr>
        <w:t>2</w:t>
      </w:r>
      <w:r>
        <w:rPr>
          <w:rFonts w:cs="Times New Roman"/>
          <w:szCs w:val="24"/>
        </w:rPr>
        <w:t>——</w:t>
      </w:r>
      <w:r>
        <w:rPr>
          <w:rFonts w:cs="Times New Roman"/>
          <w:szCs w:val="24"/>
        </w:rPr>
        <w:t>预测点到有限长路段两端的张角，弧度，见图</w:t>
      </w:r>
      <w:r>
        <w:rPr>
          <w:rFonts w:cs="Times New Roman"/>
          <w:szCs w:val="24"/>
        </w:rPr>
        <w:t>A.1</w:t>
      </w:r>
      <w:r>
        <w:rPr>
          <w:rFonts w:cs="Times New Roman"/>
          <w:szCs w:val="24"/>
        </w:rPr>
        <w:t>所示：</w:t>
      </w:r>
    </w:p>
    <w:p w:rsidR="00A46452" w:rsidRDefault="009A3928" w:rsidP="00182EED">
      <w:pPr>
        <w:pStyle w:val="affff6"/>
        <w:wordWrap w:val="0"/>
        <w:overflowPunct/>
        <w:topLinePunct/>
        <w:snapToGrid w:val="0"/>
        <w:ind w:firstLine="480"/>
        <w:jc w:val="center"/>
        <w:rPr>
          <w:rFonts w:ascii="Times New Roman" w:hAnsi="Times New Roman" w:cs="Times New Roman"/>
        </w:rPr>
      </w:pPr>
      <w:r>
        <w:rPr>
          <w:rFonts w:ascii="Times New Roman" w:hAnsi="Times New Roman" w:cs="Times New Roman"/>
          <w:noProof/>
        </w:rPr>
        <w:drawing>
          <wp:inline distT="0" distB="0" distL="114300" distR="114300">
            <wp:extent cx="2606040" cy="1114425"/>
            <wp:effectExtent l="0" t="0" r="10160"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69"/>
                    <a:srcRect l="51566" t="40962" r="19087" b="36623"/>
                    <a:stretch>
                      <a:fillRect/>
                    </a:stretch>
                  </pic:blipFill>
                  <pic:spPr>
                    <a:xfrm>
                      <a:off x="0" y="0"/>
                      <a:ext cx="2606040" cy="1114425"/>
                    </a:xfrm>
                    <a:prstGeom prst="rect">
                      <a:avLst/>
                    </a:prstGeom>
                    <a:noFill/>
                    <a:ln>
                      <a:noFill/>
                    </a:ln>
                  </pic:spPr>
                </pic:pic>
              </a:graphicData>
            </a:graphic>
          </wp:inline>
        </w:drawing>
      </w:r>
    </w:p>
    <w:p w:rsidR="00A46452" w:rsidRDefault="009A3928" w:rsidP="00182EED">
      <w:pPr>
        <w:pStyle w:val="affff9"/>
        <w:wordWrap w:val="0"/>
        <w:topLinePunct/>
        <w:adjustRightInd w:val="0"/>
        <w:snapToGrid w:val="0"/>
        <w:ind w:firstLine="480"/>
        <w:rPr>
          <w:rFonts w:cs="Times New Roman"/>
          <w:szCs w:val="24"/>
        </w:rPr>
      </w:pPr>
      <w:r>
        <w:rPr>
          <w:rFonts w:cs="Times New Roman"/>
          <w:szCs w:val="24"/>
        </w:rPr>
        <w:t>图</w:t>
      </w:r>
      <w:r>
        <w:rPr>
          <w:rFonts w:cs="Times New Roman"/>
          <w:szCs w:val="24"/>
        </w:rPr>
        <w:t xml:space="preserve">A.1  </w:t>
      </w:r>
      <w:r>
        <w:rPr>
          <w:rFonts w:cs="Times New Roman"/>
          <w:szCs w:val="24"/>
        </w:rPr>
        <w:t>有限路段的修正函数，</w:t>
      </w:r>
      <w:r>
        <w:rPr>
          <w:rFonts w:cs="Times New Roman"/>
          <w:szCs w:val="24"/>
        </w:rPr>
        <w:t>A</w:t>
      </w:r>
      <w:r>
        <w:rPr>
          <w:rFonts w:cs="Times New Roman"/>
          <w:szCs w:val="24"/>
        </w:rPr>
        <w:t>、</w:t>
      </w:r>
      <w:r>
        <w:rPr>
          <w:rFonts w:cs="Times New Roman"/>
          <w:szCs w:val="24"/>
        </w:rPr>
        <w:t>B</w:t>
      </w:r>
      <w:r>
        <w:rPr>
          <w:rFonts w:cs="Times New Roman"/>
          <w:szCs w:val="24"/>
        </w:rPr>
        <w:t>为路段，</w:t>
      </w:r>
      <w:r>
        <w:rPr>
          <w:rFonts w:cs="Times New Roman"/>
          <w:szCs w:val="24"/>
        </w:rPr>
        <w:t>P</w:t>
      </w:r>
      <w:r>
        <w:rPr>
          <w:rFonts w:cs="Times New Roman"/>
          <w:szCs w:val="24"/>
        </w:rPr>
        <w:t>为预测点</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rPr>
        <w:t>由其他</w:t>
      </w:r>
      <w:r>
        <w:rPr>
          <w:rFonts w:cs="Times New Roman"/>
          <w:szCs w:val="24"/>
        </w:rPr>
        <w:t>因素引起的修正量，</w:t>
      </w:r>
      <w:r>
        <w:rPr>
          <w:rFonts w:cs="Times New Roman"/>
          <w:szCs w:val="24"/>
        </w:rPr>
        <w:t>dB</w:t>
      </w:r>
      <w:r>
        <w:rPr>
          <w:rFonts w:cs="Times New Roman"/>
          <w:szCs w:val="24"/>
        </w:rPr>
        <w:t>（</w:t>
      </w:r>
      <w:r>
        <w:rPr>
          <w:rFonts w:cs="Times New Roman"/>
          <w:szCs w:val="24"/>
        </w:rPr>
        <w:t>A</w:t>
      </w:r>
      <w:r>
        <w:rPr>
          <w:rFonts w:cs="Times New Roman"/>
          <w:szCs w:val="24"/>
        </w:rPr>
        <w:t>），可按下式计算：</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rPr>
        <w:t>＝</w:t>
      </w:r>
      <w:r>
        <w:rPr>
          <w:rFonts w:cs="Times New Roman"/>
          <w:szCs w:val="24"/>
        </w:rPr>
        <w:t>△L</w:t>
      </w:r>
      <w:r>
        <w:rPr>
          <w:rFonts w:cs="Times New Roman"/>
          <w:szCs w:val="24"/>
          <w:vertAlign w:val="subscript"/>
        </w:rPr>
        <w:t>1</w:t>
      </w:r>
      <w:r>
        <w:rPr>
          <w:rFonts w:cs="Times New Roman"/>
          <w:szCs w:val="24"/>
        </w:rPr>
        <w:t>-△L</w:t>
      </w:r>
      <w:r>
        <w:rPr>
          <w:rFonts w:cs="Times New Roman"/>
          <w:szCs w:val="24"/>
          <w:vertAlign w:val="subscript"/>
        </w:rPr>
        <w:t>2</w:t>
      </w:r>
      <w:r>
        <w:rPr>
          <w:rFonts w:cs="Times New Roman"/>
          <w:szCs w:val="24"/>
        </w:rPr>
        <w:t>＋</w:t>
      </w:r>
      <w:r>
        <w:rPr>
          <w:rFonts w:cs="Times New Roman"/>
          <w:szCs w:val="24"/>
        </w:rPr>
        <w:t>△L</w:t>
      </w:r>
      <w:r>
        <w:rPr>
          <w:rFonts w:cs="Times New Roman"/>
          <w:szCs w:val="24"/>
          <w:vertAlign w:val="subscript"/>
        </w:rPr>
        <w:t xml:space="preserve">3 </w:t>
      </w:r>
      <w:r>
        <w:rPr>
          <w:rFonts w:cs="Times New Roman"/>
          <w:szCs w:val="24"/>
        </w:rPr>
        <w:t xml:space="preserve">                        </w:t>
      </w:r>
      <w:r>
        <w:rPr>
          <w:rFonts w:cs="Times New Roman"/>
          <w:szCs w:val="24"/>
        </w:rPr>
        <w:t>(</w:t>
      </w:r>
      <w:r>
        <w:rPr>
          <w:rFonts w:cs="Times New Roman"/>
          <w:szCs w:val="24"/>
        </w:rPr>
        <w:t>A.13</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1</w:t>
      </w:r>
      <w:r>
        <w:rPr>
          <w:rFonts w:cs="Times New Roman"/>
          <w:szCs w:val="24"/>
        </w:rPr>
        <w:t>＝</w:t>
      </w:r>
      <w:r>
        <w:rPr>
          <w:rFonts w:cs="Times New Roman"/>
          <w:szCs w:val="24"/>
        </w:rPr>
        <w:t>△L</w:t>
      </w:r>
      <w:r>
        <w:rPr>
          <w:rFonts w:cs="Times New Roman"/>
          <w:szCs w:val="24"/>
          <w:vertAlign w:val="subscript"/>
        </w:rPr>
        <w:t>坡度</w:t>
      </w:r>
      <w:r>
        <w:rPr>
          <w:rFonts w:cs="Times New Roman"/>
          <w:szCs w:val="24"/>
        </w:rPr>
        <w:t>+△L</w:t>
      </w:r>
      <w:r>
        <w:rPr>
          <w:rFonts w:cs="Times New Roman"/>
          <w:szCs w:val="24"/>
          <w:vertAlign w:val="subscript"/>
        </w:rPr>
        <w:t>路面</w:t>
      </w:r>
      <w:r>
        <w:rPr>
          <w:rFonts w:cs="Times New Roman"/>
          <w:szCs w:val="24"/>
        </w:rPr>
        <w:t>（</w:t>
      </w:r>
      <w:r>
        <w:rPr>
          <w:rFonts w:cs="Times New Roman"/>
          <w:szCs w:val="24"/>
        </w:rPr>
        <w:t>A.14</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2</w:t>
      </w:r>
      <w:r>
        <w:rPr>
          <w:rFonts w:cs="Times New Roman"/>
          <w:szCs w:val="24"/>
        </w:rPr>
        <w:t>＝</w:t>
      </w:r>
      <w:r>
        <w:rPr>
          <w:rFonts w:cs="Times New Roman"/>
          <w:szCs w:val="24"/>
        </w:rPr>
        <w:t>A</w:t>
      </w:r>
      <w:r>
        <w:rPr>
          <w:rFonts w:cs="Times New Roman"/>
          <w:szCs w:val="24"/>
          <w:vertAlign w:val="subscript"/>
        </w:rPr>
        <w:t>atm</w:t>
      </w:r>
      <w:r>
        <w:rPr>
          <w:rFonts w:cs="Times New Roman"/>
          <w:szCs w:val="24"/>
        </w:rPr>
        <w:t>+A</w:t>
      </w:r>
      <w:r>
        <w:rPr>
          <w:rFonts w:cs="Times New Roman"/>
          <w:szCs w:val="24"/>
          <w:vertAlign w:val="subscript"/>
        </w:rPr>
        <w:t>gr</w:t>
      </w:r>
      <w:r>
        <w:rPr>
          <w:rFonts w:cs="Times New Roman"/>
          <w:szCs w:val="24"/>
        </w:rPr>
        <w:t>+A</w:t>
      </w:r>
      <w:r>
        <w:rPr>
          <w:rFonts w:cs="Times New Roman"/>
          <w:szCs w:val="24"/>
          <w:vertAlign w:val="subscript"/>
        </w:rPr>
        <w:t>bar</w:t>
      </w:r>
      <w:r>
        <w:rPr>
          <w:rFonts w:cs="Times New Roman"/>
          <w:szCs w:val="24"/>
        </w:rPr>
        <w:t>+A</w:t>
      </w:r>
      <w:r>
        <w:rPr>
          <w:rFonts w:cs="Times New Roman"/>
          <w:szCs w:val="24"/>
          <w:vertAlign w:val="subscript"/>
        </w:rPr>
        <w:t>misc</w:t>
      </w:r>
      <w:r>
        <w:rPr>
          <w:rFonts w:cs="Times New Roman"/>
          <w:szCs w:val="24"/>
        </w:rPr>
        <w:t xml:space="preserve">                                </w:t>
      </w:r>
      <w:r>
        <w:rPr>
          <w:rFonts w:cs="Times New Roman"/>
          <w:szCs w:val="24"/>
        </w:rPr>
        <w:t>(</w:t>
      </w:r>
      <w:r>
        <w:rPr>
          <w:rFonts w:cs="Times New Roman"/>
          <w:szCs w:val="24"/>
        </w:rPr>
        <w:t>A.15</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式中：</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1</w:t>
      </w:r>
      <w:r>
        <w:rPr>
          <w:rFonts w:cs="Times New Roman"/>
          <w:szCs w:val="24"/>
        </w:rPr>
        <w:t>——</w:t>
      </w:r>
      <w:r>
        <w:rPr>
          <w:rFonts w:cs="Times New Roman"/>
          <w:szCs w:val="24"/>
        </w:rPr>
        <w:t>线路因素引起的修正量，</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rPr>
        <w:t>坡度</w:t>
      </w:r>
      <w:r>
        <w:rPr>
          <w:rFonts w:cs="Times New Roman"/>
          <w:szCs w:val="24"/>
        </w:rPr>
        <w:t>——</w:t>
      </w:r>
      <w:r>
        <w:rPr>
          <w:rFonts w:cs="Times New Roman"/>
          <w:szCs w:val="24"/>
        </w:rPr>
        <w:t>公路纵坡修正量，</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rPr>
        <w:t>路面</w:t>
      </w:r>
      <w:r>
        <w:rPr>
          <w:rFonts w:cs="Times New Roman"/>
          <w:szCs w:val="24"/>
        </w:rPr>
        <w:t>——</w:t>
      </w:r>
      <w:r>
        <w:rPr>
          <w:rFonts w:cs="Times New Roman"/>
          <w:szCs w:val="24"/>
        </w:rPr>
        <w:t>公路路面材料引起的修正量，</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2</w:t>
      </w:r>
      <w:r>
        <w:rPr>
          <w:rFonts w:cs="Times New Roman"/>
          <w:szCs w:val="24"/>
        </w:rPr>
        <w:t>——</w:t>
      </w:r>
      <w:r>
        <w:rPr>
          <w:rFonts w:cs="Times New Roman"/>
          <w:szCs w:val="24"/>
        </w:rPr>
        <w:t>声波传播途径中引起的衰减量，</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3</w:t>
      </w:r>
      <w:r>
        <w:rPr>
          <w:rFonts w:cs="Times New Roman"/>
          <w:szCs w:val="24"/>
        </w:rPr>
        <w:t>——</w:t>
      </w:r>
      <w:r>
        <w:rPr>
          <w:rFonts w:cs="Times New Roman"/>
          <w:szCs w:val="24"/>
        </w:rPr>
        <w:t>由反射引起的修正量，</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②</w:t>
      </w:r>
      <w:r>
        <w:rPr>
          <w:rFonts w:cs="Times New Roman"/>
          <w:szCs w:val="24"/>
        </w:rPr>
        <w:t>总车流等效声级为：</w:t>
      </w:r>
    </w:p>
    <w:p w:rsidR="00A46452" w:rsidRDefault="009A3928">
      <w:pPr>
        <w:pStyle w:val="affff6"/>
        <w:wordWrap w:val="0"/>
        <w:overflowPunct/>
        <w:topLinePunct/>
        <w:snapToGrid w:val="0"/>
        <w:ind w:firstLineChars="500" w:firstLine="1200"/>
        <w:jc w:val="center"/>
        <w:rPr>
          <w:rFonts w:ascii="Times New Roman" w:hAnsi="Times New Roman" w:cs="Times New Roman"/>
        </w:rPr>
      </w:pPr>
      <w:r>
        <w:rPr>
          <w:rFonts w:ascii="Times New Roman" w:hAnsi="Times New Roman" w:cs="Times New Roman"/>
          <w:position w:val="-10"/>
        </w:rPr>
        <w:object w:dxaOrig="5746" w:dyaOrig="460">
          <v:shape id="_x0000_i1030" type="#_x0000_t75" style="width:287.3pt;height:23pt" o:ole="">
            <v:imagedata r:id="rId70" o:title=""/>
          </v:shape>
          <o:OLEObject Type="Embed" ProgID="Msxml2.SAXXMLReader.6.0" ShapeID="_x0000_i1030" DrawAspect="Content" ObjectID="_1812464701" r:id="rId71"/>
        </w:objec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L</w:t>
      </w:r>
      <w:r>
        <w:rPr>
          <w:rFonts w:cs="Times New Roman"/>
          <w:szCs w:val="24"/>
          <w:vertAlign w:val="subscript"/>
        </w:rPr>
        <w:t>Aeq</w:t>
      </w:r>
      <w:r>
        <w:rPr>
          <w:rFonts w:cs="Times New Roman"/>
          <w:szCs w:val="24"/>
          <w:vertAlign w:val="subscript"/>
        </w:rPr>
        <w:t>（</w:t>
      </w:r>
      <w:r>
        <w:rPr>
          <w:rFonts w:cs="Times New Roman"/>
          <w:szCs w:val="24"/>
          <w:vertAlign w:val="subscript"/>
        </w:rPr>
        <w:t>h</w:t>
      </w:r>
      <w:r>
        <w:rPr>
          <w:rFonts w:cs="Times New Roman"/>
          <w:szCs w:val="24"/>
          <w:vertAlign w:val="subscript"/>
        </w:rPr>
        <w:t>）</w:t>
      </w:r>
      <w:r>
        <w:rPr>
          <w:rFonts w:cs="Times New Roman"/>
          <w:szCs w:val="24"/>
        </w:rPr>
        <w:t>大</w:t>
      </w:r>
      <w:r>
        <w:rPr>
          <w:rFonts w:cs="Times New Roman"/>
          <w:szCs w:val="24"/>
        </w:rPr>
        <w:t>——</w:t>
      </w:r>
      <w:r>
        <w:rPr>
          <w:rFonts w:cs="Times New Roman"/>
          <w:szCs w:val="24"/>
        </w:rPr>
        <w:t>大型车的预测噪声值，</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Aeq</w:t>
      </w:r>
      <w:r>
        <w:rPr>
          <w:rFonts w:cs="Times New Roman"/>
          <w:szCs w:val="24"/>
          <w:vertAlign w:val="subscript"/>
        </w:rPr>
        <w:t>（</w:t>
      </w:r>
      <w:r>
        <w:rPr>
          <w:rFonts w:cs="Times New Roman"/>
          <w:szCs w:val="24"/>
          <w:vertAlign w:val="subscript"/>
        </w:rPr>
        <w:t>h</w:t>
      </w:r>
      <w:r>
        <w:rPr>
          <w:rFonts w:cs="Times New Roman"/>
          <w:szCs w:val="24"/>
          <w:vertAlign w:val="subscript"/>
        </w:rPr>
        <w:t>）</w:t>
      </w:r>
      <w:r>
        <w:rPr>
          <w:rFonts w:cs="Times New Roman"/>
          <w:szCs w:val="24"/>
        </w:rPr>
        <w:t>中</w:t>
      </w:r>
      <w:r>
        <w:rPr>
          <w:rFonts w:cs="Times New Roman"/>
          <w:szCs w:val="24"/>
        </w:rPr>
        <w:t>——</w:t>
      </w:r>
      <w:r>
        <w:rPr>
          <w:rFonts w:cs="Times New Roman"/>
          <w:szCs w:val="24"/>
        </w:rPr>
        <w:t>中型车的预测噪声值，</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Aeq</w:t>
      </w:r>
      <w:r>
        <w:rPr>
          <w:rFonts w:cs="Times New Roman"/>
          <w:szCs w:val="24"/>
          <w:vertAlign w:val="subscript"/>
        </w:rPr>
        <w:t>（</w:t>
      </w:r>
      <w:r>
        <w:rPr>
          <w:rFonts w:cs="Times New Roman"/>
          <w:szCs w:val="24"/>
          <w:vertAlign w:val="subscript"/>
        </w:rPr>
        <w:t>h</w:t>
      </w:r>
      <w:r>
        <w:rPr>
          <w:rFonts w:cs="Times New Roman"/>
          <w:szCs w:val="24"/>
          <w:vertAlign w:val="subscript"/>
        </w:rPr>
        <w:t>）</w:t>
      </w:r>
      <w:r>
        <w:rPr>
          <w:rFonts w:cs="Times New Roman"/>
          <w:szCs w:val="24"/>
        </w:rPr>
        <w:t>小</w:t>
      </w:r>
      <w:r>
        <w:rPr>
          <w:rFonts w:cs="Times New Roman"/>
          <w:szCs w:val="24"/>
        </w:rPr>
        <w:t>——</w:t>
      </w:r>
      <w:r>
        <w:rPr>
          <w:rFonts w:cs="Times New Roman"/>
          <w:szCs w:val="24"/>
        </w:rPr>
        <w:t>小型车的预测噪声值，</w:t>
      </w:r>
      <w:r>
        <w:rPr>
          <w:rFonts w:cs="Times New Roman"/>
          <w:szCs w:val="24"/>
        </w:rPr>
        <w:t>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2</w:t>
      </w:r>
      <w:r>
        <w:rPr>
          <w:rFonts w:cs="Times New Roman"/>
          <w:szCs w:val="24"/>
        </w:rPr>
        <w:t>）参数选择</w:t>
      </w:r>
    </w:p>
    <w:p w:rsidR="00A46452" w:rsidRDefault="009A3928">
      <w:pPr>
        <w:wordWrap w:val="0"/>
        <w:topLinePunct/>
        <w:adjustRightInd w:val="0"/>
        <w:snapToGrid w:val="0"/>
        <w:ind w:firstLine="480"/>
        <w:rPr>
          <w:rFonts w:cs="Times New Roman"/>
          <w:szCs w:val="24"/>
        </w:rPr>
      </w:pPr>
      <w:r>
        <w:rPr>
          <w:rFonts w:cs="Times New Roman"/>
          <w:szCs w:val="24"/>
        </w:rPr>
        <w:t>①</w:t>
      </w:r>
      <w:r>
        <w:rPr>
          <w:rFonts w:cs="Times New Roman"/>
          <w:szCs w:val="24"/>
        </w:rPr>
        <w:t>车速</w:t>
      </w:r>
    </w:p>
    <w:p w:rsidR="00A46452" w:rsidRDefault="009A3928">
      <w:pPr>
        <w:wordWrap w:val="0"/>
        <w:topLinePunct/>
        <w:adjustRightInd w:val="0"/>
        <w:snapToGrid w:val="0"/>
        <w:ind w:firstLine="480"/>
        <w:rPr>
          <w:rFonts w:cs="Times New Roman"/>
          <w:szCs w:val="24"/>
        </w:rPr>
      </w:pPr>
      <w:r>
        <w:rPr>
          <w:rFonts w:cs="Times New Roman"/>
          <w:szCs w:val="24"/>
        </w:rPr>
        <w:t>根据工可，本项目设计车速</w:t>
      </w:r>
      <w:r>
        <w:rPr>
          <w:rFonts w:cs="Times New Roman"/>
          <w:szCs w:val="24"/>
        </w:rPr>
        <w:t>60</w:t>
      </w:r>
      <w:r>
        <w:rPr>
          <w:rFonts w:cs="Times New Roman"/>
          <w:szCs w:val="24"/>
        </w:rPr>
        <w:t>km/h</w:t>
      </w:r>
      <w:r>
        <w:rPr>
          <w:rFonts w:cs="Times New Roman"/>
          <w:szCs w:val="24"/>
        </w:rPr>
        <w:t>和</w:t>
      </w:r>
      <w:r>
        <w:rPr>
          <w:rFonts w:cs="Times New Roman"/>
          <w:szCs w:val="24"/>
        </w:rPr>
        <w:t>80km/h</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②</w:t>
      </w:r>
      <w:r>
        <w:rPr>
          <w:rFonts w:cs="Times New Roman"/>
          <w:szCs w:val="24"/>
        </w:rPr>
        <w:t>车型</w:t>
      </w:r>
    </w:p>
    <w:p w:rsidR="00A46452" w:rsidRDefault="009A3928">
      <w:pPr>
        <w:wordWrap w:val="0"/>
        <w:topLinePunct/>
        <w:adjustRightInd w:val="0"/>
        <w:snapToGrid w:val="0"/>
        <w:ind w:firstLine="480"/>
        <w:rPr>
          <w:rFonts w:cs="Times New Roman"/>
          <w:szCs w:val="24"/>
        </w:rPr>
      </w:pPr>
      <w:r>
        <w:rPr>
          <w:rFonts w:cs="Times New Roman"/>
          <w:szCs w:val="24"/>
        </w:rPr>
        <w:t>车型分为小、中、大三种，车型分类标准见表</w:t>
      </w:r>
      <w:r>
        <w:rPr>
          <w:rFonts w:cs="Times New Roman" w:hint="eastAsia"/>
          <w:szCs w:val="24"/>
        </w:rPr>
        <w:t>7</w:t>
      </w:r>
      <w:r>
        <w:rPr>
          <w:rFonts w:cs="Times New Roman"/>
          <w:szCs w:val="24"/>
        </w:rPr>
        <w:t>.4-6</w:t>
      </w:r>
      <w:r>
        <w:rPr>
          <w:rFonts w:cs="Times New Roman"/>
          <w:szCs w:val="24"/>
        </w:rPr>
        <w:t>。</w:t>
      </w:r>
    </w:p>
    <w:p w:rsidR="00A46452" w:rsidRDefault="009A3928">
      <w:pPr>
        <w:pStyle w:val="1c"/>
        <w:wordWrap w:val="0"/>
        <w:topLinePunct/>
        <w:adjustRightInd w:val="0"/>
        <w:snapToGrid w:val="0"/>
        <w:ind w:firstLineChars="100" w:firstLine="24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.4-6                 </w:t>
      </w:r>
      <w:r>
        <w:rPr>
          <w:rFonts w:ascii="Times New Roman" w:hAnsi="Times New Roman" w:cs="Times New Roman" w:hint="default"/>
          <w:sz w:val="24"/>
          <w:szCs w:val="24"/>
        </w:rPr>
        <w:t>车型分类标准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6"/>
        <w:gridCol w:w="4143"/>
      </w:tblGrid>
      <w:tr w:rsidR="00A46452">
        <w:trPr>
          <w:jc w:val="center"/>
        </w:trPr>
        <w:tc>
          <w:tcPr>
            <w:tcW w:w="2513" w:type="pct"/>
            <w:tcBorders>
              <w:top w:val="single" w:sz="12" w:space="0" w:color="auto"/>
              <w:left w:val="single" w:sz="12" w:space="0" w:color="auto"/>
              <w:bottom w:val="single" w:sz="4" w:space="0" w:color="auto"/>
              <w:right w:val="single" w:sz="4"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车型</w:t>
            </w:r>
          </w:p>
        </w:tc>
        <w:tc>
          <w:tcPr>
            <w:tcW w:w="2487" w:type="pct"/>
            <w:tcBorders>
              <w:top w:val="single" w:sz="12" w:space="0" w:color="auto"/>
              <w:left w:val="single" w:sz="4" w:space="0" w:color="auto"/>
              <w:bottom w:val="single" w:sz="4" w:space="0" w:color="auto"/>
              <w:right w:val="single" w:sz="12"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汽车总质量</w:t>
            </w:r>
          </w:p>
        </w:tc>
      </w:tr>
      <w:tr w:rsidR="00A46452">
        <w:trPr>
          <w:jc w:val="center"/>
        </w:trPr>
        <w:tc>
          <w:tcPr>
            <w:tcW w:w="2513" w:type="pct"/>
            <w:tcBorders>
              <w:top w:val="single" w:sz="4" w:space="0" w:color="auto"/>
              <w:left w:val="single" w:sz="12" w:space="0" w:color="auto"/>
              <w:bottom w:val="single" w:sz="4" w:space="0" w:color="auto"/>
              <w:right w:val="single" w:sz="4"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小型车（</w:t>
            </w:r>
            <w:r>
              <w:rPr>
                <w:rFonts w:ascii="Times New Roman" w:eastAsia="宋体" w:hAnsi="Times New Roman" w:cs="Times New Roman"/>
                <w:sz w:val="18"/>
                <w:szCs w:val="18"/>
              </w:rPr>
              <w:t>s</w:t>
            </w:r>
            <w:r>
              <w:rPr>
                <w:rFonts w:ascii="Times New Roman" w:eastAsia="宋体" w:hAnsi="Times New Roman" w:cs="Times New Roman"/>
                <w:sz w:val="18"/>
                <w:szCs w:val="18"/>
              </w:rPr>
              <w:t>）</w:t>
            </w:r>
          </w:p>
        </w:tc>
        <w:tc>
          <w:tcPr>
            <w:tcW w:w="2487" w:type="pct"/>
            <w:tcBorders>
              <w:top w:val="single" w:sz="4" w:space="0" w:color="auto"/>
              <w:left w:val="single" w:sz="4" w:space="0" w:color="auto"/>
              <w:bottom w:val="single" w:sz="4" w:space="0" w:color="auto"/>
              <w:right w:val="single" w:sz="12"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≤3.5t</w:t>
            </w:r>
          </w:p>
        </w:tc>
      </w:tr>
      <w:tr w:rsidR="00A46452">
        <w:trPr>
          <w:jc w:val="center"/>
        </w:trPr>
        <w:tc>
          <w:tcPr>
            <w:tcW w:w="2513" w:type="pct"/>
            <w:tcBorders>
              <w:top w:val="single" w:sz="4" w:space="0" w:color="auto"/>
              <w:left w:val="single" w:sz="12" w:space="0" w:color="auto"/>
              <w:bottom w:val="single" w:sz="4" w:space="0" w:color="auto"/>
              <w:right w:val="single" w:sz="4"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中型车（</w:t>
            </w:r>
            <w:r>
              <w:rPr>
                <w:rFonts w:ascii="Times New Roman" w:eastAsia="宋体" w:hAnsi="Times New Roman" w:cs="Times New Roman"/>
                <w:sz w:val="18"/>
                <w:szCs w:val="18"/>
              </w:rPr>
              <w:t>m</w:t>
            </w:r>
            <w:r>
              <w:rPr>
                <w:rFonts w:ascii="Times New Roman" w:eastAsia="宋体" w:hAnsi="Times New Roman" w:cs="Times New Roman"/>
                <w:sz w:val="18"/>
                <w:szCs w:val="18"/>
              </w:rPr>
              <w:t>）</w:t>
            </w:r>
          </w:p>
        </w:tc>
        <w:tc>
          <w:tcPr>
            <w:tcW w:w="2487" w:type="pct"/>
            <w:tcBorders>
              <w:top w:val="single" w:sz="4" w:space="0" w:color="auto"/>
              <w:left w:val="single" w:sz="4" w:space="0" w:color="auto"/>
              <w:bottom w:val="single" w:sz="4" w:space="0" w:color="auto"/>
              <w:right w:val="single" w:sz="12"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3.5t</w:t>
            </w:r>
            <w:r>
              <w:rPr>
                <w:rFonts w:ascii="Times New Roman" w:eastAsia="宋体" w:hAnsi="Times New Roman" w:cs="Times New Roman"/>
                <w:sz w:val="18"/>
                <w:szCs w:val="18"/>
              </w:rPr>
              <w:t>～</w:t>
            </w:r>
            <w:r>
              <w:rPr>
                <w:rFonts w:ascii="Times New Roman" w:eastAsia="宋体" w:hAnsi="Times New Roman" w:cs="Times New Roman"/>
                <w:sz w:val="18"/>
                <w:szCs w:val="18"/>
              </w:rPr>
              <w:t>12t</w:t>
            </w:r>
          </w:p>
        </w:tc>
      </w:tr>
      <w:tr w:rsidR="00A46452">
        <w:trPr>
          <w:jc w:val="center"/>
        </w:trPr>
        <w:tc>
          <w:tcPr>
            <w:tcW w:w="2513" w:type="pct"/>
            <w:tcBorders>
              <w:top w:val="single" w:sz="4" w:space="0" w:color="auto"/>
              <w:left w:val="single" w:sz="12" w:space="0" w:color="auto"/>
              <w:bottom w:val="single" w:sz="12" w:space="0" w:color="auto"/>
              <w:right w:val="single" w:sz="4"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大型车（</w:t>
            </w:r>
            <w:r>
              <w:rPr>
                <w:rFonts w:ascii="Times New Roman" w:eastAsia="宋体" w:hAnsi="Times New Roman" w:cs="Times New Roman"/>
                <w:sz w:val="18"/>
                <w:szCs w:val="18"/>
              </w:rPr>
              <w:t>L</w:t>
            </w:r>
            <w:r>
              <w:rPr>
                <w:rFonts w:ascii="Times New Roman" w:eastAsia="宋体" w:hAnsi="Times New Roman" w:cs="Times New Roman"/>
                <w:sz w:val="18"/>
                <w:szCs w:val="18"/>
              </w:rPr>
              <w:t>）</w:t>
            </w:r>
          </w:p>
        </w:tc>
        <w:tc>
          <w:tcPr>
            <w:tcW w:w="2487" w:type="pct"/>
            <w:tcBorders>
              <w:top w:val="single" w:sz="4" w:space="0" w:color="auto"/>
              <w:left w:val="single" w:sz="4" w:space="0" w:color="auto"/>
              <w:bottom w:val="single" w:sz="12" w:space="0" w:color="auto"/>
              <w:right w:val="single" w:sz="12" w:space="0" w:color="auto"/>
              <w:tl2br w:val="nil"/>
              <w:tr2bl w:val="nil"/>
            </w:tcBorders>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&gt;</w:t>
            </w:r>
            <w:r>
              <w:rPr>
                <w:rFonts w:ascii="Times New Roman" w:eastAsia="宋体" w:hAnsi="Times New Roman" w:cs="Times New Roman"/>
                <w:sz w:val="18"/>
                <w:szCs w:val="18"/>
              </w:rPr>
              <w:t>12t</w:t>
            </w:r>
          </w:p>
        </w:tc>
      </w:tr>
    </w:tbl>
    <w:p w:rsidR="00A46452" w:rsidRDefault="009A3928">
      <w:pPr>
        <w:wordWrap w:val="0"/>
        <w:topLinePunct/>
        <w:adjustRightInd w:val="0"/>
        <w:snapToGrid w:val="0"/>
        <w:ind w:firstLineChars="0" w:firstLine="0"/>
        <w:rPr>
          <w:rFonts w:cs="Times New Roman"/>
          <w:sz w:val="21"/>
          <w:szCs w:val="24"/>
        </w:rPr>
      </w:pPr>
      <w:r>
        <w:rPr>
          <w:rFonts w:cs="Times New Roman"/>
          <w:sz w:val="21"/>
          <w:szCs w:val="24"/>
        </w:rPr>
        <w:t>注：小型车一般包括小货、轿车、</w:t>
      </w:r>
      <w:r>
        <w:rPr>
          <w:rFonts w:cs="Times New Roman"/>
          <w:sz w:val="21"/>
          <w:szCs w:val="24"/>
        </w:rPr>
        <w:t>7</w:t>
      </w:r>
      <w:r>
        <w:rPr>
          <w:rFonts w:cs="Times New Roman"/>
          <w:sz w:val="21"/>
          <w:szCs w:val="24"/>
        </w:rPr>
        <w:t>座（含</w:t>
      </w:r>
      <w:r>
        <w:rPr>
          <w:rFonts w:cs="Times New Roman"/>
          <w:sz w:val="21"/>
          <w:szCs w:val="24"/>
        </w:rPr>
        <w:t>7</w:t>
      </w:r>
      <w:r>
        <w:rPr>
          <w:rFonts w:cs="Times New Roman"/>
          <w:sz w:val="21"/>
          <w:szCs w:val="24"/>
        </w:rPr>
        <w:t>座）以下旅行车等；</w:t>
      </w:r>
    </w:p>
    <w:p w:rsidR="00A46452" w:rsidRDefault="009A3928">
      <w:pPr>
        <w:wordWrap w:val="0"/>
        <w:topLinePunct/>
        <w:adjustRightInd w:val="0"/>
        <w:snapToGrid w:val="0"/>
        <w:ind w:firstLineChars="0" w:firstLine="0"/>
        <w:rPr>
          <w:rFonts w:cs="Times New Roman"/>
          <w:sz w:val="21"/>
          <w:szCs w:val="24"/>
        </w:rPr>
      </w:pPr>
      <w:r>
        <w:rPr>
          <w:rFonts w:cs="Times New Roman"/>
          <w:sz w:val="21"/>
          <w:szCs w:val="24"/>
        </w:rPr>
        <w:t>大型车一般包括集装箱车、拖挂车、工程车、大客车（</w:t>
      </w:r>
      <w:r>
        <w:rPr>
          <w:rFonts w:cs="Times New Roman"/>
          <w:sz w:val="21"/>
          <w:szCs w:val="24"/>
        </w:rPr>
        <w:t>40</w:t>
      </w:r>
      <w:r>
        <w:rPr>
          <w:rFonts w:cs="Times New Roman"/>
          <w:sz w:val="21"/>
          <w:szCs w:val="24"/>
        </w:rPr>
        <w:t>座以上）、大货车等；</w:t>
      </w:r>
    </w:p>
    <w:p w:rsidR="00A46452" w:rsidRDefault="009A3928">
      <w:pPr>
        <w:wordWrap w:val="0"/>
        <w:topLinePunct/>
        <w:adjustRightInd w:val="0"/>
        <w:snapToGrid w:val="0"/>
        <w:ind w:firstLineChars="0" w:firstLine="0"/>
        <w:rPr>
          <w:rFonts w:cs="Times New Roman"/>
          <w:sz w:val="21"/>
          <w:szCs w:val="24"/>
        </w:rPr>
      </w:pPr>
      <w:r>
        <w:rPr>
          <w:rFonts w:cs="Times New Roman"/>
          <w:sz w:val="21"/>
          <w:szCs w:val="24"/>
        </w:rPr>
        <w:t>中型车一般包括中货、中客（</w:t>
      </w:r>
      <w:r>
        <w:rPr>
          <w:rFonts w:cs="Times New Roman"/>
          <w:sz w:val="21"/>
          <w:szCs w:val="24"/>
        </w:rPr>
        <w:t>7</w:t>
      </w:r>
      <w:r>
        <w:rPr>
          <w:rFonts w:cs="Times New Roman"/>
          <w:sz w:val="21"/>
          <w:szCs w:val="24"/>
        </w:rPr>
        <w:t>座</w:t>
      </w:r>
      <w:r>
        <w:rPr>
          <w:rFonts w:cs="Times New Roman"/>
          <w:sz w:val="21"/>
          <w:szCs w:val="24"/>
        </w:rPr>
        <w:t>～</w:t>
      </w:r>
      <w:r>
        <w:rPr>
          <w:rFonts w:cs="Times New Roman"/>
          <w:sz w:val="21"/>
          <w:szCs w:val="24"/>
        </w:rPr>
        <w:t>40</w:t>
      </w:r>
      <w:r>
        <w:rPr>
          <w:rFonts w:cs="Times New Roman"/>
          <w:sz w:val="21"/>
          <w:szCs w:val="24"/>
        </w:rPr>
        <w:t>座）、农用三轮、四轮等。大型车和小型车以外的车辆，可按相近归类。</w:t>
      </w:r>
    </w:p>
    <w:p w:rsidR="00A46452" w:rsidRDefault="009A3928">
      <w:pPr>
        <w:wordWrap w:val="0"/>
        <w:topLinePunct/>
        <w:adjustRightInd w:val="0"/>
        <w:snapToGrid w:val="0"/>
        <w:ind w:firstLine="480"/>
        <w:rPr>
          <w:rFonts w:cs="Times New Roman"/>
          <w:szCs w:val="24"/>
        </w:rPr>
      </w:pPr>
      <w:r>
        <w:rPr>
          <w:rFonts w:cs="Times New Roman"/>
          <w:szCs w:val="24"/>
        </w:rPr>
        <w:t>③</w:t>
      </w:r>
      <w:r>
        <w:rPr>
          <w:rFonts w:cs="Times New Roman"/>
          <w:szCs w:val="24"/>
        </w:rPr>
        <w:t>单车行驶辐射噪声级</w:t>
      </w:r>
      <w:r>
        <w:rPr>
          <w:rFonts w:cs="Times New Roman"/>
          <w:szCs w:val="24"/>
        </w:rPr>
        <w:t>L</w:t>
      </w:r>
      <w:r>
        <w:rPr>
          <w:rFonts w:cs="Times New Roman"/>
          <w:szCs w:val="24"/>
          <w:vertAlign w:val="subscript"/>
        </w:rPr>
        <w:t>oi</w:t>
      </w:r>
    </w:p>
    <w:p w:rsidR="00A46452" w:rsidRDefault="009A3928">
      <w:pPr>
        <w:wordWrap w:val="0"/>
        <w:topLinePunct/>
        <w:adjustRightInd w:val="0"/>
        <w:snapToGrid w:val="0"/>
        <w:ind w:firstLine="480"/>
        <w:rPr>
          <w:rFonts w:cs="Times New Roman"/>
          <w:szCs w:val="24"/>
        </w:rPr>
      </w:pPr>
      <w:r>
        <w:rPr>
          <w:rFonts w:cs="Times New Roman"/>
          <w:szCs w:val="24"/>
        </w:rPr>
        <w:t>各类型车在离行车线</w:t>
      </w:r>
      <w:r>
        <w:rPr>
          <w:rFonts w:cs="Times New Roman"/>
          <w:szCs w:val="24"/>
        </w:rPr>
        <w:t>15m</w:t>
      </w:r>
      <w:r>
        <w:rPr>
          <w:rFonts w:cs="Times New Roman"/>
          <w:szCs w:val="24"/>
        </w:rPr>
        <w:t>处参照点的平均辐射噪声级</w:t>
      </w:r>
      <w:r>
        <w:rPr>
          <w:rFonts w:cs="Times New Roman"/>
          <w:szCs w:val="24"/>
        </w:rPr>
        <w:t>Loi</w:t>
      </w:r>
      <w:r>
        <w:rPr>
          <w:rFonts w:cs="Times New Roman"/>
          <w:szCs w:val="24"/>
        </w:rPr>
        <w:t>按下式计算：</w:t>
      </w:r>
    </w:p>
    <w:p w:rsidR="00A46452" w:rsidRDefault="009A3928">
      <w:pPr>
        <w:wordWrap w:val="0"/>
        <w:topLinePunct/>
        <w:adjustRightInd w:val="0"/>
        <w:snapToGrid w:val="0"/>
        <w:ind w:firstLine="480"/>
        <w:jc w:val="center"/>
        <w:rPr>
          <w:rFonts w:cs="Times New Roman"/>
          <w:szCs w:val="24"/>
        </w:rPr>
      </w:pPr>
      <w:r>
        <w:rPr>
          <w:rFonts w:cs="Times New Roman"/>
          <w:noProof/>
          <w:szCs w:val="24"/>
        </w:rPr>
        <w:drawing>
          <wp:inline distT="0" distB="0" distL="114300" distR="114300">
            <wp:extent cx="3354070" cy="321310"/>
            <wp:effectExtent l="0" t="0" r="0" b="952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72"/>
                    <a:stretch>
                      <a:fillRect/>
                    </a:stretch>
                  </pic:blipFill>
                  <pic:spPr>
                    <a:xfrm>
                      <a:off x="0" y="0"/>
                      <a:ext cx="3354070" cy="321310"/>
                    </a:xfrm>
                    <a:prstGeom prst="rect">
                      <a:avLst/>
                    </a:prstGeom>
                    <a:noFill/>
                    <a:ln>
                      <a:noFill/>
                    </a:ln>
                  </pic:spPr>
                </pic:pic>
              </a:graphicData>
            </a:graphic>
          </wp:inline>
        </w:drawing>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 xml:space="preserve"> L</w:t>
      </w:r>
      <w:r>
        <w:rPr>
          <w:rFonts w:cs="Times New Roman"/>
          <w:szCs w:val="24"/>
          <w:vertAlign w:val="subscript"/>
        </w:rPr>
        <w:t>Aeq</w:t>
      </w:r>
      <w:r>
        <w:rPr>
          <w:rFonts w:cs="Times New Roman"/>
          <w:szCs w:val="24"/>
          <w:vertAlign w:val="subscript"/>
        </w:rPr>
        <w:t>环</w:t>
      </w:r>
      <w:r>
        <w:rPr>
          <w:rFonts w:cs="Times New Roman"/>
          <w:szCs w:val="24"/>
        </w:rPr>
        <w:t>——</w:t>
      </w:r>
      <w:r>
        <w:rPr>
          <w:rFonts w:cs="Times New Roman"/>
          <w:szCs w:val="24"/>
        </w:rPr>
        <w:t>预测点的环境噪声值，</w:t>
      </w:r>
      <w:r>
        <w:rPr>
          <w:rFonts w:cs="Times New Roman"/>
          <w:szCs w:val="24"/>
        </w:rPr>
        <w:t>dB</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Aeq</w:t>
      </w:r>
      <w:r>
        <w:rPr>
          <w:rFonts w:cs="Times New Roman"/>
          <w:szCs w:val="24"/>
          <w:vertAlign w:val="subscript"/>
        </w:rPr>
        <w:t>交</w:t>
      </w:r>
      <w:r>
        <w:rPr>
          <w:rFonts w:cs="Times New Roman"/>
          <w:szCs w:val="24"/>
        </w:rPr>
        <w:t>——</w:t>
      </w:r>
      <w:r>
        <w:rPr>
          <w:rFonts w:cs="Times New Roman"/>
          <w:szCs w:val="24"/>
        </w:rPr>
        <w:t>预测点的公路交通噪声值，</w:t>
      </w:r>
      <w:r>
        <w:rPr>
          <w:rFonts w:cs="Times New Roman"/>
          <w:szCs w:val="24"/>
        </w:rPr>
        <w:t>dB</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L</w:t>
      </w:r>
      <w:r>
        <w:rPr>
          <w:rFonts w:cs="Times New Roman"/>
          <w:szCs w:val="24"/>
          <w:vertAlign w:val="subscript"/>
        </w:rPr>
        <w:t>Aeq</w:t>
      </w:r>
      <w:r>
        <w:rPr>
          <w:rFonts w:cs="Times New Roman"/>
          <w:szCs w:val="24"/>
          <w:vertAlign w:val="subscript"/>
        </w:rPr>
        <w:t>背</w:t>
      </w:r>
      <w:r>
        <w:rPr>
          <w:rFonts w:cs="Times New Roman"/>
          <w:szCs w:val="24"/>
        </w:rPr>
        <w:t>——</w:t>
      </w:r>
      <w:r>
        <w:rPr>
          <w:rFonts w:cs="Times New Roman"/>
          <w:szCs w:val="24"/>
        </w:rPr>
        <w:t>预测点的背景噪声值，</w:t>
      </w:r>
      <w:r>
        <w:rPr>
          <w:rFonts w:cs="Times New Roman"/>
          <w:szCs w:val="24"/>
        </w:rPr>
        <w:t>dB</w:t>
      </w:r>
      <w:r>
        <w:rPr>
          <w:rFonts w:cs="Times New Roman"/>
          <w:szCs w:val="24"/>
        </w:rPr>
        <w:t>。</w:t>
      </w:r>
    </w:p>
    <w:p w:rsidR="00A46452" w:rsidRDefault="009A3928">
      <w:pPr>
        <w:wordWrap w:val="0"/>
        <w:topLinePunct/>
        <w:adjustRightInd w:val="0"/>
        <w:snapToGrid w:val="0"/>
        <w:ind w:firstLine="480"/>
        <w:rPr>
          <w:rFonts w:cs="Times New Roman"/>
          <w:szCs w:val="24"/>
          <w:vertAlign w:val="subscript"/>
        </w:rPr>
      </w:pPr>
      <w:r>
        <w:rPr>
          <w:rFonts w:cs="Times New Roman"/>
          <w:szCs w:val="24"/>
        </w:rPr>
        <w:t>小型车</w:t>
      </w:r>
      <w:r>
        <w:rPr>
          <w:rFonts w:cs="Times New Roman"/>
          <w:szCs w:val="24"/>
        </w:rPr>
        <w:t xml:space="preserve">   L</w:t>
      </w:r>
      <w:r>
        <w:rPr>
          <w:rFonts w:cs="Times New Roman"/>
          <w:szCs w:val="24"/>
          <w:vertAlign w:val="subscript"/>
        </w:rPr>
        <w:t>0s</w:t>
      </w:r>
      <w:r>
        <w:rPr>
          <w:rFonts w:cs="Times New Roman"/>
          <w:szCs w:val="24"/>
        </w:rPr>
        <w:t>=12.6+34.73lgV</w:t>
      </w:r>
      <w:r>
        <w:rPr>
          <w:rFonts w:cs="Times New Roman"/>
          <w:szCs w:val="24"/>
          <w:vertAlign w:val="subscript"/>
        </w:rPr>
        <w:t>s</w:t>
      </w:r>
    </w:p>
    <w:p w:rsidR="00A46452" w:rsidRDefault="009A3928">
      <w:pPr>
        <w:wordWrap w:val="0"/>
        <w:topLinePunct/>
        <w:adjustRightInd w:val="0"/>
        <w:snapToGrid w:val="0"/>
        <w:ind w:firstLine="480"/>
        <w:rPr>
          <w:rFonts w:cs="Times New Roman"/>
          <w:szCs w:val="24"/>
        </w:rPr>
      </w:pPr>
      <w:r>
        <w:rPr>
          <w:rFonts w:cs="Times New Roman"/>
          <w:szCs w:val="24"/>
        </w:rPr>
        <w:t>中型车</w:t>
      </w:r>
      <w:r>
        <w:rPr>
          <w:rFonts w:cs="Times New Roman"/>
          <w:szCs w:val="24"/>
        </w:rPr>
        <w:t xml:space="preserve">   L</w:t>
      </w:r>
      <w:r>
        <w:rPr>
          <w:rFonts w:cs="Times New Roman"/>
          <w:szCs w:val="24"/>
          <w:vertAlign w:val="subscript"/>
        </w:rPr>
        <w:t>0m</w:t>
      </w:r>
      <w:r>
        <w:rPr>
          <w:rFonts w:cs="Times New Roman"/>
          <w:szCs w:val="24"/>
        </w:rPr>
        <w:t>=8.8+40.48lgV</w:t>
      </w:r>
      <w:r>
        <w:rPr>
          <w:rFonts w:cs="Times New Roman"/>
          <w:szCs w:val="24"/>
          <w:vertAlign w:val="subscript"/>
        </w:rPr>
        <w:t>m</w:t>
      </w:r>
    </w:p>
    <w:p w:rsidR="00A46452" w:rsidRDefault="009A3928">
      <w:pPr>
        <w:wordWrap w:val="0"/>
        <w:topLinePunct/>
        <w:adjustRightInd w:val="0"/>
        <w:snapToGrid w:val="0"/>
        <w:ind w:firstLine="480"/>
        <w:rPr>
          <w:rFonts w:cs="Times New Roman"/>
          <w:szCs w:val="24"/>
        </w:rPr>
      </w:pPr>
      <w:r>
        <w:rPr>
          <w:rFonts w:cs="Times New Roman"/>
          <w:szCs w:val="24"/>
        </w:rPr>
        <w:t>大型车</w:t>
      </w:r>
      <w:r>
        <w:rPr>
          <w:rFonts w:cs="Times New Roman"/>
          <w:szCs w:val="24"/>
        </w:rPr>
        <w:t xml:space="preserve">   L</w:t>
      </w:r>
      <w:r>
        <w:rPr>
          <w:rFonts w:cs="Times New Roman"/>
          <w:szCs w:val="24"/>
          <w:vertAlign w:val="subscript"/>
        </w:rPr>
        <w:t>0L</w:t>
      </w:r>
      <w:r>
        <w:rPr>
          <w:rFonts w:cs="Times New Roman"/>
          <w:szCs w:val="24"/>
        </w:rPr>
        <w:t>=22+36.32lgV</w:t>
      </w:r>
      <w:r>
        <w:rPr>
          <w:rFonts w:cs="Times New Roman"/>
          <w:szCs w:val="24"/>
          <w:vertAlign w:val="subscript"/>
        </w:rPr>
        <w:t>l</w:t>
      </w:r>
    </w:p>
    <w:p w:rsidR="00A46452" w:rsidRDefault="009A3928">
      <w:pPr>
        <w:wordWrap w:val="0"/>
        <w:topLinePunct/>
        <w:adjustRightInd w:val="0"/>
        <w:snapToGrid w:val="0"/>
        <w:ind w:firstLine="480"/>
        <w:rPr>
          <w:rFonts w:cs="Times New Roman"/>
          <w:szCs w:val="24"/>
        </w:rPr>
      </w:pPr>
      <w:r>
        <w:rPr>
          <w:rFonts w:cs="Times New Roman"/>
          <w:szCs w:val="24"/>
        </w:rPr>
        <w:t>④</w:t>
      </w:r>
      <w:r>
        <w:rPr>
          <w:rFonts w:cs="Times New Roman"/>
          <w:szCs w:val="24"/>
        </w:rPr>
        <w:t>线路因素引起的修正量（</w:t>
      </w:r>
      <w:r>
        <w:rPr>
          <w:rFonts w:cs="Times New Roman"/>
          <w:szCs w:val="24"/>
        </w:rPr>
        <w:t>△L1</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A.</w:t>
      </w:r>
      <w:r>
        <w:rPr>
          <w:rFonts w:cs="Times New Roman"/>
          <w:szCs w:val="24"/>
        </w:rPr>
        <w:t>纵坡修正量（</w:t>
      </w:r>
      <w:r>
        <w:rPr>
          <w:rFonts w:cs="Times New Roman"/>
          <w:szCs w:val="24"/>
        </w:rPr>
        <w:t>△L</w:t>
      </w:r>
      <w:r>
        <w:rPr>
          <w:rFonts w:cs="Times New Roman"/>
          <w:szCs w:val="24"/>
        </w:rPr>
        <w:t>坡度）</w:t>
      </w:r>
    </w:p>
    <w:p w:rsidR="00A46452" w:rsidRDefault="009A3928">
      <w:pPr>
        <w:wordWrap w:val="0"/>
        <w:topLinePunct/>
        <w:adjustRightInd w:val="0"/>
        <w:snapToGrid w:val="0"/>
        <w:ind w:firstLine="480"/>
        <w:rPr>
          <w:rFonts w:cs="Times New Roman"/>
          <w:szCs w:val="24"/>
        </w:rPr>
      </w:pPr>
      <w:r>
        <w:rPr>
          <w:rFonts w:cs="Times New Roman"/>
          <w:szCs w:val="24"/>
        </w:rPr>
        <w:t>公路纵坡修正量</w:t>
      </w:r>
      <w:r>
        <w:rPr>
          <w:rFonts w:cs="Times New Roman"/>
          <w:szCs w:val="24"/>
        </w:rPr>
        <w:t>△L</w:t>
      </w:r>
      <w:r>
        <w:rPr>
          <w:rFonts w:cs="Times New Roman"/>
          <w:szCs w:val="24"/>
        </w:rPr>
        <w:t>坡度可按下式计算：</w:t>
      </w:r>
    </w:p>
    <w:p w:rsidR="00A46452" w:rsidRDefault="009A3928">
      <w:pPr>
        <w:wordWrap w:val="0"/>
        <w:topLinePunct/>
        <w:adjustRightInd w:val="0"/>
        <w:snapToGrid w:val="0"/>
        <w:ind w:firstLine="480"/>
        <w:rPr>
          <w:rFonts w:cs="Times New Roman"/>
          <w:szCs w:val="24"/>
        </w:rPr>
      </w:pPr>
      <w:r>
        <w:rPr>
          <w:rFonts w:cs="Times New Roman"/>
          <w:szCs w:val="24"/>
        </w:rPr>
        <w:t>大型车：</w:t>
      </w:r>
      <w:r>
        <w:rPr>
          <w:rFonts w:cs="Times New Roman"/>
          <w:szCs w:val="24"/>
        </w:rPr>
        <w:t>△L</w:t>
      </w:r>
      <w:r>
        <w:rPr>
          <w:rFonts w:cs="Times New Roman"/>
          <w:szCs w:val="24"/>
          <w:vertAlign w:val="subscript"/>
        </w:rPr>
        <w:t>坡度</w:t>
      </w:r>
      <w:r>
        <w:rPr>
          <w:rFonts w:cs="Times New Roman"/>
          <w:szCs w:val="24"/>
        </w:rPr>
        <w:t>=98×β     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中型车：</w:t>
      </w:r>
      <w:r>
        <w:rPr>
          <w:rFonts w:cs="Times New Roman"/>
          <w:szCs w:val="24"/>
        </w:rPr>
        <w:t>△L</w:t>
      </w:r>
      <w:r>
        <w:rPr>
          <w:rFonts w:cs="Times New Roman"/>
          <w:szCs w:val="24"/>
          <w:vertAlign w:val="subscript"/>
        </w:rPr>
        <w:t>坡度</w:t>
      </w:r>
      <w:r>
        <w:rPr>
          <w:rFonts w:cs="Times New Roman"/>
          <w:szCs w:val="24"/>
        </w:rPr>
        <w:t>=73×β     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小型车：</w:t>
      </w:r>
      <w:r>
        <w:rPr>
          <w:rFonts w:cs="Times New Roman"/>
          <w:szCs w:val="24"/>
        </w:rPr>
        <w:t>△L</w:t>
      </w:r>
      <w:r>
        <w:rPr>
          <w:rFonts w:cs="Times New Roman"/>
          <w:szCs w:val="24"/>
          <w:vertAlign w:val="subscript"/>
        </w:rPr>
        <w:t>坡度</w:t>
      </w:r>
      <w:r>
        <w:rPr>
          <w:rFonts w:cs="Times New Roman"/>
          <w:szCs w:val="24"/>
        </w:rPr>
        <w:t>=50×β     dB</w:t>
      </w:r>
      <w:r>
        <w:rPr>
          <w:rFonts w:cs="Times New Roman"/>
          <w:szCs w:val="24"/>
        </w:rPr>
        <w:t>（</w:t>
      </w:r>
      <w:r>
        <w:rPr>
          <w:rFonts w:cs="Times New Roman"/>
          <w:szCs w:val="24"/>
        </w:rPr>
        <w:t>A</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β——</w:t>
      </w:r>
      <w:r>
        <w:rPr>
          <w:rFonts w:cs="Times New Roman"/>
          <w:szCs w:val="24"/>
        </w:rPr>
        <w:t>公路纵坡坡度，</w:t>
      </w:r>
      <w:r>
        <w:rPr>
          <w:rFonts w:cs="Times New Roman"/>
          <w:szCs w:val="24"/>
        </w:rPr>
        <w:t>℅</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B.</w:t>
      </w:r>
      <w:r>
        <w:rPr>
          <w:rFonts w:cs="Times New Roman"/>
          <w:szCs w:val="24"/>
        </w:rPr>
        <w:t>路面修正量（</w:t>
      </w:r>
      <w:r>
        <w:rPr>
          <w:rFonts w:cs="Times New Roman"/>
          <w:szCs w:val="24"/>
        </w:rPr>
        <w:t>△L</w:t>
      </w:r>
      <w:r>
        <w:rPr>
          <w:rFonts w:cs="Times New Roman"/>
          <w:szCs w:val="24"/>
          <w:vertAlign w:val="subscript"/>
        </w:rPr>
        <w:t>路面</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不同路面的噪声修正量见表</w:t>
      </w:r>
      <w:r>
        <w:rPr>
          <w:rFonts w:cs="Times New Roman" w:hint="eastAsia"/>
          <w:szCs w:val="24"/>
        </w:rPr>
        <w:t>7</w:t>
      </w:r>
      <w:r>
        <w:rPr>
          <w:rFonts w:cs="Times New Roman"/>
          <w:szCs w:val="24"/>
        </w:rPr>
        <w:t>.4-7</w:t>
      </w:r>
      <w:r>
        <w:rPr>
          <w:rFonts w:cs="Times New Roman"/>
          <w:szCs w:val="24"/>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.4-7                  </w:t>
      </w:r>
      <w:r>
        <w:rPr>
          <w:rFonts w:ascii="Times New Roman" w:hAnsi="Times New Roman" w:cs="Times New Roman" w:hint="default"/>
          <w:sz w:val="24"/>
          <w:szCs w:val="24"/>
        </w:rPr>
        <w:t xml:space="preserve">     </w:t>
      </w:r>
      <w:r>
        <w:rPr>
          <w:rFonts w:ascii="Times New Roman" w:hAnsi="Times New Roman" w:cs="Times New Roman" w:hint="default"/>
          <w:sz w:val="24"/>
          <w:szCs w:val="24"/>
        </w:rPr>
        <w:t>常见路面噪声修正量</w:t>
      </w:r>
    </w:p>
    <w:tbl>
      <w:tblPr>
        <w:tblW w:w="5000" w:type="pct"/>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93"/>
        <w:gridCol w:w="1720"/>
        <w:gridCol w:w="1720"/>
        <w:gridCol w:w="2282"/>
      </w:tblGrid>
      <w:tr w:rsidR="00A46452">
        <w:trPr>
          <w:cantSplit/>
          <w:trHeight w:val="137"/>
        </w:trPr>
        <w:tc>
          <w:tcPr>
            <w:tcW w:w="1640" w:type="pct"/>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路面类型</w:t>
            </w:r>
          </w:p>
        </w:tc>
        <w:tc>
          <w:tcPr>
            <w:tcW w:w="3360" w:type="pct"/>
            <w:gridSpan w:val="3"/>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不同行驶速度修正量</w:t>
            </w:r>
            <w:r>
              <w:rPr>
                <w:rFonts w:ascii="Times New Roman" w:eastAsia="宋体" w:hAnsi="Times New Roman" w:cs="Times New Roman"/>
                <w:sz w:val="18"/>
                <w:szCs w:val="18"/>
              </w:rPr>
              <w:t>km/h</w:t>
            </w:r>
          </w:p>
        </w:tc>
      </w:tr>
      <w:tr w:rsidR="00A46452">
        <w:trPr>
          <w:cantSplit/>
          <w:trHeight w:val="90"/>
        </w:trPr>
        <w:tc>
          <w:tcPr>
            <w:tcW w:w="1640"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p>
        </w:tc>
        <w:tc>
          <w:tcPr>
            <w:tcW w:w="1010"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010"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339"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r>
      <w:tr w:rsidR="00A46452">
        <w:tc>
          <w:tcPr>
            <w:tcW w:w="1640"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沥青混凝土</w:t>
            </w:r>
          </w:p>
        </w:tc>
        <w:tc>
          <w:tcPr>
            <w:tcW w:w="1010"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010"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339"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A46452">
        <w:trPr>
          <w:trHeight w:val="90"/>
        </w:trPr>
        <w:tc>
          <w:tcPr>
            <w:tcW w:w="1640" w:type="pct"/>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水泥混凝土</w:t>
            </w:r>
          </w:p>
        </w:tc>
        <w:tc>
          <w:tcPr>
            <w:tcW w:w="1010"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010"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339"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rsidP="00182EED">
            <w:pPr>
              <w:pStyle w:val="affff6"/>
              <w:wordWrap w:val="0"/>
              <w:overflowPunct/>
              <w:topLinePunct/>
              <w:snapToGrid w:val="0"/>
              <w:spacing w:before="0" w:after="0" w:line="240" w:lineRule="exact"/>
              <w:ind w:firstLine="360"/>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r>
    </w:tbl>
    <w:p w:rsidR="00A46452" w:rsidRDefault="009A3928">
      <w:pPr>
        <w:wordWrap w:val="0"/>
        <w:topLinePunct/>
        <w:adjustRightInd w:val="0"/>
        <w:snapToGrid w:val="0"/>
        <w:ind w:firstLine="480"/>
        <w:rPr>
          <w:rFonts w:cs="Times New Roman"/>
          <w:szCs w:val="24"/>
        </w:rPr>
      </w:pPr>
      <w:r>
        <w:rPr>
          <w:rFonts w:cs="Times New Roman"/>
          <w:szCs w:val="24"/>
        </w:rPr>
        <w:t>⑤</w:t>
      </w:r>
      <w:r>
        <w:rPr>
          <w:rFonts w:cs="Times New Roman"/>
          <w:szCs w:val="24"/>
        </w:rPr>
        <w:t>声波传播途径中引起的衰减量（</w:t>
      </w:r>
      <w:r>
        <w:rPr>
          <w:rFonts w:cs="Times New Roman"/>
          <w:szCs w:val="24"/>
        </w:rPr>
        <w:t>△L</w:t>
      </w:r>
      <w:r>
        <w:rPr>
          <w:rFonts w:cs="Times New Roman"/>
          <w:szCs w:val="24"/>
          <w:vertAlign w:val="subscript"/>
        </w:rPr>
        <w:t>2</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A.</w:t>
      </w:r>
      <w:r>
        <w:rPr>
          <w:rFonts w:cs="Times New Roman"/>
          <w:szCs w:val="24"/>
        </w:rPr>
        <w:t>大气吸收引起的衰减量</w:t>
      </w:r>
      <w:r>
        <w:rPr>
          <w:rFonts w:cs="Times New Roman"/>
          <w:i/>
          <w:szCs w:val="24"/>
        </w:rPr>
        <w:t>A</w:t>
      </w:r>
      <w:r>
        <w:rPr>
          <w:rFonts w:cs="Times New Roman"/>
          <w:i/>
          <w:szCs w:val="24"/>
          <w:vertAlign w:val="subscript"/>
        </w:rPr>
        <w:t>atm</w:t>
      </w:r>
      <w:r>
        <w:rPr>
          <w:rFonts w:cs="Times New Roman"/>
          <w:szCs w:val="24"/>
        </w:rPr>
        <w:t>计算</w:t>
      </w:r>
    </w:p>
    <w:p w:rsidR="00A46452" w:rsidRDefault="009A3928">
      <w:pPr>
        <w:wordWrap w:val="0"/>
        <w:topLinePunct/>
        <w:adjustRightInd w:val="0"/>
        <w:snapToGrid w:val="0"/>
        <w:ind w:firstLine="420"/>
        <w:jc w:val="center"/>
        <w:rPr>
          <w:rFonts w:cs="Times New Roman"/>
          <w:szCs w:val="24"/>
        </w:rPr>
      </w:pPr>
      <w:r>
        <w:rPr>
          <w:rFonts w:cs="Times New Roman"/>
          <w:noProof/>
          <w:sz w:val="21"/>
          <w:szCs w:val="24"/>
        </w:rPr>
        <w:drawing>
          <wp:inline distT="0" distB="0" distL="114300" distR="114300">
            <wp:extent cx="1266825" cy="390525"/>
            <wp:effectExtent l="0" t="0" r="3175" b="317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73">
                      <a:clrChange>
                        <a:clrFrom>
                          <a:srgbClr val="FFFFFF"/>
                        </a:clrFrom>
                        <a:clrTo>
                          <a:srgbClr val="FFFFFF">
                            <a:alpha val="0"/>
                          </a:srgbClr>
                        </a:clrTo>
                      </a:clrChange>
                    </a:blip>
                    <a:stretch>
                      <a:fillRect/>
                    </a:stretch>
                  </pic:blipFill>
                  <pic:spPr>
                    <a:xfrm>
                      <a:off x="0" y="0"/>
                      <a:ext cx="1266825" cy="390525"/>
                    </a:xfrm>
                    <a:prstGeom prst="rect">
                      <a:avLst/>
                    </a:prstGeom>
                    <a:noFill/>
                    <a:ln>
                      <a:noFill/>
                    </a:ln>
                  </pic:spPr>
                </pic:pic>
              </a:graphicData>
            </a:graphic>
          </wp:inline>
        </w:drawing>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A</w:t>
      </w:r>
      <w:r>
        <w:rPr>
          <w:rFonts w:cs="Times New Roman"/>
          <w:szCs w:val="24"/>
          <w:vertAlign w:val="subscript"/>
        </w:rPr>
        <w:t>atm</w:t>
      </w:r>
      <w:r>
        <w:rPr>
          <w:rFonts w:cs="Times New Roman"/>
          <w:szCs w:val="24"/>
        </w:rPr>
        <w:t>——</w:t>
      </w:r>
      <w:r>
        <w:rPr>
          <w:rFonts w:cs="Times New Roman"/>
          <w:szCs w:val="24"/>
        </w:rPr>
        <w:t>大气吸收引起的衰减，</w:t>
      </w:r>
      <w:r>
        <w:rPr>
          <w:rFonts w:cs="Times New Roman"/>
          <w:szCs w:val="24"/>
        </w:rPr>
        <w:t>dB</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α——</w:t>
      </w:r>
      <w:r>
        <w:rPr>
          <w:rFonts w:cs="Times New Roman"/>
          <w:szCs w:val="24"/>
        </w:rPr>
        <w:t>与温度、湿度和声波频率有关的大气吸收衰减系数，预测计算中一般根据建设项目所在区域常年平均气温和湿度选择相应的大气吸收衰减系数，具体取值见表</w:t>
      </w:r>
      <w:r>
        <w:rPr>
          <w:rFonts w:cs="Times New Roman"/>
          <w:szCs w:val="24"/>
        </w:rPr>
        <w:t>5.4-8</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r——</w:t>
      </w:r>
      <w:r>
        <w:rPr>
          <w:rFonts w:cs="Times New Roman"/>
          <w:szCs w:val="24"/>
        </w:rPr>
        <w:t>预测点距声源的距离；</w:t>
      </w:r>
    </w:p>
    <w:p w:rsidR="00A46452" w:rsidRDefault="009A3928">
      <w:pPr>
        <w:wordWrap w:val="0"/>
        <w:topLinePunct/>
        <w:adjustRightInd w:val="0"/>
        <w:snapToGrid w:val="0"/>
        <w:ind w:firstLineChars="500" w:firstLine="1200"/>
        <w:rPr>
          <w:rFonts w:cs="Times New Roman"/>
          <w:szCs w:val="24"/>
        </w:rPr>
      </w:pPr>
      <w:r>
        <w:rPr>
          <w:rFonts w:cs="Times New Roman"/>
          <w:szCs w:val="24"/>
        </w:rPr>
        <w:t>r</w:t>
      </w:r>
      <w:r>
        <w:rPr>
          <w:rFonts w:cs="Times New Roman"/>
          <w:szCs w:val="24"/>
          <w:vertAlign w:val="subscript"/>
        </w:rPr>
        <w:t>0</w:t>
      </w:r>
      <w:r>
        <w:rPr>
          <w:rFonts w:cs="Times New Roman"/>
          <w:szCs w:val="24"/>
        </w:rPr>
        <w:t>——</w:t>
      </w:r>
      <w:r>
        <w:rPr>
          <w:rFonts w:cs="Times New Roman"/>
          <w:szCs w:val="24"/>
        </w:rPr>
        <w:t>参考位置距声源的距离。</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.4-8         </w:t>
      </w:r>
      <w:r>
        <w:rPr>
          <w:rFonts w:ascii="Times New Roman" w:hAnsi="Times New Roman" w:cs="Times New Roman" w:hint="default"/>
          <w:sz w:val="24"/>
          <w:szCs w:val="24"/>
        </w:rPr>
        <w:t xml:space="preserve">      </w:t>
      </w:r>
      <w:r>
        <w:rPr>
          <w:rFonts w:ascii="Times New Roman" w:hAnsi="Times New Roman" w:cs="Times New Roman" w:hint="default"/>
          <w:sz w:val="24"/>
          <w:szCs w:val="24"/>
        </w:rPr>
        <w:t>倍频带噪声的大气吸收衰减系数</w:t>
      </w:r>
      <w:r>
        <w:rPr>
          <w:rFonts w:ascii="Times New Roman" w:hAnsi="Times New Roman" w:cs="Times New Roman" w:hint="default"/>
          <w:sz w:val="24"/>
          <w:szCs w:val="24"/>
        </w:rPr>
        <w:t>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8"/>
        <w:gridCol w:w="828"/>
        <w:gridCol w:w="827"/>
        <w:gridCol w:w="827"/>
        <w:gridCol w:w="828"/>
        <w:gridCol w:w="828"/>
        <w:gridCol w:w="829"/>
        <w:gridCol w:w="829"/>
        <w:gridCol w:w="829"/>
        <w:gridCol w:w="829"/>
      </w:tblGrid>
      <w:tr w:rsidR="00A46452">
        <w:trPr>
          <w:trHeight w:hRule="exact" w:val="340"/>
          <w:jc w:val="center"/>
        </w:trPr>
        <w:tc>
          <w:tcPr>
            <w:tcW w:w="828" w:type="dxa"/>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温度</w:t>
            </w:r>
          </w:p>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w:t>
            </w:r>
          </w:p>
        </w:tc>
        <w:tc>
          <w:tcPr>
            <w:tcW w:w="828" w:type="dxa"/>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相对湿度</w:t>
            </w:r>
            <w:r>
              <w:rPr>
                <w:rFonts w:cs="Times New Roman"/>
                <w:kern w:val="0"/>
                <w:sz w:val="21"/>
              </w:rPr>
              <w:t>%</w:t>
            </w:r>
          </w:p>
        </w:tc>
        <w:tc>
          <w:tcPr>
            <w:tcW w:w="6626" w:type="dxa"/>
            <w:gridSpan w:val="8"/>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大气吸收衰减系数</w:t>
            </w:r>
            <w:r>
              <w:rPr>
                <w:rFonts w:cs="Times New Roman"/>
                <w:kern w:val="0"/>
                <w:sz w:val="18"/>
                <w:szCs w:val="18"/>
              </w:rPr>
              <w:t>α</w:t>
            </w:r>
            <w:r>
              <w:rPr>
                <w:rFonts w:cs="Times New Roman"/>
                <w:kern w:val="0"/>
                <w:sz w:val="18"/>
                <w:szCs w:val="18"/>
              </w:rPr>
              <w:t>，</w:t>
            </w:r>
            <w:r>
              <w:rPr>
                <w:rFonts w:cs="Times New Roman"/>
                <w:kern w:val="0"/>
                <w:sz w:val="18"/>
                <w:szCs w:val="18"/>
              </w:rPr>
              <w:t>dB/km</w:t>
            </w:r>
          </w:p>
        </w:tc>
      </w:tr>
      <w:tr w:rsidR="00A46452">
        <w:trPr>
          <w:trHeight w:hRule="exact" w:val="340"/>
          <w:jc w:val="center"/>
        </w:trPr>
        <w:tc>
          <w:tcPr>
            <w:tcW w:w="828" w:type="dxa"/>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21"/>
              </w:rPr>
            </w:pPr>
          </w:p>
        </w:tc>
        <w:tc>
          <w:tcPr>
            <w:tcW w:w="828" w:type="dxa"/>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21"/>
              </w:rPr>
            </w:pPr>
          </w:p>
        </w:tc>
        <w:tc>
          <w:tcPr>
            <w:tcW w:w="6626" w:type="dxa"/>
            <w:gridSpan w:val="8"/>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倍频带中心频率</w:t>
            </w:r>
            <w:r>
              <w:rPr>
                <w:rFonts w:cs="Times New Roman"/>
                <w:kern w:val="0"/>
                <w:sz w:val="18"/>
                <w:szCs w:val="18"/>
              </w:rPr>
              <w:t>Hz</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10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70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63</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125</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250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500</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1000</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2000</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4000</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8000</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20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70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0.1</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0.4</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1.9</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3.7</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9.7</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32.8</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117.0</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30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70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0.1</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0.3</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1.1</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2.8</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5.0</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9.0</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22.9</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76.6</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15</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20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0.1</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0.3</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1.0</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3.1</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7.4</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12.7</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23.1</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59.3</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15</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50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0.3</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0.6</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1.2</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2.7</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8.2</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28.2</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28.8</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202.0</w:t>
            </w:r>
          </w:p>
        </w:tc>
      </w:tr>
      <w:tr w:rsidR="00A46452">
        <w:trPr>
          <w:trHeight w:hRule="exact" w:val="340"/>
          <w:jc w:val="center"/>
        </w:trPr>
        <w:tc>
          <w:tcPr>
            <w:tcW w:w="828"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15</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80</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0.1</w:t>
            </w:r>
          </w:p>
        </w:tc>
        <w:tc>
          <w:tcPr>
            <w:tcW w:w="827"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0.5</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1.2</w:t>
            </w:r>
          </w:p>
        </w:tc>
        <w:tc>
          <w:tcPr>
            <w:tcW w:w="828"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2.2</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4.2</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10.8</w:t>
            </w:r>
          </w:p>
        </w:tc>
        <w:tc>
          <w:tcPr>
            <w:tcW w:w="829"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36.2</w:t>
            </w:r>
          </w:p>
        </w:tc>
        <w:tc>
          <w:tcPr>
            <w:tcW w:w="829"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129.0</w:t>
            </w:r>
          </w:p>
        </w:tc>
      </w:tr>
      <w:tr w:rsidR="00A46452">
        <w:trPr>
          <w:trHeight w:hRule="exact" w:val="340"/>
          <w:jc w:val="center"/>
        </w:trPr>
        <w:tc>
          <w:tcPr>
            <w:tcW w:w="828" w:type="dxa"/>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10</w:t>
            </w:r>
          </w:p>
        </w:tc>
        <w:tc>
          <w:tcPr>
            <w:tcW w:w="828"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21"/>
              </w:rPr>
            </w:pPr>
            <w:r>
              <w:rPr>
                <w:rFonts w:cs="Times New Roman"/>
                <w:kern w:val="0"/>
                <w:sz w:val="21"/>
              </w:rPr>
              <w:t>70</w:t>
            </w:r>
          </w:p>
        </w:tc>
        <w:tc>
          <w:tcPr>
            <w:tcW w:w="827"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0.1</w:t>
            </w:r>
          </w:p>
        </w:tc>
        <w:tc>
          <w:tcPr>
            <w:tcW w:w="827"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0.3</w:t>
            </w:r>
          </w:p>
        </w:tc>
        <w:tc>
          <w:tcPr>
            <w:tcW w:w="828"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1.1</w:t>
            </w:r>
          </w:p>
        </w:tc>
        <w:tc>
          <w:tcPr>
            <w:tcW w:w="828"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2.4</w:t>
            </w:r>
          </w:p>
        </w:tc>
        <w:tc>
          <w:tcPr>
            <w:tcW w:w="829"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4.1</w:t>
            </w:r>
          </w:p>
        </w:tc>
        <w:tc>
          <w:tcPr>
            <w:tcW w:w="829"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8.3</w:t>
            </w:r>
          </w:p>
        </w:tc>
        <w:tc>
          <w:tcPr>
            <w:tcW w:w="829" w:type="dxa"/>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23.7</w:t>
            </w:r>
          </w:p>
        </w:tc>
        <w:tc>
          <w:tcPr>
            <w:tcW w:w="829" w:type="dxa"/>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82.8</w:t>
            </w:r>
          </w:p>
        </w:tc>
      </w:tr>
    </w:tbl>
    <w:p w:rsidR="00A46452" w:rsidRDefault="009A3928">
      <w:pPr>
        <w:wordWrap w:val="0"/>
        <w:topLinePunct/>
        <w:adjustRightInd w:val="0"/>
        <w:snapToGrid w:val="0"/>
        <w:ind w:firstLine="480"/>
        <w:rPr>
          <w:rFonts w:cs="Times New Roman"/>
          <w:szCs w:val="24"/>
          <w:vertAlign w:val="subscript"/>
        </w:rPr>
      </w:pPr>
      <w:r>
        <w:rPr>
          <w:rFonts w:cs="Times New Roman"/>
          <w:szCs w:val="24"/>
        </w:rPr>
        <w:t>B.</w:t>
      </w:r>
      <w:r>
        <w:rPr>
          <w:rFonts w:cs="Times New Roman"/>
          <w:szCs w:val="24"/>
        </w:rPr>
        <w:t>地面效应引起的衰减</w:t>
      </w:r>
      <w:r>
        <w:rPr>
          <w:rFonts w:cs="Times New Roman"/>
          <w:szCs w:val="24"/>
        </w:rPr>
        <w:t>A</w:t>
      </w:r>
      <w:r>
        <w:rPr>
          <w:rFonts w:cs="Times New Roman"/>
          <w:szCs w:val="24"/>
          <w:vertAlign w:val="subscript"/>
        </w:rPr>
        <w:t>gr</w:t>
      </w:r>
    </w:p>
    <w:p w:rsidR="00A46452" w:rsidRDefault="009A3928">
      <w:pPr>
        <w:wordWrap w:val="0"/>
        <w:topLinePunct/>
        <w:adjustRightInd w:val="0"/>
        <w:snapToGrid w:val="0"/>
        <w:ind w:firstLine="480"/>
        <w:rPr>
          <w:rFonts w:cs="Times New Roman"/>
          <w:szCs w:val="24"/>
        </w:rPr>
      </w:pPr>
      <w:r>
        <w:rPr>
          <w:rFonts w:cs="Times New Roman"/>
          <w:szCs w:val="24"/>
        </w:rPr>
        <w:t>地面类型可分为：</w:t>
      </w:r>
    </w:p>
    <w:p w:rsidR="00A46452" w:rsidRDefault="009A3928">
      <w:pPr>
        <w:wordWrap w:val="0"/>
        <w:topLinePunct/>
        <w:adjustRightInd w:val="0"/>
        <w:snapToGrid w:val="0"/>
        <w:ind w:firstLine="560"/>
        <w:rPr>
          <w:rFonts w:cs="Times New Roman"/>
          <w:szCs w:val="24"/>
        </w:rPr>
      </w:pPr>
      <w:r>
        <w:rPr>
          <w:rFonts w:cs="Times New Roman"/>
          <w:sz w:val="28"/>
          <w:szCs w:val="28"/>
        </w:rPr>
        <w:t>♦</w:t>
      </w:r>
      <w:r>
        <w:rPr>
          <w:rFonts w:cs="Times New Roman"/>
          <w:szCs w:val="24"/>
        </w:rPr>
        <w:t>坚实路面，包括铺筑过的路面、水面、冰面以及夯实地面；</w:t>
      </w:r>
    </w:p>
    <w:p w:rsidR="00A46452" w:rsidRDefault="009A3928">
      <w:pPr>
        <w:wordWrap w:val="0"/>
        <w:topLinePunct/>
        <w:adjustRightInd w:val="0"/>
        <w:snapToGrid w:val="0"/>
        <w:ind w:firstLine="560"/>
        <w:rPr>
          <w:rFonts w:cs="Times New Roman"/>
          <w:szCs w:val="24"/>
        </w:rPr>
      </w:pPr>
      <w:r>
        <w:rPr>
          <w:rFonts w:cs="Times New Roman"/>
          <w:sz w:val="28"/>
          <w:szCs w:val="28"/>
        </w:rPr>
        <w:t>♦</w:t>
      </w:r>
      <w:r>
        <w:rPr>
          <w:rFonts w:cs="Times New Roman"/>
          <w:szCs w:val="24"/>
        </w:rPr>
        <w:t>坚实路面，包括被草或其他植物覆盖的地面，以及农田等适合于植物生长的地面；</w:t>
      </w:r>
    </w:p>
    <w:p w:rsidR="00A46452" w:rsidRDefault="009A3928">
      <w:pPr>
        <w:wordWrap w:val="0"/>
        <w:topLinePunct/>
        <w:adjustRightInd w:val="0"/>
        <w:snapToGrid w:val="0"/>
        <w:ind w:firstLine="560"/>
        <w:rPr>
          <w:rFonts w:cs="Times New Roman"/>
          <w:szCs w:val="24"/>
        </w:rPr>
      </w:pPr>
      <w:r>
        <w:rPr>
          <w:rFonts w:cs="Times New Roman"/>
          <w:sz w:val="28"/>
          <w:szCs w:val="28"/>
        </w:rPr>
        <w:t>♦</w:t>
      </w:r>
      <w:r>
        <w:rPr>
          <w:rFonts w:cs="Times New Roman"/>
          <w:szCs w:val="24"/>
        </w:rPr>
        <w:t>混合路面，由坚实地面和疏松地面组成。</w:t>
      </w:r>
    </w:p>
    <w:p w:rsidR="00A46452" w:rsidRDefault="009A3928">
      <w:pPr>
        <w:wordWrap w:val="0"/>
        <w:topLinePunct/>
        <w:adjustRightInd w:val="0"/>
        <w:snapToGrid w:val="0"/>
        <w:ind w:firstLine="480"/>
        <w:rPr>
          <w:rFonts w:cs="Times New Roman"/>
          <w:szCs w:val="24"/>
        </w:rPr>
      </w:pPr>
      <w:r>
        <w:rPr>
          <w:rFonts w:cs="Times New Roman"/>
          <w:szCs w:val="24"/>
        </w:rPr>
        <w:t>当声波掠过疏松地面传播时，或大部分为疏松地面的混合地面，在预测点仅计算</w:t>
      </w:r>
      <w:r>
        <w:rPr>
          <w:rFonts w:cs="Times New Roman"/>
          <w:szCs w:val="24"/>
        </w:rPr>
        <w:t>A</w:t>
      </w:r>
      <w:r>
        <w:rPr>
          <w:rFonts w:cs="Times New Roman"/>
          <w:szCs w:val="24"/>
        </w:rPr>
        <w:t>声级前提下，地面效应引起的倍频带衰减可用下式计算：</w:t>
      </w:r>
    </w:p>
    <w:p w:rsidR="00A46452" w:rsidRDefault="009A3928">
      <w:pPr>
        <w:wordWrap w:val="0"/>
        <w:topLinePunct/>
        <w:adjustRightInd w:val="0"/>
        <w:snapToGrid w:val="0"/>
        <w:ind w:firstLine="420"/>
        <w:jc w:val="center"/>
        <w:rPr>
          <w:rFonts w:cs="Times New Roman"/>
          <w:sz w:val="28"/>
          <w:szCs w:val="28"/>
        </w:rPr>
      </w:pPr>
      <w:r>
        <w:rPr>
          <w:rFonts w:cs="Times New Roman"/>
          <w:noProof/>
          <w:sz w:val="21"/>
          <w:szCs w:val="24"/>
        </w:rPr>
        <w:drawing>
          <wp:inline distT="0" distB="0" distL="114300" distR="114300">
            <wp:extent cx="2923540" cy="400050"/>
            <wp:effectExtent l="0" t="0" r="10160" b="571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74">
                      <a:clrChange>
                        <a:clrFrom>
                          <a:srgbClr val="FFFFFF"/>
                        </a:clrFrom>
                        <a:clrTo>
                          <a:srgbClr val="FFFFFF">
                            <a:alpha val="0"/>
                          </a:srgbClr>
                        </a:clrTo>
                      </a:clrChange>
                    </a:blip>
                    <a:stretch>
                      <a:fillRect/>
                    </a:stretch>
                  </pic:blipFill>
                  <pic:spPr>
                    <a:xfrm>
                      <a:off x="0" y="0"/>
                      <a:ext cx="2923540" cy="400050"/>
                    </a:xfrm>
                    <a:prstGeom prst="rect">
                      <a:avLst/>
                    </a:prstGeom>
                    <a:noFill/>
                    <a:ln>
                      <a:noFill/>
                    </a:ln>
                  </pic:spPr>
                </pic:pic>
              </a:graphicData>
            </a:graphic>
          </wp:inline>
        </w:drawing>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Agr——</w:t>
      </w:r>
      <w:r>
        <w:rPr>
          <w:rFonts w:cs="Times New Roman"/>
          <w:szCs w:val="24"/>
        </w:rPr>
        <w:t>地面效应引起的衰减，</w:t>
      </w:r>
      <w:r>
        <w:rPr>
          <w:rFonts w:cs="Times New Roman"/>
          <w:szCs w:val="24"/>
        </w:rPr>
        <w:t>dB</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r——</w:t>
      </w:r>
      <w:r>
        <w:rPr>
          <w:rFonts w:cs="Times New Roman"/>
          <w:szCs w:val="24"/>
        </w:rPr>
        <w:t>预测点距声源的距离，</w:t>
      </w:r>
      <w:r>
        <w:rPr>
          <w:rFonts w:cs="Times New Roman"/>
          <w:szCs w:val="24"/>
        </w:rPr>
        <w:t>m</w:t>
      </w:r>
      <w:r>
        <w:rPr>
          <w:rFonts w:cs="Times New Roman"/>
          <w:szCs w:val="24"/>
        </w:rPr>
        <w:t>；</w:t>
      </w:r>
    </w:p>
    <w:p w:rsidR="00A46452" w:rsidRDefault="009A3928">
      <w:pPr>
        <w:wordWrap w:val="0"/>
        <w:topLinePunct/>
        <w:adjustRightInd w:val="0"/>
        <w:snapToGrid w:val="0"/>
        <w:ind w:leftChars="100" w:left="240" w:firstLineChars="400" w:firstLine="960"/>
        <w:rPr>
          <w:rFonts w:cs="Times New Roman"/>
          <w:szCs w:val="24"/>
        </w:rPr>
      </w:pPr>
      <w:r>
        <w:rPr>
          <w:rFonts w:cs="Times New Roman"/>
          <w:szCs w:val="24"/>
        </w:rPr>
        <w:t>hm——</w:t>
      </w:r>
      <w:r>
        <w:rPr>
          <w:rFonts w:cs="Times New Roman"/>
          <w:szCs w:val="24"/>
        </w:rPr>
        <w:t>传播路径的平均离地高度，</w:t>
      </w:r>
      <w:r>
        <w:rPr>
          <w:rFonts w:cs="Times New Roman"/>
          <w:szCs w:val="24"/>
        </w:rPr>
        <w:t>m</w:t>
      </w:r>
      <w:r>
        <w:rPr>
          <w:rFonts w:cs="Times New Roman"/>
          <w:szCs w:val="24"/>
        </w:rPr>
        <w:t>；可按下图进行计算，</w:t>
      </w:r>
      <w:r>
        <w:rPr>
          <w:rFonts w:cs="Times New Roman"/>
          <w:szCs w:val="24"/>
        </w:rPr>
        <w:t>hm=F/r</w:t>
      </w:r>
      <w:r>
        <w:rPr>
          <w:rFonts w:cs="Times New Roman"/>
          <w:szCs w:val="24"/>
        </w:rPr>
        <w:t>；</w:t>
      </w:r>
      <w:r>
        <w:rPr>
          <w:rFonts w:cs="Times New Roman"/>
          <w:szCs w:val="24"/>
        </w:rPr>
        <w:t>F</w:t>
      </w:r>
      <w:r>
        <w:rPr>
          <w:rFonts w:cs="Times New Roman"/>
          <w:szCs w:val="24"/>
        </w:rPr>
        <w:t>：面积，</w:t>
      </w:r>
      <w:r>
        <w:rPr>
          <w:rFonts w:cs="Times New Roman"/>
          <w:szCs w:val="24"/>
        </w:rPr>
        <w:t>m</w:t>
      </w:r>
      <w:r>
        <w:rPr>
          <w:rFonts w:cs="Times New Roman"/>
          <w:szCs w:val="24"/>
          <w:vertAlign w:val="superscript"/>
        </w:rPr>
        <w:t>2</w:t>
      </w:r>
      <w:r>
        <w:rPr>
          <w:rFonts w:cs="Times New Roman"/>
          <w:szCs w:val="24"/>
        </w:rPr>
        <w:t>；若</w:t>
      </w:r>
      <w:r>
        <w:rPr>
          <w:rFonts w:cs="Times New Roman"/>
          <w:szCs w:val="24"/>
        </w:rPr>
        <w:t>Agr</w:t>
      </w:r>
      <w:r>
        <w:rPr>
          <w:rFonts w:cs="Times New Roman"/>
          <w:szCs w:val="24"/>
        </w:rPr>
        <w:t>计算出负值，</w:t>
      </w:r>
      <w:r>
        <w:rPr>
          <w:rFonts w:cs="Times New Roman"/>
          <w:szCs w:val="24"/>
        </w:rPr>
        <w:t>Agr</w:t>
      </w:r>
      <w:r>
        <w:rPr>
          <w:rFonts w:cs="Times New Roman"/>
          <w:szCs w:val="24"/>
        </w:rPr>
        <w:t>可用</w:t>
      </w:r>
      <w:r>
        <w:rPr>
          <w:rFonts w:cs="Times New Roman"/>
          <w:szCs w:val="24"/>
        </w:rPr>
        <w:t>0</w:t>
      </w:r>
      <w:r>
        <w:rPr>
          <w:rFonts w:cs="Times New Roman"/>
          <w:szCs w:val="24"/>
        </w:rPr>
        <w:t>代替。计算示意图见</w:t>
      </w:r>
      <w:r>
        <w:rPr>
          <w:rFonts w:cs="Times New Roman"/>
          <w:szCs w:val="24"/>
        </w:rPr>
        <w:t>5.4-1</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C.</w:t>
      </w:r>
      <w:r>
        <w:rPr>
          <w:rFonts w:cs="Times New Roman"/>
          <w:szCs w:val="24"/>
        </w:rPr>
        <w:t>障碍物屏蔽</w:t>
      </w:r>
      <w:r>
        <w:rPr>
          <w:rFonts w:cs="Times New Roman"/>
          <w:szCs w:val="24"/>
        </w:rPr>
        <w:fldChar w:fldCharType="begin"/>
      </w:r>
      <w:r>
        <w:rPr>
          <w:rFonts w:cs="Times New Roman"/>
          <w:szCs w:val="24"/>
        </w:rPr>
        <w:instrText xml:space="preserve"> = 4 \* GB3 </w:instrText>
      </w:r>
      <w:r>
        <w:rPr>
          <w:rFonts w:cs="Times New Roman"/>
          <w:szCs w:val="24"/>
        </w:rPr>
        <w:fldChar w:fldCharType="separate"/>
      </w:r>
      <w:r>
        <w:rPr>
          <w:rFonts w:cs="Times New Roman"/>
          <w:szCs w:val="24"/>
        </w:rPr>
        <w:t>④</w:t>
      </w:r>
      <w:r>
        <w:rPr>
          <w:rFonts w:cs="Times New Roman"/>
          <w:szCs w:val="24"/>
        </w:rPr>
        <w:fldChar w:fldCharType="end"/>
      </w:r>
      <w:r>
        <w:rPr>
          <w:rFonts w:cs="Times New Roman"/>
          <w:szCs w:val="24"/>
        </w:rPr>
        <w:t>引起的衰减（</w:t>
      </w:r>
      <w:r>
        <w:rPr>
          <w:rFonts w:cs="Times New Roman"/>
          <w:szCs w:val="24"/>
        </w:rPr>
        <w:t>A</w:t>
      </w:r>
      <w:r>
        <w:rPr>
          <w:rFonts w:cs="Times New Roman"/>
          <w:szCs w:val="24"/>
          <w:vertAlign w:val="subscript"/>
        </w:rPr>
        <w:t>bar</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有限长声屏障衰减量计算公式：</w:t>
      </w:r>
    </w:p>
    <w:p w:rsidR="00A46452" w:rsidRDefault="009A3928">
      <w:pPr>
        <w:wordWrap w:val="0"/>
        <w:topLinePunct/>
        <w:adjustRightInd w:val="0"/>
        <w:snapToGrid w:val="0"/>
        <w:ind w:firstLine="480"/>
        <w:rPr>
          <w:rFonts w:cs="Times New Roman"/>
          <w:szCs w:val="24"/>
        </w:rPr>
      </w:pPr>
      <w:r>
        <w:rPr>
          <w:rFonts w:cs="Times New Roman"/>
          <w:szCs w:val="24"/>
        </w:rPr>
        <w:t>有限长声屏障的衰减量（</w:t>
      </w:r>
      <w:r>
        <w:rPr>
          <w:rFonts w:cs="Times New Roman"/>
          <w:szCs w:val="24"/>
        </w:rPr>
        <w:t>A′</w:t>
      </w:r>
      <w:r>
        <w:rPr>
          <w:rFonts w:cs="Times New Roman"/>
          <w:szCs w:val="24"/>
          <w:vertAlign w:val="subscript"/>
        </w:rPr>
        <w:t>bar</w:t>
      </w:r>
      <w:r>
        <w:rPr>
          <w:rFonts w:cs="Times New Roman"/>
          <w:szCs w:val="24"/>
        </w:rPr>
        <w:t>）按下式近似计算：</w:t>
      </w:r>
    </w:p>
    <w:p w:rsidR="00A46452" w:rsidRDefault="009A3928">
      <w:pPr>
        <w:wordWrap w:val="0"/>
        <w:topLinePunct/>
        <w:adjustRightInd w:val="0"/>
        <w:snapToGrid w:val="0"/>
        <w:ind w:firstLine="420"/>
        <w:jc w:val="center"/>
        <w:rPr>
          <w:rFonts w:cs="Times New Roman"/>
          <w:sz w:val="32"/>
          <w:szCs w:val="32"/>
        </w:rPr>
      </w:pPr>
      <w:r>
        <w:rPr>
          <w:rFonts w:cs="Times New Roman"/>
          <w:noProof/>
          <w:sz w:val="21"/>
          <w:szCs w:val="24"/>
        </w:rPr>
        <w:drawing>
          <wp:inline distT="0" distB="0" distL="114300" distR="114300">
            <wp:extent cx="3342640" cy="466725"/>
            <wp:effectExtent l="0" t="0" r="10160" b="317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75">
                      <a:clrChange>
                        <a:clrFrom>
                          <a:srgbClr val="FFFFFF"/>
                        </a:clrFrom>
                        <a:clrTo>
                          <a:srgbClr val="FFFFFF">
                            <a:alpha val="0"/>
                          </a:srgbClr>
                        </a:clrTo>
                      </a:clrChange>
                    </a:blip>
                    <a:stretch>
                      <a:fillRect/>
                    </a:stretch>
                  </pic:blipFill>
                  <pic:spPr>
                    <a:xfrm>
                      <a:off x="0" y="0"/>
                      <a:ext cx="3342640" cy="466725"/>
                    </a:xfrm>
                    <a:prstGeom prst="rect">
                      <a:avLst/>
                    </a:prstGeom>
                    <a:noFill/>
                    <a:ln>
                      <a:noFill/>
                    </a:ln>
                  </pic:spPr>
                </pic:pic>
              </a:graphicData>
            </a:graphic>
          </wp:inline>
        </w:drawing>
      </w:r>
    </w:p>
    <w:p w:rsidR="00A46452" w:rsidRDefault="009A3928">
      <w:pPr>
        <w:wordWrap w:val="0"/>
        <w:topLinePunct/>
        <w:adjustRightInd w:val="0"/>
        <w:snapToGrid w:val="0"/>
        <w:ind w:firstLine="480"/>
        <w:rPr>
          <w:rFonts w:cs="Times New Roman"/>
          <w:szCs w:val="24"/>
        </w:rPr>
      </w:pPr>
      <w:r>
        <w:rPr>
          <w:rFonts w:cs="Times New Roman"/>
          <w:szCs w:val="24"/>
        </w:rPr>
        <w:t>式</w:t>
      </w:r>
      <w:r>
        <w:rPr>
          <w:rFonts w:cs="Times New Roman"/>
          <w:szCs w:val="24"/>
        </w:rPr>
        <w:t>中：</w:t>
      </w:r>
    </w:p>
    <w:p w:rsidR="00A46452" w:rsidRDefault="009A3928">
      <w:pPr>
        <w:wordWrap w:val="0"/>
        <w:topLinePunct/>
        <w:adjustRightInd w:val="0"/>
        <w:snapToGrid w:val="0"/>
        <w:ind w:firstLineChars="500" w:firstLine="1200"/>
        <w:rPr>
          <w:rFonts w:cs="Times New Roman"/>
          <w:szCs w:val="24"/>
        </w:rPr>
      </w:pPr>
      <w:r>
        <w:rPr>
          <w:rFonts w:cs="Times New Roman"/>
          <w:szCs w:val="24"/>
        </w:rPr>
        <w:t>A′bar—</w:t>
      </w:r>
      <w:r>
        <w:rPr>
          <w:rFonts w:cs="Times New Roman"/>
          <w:szCs w:val="24"/>
        </w:rPr>
        <w:t>有限长声屏障引起的衰减，</w:t>
      </w:r>
      <w:r>
        <w:rPr>
          <w:rFonts w:cs="Times New Roman"/>
          <w:szCs w:val="24"/>
        </w:rPr>
        <w:t>dB</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β—</w:t>
      </w:r>
      <w:r>
        <w:rPr>
          <w:rFonts w:cs="Times New Roman"/>
          <w:szCs w:val="24"/>
        </w:rPr>
        <w:t>受声点与声屏障两端连接线的夹角，（</w:t>
      </w:r>
      <w:r>
        <w:rPr>
          <w:rFonts w:cs="Times New Roman"/>
          <w:szCs w:val="24"/>
        </w:rPr>
        <w:t>°</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θ—</w:t>
      </w:r>
      <w:r>
        <w:rPr>
          <w:rFonts w:cs="Times New Roman"/>
          <w:szCs w:val="24"/>
        </w:rPr>
        <w:t>受声点与线声源两端连接线的夹角，（</w:t>
      </w:r>
      <w:r>
        <w:rPr>
          <w:rFonts w:cs="Times New Roman"/>
          <w:szCs w:val="24"/>
        </w:rPr>
        <w:t>°</w:t>
      </w:r>
      <w:r>
        <w:rPr>
          <w:rFonts w:cs="Times New Roman"/>
          <w:szCs w:val="24"/>
        </w:rPr>
        <w:t>）；</w:t>
      </w:r>
    </w:p>
    <w:p w:rsidR="00A46452" w:rsidRDefault="009A3928">
      <w:pPr>
        <w:wordWrap w:val="0"/>
        <w:topLinePunct/>
        <w:adjustRightInd w:val="0"/>
        <w:snapToGrid w:val="0"/>
        <w:ind w:firstLineChars="500" w:firstLine="1200"/>
        <w:rPr>
          <w:rFonts w:cs="Times New Roman"/>
          <w:szCs w:val="24"/>
        </w:rPr>
      </w:pPr>
      <w:r>
        <w:rPr>
          <w:rFonts w:cs="Times New Roman"/>
          <w:szCs w:val="24"/>
        </w:rPr>
        <w:t>Abar —</w:t>
      </w:r>
      <w:r>
        <w:rPr>
          <w:rFonts w:cs="Times New Roman"/>
          <w:szCs w:val="24"/>
        </w:rPr>
        <w:t>无线长声屏障的衰减量，</w:t>
      </w:r>
      <w:r>
        <w:rPr>
          <w:rFonts w:cs="Times New Roman"/>
          <w:szCs w:val="24"/>
        </w:rPr>
        <w:t>dB</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D.</w:t>
      </w:r>
      <w:r>
        <w:rPr>
          <w:rFonts w:cs="Times New Roman"/>
          <w:szCs w:val="24"/>
        </w:rPr>
        <w:t>其他方面效应引起的衰减（</w:t>
      </w:r>
      <w:r>
        <w:rPr>
          <w:rFonts w:cs="Times New Roman"/>
          <w:szCs w:val="24"/>
        </w:rPr>
        <w:t>A</w:t>
      </w:r>
      <w:r>
        <w:rPr>
          <w:rFonts w:cs="Times New Roman"/>
          <w:szCs w:val="24"/>
          <w:vertAlign w:val="subscript"/>
        </w:rPr>
        <w:t>misc</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其他衰减包括通过工业场所的衰减；通过建筑群的衰减等。在声环境影响评价中，一般情况下，不考虑自然条件（如风、温度梯度、雾）变化引起的附加修正。</w:t>
      </w:r>
    </w:p>
    <w:p w:rsidR="00A46452" w:rsidRDefault="009A3928">
      <w:pPr>
        <w:wordWrap w:val="0"/>
        <w:topLinePunct/>
        <w:adjustRightInd w:val="0"/>
        <w:snapToGrid w:val="0"/>
        <w:ind w:firstLine="480"/>
        <w:rPr>
          <w:rFonts w:cs="Times New Roman"/>
          <w:szCs w:val="24"/>
        </w:rPr>
      </w:pPr>
      <w:r>
        <w:rPr>
          <w:rFonts w:cs="Times New Roman"/>
          <w:szCs w:val="24"/>
        </w:rPr>
        <w:t>a</w:t>
      </w:r>
      <w:r>
        <w:rPr>
          <w:rFonts w:cs="Times New Roman"/>
          <w:szCs w:val="24"/>
        </w:rPr>
        <w:t>绿化林带引起的衰减（</w:t>
      </w:r>
      <w:r>
        <w:rPr>
          <w:rFonts w:cs="Times New Roman"/>
          <w:szCs w:val="24"/>
        </w:rPr>
        <w:t>A</w:t>
      </w:r>
      <w:r>
        <w:rPr>
          <w:rFonts w:cs="Times New Roman"/>
          <w:szCs w:val="24"/>
          <w:vertAlign w:val="subscript"/>
        </w:rPr>
        <w:t>fol</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绿化林带的附加衰减与树种、林带结构和密度等因素有关。在声源附近的绿化林带，或在预测点附近的绿化林带，或两者均有的情况都可以使声波衰减，见下图。</w:t>
      </w:r>
    </w:p>
    <w:p w:rsidR="00A46452" w:rsidRDefault="009A3928">
      <w:pPr>
        <w:wordWrap w:val="0"/>
        <w:topLinePunct/>
        <w:adjustRightInd w:val="0"/>
        <w:snapToGrid w:val="0"/>
        <w:ind w:firstLine="480"/>
        <w:rPr>
          <w:rFonts w:cs="Times New Roman"/>
          <w:szCs w:val="24"/>
        </w:rPr>
      </w:pPr>
      <w:r>
        <w:rPr>
          <w:rFonts w:cs="Times New Roman"/>
          <w:szCs w:val="24"/>
        </w:rPr>
        <w:t>通过树叶传播造成的噪声衰减随通过树叶传播距离</w:t>
      </w:r>
      <w:r>
        <w:rPr>
          <w:rFonts w:cs="Times New Roman"/>
          <w:szCs w:val="24"/>
        </w:rPr>
        <w:t>df</w:t>
      </w:r>
      <w:r>
        <w:rPr>
          <w:rFonts w:cs="Times New Roman"/>
          <w:szCs w:val="24"/>
        </w:rPr>
        <w:t>的增长而增加，其中</w:t>
      </w:r>
      <w:r>
        <w:rPr>
          <w:rFonts w:cs="Times New Roman"/>
          <w:szCs w:val="24"/>
        </w:rPr>
        <w:t xml:space="preserve"> df=d</w:t>
      </w:r>
      <w:r>
        <w:rPr>
          <w:rFonts w:cs="Times New Roman"/>
          <w:szCs w:val="24"/>
          <w:vertAlign w:val="subscript"/>
        </w:rPr>
        <w:t>1</w:t>
      </w:r>
      <w:r>
        <w:rPr>
          <w:rFonts w:cs="Times New Roman"/>
          <w:szCs w:val="24"/>
        </w:rPr>
        <w:t>+d</w:t>
      </w:r>
      <w:r>
        <w:rPr>
          <w:rFonts w:cs="Times New Roman"/>
          <w:szCs w:val="24"/>
          <w:vertAlign w:val="subscript"/>
        </w:rPr>
        <w:t>2</w:t>
      </w:r>
      <w:r>
        <w:rPr>
          <w:rFonts w:cs="Times New Roman"/>
          <w:szCs w:val="24"/>
        </w:rPr>
        <w:t>，为了计算</w:t>
      </w:r>
      <w:r>
        <w:rPr>
          <w:rFonts w:cs="Times New Roman"/>
          <w:szCs w:val="24"/>
        </w:rPr>
        <w:t>d1</w:t>
      </w:r>
      <w:r>
        <w:rPr>
          <w:rFonts w:cs="Times New Roman"/>
          <w:szCs w:val="24"/>
        </w:rPr>
        <w:t>和</w:t>
      </w:r>
      <w:r>
        <w:rPr>
          <w:rFonts w:cs="Times New Roman"/>
          <w:szCs w:val="24"/>
        </w:rPr>
        <w:t>d2</w:t>
      </w:r>
      <w:r>
        <w:rPr>
          <w:rFonts w:cs="Times New Roman"/>
          <w:szCs w:val="24"/>
        </w:rPr>
        <w:t>，可假设弯曲路径的半径为</w:t>
      </w:r>
      <w:r>
        <w:rPr>
          <w:rFonts w:cs="Times New Roman"/>
          <w:szCs w:val="24"/>
        </w:rPr>
        <w:t>5km</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在表</w:t>
      </w:r>
      <w:r>
        <w:rPr>
          <w:rFonts w:cs="Times New Roman"/>
          <w:szCs w:val="24"/>
        </w:rPr>
        <w:t>5.3-9</w:t>
      </w:r>
      <w:r>
        <w:rPr>
          <w:rFonts w:cs="Times New Roman"/>
          <w:szCs w:val="24"/>
        </w:rPr>
        <w:t>中的第一行给出了通过总长度为</w:t>
      </w:r>
      <w:r>
        <w:rPr>
          <w:rFonts w:cs="Times New Roman"/>
          <w:szCs w:val="24"/>
        </w:rPr>
        <w:t>10m</w:t>
      </w:r>
      <w:r>
        <w:rPr>
          <w:rFonts w:cs="Times New Roman"/>
          <w:szCs w:val="24"/>
        </w:rPr>
        <w:t>到</w:t>
      </w:r>
      <w:r>
        <w:rPr>
          <w:rFonts w:cs="Times New Roman"/>
          <w:szCs w:val="24"/>
        </w:rPr>
        <w:t>20m</w:t>
      </w:r>
      <w:r>
        <w:rPr>
          <w:rFonts w:cs="Times New Roman"/>
          <w:szCs w:val="24"/>
        </w:rPr>
        <w:t>之间的乔灌结合郁闭度较高的林带时，由林带引起的衰减；第二行为通过总长度</w:t>
      </w:r>
      <w:r>
        <w:rPr>
          <w:rFonts w:cs="Times New Roman"/>
          <w:szCs w:val="24"/>
        </w:rPr>
        <w:t>20 m</w:t>
      </w:r>
      <w:r>
        <w:rPr>
          <w:rFonts w:cs="Times New Roman"/>
          <w:szCs w:val="24"/>
        </w:rPr>
        <w:t>到</w:t>
      </w:r>
      <w:r>
        <w:rPr>
          <w:rFonts w:cs="Times New Roman"/>
          <w:szCs w:val="24"/>
        </w:rPr>
        <w:t>200 m</w:t>
      </w:r>
      <w:r>
        <w:rPr>
          <w:rFonts w:cs="Times New Roman"/>
          <w:szCs w:val="24"/>
        </w:rPr>
        <w:t>之间林带时的衰减系数；当通过林带的路径长度大于</w:t>
      </w:r>
      <w:r>
        <w:rPr>
          <w:rFonts w:cs="Times New Roman"/>
          <w:szCs w:val="24"/>
        </w:rPr>
        <w:t>200m</w:t>
      </w:r>
      <w:r>
        <w:rPr>
          <w:rFonts w:cs="Times New Roman"/>
          <w:szCs w:val="24"/>
        </w:rPr>
        <w:t>时，可使用</w:t>
      </w:r>
      <w:r>
        <w:rPr>
          <w:rFonts w:cs="Times New Roman"/>
          <w:szCs w:val="24"/>
        </w:rPr>
        <w:t>200 m</w:t>
      </w:r>
      <w:r>
        <w:rPr>
          <w:rFonts w:cs="Times New Roman"/>
          <w:szCs w:val="24"/>
        </w:rPr>
        <w:t>的衰减值。</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.4-9      </w:t>
      </w:r>
      <w:r>
        <w:rPr>
          <w:rFonts w:ascii="Times New Roman" w:hAnsi="Times New Roman" w:cs="Times New Roman" w:hint="default"/>
          <w:sz w:val="24"/>
          <w:szCs w:val="24"/>
        </w:rPr>
        <w:t xml:space="preserve">         </w:t>
      </w:r>
      <w:r>
        <w:rPr>
          <w:rFonts w:ascii="Times New Roman" w:hAnsi="Times New Roman" w:cs="Times New Roman" w:hint="default"/>
          <w:sz w:val="24"/>
          <w:szCs w:val="24"/>
        </w:rPr>
        <w:t>倍频带噪声通过林带传播时产生的衰减</w:t>
      </w:r>
    </w:p>
    <w:tbl>
      <w:tblPr>
        <w:tblW w:w="0" w:type="auto"/>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33"/>
        <w:gridCol w:w="1392"/>
        <w:gridCol w:w="584"/>
        <w:gridCol w:w="584"/>
        <w:gridCol w:w="705"/>
        <w:gridCol w:w="584"/>
        <w:gridCol w:w="707"/>
        <w:gridCol w:w="706"/>
        <w:gridCol w:w="799"/>
        <w:gridCol w:w="688"/>
      </w:tblGrid>
      <w:tr w:rsidR="00A46452">
        <w:trPr>
          <w:trHeight w:val="301"/>
        </w:trPr>
        <w:tc>
          <w:tcPr>
            <w:tcW w:w="1533" w:type="dxa"/>
            <w:vMerge w:val="restar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项目</w:t>
            </w:r>
          </w:p>
        </w:tc>
        <w:tc>
          <w:tcPr>
            <w:tcW w:w="1392" w:type="dxa"/>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传播距离</w:t>
            </w:r>
          </w:p>
        </w:tc>
        <w:tc>
          <w:tcPr>
            <w:tcW w:w="5357" w:type="dxa"/>
            <w:gridSpan w:val="8"/>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倍频带中心频率</w:t>
            </w:r>
            <w:r>
              <w:rPr>
                <w:rFonts w:cs="Times New Roman"/>
                <w:kern w:val="0"/>
                <w:sz w:val="21"/>
              </w:rPr>
              <w:t>Hz</w:t>
            </w:r>
          </w:p>
        </w:tc>
      </w:tr>
      <w:tr w:rsidR="00A46452">
        <w:trPr>
          <w:trHeight w:hRule="exact" w:val="242"/>
        </w:trPr>
        <w:tc>
          <w:tcPr>
            <w:tcW w:w="1533" w:type="dxa"/>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kern w:val="0"/>
                <w:sz w:val="21"/>
              </w:rPr>
            </w:pPr>
          </w:p>
        </w:tc>
        <w:tc>
          <w:tcPr>
            <w:tcW w:w="1392" w:type="dxa"/>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exact"/>
              <w:ind w:firstLineChars="0" w:firstLine="0"/>
              <w:jc w:val="center"/>
              <w:rPr>
                <w:rFonts w:cs="Times New Roman"/>
                <w:kern w:val="0"/>
                <w:sz w:val="21"/>
              </w:rPr>
            </w:pP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63</w:t>
            </w: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125</w:t>
            </w:r>
          </w:p>
        </w:tc>
        <w:tc>
          <w:tcPr>
            <w:tcW w:w="705"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250</w:t>
            </w: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500</w:t>
            </w:r>
          </w:p>
        </w:tc>
        <w:tc>
          <w:tcPr>
            <w:tcW w:w="70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1000</w:t>
            </w:r>
          </w:p>
        </w:tc>
        <w:tc>
          <w:tcPr>
            <w:tcW w:w="706"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2000</w:t>
            </w:r>
          </w:p>
        </w:tc>
        <w:tc>
          <w:tcPr>
            <w:tcW w:w="799"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4000</w:t>
            </w:r>
          </w:p>
        </w:tc>
        <w:tc>
          <w:tcPr>
            <w:tcW w:w="688"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8000</w:t>
            </w:r>
          </w:p>
        </w:tc>
      </w:tr>
      <w:tr w:rsidR="00A46452">
        <w:trPr>
          <w:trHeight w:hRule="exact" w:val="340"/>
        </w:trPr>
        <w:tc>
          <w:tcPr>
            <w:tcW w:w="1533" w:type="dxa"/>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衰减</w:t>
            </w:r>
            <w:r>
              <w:rPr>
                <w:rFonts w:cs="Times New Roman"/>
                <w:kern w:val="0"/>
                <w:sz w:val="21"/>
              </w:rPr>
              <w:t>/dB</w:t>
            </w:r>
          </w:p>
        </w:tc>
        <w:tc>
          <w:tcPr>
            <w:tcW w:w="1392"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10≤df</w:t>
            </w:r>
            <w:r>
              <w:rPr>
                <w:rFonts w:cs="Times New Roman"/>
                <w:kern w:val="0"/>
                <w:sz w:val="21"/>
              </w:rPr>
              <w:t>&lt;</w:t>
            </w:r>
            <w:r>
              <w:rPr>
                <w:rFonts w:cs="Times New Roman"/>
                <w:kern w:val="0"/>
                <w:sz w:val="21"/>
              </w:rPr>
              <w:t>20</w:t>
            </w: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w:t>
            </w: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w:t>
            </w:r>
          </w:p>
        </w:tc>
        <w:tc>
          <w:tcPr>
            <w:tcW w:w="705"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w:t>
            </w:r>
          </w:p>
        </w:tc>
        <w:tc>
          <w:tcPr>
            <w:tcW w:w="584"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w:t>
            </w:r>
          </w:p>
        </w:tc>
        <w:tc>
          <w:tcPr>
            <w:tcW w:w="707"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w:t>
            </w:r>
          </w:p>
        </w:tc>
        <w:tc>
          <w:tcPr>
            <w:tcW w:w="706"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1</w:t>
            </w:r>
          </w:p>
        </w:tc>
        <w:tc>
          <w:tcPr>
            <w:tcW w:w="799" w:type="dxa"/>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2</w:t>
            </w:r>
          </w:p>
        </w:tc>
        <w:tc>
          <w:tcPr>
            <w:tcW w:w="688" w:type="dxa"/>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2</w:t>
            </w:r>
          </w:p>
        </w:tc>
      </w:tr>
      <w:tr w:rsidR="00A46452">
        <w:trPr>
          <w:trHeight w:hRule="exact" w:val="557"/>
        </w:trPr>
        <w:tc>
          <w:tcPr>
            <w:tcW w:w="1533" w:type="dxa"/>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衰减系数</w:t>
            </w:r>
            <w:r>
              <w:rPr>
                <w:rFonts w:cs="Times New Roman"/>
                <w:kern w:val="0"/>
                <w:sz w:val="21"/>
              </w:rPr>
              <w:t>/</w:t>
            </w:r>
            <w:r>
              <w:rPr>
                <w:rFonts w:cs="Times New Roman"/>
                <w:kern w:val="0"/>
                <w:sz w:val="21"/>
              </w:rPr>
              <w:t>（</w:t>
            </w:r>
            <w:r>
              <w:rPr>
                <w:rFonts w:cs="Times New Roman"/>
                <w:kern w:val="0"/>
                <w:sz w:val="21"/>
              </w:rPr>
              <w:t>dB/m</w:t>
            </w:r>
            <w:r>
              <w:rPr>
                <w:rFonts w:cs="Times New Roman"/>
                <w:kern w:val="0"/>
                <w:sz w:val="21"/>
              </w:rPr>
              <w:t>）</w:t>
            </w:r>
          </w:p>
        </w:tc>
        <w:tc>
          <w:tcPr>
            <w:tcW w:w="1392"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20≤df</w:t>
            </w:r>
            <w:r>
              <w:rPr>
                <w:rFonts w:cs="Times New Roman"/>
                <w:kern w:val="0"/>
                <w:sz w:val="21"/>
              </w:rPr>
              <w:t>&lt;</w:t>
            </w:r>
            <w:r>
              <w:rPr>
                <w:rFonts w:cs="Times New Roman"/>
                <w:kern w:val="0"/>
                <w:sz w:val="21"/>
              </w:rPr>
              <w:t>200</w:t>
            </w:r>
          </w:p>
        </w:tc>
        <w:tc>
          <w:tcPr>
            <w:tcW w:w="58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0.02</w:t>
            </w:r>
          </w:p>
        </w:tc>
        <w:tc>
          <w:tcPr>
            <w:tcW w:w="58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0.03</w:t>
            </w:r>
          </w:p>
        </w:tc>
        <w:tc>
          <w:tcPr>
            <w:tcW w:w="705"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0.04</w:t>
            </w:r>
          </w:p>
        </w:tc>
        <w:tc>
          <w:tcPr>
            <w:tcW w:w="584"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0.05</w:t>
            </w:r>
          </w:p>
        </w:tc>
        <w:tc>
          <w:tcPr>
            <w:tcW w:w="707"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0.06</w:t>
            </w:r>
          </w:p>
        </w:tc>
        <w:tc>
          <w:tcPr>
            <w:tcW w:w="706"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0.08</w:t>
            </w:r>
          </w:p>
        </w:tc>
        <w:tc>
          <w:tcPr>
            <w:tcW w:w="799" w:type="dxa"/>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0.09</w:t>
            </w:r>
          </w:p>
        </w:tc>
        <w:tc>
          <w:tcPr>
            <w:tcW w:w="688" w:type="dxa"/>
            <w:tcBorders>
              <w:top w:val="single" w:sz="6" w:space="0" w:color="auto"/>
              <w:left w:val="single" w:sz="6"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exact"/>
              <w:ind w:firstLineChars="0" w:firstLine="0"/>
              <w:jc w:val="center"/>
              <w:rPr>
                <w:rFonts w:cs="Times New Roman"/>
                <w:kern w:val="0"/>
                <w:sz w:val="21"/>
              </w:rPr>
            </w:pPr>
            <w:r>
              <w:rPr>
                <w:rFonts w:cs="Times New Roman"/>
                <w:kern w:val="0"/>
                <w:sz w:val="21"/>
              </w:rPr>
              <w:t>0.12</w:t>
            </w:r>
          </w:p>
        </w:tc>
      </w:tr>
    </w:tbl>
    <w:p w:rsidR="00A46452" w:rsidRDefault="009A3928">
      <w:pPr>
        <w:wordWrap w:val="0"/>
        <w:topLinePunct/>
        <w:adjustRightInd w:val="0"/>
        <w:snapToGrid w:val="0"/>
        <w:ind w:firstLine="480"/>
        <w:rPr>
          <w:rFonts w:cs="Times New Roman"/>
          <w:szCs w:val="24"/>
        </w:rPr>
      </w:pPr>
      <w:r>
        <w:rPr>
          <w:rFonts w:cs="Times New Roman"/>
          <w:szCs w:val="24"/>
        </w:rPr>
        <w:t>b</w:t>
      </w:r>
      <w:r>
        <w:rPr>
          <w:rFonts w:cs="Times New Roman"/>
          <w:szCs w:val="24"/>
        </w:rPr>
        <w:t>建筑群噪声衰减（</w:t>
      </w:r>
      <w:r>
        <w:rPr>
          <w:rFonts w:cs="Times New Roman"/>
          <w:szCs w:val="24"/>
        </w:rPr>
        <w:t>A</w:t>
      </w:r>
      <w:r>
        <w:rPr>
          <w:rFonts w:cs="Times New Roman"/>
          <w:szCs w:val="24"/>
          <w:vertAlign w:val="subscript"/>
        </w:rPr>
        <w:t>hous</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建筑群衰减</w:t>
      </w:r>
      <w:r>
        <w:rPr>
          <w:rFonts w:cs="Times New Roman"/>
          <w:szCs w:val="24"/>
        </w:rPr>
        <w:t>A</w:t>
      </w:r>
      <w:r>
        <w:rPr>
          <w:rFonts w:cs="Times New Roman"/>
          <w:szCs w:val="24"/>
          <w:vertAlign w:val="subscript"/>
        </w:rPr>
        <w:t>hous</w:t>
      </w:r>
      <w:r>
        <w:rPr>
          <w:rFonts w:cs="Times New Roman"/>
          <w:szCs w:val="24"/>
        </w:rPr>
        <w:t>不超过</w:t>
      </w:r>
      <w:r>
        <w:rPr>
          <w:rFonts w:cs="Times New Roman"/>
          <w:szCs w:val="24"/>
        </w:rPr>
        <w:t>10dB</w:t>
      </w:r>
      <w:r>
        <w:rPr>
          <w:rFonts w:cs="Times New Roman"/>
          <w:szCs w:val="24"/>
        </w:rPr>
        <w:t>时，近似等效连续</w:t>
      </w:r>
      <w:r>
        <w:rPr>
          <w:rFonts w:cs="Times New Roman"/>
          <w:szCs w:val="24"/>
        </w:rPr>
        <w:t>A</w:t>
      </w:r>
      <w:r>
        <w:rPr>
          <w:rFonts w:cs="Times New Roman"/>
          <w:szCs w:val="24"/>
        </w:rPr>
        <w:t>声级按下式估算。当从受声点可直接观察到线路时，不考虑此项衰减。</w:t>
      </w:r>
    </w:p>
    <w:p w:rsidR="00A46452" w:rsidRDefault="009A3928">
      <w:pPr>
        <w:wordWrap w:val="0"/>
        <w:topLinePunct/>
        <w:adjustRightInd w:val="0"/>
        <w:snapToGrid w:val="0"/>
        <w:ind w:firstLineChars="900" w:firstLine="2880"/>
        <w:rPr>
          <w:rFonts w:cs="Times New Roman"/>
          <w:sz w:val="32"/>
          <w:szCs w:val="32"/>
          <w:vertAlign w:val="subscript"/>
        </w:rPr>
      </w:pPr>
      <w:r>
        <w:rPr>
          <w:rFonts w:cs="Times New Roman"/>
          <w:sz w:val="32"/>
          <w:szCs w:val="32"/>
        </w:rPr>
        <w:t>A</w:t>
      </w:r>
      <w:r>
        <w:rPr>
          <w:rFonts w:cs="Times New Roman"/>
          <w:sz w:val="32"/>
          <w:szCs w:val="32"/>
          <w:vertAlign w:val="subscript"/>
        </w:rPr>
        <w:t>hous</w:t>
      </w:r>
      <w:r>
        <w:rPr>
          <w:rFonts w:cs="Times New Roman"/>
          <w:sz w:val="32"/>
          <w:szCs w:val="32"/>
        </w:rPr>
        <w:t>=A</w:t>
      </w:r>
      <w:r>
        <w:rPr>
          <w:rFonts w:cs="Times New Roman"/>
          <w:sz w:val="32"/>
          <w:szCs w:val="32"/>
          <w:vertAlign w:val="subscript"/>
        </w:rPr>
        <w:t>hous</w:t>
      </w:r>
      <w:r>
        <w:rPr>
          <w:rFonts w:cs="Times New Roman"/>
          <w:sz w:val="32"/>
          <w:szCs w:val="32"/>
          <w:vertAlign w:val="subscript"/>
        </w:rPr>
        <w:t>,</w:t>
      </w:r>
      <w:r>
        <w:rPr>
          <w:rFonts w:cs="Times New Roman"/>
          <w:sz w:val="32"/>
          <w:szCs w:val="32"/>
          <w:vertAlign w:val="subscript"/>
        </w:rPr>
        <w:t>1</w:t>
      </w:r>
      <w:r>
        <w:rPr>
          <w:rFonts w:cs="Times New Roman"/>
          <w:sz w:val="32"/>
          <w:szCs w:val="32"/>
        </w:rPr>
        <w:t>+A</w:t>
      </w:r>
      <w:r>
        <w:rPr>
          <w:rFonts w:cs="Times New Roman"/>
          <w:sz w:val="32"/>
          <w:szCs w:val="32"/>
          <w:vertAlign w:val="subscript"/>
        </w:rPr>
        <w:t>hous</w:t>
      </w:r>
      <w:r>
        <w:rPr>
          <w:rFonts w:cs="Times New Roman"/>
          <w:sz w:val="32"/>
          <w:szCs w:val="32"/>
          <w:vertAlign w:val="subscript"/>
        </w:rPr>
        <w:t>,</w:t>
      </w:r>
      <w:r>
        <w:rPr>
          <w:rFonts w:cs="Times New Roman"/>
          <w:sz w:val="32"/>
          <w:szCs w:val="32"/>
          <w:vertAlign w:val="subscript"/>
        </w:rPr>
        <w:t>2</w: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Ahous</w:t>
      </w:r>
      <w:r>
        <w:rPr>
          <w:rFonts w:cs="Times New Roman"/>
          <w:szCs w:val="24"/>
        </w:rPr>
        <w:t>，</w:t>
      </w:r>
      <w:r>
        <w:rPr>
          <w:rFonts w:cs="Times New Roman"/>
          <w:szCs w:val="24"/>
        </w:rPr>
        <w:t>1</w:t>
      </w:r>
      <w:r>
        <w:rPr>
          <w:rFonts w:cs="Times New Roman"/>
          <w:szCs w:val="24"/>
        </w:rPr>
        <w:t>按下式计算，单位为</w:t>
      </w:r>
      <w:r>
        <w:rPr>
          <w:rFonts w:cs="Times New Roman"/>
          <w:szCs w:val="24"/>
        </w:rPr>
        <w:t>dB</w:t>
      </w:r>
    </w:p>
    <w:p w:rsidR="00A46452" w:rsidRDefault="009A3928">
      <w:pPr>
        <w:wordWrap w:val="0"/>
        <w:topLinePunct/>
        <w:adjustRightInd w:val="0"/>
        <w:snapToGrid w:val="0"/>
        <w:ind w:firstLineChars="900" w:firstLine="2880"/>
        <w:rPr>
          <w:rFonts w:cs="Times New Roman"/>
          <w:sz w:val="32"/>
          <w:szCs w:val="32"/>
        </w:rPr>
      </w:pPr>
      <w:r>
        <w:rPr>
          <w:rFonts w:cs="Times New Roman"/>
          <w:sz w:val="32"/>
          <w:szCs w:val="32"/>
        </w:rPr>
        <w:t>A</w:t>
      </w:r>
      <w:r>
        <w:rPr>
          <w:rFonts w:cs="Times New Roman"/>
          <w:sz w:val="32"/>
          <w:szCs w:val="32"/>
          <w:vertAlign w:val="subscript"/>
        </w:rPr>
        <w:t>hous</w:t>
      </w:r>
      <w:r>
        <w:rPr>
          <w:rFonts w:cs="Times New Roman"/>
          <w:sz w:val="32"/>
          <w:szCs w:val="32"/>
          <w:vertAlign w:val="subscript"/>
        </w:rPr>
        <w:t>,</w:t>
      </w:r>
      <w:r>
        <w:rPr>
          <w:rFonts w:cs="Times New Roman"/>
          <w:sz w:val="32"/>
          <w:szCs w:val="32"/>
          <w:vertAlign w:val="subscript"/>
        </w:rPr>
        <w:t>1</w:t>
      </w:r>
      <w:r>
        <w:rPr>
          <w:rFonts w:cs="Times New Roman"/>
          <w:sz w:val="32"/>
          <w:szCs w:val="32"/>
        </w:rPr>
        <w:t>=0.1Bdb</w: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B——</w:t>
      </w:r>
      <w:r>
        <w:rPr>
          <w:rFonts w:cs="Times New Roman"/>
          <w:szCs w:val="24"/>
        </w:rPr>
        <w:t>沿声传播路线上的建筑物的密度，等于建筑物总平面面积除以总地面面积</w:t>
      </w:r>
    </w:p>
    <w:p w:rsidR="00A46452" w:rsidRDefault="009A3928">
      <w:pPr>
        <w:wordWrap w:val="0"/>
        <w:topLinePunct/>
        <w:adjustRightInd w:val="0"/>
        <w:snapToGrid w:val="0"/>
        <w:ind w:firstLine="480"/>
        <w:rPr>
          <w:rFonts w:cs="Times New Roman"/>
          <w:szCs w:val="24"/>
        </w:rPr>
      </w:pPr>
      <w:r>
        <w:rPr>
          <w:rFonts w:cs="Times New Roman"/>
          <w:szCs w:val="24"/>
        </w:rPr>
        <w:t>（包括建筑物所占面积）；</w:t>
      </w:r>
    </w:p>
    <w:p w:rsidR="00A46452" w:rsidRDefault="009A3928">
      <w:pPr>
        <w:wordWrap w:val="0"/>
        <w:topLinePunct/>
        <w:adjustRightInd w:val="0"/>
        <w:snapToGrid w:val="0"/>
        <w:ind w:firstLine="480"/>
        <w:rPr>
          <w:rFonts w:cs="Times New Roman"/>
          <w:szCs w:val="24"/>
        </w:rPr>
      </w:pPr>
      <w:r>
        <w:rPr>
          <w:rFonts w:cs="Times New Roman"/>
          <w:szCs w:val="24"/>
        </w:rPr>
        <w:t>db——</w:t>
      </w:r>
      <w:r>
        <w:rPr>
          <w:rFonts w:cs="Times New Roman"/>
          <w:szCs w:val="24"/>
        </w:rPr>
        <w:t>通过建筑群的声传播路线长度，按下面的公式计算，</w:t>
      </w:r>
      <w:r>
        <w:rPr>
          <w:rFonts w:cs="Times New Roman"/>
          <w:szCs w:val="24"/>
        </w:rPr>
        <w:t>d</w:t>
      </w:r>
      <w:r>
        <w:rPr>
          <w:rFonts w:cs="Times New Roman"/>
          <w:szCs w:val="24"/>
          <w:vertAlign w:val="subscript"/>
        </w:rPr>
        <w:t>1</w:t>
      </w:r>
      <w:r>
        <w:rPr>
          <w:rFonts w:cs="Times New Roman"/>
          <w:szCs w:val="24"/>
        </w:rPr>
        <w:t>和</w:t>
      </w:r>
      <w:r>
        <w:rPr>
          <w:rFonts w:cs="Times New Roman"/>
          <w:szCs w:val="24"/>
        </w:rPr>
        <w:t>d</w:t>
      </w:r>
      <w:r>
        <w:rPr>
          <w:rFonts w:cs="Times New Roman"/>
          <w:szCs w:val="24"/>
          <w:vertAlign w:val="subscript"/>
        </w:rPr>
        <w:t>2</w:t>
      </w:r>
      <w:r>
        <w:rPr>
          <w:rFonts w:cs="Times New Roman"/>
          <w:szCs w:val="24"/>
          <w:vertAlign w:val="subscript"/>
        </w:rPr>
        <w:t>如</w:t>
      </w:r>
      <w:r>
        <w:rPr>
          <w:rFonts w:cs="Times New Roman"/>
          <w:szCs w:val="24"/>
        </w:rPr>
        <w:t>下图所示。</w:t>
      </w:r>
    </w:p>
    <w:p w:rsidR="00A46452" w:rsidRDefault="009A3928">
      <w:pPr>
        <w:wordWrap w:val="0"/>
        <w:topLinePunct/>
        <w:adjustRightInd w:val="0"/>
        <w:snapToGrid w:val="0"/>
        <w:ind w:firstLineChars="0" w:firstLine="0"/>
        <w:jc w:val="center"/>
        <w:rPr>
          <w:rFonts w:cs="Times New Roman"/>
          <w:sz w:val="32"/>
          <w:szCs w:val="32"/>
        </w:rPr>
      </w:pPr>
      <w:r>
        <w:rPr>
          <w:rFonts w:cs="Times New Roman"/>
          <w:sz w:val="32"/>
          <w:szCs w:val="32"/>
        </w:rPr>
        <w:t>d</w:t>
      </w:r>
      <w:r>
        <w:rPr>
          <w:rFonts w:cs="Times New Roman"/>
          <w:sz w:val="32"/>
          <w:szCs w:val="32"/>
          <w:vertAlign w:val="subscript"/>
        </w:rPr>
        <w:t>b</w:t>
      </w:r>
      <w:r>
        <w:rPr>
          <w:rFonts w:cs="Times New Roman"/>
          <w:sz w:val="32"/>
          <w:szCs w:val="32"/>
        </w:rPr>
        <w:t>=d</w:t>
      </w:r>
      <w:r>
        <w:rPr>
          <w:rFonts w:cs="Times New Roman"/>
          <w:sz w:val="32"/>
          <w:szCs w:val="32"/>
          <w:vertAlign w:val="subscript"/>
        </w:rPr>
        <w:t>1</w:t>
      </w:r>
      <w:r>
        <w:rPr>
          <w:rFonts w:cs="Times New Roman"/>
          <w:sz w:val="32"/>
          <w:szCs w:val="32"/>
        </w:rPr>
        <w:t>+d</w:t>
      </w:r>
      <w:r>
        <w:rPr>
          <w:rFonts w:cs="Times New Roman"/>
          <w:sz w:val="32"/>
          <w:szCs w:val="32"/>
          <w:vertAlign w:val="subscript"/>
        </w:rPr>
        <w:t>2</w:t>
      </w:r>
    </w:p>
    <w:p w:rsidR="00A46452" w:rsidRDefault="009A3928">
      <w:pPr>
        <w:wordWrap w:val="0"/>
        <w:topLinePunct/>
        <w:adjustRightInd w:val="0"/>
        <w:snapToGrid w:val="0"/>
        <w:ind w:firstLine="480"/>
        <w:rPr>
          <w:rFonts w:cs="Times New Roman"/>
          <w:szCs w:val="24"/>
        </w:rPr>
      </w:pPr>
      <w:r>
        <w:rPr>
          <w:rFonts w:cs="Times New Roman"/>
          <w:szCs w:val="24"/>
        </w:rPr>
        <w:t>假如声源沿线附近有成排整齐排列的建筑物时，则可将附加项</w:t>
      </w:r>
      <w:r>
        <w:rPr>
          <w:rFonts w:cs="Times New Roman"/>
          <w:szCs w:val="24"/>
        </w:rPr>
        <w:t>A</w:t>
      </w:r>
      <w:r>
        <w:rPr>
          <w:rFonts w:cs="Times New Roman"/>
          <w:szCs w:val="24"/>
          <w:vertAlign w:val="subscript"/>
        </w:rPr>
        <w:t>hous</w:t>
      </w:r>
      <w:r>
        <w:rPr>
          <w:rFonts w:cs="Times New Roman"/>
          <w:szCs w:val="24"/>
          <w:vertAlign w:val="subscript"/>
        </w:rPr>
        <w:t>，</w:t>
      </w:r>
      <w:r>
        <w:rPr>
          <w:rFonts w:cs="Times New Roman"/>
          <w:szCs w:val="24"/>
          <w:vertAlign w:val="subscript"/>
        </w:rPr>
        <w:t>2</w:t>
      </w:r>
      <w:r>
        <w:rPr>
          <w:rFonts w:cs="Times New Roman"/>
          <w:szCs w:val="24"/>
        </w:rPr>
        <w:t>包括在内（假定这一项小于在同一位置上与建筑物平均高度等高的一个屏障插入损失）。</w:t>
      </w:r>
      <w:r>
        <w:rPr>
          <w:rFonts w:cs="Times New Roman"/>
          <w:szCs w:val="24"/>
        </w:rPr>
        <w:t>A</w:t>
      </w:r>
      <w:r>
        <w:rPr>
          <w:rFonts w:cs="Times New Roman"/>
          <w:szCs w:val="24"/>
          <w:vertAlign w:val="subscript"/>
        </w:rPr>
        <w:t>hous</w:t>
      </w:r>
      <w:r>
        <w:rPr>
          <w:rFonts w:cs="Times New Roman"/>
          <w:szCs w:val="24"/>
          <w:vertAlign w:val="subscript"/>
        </w:rPr>
        <w:t>，</w:t>
      </w:r>
      <w:r>
        <w:rPr>
          <w:rFonts w:cs="Times New Roman"/>
          <w:szCs w:val="24"/>
          <w:vertAlign w:val="subscript"/>
        </w:rPr>
        <w:t>2</w:t>
      </w:r>
      <w:r>
        <w:rPr>
          <w:rFonts w:cs="Times New Roman"/>
          <w:szCs w:val="24"/>
        </w:rPr>
        <w:t>按下式计算：</w:t>
      </w:r>
    </w:p>
    <w:p w:rsidR="00A46452" w:rsidRDefault="009A3928">
      <w:pPr>
        <w:wordWrap w:val="0"/>
        <w:topLinePunct/>
        <w:adjustRightInd w:val="0"/>
        <w:snapToGrid w:val="0"/>
        <w:ind w:firstLineChars="900" w:firstLine="2880"/>
        <w:rPr>
          <w:rFonts w:cs="Times New Roman"/>
          <w:sz w:val="32"/>
          <w:szCs w:val="32"/>
        </w:rPr>
      </w:pPr>
      <w:r>
        <w:rPr>
          <w:rFonts w:cs="Times New Roman"/>
          <w:sz w:val="32"/>
          <w:szCs w:val="32"/>
        </w:rPr>
        <w:t>A</w:t>
      </w:r>
      <w:r>
        <w:rPr>
          <w:rFonts w:cs="Times New Roman"/>
          <w:sz w:val="32"/>
          <w:szCs w:val="32"/>
          <w:vertAlign w:val="subscript"/>
        </w:rPr>
        <w:t>hous</w:t>
      </w:r>
      <w:r>
        <w:rPr>
          <w:rFonts w:cs="Times New Roman"/>
          <w:sz w:val="32"/>
          <w:szCs w:val="32"/>
          <w:vertAlign w:val="subscript"/>
        </w:rPr>
        <w:t>,</w:t>
      </w:r>
      <w:r>
        <w:rPr>
          <w:rFonts w:cs="Times New Roman"/>
          <w:sz w:val="32"/>
          <w:szCs w:val="32"/>
          <w:vertAlign w:val="subscript"/>
        </w:rPr>
        <w:t>2</w:t>
      </w:r>
      <w:r>
        <w:rPr>
          <w:rFonts w:cs="Times New Roman"/>
          <w:sz w:val="32"/>
          <w:szCs w:val="32"/>
        </w:rPr>
        <w:t>=-10lg</w:t>
      </w:r>
      <w:r>
        <w:rPr>
          <w:rFonts w:cs="Times New Roman"/>
          <w:sz w:val="32"/>
          <w:szCs w:val="32"/>
        </w:rPr>
        <w:t>(</w:t>
      </w:r>
      <w:r>
        <w:rPr>
          <w:rFonts w:cs="Times New Roman"/>
          <w:sz w:val="32"/>
          <w:szCs w:val="32"/>
        </w:rPr>
        <w:t>1-p</w:t>
      </w:r>
      <w:r>
        <w:rPr>
          <w:rFonts w:cs="Times New Roman"/>
          <w:sz w:val="32"/>
          <w:szCs w:val="32"/>
        </w:rPr>
        <w:t>)</w:t>
      </w:r>
    </w:p>
    <w:p w:rsidR="00A46452" w:rsidRDefault="009A3928">
      <w:pPr>
        <w:wordWrap w:val="0"/>
        <w:topLinePunct/>
        <w:adjustRightInd w:val="0"/>
        <w:snapToGrid w:val="0"/>
        <w:ind w:firstLine="480"/>
        <w:rPr>
          <w:rFonts w:cs="Times New Roman"/>
          <w:szCs w:val="24"/>
        </w:rPr>
      </w:pPr>
      <w:r>
        <w:rPr>
          <w:rFonts w:cs="Times New Roman"/>
          <w:szCs w:val="24"/>
        </w:rPr>
        <w:t>式中：</w:t>
      </w:r>
      <w:r>
        <w:rPr>
          <w:rFonts w:cs="Times New Roman"/>
          <w:szCs w:val="24"/>
        </w:rPr>
        <w:t>p——</w:t>
      </w:r>
      <w:r>
        <w:rPr>
          <w:rFonts w:cs="Times New Roman"/>
          <w:szCs w:val="24"/>
        </w:rPr>
        <w:t>沿声源纵向分布的建筑物正面总长度除以对应的声源长度，其值小于或等于</w:t>
      </w:r>
      <w:r>
        <w:rPr>
          <w:rFonts w:cs="Times New Roman"/>
          <w:szCs w:val="24"/>
        </w:rPr>
        <w:t>90%</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在进行预测计算时，建筑群衰减</w:t>
      </w:r>
      <w:r>
        <w:rPr>
          <w:rFonts w:cs="Times New Roman"/>
          <w:szCs w:val="24"/>
        </w:rPr>
        <w:t>A</w:t>
      </w:r>
      <w:r>
        <w:rPr>
          <w:rFonts w:cs="Times New Roman"/>
          <w:szCs w:val="24"/>
          <w:vertAlign w:val="subscript"/>
        </w:rPr>
        <w:t>hous</w:t>
      </w:r>
      <w:r>
        <w:rPr>
          <w:rFonts w:cs="Times New Roman"/>
          <w:szCs w:val="24"/>
        </w:rPr>
        <w:t>与地面效应引起的衰减</w:t>
      </w:r>
      <w:r>
        <w:rPr>
          <w:rFonts w:cs="Times New Roman"/>
          <w:szCs w:val="24"/>
        </w:rPr>
        <w:t>A</w:t>
      </w:r>
      <w:r>
        <w:rPr>
          <w:rFonts w:cs="Times New Roman"/>
          <w:szCs w:val="24"/>
          <w:vertAlign w:val="subscript"/>
        </w:rPr>
        <w:t>gr</w:t>
      </w:r>
      <w:r>
        <w:rPr>
          <w:rFonts w:cs="Times New Roman"/>
          <w:szCs w:val="24"/>
        </w:rPr>
        <w:t>通常只需考虑一项最主要的衰减。对于通过建筑群的声传播，一般不考虑地面效应引起的衰减</w:t>
      </w:r>
      <w:r>
        <w:rPr>
          <w:rFonts w:cs="Times New Roman"/>
          <w:szCs w:val="24"/>
        </w:rPr>
        <w:t>A</w:t>
      </w:r>
      <w:r>
        <w:rPr>
          <w:rFonts w:cs="Times New Roman"/>
          <w:szCs w:val="24"/>
          <w:vertAlign w:val="subscript"/>
        </w:rPr>
        <w:t>gr</w:t>
      </w:r>
      <w:r>
        <w:rPr>
          <w:rFonts w:cs="Times New Roman"/>
          <w:szCs w:val="24"/>
        </w:rPr>
        <w:t>；但地面效应引起的衰减</w:t>
      </w:r>
      <w:r>
        <w:rPr>
          <w:rFonts w:cs="Times New Roman"/>
          <w:szCs w:val="24"/>
        </w:rPr>
        <w:t>A</w:t>
      </w:r>
      <w:r>
        <w:rPr>
          <w:rFonts w:cs="Times New Roman"/>
          <w:szCs w:val="24"/>
          <w:vertAlign w:val="subscript"/>
        </w:rPr>
        <w:t>gr</w:t>
      </w:r>
      <w:r>
        <w:rPr>
          <w:rFonts w:cs="Times New Roman"/>
          <w:szCs w:val="24"/>
        </w:rPr>
        <w:t>（假定预测点与声源之间不存在建筑群时的计算结果）大于建筑群衰减</w:t>
      </w:r>
      <w:r>
        <w:rPr>
          <w:rFonts w:cs="Times New Roman"/>
          <w:szCs w:val="24"/>
        </w:rPr>
        <w:t>A</w:t>
      </w:r>
      <w:r>
        <w:rPr>
          <w:rFonts w:cs="Times New Roman"/>
          <w:szCs w:val="24"/>
          <w:vertAlign w:val="subscript"/>
        </w:rPr>
        <w:t>hous</w:t>
      </w:r>
      <w:r>
        <w:rPr>
          <w:rFonts w:cs="Times New Roman"/>
          <w:szCs w:val="24"/>
        </w:rPr>
        <w:t>时，则不考虑建筑群插入损失</w:t>
      </w:r>
      <w:r>
        <w:rPr>
          <w:rFonts w:cs="Times New Roman"/>
          <w:szCs w:val="24"/>
        </w:rPr>
        <w:t>A</w:t>
      </w:r>
      <w:r>
        <w:rPr>
          <w:rFonts w:cs="Times New Roman"/>
          <w:szCs w:val="24"/>
          <w:vertAlign w:val="subscript"/>
        </w:rPr>
        <w:t>hous</w:t>
      </w:r>
      <w:r>
        <w:rPr>
          <w:rFonts w:cs="Times New Roman"/>
          <w:szCs w:val="24"/>
        </w:rPr>
        <w:t>。</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7.4.2.3</w:t>
      </w:r>
      <w:r>
        <w:rPr>
          <w:rFonts w:cs="Times New Roman" w:hint="default"/>
          <w:iCs/>
        </w:rPr>
        <w:t>交通噪声预测结果</w:t>
      </w:r>
    </w:p>
    <w:p w:rsidR="00A46452" w:rsidRDefault="009A3928">
      <w:pPr>
        <w:wordWrap w:val="0"/>
        <w:topLinePunct/>
        <w:adjustRightInd w:val="0"/>
        <w:snapToGrid w:val="0"/>
        <w:ind w:firstLine="480"/>
        <w:rPr>
          <w:rFonts w:cs="Times New Roman"/>
          <w:szCs w:val="24"/>
        </w:rPr>
      </w:pPr>
      <w:r>
        <w:rPr>
          <w:rFonts w:cs="Times New Roman"/>
          <w:szCs w:val="24"/>
        </w:rPr>
        <w:t>根据前面的预测方法、预测模式和设定参数，对本项目的交通噪声进行预测计算。预测内容包括：交通噪声在不同营运期、不同时间段、距道路边界不同距离的影响预测；分析敏感目标受声环境影响的程度、范围和受影响人口分布情况，根据预测结果，提出相应降噪措施；绘制道路等声级线图。其中断面交通噪声预测仅考虑平路基情况下交通噪声随距离衰减，断面交通噪声预测考虑路面</w:t>
      </w:r>
      <w:r>
        <w:rPr>
          <w:rFonts w:cs="Times New Roman"/>
          <w:szCs w:val="24"/>
        </w:rPr>
        <w:t>修整</w:t>
      </w:r>
      <w:r>
        <w:rPr>
          <w:rFonts w:cs="Times New Roman"/>
          <w:szCs w:val="24"/>
        </w:rPr>
        <w:t>、地面吸收、大气吸收和距离衰减。</w:t>
      </w:r>
    </w:p>
    <w:p w:rsidR="00A46452" w:rsidRDefault="009A3928">
      <w:pPr>
        <w:wordWrap w:val="0"/>
        <w:topLinePunct/>
        <w:adjustRightInd w:val="0"/>
        <w:snapToGrid w:val="0"/>
        <w:ind w:firstLine="480"/>
        <w:rPr>
          <w:rFonts w:cs="Times New Roman"/>
          <w:szCs w:val="24"/>
        </w:rPr>
      </w:pPr>
      <w:r>
        <w:rPr>
          <w:rFonts w:cs="Times New Roman"/>
          <w:szCs w:val="24"/>
        </w:rPr>
        <w:t>敏感点预测考虑路面修正、大气吸收、地面吸收、声影区衰减；未考虑纵坡修正量（</w:t>
      </w:r>
      <w:r>
        <w:rPr>
          <w:rFonts w:cs="Times New Roman"/>
          <w:szCs w:val="24"/>
        </w:rPr>
        <w:t>ΔL</w:t>
      </w:r>
      <w:r>
        <w:rPr>
          <w:rFonts w:cs="Times New Roman"/>
          <w:szCs w:val="24"/>
        </w:rPr>
        <w:t>坡度），原</w:t>
      </w:r>
      <w:r>
        <w:rPr>
          <w:rFonts w:cs="Times New Roman"/>
          <w:szCs w:val="24"/>
        </w:rPr>
        <w:t>因为本项目各敏感点分布范围路线长度基本在</w:t>
      </w:r>
      <w:r>
        <w:rPr>
          <w:rFonts w:cs="Times New Roman"/>
          <w:szCs w:val="24"/>
        </w:rPr>
        <w:t>200m</w:t>
      </w:r>
      <w:r>
        <w:rPr>
          <w:rFonts w:cs="Times New Roman"/>
          <w:szCs w:val="24"/>
        </w:rPr>
        <w:t>以内，且各敏感点分布区域</w:t>
      </w:r>
      <w:r>
        <w:rPr>
          <w:rFonts w:cs="Times New Roman"/>
          <w:szCs w:val="24"/>
        </w:rPr>
        <w:t>200m</w:t>
      </w:r>
      <w:r>
        <w:rPr>
          <w:rFonts w:cs="Times New Roman"/>
          <w:szCs w:val="24"/>
        </w:rPr>
        <w:t>长度范围公路纵坡坡度很小，</w:t>
      </w:r>
      <w:r>
        <w:rPr>
          <w:rFonts w:cs="Times New Roman"/>
          <w:szCs w:val="24"/>
        </w:rPr>
        <w:t>ΔL</w:t>
      </w:r>
      <w:r>
        <w:rPr>
          <w:rFonts w:cs="Times New Roman"/>
          <w:szCs w:val="24"/>
        </w:rPr>
        <w:t>坡度很小，基本不会对敏感点噪声预测值造成影响，故本次评价不考虑纵坡修正量；未考虑两侧建筑物的反射声修正量（</w:t>
      </w:r>
      <w:r>
        <w:rPr>
          <w:rFonts w:cs="Times New Roman"/>
          <w:szCs w:val="24"/>
        </w:rPr>
        <w:t>ΔL</w:t>
      </w:r>
      <w:r>
        <w:rPr>
          <w:rFonts w:cs="Times New Roman"/>
          <w:szCs w:val="24"/>
          <w:vertAlign w:val="subscript"/>
        </w:rPr>
        <w:t>3</w:t>
      </w:r>
      <w:r>
        <w:rPr>
          <w:rFonts w:cs="Times New Roman"/>
          <w:szCs w:val="24"/>
        </w:rPr>
        <w:t>），原因为本项目为平原区高速，高速公路两侧的敏感点多为砖混楼房，且没有路左、路右对称分布的情况，根据导则（</w:t>
      </w:r>
      <w:r>
        <w:rPr>
          <w:rFonts w:cs="Times New Roman"/>
          <w:szCs w:val="24"/>
        </w:rPr>
        <w:t>HJ 2.4-2021</w:t>
      </w:r>
      <w:r>
        <w:rPr>
          <w:rFonts w:cs="Times New Roman"/>
          <w:szCs w:val="24"/>
        </w:rPr>
        <w:t>）相关要求，当线路两侧建筑物间距小于总计算高度</w:t>
      </w:r>
      <w:r>
        <w:rPr>
          <w:rFonts w:cs="Times New Roman"/>
          <w:szCs w:val="24"/>
        </w:rPr>
        <w:t>30%</w:t>
      </w:r>
      <w:r>
        <w:rPr>
          <w:rFonts w:cs="Times New Roman"/>
          <w:szCs w:val="24"/>
        </w:rPr>
        <w:t>时，考虑两侧建筑物的反射声修正量（</w:t>
      </w:r>
      <w:r>
        <w:rPr>
          <w:rFonts w:cs="Times New Roman"/>
          <w:szCs w:val="24"/>
        </w:rPr>
        <w:t>ΔL</w:t>
      </w:r>
      <w:r>
        <w:rPr>
          <w:rFonts w:cs="Times New Roman"/>
          <w:szCs w:val="24"/>
          <w:vertAlign w:val="subscript"/>
        </w:rPr>
        <w:t>3</w:t>
      </w:r>
      <w:r>
        <w:rPr>
          <w:rFonts w:cs="Times New Roman"/>
          <w:szCs w:val="24"/>
        </w:rPr>
        <w:t>），本项目不存在线路两侧建筑物间距小于总计算高度</w:t>
      </w:r>
      <w:r>
        <w:rPr>
          <w:rFonts w:cs="Times New Roman"/>
          <w:szCs w:val="24"/>
        </w:rPr>
        <w:t>30%</w:t>
      </w:r>
      <w:r>
        <w:rPr>
          <w:rFonts w:cs="Times New Roman"/>
          <w:szCs w:val="24"/>
        </w:rPr>
        <w:t>这种情况，故本次</w:t>
      </w:r>
      <w:r>
        <w:rPr>
          <w:rFonts w:cs="Times New Roman"/>
          <w:szCs w:val="24"/>
        </w:rPr>
        <w:t>评价不考虑两侧建筑物的反射声修正量（</w:t>
      </w:r>
      <w:r>
        <w:rPr>
          <w:rFonts w:cs="Times New Roman"/>
          <w:szCs w:val="24"/>
        </w:rPr>
        <w:t>ΔL</w:t>
      </w:r>
      <w:r>
        <w:rPr>
          <w:rFonts w:cs="Times New Roman"/>
          <w:szCs w:val="24"/>
          <w:vertAlign w:val="subscript"/>
        </w:rPr>
        <w:t>3</w:t>
      </w:r>
      <w:r>
        <w:rPr>
          <w:rFonts w:cs="Times New Roman"/>
          <w:szCs w:val="24"/>
        </w:rPr>
        <w:t>）；未考虑绿化带遮挡，具体选取参数如下：</w:t>
      </w:r>
    </w:p>
    <w:p w:rsidR="00A46452" w:rsidRDefault="009A3928">
      <w:pPr>
        <w:wordWrap w:val="0"/>
        <w:topLinePunct/>
        <w:adjustRightInd w:val="0"/>
        <w:snapToGrid w:val="0"/>
        <w:ind w:firstLine="480"/>
        <w:rPr>
          <w:rFonts w:cs="Times New Roman"/>
          <w:szCs w:val="24"/>
        </w:rPr>
      </w:pPr>
      <w:r>
        <w:rPr>
          <w:rFonts w:cs="Times New Roman"/>
          <w:szCs w:val="24"/>
        </w:rPr>
        <w:t>①</w:t>
      </w:r>
      <w:r>
        <w:rPr>
          <w:rFonts w:cs="Times New Roman"/>
          <w:szCs w:val="24"/>
        </w:rPr>
        <w:t>大气吸收引起的衰减量</w:t>
      </w:r>
      <w:r>
        <w:rPr>
          <w:rFonts w:cs="Times New Roman"/>
          <w:szCs w:val="24"/>
        </w:rPr>
        <w:t>Aatm</w:t>
      </w:r>
      <w:r>
        <w:rPr>
          <w:rFonts w:cs="Times New Roman"/>
          <w:szCs w:val="24"/>
        </w:rPr>
        <w:t>：各路段频率取</w:t>
      </w:r>
      <w:r>
        <w:rPr>
          <w:rFonts w:cs="Times New Roman"/>
          <w:szCs w:val="24"/>
        </w:rPr>
        <w:t>500Hz</w:t>
      </w:r>
      <w:r>
        <w:rPr>
          <w:rFonts w:cs="Times New Roman"/>
          <w:szCs w:val="24"/>
        </w:rPr>
        <w:t>、温度取</w:t>
      </w:r>
      <w:r>
        <w:rPr>
          <w:rFonts w:cs="Times New Roman"/>
          <w:szCs w:val="24"/>
        </w:rPr>
        <w:t>15℃</w:t>
      </w:r>
      <w:r>
        <w:rPr>
          <w:rFonts w:cs="Times New Roman"/>
          <w:szCs w:val="24"/>
        </w:rPr>
        <w:t>、相对湿度</w:t>
      </w:r>
      <w:r>
        <w:rPr>
          <w:rFonts w:cs="Times New Roman"/>
          <w:szCs w:val="24"/>
        </w:rPr>
        <w:t>70%</w:t>
      </w:r>
      <w:r>
        <w:rPr>
          <w:rFonts w:cs="Times New Roman"/>
          <w:szCs w:val="24"/>
        </w:rPr>
        <w:t>、</w:t>
      </w:r>
      <w:r>
        <w:rPr>
          <w:rFonts w:cs="Times New Roman"/>
          <w:szCs w:val="24"/>
        </w:rPr>
        <w:t>Aatm</w:t>
      </w:r>
      <w:r>
        <w:rPr>
          <w:rFonts w:cs="Times New Roman"/>
          <w:szCs w:val="24"/>
        </w:rPr>
        <w:t>为</w:t>
      </w:r>
      <w:r>
        <w:rPr>
          <w:rFonts w:cs="Times New Roman"/>
          <w:szCs w:val="24"/>
        </w:rPr>
        <w:t>2.3</w:t>
      </w:r>
      <w:r>
        <w:rPr>
          <w:rFonts w:cs="Times New Roman"/>
          <w:szCs w:val="24"/>
        </w:rPr>
        <w:t>。</w:t>
      </w:r>
    </w:p>
    <w:p w:rsidR="00A46452" w:rsidRDefault="009A3928">
      <w:pPr>
        <w:wordWrap w:val="0"/>
        <w:topLinePunct/>
        <w:adjustRightInd w:val="0"/>
        <w:snapToGrid w:val="0"/>
        <w:ind w:firstLine="480"/>
        <w:rPr>
          <w:rFonts w:cs="Times New Roman"/>
          <w:szCs w:val="24"/>
        </w:rPr>
      </w:pPr>
      <w:r>
        <w:rPr>
          <w:rFonts w:cs="Times New Roman"/>
          <w:szCs w:val="24"/>
        </w:rPr>
        <w:t>②</w:t>
      </w:r>
      <w:r>
        <w:rPr>
          <w:rFonts w:cs="Times New Roman"/>
          <w:szCs w:val="24"/>
        </w:rPr>
        <w:t>本项目区域内地形平缓，地貌条件比较简单，全线地势总体起伏不大，预测中不考虑坡度的修正。预测点高度取距地面</w:t>
      </w:r>
      <w:r>
        <w:rPr>
          <w:rFonts w:cs="Times New Roman"/>
          <w:szCs w:val="24"/>
        </w:rPr>
        <w:t>1.2m</w:t>
      </w:r>
      <w:r>
        <w:rPr>
          <w:rFonts w:cs="Times New Roman"/>
          <w:szCs w:val="24"/>
        </w:rPr>
        <w:t>。</w:t>
      </w:r>
    </w:p>
    <w:p w:rsidR="00A46452" w:rsidRDefault="009A3928">
      <w:pPr>
        <w:ind w:firstLine="480"/>
        <w:rPr>
          <w:rFonts w:cs="Times New Roman"/>
        </w:rPr>
      </w:pPr>
      <w:r>
        <w:rPr>
          <w:rFonts w:cs="Times New Roman"/>
        </w:rPr>
        <w:t>（</w:t>
      </w:r>
      <w:r>
        <w:rPr>
          <w:rFonts w:cs="Times New Roman"/>
        </w:rPr>
        <w:t>1</w:t>
      </w:r>
      <w:r>
        <w:rPr>
          <w:rFonts w:cs="Times New Roman"/>
        </w:rPr>
        <w:t>）各路段不同距离交通噪声贡献值预测</w:t>
      </w:r>
    </w:p>
    <w:p w:rsidR="00A46452" w:rsidRDefault="009A3928">
      <w:pPr>
        <w:ind w:firstLine="480"/>
        <w:rPr>
          <w:rFonts w:cs="Times New Roman"/>
        </w:rPr>
      </w:pPr>
      <w:r>
        <w:rPr>
          <w:rFonts w:cs="Times New Roman"/>
        </w:rPr>
        <w:t>根据预测模式，考虑路面修正、地面吸收、空气吸收和距离衰减，计算出距路中心线不同距离接收点处的交通噪声贡献值，预测结果见表</w:t>
      </w:r>
      <w:r>
        <w:rPr>
          <w:rFonts w:cs="Times New Roman" w:hint="eastAsia"/>
        </w:rPr>
        <w:t>7</w:t>
      </w:r>
      <w:r>
        <w:rPr>
          <w:rFonts w:cs="Times New Roman"/>
        </w:rPr>
        <w:t>.</w:t>
      </w:r>
      <w:r>
        <w:rPr>
          <w:rFonts w:cs="Times New Roman"/>
        </w:rPr>
        <w:t>4</w:t>
      </w:r>
      <w:r>
        <w:rPr>
          <w:rFonts w:cs="Times New Roman"/>
        </w:rPr>
        <w:t>-</w:t>
      </w:r>
      <w:r>
        <w:rPr>
          <w:rFonts w:cs="Times New Roman"/>
        </w:rPr>
        <w:t>10</w:t>
      </w:r>
      <w:r>
        <w:rPr>
          <w:rFonts w:cs="Times New Roman" w:hint="eastAsia"/>
        </w:rPr>
        <w:t>~</w:t>
      </w:r>
      <w:r>
        <w:rPr>
          <w:rFonts w:cs="Times New Roman" w:hint="eastAsia"/>
        </w:rPr>
        <w:t>表</w:t>
      </w:r>
      <w:r>
        <w:rPr>
          <w:rFonts w:cs="Times New Roman" w:hint="eastAsia"/>
        </w:rPr>
        <w:t>7.4-11</w:t>
      </w:r>
      <w:r>
        <w:rPr>
          <w:rFonts w:cs="Times New Roman"/>
        </w:rPr>
        <w:t>。</w:t>
      </w:r>
    </w:p>
    <w:p w:rsidR="00A46452" w:rsidRDefault="009A3928">
      <w:pPr>
        <w:wordWrap w:val="0"/>
        <w:topLinePunct/>
        <w:adjustRightInd w:val="0"/>
        <w:snapToGrid w:val="0"/>
        <w:ind w:firstLine="480"/>
        <w:rPr>
          <w:rFonts w:cs="Times New Roman"/>
        </w:rPr>
      </w:pPr>
      <w:r>
        <w:rPr>
          <w:rFonts w:cs="Times New Roman"/>
        </w:rPr>
        <w:t>各路段各期针对</w:t>
      </w:r>
      <w:r>
        <w:rPr>
          <w:rFonts w:cs="Times New Roman"/>
        </w:rPr>
        <w:t>4a</w:t>
      </w:r>
      <w:r>
        <w:rPr>
          <w:rFonts w:cs="Times New Roman"/>
        </w:rPr>
        <w:t>类、</w:t>
      </w:r>
      <w:r>
        <w:rPr>
          <w:rFonts w:cs="Times New Roman"/>
        </w:rPr>
        <w:t>2</w:t>
      </w:r>
      <w:r>
        <w:rPr>
          <w:rFonts w:cs="Times New Roman"/>
        </w:rPr>
        <w:t>类区标准的达标距离同时列于表中。运营近、中、远期，本次噪声等值线图预测选取代表性路段进行预测，交通噪声预测结果等声级图见图</w:t>
      </w:r>
      <w:r>
        <w:rPr>
          <w:rFonts w:cs="Times New Roman" w:hint="eastAsia"/>
        </w:rPr>
        <w:t>7</w:t>
      </w:r>
      <w:r>
        <w:rPr>
          <w:rFonts w:cs="Times New Roman"/>
        </w:rPr>
        <w:t>.</w:t>
      </w:r>
      <w:r>
        <w:rPr>
          <w:rFonts w:cs="Times New Roman"/>
        </w:rPr>
        <w:t>4</w:t>
      </w:r>
      <w:r>
        <w:rPr>
          <w:rFonts w:cs="Times New Roman"/>
        </w:rPr>
        <w:t>-</w:t>
      </w:r>
      <w:r>
        <w:rPr>
          <w:rFonts w:cs="Times New Roman"/>
        </w:rPr>
        <w:t>5~</w:t>
      </w:r>
      <w:r>
        <w:rPr>
          <w:rFonts w:cs="Times New Roman"/>
        </w:rPr>
        <w:t>图</w:t>
      </w:r>
      <w:r>
        <w:rPr>
          <w:rFonts w:cs="Times New Roman" w:hint="eastAsia"/>
        </w:rPr>
        <w:t>7</w:t>
      </w:r>
      <w:r>
        <w:rPr>
          <w:rFonts w:cs="Times New Roman"/>
        </w:rPr>
        <w:t>.4-</w:t>
      </w:r>
      <w:r>
        <w:rPr>
          <w:rFonts w:cs="Times New Roman" w:hint="eastAsia"/>
        </w:rPr>
        <w:t>22</w:t>
      </w:r>
      <w:r>
        <w:rPr>
          <w:rFonts w:cs="Times New Roman" w:hint="eastAsia"/>
        </w:rPr>
        <w:t>。</w:t>
      </w:r>
    </w:p>
    <w:p w:rsidR="00A46452" w:rsidRDefault="00A46452">
      <w:pPr>
        <w:wordWrap w:val="0"/>
        <w:topLinePunct/>
        <w:adjustRightInd w:val="0"/>
        <w:snapToGrid w:val="0"/>
        <w:ind w:firstLine="480"/>
        <w:rPr>
          <w:rFonts w:cs="Times New Roman"/>
        </w:rPr>
      </w:pPr>
    </w:p>
    <w:p w:rsidR="00A46452" w:rsidRDefault="00A46452">
      <w:pPr>
        <w:wordWrap w:val="0"/>
        <w:topLinePunct/>
        <w:adjustRightInd w:val="0"/>
        <w:snapToGrid w:val="0"/>
        <w:ind w:firstLineChars="0" w:firstLine="0"/>
        <w:jc w:val="center"/>
        <w:rPr>
          <w:rFonts w:cs="Times New Roman"/>
        </w:rPr>
        <w:sectPr w:rsidR="00A46452">
          <w:pgSz w:w="11905" w:h="16838"/>
          <w:pgMar w:top="1383" w:right="1803" w:bottom="1383" w:left="1803" w:header="850" w:footer="680" w:gutter="0"/>
          <w:cols w:space="0"/>
          <w:docGrid w:type="lines" w:linePitch="331"/>
        </w:sectPr>
      </w:pPr>
    </w:p>
    <w:p w:rsidR="00A46452" w:rsidRDefault="009A3928">
      <w:pPr>
        <w:pStyle w:val="affff9"/>
        <w:wordWrap w:val="0"/>
        <w:topLinePunct/>
        <w:adjustRightInd w:val="0"/>
        <w:snapToGrid w:val="0"/>
        <w:ind w:firstLineChars="0" w:firstLine="0"/>
        <w:jc w:val="both"/>
        <w:rPr>
          <w:rFonts w:cs="Times New Roman"/>
          <w:szCs w:val="24"/>
        </w:rPr>
      </w:pPr>
      <w:r>
        <w:rPr>
          <w:rFonts w:cs="Times New Roman"/>
          <w:szCs w:val="24"/>
        </w:rPr>
        <w:t xml:space="preserve"> </w:t>
      </w:r>
      <w:r>
        <w:rPr>
          <w:rFonts w:cs="Times New Roman"/>
          <w:szCs w:val="24"/>
        </w:rPr>
        <w:t>表</w:t>
      </w:r>
      <w:r>
        <w:rPr>
          <w:rFonts w:cs="Times New Roman" w:hint="eastAsia"/>
          <w:szCs w:val="24"/>
        </w:rPr>
        <w:t>7</w:t>
      </w:r>
      <w:r>
        <w:rPr>
          <w:rFonts w:cs="Times New Roman"/>
          <w:szCs w:val="24"/>
        </w:rPr>
        <w:t xml:space="preserve">.4-10                     </w:t>
      </w:r>
      <w:r>
        <w:rPr>
          <w:rFonts w:cs="Times New Roman"/>
          <w:szCs w:val="24"/>
        </w:rPr>
        <w:t xml:space="preserve">           </w:t>
      </w:r>
      <w:r>
        <w:rPr>
          <w:rFonts w:cs="Times New Roman"/>
          <w:szCs w:val="24"/>
        </w:rPr>
        <w:t>拟建公路噪声随距离衰减及达标情况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98"/>
        <w:gridCol w:w="2103"/>
        <w:gridCol w:w="801"/>
        <w:gridCol w:w="576"/>
        <w:gridCol w:w="621"/>
        <w:gridCol w:w="621"/>
        <w:gridCol w:w="621"/>
        <w:gridCol w:w="621"/>
        <w:gridCol w:w="621"/>
        <w:gridCol w:w="621"/>
        <w:gridCol w:w="621"/>
        <w:gridCol w:w="621"/>
        <w:gridCol w:w="621"/>
        <w:gridCol w:w="621"/>
        <w:gridCol w:w="621"/>
        <w:gridCol w:w="695"/>
        <w:gridCol w:w="742"/>
      </w:tblGrid>
      <w:tr w:rsidR="00A46452">
        <w:trPr>
          <w:jc w:val="center"/>
        </w:trPr>
        <w:tc>
          <w:tcPr>
            <w:tcW w:w="1798"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路段名称</w:t>
            </w:r>
          </w:p>
        </w:tc>
        <w:tc>
          <w:tcPr>
            <w:tcW w:w="2103"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名称</w:t>
            </w:r>
          </w:p>
        </w:tc>
        <w:tc>
          <w:tcPr>
            <w:tcW w:w="801"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年份</w:t>
            </w:r>
          </w:p>
        </w:tc>
        <w:tc>
          <w:tcPr>
            <w:tcW w:w="576"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时段</w:t>
            </w:r>
          </w:p>
        </w:tc>
        <w:tc>
          <w:tcPr>
            <w:tcW w:w="6831" w:type="dxa"/>
            <w:gridSpan w:val="11"/>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距道路中心线不同距离的噪声值</w:t>
            </w:r>
            <w:r>
              <w:rPr>
                <w:rFonts w:cs="Times New Roman"/>
                <w:kern w:val="0"/>
                <w:sz w:val="18"/>
                <w:szCs w:val="18"/>
              </w:rPr>
              <w:t>（</w:t>
            </w:r>
            <w:r>
              <w:rPr>
                <w:rFonts w:cs="Times New Roman"/>
                <w:kern w:val="0"/>
                <w:sz w:val="18"/>
                <w:szCs w:val="18"/>
              </w:rPr>
              <w:t>dB(A))</w:t>
            </w:r>
          </w:p>
        </w:tc>
        <w:tc>
          <w:tcPr>
            <w:tcW w:w="1437" w:type="dxa"/>
            <w:gridSpan w:val="2"/>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达标距离（</w:t>
            </w:r>
            <w:r>
              <w:rPr>
                <w:rFonts w:cs="Times New Roman"/>
                <w:kern w:val="0"/>
                <w:sz w:val="18"/>
                <w:szCs w:val="18"/>
              </w:rPr>
              <w:t>m</w:t>
            </w:r>
            <w:r>
              <w:rPr>
                <w:rFonts w:cs="Times New Roman"/>
                <w:kern w:val="0"/>
                <w:sz w:val="18"/>
                <w:szCs w:val="18"/>
              </w:rPr>
              <w:t>）</w:t>
            </w: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76"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50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60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80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100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120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160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180</w:t>
            </w:r>
          </w:p>
        </w:tc>
        <w:tc>
          <w:tcPr>
            <w:tcW w:w="621"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200</w:t>
            </w:r>
          </w:p>
        </w:tc>
        <w:tc>
          <w:tcPr>
            <w:tcW w:w="695" w:type="dxa"/>
            <w:tcBorders>
              <w:right w:val="single" w:sz="4" w:space="0" w:color="auto"/>
              <w:tl2br w:val="nil"/>
              <w:tr2bl w:val="nil"/>
            </w:tcBorders>
            <w:shd w:val="clear" w:color="auto" w:fill="auto"/>
            <w:noWrap/>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kern w:val="0"/>
                <w:sz w:val="18"/>
                <w:szCs w:val="18"/>
              </w:rPr>
              <w:t>4a</w:t>
            </w:r>
          </w:p>
        </w:tc>
        <w:tc>
          <w:tcPr>
            <w:tcW w:w="742" w:type="dxa"/>
            <w:tcBorders>
              <w:left w:val="single" w:sz="4" w:space="0" w:color="auto"/>
              <w:tl2br w:val="nil"/>
              <w:tr2bl w:val="nil"/>
            </w:tcBorders>
            <w:shd w:val="clear" w:color="auto" w:fill="auto"/>
            <w:noWrap/>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kern w:val="0"/>
                <w:sz w:val="18"/>
                <w:szCs w:val="18"/>
              </w:rPr>
              <w:t>2</w:t>
            </w:r>
            <w:r>
              <w:rPr>
                <w:rFonts w:cs="Times New Roman"/>
                <w:kern w:val="0"/>
                <w:sz w:val="18"/>
                <w:szCs w:val="18"/>
              </w:rPr>
              <w:t>类</w:t>
            </w:r>
          </w:p>
        </w:tc>
      </w:tr>
      <w:tr w:rsidR="00A46452">
        <w:trPr>
          <w:jc w:val="center"/>
        </w:trPr>
        <w:tc>
          <w:tcPr>
            <w:tcW w:w="1798"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rPr>
              <w:t>K10</w:t>
            </w:r>
            <w:r>
              <w:rPr>
                <w:rFonts w:cs="Times New Roman"/>
                <w:kern w:val="0"/>
                <w:sz w:val="18"/>
                <w:szCs w:val="18"/>
              </w:rPr>
              <w:t>5</w:t>
            </w:r>
            <w:r>
              <w:rPr>
                <w:rFonts w:cs="Times New Roman"/>
                <w:kern w:val="0"/>
                <w:sz w:val="18"/>
                <w:szCs w:val="18"/>
              </w:rPr>
              <w:t>+</w:t>
            </w:r>
            <w:r>
              <w:rPr>
                <w:rFonts w:cs="Times New Roman"/>
                <w:kern w:val="0"/>
                <w:sz w:val="18"/>
                <w:szCs w:val="18"/>
              </w:rPr>
              <w:t>00</w:t>
            </w:r>
            <w:r>
              <w:rPr>
                <w:rFonts w:cs="Times New Roman"/>
                <w:kern w:val="0"/>
                <w:sz w:val="18"/>
                <w:szCs w:val="18"/>
              </w:rPr>
              <w:t>0~K1</w:t>
            </w:r>
            <w:r>
              <w:rPr>
                <w:rFonts w:cs="Times New Roman"/>
                <w:kern w:val="0"/>
                <w:sz w:val="18"/>
                <w:szCs w:val="18"/>
              </w:rPr>
              <w:t>05</w:t>
            </w:r>
            <w:r>
              <w:rPr>
                <w:rFonts w:cs="Times New Roman"/>
                <w:kern w:val="0"/>
                <w:sz w:val="18"/>
                <w:szCs w:val="18"/>
              </w:rPr>
              <w:t>+</w:t>
            </w:r>
            <w:r>
              <w:rPr>
                <w:rFonts w:cs="Times New Roman"/>
                <w:kern w:val="0"/>
                <w:sz w:val="18"/>
                <w:szCs w:val="18"/>
              </w:rPr>
              <w:t>18</w:t>
            </w:r>
            <w:r>
              <w:rPr>
                <w:rFonts w:cs="Times New Roman"/>
                <w:kern w:val="0"/>
                <w:sz w:val="18"/>
                <w:szCs w:val="18"/>
              </w:rPr>
              <w:t>0</w:t>
            </w:r>
            <w:r>
              <w:rPr>
                <w:rFonts w:cs="Times New Roman"/>
                <w:kern w:val="0"/>
                <w:sz w:val="18"/>
                <w:szCs w:val="18"/>
              </w:rPr>
              <w:t>、</w:t>
            </w:r>
            <w:r>
              <w:rPr>
                <w:rFonts w:cs="Times New Roman"/>
                <w:kern w:val="0"/>
                <w:sz w:val="18"/>
                <w:szCs w:val="18"/>
              </w:rPr>
              <w:t>K</w:t>
            </w:r>
            <w:r>
              <w:rPr>
                <w:rFonts w:cs="Times New Roman"/>
                <w:kern w:val="0"/>
                <w:sz w:val="18"/>
                <w:szCs w:val="18"/>
              </w:rPr>
              <w:t>105+440~</w:t>
            </w:r>
            <w:r>
              <w:rPr>
                <w:rFonts w:cs="Times New Roman"/>
                <w:kern w:val="0"/>
                <w:sz w:val="18"/>
                <w:szCs w:val="18"/>
              </w:rPr>
              <w:t>K1</w:t>
            </w:r>
            <w:r>
              <w:rPr>
                <w:rFonts w:cs="Times New Roman"/>
                <w:kern w:val="0"/>
                <w:sz w:val="18"/>
                <w:szCs w:val="18"/>
              </w:rPr>
              <w:t>07</w:t>
            </w:r>
            <w:r>
              <w:rPr>
                <w:rFonts w:cs="Times New Roman"/>
                <w:kern w:val="0"/>
                <w:sz w:val="18"/>
                <w:szCs w:val="18"/>
              </w:rPr>
              <w:t>+</w:t>
            </w:r>
            <w:r>
              <w:rPr>
                <w:rFonts w:cs="Times New Roman"/>
                <w:kern w:val="0"/>
                <w:sz w:val="18"/>
                <w:szCs w:val="18"/>
              </w:rPr>
              <w:t>177</w:t>
            </w:r>
            <w:r>
              <w:rPr>
                <w:rFonts w:cs="Times New Roman"/>
                <w:kern w:val="0"/>
                <w:sz w:val="18"/>
                <w:szCs w:val="18"/>
              </w:rPr>
              <w:t>段</w:t>
            </w:r>
          </w:p>
        </w:tc>
        <w:tc>
          <w:tcPr>
            <w:tcW w:w="2103"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幸福</w:t>
            </w:r>
            <w:r>
              <w:rPr>
                <w:rFonts w:cs="Times New Roman"/>
                <w:kern w:val="0"/>
                <w:sz w:val="18"/>
                <w:szCs w:val="18"/>
                <w:lang w:bidi="ar"/>
              </w:rPr>
              <w:t>佳园一期</w:t>
            </w:r>
            <w:r>
              <w:rPr>
                <w:rFonts w:cs="Times New Roman"/>
                <w:kern w:val="0"/>
                <w:sz w:val="18"/>
                <w:szCs w:val="18"/>
                <w:lang w:bidi="ar"/>
              </w:rPr>
              <w:t>小区</w:t>
            </w:r>
          </w:p>
        </w:tc>
        <w:tc>
          <w:tcPr>
            <w:tcW w:w="801"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202</w:t>
            </w:r>
            <w:r>
              <w:rPr>
                <w:rFonts w:cs="Times New Roman"/>
                <w:kern w:val="0"/>
                <w:sz w:val="18"/>
                <w:szCs w:val="18"/>
              </w:rPr>
              <w:t>8</w:t>
            </w:r>
            <w:r>
              <w:rPr>
                <w:rFonts w:cs="Times New Roman"/>
                <w:kern w:val="0"/>
                <w:sz w:val="18"/>
                <w:szCs w:val="18"/>
              </w:rPr>
              <w:t>年</w:t>
            </w:r>
          </w:p>
        </w:tc>
        <w:tc>
          <w:tcPr>
            <w:tcW w:w="576" w:type="dxa"/>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昼间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47.78</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46.54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45.89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45.24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44.92</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44.73</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44.62</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44.49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44.46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44.43</w:t>
            </w:r>
          </w:p>
        </w:tc>
        <w:tc>
          <w:tcPr>
            <w:tcW w:w="695" w:type="dxa"/>
            <w:vMerge w:val="restart"/>
            <w:tcBorders>
              <w:right w:val="single" w:sz="4" w:space="0" w:color="auto"/>
              <w:tl2br w:val="nil"/>
              <w:tr2bl w:val="nil"/>
            </w:tcBorders>
            <w:shd w:val="clear" w:color="auto" w:fill="auto"/>
            <w:noWrap/>
            <w:vAlign w:val="center"/>
          </w:tcPr>
          <w:p w:rsidR="00A46452" w:rsidRDefault="009A3928">
            <w:pPr>
              <w:wordWrap w:val="0"/>
              <w:topLinePunct/>
              <w:spacing w:line="240" w:lineRule="auto"/>
              <w:ind w:firstLineChars="0" w:firstLine="0"/>
              <w:jc w:val="center"/>
              <w:rPr>
                <w:rFonts w:cs="Times New Roman"/>
                <w:kern w:val="0"/>
                <w:sz w:val="18"/>
                <w:szCs w:val="18"/>
                <w:lang w:bidi="ar"/>
              </w:rPr>
            </w:pPr>
            <w:r>
              <w:rPr>
                <w:rFonts w:cs="Times New Roman"/>
                <w:kern w:val="0"/>
                <w:sz w:val="18"/>
                <w:szCs w:val="18"/>
              </w:rPr>
              <w:t>&lt;20</w:t>
            </w:r>
          </w:p>
        </w:tc>
        <w:tc>
          <w:tcPr>
            <w:tcW w:w="742" w:type="dxa"/>
            <w:vMerge w:val="restart"/>
            <w:tcBorders>
              <w:left w:val="single" w:sz="4" w:space="0" w:color="auto"/>
              <w:tl2br w:val="nil"/>
              <w:tr2bl w:val="nil"/>
            </w:tcBorders>
            <w:shd w:val="clear" w:color="auto" w:fill="auto"/>
            <w:noWrap/>
            <w:vAlign w:val="center"/>
          </w:tcPr>
          <w:p w:rsidR="00A46452" w:rsidRDefault="009A3928">
            <w:pPr>
              <w:wordWrap w:val="0"/>
              <w:topLinePunct/>
              <w:spacing w:line="240" w:lineRule="auto"/>
              <w:ind w:firstLineChars="0" w:firstLine="0"/>
              <w:jc w:val="center"/>
              <w:rPr>
                <w:rFonts w:cs="Times New Roman"/>
                <w:kern w:val="0"/>
                <w:sz w:val="18"/>
                <w:szCs w:val="18"/>
              </w:rPr>
            </w:pPr>
            <w:r>
              <w:rPr>
                <w:rFonts w:cs="Times New Roman"/>
                <w:kern w:val="0"/>
                <w:sz w:val="18"/>
                <w:szCs w:val="18"/>
              </w:rPr>
              <w:t>&lt;20</w:t>
            </w: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bottom w:val="single" w:sz="6" w:space="0" w:color="000000"/>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576" w:type="dxa"/>
            <w:tcBorders>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44.36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43.01</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42.29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41.85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41.56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41.17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40.94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40.8</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40.65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40.61</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40.56</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val="restart"/>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rPr>
              <w:t>203</w:t>
            </w:r>
            <w:r>
              <w:rPr>
                <w:rFonts w:cs="Times New Roman"/>
                <w:kern w:val="0"/>
                <w:sz w:val="18"/>
                <w:szCs w:val="18"/>
              </w:rPr>
              <w:t>5</w:t>
            </w:r>
            <w:r>
              <w:rPr>
                <w:rFonts w:cs="Times New Roman"/>
                <w:kern w:val="0"/>
                <w:sz w:val="18"/>
                <w:szCs w:val="18"/>
              </w:rPr>
              <w:t>年</w:t>
            </w:r>
          </w:p>
        </w:tc>
        <w:tc>
          <w:tcPr>
            <w:tcW w:w="576" w:type="dxa"/>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昼间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48.92</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47.54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46.81</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46.36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46.06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45.67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45.44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45.3</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45.15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45.1</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45.07</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bottom w:val="single" w:sz="6" w:space="0" w:color="000000"/>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576" w:type="dxa"/>
            <w:tcBorders>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夜间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43.85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42.98</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42.44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42.06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41.56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41.27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41.09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40.88</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40.82</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40.77</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val="restart"/>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rPr>
              <w:t>204</w:t>
            </w:r>
            <w:r>
              <w:rPr>
                <w:rFonts w:cs="Times New Roman"/>
                <w:kern w:val="0"/>
                <w:sz w:val="18"/>
                <w:szCs w:val="18"/>
              </w:rPr>
              <w:t>2</w:t>
            </w:r>
            <w:r>
              <w:rPr>
                <w:rFonts w:cs="Times New Roman"/>
                <w:kern w:val="0"/>
                <w:sz w:val="18"/>
                <w:szCs w:val="18"/>
              </w:rPr>
              <w:t>年</w:t>
            </w:r>
          </w:p>
        </w:tc>
        <w:tc>
          <w:tcPr>
            <w:tcW w:w="576" w:type="dxa"/>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昼间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49.87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48.29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46.84</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46.45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45.95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45.66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45.47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45.26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45.2</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45.15</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 w:val="18"/>
                <w:szCs w:val="18"/>
              </w:rPr>
            </w:pPr>
          </w:p>
        </w:tc>
        <w:tc>
          <w:tcPr>
            <w:tcW w:w="576" w:type="dxa"/>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夜间</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46.57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44.79</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43.75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43.07</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41.96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41.58</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41.33</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41.05</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40.96</w:t>
            </w:r>
          </w:p>
        </w:tc>
        <w:tc>
          <w:tcPr>
            <w:tcW w:w="621" w:type="dxa"/>
            <w:tcBorders>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40.89</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103"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3#</w:t>
            </w:r>
            <w:r>
              <w:rPr>
                <w:rFonts w:cs="Times New Roman"/>
                <w:kern w:val="0"/>
                <w:sz w:val="18"/>
                <w:szCs w:val="18"/>
              </w:rPr>
              <w:t>、</w:t>
            </w:r>
            <w:r>
              <w:rPr>
                <w:rFonts w:cs="Times New Roman"/>
                <w:kern w:val="0"/>
                <w:sz w:val="18"/>
                <w:szCs w:val="18"/>
              </w:rPr>
              <w:t>4#</w:t>
            </w:r>
            <w:r>
              <w:rPr>
                <w:rFonts w:cs="Times New Roman"/>
                <w:kern w:val="0"/>
                <w:sz w:val="18"/>
                <w:szCs w:val="18"/>
              </w:rPr>
              <w:t>居民区</w:t>
            </w:r>
          </w:p>
        </w:tc>
        <w:tc>
          <w:tcPr>
            <w:tcW w:w="801" w:type="dxa"/>
            <w:vMerge w:val="restart"/>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202</w:t>
            </w:r>
            <w:r>
              <w:rPr>
                <w:rFonts w:cs="Times New Roman"/>
                <w:kern w:val="0"/>
                <w:sz w:val="18"/>
                <w:szCs w:val="18"/>
              </w:rPr>
              <w:t>8</w:t>
            </w:r>
            <w:r>
              <w:rPr>
                <w:rFonts w:cs="Times New Roman"/>
                <w:kern w:val="0"/>
                <w:sz w:val="18"/>
                <w:szCs w:val="18"/>
              </w:rPr>
              <w:t>年</w:t>
            </w:r>
          </w:p>
        </w:tc>
        <w:tc>
          <w:tcPr>
            <w:tcW w:w="576" w:type="dxa"/>
            <w:tcBorders>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昼间</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47.54</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46.18</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45.46</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45.02</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44.72</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44.39</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44.2</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44.11</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44.06</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44.07</w:t>
            </w:r>
          </w:p>
        </w:tc>
        <w:tc>
          <w:tcPr>
            <w:tcW w:w="621" w:type="dxa"/>
            <w:tcBorders>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44.1</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801" w:type="dxa"/>
            <w:vMerge/>
            <w:tcBorders>
              <w:bottom w:val="single" w:sz="6" w:space="0" w:color="000000"/>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576"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夜间</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43.38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41.53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40.45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39.74</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39.24</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38.6</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38.23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37.99</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37.71</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37.64</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37.57</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val="restart"/>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rPr>
              <w:t>203</w:t>
            </w:r>
            <w:r>
              <w:rPr>
                <w:rFonts w:cs="Times New Roman"/>
                <w:kern w:val="0"/>
                <w:sz w:val="18"/>
                <w:szCs w:val="18"/>
              </w:rPr>
              <w:t>5</w:t>
            </w:r>
            <w:r>
              <w:rPr>
                <w:rFonts w:cs="Times New Roman"/>
                <w:kern w:val="0"/>
                <w:sz w:val="18"/>
                <w:szCs w:val="18"/>
              </w:rPr>
              <w:t>年</w:t>
            </w:r>
          </w:p>
        </w:tc>
        <w:tc>
          <w:tcPr>
            <w:tcW w:w="576"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昼间</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48.39</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46.83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45.97</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45.43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45.06</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44.63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44.39</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44.25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44.15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44.15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44.16</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bottom w:val="single" w:sz="6" w:space="0" w:color="000000"/>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576"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夜间</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44.47</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42.46</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41.25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40.42</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39.83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39.06</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38.59</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38.28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37.91</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37.81</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37.72</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val="restart"/>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rPr>
              <w:t>204</w:t>
            </w:r>
            <w:r>
              <w:rPr>
                <w:rFonts w:cs="Times New Roman"/>
                <w:kern w:val="0"/>
                <w:sz w:val="18"/>
                <w:szCs w:val="18"/>
              </w:rPr>
              <w:t>2</w:t>
            </w:r>
            <w:r>
              <w:rPr>
                <w:rFonts w:cs="Times New Roman"/>
                <w:kern w:val="0"/>
                <w:sz w:val="18"/>
                <w:szCs w:val="18"/>
              </w:rPr>
              <w:t>年</w:t>
            </w:r>
          </w:p>
        </w:tc>
        <w:tc>
          <w:tcPr>
            <w:tcW w:w="576"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昼间</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49.52</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47.75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46.72</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46.05</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45.58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45.01</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44.68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44.48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44.3</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44.28</w:t>
            </w:r>
          </w:p>
        </w:tc>
        <w:tc>
          <w:tcPr>
            <w:tcW w:w="621" w:type="dxa"/>
            <w:tcBorders>
              <w:top w:val="single" w:sz="6" w:space="0" w:color="000000"/>
              <w:bottom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44.27</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r w:rsidR="00A46452">
        <w:trPr>
          <w:jc w:val="center"/>
        </w:trPr>
        <w:tc>
          <w:tcPr>
            <w:tcW w:w="1798"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2103"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576" w:type="dxa"/>
            <w:tcBorders>
              <w:top w:val="single" w:sz="6" w:space="0" w:color="000000"/>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夜间</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45.94</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43.78</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42.4</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41.45</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40.74</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39.78</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39.17</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38.76</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38.26</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38.1</w:t>
            </w:r>
          </w:p>
        </w:tc>
        <w:tc>
          <w:tcPr>
            <w:tcW w:w="621" w:type="dxa"/>
            <w:tcBorders>
              <w:top w:val="single" w:sz="6" w:space="0" w:color="000000"/>
              <w:tl2br w:val="nil"/>
              <w:tr2bl w:val="nil"/>
            </w:tcBorders>
            <w:shd w:val="clear" w:color="auto" w:fill="auto"/>
            <w:noWrap/>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37.98</w:t>
            </w:r>
          </w:p>
        </w:tc>
        <w:tc>
          <w:tcPr>
            <w:tcW w:w="695" w:type="dxa"/>
            <w:vMerge/>
            <w:tcBorders>
              <w:righ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c>
          <w:tcPr>
            <w:tcW w:w="742" w:type="dxa"/>
            <w:vMerge/>
            <w:tcBorders>
              <w:left w:val="single" w:sz="4" w:space="0" w:color="auto"/>
              <w:tl2br w:val="nil"/>
              <w:tr2bl w:val="nil"/>
            </w:tcBorders>
            <w:shd w:val="clear" w:color="auto" w:fill="auto"/>
            <w:noWrap/>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lang w:bidi="ar"/>
              </w:rPr>
            </w:pPr>
          </w:p>
        </w:tc>
      </w:tr>
    </w:tbl>
    <w:p w:rsidR="00A46452" w:rsidRDefault="009A3928">
      <w:pPr>
        <w:pStyle w:val="affff9"/>
        <w:wordWrap w:val="0"/>
        <w:topLinePunct/>
        <w:adjustRightInd w:val="0"/>
        <w:snapToGrid w:val="0"/>
        <w:ind w:firstLineChars="0" w:firstLine="0"/>
        <w:jc w:val="both"/>
        <w:rPr>
          <w:rFonts w:cs="Times New Roman"/>
          <w:szCs w:val="24"/>
        </w:rPr>
      </w:pPr>
      <w:r>
        <w:rPr>
          <w:rFonts w:cs="Times New Roman"/>
          <w:szCs w:val="24"/>
        </w:rPr>
        <w:t xml:space="preserve">  </w:t>
      </w:r>
      <w:r>
        <w:rPr>
          <w:rFonts w:cs="Times New Roman"/>
          <w:szCs w:val="24"/>
        </w:rPr>
        <w:t>表</w:t>
      </w:r>
      <w:r>
        <w:rPr>
          <w:rFonts w:cs="Times New Roman" w:hint="eastAsia"/>
          <w:szCs w:val="24"/>
        </w:rPr>
        <w:t>7</w:t>
      </w:r>
      <w:r>
        <w:rPr>
          <w:rFonts w:cs="Times New Roman"/>
          <w:szCs w:val="24"/>
        </w:rPr>
        <w:t>.4-1</w:t>
      </w:r>
      <w:r>
        <w:rPr>
          <w:rFonts w:cs="Times New Roman"/>
          <w:szCs w:val="24"/>
        </w:rPr>
        <w:t>1</w:t>
      </w:r>
      <w:r>
        <w:rPr>
          <w:rFonts w:cs="Times New Roman"/>
          <w:szCs w:val="24"/>
        </w:rPr>
        <w:t xml:space="preserve">                     </w:t>
      </w:r>
      <w:r>
        <w:rPr>
          <w:rFonts w:cs="Times New Roman"/>
          <w:szCs w:val="24"/>
        </w:rPr>
        <w:t xml:space="preserve">            </w:t>
      </w:r>
      <w:r>
        <w:rPr>
          <w:rFonts w:cs="Times New Roman"/>
          <w:szCs w:val="24"/>
        </w:rPr>
        <w:t>拟建公路噪声随距离衰减及达标情况</w:t>
      </w:r>
    </w:p>
    <w:tbl>
      <w:tblPr>
        <w:tblStyle w:val="aff8"/>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00"/>
        <w:gridCol w:w="1669"/>
        <w:gridCol w:w="801"/>
        <w:gridCol w:w="576"/>
        <w:gridCol w:w="621"/>
        <w:gridCol w:w="621"/>
        <w:gridCol w:w="621"/>
        <w:gridCol w:w="621"/>
        <w:gridCol w:w="621"/>
        <w:gridCol w:w="621"/>
        <w:gridCol w:w="621"/>
        <w:gridCol w:w="621"/>
        <w:gridCol w:w="621"/>
        <w:gridCol w:w="621"/>
        <w:gridCol w:w="621"/>
        <w:gridCol w:w="695"/>
        <w:gridCol w:w="742"/>
      </w:tblGrid>
      <w:tr w:rsidR="00A46452">
        <w:trPr>
          <w:trHeight w:val="268"/>
          <w:jc w:val="center"/>
        </w:trPr>
        <w:tc>
          <w:tcPr>
            <w:tcW w:w="2100"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路段名称</w:t>
            </w:r>
          </w:p>
        </w:tc>
        <w:tc>
          <w:tcPr>
            <w:tcW w:w="1669"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sz w:val="18"/>
                <w:szCs w:val="18"/>
              </w:rPr>
              <w:t>名称</w:t>
            </w:r>
          </w:p>
        </w:tc>
        <w:tc>
          <w:tcPr>
            <w:tcW w:w="801"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rPr>
            </w:pPr>
            <w:r>
              <w:rPr>
                <w:rFonts w:cs="Times New Roman"/>
                <w:kern w:val="0"/>
                <w:sz w:val="18"/>
                <w:szCs w:val="18"/>
              </w:rPr>
              <w:t>年份</w:t>
            </w:r>
          </w:p>
        </w:tc>
        <w:tc>
          <w:tcPr>
            <w:tcW w:w="576"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kern w:val="0"/>
                <w:sz w:val="18"/>
                <w:szCs w:val="18"/>
                <w:lang w:bidi="ar"/>
              </w:rPr>
            </w:pPr>
            <w:r>
              <w:rPr>
                <w:rFonts w:cs="Times New Roman"/>
                <w:sz w:val="18"/>
                <w:szCs w:val="18"/>
              </w:rPr>
              <w:t>时段</w:t>
            </w:r>
          </w:p>
        </w:tc>
        <w:tc>
          <w:tcPr>
            <w:tcW w:w="6831" w:type="dxa"/>
            <w:gridSpan w:val="11"/>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距道路中心线不同距离的噪声值</w:t>
            </w:r>
            <w:r>
              <w:rPr>
                <w:rFonts w:cs="Times New Roman"/>
                <w:kern w:val="0"/>
                <w:sz w:val="18"/>
                <w:szCs w:val="18"/>
              </w:rPr>
              <w:t>（</w:t>
            </w:r>
            <w:r>
              <w:rPr>
                <w:rFonts w:cs="Times New Roman"/>
                <w:kern w:val="0"/>
                <w:sz w:val="18"/>
                <w:szCs w:val="18"/>
              </w:rPr>
              <w:t>dB(A)</w:t>
            </w:r>
            <w:r>
              <w:rPr>
                <w:rFonts w:cs="Times New Roman"/>
                <w:kern w:val="0"/>
                <w:sz w:val="18"/>
                <w:szCs w:val="18"/>
              </w:rPr>
              <w:t>）</w:t>
            </w:r>
          </w:p>
        </w:tc>
        <w:tc>
          <w:tcPr>
            <w:tcW w:w="1437" w:type="dxa"/>
            <w:gridSpan w:val="2"/>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Cs w:val="24"/>
              </w:rPr>
            </w:pPr>
            <w:r>
              <w:rPr>
                <w:rFonts w:cs="Times New Roman"/>
                <w:kern w:val="0"/>
                <w:sz w:val="18"/>
                <w:szCs w:val="18"/>
              </w:rPr>
              <w:t>达标距离（</w:t>
            </w:r>
            <w:r>
              <w:rPr>
                <w:rFonts w:cs="Times New Roman"/>
                <w:kern w:val="0"/>
                <w:sz w:val="18"/>
                <w:szCs w:val="18"/>
              </w:rPr>
              <w:t>m</w:t>
            </w:r>
            <w:r>
              <w:rPr>
                <w:rFonts w:cs="Times New Roman"/>
                <w:kern w:val="0"/>
                <w:sz w:val="18"/>
                <w:szCs w:val="18"/>
              </w:rPr>
              <w:t>）</w:t>
            </w:r>
          </w:p>
        </w:tc>
      </w:tr>
      <w:tr w:rsidR="00A46452">
        <w:trPr>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801"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kern w:val="0"/>
                <w:sz w:val="18"/>
                <w:szCs w:val="18"/>
              </w:rPr>
            </w:pPr>
          </w:p>
        </w:tc>
        <w:tc>
          <w:tcPr>
            <w:tcW w:w="576"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50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60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80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100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120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160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180</w:t>
            </w:r>
          </w:p>
        </w:tc>
        <w:tc>
          <w:tcPr>
            <w:tcW w:w="621"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200</w:t>
            </w:r>
          </w:p>
        </w:tc>
        <w:tc>
          <w:tcPr>
            <w:tcW w:w="695" w:type="dxa"/>
            <w:tcBorders>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rPr>
              <w:t>4a</w:t>
            </w:r>
          </w:p>
        </w:tc>
        <w:tc>
          <w:tcPr>
            <w:tcW w:w="742" w:type="dxa"/>
            <w:tcBorders>
              <w:lef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Fonts w:cs="Times New Roman"/>
                <w:kern w:val="0"/>
                <w:sz w:val="18"/>
                <w:szCs w:val="18"/>
                <w:lang w:bidi="ar"/>
              </w:rPr>
              <w:t>类</w:t>
            </w:r>
          </w:p>
        </w:tc>
      </w:tr>
      <w:tr w:rsidR="00A46452">
        <w:trPr>
          <w:jc w:val="center"/>
        </w:trPr>
        <w:tc>
          <w:tcPr>
            <w:tcW w:w="2100" w:type="dxa"/>
            <w:vMerge w:val="restart"/>
            <w:tcBorders>
              <w:tl2br w:val="nil"/>
              <w:tr2bl w:val="nil"/>
            </w:tcBorders>
            <w:vAlign w:val="center"/>
          </w:tcPr>
          <w:p w:rsidR="00A46452" w:rsidRDefault="009A3928">
            <w:pPr>
              <w:tabs>
                <w:tab w:val="left" w:pos="332"/>
                <w:tab w:val="center" w:pos="827"/>
              </w:tabs>
              <w:wordWrap w:val="0"/>
              <w:topLinePunct/>
              <w:adjustRightInd w:val="0"/>
              <w:snapToGrid w:val="0"/>
              <w:spacing w:line="240" w:lineRule="auto"/>
              <w:ind w:firstLineChars="0" w:firstLine="0"/>
              <w:jc w:val="left"/>
              <w:textAlignment w:val="center"/>
              <w:rPr>
                <w:rFonts w:cs="Times New Roman"/>
                <w:kern w:val="0"/>
                <w:sz w:val="18"/>
                <w:szCs w:val="18"/>
                <w:lang w:bidi="ar"/>
              </w:rPr>
            </w:pP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180~</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440</w:t>
            </w:r>
          </w:p>
        </w:tc>
        <w:tc>
          <w:tcPr>
            <w:tcW w:w="1669"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2#</w:t>
            </w:r>
            <w:r>
              <w:rPr>
                <w:rFonts w:cs="Times New Roman"/>
                <w:kern w:val="0"/>
                <w:sz w:val="18"/>
                <w:szCs w:val="18"/>
                <w:lang w:bidi="ar"/>
              </w:rPr>
              <w:t>柯坪湖州小学</w:t>
            </w:r>
          </w:p>
        </w:tc>
        <w:tc>
          <w:tcPr>
            <w:tcW w:w="801"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Cs w:val="24"/>
              </w:rPr>
            </w:pPr>
            <w:r>
              <w:rPr>
                <w:rFonts w:cs="Times New Roman"/>
                <w:kern w:val="0"/>
                <w:sz w:val="18"/>
                <w:szCs w:val="18"/>
              </w:rPr>
              <w:t>202</w:t>
            </w:r>
            <w:r>
              <w:rPr>
                <w:rFonts w:cs="Times New Roman"/>
                <w:kern w:val="0"/>
                <w:sz w:val="18"/>
                <w:szCs w:val="18"/>
              </w:rPr>
              <w:t>8</w:t>
            </w:r>
            <w:r>
              <w:rPr>
                <w:rFonts w:cs="Times New Roman"/>
                <w:kern w:val="0"/>
                <w:sz w:val="18"/>
                <w:szCs w:val="18"/>
              </w:rPr>
              <w:t>年</w:t>
            </w: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昼间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44.67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44.67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44.67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44.67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44.67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49.65</w:t>
            </w:r>
          </w:p>
        </w:tc>
        <w:tc>
          <w:tcPr>
            <w:tcW w:w="695" w:type="dxa"/>
            <w:vMerge w:val="restart"/>
            <w:tcBorders>
              <w:right w:val="single" w:sz="4" w:space="0" w:color="auto"/>
              <w:tl2br w:val="nil"/>
              <w:tr2bl w:val="nil"/>
            </w:tcBorders>
            <w:vAlign w:val="center"/>
          </w:tcPr>
          <w:p w:rsidR="00A46452" w:rsidRDefault="009A3928">
            <w:pPr>
              <w:wordWrap w:val="0"/>
              <w:topLinePunct/>
              <w:ind w:firstLineChars="0" w:firstLine="0"/>
              <w:jc w:val="center"/>
              <w:rPr>
                <w:rFonts w:cs="Times New Roman"/>
                <w:szCs w:val="24"/>
              </w:rPr>
            </w:pPr>
            <w:r>
              <w:rPr>
                <w:rFonts w:cs="Times New Roman"/>
                <w:kern w:val="0"/>
                <w:sz w:val="18"/>
                <w:szCs w:val="18"/>
              </w:rPr>
              <w:t>&lt;20</w:t>
            </w:r>
          </w:p>
        </w:tc>
        <w:tc>
          <w:tcPr>
            <w:tcW w:w="742" w:type="dxa"/>
            <w:vMerge w:val="restart"/>
            <w:tcBorders>
              <w:left w:val="single" w:sz="4" w:space="0" w:color="auto"/>
              <w:tl2br w:val="nil"/>
              <w:tr2bl w:val="nil"/>
            </w:tcBorders>
            <w:vAlign w:val="center"/>
          </w:tcPr>
          <w:p w:rsidR="00A46452" w:rsidRDefault="009A3928">
            <w:pPr>
              <w:wordWrap w:val="0"/>
              <w:topLinePunct/>
              <w:ind w:firstLineChars="0" w:firstLine="0"/>
              <w:jc w:val="center"/>
              <w:rPr>
                <w:rFonts w:cs="Times New Roman"/>
                <w:kern w:val="0"/>
                <w:sz w:val="18"/>
                <w:szCs w:val="18"/>
              </w:rPr>
            </w:pPr>
            <w:r>
              <w:rPr>
                <w:rFonts w:cs="Times New Roman"/>
                <w:kern w:val="0"/>
                <w:sz w:val="18"/>
                <w:szCs w:val="18"/>
              </w:rPr>
              <w:t>&lt;20</w:t>
            </w:r>
          </w:p>
        </w:tc>
      </w:tr>
      <w:tr w:rsidR="00A46452">
        <w:trPr>
          <w:trHeight w:val="90"/>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801"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夜间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43.39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48.86</w:t>
            </w:r>
          </w:p>
        </w:tc>
        <w:tc>
          <w:tcPr>
            <w:tcW w:w="695" w:type="dxa"/>
            <w:vMerge/>
            <w:tcBorders>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742" w:type="dxa"/>
            <w:vMerge/>
            <w:tcBorders>
              <w:lef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r>
      <w:tr w:rsidR="00A46452">
        <w:trPr>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801"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rPr>
              <w:t>203</w:t>
            </w:r>
            <w:r>
              <w:rPr>
                <w:rFonts w:cs="Times New Roman"/>
                <w:kern w:val="0"/>
                <w:sz w:val="18"/>
                <w:szCs w:val="18"/>
              </w:rPr>
              <w:t>5</w:t>
            </w:r>
            <w:r>
              <w:rPr>
                <w:rFonts w:cs="Times New Roman"/>
                <w:kern w:val="0"/>
                <w:sz w:val="18"/>
                <w:szCs w:val="18"/>
              </w:rPr>
              <w:t>年</w:t>
            </w: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昼间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50.27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49.28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48.79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48.51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48.32</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48.11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47.99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47.92</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47.83</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47.81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47.79</w:t>
            </w:r>
          </w:p>
        </w:tc>
        <w:tc>
          <w:tcPr>
            <w:tcW w:w="695" w:type="dxa"/>
            <w:vMerge/>
            <w:tcBorders>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Cs w:val="24"/>
              </w:rPr>
            </w:pPr>
          </w:p>
        </w:tc>
        <w:tc>
          <w:tcPr>
            <w:tcW w:w="742" w:type="dxa"/>
            <w:vMerge/>
            <w:tcBorders>
              <w:lef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Cs w:val="24"/>
              </w:rPr>
            </w:pPr>
          </w:p>
        </w:tc>
      </w:tr>
      <w:tr w:rsidR="00A46452">
        <w:trPr>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801"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夜间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45.6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44.11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43.28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42.78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42.43</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42.02</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41.77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41.62</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41.44</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41.39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41.35</w:t>
            </w:r>
          </w:p>
        </w:tc>
        <w:tc>
          <w:tcPr>
            <w:tcW w:w="695" w:type="dxa"/>
            <w:vMerge/>
            <w:tcBorders>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742" w:type="dxa"/>
            <w:vMerge/>
            <w:tcBorders>
              <w:lef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r>
      <w:tr w:rsidR="00A46452">
        <w:trPr>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801"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rPr>
              <w:t>204</w:t>
            </w:r>
            <w:r>
              <w:rPr>
                <w:rFonts w:cs="Times New Roman"/>
                <w:kern w:val="0"/>
                <w:sz w:val="18"/>
                <w:szCs w:val="18"/>
              </w:rPr>
              <w:t>2</w:t>
            </w:r>
            <w:r>
              <w:rPr>
                <w:rFonts w:cs="Times New Roman"/>
                <w:kern w:val="0"/>
                <w:sz w:val="18"/>
                <w:szCs w:val="18"/>
              </w:rPr>
              <w:t>年</w:t>
            </w: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昼间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50.99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49.79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49.18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48.81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48.56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48.27</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48.11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48.01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47.86</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47.83</w:t>
            </w:r>
          </w:p>
        </w:tc>
        <w:tc>
          <w:tcPr>
            <w:tcW w:w="695" w:type="dxa"/>
            <w:vMerge/>
            <w:tcBorders>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Cs w:val="24"/>
              </w:rPr>
            </w:pPr>
          </w:p>
        </w:tc>
        <w:tc>
          <w:tcPr>
            <w:tcW w:w="742" w:type="dxa"/>
            <w:vMerge/>
            <w:tcBorders>
              <w:lef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Cs w:val="24"/>
              </w:rPr>
            </w:pPr>
          </w:p>
        </w:tc>
      </w:tr>
      <w:tr w:rsidR="00A46452">
        <w:trPr>
          <w:jc w:val="center"/>
        </w:trPr>
        <w:tc>
          <w:tcPr>
            <w:tcW w:w="2100"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166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801"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576"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Cs w:val="24"/>
              </w:rPr>
            </w:pPr>
            <w:r>
              <w:rPr>
                <w:rFonts w:cs="Times New Roman"/>
                <w:kern w:val="0"/>
                <w:sz w:val="18"/>
                <w:szCs w:val="18"/>
                <w:lang w:bidi="ar"/>
              </w:rPr>
              <w:t>夜间</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46.73</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44.01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43.38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42.93</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42.38</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42.05</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41.84</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41.59</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41.51</w:t>
            </w:r>
          </w:p>
        </w:tc>
        <w:tc>
          <w:tcPr>
            <w:tcW w:w="621" w:type="dxa"/>
            <w:tcBorders>
              <w:tl2br w:val="nil"/>
              <w:tr2bl w:val="nil"/>
            </w:tcBorders>
            <w:vAlign w:val="center"/>
          </w:tcPr>
          <w:p w:rsidR="00A46452" w:rsidRDefault="009A3928">
            <w:pPr>
              <w:wordWrap w:val="0"/>
              <w:topLinePunct/>
              <w:spacing w:line="240" w:lineRule="auto"/>
              <w:ind w:firstLineChars="0" w:firstLine="0"/>
              <w:jc w:val="center"/>
              <w:textAlignment w:val="center"/>
              <w:rPr>
                <w:rFonts w:cs="Times New Roman"/>
                <w:sz w:val="18"/>
                <w:szCs w:val="18"/>
              </w:rPr>
            </w:pPr>
            <w:r>
              <w:rPr>
                <w:rFonts w:cs="Times New Roman"/>
                <w:kern w:val="0"/>
                <w:sz w:val="18"/>
                <w:szCs w:val="18"/>
                <w:lang w:bidi="ar"/>
              </w:rPr>
              <w:t>41.45</w:t>
            </w:r>
          </w:p>
        </w:tc>
        <w:tc>
          <w:tcPr>
            <w:tcW w:w="695" w:type="dxa"/>
            <w:vMerge/>
            <w:tcBorders>
              <w:righ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c>
          <w:tcPr>
            <w:tcW w:w="742" w:type="dxa"/>
            <w:vMerge/>
            <w:tcBorders>
              <w:left w:val="single" w:sz="4"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Cs w:val="24"/>
              </w:rPr>
            </w:pPr>
          </w:p>
        </w:tc>
      </w:tr>
    </w:tbl>
    <w:p w:rsidR="00A46452" w:rsidRDefault="00A46452">
      <w:pPr>
        <w:wordWrap w:val="0"/>
        <w:topLinePunct/>
        <w:adjustRightInd w:val="0"/>
        <w:snapToGrid w:val="0"/>
        <w:ind w:firstLineChars="0" w:firstLine="0"/>
        <w:jc w:val="center"/>
        <w:rPr>
          <w:rFonts w:cs="Times New Roman"/>
        </w:rPr>
        <w:sectPr w:rsidR="00A46452">
          <w:pgSz w:w="16838" w:h="11905" w:orient="landscape"/>
          <w:pgMar w:top="1689" w:right="1383" w:bottom="1689" w:left="1383" w:header="850" w:footer="680" w:gutter="0"/>
          <w:cols w:space="0"/>
          <w:docGrid w:type="lines" w:linePitch="331"/>
        </w:sectPr>
      </w:pPr>
    </w:p>
    <w:p w:rsidR="00A46452" w:rsidRDefault="009A3928">
      <w:pPr>
        <w:ind w:firstLine="480"/>
        <w:rPr>
          <w:rFonts w:cs="Times New Roman"/>
          <w:bCs/>
        </w:rPr>
      </w:pPr>
      <w:r>
        <w:rPr>
          <w:rFonts w:cs="Times New Roman"/>
          <w:bCs/>
        </w:rPr>
        <w:t>（</w:t>
      </w:r>
      <w:r>
        <w:rPr>
          <w:rFonts w:cs="Times New Roman"/>
          <w:bCs/>
        </w:rPr>
        <w:t>2</w:t>
      </w:r>
      <w:r>
        <w:rPr>
          <w:rFonts w:cs="Times New Roman"/>
          <w:bCs/>
        </w:rPr>
        <w:t>）沿线交通噪声防护距离</w:t>
      </w:r>
    </w:p>
    <w:p w:rsidR="00A46452" w:rsidRDefault="009A3928">
      <w:pPr>
        <w:ind w:firstLine="480"/>
        <w:rPr>
          <w:rFonts w:cs="Times New Roman"/>
          <w:bCs/>
        </w:rPr>
      </w:pPr>
      <w:r>
        <w:rPr>
          <w:rFonts w:cs="Times New Roman"/>
          <w:bCs/>
        </w:rPr>
        <w:t>根据本工程营运后不同路段各营运年份的交通噪声预测结果得出该路段昼夜噪声值达到《声环境质量标准》中</w:t>
      </w:r>
      <w:r>
        <w:rPr>
          <w:rFonts w:cs="Times New Roman"/>
          <w:bCs/>
        </w:rPr>
        <w:t>4a</w:t>
      </w:r>
      <w:r>
        <w:rPr>
          <w:rFonts w:cs="Times New Roman"/>
          <w:bCs/>
        </w:rPr>
        <w:t>类标准（昼间</w:t>
      </w:r>
      <w:r>
        <w:rPr>
          <w:rFonts w:cs="Times New Roman"/>
          <w:bCs/>
        </w:rPr>
        <w:t>70dB</w:t>
      </w:r>
      <w:r>
        <w:rPr>
          <w:rFonts w:cs="Times New Roman"/>
          <w:bCs/>
        </w:rPr>
        <w:t>、夜间</w:t>
      </w:r>
      <w:r>
        <w:rPr>
          <w:rFonts w:cs="Times New Roman"/>
          <w:bCs/>
        </w:rPr>
        <w:t>55dB</w:t>
      </w:r>
      <w:r>
        <w:rPr>
          <w:rFonts w:cs="Times New Roman"/>
          <w:bCs/>
        </w:rPr>
        <w:t>）、</w:t>
      </w:r>
      <w:r>
        <w:rPr>
          <w:rFonts w:cs="Times New Roman"/>
          <w:bCs/>
        </w:rPr>
        <w:t>2</w:t>
      </w:r>
      <w:r>
        <w:rPr>
          <w:rFonts w:cs="Times New Roman"/>
          <w:bCs/>
        </w:rPr>
        <w:t>类标准（昼间</w:t>
      </w:r>
      <w:r>
        <w:rPr>
          <w:rFonts w:cs="Times New Roman"/>
          <w:bCs/>
        </w:rPr>
        <w:t>60</w:t>
      </w:r>
      <w:r>
        <w:rPr>
          <w:rFonts w:cs="Times New Roman"/>
          <w:bCs/>
        </w:rPr>
        <w:t>dB</w:t>
      </w:r>
      <w:r>
        <w:rPr>
          <w:rFonts w:cs="Times New Roman"/>
          <w:bCs/>
        </w:rPr>
        <w:t>、夜间</w:t>
      </w:r>
      <w:r>
        <w:rPr>
          <w:rFonts w:cs="Times New Roman"/>
          <w:bCs/>
        </w:rPr>
        <w:t>50</w:t>
      </w:r>
      <w:r>
        <w:rPr>
          <w:rFonts w:cs="Times New Roman"/>
          <w:bCs/>
        </w:rPr>
        <w:t>dB</w:t>
      </w:r>
      <w:r>
        <w:rPr>
          <w:rFonts w:cs="Times New Roman"/>
          <w:bCs/>
        </w:rPr>
        <w:t>）的距离即防护距离。</w:t>
      </w:r>
    </w:p>
    <w:p w:rsidR="00A46452" w:rsidRDefault="009A3928">
      <w:pPr>
        <w:ind w:firstLine="480"/>
        <w:rPr>
          <w:rFonts w:cs="Times New Roman"/>
          <w:bCs/>
        </w:rPr>
      </w:pPr>
      <w:r>
        <w:rPr>
          <w:rFonts w:cs="Times New Roman"/>
          <w:bCs/>
        </w:rPr>
        <w:t>在营运期各时段不同标准的达标估算距离（仅考虑路面修正、地面吸收、空气吸收和距离衰减）见表</w:t>
      </w:r>
      <w:r>
        <w:rPr>
          <w:rFonts w:cs="Times New Roman" w:hint="eastAsia"/>
          <w:bCs/>
        </w:rPr>
        <w:t>7</w:t>
      </w:r>
      <w:r>
        <w:rPr>
          <w:rFonts w:cs="Times New Roman"/>
          <w:bCs/>
        </w:rPr>
        <w:t>.</w:t>
      </w:r>
      <w:r>
        <w:rPr>
          <w:rFonts w:cs="Times New Roman"/>
          <w:bCs/>
        </w:rPr>
        <w:t>4</w:t>
      </w:r>
      <w:r>
        <w:rPr>
          <w:rFonts w:cs="Times New Roman"/>
          <w:bCs/>
        </w:rPr>
        <w:t>-</w:t>
      </w:r>
      <w:r>
        <w:rPr>
          <w:rFonts w:cs="Times New Roman"/>
          <w:bCs/>
        </w:rPr>
        <w:t>1</w:t>
      </w:r>
      <w:r>
        <w:rPr>
          <w:rFonts w:cs="Times New Roman" w:hint="eastAsia"/>
          <w:bCs/>
        </w:rPr>
        <w:t>2</w:t>
      </w:r>
      <w:r>
        <w:rPr>
          <w:rFonts w:cs="Times New Roman"/>
          <w:bCs/>
        </w:rPr>
        <w:t>。</w:t>
      </w:r>
    </w:p>
    <w:p w:rsidR="00A46452" w:rsidRDefault="009A3928">
      <w:pPr>
        <w:pStyle w:val="affff9"/>
        <w:ind w:firstLineChars="0" w:firstLine="0"/>
        <w:jc w:val="both"/>
        <w:rPr>
          <w:rFonts w:cs="Times New Roman"/>
        </w:rPr>
      </w:pPr>
      <w:r>
        <w:rPr>
          <w:rFonts w:cs="Times New Roman"/>
        </w:rPr>
        <w:t>表</w:t>
      </w:r>
      <w:r>
        <w:rPr>
          <w:rFonts w:cs="Times New Roman" w:hint="eastAsia"/>
        </w:rPr>
        <w:t>7</w:t>
      </w:r>
      <w:r>
        <w:rPr>
          <w:rFonts w:cs="Times New Roman"/>
        </w:rPr>
        <w:t>.</w:t>
      </w:r>
      <w:r>
        <w:rPr>
          <w:rFonts w:cs="Times New Roman"/>
        </w:rPr>
        <w:t>4</w:t>
      </w:r>
      <w:r>
        <w:rPr>
          <w:rFonts w:cs="Times New Roman"/>
        </w:rPr>
        <w:t>-</w:t>
      </w:r>
      <w:r>
        <w:rPr>
          <w:rFonts w:cs="Times New Roman"/>
        </w:rPr>
        <w:t>1</w:t>
      </w:r>
      <w:r>
        <w:rPr>
          <w:rFonts w:cs="Times New Roman" w:hint="eastAsia"/>
        </w:rPr>
        <w:t>2</w:t>
      </w:r>
      <w:r>
        <w:rPr>
          <w:rFonts w:cs="Times New Roman"/>
        </w:rPr>
        <w:t xml:space="preserve">      </w:t>
      </w:r>
      <w:r>
        <w:rPr>
          <w:rFonts w:cs="Times New Roman"/>
        </w:rPr>
        <w:t>拟建公路各路段达标距离</w:t>
      </w:r>
      <w:r>
        <w:rPr>
          <w:rFonts w:cs="Times New Roman"/>
        </w:rPr>
        <w:t>（平</w:t>
      </w:r>
      <w:r>
        <w:rPr>
          <w:rFonts w:cs="Times New Roman"/>
        </w:rPr>
        <w:t>路堤</w:t>
      </w:r>
      <w:r>
        <w:rPr>
          <w:rFonts w:cs="Times New Roman"/>
        </w:rPr>
        <w:t>，距路中心线）单位：</w:t>
      </w:r>
      <w:r>
        <w:rPr>
          <w:rFonts w:cs="Times New Roman"/>
        </w:rPr>
        <w:t>m</w:t>
      </w:r>
    </w:p>
    <w:tbl>
      <w:tblPr>
        <w:tblStyle w:val="aff8"/>
        <w:tblW w:w="499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80"/>
        <w:gridCol w:w="720"/>
        <w:gridCol w:w="726"/>
        <w:gridCol w:w="728"/>
        <w:gridCol w:w="726"/>
        <w:gridCol w:w="728"/>
        <w:gridCol w:w="726"/>
        <w:gridCol w:w="685"/>
      </w:tblGrid>
      <w:tr w:rsidR="00A46452">
        <w:trPr>
          <w:trHeight w:val="340"/>
        </w:trPr>
        <w:tc>
          <w:tcPr>
            <w:tcW w:w="2043" w:type="pct"/>
            <w:vMerge w:val="restar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路段</w:t>
            </w:r>
          </w:p>
        </w:tc>
        <w:tc>
          <w:tcPr>
            <w:tcW w:w="423" w:type="pct"/>
            <w:vMerge w:val="restar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标准</w:t>
            </w:r>
          </w:p>
        </w:tc>
        <w:tc>
          <w:tcPr>
            <w:tcW w:w="853" w:type="pct"/>
            <w:gridSpan w:val="2"/>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202</w:t>
            </w:r>
            <w:r>
              <w:rPr>
                <w:rFonts w:eastAsiaTheme="minorEastAsia" w:cs="Times New Roman"/>
                <w:bCs/>
                <w:sz w:val="18"/>
                <w:szCs w:val="18"/>
              </w:rPr>
              <w:t>8</w:t>
            </w:r>
          </w:p>
        </w:tc>
        <w:tc>
          <w:tcPr>
            <w:tcW w:w="853" w:type="pct"/>
            <w:gridSpan w:val="2"/>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203</w:t>
            </w:r>
            <w:r>
              <w:rPr>
                <w:rFonts w:eastAsiaTheme="minorEastAsia" w:cs="Times New Roman"/>
                <w:bCs/>
                <w:sz w:val="18"/>
                <w:szCs w:val="18"/>
              </w:rPr>
              <w:t>5</w:t>
            </w:r>
          </w:p>
        </w:tc>
        <w:tc>
          <w:tcPr>
            <w:tcW w:w="826" w:type="pct"/>
            <w:gridSpan w:val="2"/>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204</w:t>
            </w:r>
            <w:r>
              <w:rPr>
                <w:rFonts w:eastAsiaTheme="minorEastAsia" w:cs="Times New Roman"/>
                <w:bCs/>
                <w:sz w:val="18"/>
                <w:szCs w:val="18"/>
              </w:rPr>
              <w:t>2</w:t>
            </w:r>
          </w:p>
        </w:tc>
      </w:tr>
      <w:tr w:rsidR="00A46452">
        <w:trPr>
          <w:trHeight w:val="340"/>
        </w:trPr>
        <w:tc>
          <w:tcPr>
            <w:tcW w:w="2043" w:type="pct"/>
            <w:vMerge/>
            <w:tcBorders>
              <w:tl2br w:val="nil"/>
              <w:tr2bl w:val="nil"/>
            </w:tcBorders>
            <w:vAlign w:val="center"/>
          </w:tcPr>
          <w:p w:rsidR="00A46452" w:rsidRDefault="00A46452">
            <w:pPr>
              <w:spacing w:line="240" w:lineRule="auto"/>
              <w:ind w:firstLineChars="0" w:firstLine="0"/>
              <w:jc w:val="center"/>
              <w:rPr>
                <w:rFonts w:eastAsiaTheme="minorEastAsia" w:cs="Times New Roman"/>
                <w:bCs/>
                <w:sz w:val="18"/>
                <w:szCs w:val="18"/>
              </w:rPr>
            </w:pPr>
          </w:p>
        </w:tc>
        <w:tc>
          <w:tcPr>
            <w:tcW w:w="423" w:type="pct"/>
            <w:vMerge/>
            <w:tcBorders>
              <w:tl2br w:val="nil"/>
              <w:tr2bl w:val="nil"/>
            </w:tcBorders>
            <w:vAlign w:val="center"/>
          </w:tcPr>
          <w:p w:rsidR="00A46452" w:rsidRDefault="00A46452">
            <w:pPr>
              <w:spacing w:line="240" w:lineRule="auto"/>
              <w:ind w:firstLineChars="0" w:firstLine="0"/>
              <w:jc w:val="center"/>
              <w:rPr>
                <w:rFonts w:eastAsiaTheme="minorEastAsia" w:cs="Times New Roman"/>
                <w:bCs/>
                <w:sz w:val="18"/>
                <w:szCs w:val="18"/>
              </w:rPr>
            </w:pP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昼间</w:t>
            </w:r>
          </w:p>
        </w:tc>
        <w:tc>
          <w:tcPr>
            <w:tcW w:w="427"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夜间</w:t>
            </w: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昼间</w:t>
            </w:r>
          </w:p>
        </w:tc>
        <w:tc>
          <w:tcPr>
            <w:tcW w:w="427"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夜间</w:t>
            </w: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昼间</w:t>
            </w:r>
          </w:p>
        </w:tc>
        <w:tc>
          <w:tcPr>
            <w:tcW w:w="400"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夜间</w:t>
            </w:r>
          </w:p>
        </w:tc>
      </w:tr>
      <w:tr w:rsidR="00A46452">
        <w:trPr>
          <w:trHeight w:val="340"/>
        </w:trPr>
        <w:tc>
          <w:tcPr>
            <w:tcW w:w="5000" w:type="pct"/>
            <w:gridSpan w:val="8"/>
            <w:tcBorders>
              <w:tl2br w:val="nil"/>
              <w:tr2bl w:val="nil"/>
            </w:tcBorders>
            <w:vAlign w:val="center"/>
          </w:tcPr>
          <w:p w:rsidR="00A46452" w:rsidRDefault="009A3928">
            <w:pPr>
              <w:spacing w:line="240" w:lineRule="auto"/>
              <w:ind w:firstLineChars="0" w:firstLine="0"/>
              <w:jc w:val="center"/>
              <w:rPr>
                <w:rFonts w:eastAsiaTheme="minorEastAsia" w:cs="Times New Roman"/>
                <w:b/>
                <w:bCs/>
                <w:sz w:val="18"/>
                <w:szCs w:val="18"/>
              </w:rPr>
            </w:pPr>
            <w:r>
              <w:rPr>
                <w:rFonts w:eastAsiaTheme="minorEastAsia" w:cs="Times New Roman"/>
                <w:b/>
                <w:bCs/>
                <w:sz w:val="18"/>
                <w:szCs w:val="18"/>
              </w:rPr>
              <w:t>主线</w:t>
            </w:r>
          </w:p>
        </w:tc>
      </w:tr>
      <w:tr w:rsidR="00A46452">
        <w:trPr>
          <w:trHeight w:val="430"/>
        </w:trPr>
        <w:tc>
          <w:tcPr>
            <w:tcW w:w="2043" w:type="pct"/>
            <w:vMerge w:val="restart"/>
            <w:tcBorders>
              <w:tl2br w:val="nil"/>
              <w:tr2bl w:val="nil"/>
            </w:tcBorders>
            <w:vAlign w:val="center"/>
          </w:tcPr>
          <w:p w:rsidR="00A46452" w:rsidRDefault="009A3928">
            <w:pPr>
              <w:pStyle w:val="TableParagraph"/>
              <w:kinsoku w:val="0"/>
              <w:overflowPunct w:val="0"/>
              <w:spacing w:line="240" w:lineRule="auto"/>
              <w:ind w:firstLineChars="0" w:firstLine="0"/>
              <w:jc w:val="center"/>
              <w:rPr>
                <w:rFonts w:eastAsiaTheme="minorEastAsia" w:cs="Times New Roman"/>
                <w:sz w:val="18"/>
                <w:szCs w:val="18"/>
              </w:rPr>
            </w:pPr>
            <w:r>
              <w:rPr>
                <w:rFonts w:cs="Times New Roman"/>
                <w:kern w:val="0"/>
                <w:sz w:val="18"/>
                <w:szCs w:val="18"/>
              </w:rPr>
              <w:t>K10</w:t>
            </w:r>
            <w:r>
              <w:rPr>
                <w:rFonts w:cs="Times New Roman"/>
                <w:kern w:val="0"/>
                <w:sz w:val="18"/>
                <w:szCs w:val="18"/>
              </w:rPr>
              <w:t>5</w:t>
            </w:r>
            <w:r>
              <w:rPr>
                <w:rFonts w:cs="Times New Roman"/>
                <w:kern w:val="0"/>
                <w:sz w:val="18"/>
                <w:szCs w:val="18"/>
              </w:rPr>
              <w:t>+</w:t>
            </w:r>
            <w:r>
              <w:rPr>
                <w:rFonts w:cs="Times New Roman"/>
                <w:kern w:val="0"/>
                <w:sz w:val="18"/>
                <w:szCs w:val="18"/>
              </w:rPr>
              <w:t>00</w:t>
            </w:r>
            <w:r>
              <w:rPr>
                <w:rFonts w:cs="Times New Roman"/>
                <w:kern w:val="0"/>
                <w:sz w:val="18"/>
                <w:szCs w:val="18"/>
              </w:rPr>
              <w:t>0~K1</w:t>
            </w:r>
            <w:r>
              <w:rPr>
                <w:rFonts w:cs="Times New Roman"/>
                <w:kern w:val="0"/>
                <w:sz w:val="18"/>
                <w:szCs w:val="18"/>
              </w:rPr>
              <w:t>05</w:t>
            </w:r>
            <w:r>
              <w:rPr>
                <w:rFonts w:cs="Times New Roman"/>
                <w:kern w:val="0"/>
                <w:sz w:val="18"/>
                <w:szCs w:val="18"/>
              </w:rPr>
              <w:t>+</w:t>
            </w:r>
            <w:r>
              <w:rPr>
                <w:rFonts w:cs="Times New Roman"/>
                <w:kern w:val="0"/>
                <w:sz w:val="18"/>
                <w:szCs w:val="18"/>
              </w:rPr>
              <w:t>18</w:t>
            </w:r>
            <w:r>
              <w:rPr>
                <w:rFonts w:cs="Times New Roman"/>
                <w:kern w:val="0"/>
                <w:sz w:val="18"/>
                <w:szCs w:val="18"/>
              </w:rPr>
              <w:t>0</w:t>
            </w:r>
            <w:r>
              <w:rPr>
                <w:rFonts w:cs="Times New Roman"/>
                <w:kern w:val="0"/>
                <w:sz w:val="18"/>
                <w:szCs w:val="18"/>
              </w:rPr>
              <w:t>、</w:t>
            </w:r>
            <w:r>
              <w:rPr>
                <w:rFonts w:cs="Times New Roman"/>
                <w:kern w:val="0"/>
                <w:sz w:val="18"/>
                <w:szCs w:val="18"/>
              </w:rPr>
              <w:t>K</w:t>
            </w:r>
            <w:r>
              <w:rPr>
                <w:rFonts w:cs="Times New Roman"/>
                <w:kern w:val="0"/>
                <w:sz w:val="18"/>
                <w:szCs w:val="18"/>
              </w:rPr>
              <w:t>105+440~</w:t>
            </w:r>
            <w:r>
              <w:rPr>
                <w:rFonts w:cs="Times New Roman"/>
                <w:kern w:val="0"/>
                <w:sz w:val="18"/>
                <w:szCs w:val="18"/>
              </w:rPr>
              <w:t>K1</w:t>
            </w:r>
            <w:r>
              <w:rPr>
                <w:rFonts w:cs="Times New Roman"/>
                <w:kern w:val="0"/>
                <w:sz w:val="18"/>
                <w:szCs w:val="18"/>
              </w:rPr>
              <w:t>07</w:t>
            </w:r>
            <w:r>
              <w:rPr>
                <w:rFonts w:cs="Times New Roman"/>
                <w:kern w:val="0"/>
                <w:sz w:val="18"/>
                <w:szCs w:val="18"/>
              </w:rPr>
              <w:t>+</w:t>
            </w:r>
            <w:r>
              <w:rPr>
                <w:rFonts w:cs="Times New Roman"/>
                <w:kern w:val="0"/>
                <w:sz w:val="18"/>
                <w:szCs w:val="18"/>
              </w:rPr>
              <w:t>177</w:t>
            </w:r>
            <w:r>
              <w:rPr>
                <w:rFonts w:cs="Times New Roman"/>
                <w:kern w:val="0"/>
                <w:sz w:val="18"/>
                <w:szCs w:val="18"/>
              </w:rPr>
              <w:t>、</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180~</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440</w:t>
            </w:r>
            <w:r>
              <w:rPr>
                <w:rFonts w:cs="Times New Roman"/>
                <w:kern w:val="0"/>
                <w:sz w:val="18"/>
                <w:szCs w:val="18"/>
              </w:rPr>
              <w:t>段</w:t>
            </w:r>
          </w:p>
        </w:tc>
        <w:tc>
          <w:tcPr>
            <w:tcW w:w="423"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4a</w:t>
            </w:r>
            <w:r>
              <w:rPr>
                <w:rFonts w:eastAsiaTheme="minorEastAsia" w:cs="Times New Roman"/>
                <w:bCs/>
                <w:sz w:val="18"/>
                <w:szCs w:val="18"/>
              </w:rPr>
              <w:t>类</w:t>
            </w: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427"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427"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426"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400"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r>
      <w:tr w:rsidR="00A46452">
        <w:trPr>
          <w:trHeight w:val="340"/>
        </w:trPr>
        <w:tc>
          <w:tcPr>
            <w:tcW w:w="2043" w:type="pct"/>
            <w:vMerge/>
            <w:tcBorders>
              <w:tl2br w:val="nil"/>
              <w:tr2bl w:val="nil"/>
            </w:tcBorders>
            <w:vAlign w:val="center"/>
          </w:tcPr>
          <w:p w:rsidR="00A46452" w:rsidRDefault="00A46452">
            <w:pPr>
              <w:pStyle w:val="affff6"/>
              <w:spacing w:before="0" w:after="0" w:line="240" w:lineRule="auto"/>
              <w:ind w:firstLineChars="0" w:firstLine="0"/>
              <w:jc w:val="center"/>
              <w:rPr>
                <w:rFonts w:ascii="Times New Roman" w:eastAsiaTheme="minorEastAsia" w:hAnsi="Times New Roman" w:cs="Times New Roman"/>
                <w:sz w:val="18"/>
                <w:szCs w:val="18"/>
              </w:rPr>
            </w:pPr>
          </w:p>
        </w:tc>
        <w:tc>
          <w:tcPr>
            <w:tcW w:w="423" w:type="pct"/>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eastAsiaTheme="minorEastAsia" w:cs="Times New Roman"/>
                <w:bCs/>
                <w:sz w:val="18"/>
                <w:szCs w:val="18"/>
              </w:rPr>
              <w:t>2</w:t>
            </w:r>
            <w:r>
              <w:rPr>
                <w:rFonts w:eastAsiaTheme="minorEastAsia" w:cs="Times New Roman"/>
                <w:bCs/>
                <w:sz w:val="18"/>
                <w:szCs w:val="18"/>
              </w:rPr>
              <w:t>类</w:t>
            </w:r>
          </w:p>
        </w:tc>
        <w:tc>
          <w:tcPr>
            <w:tcW w:w="726"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728"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726"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728"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726"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c>
          <w:tcPr>
            <w:tcW w:w="685" w:type="dxa"/>
            <w:tcBorders>
              <w:tl2br w:val="nil"/>
              <w:tr2bl w:val="nil"/>
            </w:tcBorders>
            <w:vAlign w:val="center"/>
          </w:tcPr>
          <w:p w:rsidR="00A46452" w:rsidRDefault="009A3928">
            <w:pPr>
              <w:spacing w:line="240" w:lineRule="auto"/>
              <w:ind w:firstLineChars="0" w:firstLine="0"/>
              <w:jc w:val="center"/>
              <w:rPr>
                <w:rFonts w:eastAsiaTheme="minorEastAsia" w:cs="Times New Roman"/>
                <w:bCs/>
                <w:sz w:val="18"/>
                <w:szCs w:val="18"/>
              </w:rPr>
            </w:pPr>
            <w:r>
              <w:rPr>
                <w:rFonts w:cs="Times New Roman"/>
                <w:sz w:val="18"/>
                <w:szCs w:val="18"/>
              </w:rPr>
              <w:t>&lt;</w:t>
            </w:r>
            <w:r>
              <w:rPr>
                <w:rFonts w:eastAsiaTheme="minorEastAsia" w:cs="Times New Roman"/>
                <w:bCs/>
                <w:sz w:val="18"/>
                <w:szCs w:val="18"/>
              </w:rPr>
              <w:t>20</w:t>
            </w:r>
          </w:p>
        </w:tc>
      </w:tr>
    </w:tbl>
    <w:p w:rsidR="00A46452" w:rsidRDefault="009A3928">
      <w:pPr>
        <w:ind w:firstLine="480"/>
        <w:rPr>
          <w:rFonts w:cs="Times New Roman"/>
          <w:szCs w:val="24"/>
        </w:rPr>
      </w:pPr>
      <w:r>
        <w:rPr>
          <w:rFonts w:cs="Times New Roman"/>
          <w:szCs w:val="24"/>
        </w:rPr>
        <w:t>K10</w:t>
      </w:r>
      <w:r>
        <w:rPr>
          <w:rFonts w:cs="Times New Roman"/>
          <w:szCs w:val="24"/>
        </w:rPr>
        <w:t>5</w:t>
      </w:r>
      <w:r>
        <w:rPr>
          <w:rFonts w:cs="Times New Roman"/>
          <w:szCs w:val="24"/>
        </w:rPr>
        <w:t>+</w:t>
      </w:r>
      <w:r>
        <w:rPr>
          <w:rFonts w:cs="Times New Roman"/>
          <w:szCs w:val="24"/>
        </w:rPr>
        <w:t>00</w:t>
      </w:r>
      <w:r>
        <w:rPr>
          <w:rFonts w:cs="Times New Roman"/>
          <w:szCs w:val="24"/>
        </w:rPr>
        <w:t>0~K1</w:t>
      </w:r>
      <w:r>
        <w:rPr>
          <w:rFonts w:cs="Times New Roman"/>
          <w:szCs w:val="24"/>
        </w:rPr>
        <w:t>05</w:t>
      </w:r>
      <w:r>
        <w:rPr>
          <w:rFonts w:cs="Times New Roman"/>
          <w:szCs w:val="24"/>
        </w:rPr>
        <w:t>+</w:t>
      </w:r>
      <w:r>
        <w:rPr>
          <w:rFonts w:cs="Times New Roman"/>
          <w:szCs w:val="24"/>
        </w:rPr>
        <w:t>18</w:t>
      </w:r>
      <w:r>
        <w:rPr>
          <w:rFonts w:cs="Times New Roman"/>
          <w:szCs w:val="24"/>
        </w:rPr>
        <w:t>0</w:t>
      </w:r>
      <w:r>
        <w:rPr>
          <w:rFonts w:cs="Times New Roman"/>
          <w:szCs w:val="24"/>
        </w:rPr>
        <w:t>、</w:t>
      </w:r>
      <w:r>
        <w:rPr>
          <w:rFonts w:cs="Times New Roman"/>
          <w:szCs w:val="24"/>
        </w:rPr>
        <w:t>K</w:t>
      </w:r>
      <w:r>
        <w:rPr>
          <w:rFonts w:cs="Times New Roman"/>
          <w:szCs w:val="24"/>
        </w:rPr>
        <w:t>105+440~</w:t>
      </w:r>
      <w:r>
        <w:rPr>
          <w:rFonts w:cs="Times New Roman"/>
          <w:szCs w:val="24"/>
        </w:rPr>
        <w:t>K1</w:t>
      </w:r>
      <w:r>
        <w:rPr>
          <w:rFonts w:cs="Times New Roman"/>
          <w:szCs w:val="24"/>
        </w:rPr>
        <w:t>07</w:t>
      </w:r>
      <w:r>
        <w:rPr>
          <w:rFonts w:cs="Times New Roman"/>
          <w:szCs w:val="24"/>
        </w:rPr>
        <w:t>+</w:t>
      </w:r>
      <w:r>
        <w:rPr>
          <w:rFonts w:cs="Times New Roman"/>
          <w:szCs w:val="24"/>
        </w:rPr>
        <w:t>177</w:t>
      </w:r>
      <w:r>
        <w:rPr>
          <w:rFonts w:cs="Times New Roman"/>
          <w:szCs w:val="24"/>
        </w:rPr>
        <w:t>、</w:t>
      </w:r>
      <w:r>
        <w:rPr>
          <w:rFonts w:cs="Times New Roman"/>
          <w:szCs w:val="24"/>
        </w:rPr>
        <w:t>K1</w:t>
      </w:r>
      <w:r>
        <w:rPr>
          <w:rFonts w:cs="Times New Roman"/>
          <w:szCs w:val="24"/>
        </w:rPr>
        <w:t>05</w:t>
      </w:r>
      <w:r>
        <w:rPr>
          <w:rFonts w:cs="Times New Roman"/>
          <w:szCs w:val="24"/>
        </w:rPr>
        <w:t>+</w:t>
      </w:r>
      <w:r>
        <w:rPr>
          <w:rFonts w:cs="Times New Roman"/>
          <w:szCs w:val="24"/>
        </w:rPr>
        <w:t>180~</w:t>
      </w:r>
      <w:r>
        <w:rPr>
          <w:rFonts w:cs="Times New Roman"/>
          <w:szCs w:val="24"/>
        </w:rPr>
        <w:t>K1</w:t>
      </w:r>
      <w:r>
        <w:rPr>
          <w:rFonts w:cs="Times New Roman"/>
          <w:szCs w:val="24"/>
        </w:rPr>
        <w:t>05</w:t>
      </w:r>
      <w:r>
        <w:rPr>
          <w:rFonts w:cs="Times New Roman"/>
          <w:szCs w:val="24"/>
        </w:rPr>
        <w:t>+</w:t>
      </w:r>
      <w:r>
        <w:rPr>
          <w:rFonts w:cs="Times New Roman"/>
          <w:szCs w:val="24"/>
        </w:rPr>
        <w:t>440</w:t>
      </w:r>
      <w:r>
        <w:rPr>
          <w:rFonts w:cs="Times New Roman"/>
          <w:szCs w:val="24"/>
        </w:rPr>
        <w:t>段：</w:t>
      </w:r>
    </w:p>
    <w:p w:rsidR="00A46452" w:rsidRDefault="009A3928">
      <w:pPr>
        <w:ind w:firstLine="480"/>
        <w:rPr>
          <w:rFonts w:cs="Times New Roman"/>
          <w:szCs w:val="24"/>
        </w:rPr>
      </w:pPr>
      <w:r>
        <w:rPr>
          <w:rFonts w:cs="Times New Roman"/>
          <w:szCs w:val="24"/>
        </w:rPr>
        <w:t>按照</w:t>
      </w:r>
      <w:r>
        <w:rPr>
          <w:rFonts w:cs="Times New Roman"/>
          <w:szCs w:val="24"/>
        </w:rPr>
        <w:t>2</w:t>
      </w:r>
      <w:r>
        <w:rPr>
          <w:rFonts w:cs="Times New Roman"/>
          <w:szCs w:val="24"/>
        </w:rPr>
        <w:t>类标准，运营近期、中期、远期交通噪声昼夜间达标距离均为距路中心线＜</w:t>
      </w:r>
      <w:r>
        <w:rPr>
          <w:rFonts w:cs="Times New Roman"/>
          <w:szCs w:val="24"/>
        </w:rPr>
        <w:t>20m</w:t>
      </w:r>
      <w:r>
        <w:rPr>
          <w:rFonts w:cs="Times New Roman"/>
          <w:szCs w:val="24"/>
        </w:rPr>
        <w:t>，可满足</w:t>
      </w:r>
      <w:r>
        <w:rPr>
          <w:rFonts w:cs="Times New Roman"/>
          <w:szCs w:val="24"/>
        </w:rPr>
        <w:t>2</w:t>
      </w:r>
      <w:r>
        <w:rPr>
          <w:rFonts w:cs="Times New Roman"/>
          <w:szCs w:val="24"/>
        </w:rPr>
        <w:t>类标准；按照</w:t>
      </w:r>
      <w:r>
        <w:rPr>
          <w:rFonts w:cs="Times New Roman"/>
          <w:szCs w:val="24"/>
        </w:rPr>
        <w:t>4a</w:t>
      </w:r>
      <w:r>
        <w:rPr>
          <w:rFonts w:cs="Times New Roman"/>
          <w:szCs w:val="24"/>
        </w:rPr>
        <w:t>类标准，运营近期、中期、远期交通噪声昼夜间达标距离均为距路中心线＜</w:t>
      </w:r>
      <w:r>
        <w:rPr>
          <w:rFonts w:cs="Times New Roman"/>
          <w:szCs w:val="24"/>
        </w:rPr>
        <w:t>20m</w:t>
      </w:r>
      <w:r>
        <w:rPr>
          <w:rFonts w:cs="Times New Roman"/>
          <w:szCs w:val="24"/>
        </w:rPr>
        <w:t>，可满足昼间</w:t>
      </w:r>
      <w:r>
        <w:rPr>
          <w:rFonts w:cs="Times New Roman"/>
          <w:szCs w:val="24"/>
        </w:rPr>
        <w:t>4a</w:t>
      </w:r>
      <w:r>
        <w:rPr>
          <w:rFonts w:cs="Times New Roman"/>
          <w:szCs w:val="24"/>
        </w:rPr>
        <w:t>类标准。</w:t>
      </w:r>
    </w:p>
    <w:p w:rsidR="00A46452" w:rsidRDefault="009A3928">
      <w:pPr>
        <w:ind w:firstLine="480"/>
        <w:rPr>
          <w:rFonts w:cs="Times New Roman"/>
          <w:bCs/>
        </w:rPr>
      </w:pPr>
      <w:r>
        <w:rPr>
          <w:rFonts w:cs="Times New Roman"/>
          <w:bCs/>
        </w:rPr>
        <w:t>（</w:t>
      </w:r>
      <w:r>
        <w:rPr>
          <w:rFonts w:cs="Times New Roman"/>
          <w:bCs/>
        </w:rPr>
        <w:t>3</w:t>
      </w:r>
      <w:r>
        <w:rPr>
          <w:rFonts w:cs="Times New Roman"/>
          <w:bCs/>
        </w:rPr>
        <w:t>）敏感点环境噪声预测与评价</w:t>
      </w:r>
    </w:p>
    <w:p w:rsidR="00A46452" w:rsidRDefault="009A3928">
      <w:pPr>
        <w:ind w:firstLine="480"/>
        <w:rPr>
          <w:rFonts w:cs="Times New Roman"/>
          <w:bCs/>
        </w:rPr>
      </w:pPr>
      <w:r>
        <w:rPr>
          <w:rFonts w:cs="Times New Roman"/>
          <w:bCs/>
        </w:rPr>
        <w:t>各敏感点背景值选取</w:t>
      </w:r>
    </w:p>
    <w:p w:rsidR="00A46452" w:rsidRDefault="009A3928">
      <w:pPr>
        <w:ind w:firstLine="480"/>
        <w:rPr>
          <w:rFonts w:cs="Times New Roman"/>
          <w:bCs/>
        </w:rPr>
      </w:pPr>
      <w:r>
        <w:rPr>
          <w:rFonts w:cs="Times New Roman"/>
          <w:bCs/>
        </w:rPr>
        <w:t>监测布点时选取其中有代表性的敏感点进行监测，作为类型相似敏感点的背景值，详见表</w:t>
      </w:r>
      <w:r>
        <w:rPr>
          <w:rFonts w:cs="Times New Roman"/>
          <w:bCs/>
        </w:rPr>
        <w:t>5.</w:t>
      </w:r>
      <w:r>
        <w:rPr>
          <w:rFonts w:cs="Times New Roman"/>
          <w:bCs/>
        </w:rPr>
        <w:t>4</w:t>
      </w:r>
      <w:r>
        <w:rPr>
          <w:rFonts w:cs="Times New Roman"/>
          <w:bCs/>
        </w:rPr>
        <w:t>-</w:t>
      </w:r>
      <w:r>
        <w:rPr>
          <w:rFonts w:cs="Times New Roman"/>
          <w:bCs/>
        </w:rPr>
        <w:t>12</w:t>
      </w:r>
      <w:r>
        <w:rPr>
          <w:rFonts w:cs="Times New Roman"/>
          <w:bCs/>
        </w:rPr>
        <w:t>。</w:t>
      </w:r>
    </w:p>
    <w:p w:rsidR="00A46452" w:rsidRDefault="009A3928">
      <w:pPr>
        <w:ind w:firstLine="480"/>
        <w:rPr>
          <w:rFonts w:cs="Times New Roman"/>
          <w:bCs/>
        </w:rPr>
      </w:pPr>
      <w:r>
        <w:rPr>
          <w:rFonts w:cs="Times New Roman"/>
          <w:bCs/>
        </w:rPr>
        <w:t>A</w:t>
      </w:r>
      <w:r>
        <w:rPr>
          <w:rFonts w:cs="Times New Roman"/>
          <w:bCs/>
        </w:rPr>
        <w:t>、离现状道路较远，受现有道路交通影响小的敏感点监测值作为该敏感点背景值，取值为两次监测的最大值。</w:t>
      </w:r>
    </w:p>
    <w:p w:rsidR="00A46452" w:rsidRDefault="009A3928">
      <w:pPr>
        <w:ind w:firstLine="480"/>
        <w:rPr>
          <w:rFonts w:cs="Times New Roman"/>
          <w:bCs/>
        </w:rPr>
      </w:pPr>
      <w:r>
        <w:rPr>
          <w:rFonts w:cs="Times New Roman"/>
          <w:bCs/>
        </w:rPr>
        <w:t>B</w:t>
      </w:r>
      <w:r>
        <w:rPr>
          <w:rFonts w:cs="Times New Roman"/>
          <w:bCs/>
        </w:rPr>
        <w:t>、同一路段或相邻路段的敏感点如特征相似，背景环境相似，其背景值则选取同路段或相邻路段所布设监测点的监测值。</w:t>
      </w:r>
    </w:p>
    <w:p w:rsidR="00A46452" w:rsidRDefault="009A3928">
      <w:pPr>
        <w:pStyle w:val="affff9"/>
        <w:ind w:firstLineChars="0" w:firstLine="0"/>
        <w:jc w:val="both"/>
        <w:rPr>
          <w:rFonts w:cs="Times New Roman"/>
        </w:rPr>
      </w:pPr>
      <w:r>
        <w:rPr>
          <w:rFonts w:cs="Times New Roman"/>
        </w:rPr>
        <w:t>表</w:t>
      </w:r>
      <w:r>
        <w:rPr>
          <w:rFonts w:cs="Times New Roman" w:hint="eastAsia"/>
        </w:rPr>
        <w:t>7</w:t>
      </w:r>
      <w:r>
        <w:rPr>
          <w:rFonts w:cs="Times New Roman"/>
        </w:rPr>
        <w:t>.</w:t>
      </w:r>
      <w:r>
        <w:rPr>
          <w:rFonts w:cs="Times New Roman"/>
        </w:rPr>
        <w:t>4</w:t>
      </w:r>
      <w:r>
        <w:rPr>
          <w:rFonts w:cs="Times New Roman"/>
        </w:rPr>
        <w:t>-</w:t>
      </w:r>
      <w:r>
        <w:rPr>
          <w:rFonts w:cs="Times New Roman"/>
        </w:rPr>
        <w:t>1</w:t>
      </w:r>
      <w:r>
        <w:rPr>
          <w:rFonts w:cs="Times New Roman" w:hint="eastAsia"/>
        </w:rPr>
        <w:t>3</w:t>
      </w:r>
      <w:r>
        <w:rPr>
          <w:rFonts w:cs="Times New Roman"/>
        </w:rPr>
        <w:t xml:space="preserve">      </w:t>
      </w:r>
      <w:r>
        <w:rPr>
          <w:rFonts w:cs="Times New Roman"/>
        </w:rPr>
        <w:t xml:space="preserve">        </w:t>
      </w:r>
      <w:r>
        <w:rPr>
          <w:rFonts w:cs="Times New Roman"/>
        </w:rPr>
        <w:t>项目区现状噪声背景值选取情况一览表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74"/>
        <w:gridCol w:w="646"/>
        <w:gridCol w:w="2828"/>
        <w:gridCol w:w="1247"/>
        <w:gridCol w:w="731"/>
      </w:tblGrid>
      <w:tr w:rsidR="00A46452">
        <w:trPr>
          <w:trHeight w:val="320"/>
          <w:jc w:val="center"/>
        </w:trPr>
        <w:tc>
          <w:tcPr>
            <w:tcW w:w="1725" w:type="pct"/>
            <w:vMerge w:val="restar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路段名称</w:t>
            </w:r>
          </w:p>
        </w:tc>
        <w:tc>
          <w:tcPr>
            <w:tcW w:w="388" w:type="pct"/>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序号</w:t>
            </w:r>
          </w:p>
        </w:tc>
        <w:tc>
          <w:tcPr>
            <w:tcW w:w="1697" w:type="pct"/>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敏感点名称</w:t>
            </w:r>
          </w:p>
        </w:tc>
        <w:tc>
          <w:tcPr>
            <w:tcW w:w="1188" w:type="pct"/>
            <w:gridSpan w:val="2"/>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背景</w:t>
            </w:r>
            <w:r>
              <w:rPr>
                <w:rFonts w:cs="Times New Roman"/>
                <w:kern w:val="0"/>
                <w:sz w:val="18"/>
                <w:szCs w:val="18"/>
              </w:rPr>
              <w:t>值</w:t>
            </w:r>
          </w:p>
        </w:tc>
      </w:tr>
      <w:tr w:rsidR="00A46452">
        <w:trPr>
          <w:trHeight w:val="320"/>
          <w:jc w:val="center"/>
        </w:trPr>
        <w:tc>
          <w:tcPr>
            <w:tcW w:w="1725"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697"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188" w:type="pct"/>
            <w:gridSpan w:val="2"/>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r>
      <w:tr w:rsidR="00A46452">
        <w:trPr>
          <w:trHeight w:val="268"/>
          <w:jc w:val="center"/>
        </w:trPr>
        <w:tc>
          <w:tcPr>
            <w:tcW w:w="1725"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697"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74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昼间</w:t>
            </w:r>
          </w:p>
        </w:tc>
        <w:tc>
          <w:tcPr>
            <w:tcW w:w="4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夜间</w:t>
            </w:r>
          </w:p>
        </w:tc>
      </w:tr>
      <w:tr w:rsidR="00A46452">
        <w:trPr>
          <w:jc w:val="center"/>
        </w:trPr>
        <w:tc>
          <w:tcPr>
            <w:tcW w:w="1725" w:type="pct"/>
            <w:vMerge w:val="restart"/>
            <w:tcBorders>
              <w:top w:val="single" w:sz="6" w:space="0" w:color="auto"/>
              <w:left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K10</w:t>
            </w:r>
            <w:r>
              <w:rPr>
                <w:rFonts w:cs="Times New Roman"/>
                <w:kern w:val="0"/>
                <w:sz w:val="18"/>
                <w:szCs w:val="18"/>
              </w:rPr>
              <w:t>5</w:t>
            </w:r>
            <w:r>
              <w:rPr>
                <w:rFonts w:cs="Times New Roman"/>
                <w:kern w:val="0"/>
                <w:sz w:val="18"/>
                <w:szCs w:val="18"/>
              </w:rPr>
              <w:t>+</w:t>
            </w:r>
            <w:r>
              <w:rPr>
                <w:rFonts w:cs="Times New Roman"/>
                <w:kern w:val="0"/>
                <w:sz w:val="18"/>
                <w:szCs w:val="18"/>
              </w:rPr>
              <w:t>00</w:t>
            </w:r>
            <w:r>
              <w:rPr>
                <w:rFonts w:cs="Times New Roman"/>
                <w:kern w:val="0"/>
                <w:sz w:val="18"/>
                <w:szCs w:val="18"/>
              </w:rPr>
              <w:t>0~K1</w:t>
            </w:r>
            <w:r>
              <w:rPr>
                <w:rFonts w:cs="Times New Roman"/>
                <w:kern w:val="0"/>
                <w:sz w:val="18"/>
                <w:szCs w:val="18"/>
              </w:rPr>
              <w:t>05</w:t>
            </w:r>
            <w:r>
              <w:rPr>
                <w:rFonts w:cs="Times New Roman"/>
                <w:kern w:val="0"/>
                <w:sz w:val="18"/>
                <w:szCs w:val="18"/>
              </w:rPr>
              <w:t>+</w:t>
            </w:r>
            <w:r>
              <w:rPr>
                <w:rFonts w:cs="Times New Roman"/>
                <w:kern w:val="0"/>
                <w:sz w:val="18"/>
                <w:szCs w:val="18"/>
              </w:rPr>
              <w:t>18</w:t>
            </w:r>
            <w:r>
              <w:rPr>
                <w:rFonts w:cs="Times New Roman"/>
                <w:kern w:val="0"/>
                <w:sz w:val="18"/>
                <w:szCs w:val="18"/>
              </w:rPr>
              <w:t>0</w:t>
            </w:r>
            <w:r>
              <w:rPr>
                <w:rFonts w:cs="Times New Roman"/>
                <w:kern w:val="0"/>
                <w:sz w:val="18"/>
                <w:szCs w:val="18"/>
              </w:rPr>
              <w:t>、</w:t>
            </w:r>
            <w:r>
              <w:rPr>
                <w:rFonts w:cs="Times New Roman"/>
                <w:kern w:val="0"/>
                <w:sz w:val="18"/>
                <w:szCs w:val="18"/>
              </w:rPr>
              <w:t>K</w:t>
            </w:r>
            <w:r>
              <w:rPr>
                <w:rFonts w:cs="Times New Roman"/>
                <w:kern w:val="0"/>
                <w:sz w:val="18"/>
                <w:szCs w:val="18"/>
              </w:rPr>
              <w:t>105+440~</w:t>
            </w:r>
            <w:r>
              <w:rPr>
                <w:rFonts w:cs="Times New Roman"/>
                <w:kern w:val="0"/>
                <w:sz w:val="18"/>
                <w:szCs w:val="18"/>
              </w:rPr>
              <w:t>K1</w:t>
            </w:r>
            <w:r>
              <w:rPr>
                <w:rFonts w:cs="Times New Roman"/>
                <w:kern w:val="0"/>
                <w:sz w:val="18"/>
                <w:szCs w:val="18"/>
              </w:rPr>
              <w:t>07</w:t>
            </w:r>
            <w:r>
              <w:rPr>
                <w:rFonts w:cs="Times New Roman"/>
                <w:kern w:val="0"/>
                <w:sz w:val="18"/>
                <w:szCs w:val="18"/>
              </w:rPr>
              <w:t>+</w:t>
            </w:r>
            <w:r>
              <w:rPr>
                <w:rFonts w:cs="Times New Roman"/>
                <w:kern w:val="0"/>
                <w:sz w:val="18"/>
                <w:szCs w:val="18"/>
              </w:rPr>
              <w:t>177</w:t>
            </w:r>
            <w:r>
              <w:rPr>
                <w:rFonts w:cs="Times New Roman"/>
                <w:kern w:val="0"/>
                <w:sz w:val="18"/>
                <w:szCs w:val="18"/>
              </w:rPr>
              <w:t>、</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180~</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440</w:t>
            </w:r>
            <w:r>
              <w:rPr>
                <w:rFonts w:cs="Times New Roman"/>
                <w:kern w:val="0"/>
                <w:sz w:val="18"/>
                <w:szCs w:val="18"/>
              </w:rPr>
              <w:t>段</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1</w:t>
            </w:r>
            <w:r>
              <w:rPr>
                <w:rFonts w:cs="Times New Roman"/>
                <w:kern w:val="0"/>
                <w:sz w:val="18"/>
                <w:szCs w:val="18"/>
              </w:rPr>
              <w:t>层</w:t>
            </w:r>
          </w:p>
        </w:tc>
        <w:tc>
          <w:tcPr>
            <w:tcW w:w="749"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39.9</w:t>
            </w:r>
          </w:p>
        </w:tc>
        <w:tc>
          <w:tcPr>
            <w:tcW w:w="439"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37.4</w:t>
            </w:r>
          </w:p>
        </w:tc>
      </w:tr>
      <w:tr w:rsidR="00A46452">
        <w:trPr>
          <w:jc w:val="center"/>
        </w:trPr>
        <w:tc>
          <w:tcPr>
            <w:tcW w:w="1725"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3</w:t>
            </w:r>
            <w:r>
              <w:rPr>
                <w:rFonts w:cs="Times New Roman"/>
                <w:kern w:val="0"/>
                <w:sz w:val="18"/>
                <w:szCs w:val="18"/>
              </w:rPr>
              <w:t>层</w:t>
            </w:r>
          </w:p>
        </w:tc>
        <w:tc>
          <w:tcPr>
            <w:tcW w:w="749" w:type="pct"/>
            <w:vMerge/>
            <w:tcBorders>
              <w:left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439" w:type="pct"/>
            <w:vMerge/>
            <w:tcBorders>
              <w:left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r>
      <w:tr w:rsidR="00A46452">
        <w:trPr>
          <w:trHeight w:val="262"/>
          <w:jc w:val="center"/>
        </w:trPr>
        <w:tc>
          <w:tcPr>
            <w:tcW w:w="1725"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5</w:t>
            </w:r>
            <w:r>
              <w:rPr>
                <w:rFonts w:cs="Times New Roman"/>
                <w:kern w:val="0"/>
                <w:sz w:val="18"/>
                <w:szCs w:val="18"/>
              </w:rPr>
              <w:t>层</w:t>
            </w:r>
          </w:p>
        </w:tc>
        <w:tc>
          <w:tcPr>
            <w:tcW w:w="749"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439"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r>
      <w:tr w:rsidR="00A46452">
        <w:trPr>
          <w:jc w:val="center"/>
        </w:trPr>
        <w:tc>
          <w:tcPr>
            <w:tcW w:w="1725"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r>
              <w:rPr>
                <w:rFonts w:cs="Times New Roman"/>
                <w:kern w:val="0"/>
                <w:sz w:val="18"/>
                <w:szCs w:val="18"/>
              </w:rPr>
              <w:t>柯坪湖州小学</w:t>
            </w:r>
            <w:r>
              <w:rPr>
                <w:rFonts w:cs="Times New Roman"/>
                <w:kern w:val="0"/>
                <w:sz w:val="18"/>
                <w:szCs w:val="18"/>
              </w:rPr>
              <w:t>1</w:t>
            </w:r>
            <w:r>
              <w:rPr>
                <w:rFonts w:cs="Times New Roman"/>
                <w:kern w:val="0"/>
                <w:sz w:val="18"/>
                <w:szCs w:val="18"/>
              </w:rPr>
              <w:t>层</w:t>
            </w:r>
          </w:p>
        </w:tc>
        <w:tc>
          <w:tcPr>
            <w:tcW w:w="749"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39.5</w:t>
            </w:r>
          </w:p>
        </w:tc>
        <w:tc>
          <w:tcPr>
            <w:tcW w:w="439"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36.0</w:t>
            </w:r>
          </w:p>
        </w:tc>
      </w:tr>
      <w:tr w:rsidR="00A46452">
        <w:trPr>
          <w:trHeight w:val="285"/>
          <w:jc w:val="center"/>
        </w:trPr>
        <w:tc>
          <w:tcPr>
            <w:tcW w:w="1725"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5</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r>
              <w:rPr>
                <w:rFonts w:cs="Times New Roman"/>
                <w:kern w:val="0"/>
                <w:sz w:val="18"/>
                <w:szCs w:val="18"/>
              </w:rPr>
              <w:t>柯坪湖州小学</w:t>
            </w:r>
            <w:r>
              <w:rPr>
                <w:rFonts w:cs="Times New Roman"/>
                <w:kern w:val="0"/>
                <w:sz w:val="18"/>
                <w:szCs w:val="18"/>
              </w:rPr>
              <w:t>3</w:t>
            </w:r>
            <w:r>
              <w:rPr>
                <w:rFonts w:cs="Times New Roman"/>
                <w:kern w:val="0"/>
                <w:sz w:val="18"/>
                <w:szCs w:val="18"/>
              </w:rPr>
              <w:t>层</w:t>
            </w:r>
          </w:p>
        </w:tc>
        <w:tc>
          <w:tcPr>
            <w:tcW w:w="749"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439"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r>
      <w:tr w:rsidR="00A46452">
        <w:trPr>
          <w:trHeight w:val="286"/>
          <w:jc w:val="center"/>
        </w:trPr>
        <w:tc>
          <w:tcPr>
            <w:tcW w:w="1725"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6</w:t>
            </w:r>
          </w:p>
        </w:tc>
        <w:tc>
          <w:tcPr>
            <w:tcW w:w="1697"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w:t>
            </w:r>
            <w:r>
              <w:rPr>
                <w:rFonts w:cs="Times New Roman"/>
                <w:kern w:val="0"/>
                <w:sz w:val="18"/>
                <w:szCs w:val="18"/>
              </w:rPr>
              <w:t>居民区</w:t>
            </w:r>
          </w:p>
        </w:tc>
        <w:tc>
          <w:tcPr>
            <w:tcW w:w="74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48.2</w:t>
            </w:r>
          </w:p>
        </w:tc>
        <w:tc>
          <w:tcPr>
            <w:tcW w:w="4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41.4</w:t>
            </w:r>
          </w:p>
        </w:tc>
      </w:tr>
      <w:tr w:rsidR="00A46452">
        <w:trPr>
          <w:jc w:val="center"/>
        </w:trPr>
        <w:tc>
          <w:tcPr>
            <w:tcW w:w="1725" w:type="pct"/>
            <w:vMerge/>
            <w:tcBorders>
              <w:left w:val="single" w:sz="12" w:space="0" w:color="auto"/>
              <w:bottom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88"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7</w:t>
            </w:r>
          </w:p>
        </w:tc>
        <w:tc>
          <w:tcPr>
            <w:tcW w:w="1697"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w:t>
            </w:r>
            <w:r>
              <w:rPr>
                <w:rFonts w:cs="Times New Roman"/>
                <w:kern w:val="0"/>
                <w:sz w:val="18"/>
                <w:szCs w:val="18"/>
              </w:rPr>
              <w:t>居民区</w:t>
            </w:r>
          </w:p>
        </w:tc>
        <w:tc>
          <w:tcPr>
            <w:tcW w:w="749"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49.4</w:t>
            </w:r>
          </w:p>
        </w:tc>
        <w:tc>
          <w:tcPr>
            <w:tcW w:w="439"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39.5</w:t>
            </w:r>
          </w:p>
        </w:tc>
      </w:tr>
    </w:tbl>
    <w:p w:rsidR="00A46452" w:rsidRDefault="009A3928">
      <w:pPr>
        <w:pStyle w:val="affff9"/>
        <w:ind w:firstLineChars="0" w:firstLine="0"/>
        <w:jc w:val="both"/>
        <w:rPr>
          <w:rFonts w:cs="Times New Roman"/>
        </w:rPr>
      </w:pPr>
      <w:r>
        <w:rPr>
          <w:rFonts w:cs="Times New Roman"/>
        </w:rPr>
        <w:t>表</w:t>
      </w:r>
      <w:r>
        <w:rPr>
          <w:rFonts w:cs="Times New Roman" w:hint="eastAsia"/>
        </w:rPr>
        <w:t>7</w:t>
      </w:r>
      <w:r>
        <w:rPr>
          <w:rFonts w:cs="Times New Roman"/>
        </w:rPr>
        <w:t>.</w:t>
      </w:r>
      <w:r>
        <w:rPr>
          <w:rFonts w:cs="Times New Roman" w:hint="eastAsia"/>
        </w:rPr>
        <w:t>4</w:t>
      </w:r>
      <w:r>
        <w:rPr>
          <w:rFonts w:cs="Times New Roman"/>
        </w:rPr>
        <w:t>-1</w:t>
      </w:r>
      <w:r>
        <w:rPr>
          <w:rFonts w:cs="Times New Roman" w:hint="eastAsia"/>
        </w:rPr>
        <w:t>4</w:t>
      </w:r>
      <w:r>
        <w:rPr>
          <w:rFonts w:cs="Times New Roman"/>
        </w:rPr>
        <w:t xml:space="preserve">      </w:t>
      </w:r>
      <w:r>
        <w:rPr>
          <w:rFonts w:cs="Times New Roman"/>
        </w:rPr>
        <w:t xml:space="preserve">         </w:t>
      </w:r>
      <w:r>
        <w:rPr>
          <w:rFonts w:cs="Times New Roman"/>
        </w:rPr>
        <w:t>项目区现状噪声</w:t>
      </w:r>
      <w:r>
        <w:rPr>
          <w:rFonts w:cs="Times New Roman"/>
        </w:rPr>
        <w:t>现状值</w:t>
      </w:r>
      <w:r>
        <w:rPr>
          <w:rFonts w:cs="Times New Roman"/>
        </w:rPr>
        <w:t>情况一览表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47"/>
        <w:gridCol w:w="505"/>
        <w:gridCol w:w="2210"/>
        <w:gridCol w:w="2230"/>
        <w:gridCol w:w="565"/>
        <w:gridCol w:w="569"/>
      </w:tblGrid>
      <w:tr w:rsidR="00A46452">
        <w:trPr>
          <w:trHeight w:val="320"/>
          <w:jc w:val="center"/>
        </w:trPr>
        <w:tc>
          <w:tcPr>
            <w:tcW w:w="1349" w:type="pct"/>
            <w:vMerge w:val="restar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路段</w:t>
            </w:r>
          </w:p>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名称</w:t>
            </w:r>
          </w:p>
        </w:tc>
        <w:tc>
          <w:tcPr>
            <w:tcW w:w="303" w:type="pct"/>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序号</w:t>
            </w:r>
          </w:p>
        </w:tc>
        <w:tc>
          <w:tcPr>
            <w:tcW w:w="1326" w:type="pct"/>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敏感点名称</w:t>
            </w:r>
          </w:p>
        </w:tc>
        <w:tc>
          <w:tcPr>
            <w:tcW w:w="1338" w:type="pct"/>
            <w:vMerge w:val="restar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距道路中心线距离（</w:t>
            </w:r>
            <w:r>
              <w:rPr>
                <w:rFonts w:cs="Times New Roman"/>
                <w:kern w:val="0"/>
                <w:sz w:val="18"/>
                <w:szCs w:val="18"/>
              </w:rPr>
              <w:t>m</w:t>
            </w:r>
            <w:r>
              <w:rPr>
                <w:rFonts w:cs="Times New Roman"/>
                <w:kern w:val="0"/>
                <w:sz w:val="18"/>
                <w:szCs w:val="18"/>
              </w:rPr>
              <w:t>）</w:t>
            </w:r>
          </w:p>
        </w:tc>
        <w:tc>
          <w:tcPr>
            <w:tcW w:w="681" w:type="pct"/>
            <w:gridSpan w:val="2"/>
            <w:vMerge w:val="restart"/>
            <w:tcBorders>
              <w:top w:val="single" w:sz="12"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现状值</w:t>
            </w:r>
          </w:p>
        </w:tc>
      </w:tr>
      <w:tr w:rsidR="00A46452">
        <w:trPr>
          <w:trHeight w:val="345"/>
          <w:jc w:val="center"/>
        </w:trPr>
        <w:tc>
          <w:tcPr>
            <w:tcW w:w="1349"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326"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338"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681" w:type="pct"/>
            <w:gridSpan w:val="2"/>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r>
      <w:tr w:rsidR="00A46452">
        <w:trPr>
          <w:trHeight w:val="268"/>
          <w:jc w:val="center"/>
        </w:trPr>
        <w:tc>
          <w:tcPr>
            <w:tcW w:w="1349" w:type="pct"/>
            <w:vMerge/>
            <w:tcBorders>
              <w:top w:val="single" w:sz="6" w:space="0" w:color="auto"/>
              <w:left w:val="single" w:sz="12"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326"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1338"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昼间</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夜间</w:t>
            </w:r>
          </w:p>
        </w:tc>
      </w:tr>
      <w:tr w:rsidR="00A46452">
        <w:trPr>
          <w:jc w:val="center"/>
        </w:trPr>
        <w:tc>
          <w:tcPr>
            <w:tcW w:w="1349" w:type="pct"/>
            <w:vMerge w:val="restart"/>
            <w:tcBorders>
              <w:top w:val="single" w:sz="6" w:space="0" w:color="auto"/>
              <w:left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K10</w:t>
            </w:r>
            <w:r>
              <w:rPr>
                <w:rFonts w:cs="Times New Roman"/>
                <w:kern w:val="0"/>
                <w:sz w:val="18"/>
                <w:szCs w:val="18"/>
              </w:rPr>
              <w:t>5</w:t>
            </w:r>
            <w:r>
              <w:rPr>
                <w:rFonts w:cs="Times New Roman"/>
                <w:kern w:val="0"/>
                <w:sz w:val="18"/>
                <w:szCs w:val="18"/>
              </w:rPr>
              <w:t>+</w:t>
            </w:r>
            <w:r>
              <w:rPr>
                <w:rFonts w:cs="Times New Roman"/>
                <w:kern w:val="0"/>
                <w:sz w:val="18"/>
                <w:szCs w:val="18"/>
              </w:rPr>
              <w:t>00</w:t>
            </w:r>
            <w:r>
              <w:rPr>
                <w:rFonts w:cs="Times New Roman"/>
                <w:kern w:val="0"/>
                <w:sz w:val="18"/>
                <w:szCs w:val="18"/>
              </w:rPr>
              <w:t>0~K1</w:t>
            </w:r>
            <w:r>
              <w:rPr>
                <w:rFonts w:cs="Times New Roman"/>
                <w:kern w:val="0"/>
                <w:sz w:val="18"/>
                <w:szCs w:val="18"/>
              </w:rPr>
              <w:t>05</w:t>
            </w:r>
            <w:r>
              <w:rPr>
                <w:rFonts w:cs="Times New Roman"/>
                <w:kern w:val="0"/>
                <w:sz w:val="18"/>
                <w:szCs w:val="18"/>
              </w:rPr>
              <w:t>+</w:t>
            </w:r>
            <w:r>
              <w:rPr>
                <w:rFonts w:cs="Times New Roman"/>
                <w:kern w:val="0"/>
                <w:sz w:val="18"/>
                <w:szCs w:val="18"/>
              </w:rPr>
              <w:t>18</w:t>
            </w:r>
            <w:r>
              <w:rPr>
                <w:rFonts w:cs="Times New Roman"/>
                <w:kern w:val="0"/>
                <w:sz w:val="18"/>
                <w:szCs w:val="18"/>
              </w:rPr>
              <w:t>0</w:t>
            </w:r>
            <w:r>
              <w:rPr>
                <w:rFonts w:cs="Times New Roman"/>
                <w:kern w:val="0"/>
                <w:sz w:val="18"/>
                <w:szCs w:val="18"/>
              </w:rPr>
              <w:t>、</w:t>
            </w:r>
            <w:r>
              <w:rPr>
                <w:rFonts w:cs="Times New Roman"/>
                <w:kern w:val="0"/>
                <w:sz w:val="18"/>
                <w:szCs w:val="18"/>
              </w:rPr>
              <w:t>K</w:t>
            </w:r>
            <w:r>
              <w:rPr>
                <w:rFonts w:cs="Times New Roman"/>
                <w:kern w:val="0"/>
                <w:sz w:val="18"/>
                <w:szCs w:val="18"/>
              </w:rPr>
              <w:t>105+440~</w:t>
            </w:r>
            <w:r>
              <w:rPr>
                <w:rFonts w:cs="Times New Roman"/>
                <w:kern w:val="0"/>
                <w:sz w:val="18"/>
                <w:szCs w:val="18"/>
              </w:rPr>
              <w:t>K1</w:t>
            </w:r>
            <w:r>
              <w:rPr>
                <w:rFonts w:cs="Times New Roman"/>
                <w:kern w:val="0"/>
                <w:sz w:val="18"/>
                <w:szCs w:val="18"/>
              </w:rPr>
              <w:t>07</w:t>
            </w:r>
            <w:r>
              <w:rPr>
                <w:rFonts w:cs="Times New Roman"/>
                <w:kern w:val="0"/>
                <w:sz w:val="18"/>
                <w:szCs w:val="18"/>
              </w:rPr>
              <w:t>+</w:t>
            </w:r>
            <w:r>
              <w:rPr>
                <w:rFonts w:cs="Times New Roman"/>
                <w:kern w:val="0"/>
                <w:sz w:val="18"/>
                <w:szCs w:val="18"/>
              </w:rPr>
              <w:t>177</w:t>
            </w:r>
            <w:r>
              <w:rPr>
                <w:rFonts w:cs="Times New Roman"/>
                <w:kern w:val="0"/>
                <w:sz w:val="18"/>
                <w:szCs w:val="18"/>
              </w:rPr>
              <w:t>、</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180~</w:t>
            </w:r>
            <w:r>
              <w:rPr>
                <w:rFonts w:cs="Times New Roman"/>
                <w:kern w:val="0"/>
                <w:sz w:val="18"/>
                <w:szCs w:val="18"/>
              </w:rPr>
              <w:t>K1</w:t>
            </w:r>
            <w:r>
              <w:rPr>
                <w:rFonts w:cs="Times New Roman"/>
                <w:kern w:val="0"/>
                <w:sz w:val="18"/>
                <w:szCs w:val="18"/>
              </w:rPr>
              <w:t>05</w:t>
            </w:r>
            <w:r>
              <w:rPr>
                <w:rFonts w:cs="Times New Roman"/>
                <w:kern w:val="0"/>
                <w:sz w:val="18"/>
                <w:szCs w:val="18"/>
              </w:rPr>
              <w:t>+</w:t>
            </w:r>
            <w:r>
              <w:rPr>
                <w:rFonts w:cs="Times New Roman"/>
                <w:kern w:val="0"/>
                <w:sz w:val="18"/>
                <w:szCs w:val="18"/>
              </w:rPr>
              <w:t>440</w:t>
            </w:r>
            <w:r>
              <w:rPr>
                <w:rFonts w:cs="Times New Roman"/>
                <w:kern w:val="0"/>
                <w:sz w:val="18"/>
                <w:szCs w:val="18"/>
              </w:rPr>
              <w:t>段</w:t>
            </w: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1</w:t>
            </w:r>
            <w:r>
              <w:rPr>
                <w:rFonts w:cs="Times New Roman"/>
                <w:kern w:val="0"/>
                <w:sz w:val="18"/>
                <w:szCs w:val="18"/>
              </w:rPr>
              <w:t>层</w:t>
            </w:r>
          </w:p>
        </w:tc>
        <w:tc>
          <w:tcPr>
            <w:tcW w:w="1338"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左</w:t>
            </w:r>
            <w:r>
              <w:rPr>
                <w:rFonts w:cs="Times New Roman"/>
                <w:kern w:val="0"/>
                <w:sz w:val="18"/>
                <w:szCs w:val="18"/>
              </w:rPr>
              <w:t>38.7</w:t>
            </w:r>
            <w:r>
              <w:rPr>
                <w:rFonts w:cs="Times New Roman"/>
                <w:kern w:val="0"/>
                <w:sz w:val="18"/>
                <w:szCs w:val="18"/>
              </w:rPr>
              <w:t>m</w:t>
            </w: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46.0</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41.9</w:t>
            </w:r>
          </w:p>
        </w:tc>
      </w:tr>
      <w:tr w:rsidR="00A46452">
        <w:trPr>
          <w:jc w:val="center"/>
        </w:trPr>
        <w:tc>
          <w:tcPr>
            <w:tcW w:w="1349"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3</w:t>
            </w:r>
            <w:r>
              <w:rPr>
                <w:rFonts w:cs="Times New Roman"/>
                <w:kern w:val="0"/>
                <w:sz w:val="18"/>
                <w:szCs w:val="18"/>
              </w:rPr>
              <w:t>层</w:t>
            </w:r>
          </w:p>
        </w:tc>
        <w:tc>
          <w:tcPr>
            <w:tcW w:w="1338" w:type="pct"/>
            <w:vMerge/>
            <w:tcBorders>
              <w:left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44.8</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41.5</w:t>
            </w:r>
          </w:p>
        </w:tc>
      </w:tr>
      <w:tr w:rsidR="00A46452">
        <w:trPr>
          <w:trHeight w:val="262"/>
          <w:jc w:val="center"/>
        </w:trPr>
        <w:tc>
          <w:tcPr>
            <w:tcW w:w="1349"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1#</w:t>
            </w:r>
            <w:r>
              <w:rPr>
                <w:rFonts w:cs="Times New Roman"/>
                <w:kern w:val="0"/>
                <w:sz w:val="18"/>
                <w:szCs w:val="18"/>
              </w:rPr>
              <w:t>幸福佳园一期</w:t>
            </w:r>
            <w:r>
              <w:rPr>
                <w:rFonts w:cs="Times New Roman"/>
                <w:kern w:val="0"/>
                <w:sz w:val="18"/>
                <w:szCs w:val="18"/>
              </w:rPr>
              <w:t>5</w:t>
            </w:r>
            <w:r>
              <w:rPr>
                <w:rFonts w:cs="Times New Roman"/>
                <w:kern w:val="0"/>
                <w:sz w:val="18"/>
                <w:szCs w:val="18"/>
              </w:rPr>
              <w:t>层</w:t>
            </w:r>
          </w:p>
        </w:tc>
        <w:tc>
          <w:tcPr>
            <w:tcW w:w="1338"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43.8</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38.1</w:t>
            </w:r>
          </w:p>
        </w:tc>
      </w:tr>
      <w:tr w:rsidR="00A46452">
        <w:trPr>
          <w:jc w:val="center"/>
        </w:trPr>
        <w:tc>
          <w:tcPr>
            <w:tcW w:w="1349"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r>
              <w:rPr>
                <w:rFonts w:cs="Times New Roman"/>
                <w:kern w:val="0"/>
                <w:sz w:val="18"/>
                <w:szCs w:val="18"/>
              </w:rPr>
              <w:t>柯坪湖州小学</w:t>
            </w:r>
            <w:r>
              <w:rPr>
                <w:rFonts w:cs="Times New Roman"/>
                <w:kern w:val="0"/>
                <w:sz w:val="18"/>
                <w:szCs w:val="18"/>
              </w:rPr>
              <w:t>1</w:t>
            </w:r>
            <w:r>
              <w:rPr>
                <w:rFonts w:cs="Times New Roman"/>
                <w:kern w:val="0"/>
                <w:sz w:val="18"/>
                <w:szCs w:val="18"/>
              </w:rPr>
              <w:t>层</w:t>
            </w:r>
          </w:p>
        </w:tc>
        <w:tc>
          <w:tcPr>
            <w:tcW w:w="1338" w:type="pct"/>
            <w:vMerge w:val="restart"/>
            <w:tcBorders>
              <w:top w:val="single" w:sz="6" w:space="0" w:color="auto"/>
              <w:left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左</w:t>
            </w:r>
            <w:r>
              <w:rPr>
                <w:rFonts w:cs="Times New Roman"/>
                <w:kern w:val="0"/>
                <w:sz w:val="18"/>
                <w:szCs w:val="18"/>
              </w:rPr>
              <w:t>52m</w:t>
            </w: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47.2</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41.3</w:t>
            </w:r>
          </w:p>
        </w:tc>
      </w:tr>
      <w:tr w:rsidR="00A46452">
        <w:trPr>
          <w:trHeight w:val="285"/>
          <w:jc w:val="center"/>
        </w:trPr>
        <w:tc>
          <w:tcPr>
            <w:tcW w:w="1349"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5</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2#</w:t>
            </w:r>
            <w:r>
              <w:rPr>
                <w:rFonts w:cs="Times New Roman"/>
                <w:kern w:val="0"/>
                <w:sz w:val="18"/>
                <w:szCs w:val="18"/>
              </w:rPr>
              <w:t>柯坪湖州小学</w:t>
            </w:r>
            <w:r>
              <w:rPr>
                <w:rFonts w:cs="Times New Roman"/>
                <w:kern w:val="0"/>
                <w:sz w:val="18"/>
                <w:szCs w:val="18"/>
              </w:rPr>
              <w:t>3</w:t>
            </w:r>
            <w:r>
              <w:rPr>
                <w:rFonts w:cs="Times New Roman"/>
                <w:kern w:val="0"/>
                <w:sz w:val="18"/>
                <w:szCs w:val="18"/>
              </w:rPr>
              <w:t>层</w:t>
            </w:r>
          </w:p>
        </w:tc>
        <w:tc>
          <w:tcPr>
            <w:tcW w:w="1338" w:type="pct"/>
            <w:vMerge/>
            <w:tcBorders>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48.2</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40.90</w:t>
            </w:r>
          </w:p>
        </w:tc>
      </w:tr>
      <w:tr w:rsidR="00A46452">
        <w:trPr>
          <w:trHeight w:val="286"/>
          <w:jc w:val="center"/>
        </w:trPr>
        <w:tc>
          <w:tcPr>
            <w:tcW w:w="1349" w:type="pct"/>
            <w:vMerge/>
            <w:tcBorders>
              <w:left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6</w:t>
            </w:r>
          </w:p>
        </w:tc>
        <w:tc>
          <w:tcPr>
            <w:tcW w:w="132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w:t>
            </w:r>
            <w:r>
              <w:rPr>
                <w:rFonts w:cs="Times New Roman"/>
                <w:kern w:val="0"/>
                <w:sz w:val="18"/>
                <w:szCs w:val="18"/>
              </w:rPr>
              <w:t>居民区</w:t>
            </w:r>
          </w:p>
        </w:tc>
        <w:tc>
          <w:tcPr>
            <w:tcW w:w="1338"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右</w:t>
            </w:r>
            <w:r>
              <w:rPr>
                <w:rFonts w:cs="Times New Roman"/>
                <w:kern w:val="0"/>
                <w:sz w:val="18"/>
                <w:szCs w:val="18"/>
              </w:rPr>
              <w:t>79m</w:t>
            </w:r>
          </w:p>
        </w:tc>
        <w:tc>
          <w:tcPr>
            <w:tcW w:w="339"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43.5</w:t>
            </w:r>
          </w:p>
        </w:tc>
        <w:tc>
          <w:tcPr>
            <w:tcW w:w="34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37.</w:t>
            </w:r>
            <w:r>
              <w:rPr>
                <w:rFonts w:cs="Times New Roman"/>
                <w:kern w:val="0"/>
                <w:sz w:val="18"/>
                <w:szCs w:val="18"/>
              </w:rPr>
              <w:t>10</w:t>
            </w:r>
          </w:p>
        </w:tc>
      </w:tr>
      <w:tr w:rsidR="00A46452">
        <w:trPr>
          <w:jc w:val="center"/>
        </w:trPr>
        <w:tc>
          <w:tcPr>
            <w:tcW w:w="1349" w:type="pct"/>
            <w:vMerge/>
            <w:tcBorders>
              <w:left w:val="single" w:sz="12" w:space="0" w:color="auto"/>
              <w:bottom w:val="single" w:sz="12" w:space="0" w:color="auto"/>
              <w:right w:val="single" w:sz="6" w:space="0" w:color="auto"/>
              <w:tl2br w:val="nil"/>
              <w:tr2bl w:val="nil"/>
            </w:tcBorders>
            <w:vAlign w:val="center"/>
          </w:tcPr>
          <w:p w:rsidR="00A46452" w:rsidRDefault="00A46452">
            <w:pPr>
              <w:wordWrap w:val="0"/>
              <w:topLinePunct/>
              <w:adjustRightInd w:val="0"/>
              <w:snapToGrid w:val="0"/>
              <w:spacing w:line="320" w:lineRule="exact"/>
              <w:ind w:firstLineChars="0" w:firstLine="0"/>
              <w:jc w:val="center"/>
              <w:rPr>
                <w:rFonts w:cs="Times New Roman"/>
                <w:kern w:val="0"/>
                <w:sz w:val="18"/>
                <w:szCs w:val="18"/>
              </w:rPr>
            </w:pPr>
          </w:p>
        </w:tc>
        <w:tc>
          <w:tcPr>
            <w:tcW w:w="303"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7</w:t>
            </w:r>
          </w:p>
        </w:tc>
        <w:tc>
          <w:tcPr>
            <w:tcW w:w="1326"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w:t>
            </w:r>
            <w:r>
              <w:rPr>
                <w:rFonts w:cs="Times New Roman"/>
                <w:kern w:val="0"/>
                <w:sz w:val="18"/>
                <w:szCs w:val="18"/>
              </w:rPr>
              <w:t>居民区</w:t>
            </w:r>
          </w:p>
        </w:tc>
        <w:tc>
          <w:tcPr>
            <w:tcW w:w="1338"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右</w:t>
            </w:r>
            <w:r>
              <w:rPr>
                <w:rFonts w:cs="Times New Roman"/>
                <w:kern w:val="0"/>
                <w:sz w:val="18"/>
                <w:szCs w:val="18"/>
              </w:rPr>
              <w:t>66m</w:t>
            </w:r>
          </w:p>
        </w:tc>
        <w:tc>
          <w:tcPr>
            <w:tcW w:w="339"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46.90</w:t>
            </w:r>
          </w:p>
        </w:tc>
        <w:tc>
          <w:tcPr>
            <w:tcW w:w="342"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320" w:lineRule="exact"/>
              <w:ind w:firstLineChars="0" w:firstLine="0"/>
              <w:jc w:val="center"/>
              <w:rPr>
                <w:rFonts w:cs="Times New Roman"/>
                <w:kern w:val="0"/>
                <w:sz w:val="18"/>
                <w:szCs w:val="18"/>
              </w:rPr>
            </w:pPr>
            <w:r>
              <w:rPr>
                <w:rFonts w:cs="Times New Roman"/>
                <w:kern w:val="0"/>
                <w:sz w:val="18"/>
                <w:szCs w:val="18"/>
              </w:rPr>
              <w:t>37.90</w:t>
            </w:r>
          </w:p>
        </w:tc>
      </w:tr>
    </w:tbl>
    <w:p w:rsidR="00A46452" w:rsidRDefault="009A3928">
      <w:pPr>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敏感点的环境噪声预测结果</w:t>
      </w:r>
    </w:p>
    <w:p w:rsidR="00A46452" w:rsidRDefault="009A3928">
      <w:pPr>
        <w:ind w:firstLine="480"/>
        <w:rPr>
          <w:rFonts w:cs="Times New Roman"/>
          <w:bCs/>
        </w:rPr>
      </w:pPr>
      <w:r>
        <w:rPr>
          <w:rFonts w:cs="Times New Roman"/>
          <w:bCs/>
        </w:rPr>
        <w:t>本项目敏感点的环境噪声预测结果</w:t>
      </w:r>
      <w:r>
        <w:rPr>
          <w:rFonts w:cs="Times New Roman"/>
          <w:bCs/>
        </w:rPr>
        <w:t>及</w:t>
      </w:r>
      <w:r>
        <w:rPr>
          <w:rFonts w:cs="Times New Roman"/>
          <w:bCs/>
        </w:rPr>
        <w:t>超标量见表</w:t>
      </w:r>
      <w:r>
        <w:rPr>
          <w:rFonts w:cs="Times New Roman" w:hint="eastAsia"/>
          <w:bCs/>
        </w:rPr>
        <w:t>7</w:t>
      </w:r>
      <w:r>
        <w:rPr>
          <w:rFonts w:cs="Times New Roman"/>
          <w:bCs/>
        </w:rPr>
        <w:t>.</w:t>
      </w:r>
      <w:r>
        <w:rPr>
          <w:rFonts w:cs="Times New Roman"/>
          <w:bCs/>
        </w:rPr>
        <w:t>4</w:t>
      </w:r>
      <w:r>
        <w:rPr>
          <w:rFonts w:cs="Times New Roman"/>
          <w:bCs/>
        </w:rPr>
        <w:t>-1</w:t>
      </w:r>
      <w:r>
        <w:rPr>
          <w:rFonts w:cs="Times New Roman" w:hint="eastAsia"/>
          <w:bCs/>
        </w:rPr>
        <w:t>5</w:t>
      </w:r>
      <w:r>
        <w:rPr>
          <w:rFonts w:cs="Times New Roman"/>
          <w:bCs/>
        </w:rPr>
        <w:t>-1</w:t>
      </w:r>
      <w:r>
        <w:rPr>
          <w:rFonts w:cs="Times New Roman" w:hint="eastAsia"/>
          <w:bCs/>
        </w:rPr>
        <w:t>7</w:t>
      </w:r>
      <w:r>
        <w:rPr>
          <w:rFonts w:cs="Times New Roman"/>
          <w:bCs/>
        </w:rPr>
        <w:t>。</w:t>
      </w:r>
    </w:p>
    <w:p w:rsidR="00A46452" w:rsidRDefault="00A46452">
      <w:pPr>
        <w:ind w:firstLine="480"/>
        <w:rPr>
          <w:rFonts w:cs="Times New Roman"/>
          <w:bCs/>
        </w:rPr>
      </w:pPr>
    </w:p>
    <w:p w:rsidR="00A46452" w:rsidRDefault="00A46452">
      <w:pPr>
        <w:ind w:firstLine="480"/>
        <w:rPr>
          <w:rFonts w:cs="Times New Roman"/>
        </w:rPr>
        <w:sectPr w:rsidR="00A46452">
          <w:pgSz w:w="11906" w:h="16838"/>
          <w:pgMar w:top="1440" w:right="1800" w:bottom="1440" w:left="1800" w:header="862" w:footer="992" w:gutter="0"/>
          <w:cols w:space="425"/>
          <w:docGrid w:type="lines" w:linePitch="326"/>
        </w:sectPr>
      </w:pPr>
    </w:p>
    <w:p w:rsidR="00A46452" w:rsidRDefault="009A3928">
      <w:pPr>
        <w:pStyle w:val="affff9"/>
        <w:ind w:firstLineChars="0" w:firstLine="0"/>
        <w:jc w:val="left"/>
        <w:rPr>
          <w:rFonts w:cs="Times New Roman"/>
        </w:rPr>
      </w:pPr>
      <w:r>
        <w:rPr>
          <w:rFonts w:cs="Times New Roman" w:hint="eastAsia"/>
        </w:rPr>
        <w:t>表</w:t>
      </w:r>
      <w:r>
        <w:rPr>
          <w:rFonts w:cs="Times New Roman" w:hint="eastAsia"/>
        </w:rPr>
        <w:t>7</w:t>
      </w:r>
      <w:r>
        <w:rPr>
          <w:rFonts w:cs="Times New Roman"/>
        </w:rPr>
        <w:t>.</w:t>
      </w:r>
      <w:r>
        <w:rPr>
          <w:rFonts w:cs="Times New Roman"/>
        </w:rPr>
        <w:t>4</w:t>
      </w:r>
      <w:r>
        <w:rPr>
          <w:rFonts w:cs="Times New Roman"/>
        </w:rPr>
        <w:t>-1</w:t>
      </w:r>
      <w:r>
        <w:rPr>
          <w:rFonts w:cs="Times New Roman" w:hint="eastAsia"/>
        </w:rPr>
        <w:t>5</w:t>
      </w:r>
      <w:r>
        <w:rPr>
          <w:rFonts w:cs="Times New Roman"/>
        </w:rPr>
        <w:t xml:space="preserve">                                 </w:t>
      </w:r>
      <w:r>
        <w:rPr>
          <w:rFonts w:cs="Times New Roman"/>
        </w:rPr>
        <w:t xml:space="preserve"> </w:t>
      </w:r>
      <w:r>
        <w:rPr>
          <w:rFonts w:cs="Times New Roman"/>
        </w:rPr>
        <w:t>沿线敏感点</w:t>
      </w:r>
      <w:r>
        <w:rPr>
          <w:rFonts w:cs="Times New Roman"/>
        </w:rPr>
        <w:t>近期（</w:t>
      </w:r>
      <w:r>
        <w:rPr>
          <w:rFonts w:cs="Times New Roman"/>
        </w:rPr>
        <w:t>2027</w:t>
      </w:r>
      <w:r>
        <w:rPr>
          <w:rFonts w:cs="Times New Roman"/>
        </w:rPr>
        <w:t>）</w:t>
      </w:r>
      <w:r>
        <w:rPr>
          <w:rFonts w:cs="Times New Roman"/>
        </w:rPr>
        <w:t>预测结果（单位：</w:t>
      </w:r>
      <w:r>
        <w:rPr>
          <w:rFonts w:cs="Times New Roman"/>
        </w:rPr>
        <w:t>dB</w:t>
      </w:r>
      <w:r>
        <w:rPr>
          <w:rFonts w:cs="Times New Roman"/>
        </w:rPr>
        <w:t>（</w:t>
      </w:r>
      <w:r>
        <w:rPr>
          <w:rFonts w:cs="Times New Roman"/>
        </w:rPr>
        <w:t>A</w:t>
      </w:r>
      <w:r>
        <w:rPr>
          <w:rFonts w:cs="Times New Roman"/>
        </w:rPr>
        <w:t>））</w:t>
      </w:r>
    </w:p>
    <w:tbl>
      <w:tblPr>
        <w:tblW w:w="548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7"/>
        <w:gridCol w:w="994"/>
        <w:gridCol w:w="633"/>
        <w:gridCol w:w="654"/>
        <w:gridCol w:w="657"/>
        <w:gridCol w:w="937"/>
        <w:gridCol w:w="834"/>
        <w:gridCol w:w="748"/>
        <w:gridCol w:w="737"/>
        <w:gridCol w:w="810"/>
        <w:gridCol w:w="810"/>
        <w:gridCol w:w="810"/>
        <w:gridCol w:w="810"/>
        <w:gridCol w:w="810"/>
        <w:gridCol w:w="936"/>
        <w:gridCol w:w="966"/>
        <w:gridCol w:w="771"/>
        <w:gridCol w:w="727"/>
        <w:gridCol w:w="759"/>
      </w:tblGrid>
      <w:tr w:rsidR="00A46452">
        <w:trPr>
          <w:trHeight w:val="300"/>
          <w:jc w:val="center"/>
        </w:trPr>
        <w:tc>
          <w:tcPr>
            <w:tcW w:w="124"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序号</w:t>
            </w:r>
          </w:p>
        </w:tc>
        <w:tc>
          <w:tcPr>
            <w:tcW w:w="549" w:type="pct"/>
            <w:gridSpan w:val="2"/>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声环境保护目标名称</w:t>
            </w:r>
          </w:p>
        </w:tc>
        <w:tc>
          <w:tcPr>
            <w:tcW w:w="443" w:type="pct"/>
            <w:gridSpan w:val="2"/>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背景值</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r>
      <w:tr w:rsidR="00A46452">
        <w:trPr>
          <w:trHeight w:val="300"/>
          <w:jc w:val="center"/>
        </w:trPr>
        <w:tc>
          <w:tcPr>
            <w:tcW w:w="124"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549" w:type="pct"/>
            <w:gridSpan w:val="2"/>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p>
        </w:tc>
        <w:tc>
          <w:tcPr>
            <w:tcW w:w="335"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1#</w:t>
            </w:r>
            <w:r>
              <w:rPr>
                <w:rFonts w:cs="Times New Roman"/>
                <w:kern w:val="0"/>
                <w:sz w:val="18"/>
                <w:szCs w:val="18"/>
              </w:rPr>
              <w:t>幸福佳园一期</w:t>
            </w:r>
          </w:p>
        </w:tc>
        <w:tc>
          <w:tcPr>
            <w:tcW w:w="21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46.00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51.62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48.56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52.67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49.41</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6.67</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7.51</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-7.33</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-0.59</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p>
        </w:tc>
        <w:tc>
          <w:tcPr>
            <w:tcW w:w="335"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44.80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41.50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52.79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49.73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53.43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50.34</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8.63</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8.84</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-6.57</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0.34</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3"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43.80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38.10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56.94</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53.88</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57.15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53.99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13.35</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15.89</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-2.85</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3.99</w:t>
            </w:r>
          </w:p>
        </w:tc>
      </w:tr>
      <w:tr w:rsidR="00A46452">
        <w:trPr>
          <w:trHeight w:val="9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p>
        </w:tc>
        <w:tc>
          <w:tcPr>
            <w:tcW w:w="335" w:type="pct"/>
            <w:vMerge w:val="restar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2#</w:t>
            </w:r>
            <w:r>
              <w:rPr>
                <w:rFonts w:cs="Times New Roman"/>
                <w:kern w:val="0"/>
                <w:sz w:val="18"/>
                <w:szCs w:val="18"/>
              </w:rPr>
              <w:t>柯坪湖州小学</w:t>
            </w:r>
          </w:p>
        </w:tc>
        <w:tc>
          <w:tcPr>
            <w:tcW w:w="213" w:type="pc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47.20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41.30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30.13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27.07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47.28</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41.46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0.08</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0.16</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-12.72</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-8.54</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3"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48.15</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40.90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39.65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36.58</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48.72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42.27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0.57</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1.37</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-11.28</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-7.73</w:t>
            </w:r>
          </w:p>
        </w:tc>
      </w:tr>
      <w:tr w:rsidR="00A46452">
        <w:trPr>
          <w:trHeight w:val="314"/>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w:t>
            </w:r>
          </w:p>
        </w:tc>
        <w:tc>
          <w:tcPr>
            <w:tcW w:w="549" w:type="pct"/>
            <w:gridSpan w:val="2"/>
            <w:tcBorders>
              <w:top w:val="single" w:sz="4" w:space="0" w:color="auto"/>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3#</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48.2</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41.4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43.50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37.10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33.75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30.93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43.94</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38.04</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0.44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0.94</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-16.06</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-11.96</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w:t>
            </w:r>
          </w:p>
        </w:tc>
        <w:tc>
          <w:tcPr>
            <w:tcW w:w="549" w:type="pct"/>
            <w:gridSpan w:val="2"/>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4#</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49.4</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46.90</w:t>
            </w:r>
          </w:p>
        </w:tc>
        <w:tc>
          <w:tcPr>
            <w:tcW w:w="282"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37.90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35.80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32.99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47.22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39.12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0.32</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1.22</w:t>
            </w:r>
          </w:p>
        </w:tc>
        <w:tc>
          <w:tcPr>
            <w:tcW w:w="32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-12.78</w:t>
            </w:r>
          </w:p>
        </w:tc>
        <w:tc>
          <w:tcPr>
            <w:tcW w:w="25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-10.88</w:t>
            </w:r>
          </w:p>
        </w:tc>
      </w:tr>
    </w:tbl>
    <w:p w:rsidR="00A46452" w:rsidRDefault="009A3928">
      <w:pPr>
        <w:pStyle w:val="affff9"/>
        <w:ind w:firstLineChars="0" w:firstLine="0"/>
        <w:jc w:val="both"/>
        <w:rPr>
          <w:rFonts w:cs="Times New Roman"/>
        </w:rPr>
      </w:pPr>
      <w:r>
        <w:rPr>
          <w:rFonts w:cs="Times New Roman" w:hint="eastAsia"/>
        </w:rPr>
        <w:t>表</w:t>
      </w:r>
      <w:r>
        <w:rPr>
          <w:rFonts w:cs="Times New Roman" w:hint="eastAsia"/>
        </w:rPr>
        <w:t>7</w:t>
      </w:r>
      <w:r>
        <w:rPr>
          <w:rFonts w:cs="Times New Roman"/>
        </w:rPr>
        <w:t>.</w:t>
      </w:r>
      <w:r>
        <w:rPr>
          <w:rFonts w:cs="Times New Roman"/>
        </w:rPr>
        <w:t>4</w:t>
      </w:r>
      <w:r>
        <w:rPr>
          <w:rFonts w:cs="Times New Roman"/>
        </w:rPr>
        <w:t>-1</w:t>
      </w:r>
      <w:r>
        <w:rPr>
          <w:rFonts w:cs="Times New Roman" w:hint="eastAsia"/>
        </w:rPr>
        <w:t>6</w:t>
      </w:r>
      <w:r>
        <w:rPr>
          <w:rFonts w:cs="Times New Roman"/>
        </w:rPr>
        <w:t xml:space="preserve">                                 </w:t>
      </w:r>
      <w:r>
        <w:rPr>
          <w:rFonts w:cs="Times New Roman"/>
        </w:rPr>
        <w:t xml:space="preserve"> </w:t>
      </w:r>
      <w:r>
        <w:rPr>
          <w:rFonts w:cs="Times New Roman"/>
        </w:rPr>
        <w:t>沿线敏感点</w:t>
      </w:r>
      <w:r>
        <w:rPr>
          <w:rFonts w:cs="Times New Roman"/>
        </w:rPr>
        <w:t>中期（</w:t>
      </w:r>
      <w:r>
        <w:rPr>
          <w:rFonts w:cs="Times New Roman"/>
        </w:rPr>
        <w:t>2033</w:t>
      </w:r>
      <w:r>
        <w:rPr>
          <w:rFonts w:cs="Times New Roman"/>
        </w:rPr>
        <w:t>）</w:t>
      </w:r>
      <w:r>
        <w:rPr>
          <w:rFonts w:cs="Times New Roman"/>
        </w:rPr>
        <w:t>预测结果（单位：</w:t>
      </w:r>
      <w:r>
        <w:rPr>
          <w:rFonts w:cs="Times New Roman"/>
        </w:rPr>
        <w:t>dB</w:t>
      </w:r>
      <w:r>
        <w:rPr>
          <w:rFonts w:cs="Times New Roman"/>
        </w:rPr>
        <w:t>（</w:t>
      </w:r>
      <w:r>
        <w:rPr>
          <w:rFonts w:cs="Times New Roman"/>
        </w:rPr>
        <w:t>A</w:t>
      </w:r>
      <w:r>
        <w:rPr>
          <w:rFonts w:cs="Times New Roman"/>
        </w:rPr>
        <w:t>））</w:t>
      </w:r>
    </w:p>
    <w:tbl>
      <w:tblPr>
        <w:tblW w:w="5486"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7"/>
        <w:gridCol w:w="993"/>
        <w:gridCol w:w="636"/>
        <w:gridCol w:w="653"/>
        <w:gridCol w:w="656"/>
        <w:gridCol w:w="937"/>
        <w:gridCol w:w="837"/>
        <w:gridCol w:w="748"/>
        <w:gridCol w:w="736"/>
        <w:gridCol w:w="810"/>
        <w:gridCol w:w="810"/>
        <w:gridCol w:w="810"/>
        <w:gridCol w:w="809"/>
        <w:gridCol w:w="809"/>
        <w:gridCol w:w="936"/>
        <w:gridCol w:w="968"/>
        <w:gridCol w:w="771"/>
        <w:gridCol w:w="726"/>
        <w:gridCol w:w="750"/>
      </w:tblGrid>
      <w:tr w:rsidR="00A46452">
        <w:trPr>
          <w:trHeight w:val="300"/>
          <w:jc w:val="center"/>
        </w:trPr>
        <w:tc>
          <w:tcPr>
            <w:tcW w:w="124"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序号</w:t>
            </w:r>
          </w:p>
        </w:tc>
        <w:tc>
          <w:tcPr>
            <w:tcW w:w="550" w:type="pct"/>
            <w:gridSpan w:val="2"/>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声环境保护目标名称</w:t>
            </w:r>
          </w:p>
        </w:tc>
        <w:tc>
          <w:tcPr>
            <w:tcW w:w="443" w:type="pct"/>
            <w:gridSpan w:val="2"/>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背景值</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r>
      <w:tr w:rsidR="00A46452">
        <w:trPr>
          <w:trHeight w:val="300"/>
          <w:jc w:val="center"/>
        </w:trPr>
        <w:tc>
          <w:tcPr>
            <w:tcW w:w="124"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550" w:type="pct"/>
            <w:gridSpan w:val="2"/>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w:t>
            </w:r>
            <w:r>
              <w:rPr>
                <w:rFonts w:cs="Times New Roman"/>
                <w:sz w:val="18"/>
                <w:szCs w:val="18"/>
              </w:rPr>
              <w:t>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p>
        </w:tc>
        <w:tc>
          <w:tcPr>
            <w:tcW w:w="335"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1#</w:t>
            </w:r>
            <w:r>
              <w:rPr>
                <w:rFonts w:cs="Times New Roman"/>
                <w:kern w:val="0"/>
                <w:sz w:val="18"/>
                <w:szCs w:val="18"/>
              </w:rPr>
              <w:t>幸福佳园一期</w:t>
            </w:r>
          </w:p>
        </w:tc>
        <w:tc>
          <w:tcPr>
            <w:tcW w:w="21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46.00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52.61</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49.58</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53.47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50.26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7.47</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8.36</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-6.53</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0.26</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p>
        </w:tc>
        <w:tc>
          <w:tcPr>
            <w:tcW w:w="335"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44.80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41.50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53.77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50.74</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54.29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51.23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9.49</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9.73</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-5.71</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1.23</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43.80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38.10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58.16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55.13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58.32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55.22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14.52</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17.12</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-1.68</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5.22</w:t>
            </w:r>
          </w:p>
        </w:tc>
      </w:tr>
      <w:tr w:rsidR="00A46452">
        <w:trPr>
          <w:trHeight w:val="9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p>
        </w:tc>
        <w:tc>
          <w:tcPr>
            <w:tcW w:w="335" w:type="pct"/>
            <w:vMerge w:val="restar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2#</w:t>
            </w:r>
            <w:r>
              <w:rPr>
                <w:rFonts w:cs="Times New Roman"/>
                <w:kern w:val="0"/>
                <w:sz w:val="18"/>
                <w:szCs w:val="18"/>
              </w:rPr>
              <w:t>柯坪湖州小学</w:t>
            </w:r>
          </w:p>
        </w:tc>
        <w:tc>
          <w:tcPr>
            <w:tcW w:w="214" w:type="pc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47.20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41.30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31.66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28.63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47.32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41.53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0.12</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0.23</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-12.68</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-8.47</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48.15</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40.90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41.19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38.16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48.95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42.75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0.80</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1.85</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-11.05</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-7.25</w:t>
            </w:r>
          </w:p>
        </w:tc>
      </w:tr>
      <w:tr w:rsidR="00A46452">
        <w:trPr>
          <w:trHeight w:val="314"/>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w:t>
            </w:r>
          </w:p>
        </w:tc>
        <w:tc>
          <w:tcPr>
            <w:tcW w:w="550" w:type="pct"/>
            <w:gridSpan w:val="2"/>
            <w:tcBorders>
              <w:top w:val="single" w:sz="4" w:space="0" w:color="auto"/>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3#</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48.2</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41.4</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43.50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37.10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34.96</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31.75</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44.07</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38.21</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0.57</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1.11</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-15.93</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-11.79</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w:t>
            </w:r>
          </w:p>
        </w:tc>
        <w:tc>
          <w:tcPr>
            <w:tcW w:w="550" w:type="pct"/>
            <w:gridSpan w:val="2"/>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4#</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49.4</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46.90</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37.90</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36.63</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33.42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47.29</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39.22</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0.39</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1.32</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-12.71</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-10.78</w:t>
            </w:r>
          </w:p>
        </w:tc>
      </w:tr>
    </w:tbl>
    <w:p w:rsidR="00A46452" w:rsidRDefault="009A3928">
      <w:pPr>
        <w:pStyle w:val="affff9"/>
        <w:ind w:firstLineChars="0" w:firstLine="0"/>
        <w:jc w:val="both"/>
        <w:rPr>
          <w:rFonts w:cs="Times New Roman"/>
        </w:rPr>
      </w:pPr>
      <w:r>
        <w:rPr>
          <w:rFonts w:cs="Times New Roman" w:hint="eastAsia"/>
        </w:rPr>
        <w:t>表</w:t>
      </w:r>
      <w:r>
        <w:rPr>
          <w:rFonts w:cs="Times New Roman" w:hint="eastAsia"/>
        </w:rPr>
        <w:t>7</w:t>
      </w:r>
      <w:r>
        <w:rPr>
          <w:rFonts w:cs="Times New Roman"/>
        </w:rPr>
        <w:t>.</w:t>
      </w:r>
      <w:r>
        <w:rPr>
          <w:rFonts w:cs="Times New Roman"/>
        </w:rPr>
        <w:t>4</w:t>
      </w:r>
      <w:r>
        <w:rPr>
          <w:rFonts w:cs="Times New Roman"/>
        </w:rPr>
        <w:t>-1</w:t>
      </w:r>
      <w:r>
        <w:rPr>
          <w:rFonts w:cs="Times New Roman" w:hint="eastAsia"/>
        </w:rPr>
        <w:t>7</w:t>
      </w:r>
      <w:r>
        <w:rPr>
          <w:rFonts w:cs="Times New Roman"/>
        </w:rPr>
        <w:t xml:space="preserve">                                </w:t>
      </w:r>
      <w:r>
        <w:rPr>
          <w:rFonts w:cs="Times New Roman"/>
        </w:rPr>
        <w:t xml:space="preserve"> </w:t>
      </w:r>
      <w:r>
        <w:rPr>
          <w:rFonts w:cs="Times New Roman"/>
        </w:rPr>
        <w:t xml:space="preserve"> </w:t>
      </w:r>
      <w:r>
        <w:rPr>
          <w:rFonts w:cs="Times New Roman"/>
        </w:rPr>
        <w:t>沿线敏感点</w:t>
      </w:r>
      <w:r>
        <w:rPr>
          <w:rFonts w:cs="Times New Roman"/>
        </w:rPr>
        <w:t>远期（</w:t>
      </w:r>
      <w:r>
        <w:rPr>
          <w:rFonts w:cs="Times New Roman"/>
        </w:rPr>
        <w:t>2041</w:t>
      </w:r>
      <w:r>
        <w:rPr>
          <w:rFonts w:cs="Times New Roman"/>
        </w:rPr>
        <w:t>）</w:t>
      </w:r>
      <w:r>
        <w:rPr>
          <w:rFonts w:cs="Times New Roman"/>
        </w:rPr>
        <w:t>预测结果（单位：</w:t>
      </w:r>
      <w:r>
        <w:rPr>
          <w:rFonts w:cs="Times New Roman"/>
        </w:rPr>
        <w:t>dB</w:t>
      </w:r>
      <w:r>
        <w:rPr>
          <w:rFonts w:cs="Times New Roman"/>
        </w:rPr>
        <w:t>（</w:t>
      </w:r>
      <w:r>
        <w:rPr>
          <w:rFonts w:cs="Times New Roman"/>
        </w:rPr>
        <w:t>A</w:t>
      </w:r>
      <w:r>
        <w:rPr>
          <w:rFonts w:cs="Times New Roman"/>
        </w:rPr>
        <w:t>））</w:t>
      </w:r>
    </w:p>
    <w:tbl>
      <w:tblPr>
        <w:tblW w:w="5486"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7"/>
        <w:gridCol w:w="993"/>
        <w:gridCol w:w="636"/>
        <w:gridCol w:w="653"/>
        <w:gridCol w:w="656"/>
        <w:gridCol w:w="937"/>
        <w:gridCol w:w="837"/>
        <w:gridCol w:w="748"/>
        <w:gridCol w:w="736"/>
        <w:gridCol w:w="810"/>
        <w:gridCol w:w="810"/>
        <w:gridCol w:w="810"/>
        <w:gridCol w:w="809"/>
        <w:gridCol w:w="809"/>
        <w:gridCol w:w="936"/>
        <w:gridCol w:w="968"/>
        <w:gridCol w:w="771"/>
        <w:gridCol w:w="726"/>
        <w:gridCol w:w="750"/>
      </w:tblGrid>
      <w:tr w:rsidR="00A46452">
        <w:trPr>
          <w:trHeight w:val="300"/>
          <w:jc w:val="center"/>
        </w:trPr>
        <w:tc>
          <w:tcPr>
            <w:tcW w:w="124"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序号</w:t>
            </w:r>
          </w:p>
        </w:tc>
        <w:tc>
          <w:tcPr>
            <w:tcW w:w="550" w:type="pct"/>
            <w:gridSpan w:val="2"/>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声环境保护目标名称</w:t>
            </w:r>
          </w:p>
        </w:tc>
        <w:tc>
          <w:tcPr>
            <w:tcW w:w="443" w:type="pct"/>
            <w:gridSpan w:val="2"/>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背景值</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噪声现状值</w:t>
            </w:r>
            <w:r>
              <w:rPr>
                <w:rFonts w:cs="Times New Roman"/>
                <w:sz w:val="18"/>
                <w:szCs w:val="18"/>
              </w:rPr>
              <w:t>/dB(A)</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噪声标准</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噪声贡献值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噪声预测值</w:t>
            </w:r>
            <w:r>
              <w:rPr>
                <w:rFonts w:cs="Times New Roman"/>
                <w:sz w:val="18"/>
                <w:szCs w:val="18"/>
              </w:rPr>
              <w:t>/dB(A)</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较现状增量</w:t>
            </w:r>
            <w:r>
              <w:rPr>
                <w:rFonts w:cs="Times New Roman"/>
                <w:sz w:val="18"/>
                <w:szCs w:val="18"/>
              </w:rPr>
              <w:t>/dB(A)</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超标和达标情况</w:t>
            </w:r>
            <w:r>
              <w:rPr>
                <w:rFonts w:cs="Times New Roman"/>
                <w:sz w:val="18"/>
                <w:szCs w:val="18"/>
              </w:rPr>
              <w:t>/dB(A)</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w:t>
            </w:r>
            <w:r>
              <w:rPr>
                <w:rFonts w:cs="Times New Roman"/>
                <w:sz w:val="18"/>
                <w:szCs w:val="18"/>
              </w:rPr>
              <w:t>/dB(A)</w:t>
            </w:r>
          </w:p>
        </w:tc>
      </w:tr>
      <w:tr w:rsidR="00A46452">
        <w:trPr>
          <w:trHeight w:val="300"/>
          <w:jc w:val="center"/>
        </w:trPr>
        <w:tc>
          <w:tcPr>
            <w:tcW w:w="124"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550" w:type="pct"/>
            <w:gridSpan w:val="2"/>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2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w:t>
            </w:r>
            <w:r>
              <w:rPr>
                <w:rFonts w:cs="Times New Roman"/>
                <w:sz w:val="18"/>
                <w:szCs w:val="18"/>
              </w:rPr>
              <w:t>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8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53"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49"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7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31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327"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61"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246"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25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p>
        </w:tc>
        <w:tc>
          <w:tcPr>
            <w:tcW w:w="335" w:type="pct"/>
            <w:vMerge w:val="restar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1#</w:t>
            </w:r>
            <w:r>
              <w:rPr>
                <w:rFonts w:cs="Times New Roman"/>
                <w:kern w:val="0"/>
                <w:sz w:val="18"/>
                <w:szCs w:val="18"/>
              </w:rPr>
              <w:t>幸福佳园一期</w:t>
            </w:r>
          </w:p>
        </w:tc>
        <w:tc>
          <w:tcPr>
            <w:tcW w:w="21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93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46.00</w:t>
            </w:r>
          </w:p>
        </w:tc>
        <w:tc>
          <w:tcPr>
            <w:tcW w:w="8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41.90</w:t>
            </w:r>
          </w:p>
        </w:tc>
        <w:tc>
          <w:tcPr>
            <w:tcW w:w="749"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7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54.03</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51.14</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54.66</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51.63</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8.66</w:t>
            </w:r>
          </w:p>
        </w:tc>
        <w:tc>
          <w:tcPr>
            <w:tcW w:w="935"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9.73</w:t>
            </w:r>
          </w:p>
        </w:tc>
        <w:tc>
          <w:tcPr>
            <w:tcW w:w="96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77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727"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-5.34</w:t>
            </w:r>
          </w:p>
        </w:tc>
        <w:tc>
          <w:tcPr>
            <w:tcW w:w="75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1.63</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w:t>
            </w:r>
          </w:p>
        </w:tc>
        <w:tc>
          <w:tcPr>
            <w:tcW w:w="335" w:type="pct"/>
            <w:vMerge/>
            <w:tcBorders>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93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44.80</w:t>
            </w:r>
          </w:p>
        </w:tc>
        <w:tc>
          <w:tcPr>
            <w:tcW w:w="8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41.50</w:t>
            </w:r>
          </w:p>
        </w:tc>
        <w:tc>
          <w:tcPr>
            <w:tcW w:w="749"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7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55.20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52.31</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55.58</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52.66</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10.78</w:t>
            </w:r>
          </w:p>
        </w:tc>
        <w:tc>
          <w:tcPr>
            <w:tcW w:w="935"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11.16</w:t>
            </w:r>
          </w:p>
        </w:tc>
        <w:tc>
          <w:tcPr>
            <w:tcW w:w="96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77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727"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-4.42</w:t>
            </w:r>
          </w:p>
        </w:tc>
        <w:tc>
          <w:tcPr>
            <w:tcW w:w="75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2.66</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39.9</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37.4</w:t>
            </w:r>
          </w:p>
        </w:tc>
        <w:tc>
          <w:tcPr>
            <w:tcW w:w="93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43.80</w:t>
            </w:r>
          </w:p>
        </w:tc>
        <w:tc>
          <w:tcPr>
            <w:tcW w:w="8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38.10</w:t>
            </w:r>
          </w:p>
        </w:tc>
        <w:tc>
          <w:tcPr>
            <w:tcW w:w="749"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7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59.63</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56.74</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59.74</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56.80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15.94</w:t>
            </w:r>
          </w:p>
        </w:tc>
        <w:tc>
          <w:tcPr>
            <w:tcW w:w="935"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18.70</w:t>
            </w:r>
          </w:p>
        </w:tc>
        <w:tc>
          <w:tcPr>
            <w:tcW w:w="96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77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727"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-0.26</w:t>
            </w:r>
          </w:p>
        </w:tc>
        <w:tc>
          <w:tcPr>
            <w:tcW w:w="75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6.80</w:t>
            </w:r>
          </w:p>
        </w:tc>
      </w:tr>
      <w:tr w:rsidR="00A46452">
        <w:trPr>
          <w:trHeight w:val="9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w:t>
            </w:r>
          </w:p>
        </w:tc>
        <w:tc>
          <w:tcPr>
            <w:tcW w:w="335" w:type="pct"/>
            <w:vMerge w:val="restar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2#</w:t>
            </w:r>
            <w:r>
              <w:rPr>
                <w:rFonts w:cs="Times New Roman"/>
                <w:kern w:val="0"/>
                <w:sz w:val="18"/>
                <w:szCs w:val="18"/>
              </w:rPr>
              <w:t>柯坪湖州小学</w:t>
            </w:r>
          </w:p>
        </w:tc>
        <w:tc>
          <w:tcPr>
            <w:tcW w:w="214" w:type="pct"/>
            <w:tcBorders>
              <w:top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934"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47.20</w:t>
            </w:r>
          </w:p>
        </w:tc>
        <w:tc>
          <w:tcPr>
            <w:tcW w:w="83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41.30</w:t>
            </w:r>
          </w:p>
        </w:tc>
        <w:tc>
          <w:tcPr>
            <w:tcW w:w="749"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60.00</w:t>
            </w:r>
          </w:p>
        </w:tc>
        <w:tc>
          <w:tcPr>
            <w:tcW w:w="73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50.00</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33.16</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30.27</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47.37</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41.63</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0.17</w:t>
            </w:r>
          </w:p>
        </w:tc>
        <w:tc>
          <w:tcPr>
            <w:tcW w:w="935"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0.33</w:t>
            </w:r>
          </w:p>
        </w:tc>
        <w:tc>
          <w:tcPr>
            <w:tcW w:w="96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达标</w:t>
            </w:r>
          </w:p>
        </w:tc>
        <w:tc>
          <w:tcPr>
            <w:tcW w:w="773"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达标</w:t>
            </w:r>
          </w:p>
        </w:tc>
        <w:tc>
          <w:tcPr>
            <w:tcW w:w="727"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-12.63</w:t>
            </w:r>
          </w:p>
        </w:tc>
        <w:tc>
          <w:tcPr>
            <w:tcW w:w="75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-8.37</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w:t>
            </w:r>
          </w:p>
        </w:tc>
        <w:tc>
          <w:tcPr>
            <w:tcW w:w="335" w:type="pct"/>
            <w:vMerge/>
            <w:tcBorders>
              <w:bottom w:val="single" w:sz="4" w:space="0" w:color="auto"/>
              <w:tl2br w:val="nil"/>
              <w:tr2bl w:val="nil"/>
            </w:tcBorders>
            <w:shd w:val="clear" w:color="auto" w:fill="auto"/>
            <w:noWrap/>
            <w:vAlign w:val="center"/>
          </w:tcPr>
          <w:p w:rsidR="00A46452" w:rsidRDefault="00A46452">
            <w:pPr>
              <w:spacing w:line="240" w:lineRule="auto"/>
              <w:ind w:firstLineChars="0" w:firstLine="0"/>
              <w:jc w:val="center"/>
              <w:rPr>
                <w:rFonts w:cs="Times New Roman"/>
                <w:sz w:val="18"/>
                <w:szCs w:val="18"/>
              </w:rPr>
            </w:pPr>
          </w:p>
        </w:tc>
        <w:tc>
          <w:tcPr>
            <w:tcW w:w="214" w:type="pct"/>
            <w:tcBorders>
              <w:bottom w:val="single" w:sz="4" w:space="0" w:color="auto"/>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3</w:t>
            </w:r>
            <w:r>
              <w:rPr>
                <w:rFonts w:cs="Times New Roman"/>
                <w:sz w:val="18"/>
                <w:szCs w:val="18"/>
              </w:rPr>
              <w:t>层</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36.0</w:t>
            </w:r>
          </w:p>
        </w:tc>
        <w:tc>
          <w:tcPr>
            <w:tcW w:w="934"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48.15</w:t>
            </w:r>
          </w:p>
        </w:tc>
        <w:tc>
          <w:tcPr>
            <w:tcW w:w="83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40.90</w:t>
            </w:r>
          </w:p>
        </w:tc>
        <w:tc>
          <w:tcPr>
            <w:tcW w:w="749"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60.00</w:t>
            </w:r>
          </w:p>
        </w:tc>
        <w:tc>
          <w:tcPr>
            <w:tcW w:w="73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50.00</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42.69</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39.80</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49.24</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43.40</w:t>
            </w:r>
          </w:p>
        </w:tc>
        <w:tc>
          <w:tcPr>
            <w:tcW w:w="81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1.09</w:t>
            </w:r>
          </w:p>
        </w:tc>
        <w:tc>
          <w:tcPr>
            <w:tcW w:w="935"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2.50</w:t>
            </w:r>
          </w:p>
        </w:tc>
        <w:tc>
          <w:tcPr>
            <w:tcW w:w="966"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达标</w:t>
            </w:r>
          </w:p>
        </w:tc>
        <w:tc>
          <w:tcPr>
            <w:tcW w:w="773"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达标</w:t>
            </w:r>
          </w:p>
        </w:tc>
        <w:tc>
          <w:tcPr>
            <w:tcW w:w="727"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-10.76</w:t>
            </w:r>
          </w:p>
        </w:tc>
        <w:tc>
          <w:tcPr>
            <w:tcW w:w="751" w:type="dxa"/>
            <w:tcBorders>
              <w:tl2br w:val="nil"/>
              <w:tr2bl w:val="nil"/>
            </w:tcBorders>
            <w:shd w:val="clear" w:color="auto" w:fill="auto"/>
            <w:noWrap/>
            <w:vAlign w:val="center"/>
          </w:tcPr>
          <w:p w:rsidR="00A46452" w:rsidRDefault="009A3928">
            <w:pPr>
              <w:pStyle w:val="affff9"/>
              <w:spacing w:line="240" w:lineRule="auto"/>
              <w:ind w:firstLineChars="0" w:firstLine="0"/>
              <w:rPr>
                <w:rFonts w:eastAsia="宋体" w:cs="Times New Roman"/>
                <w:sz w:val="18"/>
                <w:szCs w:val="18"/>
              </w:rPr>
            </w:pPr>
            <w:r>
              <w:rPr>
                <w:rFonts w:eastAsia="宋体" w:cs="Times New Roman"/>
                <w:sz w:val="18"/>
                <w:szCs w:val="18"/>
              </w:rPr>
              <w:t>-6.60</w:t>
            </w:r>
          </w:p>
        </w:tc>
      </w:tr>
      <w:tr w:rsidR="00A46452">
        <w:trPr>
          <w:trHeight w:val="314"/>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w:t>
            </w:r>
          </w:p>
        </w:tc>
        <w:tc>
          <w:tcPr>
            <w:tcW w:w="550" w:type="pct"/>
            <w:gridSpan w:val="2"/>
            <w:tcBorders>
              <w:top w:val="single" w:sz="4" w:space="0" w:color="auto"/>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3#</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48.2</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41.4</w:t>
            </w:r>
          </w:p>
        </w:tc>
        <w:tc>
          <w:tcPr>
            <w:tcW w:w="93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46.00</w:t>
            </w:r>
          </w:p>
        </w:tc>
        <w:tc>
          <w:tcPr>
            <w:tcW w:w="8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41.90</w:t>
            </w:r>
          </w:p>
        </w:tc>
        <w:tc>
          <w:tcPr>
            <w:tcW w:w="749"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7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54.03</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51.14</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54.66</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51.63</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8.66</w:t>
            </w:r>
          </w:p>
        </w:tc>
        <w:tc>
          <w:tcPr>
            <w:tcW w:w="935"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9.73</w:t>
            </w:r>
          </w:p>
        </w:tc>
        <w:tc>
          <w:tcPr>
            <w:tcW w:w="96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77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727"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-5.34</w:t>
            </w:r>
          </w:p>
        </w:tc>
        <w:tc>
          <w:tcPr>
            <w:tcW w:w="75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1.63</w:t>
            </w:r>
          </w:p>
        </w:tc>
      </w:tr>
      <w:tr w:rsidR="00A46452">
        <w:trPr>
          <w:trHeight w:val="300"/>
          <w:jc w:val="center"/>
        </w:trPr>
        <w:tc>
          <w:tcPr>
            <w:tcW w:w="124" w:type="pct"/>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7</w:t>
            </w:r>
          </w:p>
        </w:tc>
        <w:tc>
          <w:tcPr>
            <w:tcW w:w="550" w:type="pct"/>
            <w:gridSpan w:val="2"/>
            <w:tcBorders>
              <w:tl2br w:val="nil"/>
              <w:tr2bl w:val="nil"/>
            </w:tcBorders>
            <w:shd w:val="clear" w:color="auto" w:fill="auto"/>
            <w:noWrap/>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kern w:val="0"/>
                <w:sz w:val="18"/>
                <w:szCs w:val="18"/>
              </w:rPr>
              <w:t>4#</w:t>
            </w:r>
            <w:r>
              <w:rPr>
                <w:rFonts w:cs="Times New Roman"/>
                <w:kern w:val="0"/>
                <w:sz w:val="18"/>
                <w:szCs w:val="18"/>
              </w:rPr>
              <w:t>居民区</w:t>
            </w:r>
          </w:p>
        </w:tc>
        <w:tc>
          <w:tcPr>
            <w:tcW w:w="654"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49.4</w:t>
            </w:r>
          </w:p>
        </w:tc>
        <w:tc>
          <w:tcPr>
            <w:tcW w:w="655" w:type="dxa"/>
            <w:tcBorders>
              <w:tl2br w:val="nil"/>
              <w:tr2bl w:val="nil"/>
            </w:tcBorders>
            <w:shd w:val="clear" w:color="auto" w:fill="auto"/>
            <w:noWrap/>
            <w:vAlign w:val="center"/>
          </w:tcPr>
          <w:p w:rsidR="00A46452" w:rsidRDefault="009A3928">
            <w:pPr>
              <w:wordWrap w:val="0"/>
              <w:topLinePunct/>
              <w:adjustRightInd w:val="0"/>
              <w:snapToGrid w:val="0"/>
              <w:spacing w:line="320" w:lineRule="exact"/>
              <w:ind w:firstLineChars="0" w:firstLine="0"/>
              <w:jc w:val="center"/>
              <w:rPr>
                <w:rFonts w:cs="Times New Roman"/>
                <w:sz w:val="18"/>
                <w:szCs w:val="18"/>
              </w:rPr>
            </w:pPr>
            <w:r>
              <w:rPr>
                <w:rFonts w:cs="Times New Roman"/>
                <w:kern w:val="0"/>
                <w:sz w:val="18"/>
                <w:szCs w:val="18"/>
              </w:rPr>
              <w:t>39.5</w:t>
            </w:r>
          </w:p>
        </w:tc>
        <w:tc>
          <w:tcPr>
            <w:tcW w:w="934"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44.80</w:t>
            </w:r>
          </w:p>
        </w:tc>
        <w:tc>
          <w:tcPr>
            <w:tcW w:w="8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41.50</w:t>
            </w:r>
          </w:p>
        </w:tc>
        <w:tc>
          <w:tcPr>
            <w:tcW w:w="749"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60.00</w:t>
            </w:r>
          </w:p>
        </w:tc>
        <w:tc>
          <w:tcPr>
            <w:tcW w:w="73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50.00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55.20</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52.31</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55.58</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52.66</w:t>
            </w:r>
          </w:p>
        </w:tc>
        <w:tc>
          <w:tcPr>
            <w:tcW w:w="81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10.78</w:t>
            </w:r>
          </w:p>
        </w:tc>
        <w:tc>
          <w:tcPr>
            <w:tcW w:w="935"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11.16</w:t>
            </w:r>
          </w:p>
        </w:tc>
        <w:tc>
          <w:tcPr>
            <w:tcW w:w="966"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达标</w:t>
            </w:r>
          </w:p>
        </w:tc>
        <w:tc>
          <w:tcPr>
            <w:tcW w:w="773"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w:t>
            </w:r>
          </w:p>
        </w:tc>
        <w:tc>
          <w:tcPr>
            <w:tcW w:w="727"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-4.42</w:t>
            </w:r>
          </w:p>
        </w:tc>
        <w:tc>
          <w:tcPr>
            <w:tcW w:w="751" w:type="dxa"/>
            <w:tcBorders>
              <w:tl2br w:val="nil"/>
              <w:tr2bl w:val="nil"/>
            </w:tcBorders>
            <w:shd w:val="clear" w:color="auto" w:fill="auto"/>
            <w:noWrap/>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2.66</w:t>
            </w:r>
          </w:p>
        </w:tc>
      </w:tr>
    </w:tbl>
    <w:p w:rsidR="00A46452" w:rsidRDefault="00A46452">
      <w:pPr>
        <w:pStyle w:val="affff9"/>
        <w:ind w:firstLineChars="300" w:firstLine="720"/>
        <w:jc w:val="both"/>
        <w:rPr>
          <w:rFonts w:cs="Times New Roman"/>
        </w:rPr>
      </w:pPr>
    </w:p>
    <w:p w:rsidR="00A46452" w:rsidRDefault="00A46452" w:rsidP="00182EED">
      <w:pPr>
        <w:ind w:firstLine="480"/>
        <w:rPr>
          <w:rFonts w:cs="Times New Roman"/>
        </w:rPr>
        <w:sectPr w:rsidR="00A46452">
          <w:pgSz w:w="16838" w:h="11906" w:orient="landscape"/>
          <w:pgMar w:top="1440" w:right="1800" w:bottom="1440" w:left="1800" w:header="862" w:footer="992" w:gutter="0"/>
          <w:cols w:space="425"/>
          <w:docGrid w:type="lines" w:linePitch="326"/>
        </w:sectPr>
      </w:pPr>
    </w:p>
    <w:p w:rsidR="00A46452" w:rsidRDefault="009A3928">
      <w:pPr>
        <w:ind w:firstLine="480"/>
        <w:rPr>
          <w:rFonts w:cs="Times New Roman"/>
        </w:rPr>
      </w:pPr>
      <w:r>
        <w:rPr>
          <w:rFonts w:cs="Times New Roman"/>
        </w:rPr>
        <w:t>拟建项目共有</w:t>
      </w:r>
      <w:r>
        <w:rPr>
          <w:rFonts w:cs="Times New Roman"/>
        </w:rPr>
        <w:t>4</w:t>
      </w:r>
      <w:r>
        <w:rPr>
          <w:rFonts w:cs="Times New Roman"/>
        </w:rPr>
        <w:t>处声环境敏感点，声环境预测结果和各敏感点超标情况见表</w:t>
      </w:r>
      <w:r>
        <w:rPr>
          <w:rFonts w:cs="Times New Roman" w:hint="eastAsia"/>
        </w:rPr>
        <w:t>7</w:t>
      </w:r>
      <w:r>
        <w:rPr>
          <w:rFonts w:cs="Times New Roman"/>
        </w:rPr>
        <w:t>.</w:t>
      </w:r>
      <w:r>
        <w:rPr>
          <w:rFonts w:cs="Times New Roman"/>
        </w:rPr>
        <w:t>4</w:t>
      </w:r>
      <w:r>
        <w:rPr>
          <w:rFonts w:cs="Times New Roman"/>
        </w:rPr>
        <w:t>-1</w:t>
      </w:r>
      <w:r>
        <w:rPr>
          <w:rFonts w:cs="Times New Roman" w:hint="eastAsia"/>
        </w:rPr>
        <w:t>8</w:t>
      </w:r>
      <w:r>
        <w:rPr>
          <w:rFonts w:cs="Times New Roman"/>
        </w:rPr>
        <w:t>。</w:t>
      </w:r>
    </w:p>
    <w:p w:rsidR="00A46452" w:rsidRDefault="009A3928">
      <w:pPr>
        <w:ind w:firstLineChars="0" w:firstLine="0"/>
        <w:rPr>
          <w:rFonts w:cs="Times New Roman"/>
          <w:b/>
          <w:bCs/>
        </w:rPr>
      </w:pPr>
      <w:r>
        <w:rPr>
          <w:rFonts w:cs="Times New Roman"/>
          <w:b/>
          <w:bCs/>
        </w:rPr>
        <w:t>表</w:t>
      </w:r>
      <w:r>
        <w:rPr>
          <w:rFonts w:cs="Times New Roman" w:hint="eastAsia"/>
          <w:b/>
          <w:bCs/>
        </w:rPr>
        <w:t>7</w:t>
      </w:r>
      <w:r>
        <w:rPr>
          <w:rFonts w:cs="Times New Roman"/>
          <w:b/>
          <w:bCs/>
        </w:rPr>
        <w:t>.</w:t>
      </w:r>
      <w:r>
        <w:rPr>
          <w:rFonts w:cs="Times New Roman"/>
          <w:b/>
          <w:bCs/>
        </w:rPr>
        <w:t>4</w:t>
      </w:r>
      <w:r>
        <w:rPr>
          <w:rFonts w:cs="Times New Roman"/>
          <w:b/>
          <w:bCs/>
        </w:rPr>
        <w:t>-1</w:t>
      </w:r>
      <w:r>
        <w:rPr>
          <w:rFonts w:cs="Times New Roman" w:hint="eastAsia"/>
          <w:b/>
          <w:bCs/>
        </w:rPr>
        <w:t>8</w:t>
      </w:r>
      <w:r>
        <w:rPr>
          <w:rFonts w:cs="Times New Roman"/>
          <w:b/>
          <w:bCs/>
        </w:rPr>
        <w:t xml:space="preserve">    </w:t>
      </w:r>
      <w:r>
        <w:rPr>
          <w:rFonts w:cs="Times New Roman"/>
          <w:b/>
          <w:bCs/>
        </w:rPr>
        <w:t xml:space="preserve">         </w:t>
      </w:r>
      <w:r>
        <w:rPr>
          <w:rFonts w:cs="Times New Roman"/>
          <w:b/>
          <w:bCs/>
        </w:rPr>
        <w:t>项目敏感点声环境预测结果统计表</w:t>
      </w:r>
    </w:p>
    <w:tbl>
      <w:tblPr>
        <w:tblStyle w:val="aff8"/>
        <w:tblW w:w="866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1"/>
        <w:gridCol w:w="425"/>
        <w:gridCol w:w="1984"/>
        <w:gridCol w:w="5830"/>
      </w:tblGrid>
      <w:tr w:rsidR="00A46452">
        <w:trPr>
          <w:trHeight w:val="665"/>
          <w:jc w:val="center"/>
        </w:trPr>
        <w:tc>
          <w:tcPr>
            <w:tcW w:w="2830" w:type="dxa"/>
            <w:gridSpan w:val="3"/>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 xml:space="preserve">                  </w:t>
            </w:r>
            <w:r>
              <w:rPr>
                <w:rFonts w:cs="Times New Roman"/>
                <w:sz w:val="18"/>
                <w:szCs w:val="18"/>
              </w:rPr>
              <w:t>项目</w:t>
            </w:r>
          </w:p>
          <w:p w:rsidR="00A46452" w:rsidRDefault="009A3928">
            <w:pPr>
              <w:spacing w:line="240" w:lineRule="auto"/>
              <w:ind w:firstLineChars="0" w:firstLine="0"/>
              <w:jc w:val="left"/>
              <w:rPr>
                <w:rFonts w:cs="Times New Roman"/>
                <w:sz w:val="18"/>
                <w:szCs w:val="18"/>
              </w:rPr>
            </w:pPr>
            <w:r>
              <w:rPr>
                <w:rFonts w:cs="Times New Roman"/>
                <w:sz w:val="18"/>
                <w:szCs w:val="18"/>
              </w:rPr>
              <w:t>营运期</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主线</w:t>
            </w:r>
          </w:p>
        </w:tc>
      </w:tr>
      <w:tr w:rsidR="00A46452">
        <w:trPr>
          <w:jc w:val="center"/>
        </w:trPr>
        <w:tc>
          <w:tcPr>
            <w:tcW w:w="421"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近期</w:t>
            </w:r>
          </w:p>
        </w:tc>
        <w:tc>
          <w:tcPr>
            <w:tcW w:w="425"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敏感点昼间</w:t>
            </w:r>
            <w:r>
              <w:rPr>
                <w:rFonts w:cs="Times New Roman"/>
                <w:sz w:val="18"/>
                <w:szCs w:val="18"/>
              </w:rPr>
              <w:t>均不</w:t>
            </w:r>
            <w:r>
              <w:rPr>
                <w:rFonts w:cs="Times New Roman"/>
                <w:sz w:val="18"/>
                <w:szCs w:val="18"/>
              </w:rPr>
              <w:t>超标</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处超标</w:t>
            </w:r>
          </w:p>
        </w:tc>
      </w:tr>
      <w:tr w:rsidR="00A46452">
        <w:trPr>
          <w:trHeight w:val="309"/>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0.34dB</w:t>
            </w:r>
            <w:r>
              <w:rPr>
                <w:rFonts w:cs="Times New Roman"/>
                <w:sz w:val="18"/>
                <w:szCs w:val="18"/>
              </w:rPr>
              <w:t>（</w:t>
            </w:r>
            <w:r>
              <w:rPr>
                <w:rFonts w:cs="Times New Roman"/>
                <w:sz w:val="18"/>
                <w:szCs w:val="18"/>
              </w:rPr>
              <w:t>A</w:t>
            </w:r>
            <w:r>
              <w:rPr>
                <w:rFonts w:cs="Times New Roman"/>
                <w:sz w:val="18"/>
                <w:szCs w:val="18"/>
              </w:rPr>
              <w:t>）</w:t>
            </w:r>
            <w:r>
              <w:rPr>
                <w:rFonts w:cs="Times New Roman"/>
                <w:sz w:val="18"/>
                <w:szCs w:val="18"/>
              </w:rPr>
              <w:t>、</w:t>
            </w:r>
            <w:r>
              <w:rPr>
                <w:rFonts w:cs="Times New Roman"/>
                <w:sz w:val="18"/>
                <w:szCs w:val="18"/>
              </w:rPr>
              <w:t>3.99dB</w:t>
            </w:r>
            <w:r>
              <w:rPr>
                <w:rFonts w:cs="Times New Roman"/>
                <w:sz w:val="18"/>
                <w:szCs w:val="18"/>
              </w:rPr>
              <w:t>（</w:t>
            </w:r>
            <w:r>
              <w:rPr>
                <w:rFonts w:cs="Times New Roman"/>
                <w:sz w:val="18"/>
                <w:szCs w:val="18"/>
              </w:rPr>
              <w:t>A</w:t>
            </w: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幸福佳园一期</w:t>
            </w:r>
          </w:p>
        </w:tc>
      </w:tr>
      <w:tr w:rsidR="00A46452">
        <w:trPr>
          <w:jc w:val="center"/>
        </w:trPr>
        <w:tc>
          <w:tcPr>
            <w:tcW w:w="421"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中期</w:t>
            </w:r>
          </w:p>
        </w:tc>
        <w:tc>
          <w:tcPr>
            <w:tcW w:w="425"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敏感点昼间均不超标</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b/>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夜间</w:t>
            </w:r>
          </w:p>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处超标</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0.26dB</w:t>
            </w:r>
            <w:r>
              <w:rPr>
                <w:rFonts w:cs="Times New Roman"/>
                <w:sz w:val="18"/>
                <w:szCs w:val="18"/>
              </w:rPr>
              <w:t>（</w:t>
            </w:r>
            <w:r>
              <w:rPr>
                <w:rFonts w:cs="Times New Roman"/>
                <w:sz w:val="18"/>
                <w:szCs w:val="18"/>
              </w:rPr>
              <w:t>A</w:t>
            </w:r>
            <w:r>
              <w:rPr>
                <w:rFonts w:cs="Times New Roman"/>
                <w:sz w:val="18"/>
                <w:szCs w:val="18"/>
              </w:rPr>
              <w:t>）</w:t>
            </w:r>
            <w:r>
              <w:rPr>
                <w:rFonts w:cs="Times New Roman"/>
                <w:sz w:val="18"/>
                <w:szCs w:val="18"/>
              </w:rPr>
              <w:t>-</w:t>
            </w:r>
            <w:r>
              <w:rPr>
                <w:rFonts w:cs="Times New Roman"/>
                <w:sz w:val="18"/>
                <w:szCs w:val="18"/>
              </w:rPr>
              <w:t>5.22dB</w:t>
            </w:r>
            <w:r>
              <w:rPr>
                <w:rFonts w:cs="Times New Roman"/>
                <w:sz w:val="18"/>
                <w:szCs w:val="18"/>
              </w:rPr>
              <w:t>（</w:t>
            </w:r>
            <w:r>
              <w:rPr>
                <w:rFonts w:cs="Times New Roman"/>
                <w:sz w:val="18"/>
                <w:szCs w:val="18"/>
              </w:rPr>
              <w:t>A</w:t>
            </w: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幸福佳园一期</w:t>
            </w:r>
          </w:p>
        </w:tc>
      </w:tr>
      <w:tr w:rsidR="00A46452">
        <w:trPr>
          <w:jc w:val="center"/>
        </w:trPr>
        <w:tc>
          <w:tcPr>
            <w:tcW w:w="421"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远期</w:t>
            </w:r>
          </w:p>
        </w:tc>
        <w:tc>
          <w:tcPr>
            <w:tcW w:w="425" w:type="dxa"/>
            <w:vMerge w:val="restart"/>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昼间</w:t>
            </w:r>
          </w:p>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shd w:val="clear" w:color="auto" w:fill="auto"/>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敏感点昼间</w:t>
            </w:r>
            <w:r>
              <w:rPr>
                <w:rFonts w:cs="Times New Roman"/>
                <w:sz w:val="18"/>
                <w:szCs w:val="18"/>
              </w:rPr>
              <w:t>均不</w:t>
            </w:r>
            <w:r>
              <w:rPr>
                <w:rFonts w:cs="Times New Roman"/>
                <w:sz w:val="18"/>
                <w:szCs w:val="18"/>
              </w:rPr>
              <w:t>超标</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b/>
                <w:sz w:val="18"/>
                <w:szCs w:val="18"/>
              </w:rPr>
            </w:pP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val="restart"/>
            <w:tcBorders>
              <w:tl2br w:val="nil"/>
              <w:tr2bl w:val="nil"/>
            </w:tcBorders>
            <w:vAlign w:val="center"/>
          </w:tcPr>
          <w:p w:rsidR="00A46452" w:rsidRDefault="00A46452">
            <w:pPr>
              <w:spacing w:line="240" w:lineRule="auto"/>
              <w:ind w:firstLineChars="0" w:firstLine="0"/>
              <w:jc w:val="center"/>
              <w:rPr>
                <w:rFonts w:cs="Times New Roman"/>
                <w:sz w:val="18"/>
                <w:szCs w:val="18"/>
              </w:rPr>
            </w:pPr>
          </w:p>
          <w:p w:rsidR="00A46452" w:rsidRDefault="009A3928">
            <w:pPr>
              <w:spacing w:line="240" w:lineRule="auto"/>
              <w:ind w:firstLineChars="0" w:firstLine="0"/>
              <w:jc w:val="center"/>
              <w:rPr>
                <w:rFonts w:cs="Times New Roman"/>
                <w:sz w:val="18"/>
                <w:szCs w:val="18"/>
              </w:rPr>
            </w:pPr>
            <w:r>
              <w:rPr>
                <w:rFonts w:cs="Times New Roman"/>
                <w:sz w:val="18"/>
                <w:szCs w:val="18"/>
              </w:rPr>
              <w:t>夜间</w:t>
            </w:r>
          </w:p>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超标个数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w:t>
            </w:r>
            <w:r>
              <w:rPr>
                <w:rFonts w:cs="Times New Roman"/>
                <w:sz w:val="18"/>
                <w:szCs w:val="18"/>
              </w:rPr>
              <w:t>处超标</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超标量范围</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1.63</w:t>
            </w:r>
            <w:r>
              <w:rPr>
                <w:rFonts w:cs="Times New Roman"/>
                <w:sz w:val="18"/>
                <w:szCs w:val="18"/>
              </w:rPr>
              <w:t>dB</w:t>
            </w:r>
            <w:r>
              <w:rPr>
                <w:rFonts w:cs="Times New Roman"/>
                <w:sz w:val="18"/>
                <w:szCs w:val="18"/>
              </w:rPr>
              <w:t>（</w:t>
            </w:r>
            <w:r>
              <w:rPr>
                <w:rFonts w:cs="Times New Roman"/>
                <w:sz w:val="18"/>
                <w:szCs w:val="18"/>
              </w:rPr>
              <w:t>A</w:t>
            </w:r>
            <w:r>
              <w:rPr>
                <w:rFonts w:cs="Times New Roman"/>
                <w:sz w:val="18"/>
                <w:szCs w:val="18"/>
              </w:rPr>
              <w:t>）</w:t>
            </w:r>
            <w:r>
              <w:rPr>
                <w:rFonts w:cs="Times New Roman"/>
                <w:sz w:val="18"/>
                <w:szCs w:val="18"/>
              </w:rPr>
              <w:t>-</w:t>
            </w:r>
            <w:r>
              <w:rPr>
                <w:rFonts w:cs="Times New Roman"/>
                <w:sz w:val="18"/>
                <w:szCs w:val="18"/>
              </w:rPr>
              <w:t>6.80</w:t>
            </w:r>
            <w:r>
              <w:rPr>
                <w:rFonts w:cs="Times New Roman"/>
                <w:sz w:val="18"/>
                <w:szCs w:val="18"/>
              </w:rPr>
              <w:t>dB</w:t>
            </w:r>
            <w:r>
              <w:rPr>
                <w:rFonts w:cs="Times New Roman"/>
                <w:sz w:val="18"/>
                <w:szCs w:val="18"/>
              </w:rPr>
              <w:t>（</w:t>
            </w:r>
            <w:r>
              <w:rPr>
                <w:rFonts w:cs="Times New Roman"/>
                <w:sz w:val="18"/>
                <w:szCs w:val="18"/>
              </w:rPr>
              <w:t>A</w:t>
            </w:r>
            <w:r>
              <w:rPr>
                <w:rFonts w:cs="Times New Roman"/>
                <w:sz w:val="18"/>
                <w:szCs w:val="18"/>
              </w:rPr>
              <w:t>）</w:t>
            </w:r>
          </w:p>
        </w:tc>
      </w:tr>
      <w:tr w:rsidR="00A46452">
        <w:trPr>
          <w:jc w:val="center"/>
        </w:trPr>
        <w:tc>
          <w:tcPr>
            <w:tcW w:w="421"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425" w:type="dxa"/>
            <w:vMerge/>
            <w:tcBorders>
              <w:tl2br w:val="nil"/>
              <w:tr2bl w:val="nil"/>
            </w:tcBorders>
            <w:vAlign w:val="center"/>
          </w:tcPr>
          <w:p w:rsidR="00A46452" w:rsidRDefault="00A46452">
            <w:pPr>
              <w:spacing w:line="240" w:lineRule="auto"/>
              <w:ind w:firstLineChars="0" w:firstLine="0"/>
              <w:jc w:val="center"/>
              <w:rPr>
                <w:rFonts w:cs="Times New Roman"/>
                <w:sz w:val="18"/>
                <w:szCs w:val="18"/>
              </w:rPr>
            </w:pPr>
          </w:p>
        </w:tc>
        <w:tc>
          <w:tcPr>
            <w:tcW w:w="1984"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szCs w:val="18"/>
              </w:rPr>
              <w:t>超标的敏感点名称</w:t>
            </w:r>
          </w:p>
        </w:tc>
        <w:tc>
          <w:tcPr>
            <w:tcW w:w="5830" w:type="dxa"/>
            <w:tcBorders>
              <w:tl2br w:val="nil"/>
              <w:tr2bl w:val="nil"/>
            </w:tcBorders>
            <w:vAlign w:val="center"/>
          </w:tcPr>
          <w:p w:rsidR="00A46452" w:rsidRDefault="009A3928">
            <w:pPr>
              <w:spacing w:line="240" w:lineRule="auto"/>
              <w:ind w:firstLineChars="0" w:firstLine="0"/>
              <w:jc w:val="center"/>
              <w:rPr>
                <w:rFonts w:cs="Times New Roman"/>
                <w:sz w:val="18"/>
                <w:szCs w:val="18"/>
              </w:rPr>
            </w:pPr>
            <w:r>
              <w:rPr>
                <w:rFonts w:cs="Times New Roman"/>
                <w:kern w:val="0"/>
                <w:sz w:val="18"/>
                <w:szCs w:val="18"/>
              </w:rPr>
              <w:t>幸福佳园一期</w:t>
            </w:r>
          </w:p>
        </w:tc>
      </w:tr>
    </w:tbl>
    <w:p w:rsidR="00A46452" w:rsidRDefault="009A3928" w:rsidP="00182EED">
      <w:pPr>
        <w:spacing w:beforeLines="50" w:before="165"/>
        <w:ind w:firstLine="480"/>
        <w:rPr>
          <w:rFonts w:cs="Times New Roman"/>
        </w:rPr>
      </w:pPr>
      <w:r>
        <w:rPr>
          <w:rFonts w:cs="Times New Roman"/>
        </w:rPr>
        <w:t>根据上述对敏感点目标环境噪声预测结果，可以看出可研推荐方案涉及的</w:t>
      </w:r>
      <w:r>
        <w:rPr>
          <w:rFonts w:cs="Times New Roman"/>
        </w:rPr>
        <w:t>4</w:t>
      </w:r>
      <w:r>
        <w:rPr>
          <w:rFonts w:cs="Times New Roman"/>
        </w:rPr>
        <w:t>处环境敏感点中，</w:t>
      </w:r>
      <w:r>
        <w:rPr>
          <w:rFonts w:cs="Times New Roman"/>
        </w:rPr>
        <w:t>近期</w:t>
      </w:r>
      <w:r>
        <w:rPr>
          <w:rFonts w:cs="Times New Roman"/>
        </w:rPr>
        <w:t>主线</w:t>
      </w:r>
      <w:r>
        <w:rPr>
          <w:rFonts w:cs="Times New Roman"/>
        </w:rPr>
        <w:t>4</w:t>
      </w:r>
      <w:r>
        <w:rPr>
          <w:rFonts w:cs="Times New Roman"/>
        </w:rPr>
        <w:t>处敏感点近期昼间无超标，夜间</w:t>
      </w:r>
      <w:r>
        <w:rPr>
          <w:rFonts w:cs="Times New Roman"/>
        </w:rPr>
        <w:t>1</w:t>
      </w:r>
      <w:r>
        <w:rPr>
          <w:rFonts w:cs="Times New Roman"/>
        </w:rPr>
        <w:t>处（为幸福佳园一期的</w:t>
      </w:r>
      <w:r>
        <w:rPr>
          <w:rFonts w:cs="Times New Roman"/>
        </w:rPr>
        <w:t>3</w:t>
      </w:r>
      <w:r>
        <w:rPr>
          <w:rFonts w:cs="Times New Roman"/>
        </w:rPr>
        <w:t>层及</w:t>
      </w:r>
      <w:r>
        <w:rPr>
          <w:rFonts w:cs="Times New Roman"/>
        </w:rPr>
        <w:t>5</w:t>
      </w:r>
      <w:r>
        <w:rPr>
          <w:rFonts w:cs="Times New Roman"/>
        </w:rPr>
        <w:t>层）超标，</w:t>
      </w:r>
      <w:r>
        <w:rPr>
          <w:rFonts w:cs="Times New Roman"/>
        </w:rPr>
        <w:t>超标量为</w:t>
      </w:r>
      <w:r>
        <w:rPr>
          <w:rFonts w:cs="Times New Roman"/>
        </w:rPr>
        <w:t>0.34dB</w:t>
      </w:r>
      <w:r>
        <w:rPr>
          <w:rFonts w:cs="Times New Roman"/>
        </w:rPr>
        <w:t>（</w:t>
      </w:r>
      <w:r>
        <w:rPr>
          <w:rFonts w:cs="Times New Roman"/>
        </w:rPr>
        <w:t>A</w:t>
      </w:r>
      <w:r>
        <w:rPr>
          <w:rFonts w:cs="Times New Roman"/>
        </w:rPr>
        <w:t>）、</w:t>
      </w:r>
      <w:r>
        <w:rPr>
          <w:rFonts w:cs="Times New Roman"/>
        </w:rPr>
        <w:t>3.99dB</w:t>
      </w:r>
      <w:r>
        <w:rPr>
          <w:rFonts w:cs="Times New Roman"/>
        </w:rPr>
        <w:t>（</w:t>
      </w:r>
      <w:r>
        <w:rPr>
          <w:rFonts w:cs="Times New Roman"/>
        </w:rPr>
        <w:t>A</w:t>
      </w:r>
      <w:r>
        <w:rPr>
          <w:rFonts w:cs="Times New Roman"/>
        </w:rPr>
        <w:t>）</w:t>
      </w:r>
      <w:r>
        <w:rPr>
          <w:rFonts w:cs="Times New Roman"/>
        </w:rPr>
        <w:t>；中期</w:t>
      </w:r>
      <w:r>
        <w:rPr>
          <w:rFonts w:cs="Times New Roman"/>
        </w:rPr>
        <w:t>昼间</w:t>
      </w:r>
      <w:r>
        <w:rPr>
          <w:rFonts w:cs="Times New Roman"/>
        </w:rPr>
        <w:t>无超标，夜间有</w:t>
      </w:r>
      <w:r>
        <w:rPr>
          <w:rFonts w:cs="Times New Roman"/>
        </w:rPr>
        <w:t>1</w:t>
      </w:r>
      <w:r>
        <w:rPr>
          <w:rFonts w:cs="Times New Roman"/>
        </w:rPr>
        <w:t>处超标</w:t>
      </w:r>
      <w:r>
        <w:rPr>
          <w:rFonts w:cs="Times New Roman"/>
        </w:rPr>
        <w:t>（</w:t>
      </w:r>
      <w:r>
        <w:rPr>
          <w:rFonts w:cs="Times New Roman"/>
        </w:rPr>
        <w:t>为幸福佳园一期的</w:t>
      </w:r>
      <w:r>
        <w:rPr>
          <w:rFonts w:cs="Times New Roman"/>
        </w:rPr>
        <w:t>1</w:t>
      </w:r>
      <w:r>
        <w:rPr>
          <w:rFonts w:cs="Times New Roman"/>
        </w:rPr>
        <w:t>层、</w:t>
      </w:r>
      <w:r>
        <w:rPr>
          <w:rFonts w:cs="Times New Roman"/>
        </w:rPr>
        <w:t>3</w:t>
      </w:r>
      <w:r>
        <w:rPr>
          <w:rFonts w:cs="Times New Roman"/>
        </w:rPr>
        <w:t>层及</w:t>
      </w:r>
      <w:r>
        <w:rPr>
          <w:rFonts w:cs="Times New Roman"/>
        </w:rPr>
        <w:t>5</w:t>
      </w:r>
      <w:r>
        <w:rPr>
          <w:rFonts w:cs="Times New Roman"/>
        </w:rPr>
        <w:t>层</w:t>
      </w:r>
      <w:r>
        <w:rPr>
          <w:rFonts w:cs="Times New Roman"/>
        </w:rPr>
        <w:t>）</w:t>
      </w:r>
      <w:r>
        <w:rPr>
          <w:rFonts w:cs="Times New Roman"/>
        </w:rPr>
        <w:t>，超标量为</w:t>
      </w:r>
      <w:r>
        <w:rPr>
          <w:rFonts w:cs="Times New Roman"/>
        </w:rPr>
        <w:t>0.26dB</w:t>
      </w:r>
      <w:r>
        <w:rPr>
          <w:rFonts w:cs="Times New Roman"/>
        </w:rPr>
        <w:t>（</w:t>
      </w:r>
      <w:r>
        <w:rPr>
          <w:rFonts w:cs="Times New Roman"/>
        </w:rPr>
        <w:t>A</w:t>
      </w:r>
      <w:r>
        <w:rPr>
          <w:rFonts w:cs="Times New Roman"/>
        </w:rPr>
        <w:t>）</w:t>
      </w:r>
      <w:r>
        <w:rPr>
          <w:rFonts w:cs="Times New Roman"/>
        </w:rPr>
        <w:t>-</w:t>
      </w:r>
      <w:r>
        <w:rPr>
          <w:rFonts w:cs="Times New Roman"/>
        </w:rPr>
        <w:t>5.22dB</w:t>
      </w:r>
      <w:r>
        <w:rPr>
          <w:rFonts w:cs="Times New Roman"/>
        </w:rPr>
        <w:t>（</w:t>
      </w:r>
      <w:r>
        <w:rPr>
          <w:rFonts w:cs="Times New Roman"/>
        </w:rPr>
        <w:t>A</w:t>
      </w:r>
      <w:r>
        <w:rPr>
          <w:rFonts w:cs="Times New Roman"/>
        </w:rPr>
        <w:t>）；远期昼间</w:t>
      </w:r>
      <w:r>
        <w:rPr>
          <w:rFonts w:cs="Times New Roman"/>
        </w:rPr>
        <w:t>无超标</w:t>
      </w:r>
      <w:r>
        <w:rPr>
          <w:rFonts w:cs="Times New Roman"/>
        </w:rPr>
        <w:t>，夜间有</w:t>
      </w:r>
      <w:r>
        <w:rPr>
          <w:rFonts w:cs="Times New Roman"/>
        </w:rPr>
        <w:t>1</w:t>
      </w:r>
      <w:r>
        <w:rPr>
          <w:rFonts w:cs="Times New Roman"/>
        </w:rPr>
        <w:t>处超标</w:t>
      </w:r>
      <w:r>
        <w:rPr>
          <w:rFonts w:cs="Times New Roman"/>
        </w:rPr>
        <w:t>（</w:t>
      </w:r>
      <w:r>
        <w:rPr>
          <w:rFonts w:cs="Times New Roman"/>
        </w:rPr>
        <w:t>为幸福佳园一期的</w:t>
      </w:r>
      <w:r>
        <w:rPr>
          <w:rFonts w:cs="Times New Roman"/>
        </w:rPr>
        <w:t>1</w:t>
      </w:r>
      <w:r>
        <w:rPr>
          <w:rFonts w:cs="Times New Roman"/>
        </w:rPr>
        <w:t>层、</w:t>
      </w:r>
      <w:r>
        <w:rPr>
          <w:rFonts w:cs="Times New Roman"/>
        </w:rPr>
        <w:t>3</w:t>
      </w:r>
      <w:r>
        <w:rPr>
          <w:rFonts w:cs="Times New Roman"/>
        </w:rPr>
        <w:t>层及</w:t>
      </w:r>
      <w:r>
        <w:rPr>
          <w:rFonts w:cs="Times New Roman"/>
        </w:rPr>
        <w:t>5</w:t>
      </w:r>
      <w:r>
        <w:rPr>
          <w:rFonts w:cs="Times New Roman"/>
        </w:rPr>
        <w:t>层</w:t>
      </w:r>
      <w:r>
        <w:rPr>
          <w:rFonts w:cs="Times New Roman"/>
        </w:rPr>
        <w:t>）</w:t>
      </w:r>
      <w:r>
        <w:rPr>
          <w:rFonts w:cs="Times New Roman"/>
        </w:rPr>
        <w:t>，超标量为</w:t>
      </w:r>
      <w:r>
        <w:rPr>
          <w:rFonts w:cs="Times New Roman"/>
        </w:rPr>
        <w:t>1.63</w:t>
      </w:r>
      <w:r>
        <w:rPr>
          <w:rFonts w:cs="Times New Roman"/>
        </w:rPr>
        <w:t>dB</w:t>
      </w:r>
      <w:r>
        <w:rPr>
          <w:rFonts w:cs="Times New Roman"/>
        </w:rPr>
        <w:t>（</w:t>
      </w:r>
      <w:r>
        <w:rPr>
          <w:rFonts w:cs="Times New Roman"/>
        </w:rPr>
        <w:t>A</w:t>
      </w:r>
      <w:r>
        <w:rPr>
          <w:rFonts w:cs="Times New Roman"/>
        </w:rPr>
        <w:t>）</w:t>
      </w:r>
      <w:r>
        <w:rPr>
          <w:rFonts w:cs="Times New Roman"/>
        </w:rPr>
        <w:t>-</w:t>
      </w:r>
      <w:r>
        <w:rPr>
          <w:rFonts w:cs="Times New Roman"/>
        </w:rPr>
        <w:t>6.80</w:t>
      </w:r>
      <w:r>
        <w:rPr>
          <w:rFonts w:cs="Times New Roman"/>
        </w:rPr>
        <w:t>dB</w:t>
      </w:r>
      <w:r>
        <w:rPr>
          <w:rFonts w:cs="Times New Roman"/>
        </w:rPr>
        <w:t>（</w:t>
      </w:r>
      <w:r>
        <w:rPr>
          <w:rFonts w:cs="Times New Roman"/>
        </w:rPr>
        <w:t>A</w:t>
      </w:r>
      <w:r>
        <w:rPr>
          <w:rFonts w:cs="Times New Roman"/>
        </w:rPr>
        <w:t>）。</w:t>
      </w:r>
    </w:p>
    <w:p w:rsidR="00A46452" w:rsidRDefault="009A3928">
      <w:pPr>
        <w:ind w:firstLine="480"/>
        <w:rPr>
          <w:rFonts w:cs="Times New Roman"/>
        </w:rPr>
      </w:pPr>
      <w:r>
        <w:rPr>
          <w:rFonts w:cs="Times New Roman"/>
        </w:rPr>
        <w:t>本项目声环境影响自查表见</w:t>
      </w:r>
      <w:r>
        <w:rPr>
          <w:rFonts w:cs="Times New Roman" w:hint="eastAsia"/>
        </w:rPr>
        <w:t>7</w:t>
      </w:r>
      <w:r>
        <w:rPr>
          <w:rFonts w:cs="Times New Roman"/>
        </w:rPr>
        <w:t>.</w:t>
      </w:r>
      <w:r>
        <w:rPr>
          <w:rFonts w:cs="Times New Roman"/>
        </w:rPr>
        <w:t>4</w:t>
      </w:r>
      <w:r>
        <w:rPr>
          <w:rFonts w:cs="Times New Roman"/>
        </w:rPr>
        <w:t>-1</w:t>
      </w:r>
      <w:r>
        <w:rPr>
          <w:rFonts w:cs="Times New Roman" w:hint="eastAsia"/>
        </w:rPr>
        <w:t>9</w:t>
      </w:r>
      <w:r>
        <w:rPr>
          <w:rFonts w:cs="Times New Roman"/>
        </w:rPr>
        <w:t>。</w:t>
      </w:r>
    </w:p>
    <w:p w:rsidR="00A46452" w:rsidRDefault="00A46452">
      <w:pPr>
        <w:pStyle w:val="affff9"/>
        <w:spacing w:line="240" w:lineRule="auto"/>
        <w:ind w:firstLineChars="0" w:firstLine="0"/>
        <w:jc w:val="both"/>
        <w:rPr>
          <w:rFonts w:cs="Times New Roman"/>
        </w:rPr>
      </w:pPr>
    </w:p>
    <w:p w:rsidR="00A46452" w:rsidRDefault="00A46452">
      <w:pPr>
        <w:pStyle w:val="affff9"/>
        <w:spacing w:line="240" w:lineRule="auto"/>
        <w:ind w:firstLineChars="0" w:firstLine="0"/>
        <w:jc w:val="both"/>
        <w:rPr>
          <w:rFonts w:cs="Times New Roman"/>
        </w:rPr>
      </w:pPr>
    </w:p>
    <w:p w:rsidR="00A46452" w:rsidRDefault="00A46452">
      <w:pPr>
        <w:pStyle w:val="affff9"/>
        <w:spacing w:line="240" w:lineRule="auto"/>
        <w:ind w:firstLineChars="0" w:firstLine="0"/>
        <w:jc w:val="both"/>
        <w:rPr>
          <w:rFonts w:cs="Times New Roman"/>
        </w:rPr>
      </w:pPr>
    </w:p>
    <w:p w:rsidR="00A46452" w:rsidRDefault="00A46452">
      <w:pPr>
        <w:pStyle w:val="affff9"/>
        <w:spacing w:line="240" w:lineRule="auto"/>
        <w:ind w:firstLineChars="0" w:firstLine="0"/>
        <w:jc w:val="both"/>
        <w:rPr>
          <w:rFonts w:cs="Times New Roman"/>
        </w:rPr>
      </w:pPr>
    </w:p>
    <w:p w:rsidR="00A46452" w:rsidRDefault="00A46452">
      <w:pPr>
        <w:pStyle w:val="affff9"/>
        <w:spacing w:line="240" w:lineRule="auto"/>
        <w:ind w:firstLineChars="0" w:firstLine="0"/>
        <w:jc w:val="both"/>
        <w:rPr>
          <w:rFonts w:cs="Times New Roman"/>
        </w:rPr>
      </w:pPr>
    </w:p>
    <w:p w:rsidR="00A46452" w:rsidRDefault="009A3928">
      <w:pPr>
        <w:pStyle w:val="affff9"/>
        <w:spacing w:line="240" w:lineRule="auto"/>
        <w:ind w:firstLineChars="0" w:firstLine="0"/>
        <w:jc w:val="both"/>
        <w:rPr>
          <w:rFonts w:cs="Times New Roman"/>
        </w:rPr>
      </w:pPr>
      <w:r>
        <w:rPr>
          <w:rFonts w:cs="Times New Roman"/>
        </w:rPr>
        <w:t>表</w:t>
      </w:r>
      <w:r>
        <w:rPr>
          <w:rFonts w:cs="Times New Roman" w:hint="eastAsia"/>
        </w:rPr>
        <w:t>7</w:t>
      </w:r>
      <w:r>
        <w:rPr>
          <w:rFonts w:cs="Times New Roman"/>
        </w:rPr>
        <w:t>.</w:t>
      </w:r>
      <w:r>
        <w:rPr>
          <w:rFonts w:cs="Times New Roman"/>
        </w:rPr>
        <w:t>4</w:t>
      </w:r>
      <w:r>
        <w:rPr>
          <w:rFonts w:cs="Times New Roman"/>
        </w:rPr>
        <w:t>-1</w:t>
      </w:r>
      <w:r>
        <w:rPr>
          <w:rFonts w:cs="Times New Roman" w:hint="eastAsia"/>
        </w:rPr>
        <w:t>9</w:t>
      </w:r>
      <w:r>
        <w:rPr>
          <w:rFonts w:cs="Times New Roman"/>
        </w:rPr>
        <w:t xml:space="preserve">      </w:t>
      </w:r>
      <w:r>
        <w:rPr>
          <w:rFonts w:cs="Times New Roman"/>
        </w:rPr>
        <w:t xml:space="preserve">                </w:t>
      </w:r>
      <w:r>
        <w:rPr>
          <w:rFonts w:cs="Times New Roman"/>
        </w:rPr>
        <w:t>声环境影响评价自查表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370"/>
        <w:gridCol w:w="1055"/>
        <w:gridCol w:w="531"/>
        <w:gridCol w:w="305"/>
        <w:gridCol w:w="225"/>
        <w:gridCol w:w="9"/>
        <w:gridCol w:w="94"/>
        <w:gridCol w:w="461"/>
        <w:gridCol w:w="444"/>
        <w:gridCol w:w="56"/>
        <w:gridCol w:w="640"/>
        <w:gridCol w:w="36"/>
        <w:gridCol w:w="380"/>
        <w:gridCol w:w="112"/>
        <w:gridCol w:w="419"/>
        <w:gridCol w:w="49"/>
        <w:gridCol w:w="478"/>
        <w:gridCol w:w="1004"/>
      </w:tblGrid>
      <w:tr w:rsidR="00A46452">
        <w:trPr>
          <w:trHeight w:val="258"/>
          <w:jc w:val="center"/>
        </w:trPr>
        <w:tc>
          <w:tcPr>
            <w:tcW w:w="1300" w:type="pct"/>
            <w:gridSpan w:val="2"/>
            <w:tcBorders>
              <w:top w:val="single" w:sz="12" w:space="0" w:color="auto"/>
              <w:left w:val="single" w:sz="12" w:space="0" w:color="auto"/>
              <w:bottom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工作内容</w:t>
            </w:r>
          </w:p>
        </w:tc>
        <w:tc>
          <w:tcPr>
            <w:tcW w:w="3699" w:type="pct"/>
            <w:gridSpan w:val="17"/>
            <w:tcBorders>
              <w:top w:val="single" w:sz="12" w:space="0" w:color="auto"/>
              <w:bottom w:val="single" w:sz="12"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自查项目</w:t>
            </w:r>
          </w:p>
        </w:tc>
      </w:tr>
      <w:tr w:rsidR="00A46452">
        <w:trPr>
          <w:trHeight w:val="270"/>
          <w:jc w:val="center"/>
        </w:trPr>
        <w:tc>
          <w:tcPr>
            <w:tcW w:w="495" w:type="pct"/>
            <w:vMerge w:val="restart"/>
            <w:tcBorders>
              <w:top w:val="single" w:sz="12" w:space="0" w:color="auto"/>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评价等级与范围</w:t>
            </w:r>
          </w:p>
        </w:tc>
        <w:tc>
          <w:tcPr>
            <w:tcW w:w="805" w:type="pct"/>
            <w:tcBorders>
              <w:top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评价等级</w:t>
            </w:r>
          </w:p>
        </w:tc>
        <w:tc>
          <w:tcPr>
            <w:tcW w:w="3699" w:type="pct"/>
            <w:gridSpan w:val="17"/>
            <w:tcBorders>
              <w:top w:val="single" w:sz="12"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一级</w:t>
            </w:r>
            <w:r>
              <w:rPr>
                <w:rFonts w:cs="Times New Roman"/>
              </w:rPr>
              <w:sym w:font="Wingdings 2" w:char="0052"/>
            </w:r>
            <w:r>
              <w:rPr>
                <w:rFonts w:cs="Times New Roman"/>
                <w:sz w:val="18"/>
              </w:rPr>
              <w:t xml:space="preserve">                </w:t>
            </w:r>
            <w:r>
              <w:rPr>
                <w:rFonts w:cs="Times New Roman"/>
                <w:sz w:val="18"/>
              </w:rPr>
              <w:t>二级</w:t>
            </w:r>
            <w:r>
              <w:rPr>
                <w:rFonts w:cs="Times New Roman"/>
                <w:sz w:val="18"/>
              </w:rPr>
              <w:t xml:space="preserve">□           </w:t>
            </w:r>
            <w:r>
              <w:rPr>
                <w:rFonts w:cs="Times New Roman"/>
                <w:sz w:val="18"/>
              </w:rPr>
              <w:t>三级</w:t>
            </w:r>
            <w:r>
              <w:rPr>
                <w:rFonts w:cs="Times New Roman"/>
                <w:sz w:val="18"/>
              </w:rPr>
              <w:t>□</w:t>
            </w:r>
          </w:p>
        </w:tc>
      </w:tr>
      <w:tr w:rsidR="00A46452">
        <w:trPr>
          <w:trHeight w:val="303"/>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评价范围</w:t>
            </w:r>
          </w:p>
        </w:tc>
        <w:tc>
          <w:tcPr>
            <w:tcW w:w="3699" w:type="pct"/>
            <w:gridSpan w:val="17"/>
            <w:tcBorders>
              <w:bottom w:val="single" w:sz="4"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200m</w:t>
            </w:r>
            <w:r>
              <w:rPr>
                <w:rFonts w:cs="Times New Roman"/>
              </w:rPr>
              <w:sym w:font="Wingdings 2" w:char="0052"/>
            </w:r>
            <w:r>
              <w:rPr>
                <w:rFonts w:cs="Times New Roman"/>
                <w:sz w:val="18"/>
              </w:rPr>
              <w:t xml:space="preserve">                </w:t>
            </w:r>
            <w:r>
              <w:rPr>
                <w:rFonts w:cs="Times New Roman"/>
                <w:sz w:val="18"/>
              </w:rPr>
              <w:t>大于</w:t>
            </w:r>
            <w:r>
              <w:rPr>
                <w:rFonts w:cs="Times New Roman"/>
                <w:sz w:val="18"/>
              </w:rPr>
              <w:t xml:space="preserve">200m□                     </w:t>
            </w:r>
            <w:r>
              <w:rPr>
                <w:rFonts w:cs="Times New Roman"/>
                <w:sz w:val="18"/>
              </w:rPr>
              <w:t>小于</w:t>
            </w:r>
            <w:r>
              <w:rPr>
                <w:rFonts w:cs="Times New Roman"/>
                <w:sz w:val="18"/>
              </w:rPr>
              <w:t>200m□</w:t>
            </w:r>
          </w:p>
        </w:tc>
      </w:tr>
      <w:tr w:rsidR="00A46452">
        <w:trPr>
          <w:trHeight w:val="472"/>
          <w:jc w:val="center"/>
        </w:trPr>
        <w:tc>
          <w:tcPr>
            <w:tcW w:w="495" w:type="pc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评价因子</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评价因子</w:t>
            </w:r>
          </w:p>
        </w:tc>
        <w:tc>
          <w:tcPr>
            <w:tcW w:w="1303" w:type="pct"/>
            <w:gridSpan w:val="6"/>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等效连续</w:t>
            </w:r>
            <w:r>
              <w:rPr>
                <w:rFonts w:cs="Times New Roman"/>
                <w:sz w:val="18"/>
              </w:rPr>
              <w:t>A</w:t>
            </w:r>
            <w:r>
              <w:rPr>
                <w:rFonts w:cs="Times New Roman"/>
                <w:sz w:val="18"/>
              </w:rPr>
              <w:t>声级</w:t>
            </w:r>
            <w:r>
              <w:rPr>
                <w:rFonts w:cs="Times New Roman"/>
              </w:rPr>
              <w:sym w:font="Wingdings 2" w:char="0052"/>
            </w:r>
          </w:p>
        </w:tc>
        <w:tc>
          <w:tcPr>
            <w:tcW w:w="962" w:type="pct"/>
            <w:gridSpan w:val="5"/>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最大</w:t>
            </w:r>
            <w:r>
              <w:rPr>
                <w:rFonts w:cs="Times New Roman"/>
                <w:sz w:val="18"/>
              </w:rPr>
              <w:t>A</w:t>
            </w:r>
            <w:r>
              <w:rPr>
                <w:rFonts w:cs="Times New Roman"/>
                <w:sz w:val="18"/>
              </w:rPr>
              <w:t>声级</w:t>
            </w:r>
            <w:r>
              <w:rPr>
                <w:rFonts w:cs="Times New Roman"/>
                <w:sz w:val="18"/>
              </w:rPr>
              <w:t>□</w:t>
            </w:r>
          </w:p>
        </w:tc>
        <w:tc>
          <w:tcPr>
            <w:tcW w:w="1433" w:type="pct"/>
            <w:gridSpan w:val="6"/>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计权等效连续感觉噪声级</w:t>
            </w:r>
            <w:r>
              <w:rPr>
                <w:rFonts w:cs="Times New Roman"/>
                <w:sz w:val="18"/>
              </w:rPr>
              <w:t>□</w:t>
            </w:r>
          </w:p>
        </w:tc>
      </w:tr>
      <w:tr w:rsidR="00A46452">
        <w:trPr>
          <w:trHeight w:val="472"/>
          <w:jc w:val="center"/>
        </w:trPr>
        <w:tc>
          <w:tcPr>
            <w:tcW w:w="495" w:type="pc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评价标准</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评价标准</w:t>
            </w:r>
          </w:p>
        </w:tc>
        <w:tc>
          <w:tcPr>
            <w:tcW w:w="1303" w:type="pct"/>
            <w:gridSpan w:val="6"/>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国家标准</w:t>
            </w:r>
            <w:r>
              <w:rPr>
                <w:rFonts w:cs="Times New Roman"/>
              </w:rPr>
              <w:sym w:font="Wingdings 2" w:char="0052"/>
            </w:r>
          </w:p>
        </w:tc>
        <w:tc>
          <w:tcPr>
            <w:tcW w:w="962" w:type="pct"/>
            <w:gridSpan w:val="5"/>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地方标准</w:t>
            </w:r>
            <w:r>
              <w:rPr>
                <w:rFonts w:cs="Times New Roman"/>
                <w:sz w:val="18"/>
              </w:rPr>
              <w:t>□</w:t>
            </w:r>
          </w:p>
        </w:tc>
        <w:tc>
          <w:tcPr>
            <w:tcW w:w="845" w:type="pct"/>
            <w:gridSpan w:val="5"/>
            <w:tcBorders>
              <w:left w:val="nil"/>
              <w:right w:val="nil"/>
            </w:tcBorders>
            <w:vAlign w:val="center"/>
          </w:tcPr>
          <w:p w:rsidR="00A46452" w:rsidRDefault="00A46452">
            <w:pPr>
              <w:spacing w:line="240" w:lineRule="auto"/>
              <w:ind w:firstLineChars="0" w:firstLine="0"/>
              <w:jc w:val="center"/>
              <w:rPr>
                <w:rFonts w:cs="Times New Roman"/>
                <w:sz w:val="18"/>
              </w:rPr>
            </w:pPr>
          </w:p>
        </w:tc>
        <w:tc>
          <w:tcPr>
            <w:tcW w:w="588" w:type="pct"/>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国外标准</w:t>
            </w:r>
            <w:r>
              <w:rPr>
                <w:rFonts w:cs="Times New Roman"/>
                <w:sz w:val="18"/>
              </w:rPr>
              <w:t>□</w:t>
            </w:r>
          </w:p>
        </w:tc>
      </w:tr>
      <w:tr w:rsidR="00A46452">
        <w:trPr>
          <w:trHeight w:val="270"/>
          <w:jc w:val="center"/>
        </w:trPr>
        <w:tc>
          <w:tcPr>
            <w:tcW w:w="495" w:type="pct"/>
            <w:vMerge w:val="restar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现状评价</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环境功能区</w:t>
            </w:r>
          </w:p>
        </w:tc>
        <w:tc>
          <w:tcPr>
            <w:tcW w:w="620" w:type="pct"/>
            <w:vAlign w:val="center"/>
          </w:tcPr>
          <w:p w:rsidR="00A46452" w:rsidRDefault="009A3928">
            <w:pPr>
              <w:spacing w:line="240" w:lineRule="auto"/>
              <w:ind w:firstLineChars="0" w:firstLine="0"/>
              <w:jc w:val="center"/>
              <w:rPr>
                <w:rFonts w:cs="Times New Roman"/>
                <w:sz w:val="18"/>
              </w:rPr>
            </w:pPr>
            <w:r>
              <w:rPr>
                <w:rFonts w:cs="Times New Roman"/>
                <w:sz w:val="18"/>
              </w:rPr>
              <w:t>0</w:t>
            </w:r>
            <w:r>
              <w:rPr>
                <w:rFonts w:cs="Times New Roman"/>
                <w:sz w:val="18"/>
              </w:rPr>
              <w:t>类区</w:t>
            </w:r>
            <w:r>
              <w:rPr>
                <w:rFonts w:cs="Times New Roman"/>
                <w:sz w:val="18"/>
              </w:rPr>
              <w:t>□</w:t>
            </w:r>
          </w:p>
        </w:tc>
        <w:tc>
          <w:tcPr>
            <w:tcW w:w="623" w:type="pct"/>
            <w:gridSpan w:val="3"/>
            <w:vAlign w:val="center"/>
          </w:tcPr>
          <w:p w:rsidR="00A46452" w:rsidRDefault="009A3928">
            <w:pPr>
              <w:spacing w:line="240" w:lineRule="auto"/>
              <w:ind w:firstLineChars="0" w:firstLine="0"/>
              <w:jc w:val="center"/>
              <w:rPr>
                <w:rFonts w:cs="Times New Roman"/>
                <w:sz w:val="18"/>
              </w:rPr>
            </w:pPr>
            <w:r>
              <w:rPr>
                <w:rFonts w:cs="Times New Roman"/>
                <w:sz w:val="18"/>
              </w:rPr>
              <w:t>1</w:t>
            </w:r>
            <w:r>
              <w:rPr>
                <w:rFonts w:cs="Times New Roman"/>
                <w:sz w:val="18"/>
              </w:rPr>
              <w:t>类区</w:t>
            </w:r>
            <w:r>
              <w:rPr>
                <w:rFonts w:cs="Times New Roman"/>
                <w:sz w:val="18"/>
              </w:rPr>
              <w:t>□</w:t>
            </w:r>
          </w:p>
        </w:tc>
        <w:tc>
          <w:tcPr>
            <w:tcW w:w="624" w:type="pct"/>
            <w:gridSpan w:val="5"/>
            <w:vAlign w:val="center"/>
          </w:tcPr>
          <w:p w:rsidR="00A46452" w:rsidRDefault="009A3928">
            <w:pPr>
              <w:spacing w:line="240" w:lineRule="auto"/>
              <w:ind w:firstLineChars="0" w:firstLine="0"/>
              <w:jc w:val="center"/>
              <w:rPr>
                <w:rFonts w:cs="Times New Roman"/>
                <w:sz w:val="18"/>
              </w:rPr>
            </w:pPr>
            <w:r>
              <w:rPr>
                <w:rFonts w:cs="Times New Roman"/>
                <w:sz w:val="18"/>
              </w:rPr>
              <w:t>2</w:t>
            </w:r>
            <w:r>
              <w:rPr>
                <w:rFonts w:cs="Times New Roman"/>
                <w:sz w:val="18"/>
              </w:rPr>
              <w:t>类区</w:t>
            </w:r>
            <w:r>
              <w:rPr>
                <w:rFonts w:cs="Times New Roman"/>
              </w:rPr>
              <w:sym w:font="Wingdings 2" w:char="0052"/>
            </w:r>
          </w:p>
        </w:tc>
        <w:tc>
          <w:tcPr>
            <w:tcW w:w="620" w:type="pct"/>
            <w:gridSpan w:val="3"/>
            <w:vAlign w:val="center"/>
          </w:tcPr>
          <w:p w:rsidR="00A46452" w:rsidRDefault="009A3928">
            <w:pPr>
              <w:spacing w:line="240" w:lineRule="auto"/>
              <w:ind w:firstLineChars="0" w:firstLine="0"/>
              <w:jc w:val="center"/>
              <w:rPr>
                <w:rFonts w:cs="Times New Roman"/>
                <w:sz w:val="18"/>
              </w:rPr>
            </w:pPr>
            <w:r>
              <w:rPr>
                <w:rFonts w:cs="Times New Roman"/>
                <w:sz w:val="18"/>
              </w:rPr>
              <w:t>3</w:t>
            </w:r>
            <w:r>
              <w:rPr>
                <w:rFonts w:cs="Times New Roman"/>
                <w:sz w:val="18"/>
              </w:rPr>
              <w:t>类区</w:t>
            </w:r>
            <w:r>
              <w:rPr>
                <w:rFonts w:cs="Times New Roman"/>
              </w:rPr>
              <w:sym w:font="Wingdings 2" w:char="00A3"/>
            </w:r>
          </w:p>
        </w:tc>
        <w:tc>
          <w:tcPr>
            <w:tcW w:w="621" w:type="pct"/>
            <w:gridSpan w:val="4"/>
            <w:vAlign w:val="center"/>
          </w:tcPr>
          <w:p w:rsidR="00A46452" w:rsidRDefault="009A3928">
            <w:pPr>
              <w:spacing w:line="240" w:lineRule="auto"/>
              <w:ind w:firstLineChars="0" w:firstLine="0"/>
              <w:jc w:val="center"/>
              <w:rPr>
                <w:rFonts w:cs="Times New Roman"/>
                <w:sz w:val="18"/>
              </w:rPr>
            </w:pPr>
            <w:r>
              <w:rPr>
                <w:rFonts w:cs="Times New Roman"/>
                <w:sz w:val="18"/>
              </w:rPr>
              <w:t>4a</w:t>
            </w:r>
            <w:r>
              <w:rPr>
                <w:rFonts w:cs="Times New Roman"/>
                <w:sz w:val="18"/>
              </w:rPr>
              <w:t>类区</w:t>
            </w:r>
            <w:r>
              <w:rPr>
                <w:rFonts w:cs="Times New Roman"/>
              </w:rPr>
              <w:sym w:font="Wingdings 2" w:char="0052"/>
            </w:r>
          </w:p>
        </w:tc>
        <w:tc>
          <w:tcPr>
            <w:tcW w:w="588" w:type="pct"/>
            <w:tcBorders>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4b</w:t>
            </w:r>
            <w:r>
              <w:rPr>
                <w:rFonts w:cs="Times New Roman"/>
                <w:sz w:val="18"/>
              </w:rPr>
              <w:t>类区</w:t>
            </w:r>
            <w:r>
              <w:rPr>
                <w:rFonts w:cs="Times New Roman"/>
                <w:sz w:val="18"/>
              </w:rPr>
              <w:t>□</w:t>
            </w:r>
          </w:p>
        </w:tc>
      </w:tr>
      <w:tr w:rsidR="00A46452">
        <w:trPr>
          <w:trHeight w:val="27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评价年度</w:t>
            </w:r>
          </w:p>
        </w:tc>
        <w:tc>
          <w:tcPr>
            <w:tcW w:w="932" w:type="pct"/>
            <w:gridSpan w:val="2"/>
            <w:tcBorders>
              <w:bottom w:val="single" w:sz="4"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初期</w:t>
            </w:r>
            <w:r>
              <w:rPr>
                <w:rFonts w:cs="Times New Roman"/>
                <w:sz w:val="18"/>
              </w:rPr>
              <w:t>□</w:t>
            </w:r>
          </w:p>
        </w:tc>
        <w:tc>
          <w:tcPr>
            <w:tcW w:w="936" w:type="pct"/>
            <w:gridSpan w:val="7"/>
            <w:tcBorders>
              <w:bottom w:val="single" w:sz="4"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近期</w:t>
            </w:r>
            <w:r>
              <w:rPr>
                <w:rFonts w:cs="Times New Roman"/>
              </w:rPr>
              <w:sym w:font="Wingdings 2" w:char="0052"/>
            </w:r>
          </w:p>
        </w:tc>
        <w:tc>
          <w:tcPr>
            <w:tcW w:w="932" w:type="pct"/>
            <w:gridSpan w:val="5"/>
            <w:tcBorders>
              <w:bottom w:val="single" w:sz="4"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中期</w:t>
            </w:r>
            <w:r>
              <w:rPr>
                <w:rFonts w:cs="Times New Roman"/>
              </w:rPr>
              <w:sym w:font="Wingdings 2" w:char="0052"/>
            </w:r>
          </w:p>
        </w:tc>
        <w:tc>
          <w:tcPr>
            <w:tcW w:w="898" w:type="pct"/>
            <w:gridSpan w:val="3"/>
            <w:tcBorders>
              <w:bottom w:val="single" w:sz="4"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远期</w:t>
            </w:r>
            <w:r>
              <w:rPr>
                <w:rFonts w:cs="Times New Roman"/>
              </w:rPr>
              <w:sym w:font="Wingdings 2" w:char="0052"/>
            </w:r>
          </w:p>
        </w:tc>
      </w:tr>
      <w:tr w:rsidR="00A46452">
        <w:trPr>
          <w:trHeight w:val="482"/>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现状调查方法</w:t>
            </w:r>
          </w:p>
        </w:tc>
        <w:tc>
          <w:tcPr>
            <w:tcW w:w="1574" w:type="pct"/>
            <w:gridSpan w:val="7"/>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现场实测法</w:t>
            </w:r>
            <w:r>
              <w:rPr>
                <w:rFonts w:cs="Times New Roman"/>
              </w:rPr>
              <w:sym w:font="Wingdings 2" w:char="0052"/>
            </w:r>
          </w:p>
        </w:tc>
        <w:tc>
          <w:tcPr>
            <w:tcW w:w="1255" w:type="pct"/>
            <w:gridSpan w:val="8"/>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现场实测加模型计算法</w:t>
            </w:r>
            <w:r>
              <w:rPr>
                <w:rFonts w:cs="Times New Roman"/>
                <w:sz w:val="18"/>
              </w:rPr>
              <w:t>□</w:t>
            </w:r>
          </w:p>
        </w:tc>
        <w:tc>
          <w:tcPr>
            <w:tcW w:w="869" w:type="pct"/>
            <w:gridSpan w:val="2"/>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收集资料</w:t>
            </w:r>
            <w:r>
              <w:rPr>
                <w:rFonts w:cs="Times New Roman"/>
                <w:sz w:val="18"/>
              </w:rPr>
              <w:t>□</w:t>
            </w:r>
          </w:p>
        </w:tc>
      </w:tr>
      <w:tr w:rsidR="00A46452">
        <w:trPr>
          <w:trHeight w:val="27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现状评价</w:t>
            </w:r>
          </w:p>
        </w:tc>
        <w:tc>
          <w:tcPr>
            <w:tcW w:w="1111" w:type="pct"/>
            <w:gridSpan w:val="3"/>
            <w:tcBorders>
              <w:bottom w:val="single" w:sz="4"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达标百分比</w:t>
            </w:r>
          </w:p>
        </w:tc>
        <w:tc>
          <w:tcPr>
            <w:tcW w:w="2587" w:type="pct"/>
            <w:gridSpan w:val="14"/>
            <w:tcBorders>
              <w:bottom w:val="single" w:sz="4"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100</w:t>
            </w:r>
          </w:p>
        </w:tc>
      </w:tr>
      <w:tr w:rsidR="00A46452">
        <w:trPr>
          <w:trHeight w:val="741"/>
          <w:jc w:val="center"/>
        </w:trPr>
        <w:tc>
          <w:tcPr>
            <w:tcW w:w="495" w:type="pc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噪声源</w:t>
            </w:r>
          </w:p>
          <w:p w:rsidR="00A46452" w:rsidRDefault="009A3928">
            <w:pPr>
              <w:spacing w:line="240" w:lineRule="auto"/>
              <w:ind w:firstLineChars="0" w:firstLine="0"/>
              <w:jc w:val="center"/>
              <w:rPr>
                <w:rFonts w:cs="Times New Roman"/>
                <w:sz w:val="18"/>
              </w:rPr>
            </w:pPr>
            <w:r>
              <w:rPr>
                <w:rFonts w:cs="Times New Roman"/>
                <w:sz w:val="18"/>
              </w:rPr>
              <w:t>调查</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噪声源调查方法</w:t>
            </w:r>
          </w:p>
        </w:tc>
        <w:tc>
          <w:tcPr>
            <w:tcW w:w="1111" w:type="pct"/>
            <w:gridSpan w:val="3"/>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现场实测</w:t>
            </w:r>
            <w:r>
              <w:rPr>
                <w:rFonts w:cs="Times New Roman"/>
                <w:sz w:val="18"/>
              </w:rPr>
              <w:t>□</w:t>
            </w:r>
          </w:p>
        </w:tc>
        <w:tc>
          <w:tcPr>
            <w:tcW w:w="1443" w:type="pct"/>
            <w:gridSpan w:val="10"/>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已有资料</w:t>
            </w:r>
            <w:r>
              <w:rPr>
                <w:rFonts w:cs="Times New Roman"/>
                <w:sz w:val="18"/>
              </w:rPr>
              <w:t>□</w:t>
            </w:r>
          </w:p>
        </w:tc>
        <w:tc>
          <w:tcPr>
            <w:tcW w:w="1144" w:type="pct"/>
            <w:gridSpan w:val="4"/>
            <w:tcBorders>
              <w:left w:val="nil"/>
              <w:right w:val="single" w:sz="12" w:space="0" w:color="auto"/>
            </w:tcBorders>
            <w:vAlign w:val="center"/>
          </w:tcPr>
          <w:p w:rsidR="00A46452" w:rsidRDefault="009A3928">
            <w:pPr>
              <w:widowControl/>
              <w:spacing w:line="240" w:lineRule="auto"/>
              <w:ind w:firstLineChars="0" w:firstLine="0"/>
              <w:jc w:val="center"/>
              <w:rPr>
                <w:rFonts w:cs="Times New Roman"/>
                <w:sz w:val="18"/>
              </w:rPr>
            </w:pPr>
            <w:r>
              <w:rPr>
                <w:rFonts w:cs="Times New Roman"/>
                <w:sz w:val="18"/>
              </w:rPr>
              <w:t>研究成果</w:t>
            </w:r>
            <w:r>
              <w:rPr>
                <w:rFonts w:cs="Times New Roman"/>
              </w:rPr>
              <w:sym w:font="Wingdings 2" w:char="0052"/>
            </w:r>
          </w:p>
        </w:tc>
      </w:tr>
      <w:tr w:rsidR="00A46452">
        <w:trPr>
          <w:trHeight w:val="685"/>
          <w:jc w:val="center"/>
        </w:trPr>
        <w:tc>
          <w:tcPr>
            <w:tcW w:w="495" w:type="pct"/>
            <w:vMerge w:val="restar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声环境影响预测与评价</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预测模型</w:t>
            </w:r>
          </w:p>
        </w:tc>
        <w:tc>
          <w:tcPr>
            <w:tcW w:w="1111" w:type="pct"/>
            <w:gridSpan w:val="3"/>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szCs w:val="18"/>
              </w:rPr>
              <w:t>导则推荐模型</w:t>
            </w:r>
            <w:r>
              <w:rPr>
                <w:rFonts w:cs="Times New Roman"/>
              </w:rPr>
              <w:sym w:font="Wingdings 2" w:char="0052"/>
            </w:r>
          </w:p>
        </w:tc>
        <w:tc>
          <w:tcPr>
            <w:tcW w:w="2587" w:type="pct"/>
            <w:gridSpan w:val="14"/>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其他</w:t>
            </w:r>
            <w:r>
              <w:rPr>
                <w:rFonts w:cs="Times New Roman"/>
                <w:sz w:val="18"/>
              </w:rPr>
              <w:t>□</w:t>
            </w:r>
            <w:r>
              <w:rPr>
                <w:rFonts w:cs="Times New Roman"/>
                <w:sz w:val="18"/>
                <w:u w:val="single"/>
              </w:rPr>
              <w:t xml:space="preserve">           </w:t>
            </w:r>
            <w:r>
              <w:rPr>
                <w:rFonts w:cs="Times New Roman"/>
                <w:sz w:val="18"/>
              </w:rPr>
              <w:t xml:space="preserve"> </w:t>
            </w:r>
          </w:p>
        </w:tc>
      </w:tr>
      <w:tr w:rsidR="00A46452">
        <w:trPr>
          <w:trHeight w:val="27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预测范围</w:t>
            </w:r>
          </w:p>
        </w:tc>
        <w:tc>
          <w:tcPr>
            <w:tcW w:w="1248" w:type="pct"/>
            <w:gridSpan w:val="5"/>
            <w:tcBorders>
              <w:bottom w:val="single" w:sz="4" w:space="0" w:color="auto"/>
              <w:right w:val="nil"/>
            </w:tcBorders>
            <w:vAlign w:val="center"/>
          </w:tcPr>
          <w:p w:rsidR="00A46452" w:rsidRDefault="009A3928">
            <w:pPr>
              <w:spacing w:line="240" w:lineRule="auto"/>
              <w:ind w:firstLineChars="0" w:firstLine="0"/>
              <w:jc w:val="center"/>
              <w:rPr>
                <w:rFonts w:cs="Times New Roman"/>
                <w:sz w:val="18"/>
                <w:szCs w:val="18"/>
              </w:rPr>
            </w:pPr>
            <w:r>
              <w:rPr>
                <w:rFonts w:cs="Times New Roman"/>
                <w:sz w:val="18"/>
              </w:rPr>
              <w:t>200m□</w:t>
            </w:r>
          </w:p>
        </w:tc>
        <w:tc>
          <w:tcPr>
            <w:tcW w:w="996" w:type="pct"/>
            <w:gridSpan w:val="5"/>
            <w:tcBorders>
              <w:left w:val="nil"/>
              <w:bottom w:val="single" w:sz="4" w:space="0" w:color="auto"/>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大于</w:t>
            </w:r>
            <w:r>
              <w:rPr>
                <w:rFonts w:cs="Times New Roman"/>
                <w:sz w:val="18"/>
              </w:rPr>
              <w:t>200m</w:t>
            </w:r>
            <w:r>
              <w:rPr>
                <w:rFonts w:cs="Times New Roman"/>
              </w:rPr>
              <w:sym w:font="Wingdings 2" w:char="0052"/>
            </w:r>
          </w:p>
        </w:tc>
        <w:tc>
          <w:tcPr>
            <w:tcW w:w="1455" w:type="pct"/>
            <w:gridSpan w:val="7"/>
            <w:tcBorders>
              <w:left w:val="nil"/>
              <w:bottom w:val="single" w:sz="4" w:space="0" w:color="auto"/>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小于</w:t>
            </w:r>
            <w:r>
              <w:rPr>
                <w:rFonts w:cs="Times New Roman"/>
                <w:sz w:val="18"/>
              </w:rPr>
              <w:t>200m□</w:t>
            </w:r>
          </w:p>
        </w:tc>
      </w:tr>
      <w:tr w:rsidR="00A46452">
        <w:trPr>
          <w:trHeight w:val="28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预测因子</w:t>
            </w:r>
          </w:p>
        </w:tc>
        <w:tc>
          <w:tcPr>
            <w:tcW w:w="1111" w:type="pct"/>
            <w:gridSpan w:val="3"/>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等效连续</w:t>
            </w:r>
            <w:r>
              <w:rPr>
                <w:rFonts w:cs="Times New Roman"/>
                <w:sz w:val="18"/>
              </w:rPr>
              <w:t>A</w:t>
            </w:r>
            <w:r>
              <w:rPr>
                <w:rFonts w:cs="Times New Roman"/>
                <w:sz w:val="18"/>
              </w:rPr>
              <w:t>声级</w:t>
            </w:r>
            <w:r>
              <w:rPr>
                <w:rFonts w:cs="Times New Roman"/>
              </w:rPr>
              <w:sym w:font="Wingdings 2" w:char="0052"/>
            </w:r>
          </w:p>
        </w:tc>
        <w:tc>
          <w:tcPr>
            <w:tcW w:w="1132" w:type="pct"/>
            <w:gridSpan w:val="7"/>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最大</w:t>
            </w:r>
            <w:r>
              <w:rPr>
                <w:rFonts w:cs="Times New Roman"/>
                <w:sz w:val="18"/>
              </w:rPr>
              <w:t>A</w:t>
            </w:r>
            <w:r>
              <w:rPr>
                <w:rFonts w:cs="Times New Roman"/>
                <w:sz w:val="18"/>
              </w:rPr>
              <w:t>声级</w:t>
            </w:r>
            <w:r>
              <w:rPr>
                <w:rFonts w:cs="Times New Roman"/>
                <w:sz w:val="18"/>
              </w:rPr>
              <w:t>□</w:t>
            </w:r>
          </w:p>
        </w:tc>
        <w:tc>
          <w:tcPr>
            <w:tcW w:w="1455" w:type="pct"/>
            <w:gridSpan w:val="7"/>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计权等效连续感觉噪声级</w:t>
            </w:r>
            <w:r>
              <w:rPr>
                <w:rFonts w:cs="Times New Roman"/>
                <w:sz w:val="18"/>
              </w:rPr>
              <w:t>□</w:t>
            </w:r>
          </w:p>
        </w:tc>
      </w:tr>
      <w:tr w:rsidR="00A46452">
        <w:trPr>
          <w:trHeight w:val="482"/>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厂界噪声贡献值</w:t>
            </w:r>
          </w:p>
        </w:tc>
        <w:tc>
          <w:tcPr>
            <w:tcW w:w="1835" w:type="pct"/>
            <w:gridSpan w:val="8"/>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达标</w:t>
            </w:r>
            <w:r>
              <w:rPr>
                <w:rFonts w:cs="Times New Roman"/>
              </w:rPr>
              <w:sym w:font="Wingdings 2" w:char="0052"/>
            </w:r>
          </w:p>
        </w:tc>
        <w:tc>
          <w:tcPr>
            <w:tcW w:w="1864" w:type="pct"/>
            <w:gridSpan w:val="9"/>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不达标</w:t>
            </w:r>
            <w:r>
              <w:rPr>
                <w:rFonts w:cs="Times New Roman"/>
                <w:sz w:val="18"/>
              </w:rPr>
              <w:t>□</w:t>
            </w:r>
          </w:p>
        </w:tc>
      </w:tr>
      <w:tr w:rsidR="00A46452">
        <w:trPr>
          <w:trHeight w:val="9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声环境保护目标处噪声值</w:t>
            </w:r>
          </w:p>
        </w:tc>
        <w:tc>
          <w:tcPr>
            <w:tcW w:w="1835" w:type="pct"/>
            <w:gridSpan w:val="8"/>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达标</w:t>
            </w:r>
            <w:r>
              <w:rPr>
                <w:rFonts w:cs="Times New Roman"/>
                <w:sz w:val="18"/>
              </w:rPr>
              <w:t>□</w:t>
            </w:r>
          </w:p>
        </w:tc>
        <w:tc>
          <w:tcPr>
            <w:tcW w:w="1864" w:type="pct"/>
            <w:gridSpan w:val="9"/>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不达标</w:t>
            </w:r>
            <w:r>
              <w:rPr>
                <w:rFonts w:cs="Times New Roman"/>
              </w:rPr>
              <w:sym w:font="Wingdings 2" w:char="0052"/>
            </w:r>
          </w:p>
        </w:tc>
      </w:tr>
      <w:tr w:rsidR="00A46452">
        <w:trPr>
          <w:trHeight w:val="270"/>
          <w:jc w:val="center"/>
        </w:trPr>
        <w:tc>
          <w:tcPr>
            <w:tcW w:w="495" w:type="pct"/>
            <w:vMerge w:val="restar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环境监测计划</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排放监测</w:t>
            </w:r>
          </w:p>
        </w:tc>
        <w:tc>
          <w:tcPr>
            <w:tcW w:w="1835" w:type="pct"/>
            <w:gridSpan w:val="8"/>
            <w:tcBorders>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厂界监测</w:t>
            </w:r>
            <w:r>
              <w:rPr>
                <w:rFonts w:cs="Times New Roman"/>
                <w:sz w:val="18"/>
              </w:rPr>
              <w:t xml:space="preserve">□    </w:t>
            </w:r>
            <w:r>
              <w:rPr>
                <w:rFonts w:cs="Times New Roman"/>
                <w:sz w:val="18"/>
              </w:rPr>
              <w:t>固定位置监测</w:t>
            </w:r>
            <w:r>
              <w:rPr>
                <w:rFonts w:cs="Times New Roman"/>
                <w:sz w:val="18"/>
              </w:rPr>
              <w:t>□</w:t>
            </w:r>
          </w:p>
        </w:tc>
        <w:tc>
          <w:tcPr>
            <w:tcW w:w="1275" w:type="pct"/>
            <w:gridSpan w:val="8"/>
            <w:tcBorders>
              <w:left w:val="nil"/>
              <w:right w:val="nil"/>
            </w:tcBorders>
            <w:vAlign w:val="center"/>
          </w:tcPr>
          <w:p w:rsidR="00A46452" w:rsidRDefault="009A3928">
            <w:pPr>
              <w:spacing w:line="240" w:lineRule="auto"/>
              <w:ind w:firstLineChars="0" w:firstLine="0"/>
              <w:jc w:val="center"/>
              <w:rPr>
                <w:rFonts w:cs="Times New Roman"/>
                <w:sz w:val="18"/>
              </w:rPr>
            </w:pPr>
            <w:r>
              <w:rPr>
                <w:rFonts w:cs="Times New Roman"/>
                <w:sz w:val="18"/>
              </w:rPr>
              <w:t>自动监测</w:t>
            </w:r>
            <w:r>
              <w:rPr>
                <w:rFonts w:cs="Times New Roman"/>
                <w:sz w:val="18"/>
              </w:rPr>
              <w:t>□</w:t>
            </w:r>
            <w:r>
              <w:rPr>
                <w:rFonts w:cs="Times New Roman"/>
                <w:sz w:val="18"/>
              </w:rPr>
              <w:t>手动监测</w:t>
            </w:r>
            <w:r>
              <w:rPr>
                <w:rFonts w:cs="Times New Roman"/>
              </w:rPr>
              <w:sym w:font="Wingdings 2" w:char="0052"/>
            </w:r>
          </w:p>
        </w:tc>
        <w:tc>
          <w:tcPr>
            <w:tcW w:w="588" w:type="pct"/>
            <w:tcBorders>
              <w:left w:val="nil"/>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无监测</w:t>
            </w:r>
            <w:r>
              <w:rPr>
                <w:rFonts w:cs="Times New Roman"/>
                <w:sz w:val="18"/>
              </w:rPr>
              <w:t>□</w:t>
            </w:r>
          </w:p>
        </w:tc>
      </w:tr>
      <w:tr w:rsidR="00A46452">
        <w:trPr>
          <w:trHeight w:val="270"/>
          <w:jc w:val="center"/>
        </w:trPr>
        <w:tc>
          <w:tcPr>
            <w:tcW w:w="495" w:type="pct"/>
            <w:vMerge/>
            <w:tcBorders>
              <w:left w:val="single" w:sz="12" w:space="0" w:color="auto"/>
            </w:tcBorders>
            <w:vAlign w:val="center"/>
          </w:tcPr>
          <w:p w:rsidR="00A46452" w:rsidRDefault="00A46452">
            <w:pPr>
              <w:spacing w:line="240" w:lineRule="auto"/>
              <w:ind w:firstLineChars="0" w:firstLine="0"/>
              <w:jc w:val="center"/>
              <w:rPr>
                <w:rFonts w:cs="Times New Roman"/>
                <w:sz w:val="18"/>
              </w:rPr>
            </w:pP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声环境保护目标处噪声监测</w:t>
            </w:r>
          </w:p>
        </w:tc>
        <w:tc>
          <w:tcPr>
            <w:tcW w:w="1835" w:type="pct"/>
            <w:gridSpan w:val="8"/>
            <w:vAlign w:val="center"/>
          </w:tcPr>
          <w:p w:rsidR="00A46452" w:rsidRDefault="009A3928">
            <w:pPr>
              <w:spacing w:line="240" w:lineRule="auto"/>
              <w:ind w:firstLineChars="0" w:firstLine="0"/>
              <w:jc w:val="center"/>
              <w:rPr>
                <w:rFonts w:cs="Times New Roman"/>
                <w:sz w:val="18"/>
              </w:rPr>
            </w:pPr>
            <w:r>
              <w:rPr>
                <w:rFonts w:cs="Times New Roman"/>
                <w:sz w:val="18"/>
              </w:rPr>
              <w:t>监测因子：（等效连续</w:t>
            </w:r>
            <w:r>
              <w:rPr>
                <w:rFonts w:cs="Times New Roman"/>
                <w:sz w:val="18"/>
              </w:rPr>
              <w:t>A</w:t>
            </w:r>
            <w:r>
              <w:rPr>
                <w:rFonts w:cs="Times New Roman"/>
                <w:sz w:val="18"/>
              </w:rPr>
              <w:t>声级）</w:t>
            </w:r>
          </w:p>
        </w:tc>
        <w:tc>
          <w:tcPr>
            <w:tcW w:w="1275" w:type="pct"/>
            <w:gridSpan w:val="8"/>
            <w:vAlign w:val="center"/>
          </w:tcPr>
          <w:p w:rsidR="00A46452" w:rsidRDefault="009A3928">
            <w:pPr>
              <w:spacing w:line="240" w:lineRule="auto"/>
              <w:ind w:firstLineChars="0" w:firstLine="0"/>
              <w:jc w:val="center"/>
              <w:rPr>
                <w:rFonts w:cs="Times New Roman"/>
                <w:sz w:val="18"/>
              </w:rPr>
            </w:pPr>
            <w:r>
              <w:rPr>
                <w:rFonts w:cs="Times New Roman"/>
                <w:sz w:val="18"/>
              </w:rPr>
              <w:t>监测点位数（</w:t>
            </w:r>
            <w:r>
              <w:rPr>
                <w:rFonts w:cs="Times New Roman"/>
                <w:sz w:val="18"/>
              </w:rPr>
              <w:t>4</w:t>
            </w:r>
            <w:r>
              <w:rPr>
                <w:rFonts w:cs="Times New Roman"/>
                <w:sz w:val="18"/>
              </w:rPr>
              <w:t>）</w:t>
            </w:r>
          </w:p>
        </w:tc>
        <w:tc>
          <w:tcPr>
            <w:tcW w:w="588" w:type="pct"/>
            <w:tcBorders>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无监测</w:t>
            </w:r>
            <w:r>
              <w:rPr>
                <w:rFonts w:cs="Times New Roman"/>
                <w:sz w:val="18"/>
              </w:rPr>
              <w:t>□</w:t>
            </w:r>
          </w:p>
        </w:tc>
      </w:tr>
      <w:tr w:rsidR="00A46452">
        <w:trPr>
          <w:trHeight w:val="258"/>
          <w:jc w:val="center"/>
        </w:trPr>
        <w:tc>
          <w:tcPr>
            <w:tcW w:w="495" w:type="pct"/>
            <w:tcBorders>
              <w:lef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评价结论</w:t>
            </w:r>
          </w:p>
        </w:tc>
        <w:tc>
          <w:tcPr>
            <w:tcW w:w="805" w:type="pct"/>
            <w:vAlign w:val="center"/>
          </w:tcPr>
          <w:p w:rsidR="00A46452" w:rsidRDefault="009A3928">
            <w:pPr>
              <w:spacing w:line="240" w:lineRule="auto"/>
              <w:ind w:firstLineChars="0" w:firstLine="0"/>
              <w:jc w:val="center"/>
              <w:rPr>
                <w:rFonts w:cs="Times New Roman"/>
                <w:sz w:val="18"/>
              </w:rPr>
            </w:pPr>
            <w:r>
              <w:rPr>
                <w:rFonts w:cs="Times New Roman"/>
                <w:sz w:val="18"/>
              </w:rPr>
              <w:t>环境影响</w:t>
            </w:r>
          </w:p>
        </w:tc>
        <w:tc>
          <w:tcPr>
            <w:tcW w:w="3699" w:type="pct"/>
            <w:gridSpan w:val="17"/>
            <w:tcBorders>
              <w:right w:val="single" w:sz="12" w:space="0" w:color="auto"/>
            </w:tcBorders>
            <w:vAlign w:val="center"/>
          </w:tcPr>
          <w:p w:rsidR="00A46452" w:rsidRDefault="009A3928">
            <w:pPr>
              <w:spacing w:line="240" w:lineRule="auto"/>
              <w:ind w:firstLineChars="0" w:firstLine="0"/>
              <w:jc w:val="center"/>
              <w:rPr>
                <w:rFonts w:cs="Times New Roman"/>
                <w:sz w:val="18"/>
              </w:rPr>
            </w:pPr>
            <w:r>
              <w:rPr>
                <w:rFonts w:cs="Times New Roman"/>
                <w:sz w:val="18"/>
              </w:rPr>
              <w:t>可行</w:t>
            </w:r>
            <w:r>
              <w:rPr>
                <w:rFonts w:cs="Times New Roman"/>
              </w:rPr>
              <w:sym w:font="Wingdings 2" w:char="0052"/>
            </w:r>
            <w:r>
              <w:rPr>
                <w:rFonts w:cs="Times New Roman"/>
                <w:sz w:val="18"/>
              </w:rPr>
              <w:t xml:space="preserve">       </w:t>
            </w:r>
            <w:r>
              <w:rPr>
                <w:rFonts w:cs="Times New Roman"/>
                <w:sz w:val="18"/>
              </w:rPr>
              <w:t>不可行</w:t>
            </w:r>
            <w:r>
              <w:rPr>
                <w:rFonts w:cs="Times New Roman"/>
                <w:sz w:val="18"/>
              </w:rPr>
              <w:t>□</w:t>
            </w:r>
          </w:p>
        </w:tc>
      </w:tr>
      <w:tr w:rsidR="00A46452">
        <w:trPr>
          <w:trHeight w:val="258"/>
          <w:jc w:val="center"/>
        </w:trPr>
        <w:tc>
          <w:tcPr>
            <w:tcW w:w="5000" w:type="pct"/>
            <w:gridSpan w:val="19"/>
            <w:tcBorders>
              <w:left w:val="single" w:sz="12" w:space="0" w:color="auto"/>
              <w:bottom w:val="single" w:sz="12" w:space="0" w:color="auto"/>
              <w:right w:val="single" w:sz="12" w:space="0" w:color="auto"/>
            </w:tcBorders>
            <w:vAlign w:val="center"/>
          </w:tcPr>
          <w:p w:rsidR="00A46452" w:rsidRDefault="009A3928">
            <w:pPr>
              <w:spacing w:line="240" w:lineRule="auto"/>
              <w:ind w:firstLineChars="0" w:firstLine="0"/>
              <w:jc w:val="left"/>
              <w:rPr>
                <w:rFonts w:cs="Times New Roman"/>
                <w:sz w:val="18"/>
              </w:rPr>
            </w:pPr>
            <w:r>
              <w:rPr>
                <w:rFonts w:cs="Times New Roman"/>
                <w:sz w:val="18"/>
              </w:rPr>
              <w:t>注：</w:t>
            </w:r>
            <w:r>
              <w:rPr>
                <w:rFonts w:cs="Times New Roman"/>
                <w:sz w:val="18"/>
              </w:rPr>
              <w:t xml:space="preserve">“□” </w:t>
            </w:r>
            <w:r>
              <w:rPr>
                <w:rFonts w:cs="Times New Roman"/>
                <w:sz w:val="18"/>
              </w:rPr>
              <w:t>为勾选项</w:t>
            </w:r>
            <w:r>
              <w:rPr>
                <w:rFonts w:cs="Times New Roman"/>
                <w:sz w:val="18"/>
              </w:rPr>
              <w:t xml:space="preserve"> </w:t>
            </w:r>
            <w:r>
              <w:rPr>
                <w:rFonts w:cs="Times New Roman"/>
                <w:sz w:val="18"/>
              </w:rPr>
              <w:t>，可</w:t>
            </w:r>
            <w:r>
              <w:rPr>
                <w:rFonts w:cs="Times New Roman"/>
                <w:sz w:val="18"/>
              </w:rPr>
              <w:t xml:space="preserve">√ </w:t>
            </w:r>
            <w:r>
              <w:rPr>
                <w:rFonts w:cs="Times New Roman"/>
                <w:sz w:val="18"/>
              </w:rPr>
              <w:t>；</w:t>
            </w:r>
            <w:r>
              <w:rPr>
                <w:rFonts w:cs="Times New Roman"/>
                <w:sz w:val="18"/>
              </w:rPr>
              <w:t>“</w:t>
            </w:r>
            <w:r>
              <w:rPr>
                <w:rFonts w:cs="Times New Roman"/>
                <w:sz w:val="18"/>
              </w:rPr>
              <w:t>（</w:t>
            </w:r>
            <w:r>
              <w:rPr>
                <w:rFonts w:cs="Times New Roman"/>
                <w:sz w:val="18"/>
              </w:rPr>
              <w:t xml:space="preserve">   </w:t>
            </w:r>
            <w:r>
              <w:rPr>
                <w:rFonts w:cs="Times New Roman"/>
                <w:sz w:val="18"/>
              </w:rPr>
              <w:t>）</w:t>
            </w:r>
            <w:r>
              <w:rPr>
                <w:rFonts w:cs="Times New Roman"/>
                <w:sz w:val="18"/>
              </w:rPr>
              <w:t xml:space="preserve">” </w:t>
            </w:r>
            <w:r>
              <w:rPr>
                <w:rFonts w:cs="Times New Roman"/>
                <w:sz w:val="18"/>
              </w:rPr>
              <w:t>为内容填写项。</w:t>
            </w:r>
          </w:p>
        </w:tc>
      </w:tr>
    </w:tbl>
    <w:p w:rsidR="00A46452" w:rsidRDefault="00A46452">
      <w:pPr>
        <w:wordWrap w:val="0"/>
        <w:topLinePunct/>
        <w:adjustRightInd w:val="0"/>
        <w:snapToGrid w:val="0"/>
        <w:ind w:firstLineChars="0" w:firstLine="0"/>
        <w:jc w:val="center"/>
        <w:rPr>
          <w:rFonts w:cs="Times New Roman"/>
        </w:rPr>
      </w:pPr>
    </w:p>
    <w:p w:rsidR="00A46452" w:rsidRDefault="00A46452">
      <w:pPr>
        <w:wordWrap w:val="0"/>
        <w:topLinePunct/>
        <w:adjustRightInd w:val="0"/>
        <w:snapToGrid w:val="0"/>
        <w:ind w:firstLineChars="0" w:firstLine="0"/>
        <w:jc w:val="center"/>
        <w:rPr>
          <w:rFonts w:cs="Times New Roman"/>
        </w:rPr>
      </w:pPr>
    </w:p>
    <w:p w:rsidR="00A46452" w:rsidRDefault="00A46452">
      <w:pPr>
        <w:wordWrap w:val="0"/>
        <w:topLinePunct/>
        <w:adjustRightInd w:val="0"/>
        <w:snapToGrid w:val="0"/>
        <w:ind w:firstLineChars="0" w:firstLine="0"/>
        <w:jc w:val="center"/>
        <w:rPr>
          <w:rFonts w:cs="Times New Roman"/>
        </w:rPr>
        <w:sectPr w:rsidR="00A46452">
          <w:pgSz w:w="11905" w:h="16838"/>
          <w:pgMar w:top="1383" w:right="1803" w:bottom="1383" w:left="1803" w:header="850" w:footer="680" w:gutter="0"/>
          <w:cols w:space="0"/>
          <w:docGrid w:type="lines" w:linePitch="331"/>
        </w:sectPr>
      </w:pP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00" w:name="_Toc187080709"/>
      <w:bookmarkStart w:id="301" w:name="_Toc18517"/>
      <w:r>
        <w:rPr>
          <w:rFonts w:cs="Times New Roman" w:hint="default"/>
          <w:sz w:val="30"/>
          <w:szCs w:val="30"/>
        </w:rPr>
        <w:t>7</w:t>
      </w:r>
      <w:r>
        <w:rPr>
          <w:rFonts w:cs="Times New Roman" w:hint="default"/>
          <w:sz w:val="30"/>
          <w:szCs w:val="30"/>
        </w:rPr>
        <w:t>.5</w:t>
      </w:r>
      <w:r>
        <w:rPr>
          <w:rFonts w:cs="Times New Roman" w:hint="default"/>
          <w:sz w:val="30"/>
          <w:szCs w:val="30"/>
        </w:rPr>
        <w:t>固体废物影响预测与评价</w:t>
      </w:r>
      <w:bookmarkEnd w:id="300"/>
      <w:bookmarkEnd w:id="301"/>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02" w:name="_Toc34989600"/>
      <w:bookmarkStart w:id="303" w:name="_Toc57826761"/>
      <w:r>
        <w:rPr>
          <w:rFonts w:cs="Times New Roman" w:hint="default"/>
          <w:sz w:val="28"/>
          <w:szCs w:val="28"/>
        </w:rPr>
        <w:t>7.5.1</w:t>
      </w:r>
      <w:r>
        <w:rPr>
          <w:rFonts w:cs="Times New Roman" w:hint="default"/>
          <w:sz w:val="28"/>
          <w:szCs w:val="28"/>
        </w:rPr>
        <w:t>施工期固体废物影响预测与评价</w:t>
      </w:r>
      <w:bookmarkEnd w:id="302"/>
      <w:bookmarkEnd w:id="303"/>
    </w:p>
    <w:p w:rsidR="00A46452" w:rsidRDefault="009A3928">
      <w:pPr>
        <w:wordWrap w:val="0"/>
        <w:topLinePunct/>
        <w:adjustRightInd w:val="0"/>
        <w:snapToGrid w:val="0"/>
        <w:ind w:firstLine="480"/>
        <w:rPr>
          <w:rFonts w:cs="Times New Roman"/>
          <w:szCs w:val="24"/>
        </w:rPr>
      </w:pPr>
      <w:r>
        <w:rPr>
          <w:rFonts w:cs="Times New Roman"/>
          <w:szCs w:val="24"/>
        </w:rPr>
        <w:t>本项目施工期产生的固体废物为一般固体废物（改扩建路段的废沥青、建筑垃圾、弃土石方）、生活垃圾。</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1</w:t>
      </w:r>
      <w:r>
        <w:rPr>
          <w:rFonts w:cs="Times New Roman"/>
          <w:szCs w:val="24"/>
        </w:rPr>
        <w:t>）一般固体废物对周围环境的影响</w:t>
      </w:r>
    </w:p>
    <w:p w:rsidR="00A46452" w:rsidRDefault="009A3928">
      <w:pPr>
        <w:wordWrap w:val="0"/>
        <w:topLinePunct/>
        <w:adjustRightInd w:val="0"/>
        <w:snapToGrid w:val="0"/>
        <w:ind w:firstLine="480"/>
        <w:rPr>
          <w:rFonts w:cs="Times New Roman"/>
          <w:szCs w:val="24"/>
        </w:rPr>
      </w:pPr>
      <w:r>
        <w:rPr>
          <w:rFonts w:cs="Times New Roman"/>
          <w:szCs w:val="24"/>
        </w:rPr>
        <w:t>①</w:t>
      </w:r>
      <w:r>
        <w:rPr>
          <w:rFonts w:cs="Times New Roman"/>
          <w:szCs w:val="24"/>
        </w:rPr>
        <w:t>弃土石方对周围环境的影响</w:t>
      </w:r>
    </w:p>
    <w:p w:rsidR="00A46452" w:rsidRDefault="009A3928">
      <w:pPr>
        <w:wordWrap w:val="0"/>
        <w:topLinePunct/>
        <w:ind w:firstLine="456"/>
        <w:rPr>
          <w:rFonts w:cs="Times New Roman"/>
        </w:rPr>
      </w:pPr>
      <w:r>
        <w:rPr>
          <w:rFonts w:cs="Times New Roman"/>
          <w:spacing w:val="-6"/>
          <w:szCs w:val="24"/>
        </w:rPr>
        <w:t>本项目</w:t>
      </w:r>
      <w:r>
        <w:rPr>
          <w:rFonts w:cs="Times New Roman"/>
          <w:szCs w:val="24"/>
        </w:rPr>
        <w:t>产生弃渣</w:t>
      </w:r>
      <w:r>
        <w:rPr>
          <w:rFonts w:cs="Times New Roman"/>
          <w:kern w:val="0"/>
          <w:szCs w:val="24"/>
          <w:lang w:bidi="ar"/>
        </w:rPr>
        <w:t>29</w:t>
      </w:r>
      <w:r>
        <w:rPr>
          <w:rFonts w:cs="Times New Roman"/>
          <w:kern w:val="0"/>
          <w:szCs w:val="24"/>
          <w:lang w:bidi="ar"/>
        </w:rPr>
        <w:t>.</w:t>
      </w:r>
      <w:r>
        <w:rPr>
          <w:rFonts w:cs="Times New Roman"/>
          <w:kern w:val="0"/>
          <w:szCs w:val="24"/>
          <w:lang w:bidi="ar"/>
        </w:rPr>
        <w:t>3665</w:t>
      </w:r>
      <w:r>
        <w:rPr>
          <w:rFonts w:cs="Times New Roman"/>
          <w:szCs w:val="24"/>
        </w:rPr>
        <w:t>万</w:t>
      </w:r>
      <w:r>
        <w:rPr>
          <w:rFonts w:cs="Times New Roman"/>
          <w:szCs w:val="24"/>
        </w:rPr>
        <w:t>m</w:t>
      </w:r>
      <w:r>
        <w:rPr>
          <w:rFonts w:cs="Times New Roman"/>
          <w:szCs w:val="24"/>
          <w:vertAlign w:val="superscript"/>
        </w:rPr>
        <w:t>3</w:t>
      </w:r>
      <w:r>
        <w:rPr>
          <w:rFonts w:cs="Times New Roman"/>
          <w:szCs w:val="24"/>
        </w:rPr>
        <w:t>，运至</w:t>
      </w:r>
      <w:r>
        <w:rPr>
          <w:rFonts w:cs="Times New Roman"/>
          <w:spacing w:val="-6"/>
          <w:szCs w:val="24"/>
        </w:rPr>
        <w:t>本项目指定弃土场，共设</w:t>
      </w:r>
      <w:r>
        <w:rPr>
          <w:rFonts w:cs="Times New Roman"/>
          <w:spacing w:val="-6"/>
          <w:szCs w:val="24"/>
        </w:rPr>
        <w:t>3</w:t>
      </w:r>
      <w:r>
        <w:rPr>
          <w:rFonts w:cs="Times New Roman"/>
          <w:spacing w:val="-6"/>
          <w:szCs w:val="24"/>
        </w:rPr>
        <w:t>处，</w:t>
      </w:r>
      <w:r>
        <w:rPr>
          <w:rFonts w:cs="Times New Roman"/>
          <w:spacing w:val="-6"/>
          <w:szCs w:val="24"/>
        </w:rPr>
        <w:t>分别为图木舒克市弃土场</w:t>
      </w:r>
      <w:r>
        <w:rPr>
          <w:rFonts w:cs="Times New Roman"/>
          <w:szCs w:val="24"/>
        </w:rPr>
        <w:t>、</w:t>
      </w:r>
      <w:r>
        <w:rPr>
          <w:rFonts w:cs="Times New Roman"/>
          <w:szCs w:val="24"/>
        </w:rPr>
        <w:t>柯坪县弃土场，</w:t>
      </w:r>
      <w:r>
        <w:rPr>
          <w:rFonts w:cs="Times New Roman"/>
          <w:szCs w:val="24"/>
        </w:rPr>
        <w:t>可完全容纳本工程弃土弃渣。</w:t>
      </w:r>
      <w:r>
        <w:rPr>
          <w:rFonts w:cs="Times New Roman"/>
        </w:rPr>
        <w:t>弃土场均位于荒漠区，安全距离内均无公共设施、工业企业和居民点等地等敏感目标，且各弃土场也未侵占河道、湖泊和水库等重要设施。考虑弃土为较为松散的堆积体，如果采取的措施不当，易造成水土流失。本项目弃土场在施工结束时，将对所有弃土场及时平整，将弃土场设置对环境影响降至最低。</w:t>
      </w:r>
    </w:p>
    <w:p w:rsidR="00A46452" w:rsidRDefault="009A3928">
      <w:pPr>
        <w:wordWrap w:val="0"/>
        <w:topLinePunct/>
        <w:adjustRightInd w:val="0"/>
        <w:snapToGrid w:val="0"/>
        <w:ind w:firstLine="480"/>
        <w:rPr>
          <w:rFonts w:cs="Times New Roman"/>
          <w:szCs w:val="24"/>
        </w:rPr>
      </w:pPr>
      <w:r>
        <w:rPr>
          <w:rFonts w:cs="Times New Roman"/>
          <w:szCs w:val="24"/>
        </w:rPr>
        <w:t>汽车运土、料、渣要采取封闭运输，防止土、料、渣随意散落。</w:t>
      </w:r>
    </w:p>
    <w:p w:rsidR="00A46452" w:rsidRDefault="009A3928">
      <w:pPr>
        <w:wordWrap w:val="0"/>
        <w:topLinePunct/>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2 \* GB3 </w:instrText>
      </w:r>
      <w:r>
        <w:rPr>
          <w:rFonts w:cs="Times New Roman"/>
          <w:szCs w:val="24"/>
        </w:rPr>
        <w:fldChar w:fldCharType="separate"/>
      </w:r>
      <w:r>
        <w:rPr>
          <w:rFonts w:cs="Times New Roman"/>
          <w:szCs w:val="24"/>
        </w:rPr>
        <w:t>②</w:t>
      </w:r>
      <w:r>
        <w:rPr>
          <w:rFonts w:cs="Times New Roman"/>
          <w:szCs w:val="24"/>
        </w:rPr>
        <w:fldChar w:fldCharType="end"/>
      </w:r>
      <w:r>
        <w:rPr>
          <w:rFonts w:cs="Times New Roman"/>
          <w:szCs w:val="24"/>
        </w:rPr>
        <w:t>废沥青的环境影响</w:t>
      </w:r>
    </w:p>
    <w:p w:rsidR="00A46452" w:rsidRDefault="009A3928">
      <w:pPr>
        <w:wordWrap w:val="0"/>
        <w:topLinePunct/>
        <w:adjustRightInd w:val="0"/>
        <w:snapToGrid w:val="0"/>
        <w:ind w:firstLine="480"/>
        <w:rPr>
          <w:rFonts w:cs="Times New Roman"/>
          <w:szCs w:val="24"/>
        </w:rPr>
      </w:pPr>
      <w:r>
        <w:rPr>
          <w:rFonts w:cs="Times New Roman"/>
          <w:szCs w:val="24"/>
        </w:rPr>
        <w:t>本项目产生的废弃沥青为普通沥青，虽不属于危险废物，但沥青废料含有多种有害物质，也会对水和土壤环境造成污染，从生态保护角度，考虑到项目区周边分布有较多农田，禁止随意倾倒。废沥青通过冷再生机组加工后作为水稳层骨料进行填筑，避免污染沿线环境。</w:t>
      </w:r>
    </w:p>
    <w:p w:rsidR="00A46452" w:rsidRDefault="009A3928">
      <w:pPr>
        <w:wordWrap w:val="0"/>
        <w:topLinePunct/>
        <w:adjustRightInd w:val="0"/>
        <w:snapToGrid w:val="0"/>
        <w:ind w:firstLine="480"/>
        <w:rPr>
          <w:rFonts w:cs="Times New Roman"/>
          <w:szCs w:val="24"/>
        </w:rPr>
      </w:pPr>
      <w:r>
        <w:rPr>
          <w:rFonts w:cs="Times New Roman"/>
          <w:szCs w:val="24"/>
        </w:rPr>
        <w:fldChar w:fldCharType="begin"/>
      </w:r>
      <w:r>
        <w:rPr>
          <w:rFonts w:cs="Times New Roman"/>
          <w:szCs w:val="24"/>
        </w:rPr>
        <w:instrText xml:space="preserve"> = 3 \* GB3 </w:instrText>
      </w:r>
      <w:r>
        <w:rPr>
          <w:rFonts w:cs="Times New Roman"/>
          <w:szCs w:val="24"/>
        </w:rPr>
        <w:fldChar w:fldCharType="separate"/>
      </w:r>
      <w:r>
        <w:rPr>
          <w:rFonts w:cs="Times New Roman"/>
          <w:szCs w:val="24"/>
        </w:rPr>
        <w:t>③</w:t>
      </w:r>
      <w:r>
        <w:rPr>
          <w:rFonts w:cs="Times New Roman"/>
          <w:szCs w:val="24"/>
        </w:rPr>
        <w:fldChar w:fldCharType="end"/>
      </w:r>
      <w:r>
        <w:rPr>
          <w:rFonts w:cs="Times New Roman"/>
          <w:szCs w:val="24"/>
        </w:rPr>
        <w:t>建筑垃圾对周围环境的影响</w:t>
      </w:r>
    </w:p>
    <w:p w:rsidR="00A46452" w:rsidRDefault="009A3928">
      <w:pPr>
        <w:wordWrap w:val="0"/>
        <w:topLinePunct/>
        <w:adjustRightInd w:val="0"/>
        <w:snapToGrid w:val="0"/>
        <w:ind w:firstLine="480"/>
        <w:rPr>
          <w:rFonts w:cs="Times New Roman"/>
          <w:szCs w:val="24"/>
        </w:rPr>
      </w:pPr>
      <w:r>
        <w:rPr>
          <w:rFonts w:cs="Times New Roman"/>
          <w:szCs w:val="24"/>
        </w:rPr>
        <w:t>公路建成后，公路施工场地剩余的筑路材料，包括石料、砂、石灰、水泥、钢材、木料、预制构件等将会对环境产生一定的影响。</w:t>
      </w:r>
    </w:p>
    <w:p w:rsidR="00A46452" w:rsidRDefault="009A3928">
      <w:pPr>
        <w:wordWrap w:val="0"/>
        <w:topLinePunct/>
        <w:adjustRightInd w:val="0"/>
        <w:snapToGrid w:val="0"/>
        <w:ind w:firstLine="480"/>
        <w:rPr>
          <w:rFonts w:cs="Times New Roman"/>
          <w:szCs w:val="24"/>
        </w:rPr>
      </w:pPr>
      <w:r>
        <w:rPr>
          <w:rFonts w:cs="Times New Roman"/>
          <w:szCs w:val="24"/>
        </w:rPr>
        <w:t>筑路材料均是按施工进度有计划购置的，但公路工程规模、工程量大，难免有少量的筑路材料余下来，放置在工棚里或露天堆放、杂乱无序，从宏观上与周围环境很不协调，造成视觉污染。若石灰或水泥随水渗入地下，将使土壤板结、</w:t>
      </w:r>
      <w:r>
        <w:rPr>
          <w:rFonts w:cs="Times New Roman"/>
          <w:szCs w:val="24"/>
        </w:rPr>
        <w:t>pH</w:t>
      </w:r>
      <w:r>
        <w:rPr>
          <w:rFonts w:cs="Times New Roman"/>
          <w:szCs w:val="24"/>
        </w:rPr>
        <w:t>值升高，同时还会污染地下水，使该块土地失去生产能力，浪费了珍贵的土地资源。建筑垃圾尽可能回用，不能回用的集中收集后送</w:t>
      </w:r>
      <w:r>
        <w:rPr>
          <w:rFonts w:cs="Times New Roman"/>
          <w:szCs w:val="24"/>
        </w:rPr>
        <w:t>周边城镇</w:t>
      </w:r>
      <w:r>
        <w:rPr>
          <w:rFonts w:cs="Times New Roman"/>
          <w:szCs w:val="24"/>
        </w:rPr>
        <w:t>垃圾填埋场。</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2</w:t>
      </w:r>
      <w:r>
        <w:rPr>
          <w:rFonts w:cs="Times New Roman"/>
          <w:szCs w:val="24"/>
        </w:rPr>
        <w:t>）施工人员的生活垃圾</w:t>
      </w:r>
    </w:p>
    <w:p w:rsidR="00A46452" w:rsidRDefault="009A3928">
      <w:pPr>
        <w:wordWrap w:val="0"/>
        <w:topLinePunct/>
        <w:adjustRightInd w:val="0"/>
        <w:snapToGrid w:val="0"/>
        <w:ind w:firstLine="480"/>
        <w:rPr>
          <w:rFonts w:cs="Times New Roman"/>
          <w:szCs w:val="24"/>
        </w:rPr>
      </w:pPr>
      <w:r>
        <w:rPr>
          <w:rFonts w:cs="Times New Roman"/>
          <w:szCs w:val="24"/>
        </w:rPr>
        <w:t>施工高峰期现场施工人员约</w:t>
      </w:r>
      <w:r>
        <w:rPr>
          <w:rFonts w:cs="Times New Roman" w:hint="eastAsia"/>
          <w:szCs w:val="24"/>
        </w:rPr>
        <w:t>9</w:t>
      </w:r>
      <w:r>
        <w:rPr>
          <w:rFonts w:cs="Times New Roman"/>
          <w:szCs w:val="24"/>
        </w:rPr>
        <w:t>0</w:t>
      </w:r>
      <w:r>
        <w:rPr>
          <w:rFonts w:cs="Times New Roman"/>
          <w:szCs w:val="24"/>
        </w:rPr>
        <w:t>人，生活垃圾产生量</w:t>
      </w:r>
      <w:r>
        <w:rPr>
          <w:rFonts w:cs="Times New Roman"/>
          <w:szCs w:val="24"/>
        </w:rPr>
        <w:t>0.08t</w:t>
      </w:r>
      <w:r>
        <w:rPr>
          <w:rFonts w:cs="Times New Roman"/>
          <w:szCs w:val="24"/>
        </w:rPr>
        <w:t>/</w:t>
      </w:r>
      <w:r>
        <w:rPr>
          <w:rFonts w:cs="Times New Roman"/>
          <w:szCs w:val="24"/>
        </w:rPr>
        <w:t>d</w:t>
      </w:r>
      <w:r>
        <w:rPr>
          <w:rFonts w:cs="Times New Roman"/>
          <w:szCs w:val="24"/>
        </w:rPr>
        <w:t>，若不对这些垃圾采取处理措施，将会给自然环境和人群的健康造成不良的影响。在施工</w:t>
      </w:r>
      <w:r>
        <w:rPr>
          <w:rFonts w:cs="Times New Roman"/>
          <w:szCs w:val="24"/>
        </w:rPr>
        <w:t>生活区周围建立小型的垃圾临时堆放点，聘请专人定期清除垃圾，并运送至</w:t>
      </w:r>
      <w:r>
        <w:rPr>
          <w:rFonts w:cs="Times New Roman"/>
          <w:szCs w:val="24"/>
        </w:rPr>
        <w:t>城镇</w:t>
      </w:r>
      <w:r>
        <w:rPr>
          <w:rFonts w:cs="Times New Roman"/>
          <w:szCs w:val="24"/>
        </w:rPr>
        <w:t>生活垃圾填埋场处理，运送途中要避免垃圾的遗撒。</w:t>
      </w:r>
    </w:p>
    <w:p w:rsidR="00A46452" w:rsidRDefault="009A3928">
      <w:pPr>
        <w:wordWrap w:val="0"/>
        <w:topLinePunct/>
        <w:ind w:firstLine="480"/>
        <w:rPr>
          <w:rFonts w:cs="Times New Roman"/>
        </w:rPr>
      </w:pPr>
      <w:r>
        <w:rPr>
          <w:rFonts w:cs="Times New Roman"/>
          <w:szCs w:val="24"/>
        </w:rPr>
        <w:t>（</w:t>
      </w:r>
      <w:r>
        <w:rPr>
          <w:rFonts w:cs="Times New Roman"/>
          <w:szCs w:val="24"/>
        </w:rPr>
        <w:t>3</w:t>
      </w:r>
      <w:r>
        <w:rPr>
          <w:rFonts w:cs="Times New Roman"/>
          <w:szCs w:val="24"/>
        </w:rPr>
        <w:t>）</w:t>
      </w:r>
      <w:r>
        <w:rPr>
          <w:rFonts w:cs="Times New Roman"/>
        </w:rPr>
        <w:t>桥梁桩基钻渣</w:t>
      </w:r>
    </w:p>
    <w:p w:rsidR="00A46452" w:rsidRDefault="009A3928">
      <w:pPr>
        <w:wordWrap w:val="0"/>
        <w:topLinePunct/>
        <w:ind w:firstLine="480"/>
        <w:rPr>
          <w:rFonts w:cs="Times New Roman"/>
        </w:rPr>
      </w:pPr>
      <w:r>
        <w:rPr>
          <w:rFonts w:cs="Times New Roman"/>
        </w:rPr>
        <w:t>在钻孔过程中产生废弃的钻渣、泥浆水，要求施工时集中收集堆放至沉淀池中，清出的沉淀物运至临时堆渣场集中堆放，堆渣场存放地点必须与当地生态环境局、水利局等有关部门协商选址，应在设在河岸上、河流淹没范围外并采取一定的拦挡、防渗防护措施，并及时清运至弃土场，防止钻渣进入水体。</w:t>
      </w:r>
    </w:p>
    <w:p w:rsidR="00A46452" w:rsidRDefault="009A3928">
      <w:pPr>
        <w:wordWrap w:val="0"/>
        <w:topLinePunct/>
        <w:adjustRightInd w:val="0"/>
        <w:snapToGrid w:val="0"/>
        <w:ind w:firstLine="480"/>
        <w:rPr>
          <w:rFonts w:cs="Times New Roman"/>
          <w:szCs w:val="24"/>
        </w:rPr>
      </w:pPr>
      <w:r>
        <w:rPr>
          <w:rFonts w:cs="Times New Roman"/>
          <w:szCs w:val="24"/>
        </w:rPr>
        <w:t>（</w:t>
      </w:r>
      <w:r>
        <w:rPr>
          <w:rFonts w:cs="Times New Roman"/>
          <w:szCs w:val="24"/>
        </w:rPr>
        <w:t>4</w:t>
      </w:r>
      <w:r>
        <w:rPr>
          <w:rFonts w:cs="Times New Roman"/>
          <w:szCs w:val="24"/>
        </w:rPr>
        <w:t>）危险废物</w:t>
      </w:r>
    </w:p>
    <w:p w:rsidR="00A46452" w:rsidRDefault="009A3928">
      <w:pPr>
        <w:wordWrap w:val="0"/>
        <w:topLinePunct/>
        <w:adjustRightInd w:val="0"/>
        <w:snapToGrid w:val="0"/>
        <w:ind w:firstLine="480"/>
        <w:rPr>
          <w:rFonts w:cs="Times New Roman"/>
          <w:szCs w:val="24"/>
        </w:rPr>
      </w:pPr>
      <w:r>
        <w:rPr>
          <w:rFonts w:cs="Times New Roman"/>
          <w:szCs w:val="24"/>
        </w:rPr>
        <w:t>本项目沥青拌合装置的废活性炭产生量约</w:t>
      </w:r>
      <w:r>
        <w:rPr>
          <w:rFonts w:cs="Times New Roman"/>
          <w:szCs w:val="24"/>
        </w:rPr>
        <w:t>0.75t</w:t>
      </w:r>
      <w:r>
        <w:rPr>
          <w:rFonts w:cs="Times New Roman"/>
          <w:szCs w:val="24"/>
        </w:rPr>
        <w:t>。净化沥青烟气的废活性炭属于危险废物（</w:t>
      </w:r>
      <w:r>
        <w:rPr>
          <w:rFonts w:cs="Times New Roman"/>
          <w:szCs w:val="24"/>
        </w:rPr>
        <w:t>HW</w:t>
      </w:r>
      <w:r>
        <w:rPr>
          <w:rFonts w:cs="Times New Roman"/>
          <w:szCs w:val="24"/>
        </w:rPr>
        <w:t>49</w:t>
      </w:r>
      <w:r>
        <w:rPr>
          <w:rFonts w:cs="Times New Roman"/>
          <w:szCs w:val="24"/>
        </w:rPr>
        <w:t>，</w:t>
      </w:r>
      <w:r>
        <w:rPr>
          <w:rFonts w:cs="Times New Roman"/>
          <w:szCs w:val="24"/>
        </w:rPr>
        <w:t>900-039-49</w:t>
      </w:r>
      <w:r>
        <w:rPr>
          <w:rFonts w:cs="Times New Roman"/>
          <w:szCs w:val="24"/>
        </w:rPr>
        <w:t>），应该按国家《危险废物贮存污染控制标准》（</w:t>
      </w:r>
      <w:r>
        <w:rPr>
          <w:rFonts w:cs="Times New Roman"/>
          <w:szCs w:val="24"/>
        </w:rPr>
        <w:t>GB18597-2023</w:t>
      </w:r>
      <w:r>
        <w:rPr>
          <w:rFonts w:cs="Times New Roman"/>
          <w:szCs w:val="24"/>
        </w:rPr>
        <w:t>）的要求设置贮存场所，定期交有危险废物处置资质部门处理。沥青拌合站使用结束后拆除前，施工单位需立即委托有资质单位对废活性炭进行安全处置，禁止在站内暂存和自行处置。综上分析，经采取上述措施后，项目固废对环境影响较小。</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04" w:name="_Toc34989601"/>
      <w:bookmarkStart w:id="305" w:name="_Toc57826762"/>
      <w:r>
        <w:rPr>
          <w:rFonts w:cs="Times New Roman" w:hint="default"/>
          <w:sz w:val="28"/>
          <w:szCs w:val="28"/>
        </w:rPr>
        <w:t>7.5.2</w:t>
      </w:r>
      <w:r>
        <w:rPr>
          <w:rFonts w:cs="Times New Roman" w:hint="default"/>
          <w:sz w:val="28"/>
          <w:szCs w:val="28"/>
        </w:rPr>
        <w:t>运营期固体废物影响预测与评价</w:t>
      </w:r>
      <w:bookmarkEnd w:id="304"/>
      <w:bookmarkEnd w:id="305"/>
    </w:p>
    <w:p w:rsidR="00A46452" w:rsidRDefault="009A3928">
      <w:pPr>
        <w:ind w:firstLine="480"/>
        <w:rPr>
          <w:rFonts w:cs="Times New Roman"/>
        </w:rPr>
      </w:pPr>
      <w:r>
        <w:rPr>
          <w:rFonts w:cs="Times New Roman"/>
        </w:rPr>
        <w:t>工程营运期产生的固体废物主要是生活垃圾，主要是由服务区</w:t>
      </w:r>
      <w:r>
        <w:rPr>
          <w:rFonts w:cs="Times New Roman"/>
        </w:rPr>
        <w:t>等</w:t>
      </w:r>
      <w:r>
        <w:rPr>
          <w:rFonts w:cs="Times New Roman"/>
        </w:rPr>
        <w:t>服务设施产生的。本项目设服务区</w:t>
      </w:r>
      <w:r>
        <w:rPr>
          <w:rFonts w:cs="Times New Roman"/>
        </w:rPr>
        <w:t>2</w:t>
      </w:r>
      <w:r>
        <w:rPr>
          <w:rFonts w:cs="Times New Roman"/>
        </w:rPr>
        <w:t>处、停车区</w:t>
      </w:r>
      <w:r>
        <w:rPr>
          <w:rFonts w:cs="Times New Roman"/>
        </w:rPr>
        <w:t>3</w:t>
      </w:r>
      <w:r>
        <w:rPr>
          <w:rFonts w:cs="Times New Roman"/>
        </w:rPr>
        <w:t>处。根据</w:t>
      </w:r>
      <w:r>
        <w:rPr>
          <w:rFonts w:cs="Times New Roman"/>
        </w:rPr>
        <w:t>5.2.2.4</w:t>
      </w:r>
      <w:r>
        <w:rPr>
          <w:rFonts w:cs="Times New Roman"/>
        </w:rPr>
        <w:t>小节污染源分析，各服务设施处产生的</w:t>
      </w:r>
      <w:r>
        <w:rPr>
          <w:rFonts w:cs="Times New Roman"/>
        </w:rPr>
        <w:t>固废</w:t>
      </w:r>
      <w:r>
        <w:rPr>
          <w:rFonts w:cs="Times New Roman"/>
        </w:rPr>
        <w:t>共</w:t>
      </w:r>
      <w:r>
        <w:rPr>
          <w:rFonts w:cs="Times New Roman"/>
        </w:rPr>
        <w:t>46.64</w:t>
      </w:r>
      <w:r>
        <w:rPr>
          <w:rFonts w:cs="Times New Roman"/>
        </w:rPr>
        <w:t>t/</w:t>
      </w:r>
      <w:r>
        <w:rPr>
          <w:rFonts w:cs="Times New Roman"/>
        </w:rPr>
        <w:t>a</w:t>
      </w:r>
      <w:r>
        <w:rPr>
          <w:rFonts w:cs="Times New Roman"/>
        </w:rPr>
        <w:t>。</w:t>
      </w:r>
    </w:p>
    <w:p w:rsidR="00A46452" w:rsidRDefault="009A3928">
      <w:pPr>
        <w:spacing w:line="240" w:lineRule="auto"/>
        <w:ind w:firstLineChars="0" w:firstLine="0"/>
        <w:jc w:val="left"/>
        <w:rPr>
          <w:rFonts w:eastAsia="黑体" w:cs="Times New Roman"/>
          <w:szCs w:val="24"/>
        </w:rPr>
      </w:pPr>
      <w:r>
        <w:rPr>
          <w:rFonts w:eastAsia="黑体" w:cs="Times New Roman"/>
          <w:spacing w:val="-1"/>
          <w:szCs w:val="24"/>
        </w:rPr>
        <w:t>表</w:t>
      </w:r>
      <w:r>
        <w:rPr>
          <w:rFonts w:eastAsia="黑体" w:cs="Times New Roman" w:hint="eastAsia"/>
          <w:spacing w:val="-1"/>
          <w:szCs w:val="24"/>
        </w:rPr>
        <w:t>7</w:t>
      </w:r>
      <w:r>
        <w:rPr>
          <w:rFonts w:eastAsia="黑体" w:cs="Times New Roman"/>
          <w:spacing w:val="-1"/>
          <w:szCs w:val="24"/>
        </w:rPr>
        <w:t>.5</w:t>
      </w:r>
      <w:r>
        <w:rPr>
          <w:rFonts w:eastAsia="黑体" w:cs="Times New Roman"/>
          <w:spacing w:val="-1"/>
          <w:szCs w:val="24"/>
        </w:rPr>
        <w:t xml:space="preserve">-1    </w:t>
      </w:r>
      <w:r>
        <w:rPr>
          <w:rFonts w:eastAsia="黑体" w:cs="Times New Roman"/>
          <w:spacing w:val="-1"/>
          <w:szCs w:val="24"/>
        </w:rPr>
        <w:t xml:space="preserve">            </w:t>
      </w:r>
      <w:r>
        <w:rPr>
          <w:rFonts w:eastAsia="黑体" w:cs="Times New Roman"/>
          <w:spacing w:val="-1"/>
          <w:szCs w:val="24"/>
        </w:rPr>
        <w:t>营运期固体废物分析结果汇总表</w:t>
      </w:r>
    </w:p>
    <w:p w:rsidR="00A46452" w:rsidRDefault="00A46452" w:rsidP="00182EED">
      <w:pPr>
        <w:spacing w:line="21" w:lineRule="exact"/>
        <w:ind w:firstLine="480"/>
        <w:rPr>
          <w:rFonts w:cs="Times New Roman"/>
        </w:rPr>
      </w:pPr>
    </w:p>
    <w:tbl>
      <w:tblPr>
        <w:tblStyle w:val="TableNormal"/>
        <w:tblW w:w="5013"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99"/>
        <w:gridCol w:w="756"/>
        <w:gridCol w:w="814"/>
        <w:gridCol w:w="1031"/>
        <w:gridCol w:w="560"/>
        <w:gridCol w:w="1041"/>
        <w:gridCol w:w="1151"/>
        <w:gridCol w:w="984"/>
        <w:gridCol w:w="758"/>
        <w:gridCol w:w="757"/>
      </w:tblGrid>
      <w:tr w:rsidR="00A46452">
        <w:trPr>
          <w:trHeight w:val="726"/>
          <w:jc w:val="center"/>
        </w:trPr>
        <w:tc>
          <w:tcPr>
            <w:tcW w:w="298" w:type="pct"/>
            <w:tcBorders>
              <w:tl2br w:val="nil"/>
              <w:tr2bl w:val="nil"/>
            </w:tcBorders>
            <w:textDirection w:val="tbRlV"/>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序</w:t>
            </w:r>
            <w:r>
              <w:rPr>
                <w:rFonts w:cs="Times New Roman"/>
                <w:bCs/>
                <w:sz w:val="18"/>
                <w:szCs w:val="18"/>
              </w:rPr>
              <w:t xml:space="preserve"> </w:t>
            </w:r>
            <w:r>
              <w:rPr>
                <w:rFonts w:cs="Times New Roman"/>
                <w:bCs/>
                <w:sz w:val="18"/>
                <w:szCs w:val="18"/>
              </w:rPr>
              <w:t>号</w:t>
            </w:r>
          </w:p>
        </w:tc>
        <w:tc>
          <w:tcPr>
            <w:tcW w:w="452"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固废名称</w:t>
            </w:r>
          </w:p>
        </w:tc>
        <w:tc>
          <w:tcPr>
            <w:tcW w:w="48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属性</w:t>
            </w:r>
          </w:p>
        </w:tc>
        <w:tc>
          <w:tcPr>
            <w:tcW w:w="61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产生工序</w:t>
            </w:r>
          </w:p>
        </w:tc>
        <w:tc>
          <w:tcPr>
            <w:tcW w:w="335"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形态</w:t>
            </w:r>
          </w:p>
        </w:tc>
        <w:tc>
          <w:tcPr>
            <w:tcW w:w="62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主要成分</w:t>
            </w:r>
          </w:p>
        </w:tc>
        <w:tc>
          <w:tcPr>
            <w:tcW w:w="688"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废物代码</w:t>
            </w:r>
          </w:p>
        </w:tc>
        <w:tc>
          <w:tcPr>
            <w:tcW w:w="589"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产生量</w:t>
            </w:r>
            <w:r>
              <w:rPr>
                <w:rFonts w:cs="Times New Roman"/>
                <w:bCs/>
                <w:sz w:val="18"/>
                <w:szCs w:val="18"/>
              </w:rPr>
              <w:t xml:space="preserve"> </w:t>
            </w:r>
            <w:r>
              <w:rPr>
                <w:rFonts w:cs="Times New Roman"/>
                <w:bCs/>
                <w:sz w:val="18"/>
                <w:szCs w:val="18"/>
              </w:rPr>
              <w:t>（</w:t>
            </w:r>
            <w:r>
              <w:rPr>
                <w:rFonts w:cs="Times New Roman"/>
                <w:bCs/>
                <w:sz w:val="18"/>
                <w:szCs w:val="18"/>
              </w:rPr>
              <w:t>t/a</w:t>
            </w:r>
            <w:r>
              <w:rPr>
                <w:rFonts w:cs="Times New Roman"/>
                <w:bCs/>
                <w:sz w:val="18"/>
                <w:szCs w:val="18"/>
              </w:rPr>
              <w:t>）</w:t>
            </w:r>
          </w:p>
        </w:tc>
        <w:tc>
          <w:tcPr>
            <w:tcW w:w="454"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处置利用</w:t>
            </w:r>
            <w:r>
              <w:rPr>
                <w:rFonts w:cs="Times New Roman"/>
                <w:bCs/>
                <w:sz w:val="18"/>
                <w:szCs w:val="18"/>
              </w:rPr>
              <w:t xml:space="preserve"> </w:t>
            </w:r>
            <w:r>
              <w:rPr>
                <w:rFonts w:cs="Times New Roman"/>
                <w:bCs/>
                <w:sz w:val="18"/>
                <w:szCs w:val="18"/>
              </w:rPr>
              <w:t>方式</w:t>
            </w:r>
          </w:p>
        </w:tc>
        <w:tc>
          <w:tcPr>
            <w:tcW w:w="45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利用处置</w:t>
            </w:r>
            <w:r>
              <w:rPr>
                <w:rFonts w:cs="Times New Roman"/>
                <w:bCs/>
                <w:sz w:val="18"/>
                <w:szCs w:val="18"/>
              </w:rPr>
              <w:t xml:space="preserve"> </w:t>
            </w:r>
            <w:r>
              <w:rPr>
                <w:rFonts w:cs="Times New Roman"/>
                <w:bCs/>
                <w:sz w:val="18"/>
                <w:szCs w:val="18"/>
              </w:rPr>
              <w:t>单位</w:t>
            </w:r>
          </w:p>
        </w:tc>
      </w:tr>
      <w:tr w:rsidR="00A46452">
        <w:trPr>
          <w:trHeight w:val="154"/>
          <w:jc w:val="center"/>
        </w:trPr>
        <w:tc>
          <w:tcPr>
            <w:tcW w:w="298"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1</w:t>
            </w:r>
          </w:p>
        </w:tc>
        <w:tc>
          <w:tcPr>
            <w:tcW w:w="452"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生活垃圾</w:t>
            </w:r>
          </w:p>
        </w:tc>
        <w:tc>
          <w:tcPr>
            <w:tcW w:w="48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一般工业</w:t>
            </w:r>
            <w:r>
              <w:rPr>
                <w:rFonts w:cs="Times New Roman"/>
                <w:bCs/>
                <w:sz w:val="18"/>
                <w:szCs w:val="18"/>
              </w:rPr>
              <w:t xml:space="preserve"> </w:t>
            </w:r>
            <w:r>
              <w:rPr>
                <w:rFonts w:cs="Times New Roman"/>
                <w:bCs/>
                <w:sz w:val="18"/>
                <w:szCs w:val="18"/>
              </w:rPr>
              <w:t>固体废物</w:t>
            </w:r>
          </w:p>
        </w:tc>
        <w:tc>
          <w:tcPr>
            <w:tcW w:w="61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办公、餐饮</w:t>
            </w:r>
          </w:p>
        </w:tc>
        <w:tc>
          <w:tcPr>
            <w:tcW w:w="335"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固态</w:t>
            </w:r>
          </w:p>
        </w:tc>
        <w:tc>
          <w:tcPr>
            <w:tcW w:w="62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生活垃圾、餐余垃圾等</w:t>
            </w:r>
          </w:p>
        </w:tc>
        <w:tc>
          <w:tcPr>
            <w:tcW w:w="688"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w:t>
            </w:r>
          </w:p>
        </w:tc>
        <w:tc>
          <w:tcPr>
            <w:tcW w:w="589"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24.97</w:t>
            </w:r>
          </w:p>
        </w:tc>
        <w:tc>
          <w:tcPr>
            <w:tcW w:w="454"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环卫清运</w:t>
            </w:r>
          </w:p>
        </w:tc>
        <w:tc>
          <w:tcPr>
            <w:tcW w:w="45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运营单位</w:t>
            </w:r>
          </w:p>
        </w:tc>
      </w:tr>
      <w:tr w:rsidR="00A46452">
        <w:trPr>
          <w:trHeight w:val="577"/>
          <w:jc w:val="center"/>
        </w:trPr>
        <w:tc>
          <w:tcPr>
            <w:tcW w:w="298"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2</w:t>
            </w:r>
          </w:p>
        </w:tc>
        <w:tc>
          <w:tcPr>
            <w:tcW w:w="452"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生化处理</w:t>
            </w:r>
            <w:r>
              <w:rPr>
                <w:rFonts w:cs="Times New Roman"/>
                <w:bCs/>
                <w:sz w:val="18"/>
                <w:szCs w:val="18"/>
              </w:rPr>
              <w:t xml:space="preserve"> </w:t>
            </w:r>
            <w:r>
              <w:rPr>
                <w:rFonts w:cs="Times New Roman"/>
                <w:bCs/>
                <w:sz w:val="18"/>
                <w:szCs w:val="18"/>
              </w:rPr>
              <w:t>污泥</w:t>
            </w:r>
          </w:p>
        </w:tc>
        <w:tc>
          <w:tcPr>
            <w:tcW w:w="48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一般工业</w:t>
            </w:r>
            <w:r>
              <w:rPr>
                <w:rFonts w:cs="Times New Roman"/>
                <w:bCs/>
                <w:sz w:val="18"/>
                <w:szCs w:val="18"/>
              </w:rPr>
              <w:t xml:space="preserve"> </w:t>
            </w:r>
            <w:r>
              <w:rPr>
                <w:rFonts w:cs="Times New Roman"/>
                <w:bCs/>
                <w:sz w:val="18"/>
                <w:szCs w:val="18"/>
              </w:rPr>
              <w:t>固体废物</w:t>
            </w:r>
          </w:p>
        </w:tc>
        <w:tc>
          <w:tcPr>
            <w:tcW w:w="617"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污水处理设施</w:t>
            </w:r>
          </w:p>
        </w:tc>
        <w:tc>
          <w:tcPr>
            <w:tcW w:w="335"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固态</w:t>
            </w:r>
          </w:p>
        </w:tc>
        <w:tc>
          <w:tcPr>
            <w:tcW w:w="62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水处理污泥</w:t>
            </w:r>
          </w:p>
        </w:tc>
        <w:tc>
          <w:tcPr>
            <w:tcW w:w="688"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w:t>
            </w:r>
          </w:p>
        </w:tc>
        <w:tc>
          <w:tcPr>
            <w:tcW w:w="589"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21.67</w:t>
            </w:r>
          </w:p>
        </w:tc>
        <w:tc>
          <w:tcPr>
            <w:tcW w:w="454"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环卫清运</w:t>
            </w:r>
          </w:p>
        </w:tc>
        <w:tc>
          <w:tcPr>
            <w:tcW w:w="453" w:type="pct"/>
            <w:tcBorders>
              <w:tl2br w:val="nil"/>
              <w:tr2bl w:val="nil"/>
            </w:tcBorders>
            <w:vAlign w:val="center"/>
          </w:tcPr>
          <w:p w:rsidR="00A46452" w:rsidRDefault="009A3928">
            <w:pPr>
              <w:spacing w:line="240" w:lineRule="atLeast"/>
              <w:ind w:firstLineChars="0" w:firstLine="0"/>
              <w:jc w:val="center"/>
              <w:rPr>
                <w:rFonts w:cs="Times New Roman"/>
                <w:bCs/>
                <w:sz w:val="18"/>
                <w:szCs w:val="18"/>
              </w:rPr>
            </w:pPr>
            <w:r>
              <w:rPr>
                <w:rFonts w:cs="Times New Roman"/>
                <w:bCs/>
                <w:sz w:val="18"/>
                <w:szCs w:val="18"/>
              </w:rPr>
              <w:t>运营单位</w:t>
            </w:r>
          </w:p>
        </w:tc>
      </w:tr>
    </w:tbl>
    <w:p w:rsidR="00A46452" w:rsidRDefault="009A3928">
      <w:pPr>
        <w:ind w:firstLine="480"/>
        <w:rPr>
          <w:rFonts w:cs="Times New Roman"/>
        </w:rPr>
      </w:pPr>
      <w:r>
        <w:rPr>
          <w:rFonts w:cs="Times New Roman"/>
        </w:rPr>
        <w:t>另外，拟建公路通车后会产生部分交通垃圾，如纸屑、果皮、塑料物品等固体废物及公路养护和维修过程中产生的筑路废料。其对沿线周边环境会产生不利影响，增加了公路养护的负担，破坏了陆域景观的观赏性。</w:t>
      </w:r>
    </w:p>
    <w:p w:rsidR="00A46452" w:rsidRDefault="009A3928">
      <w:pPr>
        <w:ind w:firstLine="480"/>
        <w:rPr>
          <w:rFonts w:cs="Times New Roman"/>
        </w:rPr>
      </w:pPr>
      <w:r>
        <w:rPr>
          <w:rFonts w:cs="Times New Roman"/>
        </w:rPr>
        <w:t>对固体废物的处理，严禁随意抛弃，服务设施内放置垃圾桶并定期清运，筑路废料收集后统一运送至周边建筑垃圾填埋场堆放，路面垃圾由环卫工人对道路及时进行清理。运营期污水处理站产生的污泥为一般固体废物，委托当地环卫部门定期清运。只要在营运期加强管理，采取切实可行的措施，本工程营运期的固体废物不会对周围环境产生影响。</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06" w:name="_Toc162"/>
      <w:bookmarkStart w:id="307" w:name="_Toc12358"/>
      <w:bookmarkStart w:id="308" w:name="_Toc34989603"/>
      <w:bookmarkStart w:id="309" w:name="_Toc187080710"/>
      <w:bookmarkStart w:id="310" w:name="_Toc107567331"/>
      <w:bookmarkStart w:id="311" w:name="_Toc57826768"/>
      <w:bookmarkStart w:id="312" w:name="_Toc493587555"/>
      <w:bookmarkStart w:id="313" w:name="_Toc486841897"/>
      <w:r>
        <w:rPr>
          <w:rFonts w:cs="Times New Roman" w:hint="default"/>
          <w:sz w:val="30"/>
          <w:szCs w:val="30"/>
        </w:rPr>
        <w:t>7.6</w:t>
      </w:r>
      <w:r>
        <w:rPr>
          <w:rFonts w:cs="Times New Roman" w:hint="default"/>
          <w:sz w:val="30"/>
          <w:szCs w:val="30"/>
        </w:rPr>
        <w:t>地下水环</w:t>
      </w:r>
      <w:r>
        <w:rPr>
          <w:rFonts w:cs="Times New Roman" w:hint="default"/>
          <w:sz w:val="30"/>
          <w:szCs w:val="30"/>
        </w:rPr>
        <w:t>境影响预测与评价</w:t>
      </w:r>
      <w:bookmarkEnd w:id="306"/>
      <w:bookmarkEnd w:id="30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7.6.1</w:t>
      </w:r>
      <w:r>
        <w:rPr>
          <w:rFonts w:cs="Times New Roman" w:hint="default"/>
          <w:sz w:val="28"/>
          <w:szCs w:val="28"/>
        </w:rPr>
        <w:t>施工期地下水环境影响分析</w:t>
      </w:r>
    </w:p>
    <w:p w:rsidR="00A46452" w:rsidRDefault="009A3928">
      <w:pPr>
        <w:wordWrap w:val="0"/>
        <w:topLinePunct/>
        <w:ind w:firstLine="480"/>
        <w:rPr>
          <w:rFonts w:cs="Times New Roman"/>
        </w:rPr>
      </w:pPr>
      <w:r>
        <w:rPr>
          <w:rFonts w:cs="Times New Roman"/>
        </w:rPr>
        <w:t>由于本项目施工期对地下水环境的影响主要表现在：桥梁施工对地下水环境的影响；施工期含油污水、建筑材料堆放期间的淋渗水等对地下水环境的影响。</w:t>
      </w:r>
    </w:p>
    <w:p w:rsidR="00A46452" w:rsidRDefault="009A3928">
      <w:pPr>
        <w:wordWrap w:val="0"/>
        <w:topLinePunct/>
        <w:ind w:firstLine="480"/>
        <w:rPr>
          <w:rFonts w:cs="Times New Roman"/>
        </w:rPr>
      </w:pPr>
      <w:r>
        <w:rPr>
          <w:rFonts w:cs="Times New Roman"/>
        </w:rPr>
        <w:t>1</w:t>
      </w:r>
      <w:r>
        <w:rPr>
          <w:rFonts w:cs="Times New Roman"/>
        </w:rPr>
        <w:t>、桥梁施工对地下水环境的影响</w:t>
      </w:r>
    </w:p>
    <w:p w:rsidR="00A46452" w:rsidRDefault="009A3928">
      <w:pPr>
        <w:wordWrap w:val="0"/>
        <w:topLinePunct/>
        <w:ind w:firstLine="480"/>
        <w:rPr>
          <w:rFonts w:cs="Times New Roman"/>
        </w:rPr>
      </w:pPr>
      <w:r>
        <w:rPr>
          <w:rFonts w:cs="Times New Roman"/>
        </w:rPr>
        <w:t>本项目的桥梁打入地下的桩长约</w:t>
      </w:r>
      <w:r>
        <w:rPr>
          <w:rFonts w:cs="Times New Roman"/>
        </w:rPr>
        <w:t>30m</w:t>
      </w:r>
      <w:r>
        <w:rPr>
          <w:rFonts w:cs="Times New Roman"/>
        </w:rPr>
        <w:t>~</w:t>
      </w:r>
      <w:r>
        <w:rPr>
          <w:rFonts w:cs="Times New Roman"/>
        </w:rPr>
        <w:t>35m</w:t>
      </w:r>
      <w:r>
        <w:rPr>
          <w:rFonts w:cs="Times New Roman"/>
        </w:rPr>
        <w:t>，涉及的地下水主要是潜水和承压含水层。桥梁施工对地下水的影响主要</w:t>
      </w:r>
      <w:r>
        <w:rPr>
          <w:rFonts w:cs="Times New Roman"/>
        </w:rPr>
        <w:t>为</w:t>
      </w:r>
      <w:r>
        <w:rPr>
          <w:rFonts w:cs="Times New Roman"/>
        </w:rPr>
        <w:t>孔隙水。因此，桥梁桩基钻孔施工过程中应采用清水护壁，或采取封闭施工，尽量减小钻孔施工与周围地下环境的接触面积，减少泥浆等污染物进入地下。</w:t>
      </w:r>
    </w:p>
    <w:p w:rsidR="00A46452" w:rsidRDefault="009A3928">
      <w:pPr>
        <w:wordWrap w:val="0"/>
        <w:topLinePunct/>
        <w:ind w:firstLine="480"/>
        <w:rPr>
          <w:rFonts w:cs="Times New Roman"/>
        </w:rPr>
      </w:pPr>
      <w:r>
        <w:rPr>
          <w:rFonts w:cs="Times New Roman"/>
        </w:rPr>
        <w:t>2</w:t>
      </w:r>
      <w:r>
        <w:rPr>
          <w:rFonts w:cs="Times New Roman"/>
        </w:rPr>
        <w:t>、淋渗水对地下水环境的影响分析</w:t>
      </w:r>
    </w:p>
    <w:p w:rsidR="00A46452" w:rsidRDefault="009A3928">
      <w:pPr>
        <w:wordWrap w:val="0"/>
        <w:topLinePunct/>
        <w:ind w:firstLine="480"/>
        <w:rPr>
          <w:rFonts w:cs="Times New Roman"/>
          <w:spacing w:val="-1"/>
        </w:rPr>
      </w:pPr>
      <w:r>
        <w:rPr>
          <w:rFonts w:cs="Times New Roman"/>
        </w:rPr>
        <w:t>桥梁施工过程中若桥梁钻渣处置不当，物料、油料、化学品堆放管理不严，施工机械设备漏油、机械维修过程中的残油等可能污染地下水。鉴于项目区地下水补给来源为大气降水，建筑材料堆放场地产生的少量淋渗水主要是对潜水的影响，对地下微承压含水层的影响很小。尽管如此，为防止油料等物质不慎</w:t>
      </w:r>
      <w:r>
        <w:rPr>
          <w:rFonts w:cs="Times New Roman"/>
        </w:rPr>
        <w:t>泄漏</w:t>
      </w:r>
      <w:r>
        <w:rPr>
          <w:rFonts w:cs="Times New Roman"/>
        </w:rPr>
        <w:t>对堆放场地附近的地下水环境带来影响，可在建筑材料堆放地设置一定的防渗区域，专门存放油料及化学品物质。</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7.6.2</w:t>
      </w:r>
      <w:r>
        <w:rPr>
          <w:rFonts w:cs="Times New Roman" w:hint="default"/>
          <w:sz w:val="28"/>
          <w:szCs w:val="28"/>
        </w:rPr>
        <w:t>运营期地下水环境影响分析</w:t>
      </w:r>
    </w:p>
    <w:p w:rsidR="00A46452" w:rsidRDefault="009A3928">
      <w:pPr>
        <w:wordWrap w:val="0"/>
        <w:topLinePunct/>
        <w:ind w:firstLine="480"/>
        <w:rPr>
          <w:rFonts w:cs="Times New Roman"/>
        </w:rPr>
      </w:pPr>
      <w:r>
        <w:rPr>
          <w:rFonts w:cs="Times New Roman"/>
        </w:rPr>
        <w:t>根据工程所处区域的地质情况，可能对地下水造成污染的途径主要为加油站地下设施（埋地油罐、输油管线）因长</w:t>
      </w:r>
      <w:r>
        <w:rPr>
          <w:rFonts w:cs="Times New Roman"/>
        </w:rPr>
        <w:t>期使用、维护</w:t>
      </w:r>
      <w:r>
        <w:rPr>
          <w:rFonts w:cs="Times New Roman"/>
        </w:rPr>
        <w:t>不力</w:t>
      </w:r>
      <w:r>
        <w:rPr>
          <w:rFonts w:cs="Times New Roman"/>
        </w:rPr>
        <w:t>或材料老化、腐蚀等原因造成油品泄漏。</w:t>
      </w:r>
      <w:r>
        <w:rPr>
          <w:rFonts w:cs="Times New Roman"/>
        </w:rPr>
        <w:t>但本次拟建项目不建设加油站，仅预留加油站用地，因此本次不分析加油站对地下水的影响。</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14" w:name="_Toc187080711"/>
      <w:bookmarkStart w:id="315" w:name="_Toc10779"/>
      <w:bookmarkEnd w:id="308"/>
      <w:bookmarkEnd w:id="309"/>
      <w:bookmarkEnd w:id="310"/>
      <w:bookmarkEnd w:id="311"/>
      <w:bookmarkEnd w:id="312"/>
      <w:bookmarkEnd w:id="313"/>
      <w:r>
        <w:rPr>
          <w:rFonts w:cs="Times New Roman" w:hint="default"/>
          <w:sz w:val="30"/>
          <w:szCs w:val="30"/>
        </w:rPr>
        <w:t>7.7</w:t>
      </w:r>
      <w:r>
        <w:rPr>
          <w:rFonts w:cs="Times New Roman" w:hint="default"/>
          <w:sz w:val="30"/>
          <w:szCs w:val="30"/>
        </w:rPr>
        <w:t>环境风险</w:t>
      </w:r>
      <w:bookmarkEnd w:id="314"/>
      <w:r>
        <w:rPr>
          <w:rFonts w:cs="Times New Roman" w:hint="default"/>
          <w:sz w:val="30"/>
          <w:szCs w:val="30"/>
        </w:rPr>
        <w:t>分析与评价</w:t>
      </w:r>
      <w:bookmarkEnd w:id="315"/>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16" w:name="_Toc98414246"/>
      <w:bookmarkStart w:id="317" w:name="_Toc172668169"/>
      <w:bookmarkStart w:id="318" w:name="_Toc98413564"/>
      <w:bookmarkStart w:id="319" w:name="_Toc97464670"/>
      <w:r>
        <w:rPr>
          <w:rFonts w:cs="Times New Roman" w:hint="default"/>
          <w:sz w:val="28"/>
          <w:szCs w:val="28"/>
        </w:rPr>
        <w:t>7.7.1</w:t>
      </w:r>
      <w:r>
        <w:rPr>
          <w:rFonts w:cs="Times New Roman" w:hint="default"/>
          <w:sz w:val="28"/>
          <w:szCs w:val="28"/>
        </w:rPr>
        <w:t>评价概述</w:t>
      </w:r>
      <w:bookmarkEnd w:id="316"/>
      <w:bookmarkEnd w:id="317"/>
      <w:bookmarkEnd w:id="318"/>
      <w:bookmarkEnd w:id="319"/>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公路上运输有毒有害或易燃易爆等危险品是不可避免的，其风险主要表现在因交通事故和违反危险品运输的有关规定，使被运送的危险品在运输途中突发性发生</w:t>
      </w:r>
      <w:r>
        <w:rPr>
          <w:rFonts w:cs="Times New Roman"/>
          <w:snapToGrid w:val="0"/>
          <w:szCs w:val="24"/>
        </w:rPr>
        <w:t>泄漏</w:t>
      </w:r>
      <w:r>
        <w:rPr>
          <w:rFonts w:cs="Times New Roman"/>
          <w:snapToGrid w:val="0"/>
          <w:szCs w:val="24"/>
        </w:rPr>
        <w:t>、爆炸、燃烧等，一旦出现将在很短的时间内造成一定面积的恶性污染事故，对当地环境造成较大危害，给国家财产造成巨大的损失。</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本项目属于公路建设项目，运输的常见危险物质有油类物质（矿物种类，如石油、汽油、柴油等；生物柴油等）。依据《建设项目环境风险评价技术导则》（</w:t>
      </w:r>
      <w:r>
        <w:rPr>
          <w:rFonts w:cs="Times New Roman"/>
          <w:snapToGrid w:val="0"/>
          <w:szCs w:val="24"/>
        </w:rPr>
        <w:t>HJ169-2018</w:t>
      </w:r>
      <w:r>
        <w:rPr>
          <w:rFonts w:cs="Times New Roman"/>
          <w:snapToGrid w:val="0"/>
          <w:szCs w:val="24"/>
        </w:rPr>
        <w:t>）中有关规定，分析建设项目生产、使用、储存过程中涉及的有毒有害、易燃易爆物质。公路建设项目不属于其适用范围内的建设项目</w:t>
      </w:r>
      <w:r>
        <w:rPr>
          <w:rFonts w:cs="Times New Roman"/>
          <w:snapToGrid w:val="0"/>
          <w:szCs w:val="24"/>
          <w:lang w:val="zh-CN"/>
        </w:rPr>
        <w:t>，按照《公路建设项目环境影响评价规范》（</w:t>
      </w:r>
      <w:r>
        <w:rPr>
          <w:rFonts w:cs="Times New Roman"/>
          <w:snapToGrid w:val="0"/>
          <w:szCs w:val="24"/>
          <w:lang w:val="zh-CN"/>
        </w:rPr>
        <w:t>HJ1358-2024</w:t>
      </w:r>
      <w:r>
        <w:rPr>
          <w:rFonts w:cs="Times New Roman"/>
          <w:snapToGrid w:val="0"/>
          <w:szCs w:val="24"/>
          <w:lang w:val="zh-CN"/>
        </w:rPr>
        <w:t>）的技术要求开展危险化学品运输事故环境风险分析</w:t>
      </w:r>
      <w:r>
        <w:rPr>
          <w:rFonts w:cs="Times New Roman"/>
          <w:snapToGrid w:val="0"/>
          <w:szCs w:val="24"/>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20" w:name="_Toc154077006"/>
      <w:r>
        <w:rPr>
          <w:rFonts w:cs="Times New Roman" w:hint="default"/>
          <w:sz w:val="28"/>
          <w:szCs w:val="28"/>
        </w:rPr>
        <w:t>7.7.2</w:t>
      </w:r>
      <w:bookmarkEnd w:id="320"/>
      <w:r>
        <w:rPr>
          <w:rFonts w:cs="Times New Roman" w:hint="default"/>
          <w:sz w:val="28"/>
          <w:szCs w:val="28"/>
        </w:rPr>
        <w:t>风险调查</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）施工期风险调查</w:t>
      </w:r>
    </w:p>
    <w:p w:rsidR="00A46452" w:rsidRDefault="009A3928">
      <w:pPr>
        <w:wordWrap w:val="0"/>
        <w:topLinePunct/>
        <w:ind w:firstLine="480"/>
        <w:rPr>
          <w:rFonts w:cs="Times New Roman"/>
          <w:snapToGrid w:val="0"/>
          <w:lang w:val="zh-CN"/>
        </w:rPr>
      </w:pPr>
      <w:r>
        <w:rPr>
          <w:rFonts w:cs="Times New Roman"/>
          <w:snapToGrid w:val="0"/>
          <w:lang w:val="zh-CN"/>
        </w:rPr>
        <w:t>工程所在区域跨河桥梁水中基础施工作业时施工机械油箱泄漏、含油污水泄漏等进入水体，对</w:t>
      </w:r>
      <w:r>
        <w:rPr>
          <w:rFonts w:cs="Times New Roman"/>
          <w:snapToGrid w:val="0"/>
          <w:lang w:val="zh-CN"/>
        </w:rPr>
        <w:t>河流水环境功能的影响；特别工程跨越</w:t>
      </w:r>
      <w:r>
        <w:rPr>
          <w:rFonts w:cs="Times New Roman"/>
          <w:snapToGrid w:val="0"/>
        </w:rPr>
        <w:t>河流</w:t>
      </w:r>
      <w:r>
        <w:rPr>
          <w:rFonts w:cs="Times New Roman"/>
          <w:snapToGrid w:val="0"/>
          <w:lang w:val="zh-CN"/>
        </w:rPr>
        <w:t>区段，若污染物进入水体，将对</w:t>
      </w:r>
      <w:r>
        <w:rPr>
          <w:rFonts w:cs="Times New Roman"/>
          <w:snapToGrid w:val="0"/>
        </w:rPr>
        <w:t>河流</w:t>
      </w:r>
      <w:r>
        <w:rPr>
          <w:rFonts w:cs="Times New Roman"/>
          <w:snapToGrid w:val="0"/>
          <w:lang w:val="zh-CN"/>
        </w:rPr>
        <w:t>水质造成影响。</w:t>
      </w:r>
    </w:p>
    <w:p w:rsidR="00A46452" w:rsidRDefault="009A3928">
      <w:pPr>
        <w:wordWrap w:val="0"/>
        <w:topLinePunct/>
        <w:ind w:firstLine="480"/>
        <w:rPr>
          <w:rFonts w:cs="Times New Roman"/>
          <w:snapToGrid w:val="0"/>
          <w:lang w:val="zh-CN"/>
        </w:rPr>
      </w:pPr>
      <w:r>
        <w:rPr>
          <w:rFonts w:cs="Times New Roman"/>
          <w:snapToGrid w:val="0"/>
          <w:lang w:val="zh-CN"/>
        </w:rPr>
        <w:t>同时，工程弃渣量大，若降雨汇集到弃渣场坡脚而排泄不畅，会对挡渣墙形成较大压力，导致弃渣场失稳，对下游保护目标造成安全隐患。</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）运营期风险调查</w:t>
      </w:r>
    </w:p>
    <w:p w:rsidR="00A46452" w:rsidRDefault="009A3928">
      <w:pPr>
        <w:wordWrap w:val="0"/>
        <w:topLinePunct/>
        <w:ind w:firstLine="480"/>
        <w:rPr>
          <w:rFonts w:cs="Times New Roman"/>
          <w:snapToGrid w:val="0"/>
          <w:lang w:val="zh-CN"/>
        </w:rPr>
      </w:pPr>
      <w:r>
        <w:rPr>
          <w:rFonts w:cs="Times New Roman"/>
          <w:snapToGrid w:val="0"/>
          <w:lang w:val="zh-CN"/>
        </w:rPr>
        <w:t>考虑到公路上行驶的部分车辆承担运输油品、危险品等可能发生环境风险的物质，一旦危险品车辆在跨河段发生泄漏，有可能造成地表水污染。</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7.7.3</w:t>
      </w:r>
      <w:r>
        <w:rPr>
          <w:rFonts w:cs="Times New Roman" w:hint="default"/>
          <w:sz w:val="28"/>
          <w:szCs w:val="28"/>
        </w:rPr>
        <w:t>环境敏感目标概况</w:t>
      </w:r>
    </w:p>
    <w:p w:rsidR="00A46452" w:rsidRDefault="009A3928" w:rsidP="00182EED">
      <w:pPr>
        <w:wordWrap w:val="0"/>
        <w:topLinePunct/>
        <w:spacing w:beforeLines="50" w:before="165"/>
        <w:ind w:firstLine="480"/>
        <w:rPr>
          <w:rFonts w:cs="Times New Roman"/>
          <w:spacing w:val="7"/>
        </w:rPr>
      </w:pPr>
      <w:r>
        <w:rPr>
          <w:rFonts w:cs="Times New Roman"/>
          <w:snapToGrid w:val="0"/>
          <w:lang w:val="zh-CN"/>
        </w:rPr>
        <w:t>本次环境风险评价涉及的环境保护目标为</w:t>
      </w:r>
      <w:r>
        <w:rPr>
          <w:rFonts w:cs="Times New Roman"/>
          <w:snapToGrid w:val="0"/>
        </w:rPr>
        <w:t>喀什噶尔河、突来买提河、柯坪河、</w:t>
      </w:r>
      <w:r>
        <w:rPr>
          <w:rFonts w:cs="Times New Roman"/>
          <w:snapToGrid w:val="0"/>
          <w:lang w:val="zh-CN"/>
        </w:rPr>
        <w:t>苏贝希沟</w:t>
      </w:r>
      <w:r>
        <w:rPr>
          <w:rFonts w:cs="Times New Roman"/>
          <w:snapToGrid w:val="0"/>
          <w:lang w:val="zh-CN"/>
        </w:rPr>
        <w:t>-</w:t>
      </w:r>
      <w:r>
        <w:rPr>
          <w:rFonts w:cs="Times New Roman"/>
          <w:snapToGrid w:val="0"/>
          <w:lang w:val="zh-CN"/>
        </w:rPr>
        <w:t>加依洛萨依河，</w:t>
      </w:r>
      <w:r>
        <w:rPr>
          <w:rFonts w:cs="Times New Roman"/>
          <w:snapToGrid w:val="0"/>
        </w:rPr>
        <w:t>公路周边沿线的敏感点</w:t>
      </w:r>
      <w:r>
        <w:rPr>
          <w:rFonts w:cs="Times New Roman"/>
          <w:snapToGrid w:val="0"/>
          <w:lang w:val="zh-CN"/>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7.7.4</w:t>
      </w:r>
      <w:r>
        <w:rPr>
          <w:rFonts w:cs="Times New Roman" w:hint="default"/>
          <w:sz w:val="28"/>
          <w:szCs w:val="28"/>
        </w:rPr>
        <w:t>风险潜势判断</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根据</w:t>
      </w:r>
      <w:r>
        <w:rPr>
          <w:rFonts w:cs="Times New Roman" w:hint="default"/>
          <w:snapToGrid w:val="0"/>
          <w:lang w:val="zh-CN"/>
        </w:rPr>
        <w:t>HJ169-2018</w:t>
      </w:r>
      <w:r>
        <w:rPr>
          <w:rFonts w:cs="Times New Roman" w:hint="default"/>
          <w:snapToGrid w:val="0"/>
          <w:lang w:val="zh-CN"/>
        </w:rPr>
        <w:t>附录</w:t>
      </w:r>
      <w:r>
        <w:rPr>
          <w:rFonts w:cs="Times New Roman" w:hint="default"/>
          <w:snapToGrid w:val="0"/>
          <w:lang w:val="zh-CN"/>
        </w:rPr>
        <w:t>C</w:t>
      </w:r>
      <w:r>
        <w:rPr>
          <w:rFonts w:cs="Times New Roman" w:hint="default"/>
          <w:snapToGrid w:val="0"/>
          <w:lang w:val="zh-CN"/>
        </w:rPr>
        <w:t>，计算所涉及的每种危险物质在厂界内的最大存在总量与其在附录</w:t>
      </w:r>
      <w:r>
        <w:rPr>
          <w:rFonts w:cs="Times New Roman" w:hint="default"/>
          <w:snapToGrid w:val="0"/>
          <w:lang w:val="zh-CN"/>
        </w:rPr>
        <w:t>B</w:t>
      </w:r>
      <w:r>
        <w:rPr>
          <w:rFonts w:cs="Times New Roman" w:hint="default"/>
          <w:snapToGrid w:val="0"/>
          <w:lang w:val="zh-CN"/>
        </w:rPr>
        <w:t>中对应临界量的比值</w:t>
      </w:r>
      <w:r>
        <w:rPr>
          <w:rFonts w:cs="Times New Roman" w:hint="default"/>
          <w:snapToGrid w:val="0"/>
          <w:lang w:val="zh-CN"/>
        </w:rPr>
        <w:t>Q</w:t>
      </w:r>
      <w:r>
        <w:rPr>
          <w:rFonts w:cs="Times New Roman" w:hint="default"/>
          <w:snapToGrid w:val="0"/>
          <w:lang w:val="zh-CN"/>
        </w:rPr>
        <w:t>，在不同厂区的同种物质，按其在厂界内的最大存在总量计算。</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当只涉及一种危险物质时，计算该物质总量与其临界量比值，即为</w:t>
      </w:r>
      <w:r>
        <w:rPr>
          <w:rFonts w:cs="Times New Roman" w:hint="default"/>
          <w:snapToGrid w:val="0"/>
          <w:lang w:val="zh-CN"/>
        </w:rPr>
        <w:t>Q</w:t>
      </w:r>
      <w:r>
        <w:rPr>
          <w:rFonts w:cs="Times New Roman" w:hint="default"/>
          <w:snapToGrid w:val="0"/>
          <w:lang w:val="zh-CN"/>
        </w:rPr>
        <w:t>；</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当存在多种危险物质时，则按下列公式计算物质总量与其临界量比值</w:t>
      </w:r>
      <w:r>
        <w:rPr>
          <w:rFonts w:cs="Times New Roman" w:hint="default"/>
          <w:snapToGrid w:val="0"/>
          <w:lang w:val="zh-CN"/>
        </w:rPr>
        <w:t>Q</w:t>
      </w:r>
      <w:r>
        <w:rPr>
          <w:rFonts w:cs="Times New Roman" w:hint="default"/>
          <w:snapToGrid w:val="0"/>
          <w:lang w:val="zh-CN"/>
        </w:rPr>
        <w:t>；</w:t>
      </w:r>
    </w:p>
    <w:p w:rsidR="00A46452" w:rsidRDefault="009A3928">
      <w:pPr>
        <w:wordWrap w:val="0"/>
        <w:topLinePunct/>
        <w:ind w:firstLine="412"/>
        <w:jc w:val="center"/>
        <w:rPr>
          <w:rFonts w:cs="Times New Roman"/>
          <w:sz w:val="23"/>
          <w:szCs w:val="23"/>
        </w:rPr>
      </w:pPr>
      <w:r>
        <w:rPr>
          <w:rFonts w:eastAsia="Times New Roman" w:cs="Times New Roman"/>
          <w:spacing w:val="-12"/>
          <w:position w:val="4"/>
          <w:sz w:val="23"/>
          <w:szCs w:val="23"/>
        </w:rPr>
        <w:t>Q</w:t>
      </w:r>
      <w:r>
        <w:rPr>
          <w:rFonts w:eastAsia="Times New Roman" w:cs="Times New Roman"/>
          <w:spacing w:val="5"/>
          <w:position w:val="4"/>
          <w:sz w:val="23"/>
          <w:szCs w:val="23"/>
        </w:rPr>
        <w:t xml:space="preserve"> </w:t>
      </w:r>
      <w:r>
        <w:rPr>
          <w:rFonts w:eastAsia="Arial" w:cs="Times New Roman"/>
          <w:spacing w:val="-12"/>
          <w:position w:val="4"/>
          <w:sz w:val="23"/>
          <w:szCs w:val="23"/>
        </w:rPr>
        <w:t xml:space="preserve">= </w:t>
      </w:r>
      <w:r>
        <w:rPr>
          <w:rFonts w:cs="Times New Roman"/>
          <w:noProof/>
          <w:position w:val="-19"/>
          <w:sz w:val="23"/>
          <w:szCs w:val="23"/>
        </w:rPr>
        <w:drawing>
          <wp:inline distT="0" distB="0" distL="0" distR="0">
            <wp:extent cx="182880" cy="320040"/>
            <wp:effectExtent l="0" t="0" r="7620" b="10160"/>
            <wp:docPr id="3030" name="IM 3030"/>
            <wp:cNvGraphicFramePr/>
            <a:graphic xmlns:a="http://schemas.openxmlformats.org/drawingml/2006/main">
              <a:graphicData uri="http://schemas.openxmlformats.org/drawingml/2006/picture">
                <pic:pic xmlns:pic="http://schemas.openxmlformats.org/drawingml/2006/picture">
                  <pic:nvPicPr>
                    <pic:cNvPr id="3030" name="IM 3030"/>
                    <pic:cNvPicPr/>
                  </pic:nvPicPr>
                  <pic:blipFill>
                    <a:blip r:embed="rId76"/>
                    <a:stretch>
                      <a:fillRect/>
                    </a:stretch>
                  </pic:blipFill>
                  <pic:spPr>
                    <a:xfrm>
                      <a:off x="0" y="0"/>
                      <a:ext cx="183146" cy="320081"/>
                    </a:xfrm>
                    <a:prstGeom prst="rect">
                      <a:avLst/>
                    </a:prstGeom>
                  </pic:spPr>
                </pic:pic>
              </a:graphicData>
            </a:graphic>
          </wp:inline>
        </w:drawing>
      </w:r>
      <w:r>
        <w:rPr>
          <w:rFonts w:eastAsia="Arial" w:cs="Times New Roman"/>
          <w:spacing w:val="-16"/>
          <w:position w:val="4"/>
          <w:sz w:val="23"/>
          <w:szCs w:val="23"/>
        </w:rPr>
        <w:t xml:space="preserve"> </w:t>
      </w:r>
      <w:r>
        <w:rPr>
          <w:rFonts w:eastAsia="Arial" w:cs="Times New Roman"/>
          <w:spacing w:val="-12"/>
          <w:position w:val="4"/>
          <w:sz w:val="23"/>
          <w:szCs w:val="23"/>
        </w:rPr>
        <w:t>+</w:t>
      </w:r>
      <w:r>
        <w:rPr>
          <w:rFonts w:eastAsia="Arial" w:cs="Times New Roman"/>
          <w:spacing w:val="-19"/>
          <w:position w:val="4"/>
          <w:sz w:val="23"/>
          <w:szCs w:val="23"/>
        </w:rPr>
        <w:t xml:space="preserve"> </w:t>
      </w:r>
      <w:r>
        <w:rPr>
          <w:rFonts w:cs="Times New Roman"/>
          <w:noProof/>
          <w:position w:val="-19"/>
          <w:sz w:val="23"/>
          <w:szCs w:val="23"/>
        </w:rPr>
        <w:drawing>
          <wp:inline distT="0" distB="0" distL="0" distR="0">
            <wp:extent cx="199390" cy="320040"/>
            <wp:effectExtent l="0" t="0" r="3810" b="10160"/>
            <wp:docPr id="3032" name="IM 3032"/>
            <wp:cNvGraphicFramePr/>
            <a:graphic xmlns:a="http://schemas.openxmlformats.org/drawingml/2006/main">
              <a:graphicData uri="http://schemas.openxmlformats.org/drawingml/2006/picture">
                <pic:pic xmlns:pic="http://schemas.openxmlformats.org/drawingml/2006/picture">
                  <pic:nvPicPr>
                    <pic:cNvPr id="3032" name="IM 3032"/>
                    <pic:cNvPicPr/>
                  </pic:nvPicPr>
                  <pic:blipFill>
                    <a:blip r:embed="rId77"/>
                    <a:stretch>
                      <a:fillRect/>
                    </a:stretch>
                  </pic:blipFill>
                  <pic:spPr>
                    <a:xfrm>
                      <a:off x="0" y="0"/>
                      <a:ext cx="199873" cy="320081"/>
                    </a:xfrm>
                    <a:prstGeom prst="rect">
                      <a:avLst/>
                    </a:prstGeom>
                  </pic:spPr>
                </pic:pic>
              </a:graphicData>
            </a:graphic>
          </wp:inline>
        </w:drawing>
      </w:r>
      <w:r>
        <w:rPr>
          <w:rFonts w:eastAsia="Arial" w:cs="Times New Roman"/>
          <w:spacing w:val="-15"/>
          <w:position w:val="4"/>
          <w:sz w:val="23"/>
          <w:szCs w:val="23"/>
        </w:rPr>
        <w:t xml:space="preserve"> </w:t>
      </w:r>
      <w:r>
        <w:rPr>
          <w:rFonts w:eastAsia="Arial" w:cs="Times New Roman"/>
          <w:spacing w:val="-12"/>
          <w:position w:val="4"/>
          <w:sz w:val="23"/>
          <w:szCs w:val="23"/>
        </w:rPr>
        <w:t>+ .</w:t>
      </w:r>
      <w:r>
        <w:rPr>
          <w:rFonts w:eastAsia="Arial" w:cs="Times New Roman"/>
          <w:spacing w:val="-28"/>
          <w:position w:val="4"/>
          <w:sz w:val="23"/>
          <w:szCs w:val="23"/>
        </w:rPr>
        <w:t xml:space="preserve"> </w:t>
      </w:r>
      <w:r>
        <w:rPr>
          <w:rFonts w:eastAsia="Arial" w:cs="Times New Roman"/>
          <w:spacing w:val="-12"/>
          <w:position w:val="4"/>
          <w:sz w:val="23"/>
          <w:szCs w:val="23"/>
        </w:rPr>
        <w:t>.</w:t>
      </w:r>
      <w:r>
        <w:rPr>
          <w:rFonts w:eastAsia="Arial" w:cs="Times New Roman"/>
          <w:spacing w:val="-27"/>
          <w:position w:val="4"/>
          <w:sz w:val="23"/>
          <w:szCs w:val="23"/>
        </w:rPr>
        <w:t xml:space="preserve"> </w:t>
      </w:r>
      <w:r>
        <w:rPr>
          <w:rFonts w:eastAsia="Arial" w:cs="Times New Roman"/>
          <w:spacing w:val="-12"/>
          <w:position w:val="4"/>
          <w:sz w:val="23"/>
          <w:szCs w:val="23"/>
        </w:rPr>
        <w:t>.</w:t>
      </w:r>
      <w:r>
        <w:rPr>
          <w:rFonts w:eastAsia="Arial" w:cs="Times New Roman"/>
          <w:spacing w:val="-29"/>
          <w:position w:val="4"/>
          <w:sz w:val="23"/>
          <w:szCs w:val="23"/>
        </w:rPr>
        <w:t xml:space="preserve"> </w:t>
      </w:r>
      <w:r>
        <w:rPr>
          <w:rFonts w:eastAsia="Arial" w:cs="Times New Roman"/>
          <w:spacing w:val="-12"/>
          <w:position w:val="4"/>
          <w:sz w:val="23"/>
          <w:szCs w:val="23"/>
        </w:rPr>
        <w:t>+</w:t>
      </w:r>
      <w:r>
        <w:rPr>
          <w:rFonts w:eastAsia="Arial" w:cs="Times New Roman"/>
          <w:spacing w:val="-19"/>
          <w:position w:val="4"/>
          <w:sz w:val="23"/>
          <w:szCs w:val="23"/>
        </w:rPr>
        <w:t xml:space="preserve"> </w:t>
      </w:r>
      <w:r>
        <w:rPr>
          <w:rFonts w:cs="Times New Roman"/>
          <w:noProof/>
          <w:position w:val="-19"/>
          <w:sz w:val="23"/>
          <w:szCs w:val="23"/>
        </w:rPr>
        <w:drawing>
          <wp:inline distT="0" distB="0" distL="0" distR="0">
            <wp:extent cx="203835" cy="320040"/>
            <wp:effectExtent l="0" t="0" r="12065" b="10160"/>
            <wp:docPr id="3034" name="IM 3034"/>
            <wp:cNvGraphicFramePr/>
            <a:graphic xmlns:a="http://schemas.openxmlformats.org/drawingml/2006/main">
              <a:graphicData uri="http://schemas.openxmlformats.org/drawingml/2006/picture">
                <pic:pic xmlns:pic="http://schemas.openxmlformats.org/drawingml/2006/picture">
                  <pic:nvPicPr>
                    <pic:cNvPr id="3034" name="IM 3034"/>
                    <pic:cNvPicPr/>
                  </pic:nvPicPr>
                  <pic:blipFill>
                    <a:blip r:embed="rId78"/>
                    <a:stretch>
                      <a:fillRect/>
                    </a:stretch>
                  </pic:blipFill>
                  <pic:spPr>
                    <a:xfrm>
                      <a:off x="0" y="0"/>
                      <a:ext cx="204267" cy="320081"/>
                    </a:xfrm>
                    <a:prstGeom prst="rect">
                      <a:avLst/>
                    </a:prstGeom>
                  </pic:spPr>
                </pic:pic>
              </a:graphicData>
            </a:graphic>
          </wp:inline>
        </w:drawing>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式中：</w:t>
      </w:r>
      <w:r>
        <w:rPr>
          <w:rFonts w:cs="Times New Roman" w:hint="default"/>
          <w:snapToGrid w:val="0"/>
          <w:lang w:val="zh-CN"/>
        </w:rPr>
        <w:t>q</w:t>
      </w:r>
      <w:r>
        <w:rPr>
          <w:rFonts w:cs="Times New Roman" w:hint="default"/>
          <w:snapToGrid w:val="0"/>
          <w:vertAlign w:val="subscript"/>
          <w:lang w:val="zh-CN"/>
        </w:rPr>
        <w:t>1</w:t>
      </w:r>
      <w:r>
        <w:rPr>
          <w:rFonts w:cs="Times New Roman" w:hint="default"/>
          <w:snapToGrid w:val="0"/>
          <w:lang w:val="zh-CN"/>
        </w:rPr>
        <w:t>，</w:t>
      </w:r>
      <w:r>
        <w:rPr>
          <w:rFonts w:cs="Times New Roman" w:hint="default"/>
          <w:snapToGrid w:val="0"/>
          <w:lang w:val="zh-CN"/>
        </w:rPr>
        <w:t>q</w:t>
      </w:r>
      <w:r>
        <w:rPr>
          <w:rFonts w:cs="Times New Roman" w:hint="default"/>
          <w:snapToGrid w:val="0"/>
          <w:vertAlign w:val="subscript"/>
          <w:lang w:val="zh-CN"/>
        </w:rPr>
        <w:t>2</w:t>
      </w:r>
      <w:r>
        <w:rPr>
          <w:rFonts w:cs="Times New Roman" w:hint="default"/>
          <w:snapToGrid w:val="0"/>
          <w:lang w:val="zh-CN"/>
        </w:rPr>
        <w:t>－－每种危险物质的最大存在总量</w:t>
      </w:r>
      <w:r>
        <w:rPr>
          <w:rFonts w:cs="Times New Roman" w:hint="default"/>
          <w:snapToGrid w:val="0"/>
          <w:lang w:val="zh-CN"/>
        </w:rPr>
        <w:t>t</w:t>
      </w:r>
      <w:r>
        <w:rPr>
          <w:rFonts w:cs="Times New Roman" w:hint="default"/>
          <w:snapToGrid w:val="0"/>
          <w:lang w:val="zh-CN"/>
        </w:rPr>
        <w:t>；</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Q</w:t>
      </w:r>
      <w:r>
        <w:rPr>
          <w:rFonts w:cs="Times New Roman" w:hint="default"/>
          <w:snapToGrid w:val="0"/>
          <w:vertAlign w:val="subscript"/>
          <w:lang w:val="zh-CN"/>
        </w:rPr>
        <w:t>1</w:t>
      </w:r>
      <w:r>
        <w:rPr>
          <w:rFonts w:cs="Times New Roman" w:hint="default"/>
          <w:snapToGrid w:val="0"/>
          <w:lang w:val="zh-CN"/>
        </w:rPr>
        <w:t>，</w:t>
      </w:r>
      <w:r>
        <w:rPr>
          <w:rFonts w:cs="Times New Roman" w:hint="default"/>
          <w:snapToGrid w:val="0"/>
          <w:lang w:val="zh-CN"/>
        </w:rPr>
        <w:t>Q</w:t>
      </w:r>
      <w:r>
        <w:rPr>
          <w:rFonts w:cs="Times New Roman" w:hint="default"/>
          <w:snapToGrid w:val="0"/>
          <w:vertAlign w:val="subscript"/>
          <w:lang w:val="zh-CN"/>
        </w:rPr>
        <w:t>2</w:t>
      </w:r>
      <w:r>
        <w:rPr>
          <w:rFonts w:cs="Times New Roman" w:hint="default"/>
          <w:snapToGrid w:val="0"/>
          <w:lang w:val="zh-CN"/>
        </w:rPr>
        <w:t>－－每种危险物质的临界量，</w:t>
      </w:r>
      <w:r>
        <w:rPr>
          <w:rFonts w:cs="Times New Roman" w:hint="default"/>
          <w:snapToGrid w:val="0"/>
          <w:lang w:val="zh-CN"/>
        </w:rPr>
        <w:t>t</w:t>
      </w:r>
      <w:r>
        <w:rPr>
          <w:rFonts w:cs="Times New Roman" w:hint="default"/>
          <w:snapToGrid w:val="0"/>
          <w:lang w:val="zh-CN"/>
        </w:rPr>
        <w:t>；</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当</w:t>
      </w:r>
      <w:r>
        <w:rPr>
          <w:rFonts w:cs="Times New Roman" w:hint="default"/>
          <w:snapToGrid w:val="0"/>
          <w:lang w:val="zh-CN"/>
        </w:rPr>
        <w:t>Q</w:t>
      </w:r>
      <w:r>
        <w:rPr>
          <w:rFonts w:cs="Times New Roman" w:hint="default"/>
          <w:snapToGrid w:val="0"/>
          <w:lang w:val="zh-CN"/>
        </w:rPr>
        <w:t>＜</w:t>
      </w:r>
      <w:r>
        <w:rPr>
          <w:rFonts w:cs="Times New Roman" w:hint="default"/>
          <w:snapToGrid w:val="0"/>
          <w:lang w:val="zh-CN"/>
        </w:rPr>
        <w:t>1</w:t>
      </w:r>
      <w:r>
        <w:rPr>
          <w:rFonts w:cs="Times New Roman" w:hint="default"/>
          <w:snapToGrid w:val="0"/>
          <w:lang w:val="zh-CN"/>
        </w:rPr>
        <w:t>时，该项目环境风险潜势为</w:t>
      </w:r>
      <w:r>
        <w:rPr>
          <w:rFonts w:cs="Times New Roman" w:hint="default"/>
          <w:snapToGrid w:val="0"/>
          <w:lang w:val="zh-CN"/>
        </w:rPr>
        <w:t>I</w:t>
      </w:r>
      <w:r>
        <w:rPr>
          <w:rFonts w:cs="Times New Roman" w:hint="default"/>
          <w:snapToGrid w:val="0"/>
          <w:lang w:val="zh-CN"/>
        </w:rPr>
        <w:t>；</w:t>
      </w:r>
    </w:p>
    <w:p w:rsidR="00A46452" w:rsidRDefault="009A3928" w:rsidP="00182EED">
      <w:pPr>
        <w:pStyle w:val="a5"/>
        <w:wordWrap w:val="0"/>
        <w:topLinePunct/>
        <w:spacing w:after="0"/>
        <w:ind w:firstLine="480"/>
        <w:rPr>
          <w:rFonts w:cs="Times New Roman" w:hint="default"/>
          <w:snapToGrid w:val="0"/>
          <w:lang w:val="zh-CN"/>
        </w:rPr>
      </w:pPr>
      <w:r>
        <w:rPr>
          <w:rFonts w:cs="Times New Roman" w:hint="default"/>
          <w:snapToGrid w:val="0"/>
          <w:lang w:val="zh-CN"/>
        </w:rPr>
        <w:t>当</w:t>
      </w:r>
      <w:r>
        <w:rPr>
          <w:rFonts w:cs="Times New Roman" w:hint="default"/>
          <w:snapToGrid w:val="0"/>
          <w:lang w:val="zh-CN"/>
        </w:rPr>
        <w:t>Q≥1</w:t>
      </w:r>
      <w:r>
        <w:rPr>
          <w:rFonts w:cs="Times New Roman" w:hint="default"/>
          <w:snapToGrid w:val="0"/>
          <w:lang w:val="zh-CN"/>
        </w:rPr>
        <w:t>时，将</w:t>
      </w:r>
      <w:r>
        <w:rPr>
          <w:rFonts w:cs="Times New Roman" w:hint="default"/>
          <w:snapToGrid w:val="0"/>
          <w:lang w:val="zh-CN"/>
        </w:rPr>
        <w:t>Q</w:t>
      </w:r>
      <w:r>
        <w:rPr>
          <w:rFonts w:cs="Times New Roman" w:hint="default"/>
          <w:snapToGrid w:val="0"/>
          <w:lang w:val="zh-CN"/>
        </w:rPr>
        <w:t>值划分为：（</w:t>
      </w:r>
      <w:r>
        <w:rPr>
          <w:rFonts w:cs="Times New Roman" w:hint="default"/>
          <w:snapToGrid w:val="0"/>
          <w:lang w:val="zh-CN"/>
        </w:rPr>
        <w:t>1</w:t>
      </w:r>
      <w:r>
        <w:rPr>
          <w:rFonts w:cs="Times New Roman" w:hint="default"/>
          <w:snapToGrid w:val="0"/>
          <w:lang w:val="zh-CN"/>
        </w:rPr>
        <w:t>）</w:t>
      </w:r>
      <w:r>
        <w:rPr>
          <w:rFonts w:cs="Times New Roman" w:hint="default"/>
          <w:snapToGrid w:val="0"/>
          <w:lang w:val="zh-CN"/>
        </w:rPr>
        <w:t>1≤Q</w:t>
      </w:r>
      <w:r>
        <w:rPr>
          <w:rFonts w:cs="Times New Roman" w:hint="default"/>
          <w:snapToGrid w:val="0"/>
          <w:lang w:val="zh-CN"/>
        </w:rPr>
        <w:t>＜</w:t>
      </w:r>
      <w:r>
        <w:rPr>
          <w:rFonts w:cs="Times New Roman" w:hint="default"/>
          <w:snapToGrid w:val="0"/>
          <w:lang w:val="zh-CN"/>
        </w:rPr>
        <w:t>10</w:t>
      </w:r>
      <w:r>
        <w:rPr>
          <w:rFonts w:cs="Times New Roman" w:hint="default"/>
          <w:snapToGrid w:val="0"/>
          <w:lang w:val="zh-CN"/>
        </w:rPr>
        <w:t>；（</w:t>
      </w:r>
      <w:r>
        <w:rPr>
          <w:rFonts w:cs="Times New Roman" w:hint="default"/>
          <w:snapToGrid w:val="0"/>
          <w:lang w:val="zh-CN"/>
        </w:rPr>
        <w:t>2</w:t>
      </w:r>
      <w:r>
        <w:rPr>
          <w:rFonts w:cs="Times New Roman" w:hint="default"/>
          <w:snapToGrid w:val="0"/>
          <w:lang w:val="zh-CN"/>
        </w:rPr>
        <w:t>）</w:t>
      </w:r>
      <w:r>
        <w:rPr>
          <w:rFonts w:cs="Times New Roman" w:hint="default"/>
          <w:snapToGrid w:val="0"/>
          <w:lang w:val="zh-CN"/>
        </w:rPr>
        <w:t>10≤Q</w:t>
      </w:r>
      <w:r>
        <w:rPr>
          <w:rFonts w:cs="Times New Roman" w:hint="default"/>
          <w:snapToGrid w:val="0"/>
          <w:lang w:val="zh-CN"/>
        </w:rPr>
        <w:t>＜</w:t>
      </w:r>
      <w:r>
        <w:rPr>
          <w:rFonts w:cs="Times New Roman" w:hint="default"/>
          <w:snapToGrid w:val="0"/>
          <w:lang w:val="zh-CN"/>
        </w:rPr>
        <w:t>100</w:t>
      </w:r>
      <w:r>
        <w:rPr>
          <w:rFonts w:cs="Times New Roman" w:hint="default"/>
          <w:snapToGrid w:val="0"/>
          <w:lang w:val="zh-CN"/>
        </w:rPr>
        <w:t>；</w:t>
      </w:r>
      <w:r>
        <w:rPr>
          <w:rFonts w:cs="Times New Roman" w:hint="default"/>
          <w:snapToGrid w:val="0"/>
          <w:lang w:val="zh-CN"/>
        </w:rPr>
        <w:t>（</w:t>
      </w:r>
      <w:r>
        <w:rPr>
          <w:rFonts w:cs="Times New Roman" w:hint="default"/>
          <w:snapToGrid w:val="0"/>
        </w:rPr>
        <w:t>3</w:t>
      </w:r>
      <w:r>
        <w:rPr>
          <w:rFonts w:cs="Times New Roman" w:hint="default"/>
          <w:snapToGrid w:val="0"/>
          <w:lang w:val="zh-CN"/>
        </w:rPr>
        <w:t>）</w:t>
      </w:r>
      <w:r>
        <w:rPr>
          <w:rFonts w:cs="Times New Roman" w:hint="default"/>
          <w:snapToGrid w:val="0"/>
          <w:lang w:val="zh-CN"/>
        </w:rPr>
        <w:t>Q≥100</w:t>
      </w:r>
      <w:r>
        <w:rPr>
          <w:rFonts w:cs="Times New Roman" w:hint="default"/>
          <w:snapToGrid w:val="0"/>
          <w:lang w:val="zh-CN"/>
        </w:rPr>
        <w:t>。</w:t>
      </w:r>
    </w:p>
    <w:p w:rsidR="00A46452" w:rsidRDefault="009A3928" w:rsidP="00182EED">
      <w:pPr>
        <w:pStyle w:val="a5"/>
        <w:wordWrap w:val="0"/>
        <w:topLinePunct/>
        <w:spacing w:after="0"/>
        <w:ind w:firstLine="480"/>
        <w:rPr>
          <w:rFonts w:cs="Times New Roman" w:hint="default"/>
          <w:snapToGrid w:val="0"/>
          <w:lang w:val="zh-CN"/>
        </w:rPr>
      </w:pPr>
      <w:r>
        <w:rPr>
          <w:rFonts w:cs="Times New Roman" w:hint="default"/>
          <w:snapToGrid w:val="0"/>
          <w:lang w:val="zh-CN"/>
        </w:rPr>
        <w:t>本项目不涉及</w:t>
      </w:r>
      <w:r>
        <w:rPr>
          <w:rFonts w:cs="Times New Roman" w:hint="default"/>
          <w:snapToGrid w:val="0"/>
        </w:rPr>
        <w:t>加油站及</w:t>
      </w:r>
      <w:r>
        <w:rPr>
          <w:rFonts w:cs="Times New Roman" w:hint="default"/>
          <w:snapToGrid w:val="0"/>
          <w:lang w:val="zh-CN"/>
        </w:rPr>
        <w:t>有毒有害和易燃易爆危险物质的生产、使用、储存（包括使用管线</w:t>
      </w:r>
      <w:r>
        <w:rPr>
          <w:rFonts w:cs="Times New Roman" w:hint="default"/>
          <w:snapToGrid w:val="0"/>
          <w:lang w:val="zh-CN"/>
        </w:rPr>
        <w:t>运输</w:t>
      </w:r>
      <w:r>
        <w:rPr>
          <w:rFonts w:cs="Times New Roman" w:hint="default"/>
          <w:snapToGrid w:val="0"/>
          <w:lang w:val="zh-CN"/>
        </w:rPr>
        <w:t>）等，风险评价参照《建设项目环境风险评价技术导则》（</w:t>
      </w:r>
      <w:r>
        <w:rPr>
          <w:rFonts w:cs="Times New Roman" w:hint="default"/>
          <w:snapToGrid w:val="0"/>
          <w:lang w:val="zh-CN"/>
        </w:rPr>
        <w:t>HJ169-2018</w:t>
      </w:r>
      <w:r>
        <w:rPr>
          <w:rFonts w:cs="Times New Roman" w:hint="default"/>
          <w:snapToGrid w:val="0"/>
          <w:lang w:val="zh-CN"/>
        </w:rPr>
        <w:t>），进行简单分析。</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21" w:name="_Toc98413565"/>
      <w:bookmarkStart w:id="322" w:name="_Toc98414247"/>
      <w:bookmarkStart w:id="323" w:name="_Toc97464671"/>
      <w:bookmarkStart w:id="324" w:name="_Toc172668170"/>
      <w:r>
        <w:rPr>
          <w:rFonts w:cs="Times New Roman" w:hint="default"/>
          <w:sz w:val="28"/>
          <w:szCs w:val="28"/>
        </w:rPr>
        <w:t>7.7.5</w:t>
      </w:r>
      <w:r>
        <w:rPr>
          <w:rFonts w:cs="Times New Roman" w:hint="default"/>
          <w:sz w:val="28"/>
          <w:szCs w:val="28"/>
        </w:rPr>
        <w:t>环境风险识别</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公路运输过程中风险事故造成的影响主要是对沿线水环境和居民的影响，化学危险品等危险货物的泄漏、落水将造成水体污染，危险品散落于陆域，也对土地的正常使用功能带来影响，破坏陆域的生态环境。</w:t>
      </w:r>
      <w:r>
        <w:rPr>
          <w:rFonts w:cs="Times New Roman"/>
          <w:snapToGrid w:val="0"/>
          <w:szCs w:val="24"/>
        </w:rPr>
        <w:t>拟建公路</w:t>
      </w:r>
      <w:r>
        <w:rPr>
          <w:rFonts w:cs="Times New Roman"/>
          <w:snapToGrid w:val="0"/>
          <w:szCs w:val="24"/>
        </w:rPr>
        <w:t>所运输危险品可能有危险化学品石油以及</w:t>
      </w:r>
      <w:r>
        <w:rPr>
          <w:rFonts w:cs="Times New Roman"/>
          <w:snapToGrid w:val="0"/>
          <w:szCs w:val="24"/>
        </w:rPr>
        <w:t>农业化学危险品</w:t>
      </w:r>
      <w:r>
        <w:rPr>
          <w:rFonts w:cs="Times New Roman"/>
          <w:snapToGrid w:val="0"/>
          <w:szCs w:val="24"/>
        </w:rPr>
        <w:t>等。</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7.7.5.1</w:t>
      </w:r>
      <w:r>
        <w:rPr>
          <w:rFonts w:cs="Times New Roman" w:hint="default"/>
          <w:iCs/>
        </w:rPr>
        <w:t>危险品识别</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1</w:t>
      </w:r>
      <w:r>
        <w:rPr>
          <w:rFonts w:cs="Times New Roman"/>
          <w:snapToGrid w:val="0"/>
        </w:rPr>
        <w:t>）</w:t>
      </w:r>
      <w:r>
        <w:rPr>
          <w:rFonts w:cs="Times New Roman"/>
          <w:snapToGrid w:val="0"/>
        </w:rPr>
        <w:t>危险品来源</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大量的研究成果表明，公路风险事故的发生与驾驶员有很大的关系，一般事故的发生多数是由于汽车超载和驾驶员疲劳驾驶导致，事故发生后延误处理，更加导致事故影响范围扩大。当公路跨过水体或临近伴行时，水污染事故类型主要有：</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）在项目的涉水桥面发生交通事故，汽车连带货物坠入。</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）危险化学品的运输车辆发生交通事故后，危险化学品发生泄漏，排入水体，以及沿线的土壤。</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3</w:t>
      </w:r>
      <w:r>
        <w:rPr>
          <w:rFonts w:cs="Times New Roman"/>
          <w:snapToGrid w:val="0"/>
          <w:szCs w:val="24"/>
          <w:lang w:val="zh-CN"/>
        </w:rPr>
        <w:t>）车辆本身携带的汽油、柴油和机油泄漏，排入附近水体</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危险化学品运输车辆的风险事故的成因多为人为因素所致，一般事故的发生多数是由于汽车超载和司机疲劳驾驶导致，事故发生后又有多数司机因害怕不敢报案而延误处理，导致事故影响范围扩大。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根据《物质危险性标准》《重大危险源辨别》</w:t>
      </w:r>
      <w:r>
        <w:rPr>
          <w:rFonts w:cs="Times New Roman"/>
          <w:snapToGrid w:val="0"/>
          <w:szCs w:val="24"/>
          <w:lang w:val="zh-CN"/>
        </w:rPr>
        <w:t>(GB18218-20</w:t>
      </w:r>
      <w:r>
        <w:rPr>
          <w:rFonts w:cs="Times New Roman"/>
          <w:snapToGrid w:val="0"/>
          <w:szCs w:val="24"/>
        </w:rPr>
        <w:t>18</w:t>
      </w:r>
      <w:r>
        <w:rPr>
          <w:rFonts w:cs="Times New Roman"/>
          <w:snapToGrid w:val="0"/>
          <w:szCs w:val="24"/>
          <w:lang w:val="zh-CN"/>
        </w:rPr>
        <w:t>)</w:t>
      </w:r>
      <w:r>
        <w:rPr>
          <w:rFonts w:cs="Times New Roman"/>
          <w:snapToGrid w:val="0"/>
          <w:szCs w:val="24"/>
          <w:lang w:val="zh-CN"/>
        </w:rPr>
        <w:t>、《职业性接触毒物危害程度分级》</w:t>
      </w:r>
      <w:r>
        <w:rPr>
          <w:rFonts w:cs="Times New Roman"/>
          <w:snapToGrid w:val="0"/>
          <w:szCs w:val="24"/>
          <w:lang w:val="zh-CN"/>
        </w:rPr>
        <w:t>(GBZ230-2010</w:t>
      </w:r>
      <w:r>
        <w:rPr>
          <w:rFonts w:cs="Times New Roman"/>
          <w:snapToGrid w:val="0"/>
          <w:szCs w:val="24"/>
          <w:lang w:val="zh-CN"/>
        </w:rPr>
        <w:t>）的相关规定，本项目营运期，不存在危险品生产、贮存等环节，可能涉及的危险性物质为油品及运输的农业化学危险品。</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2</w:t>
      </w:r>
      <w:r>
        <w:rPr>
          <w:rFonts w:cs="Times New Roman"/>
          <w:snapToGrid w:val="0"/>
        </w:rPr>
        <w:t>）</w:t>
      </w:r>
      <w:r>
        <w:rPr>
          <w:rFonts w:cs="Times New Roman"/>
          <w:snapToGrid w:val="0"/>
        </w:rPr>
        <w:t>危险性</w:t>
      </w:r>
      <w:r>
        <w:rPr>
          <w:rFonts w:cs="Times New Roman"/>
          <w:snapToGrid w:val="0"/>
        </w:rPr>
        <w:t>物质</w:t>
      </w:r>
      <w:r>
        <w:rPr>
          <w:rFonts w:cs="Times New Roman"/>
          <w:snapToGrid w:val="0"/>
        </w:rPr>
        <w:t>毒理性质</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危险性物质毒理以油品为例进行分析，以柴油为个案，其油品的危险特性主要有以下几个方面：</w:t>
      </w:r>
      <w:r>
        <w:rPr>
          <w:rFonts w:cs="Times New Roman"/>
          <w:snapToGrid w:val="0"/>
          <w:szCs w:val="24"/>
        </w:rPr>
        <w:t>①</w:t>
      </w:r>
      <w:r>
        <w:rPr>
          <w:rFonts w:cs="Times New Roman"/>
          <w:snapToGrid w:val="0"/>
          <w:szCs w:val="24"/>
        </w:rPr>
        <w:t>易燃、易爆，</w:t>
      </w:r>
      <w:r>
        <w:rPr>
          <w:rFonts w:cs="Times New Roman"/>
          <w:snapToGrid w:val="0"/>
          <w:szCs w:val="24"/>
        </w:rPr>
        <w:t>②</w:t>
      </w:r>
      <w:r>
        <w:rPr>
          <w:rFonts w:cs="Times New Roman"/>
          <w:snapToGrid w:val="0"/>
          <w:szCs w:val="24"/>
        </w:rPr>
        <w:t>易挥发，</w:t>
      </w:r>
      <w:r>
        <w:rPr>
          <w:rFonts w:cs="Times New Roman"/>
          <w:snapToGrid w:val="0"/>
          <w:szCs w:val="24"/>
        </w:rPr>
        <w:t>③</w:t>
      </w:r>
      <w:r>
        <w:rPr>
          <w:rFonts w:cs="Times New Roman"/>
          <w:snapToGrid w:val="0"/>
          <w:szCs w:val="24"/>
        </w:rPr>
        <w:t>易流动，</w:t>
      </w:r>
      <w:r>
        <w:rPr>
          <w:rFonts w:cs="Times New Roman"/>
          <w:snapToGrid w:val="0"/>
          <w:szCs w:val="24"/>
        </w:rPr>
        <w:t>④</w:t>
      </w:r>
      <w:r>
        <w:rPr>
          <w:rFonts w:cs="Times New Roman"/>
          <w:snapToGrid w:val="0"/>
          <w:szCs w:val="24"/>
        </w:rPr>
        <w:t>热膨胀</w:t>
      </w:r>
      <w:r>
        <w:rPr>
          <w:rFonts w:cs="Times New Roman"/>
          <w:snapToGrid w:val="0"/>
          <w:szCs w:val="24"/>
        </w:rPr>
        <w:t>性，</w:t>
      </w:r>
      <w:r>
        <w:rPr>
          <w:rFonts w:cs="Times New Roman"/>
          <w:snapToGrid w:val="0"/>
          <w:szCs w:val="24"/>
        </w:rPr>
        <w:t>⑤</w:t>
      </w:r>
      <w:r>
        <w:rPr>
          <w:rFonts w:cs="Times New Roman"/>
          <w:snapToGrid w:val="0"/>
          <w:szCs w:val="24"/>
        </w:rPr>
        <w:t>易积聚静电，</w:t>
      </w:r>
      <w:r>
        <w:rPr>
          <w:rFonts w:cs="Times New Roman"/>
          <w:snapToGrid w:val="0"/>
          <w:szCs w:val="24"/>
        </w:rPr>
        <w:t>⑥</w:t>
      </w:r>
      <w:r>
        <w:rPr>
          <w:rFonts w:cs="Times New Roman"/>
          <w:snapToGrid w:val="0"/>
          <w:szCs w:val="24"/>
        </w:rPr>
        <w:t>毒性。柴油的理化、毒理。柴油的理化、毒理性质见表</w:t>
      </w:r>
      <w:r>
        <w:rPr>
          <w:rFonts w:cs="Times New Roman" w:hint="eastAsia"/>
          <w:snapToGrid w:val="0"/>
          <w:szCs w:val="24"/>
        </w:rPr>
        <w:t>7</w:t>
      </w:r>
      <w:r>
        <w:rPr>
          <w:rFonts w:cs="Times New Roman"/>
          <w:snapToGrid w:val="0"/>
          <w:szCs w:val="24"/>
        </w:rPr>
        <w:t>.7-1</w:t>
      </w:r>
      <w:r>
        <w:rPr>
          <w:rFonts w:cs="Times New Roman"/>
          <w:snapToGrid w:val="0"/>
          <w:szCs w:val="24"/>
        </w:rPr>
        <w:t>，物质危险性标准见表</w:t>
      </w:r>
      <w:r>
        <w:rPr>
          <w:rFonts w:cs="Times New Roman" w:hint="eastAsia"/>
          <w:snapToGrid w:val="0"/>
          <w:szCs w:val="24"/>
        </w:rPr>
        <w:t>7</w:t>
      </w:r>
      <w:r>
        <w:rPr>
          <w:rFonts w:cs="Times New Roman"/>
          <w:snapToGrid w:val="0"/>
          <w:szCs w:val="24"/>
        </w:rPr>
        <w:t>.7-2</w:t>
      </w:r>
      <w:r>
        <w:rPr>
          <w:rFonts w:cs="Times New Roman"/>
          <w:snapToGrid w:val="0"/>
          <w:szCs w:val="24"/>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.7-1      </w:t>
      </w:r>
      <w:r>
        <w:rPr>
          <w:rFonts w:ascii="Times New Roman" w:hAnsi="Times New Roman" w:cs="Times New Roman" w:hint="default"/>
          <w:sz w:val="24"/>
          <w:szCs w:val="24"/>
        </w:rPr>
        <w:t xml:space="preserve">           </w:t>
      </w:r>
      <w:r>
        <w:rPr>
          <w:rFonts w:ascii="Times New Roman" w:hAnsi="Times New Roman" w:cs="Times New Roman" w:hint="default"/>
          <w:sz w:val="24"/>
          <w:szCs w:val="24"/>
        </w:rPr>
        <w:t>柴油的理化性质及危险特性表</w:t>
      </w:r>
    </w:p>
    <w:tbl>
      <w:tblPr>
        <w:tblW w:w="8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1"/>
        <w:gridCol w:w="2355"/>
        <w:gridCol w:w="1913"/>
        <w:gridCol w:w="1808"/>
      </w:tblGrid>
      <w:tr w:rsidR="00A46452">
        <w:trPr>
          <w:trHeight w:val="23"/>
          <w:jc w:val="center"/>
        </w:trPr>
        <w:tc>
          <w:tcPr>
            <w:tcW w:w="8207" w:type="dxa"/>
            <w:gridSpan w:val="4"/>
            <w:tcBorders>
              <w:top w:val="single" w:sz="12" w:space="0" w:color="auto"/>
              <w:left w:val="single" w:sz="12"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b/>
                <w:kern w:val="0"/>
                <w:sz w:val="18"/>
                <w:szCs w:val="18"/>
              </w:rPr>
              <w:t>理化性质</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外观及性状</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稍</w:t>
            </w:r>
            <w:r>
              <w:rPr>
                <w:rFonts w:cs="Times New Roman"/>
                <w:kern w:val="0"/>
                <w:sz w:val="18"/>
                <w:szCs w:val="18"/>
              </w:rPr>
              <w:t>有黏性的</w:t>
            </w:r>
            <w:r>
              <w:rPr>
                <w:rFonts w:cs="Times New Roman"/>
                <w:kern w:val="0"/>
                <w:sz w:val="18"/>
                <w:szCs w:val="18"/>
              </w:rPr>
              <w:t>棕色液体</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闪点（</w:t>
            </w:r>
            <w:r>
              <w:rPr>
                <w:rFonts w:cs="Times New Roman"/>
                <w:kern w:val="0"/>
                <w:sz w:val="18"/>
                <w:szCs w:val="18"/>
              </w:rPr>
              <w:t>℃</w:t>
            </w:r>
            <w:r>
              <w:rPr>
                <w:rFonts w:cs="Times New Roman"/>
                <w:kern w:val="0"/>
                <w:sz w:val="18"/>
                <w:szCs w:val="18"/>
              </w:rPr>
              <w:t>）</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45-55</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相对密度（水</w:t>
            </w:r>
            <w:r>
              <w:rPr>
                <w:rFonts w:cs="Times New Roman"/>
                <w:kern w:val="0"/>
                <w:sz w:val="18"/>
                <w:szCs w:val="18"/>
              </w:rPr>
              <w:t>=1</w:t>
            </w:r>
            <w:r>
              <w:rPr>
                <w:rFonts w:cs="Times New Roman"/>
                <w:kern w:val="0"/>
                <w:sz w:val="18"/>
                <w:szCs w:val="18"/>
              </w:rPr>
              <w:t>）</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0.87-0.90</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沸点（</w:t>
            </w:r>
            <w:r>
              <w:rPr>
                <w:rFonts w:cs="Times New Roman"/>
                <w:kern w:val="0"/>
                <w:sz w:val="18"/>
                <w:szCs w:val="18"/>
              </w:rPr>
              <w:t>℃</w:t>
            </w:r>
            <w:r>
              <w:rPr>
                <w:rFonts w:cs="Times New Roman"/>
                <w:kern w:val="0"/>
                <w:sz w:val="18"/>
                <w:szCs w:val="18"/>
              </w:rPr>
              <w:t>）</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200-350</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爆炸上限</w:t>
            </w:r>
            <w:r>
              <w:rPr>
                <w:rFonts w:cs="Times New Roman"/>
                <w:kern w:val="0"/>
                <w:sz w:val="18"/>
                <w:szCs w:val="18"/>
              </w:rPr>
              <w:t>%</w:t>
            </w:r>
            <w:r>
              <w:rPr>
                <w:rFonts w:cs="Times New Roman"/>
                <w:kern w:val="0"/>
                <w:sz w:val="18"/>
                <w:szCs w:val="18"/>
              </w:rPr>
              <w:t>（</w:t>
            </w:r>
            <w:r>
              <w:rPr>
                <w:rFonts w:cs="Times New Roman"/>
                <w:kern w:val="0"/>
                <w:sz w:val="18"/>
                <w:szCs w:val="18"/>
              </w:rPr>
              <w:t>V/V</w:t>
            </w:r>
            <w:r>
              <w:rPr>
                <w:rFonts w:cs="Times New Roman"/>
                <w:kern w:val="0"/>
                <w:sz w:val="18"/>
                <w:szCs w:val="18"/>
              </w:rPr>
              <w:t>）</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4.5</w:t>
            </w:r>
          </w:p>
        </w:tc>
      </w:tr>
      <w:tr w:rsidR="00A46452">
        <w:trPr>
          <w:trHeight w:val="267"/>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自燃点（</w:t>
            </w:r>
            <w:r>
              <w:rPr>
                <w:rFonts w:cs="Times New Roman"/>
                <w:kern w:val="0"/>
                <w:sz w:val="18"/>
                <w:szCs w:val="18"/>
              </w:rPr>
              <w:t>℃</w:t>
            </w:r>
            <w:r>
              <w:rPr>
                <w:rFonts w:cs="Times New Roman"/>
                <w:kern w:val="0"/>
                <w:sz w:val="18"/>
                <w:szCs w:val="18"/>
              </w:rPr>
              <w:t>）</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257</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爆炸下限</w:t>
            </w:r>
            <w:r>
              <w:rPr>
                <w:rFonts w:cs="Times New Roman"/>
                <w:kern w:val="0"/>
                <w:sz w:val="18"/>
                <w:szCs w:val="18"/>
              </w:rPr>
              <w:t>%</w:t>
            </w:r>
            <w:r>
              <w:rPr>
                <w:rFonts w:cs="Times New Roman"/>
                <w:kern w:val="0"/>
                <w:sz w:val="18"/>
                <w:szCs w:val="18"/>
              </w:rPr>
              <w:t>（</w:t>
            </w:r>
            <w:r>
              <w:rPr>
                <w:rFonts w:cs="Times New Roman"/>
                <w:kern w:val="0"/>
                <w:sz w:val="18"/>
                <w:szCs w:val="18"/>
              </w:rPr>
              <w:t>V/V</w:t>
            </w:r>
            <w:r>
              <w:rPr>
                <w:rFonts w:cs="Times New Roman"/>
                <w:kern w:val="0"/>
                <w:sz w:val="18"/>
                <w:szCs w:val="18"/>
              </w:rPr>
              <w:t>）</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1.5</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溶解性</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不溶于水、易溶于苯、二硫化碳、醇、易溶于脂肪</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主要用途</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用作柴油机的燃料等</w:t>
            </w:r>
          </w:p>
        </w:tc>
      </w:tr>
      <w:tr w:rsidR="00A46452">
        <w:trPr>
          <w:trHeight w:val="23"/>
          <w:jc w:val="center"/>
        </w:trPr>
        <w:tc>
          <w:tcPr>
            <w:tcW w:w="8207" w:type="dxa"/>
            <w:gridSpan w:val="4"/>
            <w:tcBorders>
              <w:top w:val="single" w:sz="4" w:space="0" w:color="auto"/>
              <w:left w:val="single" w:sz="12"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危险性概述</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危险性类别</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第</w:t>
            </w:r>
            <w:r>
              <w:rPr>
                <w:rFonts w:cs="Times New Roman"/>
                <w:kern w:val="0"/>
                <w:sz w:val="18"/>
                <w:szCs w:val="18"/>
              </w:rPr>
              <w:t>3.3</w:t>
            </w:r>
            <w:r>
              <w:rPr>
                <w:rFonts w:cs="Times New Roman"/>
                <w:kern w:val="0"/>
                <w:sz w:val="18"/>
                <w:szCs w:val="18"/>
              </w:rPr>
              <w:t>类高闪点易燃液体</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燃爆危险</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易燃</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侵入途径</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吸入、食入、经皮吸收</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有害燃烧产物</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一氧化碳、二氧化碳</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环境危害</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该物质对环境有危害，应特别注意对地表水、土壤、大气和饮用水的污染</w:t>
            </w:r>
          </w:p>
        </w:tc>
      </w:tr>
      <w:tr w:rsidR="00A46452">
        <w:trPr>
          <w:trHeight w:val="23"/>
          <w:jc w:val="center"/>
        </w:trPr>
        <w:tc>
          <w:tcPr>
            <w:tcW w:w="8207" w:type="dxa"/>
            <w:gridSpan w:val="4"/>
            <w:tcBorders>
              <w:top w:val="single" w:sz="4" w:space="0" w:color="auto"/>
              <w:left w:val="single" w:sz="12"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稳定性及化学活性</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稳定性</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稳定</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避免接触的条件</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明火、高热</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禁配物</w:t>
            </w:r>
          </w:p>
        </w:tc>
        <w:tc>
          <w:tcPr>
            <w:tcW w:w="2355"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强氧化剂</w:t>
            </w:r>
          </w:p>
        </w:tc>
        <w:tc>
          <w:tcPr>
            <w:tcW w:w="1913" w:type="dxa"/>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聚合危害</w:t>
            </w:r>
          </w:p>
        </w:tc>
        <w:tc>
          <w:tcPr>
            <w:tcW w:w="1808" w:type="dxa"/>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不聚合</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分解产物</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一氧化碳、二氧化碳</w:t>
            </w:r>
          </w:p>
        </w:tc>
      </w:tr>
      <w:tr w:rsidR="00A46452">
        <w:trPr>
          <w:trHeight w:val="23"/>
          <w:jc w:val="center"/>
        </w:trPr>
        <w:tc>
          <w:tcPr>
            <w:tcW w:w="8207" w:type="dxa"/>
            <w:gridSpan w:val="4"/>
            <w:tcBorders>
              <w:top w:val="single" w:sz="4" w:space="0" w:color="auto"/>
              <w:left w:val="single" w:sz="12"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毒理学资料</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急性毒性</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LD</w:t>
            </w:r>
            <w:r>
              <w:rPr>
                <w:rFonts w:cs="Times New Roman"/>
                <w:kern w:val="0"/>
                <w:sz w:val="18"/>
                <w:szCs w:val="18"/>
                <w:vertAlign w:val="subscript"/>
              </w:rPr>
              <w:t>50</w:t>
            </w:r>
            <w:r>
              <w:rPr>
                <w:rFonts w:cs="Times New Roman"/>
                <w:kern w:val="0"/>
                <w:sz w:val="18"/>
                <w:szCs w:val="18"/>
              </w:rPr>
              <w:t xml:space="preserve"> 7500mg/kg</w:t>
            </w:r>
            <w:r>
              <w:rPr>
                <w:rFonts w:cs="Times New Roman"/>
                <w:kern w:val="0"/>
                <w:sz w:val="18"/>
                <w:szCs w:val="18"/>
              </w:rPr>
              <w:t>（大鼠经口），兔经皮</w:t>
            </w:r>
            <w:r>
              <w:rPr>
                <w:rFonts w:cs="Times New Roman"/>
                <w:kern w:val="0"/>
                <w:sz w:val="18"/>
                <w:szCs w:val="18"/>
              </w:rPr>
              <w:t xml:space="preserve">LD </w:t>
            </w:r>
            <w:r>
              <w:rPr>
                <w:rFonts w:cs="Times New Roman"/>
                <w:kern w:val="0"/>
                <w:sz w:val="18"/>
                <w:szCs w:val="18"/>
              </w:rPr>
              <w:t>＞</w:t>
            </w:r>
            <w:r>
              <w:rPr>
                <w:rFonts w:cs="Times New Roman"/>
                <w:kern w:val="0"/>
                <w:sz w:val="18"/>
                <w:szCs w:val="18"/>
              </w:rPr>
              <w:t>5ml/kg</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急性中毒</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皮肤接触柴油可引起接触性皮炎、油性痤疮，吸入可引起吸入性肺炎，能经胎盘进入胎儿血中</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慢性毒性</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柴油废气可引起眼、鼻刺激症状，头痛</w:t>
            </w:r>
          </w:p>
        </w:tc>
      </w:tr>
      <w:tr w:rsidR="00A46452">
        <w:trPr>
          <w:trHeight w:val="23"/>
          <w:jc w:val="center"/>
        </w:trPr>
        <w:tc>
          <w:tcPr>
            <w:tcW w:w="2131" w:type="dxa"/>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刺激性</w:t>
            </w:r>
          </w:p>
        </w:tc>
        <w:tc>
          <w:tcPr>
            <w:tcW w:w="6076" w:type="dxa"/>
            <w:gridSpan w:val="3"/>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具有刺激作用</w:t>
            </w:r>
          </w:p>
        </w:tc>
      </w:tr>
      <w:tr w:rsidR="00A46452">
        <w:trPr>
          <w:trHeight w:val="23"/>
          <w:jc w:val="center"/>
        </w:trPr>
        <w:tc>
          <w:tcPr>
            <w:tcW w:w="2131" w:type="dxa"/>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最高容许浓度</w:t>
            </w:r>
          </w:p>
        </w:tc>
        <w:tc>
          <w:tcPr>
            <w:tcW w:w="6076" w:type="dxa"/>
            <w:gridSpan w:val="3"/>
            <w:tcBorders>
              <w:top w:val="single" w:sz="4" w:space="0" w:color="auto"/>
              <w:left w:val="single" w:sz="4"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rPr>
            </w:pPr>
            <w:r>
              <w:rPr>
                <w:rFonts w:cs="Times New Roman"/>
                <w:kern w:val="0"/>
                <w:sz w:val="18"/>
                <w:szCs w:val="18"/>
              </w:rPr>
              <w:t>无</w:t>
            </w:r>
          </w:p>
        </w:tc>
      </w:tr>
    </w:tbl>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.7-2      </w:t>
      </w:r>
      <w:r>
        <w:rPr>
          <w:rFonts w:ascii="Times New Roman" w:hAnsi="Times New Roman" w:cs="Times New Roman" w:hint="default"/>
          <w:sz w:val="24"/>
          <w:szCs w:val="24"/>
        </w:rPr>
        <w:t xml:space="preserve">               </w:t>
      </w:r>
      <w:r>
        <w:rPr>
          <w:rFonts w:ascii="Times New Roman" w:hAnsi="Times New Roman" w:cs="Times New Roman" w:hint="default"/>
          <w:sz w:val="24"/>
          <w:szCs w:val="24"/>
        </w:rPr>
        <w:t>物质危险性标准</w:t>
      </w:r>
    </w:p>
    <w:tbl>
      <w:tblPr>
        <w:tblW w:w="82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51"/>
        <w:gridCol w:w="876"/>
        <w:gridCol w:w="2470"/>
        <w:gridCol w:w="1799"/>
        <w:gridCol w:w="1936"/>
      </w:tblGrid>
      <w:tr w:rsidR="00A46452">
        <w:trPr>
          <w:trHeight w:val="525"/>
          <w:jc w:val="center"/>
        </w:trPr>
        <w:tc>
          <w:tcPr>
            <w:tcW w:w="1151" w:type="dxa"/>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类别</w:t>
            </w:r>
          </w:p>
        </w:tc>
        <w:tc>
          <w:tcPr>
            <w:tcW w:w="876" w:type="dxa"/>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等级</w:t>
            </w:r>
          </w:p>
        </w:tc>
        <w:tc>
          <w:tcPr>
            <w:tcW w:w="2470" w:type="dxa"/>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LD50</w:t>
            </w:r>
            <w:r>
              <w:rPr>
                <w:rFonts w:eastAsiaTheme="minorEastAsia" w:cs="Times New Roman"/>
                <w:snapToGrid w:val="0"/>
                <w:sz w:val="18"/>
                <w:szCs w:val="18"/>
              </w:rPr>
              <w:t>（大鼠经口）</w:t>
            </w:r>
            <w:r>
              <w:rPr>
                <w:rFonts w:eastAsiaTheme="minorEastAsia" w:cs="Times New Roman"/>
                <w:snapToGrid w:val="0"/>
                <w:sz w:val="18"/>
                <w:szCs w:val="18"/>
              </w:rPr>
              <w:t>mg/kg</w:t>
            </w:r>
          </w:p>
        </w:tc>
        <w:tc>
          <w:tcPr>
            <w:tcW w:w="1799" w:type="dxa"/>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LD50</w:t>
            </w:r>
            <w:r>
              <w:rPr>
                <w:rFonts w:eastAsiaTheme="minorEastAsia" w:cs="Times New Roman"/>
                <w:snapToGrid w:val="0"/>
                <w:sz w:val="18"/>
                <w:szCs w:val="18"/>
              </w:rPr>
              <w:t>（大鼠经皮）</w:t>
            </w:r>
          </w:p>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mg/kg</w:t>
            </w:r>
          </w:p>
        </w:tc>
        <w:tc>
          <w:tcPr>
            <w:tcW w:w="1936" w:type="dxa"/>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LD50</w:t>
            </w:r>
            <w:r>
              <w:rPr>
                <w:rFonts w:eastAsiaTheme="minorEastAsia" w:cs="Times New Roman"/>
                <w:snapToGrid w:val="0"/>
                <w:sz w:val="18"/>
                <w:szCs w:val="18"/>
              </w:rPr>
              <w:t>（大鼠吸入</w:t>
            </w:r>
            <w:r>
              <w:rPr>
                <w:rFonts w:eastAsiaTheme="minorEastAsia" w:cs="Times New Roman"/>
                <w:snapToGrid w:val="0"/>
                <w:sz w:val="18"/>
                <w:szCs w:val="18"/>
              </w:rPr>
              <w:t>4</w:t>
            </w:r>
            <w:r>
              <w:rPr>
                <w:rFonts w:eastAsiaTheme="minorEastAsia" w:cs="Times New Roman"/>
                <w:snapToGrid w:val="0"/>
                <w:sz w:val="18"/>
                <w:szCs w:val="18"/>
              </w:rPr>
              <w:t>小时）</w:t>
            </w:r>
            <w:r>
              <w:rPr>
                <w:rFonts w:eastAsiaTheme="minorEastAsia" w:cs="Times New Roman"/>
                <w:snapToGrid w:val="0"/>
                <w:sz w:val="18"/>
                <w:szCs w:val="18"/>
              </w:rPr>
              <w:t>mg/kg</w:t>
            </w:r>
          </w:p>
        </w:tc>
      </w:tr>
      <w:tr w:rsidR="00A46452">
        <w:trPr>
          <w:jc w:val="center"/>
        </w:trPr>
        <w:tc>
          <w:tcPr>
            <w:tcW w:w="1151" w:type="dxa"/>
            <w:vMerge w:val="restart"/>
            <w:tcBorders>
              <w:top w:val="single" w:sz="6" w:space="0" w:color="auto"/>
              <w:left w:val="single" w:sz="12"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有害物质</w:t>
            </w: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1</w:t>
            </w:r>
          </w:p>
        </w:tc>
        <w:tc>
          <w:tcPr>
            <w:tcW w:w="2470"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&lt;5</w:t>
            </w:r>
          </w:p>
        </w:tc>
        <w:tc>
          <w:tcPr>
            <w:tcW w:w="1799"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&lt;1</w:t>
            </w:r>
          </w:p>
        </w:tc>
        <w:tc>
          <w:tcPr>
            <w:tcW w:w="1936" w:type="dxa"/>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&lt;0.01</w:t>
            </w:r>
          </w:p>
        </w:tc>
      </w:tr>
      <w:tr w:rsidR="00A46452">
        <w:trPr>
          <w:jc w:val="center"/>
        </w:trPr>
        <w:tc>
          <w:tcPr>
            <w:tcW w:w="1151" w:type="dxa"/>
            <w:vMerge/>
            <w:tcBorders>
              <w:top w:val="single" w:sz="6" w:space="0" w:color="auto"/>
              <w:left w:val="single" w:sz="12" w:space="0" w:color="auto"/>
              <w:bottom w:val="single" w:sz="6" w:space="0" w:color="auto"/>
              <w:right w:val="single" w:sz="6" w:space="0" w:color="auto"/>
              <w:tl2br w:val="nil"/>
              <w:tr2bl w:val="nil"/>
            </w:tcBorders>
          </w:tcPr>
          <w:p w:rsidR="00A46452" w:rsidRDefault="00A46452">
            <w:pPr>
              <w:wordWrap w:val="0"/>
              <w:topLinePunct/>
              <w:adjustRightInd w:val="0"/>
              <w:snapToGrid w:val="0"/>
              <w:spacing w:line="240" w:lineRule="auto"/>
              <w:ind w:firstLineChars="0" w:firstLine="0"/>
              <w:jc w:val="center"/>
              <w:rPr>
                <w:rFonts w:eastAsiaTheme="minorEastAsia" w:cs="Times New Roman"/>
                <w:snapToGrid w:val="0"/>
                <w:sz w:val="18"/>
                <w:szCs w:val="18"/>
              </w:rPr>
            </w:pP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2</w:t>
            </w:r>
          </w:p>
        </w:tc>
        <w:tc>
          <w:tcPr>
            <w:tcW w:w="2470"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5&lt; LD50&lt;25</w:t>
            </w:r>
          </w:p>
        </w:tc>
        <w:tc>
          <w:tcPr>
            <w:tcW w:w="1799"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10</w:t>
            </w:r>
            <w:r>
              <w:rPr>
                <w:rFonts w:eastAsiaTheme="minorEastAsia" w:cs="Times New Roman"/>
                <w:snapToGrid w:val="0"/>
                <w:sz w:val="18"/>
                <w:szCs w:val="18"/>
              </w:rPr>
              <w:t>&lt; LD50&lt;50</w:t>
            </w:r>
          </w:p>
        </w:tc>
        <w:tc>
          <w:tcPr>
            <w:tcW w:w="1936" w:type="dxa"/>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0.1&lt; LD50&lt;0.5</w:t>
            </w:r>
          </w:p>
        </w:tc>
      </w:tr>
      <w:tr w:rsidR="00A46452">
        <w:trPr>
          <w:jc w:val="center"/>
        </w:trPr>
        <w:tc>
          <w:tcPr>
            <w:tcW w:w="1151" w:type="dxa"/>
            <w:vMerge/>
            <w:tcBorders>
              <w:top w:val="single" w:sz="6" w:space="0" w:color="auto"/>
              <w:left w:val="single" w:sz="12" w:space="0" w:color="auto"/>
              <w:bottom w:val="single" w:sz="6" w:space="0" w:color="auto"/>
              <w:right w:val="single" w:sz="6" w:space="0" w:color="auto"/>
              <w:tl2br w:val="nil"/>
              <w:tr2bl w:val="nil"/>
            </w:tcBorders>
          </w:tcPr>
          <w:p w:rsidR="00A46452" w:rsidRDefault="00A46452">
            <w:pPr>
              <w:wordWrap w:val="0"/>
              <w:topLinePunct/>
              <w:adjustRightInd w:val="0"/>
              <w:snapToGrid w:val="0"/>
              <w:spacing w:line="240" w:lineRule="auto"/>
              <w:ind w:firstLineChars="0" w:firstLine="0"/>
              <w:jc w:val="center"/>
              <w:rPr>
                <w:rFonts w:eastAsiaTheme="minorEastAsia" w:cs="Times New Roman"/>
                <w:snapToGrid w:val="0"/>
                <w:sz w:val="18"/>
                <w:szCs w:val="18"/>
              </w:rPr>
            </w:pP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3</w:t>
            </w:r>
          </w:p>
        </w:tc>
        <w:tc>
          <w:tcPr>
            <w:tcW w:w="2470"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25&lt; LD50&lt;200</w:t>
            </w:r>
          </w:p>
        </w:tc>
        <w:tc>
          <w:tcPr>
            <w:tcW w:w="1799"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50&lt; LD50&lt;400</w:t>
            </w:r>
          </w:p>
        </w:tc>
        <w:tc>
          <w:tcPr>
            <w:tcW w:w="1936" w:type="dxa"/>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0.5&lt; LD50&lt;2</w:t>
            </w:r>
          </w:p>
        </w:tc>
      </w:tr>
      <w:tr w:rsidR="00A46452">
        <w:trPr>
          <w:jc w:val="center"/>
        </w:trPr>
        <w:tc>
          <w:tcPr>
            <w:tcW w:w="1151" w:type="dxa"/>
            <w:vMerge w:val="restart"/>
            <w:tcBorders>
              <w:top w:val="single" w:sz="6" w:space="0" w:color="auto"/>
              <w:left w:val="single" w:sz="12"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易燃物质</w:t>
            </w: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1</w:t>
            </w:r>
          </w:p>
        </w:tc>
        <w:tc>
          <w:tcPr>
            <w:tcW w:w="6205" w:type="dxa"/>
            <w:gridSpan w:val="3"/>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可燃气体</w:t>
            </w:r>
            <w:r>
              <w:rPr>
                <w:rFonts w:eastAsiaTheme="minorEastAsia" w:cs="Times New Roman"/>
                <w:snapToGrid w:val="0"/>
                <w:sz w:val="18"/>
                <w:szCs w:val="18"/>
              </w:rPr>
              <w:t>——</w:t>
            </w:r>
            <w:r>
              <w:rPr>
                <w:rFonts w:eastAsiaTheme="minorEastAsia" w:cs="Times New Roman"/>
                <w:snapToGrid w:val="0"/>
                <w:sz w:val="18"/>
                <w:szCs w:val="18"/>
              </w:rPr>
              <w:t>在常压下以气态存在</w:t>
            </w:r>
            <w:r>
              <w:rPr>
                <w:rFonts w:eastAsiaTheme="minorEastAsia" w:cs="Times New Roman"/>
                <w:snapToGrid w:val="0"/>
                <w:sz w:val="18"/>
                <w:szCs w:val="18"/>
              </w:rPr>
              <w:t>并与</w:t>
            </w:r>
            <w:r>
              <w:rPr>
                <w:rFonts w:eastAsiaTheme="minorEastAsia" w:cs="Times New Roman"/>
                <w:snapToGrid w:val="0"/>
                <w:sz w:val="18"/>
                <w:szCs w:val="18"/>
              </w:rPr>
              <w:t>空气混合形成可燃混合物；其沸点（常压下）是</w:t>
            </w:r>
            <w:r>
              <w:rPr>
                <w:rFonts w:eastAsiaTheme="minorEastAsia" w:cs="Times New Roman"/>
                <w:snapToGrid w:val="0"/>
                <w:sz w:val="18"/>
                <w:szCs w:val="18"/>
              </w:rPr>
              <w:t>20</w:t>
            </w:r>
            <w:r>
              <w:rPr>
                <w:rFonts w:eastAsiaTheme="minorEastAsia" w:cs="Times New Roman"/>
                <w:sz w:val="18"/>
                <w:szCs w:val="18"/>
              </w:rPr>
              <w:t>℃</w:t>
            </w:r>
            <w:r>
              <w:rPr>
                <w:rFonts w:eastAsiaTheme="minorEastAsia" w:cs="Times New Roman"/>
                <w:snapToGrid w:val="0"/>
                <w:sz w:val="18"/>
                <w:szCs w:val="18"/>
              </w:rPr>
              <w:t>或</w:t>
            </w:r>
            <w:r>
              <w:rPr>
                <w:rFonts w:eastAsiaTheme="minorEastAsia" w:cs="Times New Roman"/>
                <w:snapToGrid w:val="0"/>
                <w:sz w:val="18"/>
                <w:szCs w:val="18"/>
              </w:rPr>
              <w:t>20℃</w:t>
            </w:r>
            <w:r>
              <w:rPr>
                <w:rFonts w:eastAsiaTheme="minorEastAsia" w:cs="Times New Roman"/>
                <w:snapToGrid w:val="0"/>
                <w:sz w:val="18"/>
                <w:szCs w:val="18"/>
              </w:rPr>
              <w:t>以下的物质</w:t>
            </w:r>
          </w:p>
        </w:tc>
      </w:tr>
      <w:tr w:rsidR="00A46452">
        <w:trPr>
          <w:jc w:val="center"/>
        </w:trPr>
        <w:tc>
          <w:tcPr>
            <w:tcW w:w="1151" w:type="dxa"/>
            <w:vMerge/>
            <w:tcBorders>
              <w:top w:val="single" w:sz="6" w:space="0" w:color="auto"/>
              <w:left w:val="single" w:sz="12" w:space="0" w:color="auto"/>
              <w:bottom w:val="single" w:sz="6" w:space="0" w:color="auto"/>
              <w:right w:val="single" w:sz="6" w:space="0" w:color="auto"/>
              <w:tl2br w:val="nil"/>
              <w:tr2bl w:val="nil"/>
            </w:tcBorders>
          </w:tcPr>
          <w:p w:rsidR="00A46452" w:rsidRDefault="00A46452">
            <w:pPr>
              <w:wordWrap w:val="0"/>
              <w:topLinePunct/>
              <w:adjustRightInd w:val="0"/>
              <w:snapToGrid w:val="0"/>
              <w:spacing w:line="240" w:lineRule="auto"/>
              <w:ind w:firstLineChars="0" w:firstLine="0"/>
              <w:jc w:val="center"/>
              <w:rPr>
                <w:rFonts w:eastAsiaTheme="minorEastAsia" w:cs="Times New Roman"/>
                <w:snapToGrid w:val="0"/>
                <w:sz w:val="18"/>
                <w:szCs w:val="18"/>
              </w:rPr>
            </w:pP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2</w:t>
            </w:r>
          </w:p>
        </w:tc>
        <w:tc>
          <w:tcPr>
            <w:tcW w:w="6205" w:type="dxa"/>
            <w:gridSpan w:val="3"/>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易燃液体</w:t>
            </w:r>
            <w:r>
              <w:rPr>
                <w:rFonts w:eastAsiaTheme="minorEastAsia" w:cs="Times New Roman"/>
                <w:snapToGrid w:val="0"/>
                <w:sz w:val="18"/>
                <w:szCs w:val="18"/>
              </w:rPr>
              <w:t>——</w:t>
            </w:r>
            <w:r>
              <w:rPr>
                <w:rFonts w:eastAsiaTheme="minorEastAsia" w:cs="Times New Roman"/>
                <w:snapToGrid w:val="0"/>
                <w:sz w:val="18"/>
                <w:szCs w:val="18"/>
              </w:rPr>
              <w:t>闪点低于</w:t>
            </w:r>
            <w:r>
              <w:rPr>
                <w:rFonts w:eastAsiaTheme="minorEastAsia" w:cs="Times New Roman"/>
                <w:snapToGrid w:val="0"/>
                <w:sz w:val="18"/>
                <w:szCs w:val="18"/>
              </w:rPr>
              <w:t>21℃</w:t>
            </w:r>
            <w:r>
              <w:rPr>
                <w:rFonts w:eastAsiaTheme="minorEastAsia" w:cs="Times New Roman"/>
                <w:snapToGrid w:val="0"/>
                <w:sz w:val="18"/>
                <w:szCs w:val="18"/>
              </w:rPr>
              <w:t>，沸点高于</w:t>
            </w:r>
            <w:r>
              <w:rPr>
                <w:rFonts w:eastAsiaTheme="minorEastAsia" w:cs="Times New Roman"/>
                <w:snapToGrid w:val="0"/>
                <w:sz w:val="18"/>
                <w:szCs w:val="18"/>
              </w:rPr>
              <w:t>20℃</w:t>
            </w:r>
            <w:r>
              <w:rPr>
                <w:rFonts w:eastAsiaTheme="minorEastAsia" w:cs="Times New Roman"/>
                <w:snapToGrid w:val="0"/>
                <w:sz w:val="18"/>
                <w:szCs w:val="18"/>
              </w:rPr>
              <w:t>的物质</w:t>
            </w:r>
          </w:p>
        </w:tc>
      </w:tr>
      <w:tr w:rsidR="00A46452">
        <w:trPr>
          <w:jc w:val="center"/>
        </w:trPr>
        <w:tc>
          <w:tcPr>
            <w:tcW w:w="1151" w:type="dxa"/>
            <w:vMerge/>
            <w:tcBorders>
              <w:top w:val="single" w:sz="6" w:space="0" w:color="auto"/>
              <w:left w:val="single" w:sz="12" w:space="0" w:color="auto"/>
              <w:bottom w:val="single" w:sz="6" w:space="0" w:color="auto"/>
              <w:right w:val="single" w:sz="6" w:space="0" w:color="auto"/>
              <w:tl2br w:val="nil"/>
              <w:tr2bl w:val="nil"/>
            </w:tcBorders>
          </w:tcPr>
          <w:p w:rsidR="00A46452" w:rsidRDefault="00A46452">
            <w:pPr>
              <w:wordWrap w:val="0"/>
              <w:topLinePunct/>
              <w:adjustRightInd w:val="0"/>
              <w:snapToGrid w:val="0"/>
              <w:spacing w:line="240" w:lineRule="auto"/>
              <w:ind w:firstLineChars="0" w:firstLine="0"/>
              <w:jc w:val="center"/>
              <w:rPr>
                <w:rFonts w:eastAsiaTheme="minorEastAsia" w:cs="Times New Roman"/>
                <w:snapToGrid w:val="0"/>
                <w:sz w:val="18"/>
                <w:szCs w:val="18"/>
              </w:rPr>
            </w:pPr>
          </w:p>
        </w:tc>
        <w:tc>
          <w:tcPr>
            <w:tcW w:w="876" w:type="dxa"/>
            <w:tcBorders>
              <w:top w:val="single" w:sz="6" w:space="0" w:color="auto"/>
              <w:left w:val="single" w:sz="6" w:space="0" w:color="auto"/>
              <w:bottom w:val="single" w:sz="6"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3</w:t>
            </w:r>
          </w:p>
        </w:tc>
        <w:tc>
          <w:tcPr>
            <w:tcW w:w="6205" w:type="dxa"/>
            <w:gridSpan w:val="3"/>
            <w:tcBorders>
              <w:top w:val="single" w:sz="6" w:space="0" w:color="auto"/>
              <w:left w:val="single" w:sz="6" w:space="0" w:color="auto"/>
              <w:bottom w:val="single" w:sz="6"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可燃气体</w:t>
            </w:r>
            <w:r>
              <w:rPr>
                <w:rFonts w:eastAsiaTheme="minorEastAsia" w:cs="Times New Roman"/>
                <w:snapToGrid w:val="0"/>
                <w:sz w:val="18"/>
                <w:szCs w:val="18"/>
              </w:rPr>
              <w:t>——</w:t>
            </w:r>
            <w:r>
              <w:rPr>
                <w:rFonts w:eastAsiaTheme="minorEastAsia" w:cs="Times New Roman"/>
                <w:snapToGrid w:val="0"/>
                <w:sz w:val="18"/>
                <w:szCs w:val="18"/>
              </w:rPr>
              <w:t>闪点低于</w:t>
            </w:r>
            <w:r>
              <w:rPr>
                <w:rFonts w:eastAsiaTheme="minorEastAsia" w:cs="Times New Roman"/>
                <w:snapToGrid w:val="0"/>
                <w:sz w:val="18"/>
                <w:szCs w:val="18"/>
              </w:rPr>
              <w:t>55℃</w:t>
            </w:r>
            <w:r>
              <w:rPr>
                <w:rFonts w:eastAsiaTheme="minorEastAsia" w:cs="Times New Roman"/>
                <w:snapToGrid w:val="0"/>
                <w:sz w:val="18"/>
                <w:szCs w:val="18"/>
              </w:rPr>
              <w:t>，压力下保持液态，在实际操作条件下（如高温高压）可以引起重大的物质</w:t>
            </w:r>
          </w:p>
        </w:tc>
      </w:tr>
      <w:tr w:rsidR="00A46452">
        <w:trPr>
          <w:jc w:val="center"/>
        </w:trPr>
        <w:tc>
          <w:tcPr>
            <w:tcW w:w="1151" w:type="dxa"/>
            <w:tcBorders>
              <w:top w:val="single" w:sz="6" w:space="0" w:color="auto"/>
              <w:left w:val="single" w:sz="12" w:space="0" w:color="auto"/>
              <w:bottom w:val="single" w:sz="12" w:space="0" w:color="auto"/>
              <w:right w:val="single" w:sz="6"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爆炸性物质</w:t>
            </w:r>
          </w:p>
        </w:tc>
        <w:tc>
          <w:tcPr>
            <w:tcW w:w="7081" w:type="dxa"/>
            <w:gridSpan w:val="4"/>
            <w:tcBorders>
              <w:top w:val="single" w:sz="6" w:space="0" w:color="auto"/>
              <w:left w:val="single" w:sz="6" w:space="0" w:color="auto"/>
              <w:bottom w:val="single" w:sz="12" w:space="0" w:color="auto"/>
              <w:right w:val="single" w:sz="12" w:space="0" w:color="auto"/>
              <w:tl2br w:val="nil"/>
              <w:tr2bl w:val="nil"/>
            </w:tcBorders>
          </w:tcPr>
          <w:p w:rsidR="00A46452" w:rsidRDefault="009A3928">
            <w:pPr>
              <w:wordWrap w:val="0"/>
              <w:topLinePunct/>
              <w:adjustRightInd w:val="0"/>
              <w:snapToGrid w:val="0"/>
              <w:spacing w:line="240" w:lineRule="auto"/>
              <w:ind w:firstLineChars="0" w:firstLine="0"/>
              <w:jc w:val="center"/>
              <w:rPr>
                <w:rFonts w:eastAsiaTheme="minorEastAsia" w:cs="Times New Roman"/>
                <w:snapToGrid w:val="0"/>
                <w:sz w:val="18"/>
                <w:szCs w:val="18"/>
              </w:rPr>
            </w:pPr>
            <w:r>
              <w:rPr>
                <w:rFonts w:eastAsiaTheme="minorEastAsia" w:cs="Times New Roman"/>
                <w:snapToGrid w:val="0"/>
                <w:sz w:val="18"/>
                <w:szCs w:val="18"/>
              </w:rPr>
              <w:t>在火焰影响下可以爆炸，或者对冲击、摩擦比硝基苯更为敏感的物质</w:t>
            </w:r>
          </w:p>
        </w:tc>
      </w:tr>
    </w:tbl>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7.7.5.2</w:t>
      </w:r>
      <w:r>
        <w:rPr>
          <w:rFonts w:cs="Times New Roman" w:hint="default"/>
          <w:iCs/>
        </w:rPr>
        <w:t>环境风险因素</w:t>
      </w:r>
      <w:bookmarkEnd w:id="321"/>
      <w:bookmarkEnd w:id="322"/>
      <w:bookmarkEnd w:id="323"/>
      <w:r>
        <w:rPr>
          <w:rFonts w:cs="Times New Roman" w:hint="default"/>
          <w:iCs/>
        </w:rPr>
        <w:t>分析</w:t>
      </w:r>
      <w:bookmarkEnd w:id="324"/>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）自然因素</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本项目沿线地形、地质、气候条件较复杂，有灾害地质、病害地段分布，有暴雨、冰冻等自然灾害产生，这些均是潜在自然风险因素。</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2</w:t>
      </w:r>
      <w:r>
        <w:rPr>
          <w:rFonts w:cs="Times New Roman"/>
          <w:snapToGrid w:val="0"/>
          <w:szCs w:val="24"/>
        </w:rPr>
        <w:t>）人为因素</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①</w:t>
      </w:r>
      <w:r>
        <w:rPr>
          <w:rFonts w:cs="Times New Roman"/>
          <w:snapToGrid w:val="0"/>
          <w:szCs w:val="24"/>
        </w:rPr>
        <w:t>人为因素主要体现在管理人员和驾驶人员没有遵守相关规章制度，对运输危险品车辆需实行申报管理；运输危险品车辆没有经车道疏导员对证、单验并经安全检查后就放行。</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②</w:t>
      </w:r>
      <w:r>
        <w:rPr>
          <w:rFonts w:cs="Times New Roman"/>
          <w:snapToGrid w:val="0"/>
          <w:szCs w:val="24"/>
        </w:rPr>
        <w:t>驾驶人员不按规章制度操作。包括疲劳驾驶、超载、酒驾等。</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3</w:t>
      </w:r>
      <w:r>
        <w:rPr>
          <w:rFonts w:cs="Times New Roman"/>
          <w:snapToGrid w:val="0"/>
          <w:szCs w:val="24"/>
        </w:rPr>
        <w:t>）运输车辆缺陷</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①</w:t>
      </w:r>
      <w:r>
        <w:rPr>
          <w:rFonts w:cs="Times New Roman"/>
          <w:snapToGrid w:val="0"/>
          <w:szCs w:val="24"/>
        </w:rPr>
        <w:t>运输车辆本身设计上存在问题，行驶过程中易导致刹车失灵等问题；</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②</w:t>
      </w:r>
      <w:r>
        <w:rPr>
          <w:rFonts w:cs="Times New Roman"/>
          <w:snapToGrid w:val="0"/>
          <w:szCs w:val="24"/>
        </w:rPr>
        <w:t>运输车辆的年代过久，部门零件</w:t>
      </w:r>
      <w:r>
        <w:rPr>
          <w:rFonts w:cs="Times New Roman"/>
          <w:snapToGrid w:val="0"/>
          <w:szCs w:val="24"/>
        </w:rPr>
        <w:t>老化；</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③</w:t>
      </w:r>
      <w:r>
        <w:rPr>
          <w:rFonts w:cs="Times New Roman"/>
          <w:snapToGrid w:val="0"/>
          <w:szCs w:val="24"/>
        </w:rPr>
        <w:t>对运输车辆没有进行充分的检查；</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rPr>
        <w:t>④</w:t>
      </w:r>
      <w:r>
        <w:rPr>
          <w:rFonts w:cs="Times New Roman"/>
          <w:snapToGrid w:val="0"/>
          <w:szCs w:val="24"/>
        </w:rPr>
        <w:t>运输危险品车辆无运输危险品资质。</w:t>
      </w:r>
    </w:p>
    <w:p w:rsidR="00A46452" w:rsidRDefault="009A3928" w:rsidP="00182EED">
      <w:pPr>
        <w:pStyle w:val="42"/>
        <w:keepNext w:val="0"/>
        <w:keepLines w:val="0"/>
        <w:wordWrap w:val="0"/>
        <w:topLinePunct/>
        <w:adjustRightInd w:val="0"/>
        <w:snapToGrid w:val="0"/>
        <w:spacing w:beforeLines="50" w:before="165" w:afterLines="50" w:after="165"/>
        <w:rPr>
          <w:rFonts w:cs="Times New Roman" w:hint="default"/>
          <w:iCs/>
        </w:rPr>
      </w:pPr>
      <w:bookmarkStart w:id="325" w:name="_Toc172668171"/>
      <w:r>
        <w:rPr>
          <w:rFonts w:cs="Times New Roman" w:hint="default"/>
          <w:iCs/>
        </w:rPr>
        <w:t>7.7.5.3</w:t>
      </w:r>
      <w:r>
        <w:rPr>
          <w:rFonts w:cs="Times New Roman" w:hint="default"/>
          <w:iCs/>
        </w:rPr>
        <w:t>本项目高风险路段识别</w:t>
      </w:r>
      <w:bookmarkEnd w:id="325"/>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结合工程设计线路方案和公路沿线环境特征，确定环境风险敏感路段如下：</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1</w:t>
      </w:r>
      <w:r>
        <w:rPr>
          <w:rFonts w:cs="Times New Roman"/>
          <w:snapToGrid w:val="0"/>
          <w:szCs w:val="24"/>
          <w:lang w:val="zh-CN"/>
        </w:rPr>
        <w:t>）</w:t>
      </w:r>
      <w:r>
        <w:rPr>
          <w:rFonts w:cs="Times New Roman"/>
          <w:snapToGrid w:val="0"/>
          <w:szCs w:val="24"/>
          <w:lang w:val="zh-CN"/>
        </w:rPr>
        <w:t>K</w:t>
      </w:r>
      <w:r>
        <w:rPr>
          <w:rFonts w:cs="Times New Roman"/>
          <w:snapToGrid w:val="0"/>
          <w:szCs w:val="24"/>
        </w:rPr>
        <w:t>22+482.00</w:t>
      </w:r>
      <w:r>
        <w:rPr>
          <w:rFonts w:cs="Times New Roman"/>
          <w:snapToGrid w:val="0"/>
          <w:szCs w:val="24"/>
        </w:rPr>
        <w:t>跨越突来买提河、</w:t>
      </w:r>
      <w:r>
        <w:rPr>
          <w:rFonts w:cs="Times New Roman"/>
          <w:snapToGrid w:val="0"/>
          <w:szCs w:val="24"/>
        </w:rPr>
        <w:t>K28+020.00</w:t>
      </w:r>
      <w:r>
        <w:rPr>
          <w:rFonts w:cs="Times New Roman"/>
          <w:snapToGrid w:val="0"/>
          <w:szCs w:val="24"/>
        </w:rPr>
        <w:t>、</w:t>
      </w:r>
      <w:r>
        <w:rPr>
          <w:rFonts w:cs="Times New Roman"/>
          <w:snapToGrid w:val="0"/>
          <w:szCs w:val="24"/>
        </w:rPr>
        <w:t>K30+522.500</w:t>
      </w:r>
      <w:r>
        <w:rPr>
          <w:rFonts w:cs="Times New Roman"/>
          <w:snapToGrid w:val="0"/>
          <w:szCs w:val="24"/>
        </w:rPr>
        <w:t>跨越喀什噶尔河、</w:t>
      </w:r>
      <w:r>
        <w:rPr>
          <w:rFonts w:cs="Times New Roman"/>
          <w:snapToGrid w:val="0"/>
          <w:szCs w:val="24"/>
          <w:lang w:val="zh-CN"/>
        </w:rPr>
        <w:t>K81+114.00</w:t>
      </w:r>
      <w:r>
        <w:rPr>
          <w:rFonts w:cs="Times New Roman"/>
          <w:snapToGrid w:val="0"/>
          <w:szCs w:val="24"/>
          <w:lang w:val="zh-CN"/>
        </w:rPr>
        <w:t>、</w:t>
      </w:r>
      <w:r>
        <w:rPr>
          <w:rFonts w:cs="Times New Roman"/>
          <w:kern w:val="0"/>
          <w:szCs w:val="24"/>
          <w:lang w:bidi="ar"/>
        </w:rPr>
        <w:t>K85+032.000</w:t>
      </w:r>
      <w:r>
        <w:rPr>
          <w:rFonts w:cs="Times New Roman"/>
          <w:snapToGrid w:val="0"/>
          <w:szCs w:val="24"/>
          <w:lang w:val="zh-CN"/>
        </w:rPr>
        <w:t>处跨越</w:t>
      </w:r>
      <w:r>
        <w:rPr>
          <w:rFonts w:cs="Times New Roman"/>
          <w:snapToGrid w:val="0"/>
          <w:szCs w:val="24"/>
          <w:lang w:val="zh-CN"/>
        </w:rPr>
        <w:t>苏贝希沟</w:t>
      </w:r>
      <w:r>
        <w:rPr>
          <w:rFonts w:cs="Times New Roman"/>
          <w:snapToGrid w:val="0"/>
          <w:szCs w:val="24"/>
          <w:lang w:val="zh-CN"/>
        </w:rPr>
        <w:t>-</w:t>
      </w:r>
      <w:r>
        <w:rPr>
          <w:rFonts w:cs="Times New Roman"/>
          <w:snapToGrid w:val="0"/>
          <w:szCs w:val="24"/>
          <w:lang w:val="zh-CN"/>
        </w:rPr>
        <w:t>加依洛萨依河、</w:t>
      </w:r>
      <w:r>
        <w:rPr>
          <w:rFonts w:cs="Times New Roman"/>
          <w:snapToGrid w:val="0"/>
          <w:szCs w:val="24"/>
        </w:rPr>
        <w:t>K84+800.00</w:t>
      </w:r>
      <w:r>
        <w:rPr>
          <w:rFonts w:cs="Times New Roman"/>
          <w:snapToGrid w:val="0"/>
          <w:szCs w:val="24"/>
        </w:rPr>
        <w:t>、</w:t>
      </w:r>
      <w:r>
        <w:rPr>
          <w:rFonts w:cs="Times New Roman"/>
          <w:snapToGrid w:val="0"/>
          <w:szCs w:val="24"/>
        </w:rPr>
        <w:t>K89+329.800</w:t>
      </w:r>
      <w:r>
        <w:rPr>
          <w:rFonts w:cs="Times New Roman"/>
          <w:snapToGrid w:val="0"/>
          <w:szCs w:val="24"/>
        </w:rPr>
        <w:t>、</w:t>
      </w:r>
      <w:r>
        <w:rPr>
          <w:rFonts w:cs="Times New Roman"/>
          <w:snapToGrid w:val="0"/>
          <w:szCs w:val="24"/>
        </w:rPr>
        <w:t>K90+066.000</w:t>
      </w:r>
      <w:r>
        <w:rPr>
          <w:rFonts w:cs="Times New Roman"/>
          <w:snapToGrid w:val="0"/>
          <w:szCs w:val="24"/>
        </w:rPr>
        <w:t>、</w:t>
      </w:r>
      <w:r>
        <w:rPr>
          <w:rFonts w:cs="Times New Roman"/>
          <w:snapToGrid w:val="0"/>
          <w:szCs w:val="24"/>
        </w:rPr>
        <w:t>K100+343.80</w:t>
      </w:r>
      <w:r>
        <w:rPr>
          <w:rFonts w:cs="Times New Roman"/>
          <w:snapToGrid w:val="0"/>
          <w:szCs w:val="24"/>
          <w:lang w:val="zh-CN"/>
        </w:rPr>
        <w:t>处跨越</w:t>
      </w:r>
      <w:r>
        <w:rPr>
          <w:rFonts w:cs="Times New Roman"/>
          <w:snapToGrid w:val="0"/>
          <w:szCs w:val="24"/>
        </w:rPr>
        <w:t>柯坪河</w:t>
      </w:r>
      <w:r>
        <w:rPr>
          <w:rFonts w:cs="Times New Roman"/>
          <w:snapToGrid w:val="0"/>
          <w:szCs w:val="24"/>
          <w:lang w:val="zh-CN"/>
        </w:rPr>
        <w:t>，水质管理要求按</w:t>
      </w:r>
      <w:r>
        <w:rPr>
          <w:rFonts w:cs="Times New Roman"/>
          <w:snapToGrid w:val="0"/>
          <w:szCs w:val="24"/>
          <w:lang w:val="zh-CN"/>
        </w:rPr>
        <w:t>Ⅲ</w:t>
      </w:r>
      <w:r>
        <w:rPr>
          <w:rFonts w:cs="Times New Roman"/>
          <w:snapToGrid w:val="0"/>
          <w:szCs w:val="24"/>
          <w:lang w:val="zh-CN"/>
        </w:rPr>
        <w:t>类水体。</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w:t>
      </w:r>
      <w:r>
        <w:rPr>
          <w:rFonts w:cs="Times New Roman"/>
          <w:snapToGrid w:val="0"/>
          <w:szCs w:val="24"/>
          <w:lang w:val="zh-CN"/>
        </w:rPr>
        <w:t>K14+769.70</w:t>
      </w:r>
      <w:r>
        <w:rPr>
          <w:rFonts w:cs="Times New Roman"/>
          <w:snapToGrid w:val="0"/>
          <w:szCs w:val="24"/>
          <w:lang w:val="zh-CN"/>
        </w:rPr>
        <w:t>、</w:t>
      </w:r>
      <w:r>
        <w:rPr>
          <w:rFonts w:cs="Times New Roman"/>
          <w:snapToGrid w:val="0"/>
          <w:szCs w:val="24"/>
          <w:lang w:val="zh-CN"/>
        </w:rPr>
        <w:t>K18+727.5</w:t>
      </w:r>
      <w:r>
        <w:rPr>
          <w:rFonts w:cs="Times New Roman"/>
          <w:snapToGrid w:val="0"/>
          <w:szCs w:val="24"/>
        </w:rPr>
        <w:t>0</w:t>
      </w:r>
      <w:r>
        <w:rPr>
          <w:rFonts w:cs="Times New Roman"/>
          <w:snapToGrid w:val="0"/>
          <w:szCs w:val="24"/>
          <w:lang w:val="zh-CN"/>
        </w:rPr>
        <w:t>、</w:t>
      </w:r>
      <w:r>
        <w:rPr>
          <w:rFonts w:cs="Times New Roman"/>
          <w:snapToGrid w:val="0"/>
          <w:szCs w:val="24"/>
          <w:lang w:val="zh-CN"/>
        </w:rPr>
        <w:t>K23+695.80</w:t>
      </w:r>
      <w:r>
        <w:rPr>
          <w:rFonts w:cs="Times New Roman"/>
          <w:snapToGrid w:val="0"/>
          <w:szCs w:val="24"/>
          <w:lang w:val="zh-CN"/>
        </w:rPr>
        <w:t>、</w:t>
      </w:r>
      <w:r>
        <w:rPr>
          <w:rFonts w:cs="Times New Roman"/>
          <w:snapToGrid w:val="0"/>
          <w:szCs w:val="24"/>
          <w:lang w:val="zh-CN"/>
        </w:rPr>
        <w:t>K81+786.00</w:t>
      </w:r>
      <w:r>
        <w:rPr>
          <w:rFonts w:cs="Times New Roman"/>
          <w:snapToGrid w:val="0"/>
          <w:szCs w:val="24"/>
          <w:lang w:val="zh-CN"/>
        </w:rPr>
        <w:t>、</w:t>
      </w:r>
      <w:r>
        <w:rPr>
          <w:rFonts w:cs="Times New Roman"/>
          <w:snapToGrid w:val="0"/>
          <w:szCs w:val="24"/>
          <w:lang w:val="zh-CN"/>
        </w:rPr>
        <w:t>K84+702.70</w:t>
      </w:r>
      <w:r>
        <w:rPr>
          <w:rFonts w:cs="Times New Roman"/>
          <w:snapToGrid w:val="0"/>
          <w:szCs w:val="24"/>
        </w:rPr>
        <w:t>、</w:t>
      </w:r>
      <w:r>
        <w:rPr>
          <w:rFonts w:cs="Times New Roman"/>
          <w:snapToGrid w:val="0"/>
          <w:szCs w:val="24"/>
          <w:lang w:val="zh-CN"/>
        </w:rPr>
        <w:t>处项目分别跨越了</w:t>
      </w:r>
      <w:r>
        <w:rPr>
          <w:rFonts w:cs="Times New Roman"/>
          <w:snapToGrid w:val="0"/>
          <w:szCs w:val="24"/>
        </w:rPr>
        <w:t>50</w:t>
      </w:r>
      <w:r>
        <w:rPr>
          <w:rFonts w:cs="Times New Roman"/>
          <w:snapToGrid w:val="0"/>
          <w:szCs w:val="24"/>
        </w:rPr>
        <w:t>团四干渠</w:t>
      </w:r>
      <w:r>
        <w:rPr>
          <w:rFonts w:cs="Times New Roman"/>
          <w:snapToGrid w:val="0"/>
          <w:szCs w:val="24"/>
          <w:lang w:val="zh-CN"/>
        </w:rPr>
        <w:t>、</w:t>
      </w:r>
      <w:r>
        <w:rPr>
          <w:rFonts w:cs="Times New Roman"/>
          <w:snapToGrid w:val="0"/>
          <w:szCs w:val="24"/>
        </w:rPr>
        <w:t>中干渠、六支干渠、阿恰干渠</w:t>
      </w:r>
      <w:r>
        <w:rPr>
          <w:rFonts w:cs="Times New Roman"/>
          <w:snapToGrid w:val="0"/>
          <w:szCs w:val="24"/>
          <w:lang w:val="zh-CN"/>
        </w:rPr>
        <w:t>，水质管理要求按</w:t>
      </w:r>
      <w:r>
        <w:rPr>
          <w:rFonts w:cs="Times New Roman"/>
          <w:snapToGrid w:val="0"/>
          <w:szCs w:val="24"/>
          <w:lang w:val="zh-CN"/>
        </w:rPr>
        <w:t>Ⅲ</w:t>
      </w:r>
      <w:r>
        <w:rPr>
          <w:rFonts w:cs="Times New Roman"/>
          <w:snapToGrid w:val="0"/>
          <w:szCs w:val="24"/>
          <w:lang w:val="zh-CN"/>
        </w:rPr>
        <w:t>类水体。</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拟建公路环境风险敏感路段情况见表</w:t>
      </w:r>
      <w:r>
        <w:rPr>
          <w:rFonts w:cs="Times New Roman" w:hint="eastAsia"/>
          <w:snapToGrid w:val="0"/>
          <w:szCs w:val="24"/>
        </w:rPr>
        <w:t>7</w:t>
      </w:r>
      <w:r>
        <w:rPr>
          <w:rFonts w:cs="Times New Roman"/>
          <w:snapToGrid w:val="0"/>
          <w:szCs w:val="24"/>
          <w:lang w:val="zh-CN"/>
        </w:rPr>
        <w:t>.7-3</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 xml:space="preserve">.7-3     </w:t>
      </w:r>
      <w:r>
        <w:rPr>
          <w:rFonts w:ascii="Times New Roman" w:hAnsi="Times New Roman" w:cs="Times New Roman" w:hint="default"/>
          <w:sz w:val="24"/>
          <w:szCs w:val="24"/>
        </w:rPr>
        <w:t xml:space="preserve">            </w:t>
      </w:r>
      <w:r>
        <w:rPr>
          <w:rFonts w:ascii="Times New Roman" w:hAnsi="Times New Roman" w:cs="Times New Roman" w:hint="default"/>
          <w:sz w:val="24"/>
          <w:szCs w:val="24"/>
        </w:rPr>
        <w:t>拟建公路环境风险敏感路段一览表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85"/>
        <w:gridCol w:w="1883"/>
        <w:gridCol w:w="1311"/>
        <w:gridCol w:w="1287"/>
        <w:gridCol w:w="835"/>
        <w:gridCol w:w="1082"/>
        <w:gridCol w:w="1432"/>
      </w:tblGrid>
      <w:tr w:rsidR="00A46452">
        <w:trPr>
          <w:trHeight w:val="312"/>
          <w:jc w:val="center"/>
        </w:trPr>
        <w:tc>
          <w:tcPr>
            <w:tcW w:w="685"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序号</w:t>
            </w:r>
          </w:p>
        </w:tc>
        <w:tc>
          <w:tcPr>
            <w:tcW w:w="1883"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桥名</w:t>
            </w:r>
          </w:p>
        </w:tc>
        <w:tc>
          <w:tcPr>
            <w:tcW w:w="1311"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中心桩号</w:t>
            </w:r>
          </w:p>
        </w:tc>
        <w:tc>
          <w:tcPr>
            <w:tcW w:w="1287"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与拟建公路关系</w:t>
            </w:r>
          </w:p>
        </w:tc>
        <w:tc>
          <w:tcPr>
            <w:tcW w:w="835"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工程</w:t>
            </w:r>
          </w:p>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形式</w:t>
            </w:r>
          </w:p>
        </w:tc>
        <w:tc>
          <w:tcPr>
            <w:tcW w:w="1082"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桥长（米）</w:t>
            </w:r>
          </w:p>
        </w:tc>
        <w:tc>
          <w:tcPr>
            <w:tcW w:w="1432" w:type="dxa"/>
            <w:vMerge w:val="restart"/>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备注</w:t>
            </w:r>
          </w:p>
        </w:tc>
      </w:tr>
      <w:tr w:rsidR="00A46452">
        <w:trPr>
          <w:trHeight w:val="312"/>
          <w:jc w:val="center"/>
        </w:trPr>
        <w:tc>
          <w:tcPr>
            <w:tcW w:w="685"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883"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311"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287"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835"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082"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c>
          <w:tcPr>
            <w:tcW w:w="1432" w:type="dxa"/>
            <w:vMerge/>
            <w:tcBorders>
              <w:tl2br w:val="nil"/>
              <w:tr2bl w:val="nil"/>
            </w:tcBorders>
            <w:shd w:val="clear" w:color="auto" w:fill="auto"/>
            <w:vAlign w:val="center"/>
          </w:tcPr>
          <w:p w:rsidR="00A46452" w:rsidRDefault="00A46452">
            <w:pPr>
              <w:wordWrap w:val="0"/>
              <w:topLinePunct/>
              <w:adjustRightInd w:val="0"/>
              <w:snapToGrid w:val="0"/>
              <w:spacing w:line="240" w:lineRule="exact"/>
              <w:ind w:firstLineChars="0" w:firstLine="0"/>
              <w:jc w:val="center"/>
              <w:rPr>
                <w:rFonts w:cs="Times New Roman"/>
                <w:sz w:val="18"/>
                <w:szCs w:val="18"/>
              </w:rPr>
            </w:pP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50</w:t>
            </w:r>
            <w:r>
              <w:rPr>
                <w:rFonts w:cs="Times New Roman"/>
                <w:kern w:val="0"/>
                <w:sz w:val="18"/>
                <w:szCs w:val="18"/>
                <w:lang w:bidi="ar"/>
              </w:rPr>
              <w:t>团四干渠大桥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K14+769.700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大桥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127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中干渠小桥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K18+727.500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小桥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31</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3</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突来买提河中桥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K22+482.000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66</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六支干渠中桥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K23+695.800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喀什噶尔河</w:t>
            </w:r>
            <w:r>
              <w:rPr>
                <w:rFonts w:cs="Times New Roman"/>
                <w:kern w:val="0"/>
                <w:sz w:val="18"/>
                <w:szCs w:val="18"/>
                <w:lang w:bidi="ar"/>
              </w:rPr>
              <w:t>一号中桥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K28+020.800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6</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喀什噶尔河</w:t>
            </w:r>
            <w:r>
              <w:rPr>
                <w:rFonts w:cs="Times New Roman"/>
                <w:kern w:val="0"/>
                <w:sz w:val="18"/>
                <w:szCs w:val="18"/>
                <w:lang w:bidi="ar"/>
              </w:rPr>
              <w:t>二号中桥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K30+522.500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7</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加依洛萨依河一号大桥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K81+114.000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大桥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187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8</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阿恰干渠一号中桥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K81+786.000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44</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9</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阿柯公铁立交桥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K82+540.000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大桥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517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0</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阿恰干渠二号中桥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K84+702.700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中桥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26</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1</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柯坪一号小桥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K84+800.00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小桥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18</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bookmarkStart w:id="326" w:name="_Toc98414248"/>
            <w:bookmarkStart w:id="327" w:name="_Toc98413566"/>
            <w:bookmarkStart w:id="328" w:name="_Toc153656669"/>
            <w:bookmarkStart w:id="329" w:name="_Toc97464672"/>
            <w:bookmarkStart w:id="330" w:name="_Toc172668172"/>
            <w:r>
              <w:rPr>
                <w:rFonts w:cs="Times New Roman"/>
                <w:kern w:val="0"/>
                <w:sz w:val="18"/>
                <w:szCs w:val="18"/>
                <w:lang w:bidi="ar"/>
              </w:rPr>
              <w:t>12</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加依洛萨依河二号大桥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K85+032.000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大桥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247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13</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柯坪二号小桥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K89+329.800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小桥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18</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14</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柯坪三号小桥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K90+066.000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小桥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31</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rPr>
              <w:t>Ⅲ</w:t>
            </w:r>
            <w:r>
              <w:rPr>
                <w:rFonts w:cs="Times New Roman"/>
                <w:kern w:val="0"/>
                <w:sz w:val="18"/>
                <w:szCs w:val="18"/>
              </w:rPr>
              <w:t>类水体</w:t>
            </w:r>
          </w:p>
        </w:tc>
      </w:tr>
      <w:tr w:rsidR="00A46452">
        <w:trPr>
          <w:jc w:val="center"/>
        </w:trPr>
        <w:tc>
          <w:tcPr>
            <w:tcW w:w="68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15</w:t>
            </w:r>
          </w:p>
        </w:tc>
        <w:tc>
          <w:tcPr>
            <w:tcW w:w="1883"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柯坪河大桥</w:t>
            </w:r>
          </w:p>
        </w:tc>
        <w:tc>
          <w:tcPr>
            <w:tcW w:w="1311"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K100+343.80</w:t>
            </w:r>
          </w:p>
        </w:tc>
        <w:tc>
          <w:tcPr>
            <w:tcW w:w="1287"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跨越</w:t>
            </w:r>
          </w:p>
        </w:tc>
        <w:tc>
          <w:tcPr>
            <w:tcW w:w="835"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小桥</w:t>
            </w:r>
          </w:p>
        </w:tc>
        <w:tc>
          <w:tcPr>
            <w:tcW w:w="108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lang w:bidi="ar"/>
              </w:rPr>
            </w:pPr>
            <w:r>
              <w:rPr>
                <w:rFonts w:cs="Times New Roman"/>
                <w:kern w:val="0"/>
                <w:sz w:val="18"/>
                <w:szCs w:val="18"/>
                <w:lang w:bidi="ar"/>
              </w:rPr>
              <w:t>207</w:t>
            </w:r>
          </w:p>
        </w:tc>
        <w:tc>
          <w:tcPr>
            <w:tcW w:w="1432" w:type="dxa"/>
            <w:tcBorders>
              <w:tl2br w:val="nil"/>
              <w:tr2bl w:val="nil"/>
            </w:tcBorders>
            <w:shd w:val="clear" w:color="auto" w:fill="auto"/>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rPr>
              <w:t>Ⅲ</w:t>
            </w:r>
            <w:r>
              <w:rPr>
                <w:rFonts w:cs="Times New Roman"/>
                <w:kern w:val="0"/>
                <w:sz w:val="18"/>
                <w:szCs w:val="18"/>
              </w:rPr>
              <w:t>类水体</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7.7.6</w:t>
      </w:r>
      <w:r>
        <w:rPr>
          <w:rFonts w:cs="Times New Roman" w:hint="default"/>
          <w:sz w:val="28"/>
          <w:szCs w:val="28"/>
        </w:rPr>
        <w:t>风险预测</w:t>
      </w:r>
      <w:bookmarkEnd w:id="326"/>
      <w:bookmarkEnd w:id="327"/>
      <w:bookmarkEnd w:id="328"/>
      <w:bookmarkEnd w:id="329"/>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7.7.6.1</w:t>
      </w:r>
      <w:r>
        <w:rPr>
          <w:rFonts w:cs="Times New Roman" w:hint="default"/>
          <w:iCs/>
        </w:rPr>
        <w:t>预测模式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本次评价拟采用概率计算法预测本项目营运期在重要水域路段发生危险品运输事故的概率，具体计算方法如下：</w:t>
      </w:r>
    </w:p>
    <w:p w:rsidR="00A46452" w:rsidRDefault="009A3928">
      <w:pPr>
        <w:wordWrap w:val="0"/>
        <w:topLinePunct/>
        <w:adjustRightInd w:val="0"/>
        <w:snapToGrid w:val="0"/>
        <w:ind w:firstLine="420"/>
        <w:jc w:val="center"/>
        <w:rPr>
          <w:rFonts w:cs="Times New Roman"/>
          <w:snapToGrid w:val="0"/>
          <w:szCs w:val="24"/>
          <w:lang w:val="zh-CN"/>
        </w:rPr>
      </w:pPr>
      <w:r>
        <w:rPr>
          <w:rFonts w:cs="Times New Roman"/>
          <w:noProof/>
          <w:sz w:val="21"/>
          <w:szCs w:val="24"/>
        </w:rPr>
        <w:drawing>
          <wp:inline distT="0" distB="0" distL="114300" distR="114300">
            <wp:extent cx="2679065" cy="380365"/>
            <wp:effectExtent l="0" t="0" r="635" b="635"/>
            <wp:docPr id="6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9"/>
                    <pic:cNvPicPr>
                      <a:picLocks noChangeAspect="1"/>
                    </pic:cNvPicPr>
                  </pic:nvPicPr>
                  <pic:blipFill>
                    <a:blip r:embed="rId79"/>
                    <a:stretch>
                      <a:fillRect/>
                    </a:stretch>
                  </pic:blipFill>
                  <pic:spPr>
                    <a:xfrm>
                      <a:off x="0" y="0"/>
                      <a:ext cx="2679065" cy="380365"/>
                    </a:xfrm>
                    <a:prstGeom prst="rect">
                      <a:avLst/>
                    </a:prstGeom>
                    <a:noFill/>
                    <a:ln>
                      <a:noFill/>
                    </a:ln>
                  </pic:spPr>
                </pic:pic>
              </a:graphicData>
            </a:graphic>
          </wp:inline>
        </w:drawing>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式中：</w:t>
      </w:r>
      <w:r>
        <w:rPr>
          <w:rFonts w:cs="Times New Roman"/>
          <w:snapToGrid w:val="0"/>
          <w:szCs w:val="24"/>
          <w:lang w:val="zh-CN"/>
        </w:rPr>
        <w:t>P——</w:t>
      </w:r>
      <w:r>
        <w:rPr>
          <w:rFonts w:cs="Times New Roman"/>
          <w:snapToGrid w:val="0"/>
          <w:szCs w:val="24"/>
          <w:lang w:val="zh-CN"/>
        </w:rPr>
        <w:t>预测年水域路段发生化学品风险事故的概率；</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Q</w:t>
      </w:r>
      <w:r>
        <w:rPr>
          <w:rFonts w:cs="Times New Roman"/>
          <w:snapToGrid w:val="0"/>
          <w:szCs w:val="24"/>
          <w:vertAlign w:val="subscript"/>
          <w:lang w:val="zh-CN"/>
        </w:rPr>
        <w:t>1</w:t>
      </w:r>
      <w:r>
        <w:rPr>
          <w:rFonts w:cs="Times New Roman"/>
          <w:snapToGrid w:val="0"/>
          <w:szCs w:val="24"/>
          <w:lang w:val="zh-CN"/>
        </w:rPr>
        <w:t>——</w:t>
      </w:r>
      <w:r>
        <w:rPr>
          <w:rFonts w:cs="Times New Roman"/>
          <w:snapToGrid w:val="0"/>
          <w:szCs w:val="24"/>
          <w:lang w:val="zh-CN"/>
        </w:rPr>
        <w:t>该地区目前车辆相撞翻车等重大事故概率，</w:t>
      </w:r>
      <w:r>
        <w:rPr>
          <w:rFonts w:cs="Times New Roman"/>
          <w:snapToGrid w:val="0"/>
          <w:szCs w:val="24"/>
          <w:lang w:val="zh-CN"/>
        </w:rPr>
        <w:t>(</w:t>
      </w:r>
      <w:r>
        <w:rPr>
          <w:rFonts w:cs="Times New Roman"/>
          <w:snapToGrid w:val="0"/>
          <w:szCs w:val="24"/>
          <w:lang w:val="zh-CN"/>
        </w:rPr>
        <w:t>次</w:t>
      </w:r>
      <w:r>
        <w:rPr>
          <w:rFonts w:cs="Times New Roman"/>
          <w:snapToGrid w:val="0"/>
          <w:szCs w:val="24"/>
          <w:lang w:val="zh-CN"/>
        </w:rPr>
        <w:t>/</w:t>
      </w:r>
      <w:r>
        <w:rPr>
          <w:rFonts w:cs="Times New Roman"/>
          <w:snapToGrid w:val="0"/>
          <w:szCs w:val="24"/>
          <w:lang w:val="zh-CN"/>
        </w:rPr>
        <w:t>百万辆公里），参考新疆交通事故概率；取</w:t>
      </w:r>
      <w:r>
        <w:rPr>
          <w:rFonts w:cs="Times New Roman"/>
          <w:snapToGrid w:val="0"/>
          <w:szCs w:val="24"/>
          <w:lang w:val="zh-CN"/>
        </w:rPr>
        <w:t>Q</w:t>
      </w:r>
      <w:r>
        <w:rPr>
          <w:rFonts w:cs="Times New Roman"/>
          <w:snapToGrid w:val="0"/>
          <w:szCs w:val="24"/>
          <w:vertAlign w:val="subscript"/>
          <w:lang w:val="zh-CN"/>
        </w:rPr>
        <w:t>1</w:t>
      </w:r>
      <w:r>
        <w:rPr>
          <w:rFonts w:cs="Times New Roman"/>
          <w:snapToGrid w:val="0"/>
          <w:szCs w:val="24"/>
          <w:lang w:val="zh-CN"/>
        </w:rPr>
        <w:t>=0.185</w:t>
      </w:r>
      <w:r>
        <w:rPr>
          <w:rFonts w:cs="Times New Roman"/>
          <w:snapToGrid w:val="0"/>
          <w:szCs w:val="24"/>
          <w:lang w:val="zh-CN"/>
        </w:rPr>
        <w:t>次</w:t>
      </w:r>
      <w:r>
        <w:rPr>
          <w:rFonts w:cs="Times New Roman"/>
          <w:snapToGrid w:val="0"/>
          <w:szCs w:val="24"/>
          <w:lang w:val="zh-CN"/>
        </w:rPr>
        <w:t>/</w:t>
      </w:r>
      <w:r>
        <w:rPr>
          <w:rFonts w:cs="Times New Roman"/>
          <w:snapToGrid w:val="0"/>
          <w:szCs w:val="24"/>
          <w:lang w:val="zh-CN"/>
        </w:rPr>
        <w:t>百万辆公里；</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Q</w:t>
      </w:r>
      <w:r>
        <w:rPr>
          <w:rFonts w:cs="Times New Roman"/>
          <w:snapToGrid w:val="0"/>
          <w:szCs w:val="24"/>
          <w:vertAlign w:val="subscript"/>
          <w:lang w:val="zh-CN"/>
        </w:rPr>
        <w:t>2</w:t>
      </w:r>
      <w:r>
        <w:rPr>
          <w:rFonts w:cs="Times New Roman"/>
          <w:snapToGrid w:val="0"/>
          <w:szCs w:val="24"/>
          <w:lang w:val="zh-CN"/>
        </w:rPr>
        <w:t>——</w:t>
      </w:r>
      <w:r>
        <w:rPr>
          <w:rFonts w:cs="Times New Roman"/>
          <w:snapToGrid w:val="0"/>
          <w:szCs w:val="24"/>
          <w:lang w:val="zh-CN"/>
        </w:rPr>
        <w:t>预测年年绝对交通量，（百万辆</w:t>
      </w:r>
      <w:r>
        <w:rPr>
          <w:rFonts w:cs="Times New Roman"/>
          <w:snapToGrid w:val="0"/>
          <w:szCs w:val="24"/>
          <w:lang w:val="zh-CN"/>
        </w:rPr>
        <w:t>/</w:t>
      </w:r>
      <w:r>
        <w:rPr>
          <w:rFonts w:cs="Times New Roman"/>
          <w:snapToGrid w:val="0"/>
          <w:szCs w:val="24"/>
          <w:lang w:val="zh-CN"/>
        </w:rPr>
        <w:t>年），见表</w:t>
      </w:r>
      <w:r>
        <w:rPr>
          <w:rFonts w:cs="Times New Roman"/>
          <w:snapToGrid w:val="0"/>
          <w:szCs w:val="24"/>
          <w:lang w:val="zh-CN"/>
        </w:rPr>
        <w:t>3.1-3</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Q</w:t>
      </w:r>
      <w:r>
        <w:rPr>
          <w:rFonts w:cs="Times New Roman"/>
          <w:snapToGrid w:val="0"/>
          <w:szCs w:val="24"/>
          <w:vertAlign w:val="subscript"/>
          <w:lang w:val="zh-CN"/>
        </w:rPr>
        <w:t>3</w:t>
      </w:r>
      <w:r>
        <w:rPr>
          <w:rFonts w:cs="Times New Roman"/>
          <w:snapToGrid w:val="0"/>
          <w:szCs w:val="24"/>
          <w:lang w:val="zh-CN"/>
        </w:rPr>
        <w:t>——</w:t>
      </w:r>
      <w:r>
        <w:rPr>
          <w:rFonts w:cs="Times New Roman"/>
          <w:snapToGrid w:val="0"/>
          <w:szCs w:val="24"/>
          <w:lang w:val="zh-CN"/>
        </w:rPr>
        <w:t>新建公路对交通事故的降低率，</w:t>
      </w:r>
      <w:r>
        <w:rPr>
          <w:rFonts w:cs="Times New Roman"/>
          <w:snapToGrid w:val="0"/>
          <w:szCs w:val="24"/>
          <w:lang w:val="zh-CN"/>
        </w:rPr>
        <w:t>(%)</w:t>
      </w:r>
      <w:r>
        <w:rPr>
          <w:rFonts w:cs="Times New Roman"/>
          <w:snapToGrid w:val="0"/>
          <w:szCs w:val="24"/>
          <w:lang w:val="zh-CN"/>
        </w:rPr>
        <w:t>；根据美国车辆交通安全报告（</w:t>
      </w:r>
      <w:r>
        <w:rPr>
          <w:rFonts w:cs="Times New Roman"/>
          <w:snapToGrid w:val="0"/>
          <w:szCs w:val="24"/>
          <w:lang w:val="zh-CN"/>
        </w:rPr>
        <w:t>1974)</w:t>
      </w:r>
      <w:r>
        <w:rPr>
          <w:rFonts w:cs="Times New Roman"/>
          <w:snapToGrid w:val="0"/>
          <w:szCs w:val="24"/>
          <w:lang w:val="zh-CN"/>
        </w:rPr>
        <w:t>，高速公路比一般公路事故降低率为</w:t>
      </w:r>
      <w:r>
        <w:rPr>
          <w:rFonts w:cs="Times New Roman"/>
          <w:snapToGrid w:val="0"/>
          <w:szCs w:val="24"/>
          <w:lang w:val="zh-CN"/>
        </w:rPr>
        <w:t>75%</w:t>
      </w:r>
      <w:r>
        <w:rPr>
          <w:rFonts w:cs="Times New Roman"/>
          <w:snapToGrid w:val="0"/>
          <w:szCs w:val="24"/>
          <w:lang w:val="zh-CN"/>
        </w:rPr>
        <w:t>；取</w:t>
      </w:r>
      <w:r>
        <w:rPr>
          <w:rFonts w:cs="Times New Roman"/>
          <w:snapToGrid w:val="0"/>
          <w:szCs w:val="24"/>
          <w:lang w:val="zh-CN"/>
        </w:rPr>
        <w:t>Q</w:t>
      </w:r>
      <w:r>
        <w:rPr>
          <w:rFonts w:cs="Times New Roman"/>
          <w:snapToGrid w:val="0"/>
          <w:szCs w:val="24"/>
          <w:vertAlign w:val="subscript"/>
          <w:lang w:val="zh-CN"/>
        </w:rPr>
        <w:t>3</w:t>
      </w:r>
      <w:r>
        <w:rPr>
          <w:rFonts w:cs="Times New Roman"/>
          <w:snapToGrid w:val="0"/>
          <w:szCs w:val="24"/>
          <w:lang w:val="zh-CN"/>
        </w:rPr>
        <w:t>=25%</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Q</w:t>
      </w:r>
      <w:r>
        <w:rPr>
          <w:rFonts w:cs="Times New Roman"/>
          <w:snapToGrid w:val="0"/>
          <w:szCs w:val="24"/>
          <w:vertAlign w:val="subscript"/>
          <w:lang w:val="zh-CN"/>
        </w:rPr>
        <w:t>4</w:t>
      </w:r>
      <w:r>
        <w:rPr>
          <w:rFonts w:cs="Times New Roman"/>
          <w:snapToGrid w:val="0"/>
          <w:szCs w:val="24"/>
          <w:lang w:val="zh-CN"/>
        </w:rPr>
        <w:t>——</w:t>
      </w:r>
      <w:r>
        <w:rPr>
          <w:rFonts w:cs="Times New Roman"/>
          <w:snapToGrid w:val="0"/>
          <w:szCs w:val="24"/>
          <w:lang w:val="zh-CN"/>
        </w:rPr>
        <w:t>货车占总交通量（绝对）的比例（</w:t>
      </w:r>
      <w:r>
        <w:rPr>
          <w:rFonts w:cs="Times New Roman"/>
          <w:snapToGrid w:val="0"/>
          <w:szCs w:val="24"/>
          <w:lang w:val="zh-CN"/>
        </w:rPr>
        <w:t>%</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Q</w:t>
      </w:r>
      <w:r>
        <w:rPr>
          <w:rFonts w:cs="Times New Roman"/>
          <w:snapToGrid w:val="0"/>
          <w:szCs w:val="24"/>
          <w:vertAlign w:val="subscript"/>
          <w:lang w:val="zh-CN"/>
        </w:rPr>
        <w:t>5</w:t>
      </w:r>
      <w:r>
        <w:rPr>
          <w:rFonts w:cs="Times New Roman"/>
          <w:snapToGrid w:val="0"/>
          <w:szCs w:val="24"/>
          <w:lang w:val="zh-CN"/>
        </w:rPr>
        <w:t>——</w:t>
      </w:r>
      <w:r>
        <w:rPr>
          <w:rFonts w:cs="Times New Roman"/>
          <w:snapToGrid w:val="0"/>
          <w:szCs w:val="24"/>
          <w:lang w:val="zh-CN"/>
        </w:rPr>
        <w:t>运输化学危险品车辆占货车比率（</w:t>
      </w:r>
      <w:r>
        <w:rPr>
          <w:rFonts w:cs="Times New Roman"/>
          <w:snapToGrid w:val="0"/>
          <w:szCs w:val="24"/>
          <w:lang w:val="zh-CN"/>
        </w:rPr>
        <w:t>%</w:t>
      </w:r>
      <w:r>
        <w:rPr>
          <w:rFonts w:cs="Times New Roman"/>
          <w:snapToGrid w:val="0"/>
          <w:szCs w:val="24"/>
          <w:lang w:val="zh-CN"/>
        </w:rPr>
        <w:t>），运输燃料中的石油和化学制品车辆占整个货运车辆的</w:t>
      </w:r>
      <w:r>
        <w:rPr>
          <w:rFonts w:cs="Times New Roman"/>
          <w:snapToGrid w:val="0"/>
          <w:szCs w:val="24"/>
          <w:lang w:val="zh-CN"/>
        </w:rPr>
        <w:t>3.93%</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lang w:val="zh-CN"/>
        </w:rPr>
        <w:t>Q</w:t>
      </w:r>
      <w:r>
        <w:rPr>
          <w:rFonts w:cs="Times New Roman"/>
          <w:snapToGrid w:val="0"/>
          <w:szCs w:val="24"/>
          <w:vertAlign w:val="subscript"/>
          <w:lang w:val="zh-CN"/>
        </w:rPr>
        <w:t>6</w:t>
      </w:r>
      <w:r>
        <w:rPr>
          <w:rFonts w:cs="Times New Roman"/>
          <w:snapToGrid w:val="0"/>
          <w:szCs w:val="24"/>
          <w:lang w:val="zh-CN"/>
        </w:rPr>
        <w:t>——</w:t>
      </w:r>
      <w:r>
        <w:rPr>
          <w:rFonts w:cs="Times New Roman"/>
          <w:snapToGrid w:val="0"/>
          <w:szCs w:val="24"/>
          <w:lang w:val="zh-CN"/>
        </w:rPr>
        <w:t>敏感路段长度，（</w:t>
      </w:r>
      <w:r>
        <w:rPr>
          <w:rFonts w:cs="Times New Roman"/>
          <w:snapToGrid w:val="0"/>
          <w:szCs w:val="24"/>
          <w:lang w:val="zh-CN"/>
        </w:rPr>
        <w:t>km</w:t>
      </w:r>
      <w:r>
        <w:rPr>
          <w:rFonts w:cs="Times New Roman"/>
          <w:snapToGrid w:val="0"/>
          <w:szCs w:val="24"/>
          <w:lang w:val="zh-CN"/>
        </w:rPr>
        <w:t>）。</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7.7.6.2</w:t>
      </w:r>
      <w:r>
        <w:rPr>
          <w:rFonts w:cs="Times New Roman" w:hint="default"/>
          <w:iCs/>
        </w:rPr>
        <w:t>预测结果</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根据预测模式和上述参数的确定，预测结果见表</w:t>
      </w:r>
      <w:r>
        <w:rPr>
          <w:rFonts w:cs="Times New Roman" w:hint="eastAsia"/>
          <w:snapToGrid w:val="0"/>
          <w:szCs w:val="24"/>
        </w:rPr>
        <w:t>7</w:t>
      </w:r>
      <w:r>
        <w:rPr>
          <w:rFonts w:cs="Times New Roman"/>
          <w:snapToGrid w:val="0"/>
          <w:szCs w:val="24"/>
          <w:lang w:val="zh-CN"/>
        </w:rPr>
        <w:t>.</w:t>
      </w:r>
      <w:r>
        <w:rPr>
          <w:rFonts w:cs="Times New Roman"/>
          <w:snapToGrid w:val="0"/>
          <w:szCs w:val="24"/>
        </w:rPr>
        <w:t>7</w:t>
      </w:r>
      <w:r>
        <w:rPr>
          <w:rFonts w:cs="Times New Roman"/>
          <w:snapToGrid w:val="0"/>
          <w:szCs w:val="24"/>
          <w:lang w:val="zh-CN"/>
        </w:rPr>
        <w:t>-</w:t>
      </w:r>
      <w:r>
        <w:rPr>
          <w:rFonts w:cs="Times New Roman"/>
          <w:snapToGrid w:val="0"/>
          <w:szCs w:val="24"/>
        </w:rPr>
        <w:t>4</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w:t>
      </w:r>
      <w:r>
        <w:rPr>
          <w:rFonts w:ascii="Times New Roman" w:hAnsi="Times New Roman" w:cs="Times New Roman" w:hint="default"/>
          <w:sz w:val="24"/>
          <w:szCs w:val="24"/>
        </w:rPr>
        <w:t>7</w:t>
      </w:r>
      <w:r>
        <w:rPr>
          <w:rFonts w:ascii="Times New Roman" w:hAnsi="Times New Roman" w:cs="Times New Roman" w:hint="default"/>
          <w:sz w:val="24"/>
          <w:szCs w:val="24"/>
        </w:rPr>
        <w:t>-</w:t>
      </w:r>
      <w:r>
        <w:rPr>
          <w:rFonts w:ascii="Times New Roman" w:hAnsi="Times New Roman" w:cs="Times New Roman" w:hint="default"/>
          <w:sz w:val="24"/>
          <w:szCs w:val="24"/>
        </w:rPr>
        <w:t>4</w:t>
      </w:r>
      <w:r>
        <w:rPr>
          <w:rFonts w:ascii="Times New Roman" w:hAnsi="Times New Roman" w:cs="Times New Roman" w:hint="default"/>
          <w:sz w:val="24"/>
          <w:szCs w:val="24"/>
        </w:rPr>
        <w:t xml:space="preserve">         </w:t>
      </w:r>
      <w:r>
        <w:rPr>
          <w:rFonts w:ascii="Times New Roman" w:hAnsi="Times New Roman" w:cs="Times New Roman" w:hint="default"/>
          <w:sz w:val="24"/>
          <w:szCs w:val="24"/>
        </w:rPr>
        <w:t>各敏感区域环境风险事故发生可能性预测值</w:t>
      </w:r>
    </w:p>
    <w:tbl>
      <w:tblPr>
        <w:tblW w:w="5065" w:type="pct"/>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94"/>
        <w:gridCol w:w="2009"/>
        <w:gridCol w:w="1207"/>
        <w:gridCol w:w="1271"/>
        <w:gridCol w:w="1049"/>
        <w:gridCol w:w="1316"/>
        <w:gridCol w:w="1180"/>
      </w:tblGrid>
      <w:tr w:rsidR="00A46452">
        <w:trPr>
          <w:trHeight w:hRule="exact" w:val="340"/>
        </w:trPr>
        <w:tc>
          <w:tcPr>
            <w:tcW w:w="344" w:type="pct"/>
            <w:vMerge w:val="restar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rPr>
                <w:rFonts w:cs="Times New Roman"/>
                <w:sz w:val="18"/>
                <w:szCs w:val="18"/>
              </w:rPr>
            </w:pPr>
            <w:r>
              <w:rPr>
                <w:rFonts w:cs="Times New Roman"/>
                <w:sz w:val="18"/>
                <w:szCs w:val="18"/>
              </w:rPr>
              <w:t>序号</w:t>
            </w:r>
          </w:p>
        </w:tc>
        <w:tc>
          <w:tcPr>
            <w:tcW w:w="1163" w:type="pct"/>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敏感点</w:t>
            </w:r>
            <w:r>
              <w:rPr>
                <w:rFonts w:cs="Times New Roman"/>
                <w:sz w:val="18"/>
                <w:szCs w:val="18"/>
              </w:rPr>
              <w:t>位置</w:t>
            </w:r>
          </w:p>
        </w:tc>
        <w:tc>
          <w:tcPr>
            <w:tcW w:w="699" w:type="pct"/>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桩号</w:t>
            </w:r>
          </w:p>
        </w:tc>
        <w:tc>
          <w:tcPr>
            <w:tcW w:w="736" w:type="pct"/>
            <w:vMerge w:val="restar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跨越长度（</w:t>
            </w:r>
            <w:r>
              <w:rPr>
                <w:rFonts w:cs="Times New Roman"/>
                <w:sz w:val="18"/>
                <w:szCs w:val="18"/>
              </w:rPr>
              <w:t>m</w:t>
            </w:r>
            <w:r>
              <w:rPr>
                <w:rFonts w:cs="Times New Roman"/>
                <w:sz w:val="18"/>
                <w:szCs w:val="18"/>
              </w:rPr>
              <w:t>）</w:t>
            </w:r>
          </w:p>
        </w:tc>
        <w:tc>
          <w:tcPr>
            <w:tcW w:w="2055" w:type="pct"/>
            <w:gridSpan w:val="3"/>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危险品运输事故概率（次</w:t>
            </w:r>
            <w:r>
              <w:rPr>
                <w:rFonts w:cs="Times New Roman"/>
                <w:sz w:val="18"/>
                <w:szCs w:val="18"/>
              </w:rPr>
              <w:t>/</w:t>
            </w:r>
            <w:r>
              <w:rPr>
                <w:rFonts w:cs="Times New Roman"/>
                <w:sz w:val="18"/>
                <w:szCs w:val="18"/>
              </w:rPr>
              <w:t>年）</w:t>
            </w:r>
          </w:p>
        </w:tc>
      </w:tr>
      <w:tr w:rsidR="00A46452">
        <w:trPr>
          <w:trHeight w:hRule="exact" w:val="340"/>
        </w:trPr>
        <w:tc>
          <w:tcPr>
            <w:tcW w:w="344" w:type="pct"/>
            <w:vMerge/>
            <w:tcBorders>
              <w:top w:val="single" w:sz="4" w:space="0" w:color="auto"/>
              <w:left w:val="single" w:sz="12" w:space="0" w:color="auto"/>
              <w:bottom w:val="single" w:sz="4" w:space="0" w:color="auto"/>
              <w:right w:val="single" w:sz="4" w:space="0" w:color="auto"/>
              <w:tl2br w:val="nil"/>
              <w:tr2bl w:val="nil"/>
            </w:tcBorders>
            <w:vAlign w:val="center"/>
          </w:tcPr>
          <w:p w:rsidR="00A46452" w:rsidRDefault="00A46452">
            <w:pPr>
              <w:pStyle w:val="TableParagraph"/>
              <w:wordWrap w:val="0"/>
              <w:topLinePunct/>
              <w:adjustRightInd w:val="0"/>
              <w:snapToGrid w:val="0"/>
              <w:spacing w:line="240" w:lineRule="auto"/>
              <w:ind w:firstLineChars="0" w:firstLine="0"/>
              <w:jc w:val="center"/>
              <w:rPr>
                <w:rFonts w:cs="Times New Roman"/>
                <w:sz w:val="18"/>
                <w:szCs w:val="18"/>
              </w:rPr>
            </w:pPr>
          </w:p>
        </w:tc>
        <w:tc>
          <w:tcPr>
            <w:tcW w:w="1163"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pStyle w:val="TableParagraph"/>
              <w:wordWrap w:val="0"/>
              <w:topLinePunct/>
              <w:adjustRightInd w:val="0"/>
              <w:snapToGrid w:val="0"/>
              <w:spacing w:line="240" w:lineRule="auto"/>
              <w:ind w:firstLineChars="0" w:firstLine="0"/>
              <w:jc w:val="center"/>
              <w:rPr>
                <w:rFonts w:cs="Times New Roman"/>
                <w:sz w:val="18"/>
                <w:szCs w:val="18"/>
              </w:rPr>
            </w:pPr>
          </w:p>
        </w:tc>
        <w:tc>
          <w:tcPr>
            <w:tcW w:w="699"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pStyle w:val="TableParagraph"/>
              <w:wordWrap w:val="0"/>
              <w:topLinePunct/>
              <w:adjustRightInd w:val="0"/>
              <w:snapToGrid w:val="0"/>
              <w:spacing w:line="240" w:lineRule="auto"/>
              <w:ind w:firstLineChars="0" w:firstLine="0"/>
              <w:jc w:val="center"/>
              <w:rPr>
                <w:rFonts w:cs="Times New Roman"/>
                <w:sz w:val="18"/>
                <w:szCs w:val="18"/>
              </w:rPr>
            </w:pPr>
          </w:p>
        </w:tc>
        <w:tc>
          <w:tcPr>
            <w:tcW w:w="736" w:type="pct"/>
            <w:vMerge/>
            <w:tcBorders>
              <w:top w:val="single" w:sz="4" w:space="0" w:color="auto"/>
              <w:left w:val="single" w:sz="4" w:space="0" w:color="auto"/>
              <w:bottom w:val="single" w:sz="4" w:space="0" w:color="auto"/>
              <w:right w:val="single" w:sz="4" w:space="0" w:color="auto"/>
              <w:tl2br w:val="nil"/>
              <w:tr2bl w:val="nil"/>
            </w:tcBorders>
            <w:vAlign w:val="center"/>
          </w:tcPr>
          <w:p w:rsidR="00A46452" w:rsidRDefault="00A46452">
            <w:pPr>
              <w:pStyle w:val="TableParagraph"/>
              <w:wordWrap w:val="0"/>
              <w:topLinePunct/>
              <w:adjustRightInd w:val="0"/>
              <w:snapToGrid w:val="0"/>
              <w:spacing w:line="240" w:lineRule="auto"/>
              <w:ind w:firstLineChars="0" w:firstLine="0"/>
              <w:jc w:val="center"/>
              <w:rPr>
                <w:rFonts w:cs="Times New Roman"/>
                <w:sz w:val="18"/>
                <w:szCs w:val="18"/>
              </w:rPr>
            </w:pP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近期</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中期</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远期</w:t>
            </w:r>
          </w:p>
        </w:tc>
      </w:tr>
      <w:tr w:rsidR="00A46452">
        <w:trPr>
          <w:trHeight w:hRule="exact" w:val="366"/>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lang w:eastAsia="en-US"/>
              </w:rPr>
            </w:pPr>
            <w:r>
              <w:rPr>
                <w:rFonts w:cs="Times New Roman"/>
                <w:kern w:val="0"/>
                <w:sz w:val="18"/>
                <w:szCs w:val="18"/>
                <w:lang w:bidi="ar"/>
              </w:rPr>
              <w:t>柯坪河大桥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K100+343.80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207</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3.86</w:t>
            </w:r>
            <w:r>
              <w:rPr>
                <w:rFonts w:cs="Times New Roman"/>
                <w:kern w:val="0"/>
                <w:sz w:val="18"/>
                <w:szCs w:val="18"/>
                <w:lang w:bidi="ar"/>
              </w:rPr>
              <w:t>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1.00</w:t>
            </w:r>
            <w:r>
              <w:rPr>
                <w:rFonts w:cs="Times New Roman"/>
                <w:kern w:val="0"/>
                <w:sz w:val="18"/>
                <w:szCs w:val="18"/>
                <w:lang w:bidi="ar"/>
              </w:rPr>
              <w:t>E-0</w:t>
            </w:r>
            <w:r>
              <w:rPr>
                <w:rFonts w:cs="Times New Roman"/>
                <w:kern w:val="0"/>
                <w:sz w:val="18"/>
                <w:szCs w:val="18"/>
                <w:lang w:bidi="ar"/>
              </w:rPr>
              <w:t>4</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2.03</w:t>
            </w:r>
            <w:r>
              <w:rPr>
                <w:rFonts w:cs="Times New Roman"/>
                <w:kern w:val="0"/>
                <w:sz w:val="18"/>
                <w:szCs w:val="18"/>
                <w:lang w:bidi="ar"/>
              </w:rPr>
              <w:t>E-04</w:t>
            </w:r>
          </w:p>
        </w:tc>
      </w:tr>
      <w:tr w:rsidR="00A46452">
        <w:trPr>
          <w:trHeight w:hRule="exact" w:val="340"/>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五十团四干渠</w:t>
            </w:r>
            <w:r>
              <w:rPr>
                <w:rFonts w:cs="Times New Roman"/>
                <w:kern w:val="0"/>
                <w:sz w:val="18"/>
                <w:szCs w:val="18"/>
                <w:lang w:bidi="ar"/>
              </w:rPr>
              <w:t>大桥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K14+760.00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127.00</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4.72E-05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6.72E-05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1.10E-04</w:t>
            </w:r>
          </w:p>
        </w:tc>
      </w:tr>
      <w:tr w:rsidR="00A46452">
        <w:trPr>
          <w:trHeight w:hRule="exact" w:val="340"/>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中干渠</w:t>
            </w:r>
            <w:r>
              <w:rPr>
                <w:rFonts w:cs="Times New Roman"/>
                <w:kern w:val="0"/>
                <w:sz w:val="18"/>
                <w:szCs w:val="18"/>
                <w:lang w:bidi="ar"/>
              </w:rPr>
              <w:t>小桥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21"/>
                <w:szCs w:val="24"/>
              </w:rPr>
            </w:pPr>
            <w:r>
              <w:rPr>
                <w:rFonts w:cs="Times New Roman"/>
                <w:kern w:val="0"/>
                <w:sz w:val="18"/>
                <w:szCs w:val="18"/>
                <w:lang w:bidi="ar"/>
              </w:rPr>
              <w:t>K18+740.00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31</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1.97E-05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2.80E-05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4.57E-05</w:t>
            </w:r>
          </w:p>
        </w:tc>
      </w:tr>
      <w:tr w:rsidR="00A46452">
        <w:trPr>
          <w:trHeight w:hRule="exact" w:val="340"/>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突来买提河</w:t>
            </w:r>
            <w:r>
              <w:rPr>
                <w:rFonts w:cs="Times New Roman"/>
                <w:kern w:val="0"/>
                <w:sz w:val="18"/>
                <w:szCs w:val="18"/>
                <w:lang w:bidi="ar"/>
              </w:rPr>
              <w:t>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K22+48</w:t>
            </w:r>
            <w:r>
              <w:rPr>
                <w:rFonts w:cs="Times New Roman"/>
                <w:kern w:val="0"/>
                <w:sz w:val="18"/>
                <w:szCs w:val="18"/>
                <w:lang w:bidi="ar"/>
              </w:rPr>
              <w:t>2</w:t>
            </w:r>
            <w:r>
              <w:rPr>
                <w:rFonts w:cs="Times New Roman"/>
                <w:kern w:val="0"/>
                <w:sz w:val="18"/>
                <w:szCs w:val="18"/>
                <w:lang w:bidi="ar"/>
              </w:rPr>
              <w:t>.00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66.00</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2.45E-05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3.49E-05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5.69E-05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六支干渠</w:t>
            </w:r>
            <w:r>
              <w:rPr>
                <w:rFonts w:cs="Times New Roman"/>
                <w:kern w:val="0"/>
                <w:sz w:val="18"/>
                <w:szCs w:val="18"/>
                <w:lang w:bidi="ar"/>
              </w:rPr>
              <w:t>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K23+</w:t>
            </w:r>
            <w:r>
              <w:rPr>
                <w:rFonts w:cs="Times New Roman"/>
                <w:kern w:val="0"/>
                <w:sz w:val="18"/>
                <w:szCs w:val="18"/>
                <w:lang w:bidi="ar"/>
              </w:rPr>
              <w:t>695</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26</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1.97E-05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2.80E-05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4.57E-05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喀什噶尔河一号中桥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K</w:t>
            </w:r>
            <w:r>
              <w:rPr>
                <w:rFonts w:cs="Times New Roman"/>
                <w:kern w:val="0"/>
                <w:sz w:val="18"/>
                <w:szCs w:val="18"/>
                <w:lang w:bidi="ar"/>
              </w:rPr>
              <w:t>28</w:t>
            </w:r>
            <w:r>
              <w:rPr>
                <w:rFonts w:cs="Times New Roman"/>
                <w:kern w:val="0"/>
                <w:sz w:val="18"/>
                <w:szCs w:val="18"/>
                <w:lang w:bidi="ar"/>
              </w:rPr>
              <w:t>+</w:t>
            </w:r>
            <w:r>
              <w:rPr>
                <w:rFonts w:cs="Times New Roman"/>
                <w:kern w:val="0"/>
                <w:sz w:val="18"/>
                <w:szCs w:val="18"/>
                <w:lang w:bidi="ar"/>
              </w:rPr>
              <w:t>020</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97.00</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3.60E-05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5.13E-05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8.36E-05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7</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喀什噶尔河二号中桥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K30+522.50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97</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3.60E-05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5.13E-05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8.36E-05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阿柯公铁立交桥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K82+540.00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517</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w:t>
            </w:r>
            <w:r>
              <w:rPr>
                <w:rFonts w:cs="Times New Roman"/>
                <w:kern w:val="0"/>
                <w:sz w:val="18"/>
                <w:szCs w:val="18"/>
                <w:lang w:bidi="ar"/>
              </w:rPr>
              <w:t>.83E-05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8.31E-0</w:t>
            </w:r>
            <w:r>
              <w:rPr>
                <w:rFonts w:cs="Times New Roman"/>
                <w:kern w:val="0"/>
                <w:sz w:val="18"/>
                <w:szCs w:val="18"/>
                <w:lang w:bidi="ar"/>
              </w:rPr>
              <w:t>4</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w:t>
            </w:r>
            <w:r>
              <w:rPr>
                <w:rFonts w:cs="Times New Roman"/>
                <w:kern w:val="0"/>
                <w:sz w:val="18"/>
                <w:szCs w:val="18"/>
                <w:lang w:bidi="ar"/>
              </w:rPr>
              <w:t>.35E-04</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9</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阿恰干渠一号中桥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K81+786.00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44</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Fonts w:cs="Times New Roman"/>
                <w:kern w:val="0"/>
                <w:sz w:val="18"/>
                <w:szCs w:val="18"/>
                <w:lang w:bidi="ar"/>
              </w:rPr>
              <w:t>0</w:t>
            </w:r>
            <w:r>
              <w:rPr>
                <w:rFonts w:cs="Times New Roman"/>
                <w:kern w:val="0"/>
                <w:sz w:val="18"/>
                <w:szCs w:val="18"/>
                <w:lang w:bidi="ar"/>
              </w:rPr>
              <w:t>7E-05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w:t>
            </w:r>
            <w:r>
              <w:rPr>
                <w:rFonts w:cs="Times New Roman"/>
                <w:kern w:val="0"/>
                <w:sz w:val="18"/>
                <w:szCs w:val="18"/>
                <w:lang w:bidi="ar"/>
              </w:rPr>
              <w:t>6</w:t>
            </w:r>
            <w:r>
              <w:rPr>
                <w:rFonts w:cs="Times New Roman"/>
                <w:kern w:val="0"/>
                <w:sz w:val="18"/>
                <w:szCs w:val="18"/>
                <w:lang w:bidi="ar"/>
              </w:rPr>
              <w:t>0E-05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w:t>
            </w:r>
            <w:r>
              <w:rPr>
                <w:rFonts w:cs="Times New Roman"/>
                <w:kern w:val="0"/>
                <w:sz w:val="18"/>
                <w:szCs w:val="18"/>
                <w:lang w:bidi="ar"/>
              </w:rPr>
              <w:t>3</w:t>
            </w:r>
            <w:r>
              <w:rPr>
                <w:rFonts w:cs="Times New Roman"/>
                <w:kern w:val="0"/>
                <w:sz w:val="18"/>
                <w:szCs w:val="18"/>
                <w:lang w:bidi="ar"/>
              </w:rPr>
              <w:t>7E-05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10</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阿恰干渠二号中桥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K84+702.70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26</w:t>
            </w:r>
          </w:p>
        </w:tc>
        <w:tc>
          <w:tcPr>
            <w:tcW w:w="60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9.65E-06</w:t>
            </w:r>
          </w:p>
        </w:tc>
        <w:tc>
          <w:tcPr>
            <w:tcW w:w="763"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1.38E-05</w:t>
            </w:r>
          </w:p>
        </w:tc>
        <w:tc>
          <w:tcPr>
            <w:tcW w:w="684" w:type="pct"/>
            <w:tcBorders>
              <w:top w:val="single" w:sz="4" w:space="0" w:color="auto"/>
              <w:left w:val="single" w:sz="4" w:space="0" w:color="auto"/>
              <w:bottom w:val="single" w:sz="4" w:space="0" w:color="auto"/>
              <w:right w:val="single" w:sz="12" w:space="0" w:color="auto"/>
              <w:tl2br w:val="nil"/>
              <w:tr2bl w:val="nil"/>
            </w:tcBorders>
            <w:shd w:val="clear" w:color="auto" w:fill="auto"/>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2.24E-05</w:t>
            </w:r>
          </w:p>
        </w:tc>
      </w:tr>
      <w:tr w:rsidR="00A46452">
        <w:trPr>
          <w:trHeight w:hRule="exact" w:val="466"/>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1</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w:t>
            </w:r>
          </w:p>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河一号大桥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w:t>
            </w:r>
            <w:r>
              <w:rPr>
                <w:rFonts w:cs="Times New Roman"/>
                <w:kern w:val="0"/>
                <w:sz w:val="18"/>
                <w:szCs w:val="18"/>
                <w:lang w:bidi="ar"/>
              </w:rPr>
              <w:t>1</w:t>
            </w:r>
            <w:r>
              <w:rPr>
                <w:rFonts w:cs="Times New Roman"/>
                <w:kern w:val="0"/>
                <w:sz w:val="18"/>
                <w:szCs w:val="18"/>
                <w:lang w:bidi="ar"/>
              </w:rPr>
              <w:t>+</w:t>
            </w:r>
            <w:r>
              <w:rPr>
                <w:rFonts w:cs="Times New Roman"/>
                <w:kern w:val="0"/>
                <w:sz w:val="18"/>
                <w:szCs w:val="18"/>
                <w:lang w:bidi="ar"/>
              </w:rPr>
              <w:t>114</w:t>
            </w:r>
            <w:r>
              <w:rPr>
                <w:rFonts w:cs="Times New Roman"/>
                <w:kern w:val="0"/>
                <w:sz w:val="18"/>
                <w:szCs w:val="18"/>
                <w:lang w:bidi="ar"/>
              </w:rPr>
              <w:t>.00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187.00</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6.94E-05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9.89E-05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1.61E-04</w:t>
            </w:r>
          </w:p>
        </w:tc>
      </w:tr>
      <w:tr w:rsidR="00A46452">
        <w:trPr>
          <w:trHeight w:hRule="exact" w:val="423"/>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12</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w:t>
            </w:r>
          </w:p>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河二号大桥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K85+032.00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247.00</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4.16</w:t>
            </w:r>
            <w:r>
              <w:rPr>
                <w:rFonts w:cs="Times New Roman"/>
                <w:kern w:val="0"/>
                <w:sz w:val="18"/>
                <w:szCs w:val="18"/>
                <w:lang w:bidi="ar"/>
              </w:rPr>
              <w:t>E-05</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1.30</w:t>
            </w:r>
            <w:r>
              <w:rPr>
                <w:rFonts w:cs="Times New Roman"/>
                <w:kern w:val="0"/>
                <w:sz w:val="18"/>
                <w:szCs w:val="18"/>
                <w:lang w:bidi="ar"/>
              </w:rPr>
              <w:t>E-0</w:t>
            </w:r>
            <w:r>
              <w:rPr>
                <w:rFonts w:cs="Times New Roman"/>
                <w:kern w:val="0"/>
                <w:sz w:val="18"/>
                <w:szCs w:val="18"/>
                <w:lang w:bidi="ar"/>
              </w:rPr>
              <w:t>4</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2.13</w:t>
            </w:r>
            <w:r>
              <w:rPr>
                <w:rFonts w:cs="Times New Roman"/>
                <w:kern w:val="0"/>
                <w:sz w:val="18"/>
                <w:szCs w:val="18"/>
                <w:lang w:bidi="ar"/>
              </w:rPr>
              <w:t>E-04</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3</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柯坪一号小桥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K84+800.00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18</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.16E-0</w:t>
            </w:r>
            <w:r>
              <w:rPr>
                <w:rFonts w:cs="Times New Roman"/>
                <w:kern w:val="0"/>
                <w:sz w:val="18"/>
                <w:szCs w:val="18"/>
                <w:lang w:bidi="ar"/>
              </w:rPr>
              <w:t>6</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w:t>
            </w:r>
            <w:r>
              <w:rPr>
                <w:rFonts w:cs="Times New Roman"/>
                <w:kern w:val="0"/>
                <w:sz w:val="18"/>
                <w:szCs w:val="18"/>
                <w:lang w:bidi="ar"/>
              </w:rPr>
              <w:t>.78E-05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1.43E-0</w:t>
            </w:r>
            <w:r>
              <w:rPr>
                <w:rFonts w:cs="Times New Roman"/>
                <w:kern w:val="0"/>
                <w:sz w:val="18"/>
                <w:szCs w:val="18"/>
                <w:lang w:bidi="ar"/>
              </w:rPr>
              <w:t>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14</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柯坪二号小桥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K89+329.80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18</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Fonts w:cs="Times New Roman"/>
                <w:kern w:val="0"/>
                <w:sz w:val="18"/>
                <w:szCs w:val="18"/>
                <w:lang w:bidi="ar"/>
              </w:rPr>
              <w:t>.16E-0</w:t>
            </w:r>
            <w:r>
              <w:rPr>
                <w:rFonts w:cs="Times New Roman"/>
                <w:kern w:val="0"/>
                <w:sz w:val="18"/>
                <w:szCs w:val="18"/>
                <w:lang w:bidi="ar"/>
              </w:rPr>
              <w:t>6</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w:t>
            </w:r>
            <w:r>
              <w:rPr>
                <w:rFonts w:cs="Times New Roman"/>
                <w:kern w:val="0"/>
                <w:sz w:val="18"/>
                <w:szCs w:val="18"/>
                <w:lang w:bidi="ar"/>
              </w:rPr>
              <w:t>.78E-05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1.43E-0</w:t>
            </w:r>
            <w:r>
              <w:rPr>
                <w:rFonts w:cs="Times New Roman"/>
                <w:kern w:val="0"/>
                <w:sz w:val="18"/>
                <w:szCs w:val="18"/>
                <w:lang w:bidi="ar"/>
              </w:rPr>
              <w:t>5</w:t>
            </w:r>
          </w:p>
        </w:tc>
      </w:tr>
      <w:tr w:rsidR="00A46452">
        <w:trPr>
          <w:trHeight w:hRule="exact" w:val="341"/>
        </w:trPr>
        <w:tc>
          <w:tcPr>
            <w:tcW w:w="344"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15</w:t>
            </w:r>
          </w:p>
        </w:tc>
        <w:tc>
          <w:tcPr>
            <w:tcW w:w="11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柯坪三号小桥</w:t>
            </w:r>
          </w:p>
        </w:tc>
        <w:tc>
          <w:tcPr>
            <w:tcW w:w="69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K90+066.00</w:t>
            </w:r>
          </w:p>
        </w:tc>
        <w:tc>
          <w:tcPr>
            <w:tcW w:w="73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31</w:t>
            </w:r>
          </w:p>
        </w:tc>
        <w:tc>
          <w:tcPr>
            <w:tcW w:w="608"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2.30</w:t>
            </w:r>
            <w:r>
              <w:rPr>
                <w:rFonts w:cs="Times New Roman"/>
                <w:kern w:val="0"/>
                <w:sz w:val="18"/>
                <w:szCs w:val="18"/>
                <w:lang w:bidi="ar"/>
              </w:rPr>
              <w:t>E-0</w:t>
            </w:r>
            <w:r>
              <w:rPr>
                <w:rFonts w:cs="Times New Roman"/>
                <w:kern w:val="0"/>
                <w:sz w:val="18"/>
                <w:szCs w:val="18"/>
                <w:lang w:bidi="ar"/>
              </w:rPr>
              <w:t>6</w:t>
            </w:r>
          </w:p>
        </w:tc>
        <w:tc>
          <w:tcPr>
            <w:tcW w:w="763"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2.5</w:t>
            </w:r>
            <w:r>
              <w:rPr>
                <w:rFonts w:cs="Times New Roman"/>
                <w:kern w:val="0"/>
                <w:sz w:val="18"/>
                <w:szCs w:val="18"/>
                <w:lang w:bidi="ar"/>
              </w:rPr>
              <w:t>E-05</w:t>
            </w:r>
          </w:p>
        </w:tc>
        <w:tc>
          <w:tcPr>
            <w:tcW w:w="684"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3.01</w:t>
            </w:r>
            <w:r>
              <w:rPr>
                <w:rFonts w:cs="Times New Roman"/>
                <w:kern w:val="0"/>
                <w:sz w:val="18"/>
                <w:szCs w:val="18"/>
                <w:lang w:bidi="ar"/>
              </w:rPr>
              <w:t>E-0</w:t>
            </w:r>
            <w:r>
              <w:rPr>
                <w:rFonts w:cs="Times New Roman"/>
                <w:kern w:val="0"/>
                <w:sz w:val="18"/>
                <w:szCs w:val="18"/>
                <w:lang w:bidi="ar"/>
              </w:rPr>
              <w:t>5</w:t>
            </w:r>
          </w:p>
        </w:tc>
      </w:tr>
    </w:tbl>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7.7.6.3</w:t>
      </w:r>
      <w:r>
        <w:rPr>
          <w:rFonts w:cs="Times New Roman" w:hint="default"/>
          <w:iCs/>
        </w:rPr>
        <w:t>环境风险影响及危害分析</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危险品运输风险概率计算结果表明，公路运营期运输化学危险品车辆在水域路段发生引起水体化学污染的事故风险概率很小，即使在远期（</w:t>
      </w:r>
      <w:r>
        <w:rPr>
          <w:rFonts w:cs="Times New Roman"/>
          <w:snapToGrid w:val="0"/>
          <w:szCs w:val="24"/>
          <w:lang w:val="zh-CN"/>
        </w:rPr>
        <w:t>20</w:t>
      </w:r>
      <w:r>
        <w:rPr>
          <w:rFonts w:cs="Times New Roman"/>
          <w:snapToGrid w:val="0"/>
          <w:szCs w:val="24"/>
        </w:rPr>
        <w:t>45</w:t>
      </w:r>
      <w:r>
        <w:rPr>
          <w:rFonts w:cs="Times New Roman"/>
          <w:snapToGrid w:val="0"/>
          <w:szCs w:val="24"/>
          <w:lang w:val="zh-CN"/>
        </w:rPr>
        <w:t>年）跨河路段风险概率最大的</w:t>
      </w:r>
      <w:r>
        <w:rPr>
          <w:rFonts w:cs="Times New Roman"/>
          <w:snapToGrid w:val="0"/>
          <w:szCs w:val="24"/>
        </w:rPr>
        <w:t>柯坪河</w:t>
      </w:r>
      <w:r>
        <w:rPr>
          <w:rFonts w:cs="Times New Roman"/>
          <w:snapToGrid w:val="0"/>
          <w:szCs w:val="24"/>
          <w:lang w:val="zh-CN"/>
        </w:rPr>
        <w:t>大桥路段也只有</w:t>
      </w:r>
      <w:r>
        <w:rPr>
          <w:rFonts w:cs="Times New Roman"/>
          <w:snapToGrid w:val="0"/>
          <w:szCs w:val="24"/>
        </w:rPr>
        <w:t>1.6</w:t>
      </w:r>
      <w:r>
        <w:rPr>
          <w:rFonts w:cs="Times New Roman"/>
          <w:snapToGrid w:val="0"/>
          <w:szCs w:val="24"/>
        </w:rPr>
        <w:t>1</w:t>
      </w:r>
      <w:r>
        <w:rPr>
          <w:rFonts w:cs="Times New Roman"/>
          <w:snapToGrid w:val="0"/>
          <w:szCs w:val="24"/>
        </w:rPr>
        <w:t>×10</w:t>
      </w:r>
      <w:r>
        <w:rPr>
          <w:rFonts w:cs="Times New Roman"/>
          <w:snapToGrid w:val="0"/>
          <w:szCs w:val="24"/>
          <w:vertAlign w:val="superscript"/>
        </w:rPr>
        <w:t>-4</w:t>
      </w:r>
      <w:r>
        <w:rPr>
          <w:rFonts w:cs="Times New Roman"/>
          <w:snapToGrid w:val="0"/>
          <w:szCs w:val="24"/>
          <w:lang w:val="zh-CN"/>
        </w:rPr>
        <w:t>次</w:t>
      </w:r>
      <w:r>
        <w:rPr>
          <w:rFonts w:cs="Times New Roman"/>
          <w:snapToGrid w:val="0"/>
          <w:szCs w:val="24"/>
          <w:lang w:val="zh-CN"/>
        </w:rPr>
        <w:t>/a</w:t>
      </w:r>
      <w:r>
        <w:rPr>
          <w:rFonts w:cs="Times New Roman"/>
          <w:snapToGrid w:val="0"/>
          <w:szCs w:val="24"/>
          <w:lang w:val="zh-CN"/>
        </w:rPr>
        <w:t>。但根据概率论的原理，这种小概率事件还是有可能发生的，一旦在</w:t>
      </w:r>
      <w:r>
        <w:rPr>
          <w:rFonts w:cs="Times New Roman"/>
          <w:snapToGrid w:val="0"/>
          <w:szCs w:val="24"/>
        </w:rPr>
        <w:t>柯坪河</w:t>
      </w:r>
      <w:r>
        <w:rPr>
          <w:rFonts w:cs="Times New Roman"/>
          <w:snapToGrid w:val="0"/>
          <w:szCs w:val="24"/>
          <w:lang w:val="zh-CN"/>
        </w:rPr>
        <w:t>大桥路段、干渠水域路段发生大范围的危险品运输泄漏事故，对</w:t>
      </w:r>
      <w:r>
        <w:rPr>
          <w:rFonts w:cs="Times New Roman"/>
          <w:snapToGrid w:val="0"/>
          <w:szCs w:val="24"/>
        </w:rPr>
        <w:t>柯坪河</w:t>
      </w:r>
      <w:r>
        <w:rPr>
          <w:rFonts w:cs="Times New Roman"/>
          <w:snapToGrid w:val="0"/>
          <w:szCs w:val="24"/>
          <w:lang w:val="zh-CN"/>
        </w:rPr>
        <w:t>的水体、沿线土壤会造成污染。必须结合工程设计，从工程、管理等多方面落实预防手段来降低该类事故的发生率，确保事故径流不泻入这些水体，把事故发生后对、土壤、水环境的危险降低到最低程度，做到预防和救援并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为降低事故风险概率，减轻环境影响，环评要求在工程设计方面，对跨越水体的桥梁，应对桥梁两侧采取强化加固防撞护栏的防侧翻措施。在运输管理方面，制订相关应急预案。在采取上述措施后，危险品运输事故的概率将大大降低，万一发生也可避免造成严重不良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本项目</w:t>
      </w:r>
      <w:r>
        <w:rPr>
          <w:rFonts w:cs="Times New Roman"/>
          <w:snapToGrid w:val="0"/>
          <w:szCs w:val="24"/>
          <w:lang w:val="zh-CN"/>
        </w:rPr>
        <w:t>环境风险简单分析内容表，见下表：</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7</w:t>
      </w:r>
      <w:r>
        <w:rPr>
          <w:rFonts w:ascii="Times New Roman" w:hAnsi="Times New Roman" w:cs="Times New Roman" w:hint="default"/>
          <w:sz w:val="24"/>
          <w:szCs w:val="24"/>
        </w:rPr>
        <w:t>.</w:t>
      </w:r>
      <w:r>
        <w:rPr>
          <w:rFonts w:ascii="Times New Roman" w:hAnsi="Times New Roman" w:cs="Times New Roman" w:hint="default"/>
          <w:sz w:val="24"/>
          <w:szCs w:val="24"/>
        </w:rPr>
        <w:t>7</w:t>
      </w:r>
      <w:r>
        <w:rPr>
          <w:rFonts w:ascii="Times New Roman" w:hAnsi="Times New Roman" w:cs="Times New Roman" w:hint="default"/>
          <w:sz w:val="24"/>
          <w:szCs w:val="24"/>
        </w:rPr>
        <w:t>-</w:t>
      </w:r>
      <w:r>
        <w:rPr>
          <w:rFonts w:ascii="Times New Roman" w:hAnsi="Times New Roman" w:cs="Times New Roman" w:hint="default"/>
          <w:sz w:val="24"/>
          <w:szCs w:val="24"/>
        </w:rPr>
        <w:t>5</w:t>
      </w:r>
      <w:r>
        <w:rPr>
          <w:rFonts w:ascii="Times New Roman" w:hAnsi="Times New Roman" w:cs="Times New Roman" w:hint="default"/>
          <w:sz w:val="24"/>
          <w:szCs w:val="24"/>
        </w:rPr>
        <w:t xml:space="preserve">        </w:t>
      </w:r>
      <w:r>
        <w:rPr>
          <w:rFonts w:ascii="Times New Roman" w:hAnsi="Times New Roman" w:cs="Times New Roman" w:hint="default"/>
          <w:sz w:val="24"/>
          <w:szCs w:val="24"/>
        </w:rPr>
        <w:t xml:space="preserve">       </w:t>
      </w:r>
      <w:r>
        <w:rPr>
          <w:rFonts w:ascii="Times New Roman" w:hAnsi="Times New Roman" w:cs="Times New Roman" w:hint="default"/>
          <w:sz w:val="24"/>
          <w:szCs w:val="24"/>
        </w:rPr>
        <w:t>建设项目环境风险简单分析内容表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65"/>
        <w:gridCol w:w="1054"/>
        <w:gridCol w:w="1780"/>
        <w:gridCol w:w="1131"/>
        <w:gridCol w:w="1272"/>
        <w:gridCol w:w="1613"/>
      </w:tblGrid>
      <w:tr w:rsidR="00A46452">
        <w:trPr>
          <w:jc w:val="center"/>
        </w:trPr>
        <w:tc>
          <w:tcPr>
            <w:tcW w:w="978" w:type="pc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建设项目名称</w:t>
            </w:r>
          </w:p>
        </w:tc>
        <w:tc>
          <w:tcPr>
            <w:tcW w:w="4021" w:type="pct"/>
            <w:gridSpan w:val="5"/>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第三师图木舒克市－柯坪段－乌什县（图木舒克</w:t>
            </w:r>
            <w:r>
              <w:rPr>
                <w:rFonts w:cs="Times New Roman"/>
                <w:sz w:val="18"/>
                <w:szCs w:val="18"/>
              </w:rPr>
              <w:t>-</w:t>
            </w:r>
            <w:r>
              <w:rPr>
                <w:rFonts w:cs="Times New Roman"/>
                <w:sz w:val="18"/>
                <w:szCs w:val="18"/>
              </w:rPr>
              <w:t>柯坪段）公路</w:t>
            </w:r>
          </w:p>
        </w:tc>
      </w:tr>
      <w:tr w:rsidR="00A46452">
        <w:trPr>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建设地点</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（新疆）省</w:t>
            </w:r>
          </w:p>
        </w:tc>
        <w:tc>
          <w:tcPr>
            <w:tcW w:w="104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w:t>
            </w:r>
            <w:r>
              <w:rPr>
                <w:rFonts w:cs="Times New Roman"/>
                <w:sz w:val="18"/>
                <w:szCs w:val="18"/>
              </w:rPr>
              <w:t>图木舒克</w:t>
            </w:r>
            <w:r>
              <w:rPr>
                <w:rFonts w:cs="Times New Roman"/>
                <w:sz w:val="18"/>
                <w:szCs w:val="18"/>
              </w:rPr>
              <w:t>）市</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（）区</w:t>
            </w:r>
          </w:p>
        </w:tc>
        <w:tc>
          <w:tcPr>
            <w:tcW w:w="747"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（）县</w:t>
            </w:r>
          </w:p>
        </w:tc>
        <w:tc>
          <w:tcPr>
            <w:tcW w:w="943" w:type="pc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（）园区</w:t>
            </w:r>
          </w:p>
        </w:tc>
      </w:tr>
      <w:tr w:rsidR="00A46452">
        <w:trPr>
          <w:trHeight w:val="321"/>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地理坐标起点</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经度</w:t>
            </w:r>
          </w:p>
        </w:tc>
        <w:tc>
          <w:tcPr>
            <w:tcW w:w="104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E</w:t>
            </w:r>
            <w:r>
              <w:rPr>
                <w:rFonts w:cs="Times New Roman"/>
                <w:sz w:val="18"/>
                <w:szCs w:val="18"/>
                <w:lang w:val="zh-CN"/>
              </w:rPr>
              <w:t>79.21439838</w:t>
            </w:r>
            <w:r>
              <w:rPr>
                <w:rFonts w:cs="Times New Roman"/>
                <w:sz w:val="18"/>
                <w:szCs w:val="18"/>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纬度</w:t>
            </w:r>
          </w:p>
        </w:tc>
        <w:tc>
          <w:tcPr>
            <w:tcW w:w="1691" w:type="pct"/>
            <w:gridSpan w:val="2"/>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N</w:t>
            </w:r>
            <w:r>
              <w:rPr>
                <w:rFonts w:cs="Times New Roman"/>
                <w:sz w:val="18"/>
                <w:szCs w:val="18"/>
                <w:lang w:val="zh-CN"/>
              </w:rPr>
              <w:t>39.87397892</w:t>
            </w:r>
            <w:r>
              <w:rPr>
                <w:rFonts w:cs="Times New Roman"/>
                <w:sz w:val="18"/>
                <w:szCs w:val="18"/>
              </w:rPr>
              <w:t>°</w:t>
            </w:r>
          </w:p>
        </w:tc>
      </w:tr>
      <w:tr w:rsidR="00A46452">
        <w:trPr>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地理坐标终点</w:t>
            </w:r>
          </w:p>
        </w:tc>
        <w:tc>
          <w:tcPr>
            <w:tcW w:w="619"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经度</w:t>
            </w:r>
          </w:p>
        </w:tc>
        <w:tc>
          <w:tcPr>
            <w:tcW w:w="1045"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E</w:t>
            </w:r>
            <w:r>
              <w:rPr>
                <w:rFonts w:cs="Times New Roman"/>
                <w:sz w:val="18"/>
                <w:szCs w:val="18"/>
                <w:lang w:val="zh-CN"/>
              </w:rPr>
              <w:t>79.05567728</w:t>
            </w:r>
            <w:r>
              <w:rPr>
                <w:rFonts w:cs="Times New Roman"/>
                <w:sz w:val="18"/>
                <w:szCs w:val="18"/>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纬度</w:t>
            </w:r>
          </w:p>
        </w:tc>
        <w:tc>
          <w:tcPr>
            <w:tcW w:w="1691" w:type="pct"/>
            <w:gridSpan w:val="2"/>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N</w:t>
            </w:r>
            <w:r>
              <w:rPr>
                <w:rFonts w:cs="Times New Roman"/>
                <w:sz w:val="18"/>
                <w:szCs w:val="18"/>
                <w:lang w:val="zh-CN"/>
              </w:rPr>
              <w:t>40.52269956</w:t>
            </w:r>
            <w:r>
              <w:rPr>
                <w:rFonts w:cs="Times New Roman"/>
                <w:sz w:val="18"/>
                <w:szCs w:val="18"/>
              </w:rPr>
              <w:t>°</w:t>
            </w:r>
          </w:p>
        </w:tc>
      </w:tr>
      <w:tr w:rsidR="00A46452">
        <w:trPr>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主要危险物质及分布</w:t>
            </w:r>
          </w:p>
        </w:tc>
        <w:tc>
          <w:tcPr>
            <w:tcW w:w="4021" w:type="pct"/>
            <w:gridSpan w:val="5"/>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pStyle w:val="TableParagraph"/>
              <w:wordWrap w:val="0"/>
              <w:topLinePunct/>
              <w:adjustRightInd w:val="0"/>
              <w:snapToGrid w:val="0"/>
              <w:spacing w:line="240" w:lineRule="auto"/>
              <w:ind w:firstLineChars="0" w:firstLine="0"/>
              <w:rPr>
                <w:rFonts w:cs="Times New Roman"/>
                <w:sz w:val="18"/>
                <w:szCs w:val="18"/>
              </w:rPr>
            </w:pPr>
            <w:r>
              <w:rPr>
                <w:rFonts w:cs="Times New Roman"/>
                <w:spacing w:val="-3"/>
                <w:sz w:val="18"/>
                <w:szCs w:val="18"/>
              </w:rPr>
              <w:t>生产、使用、储存过程中不涉及危险物质。主要危险物质为途经该路</w:t>
            </w:r>
            <w:r>
              <w:rPr>
                <w:rFonts w:cs="Times New Roman"/>
                <w:sz w:val="18"/>
                <w:szCs w:val="18"/>
              </w:rPr>
              <w:t>危险化学品运输车内化学品泄漏</w:t>
            </w:r>
          </w:p>
        </w:tc>
      </w:tr>
      <w:tr w:rsidR="00A46452">
        <w:trPr>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环境影响途径及危害后果（大气、地表水、地下水等）</w:t>
            </w:r>
          </w:p>
        </w:tc>
        <w:tc>
          <w:tcPr>
            <w:tcW w:w="4021" w:type="pct"/>
            <w:gridSpan w:val="5"/>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left"/>
              <w:rPr>
                <w:rFonts w:cs="Times New Roman"/>
                <w:kern w:val="0"/>
                <w:sz w:val="18"/>
                <w:szCs w:val="18"/>
              </w:rPr>
            </w:pPr>
            <w:r>
              <w:rPr>
                <w:rFonts w:cs="Times New Roman"/>
                <w:kern w:val="0"/>
                <w:sz w:val="18"/>
                <w:szCs w:val="18"/>
              </w:rPr>
              <w:t>对水环境影响分析</w:t>
            </w:r>
          </w:p>
          <w:p w:rsidR="00A46452" w:rsidRDefault="009A3928">
            <w:pPr>
              <w:wordWrap w:val="0"/>
              <w:topLinePunct/>
              <w:adjustRightInd w:val="0"/>
              <w:snapToGrid w:val="0"/>
              <w:spacing w:line="240" w:lineRule="auto"/>
              <w:ind w:firstLineChars="0" w:firstLine="0"/>
              <w:jc w:val="left"/>
              <w:rPr>
                <w:rFonts w:cs="Times New Roman"/>
                <w:kern w:val="0"/>
                <w:sz w:val="18"/>
                <w:szCs w:val="18"/>
              </w:rPr>
            </w:pPr>
            <w:r>
              <w:rPr>
                <w:rFonts w:cs="Times New Roman"/>
                <w:kern w:val="0"/>
                <w:sz w:val="18"/>
                <w:szCs w:val="18"/>
              </w:rPr>
              <w:t>当公路通车后，在桥梁路段每年发生危险品运输车辆交通事故为小概率事件。根据概率论的原理，这种小概率事件还是屡有发生，而且一旦此类事件发生，如有毒、有害的液体</w:t>
            </w:r>
            <w:r>
              <w:rPr>
                <w:rFonts w:cs="Times New Roman"/>
                <w:kern w:val="0"/>
                <w:sz w:val="18"/>
                <w:szCs w:val="18"/>
              </w:rPr>
              <w:t>流入</w:t>
            </w:r>
            <w:r>
              <w:rPr>
                <w:rFonts w:cs="Times New Roman"/>
                <w:kern w:val="0"/>
                <w:sz w:val="18"/>
                <w:szCs w:val="18"/>
              </w:rPr>
              <w:t>工程沿线水体及周边农田，将会对这些水域产生较为严重的破坏性影响，不但会使水体生态环境遭受破坏，沿线农作物遭受损失，还会引起土壤及地下水的污染，并对当地的经济环境产生严重的影响。</w:t>
            </w:r>
          </w:p>
          <w:p w:rsidR="00A46452" w:rsidRDefault="009A3928">
            <w:pPr>
              <w:wordWrap w:val="0"/>
              <w:topLinePunct/>
              <w:adjustRightInd w:val="0"/>
              <w:snapToGrid w:val="0"/>
              <w:spacing w:line="240" w:lineRule="auto"/>
              <w:ind w:firstLineChars="0" w:firstLine="0"/>
              <w:jc w:val="left"/>
              <w:rPr>
                <w:rFonts w:cs="Times New Roman"/>
                <w:kern w:val="0"/>
                <w:sz w:val="18"/>
                <w:szCs w:val="18"/>
              </w:rPr>
            </w:pPr>
            <w:r>
              <w:rPr>
                <w:rFonts w:cs="Times New Roman"/>
                <w:kern w:val="0"/>
                <w:sz w:val="18"/>
                <w:szCs w:val="18"/>
              </w:rPr>
              <w:t>对于线路穿越农田段、园地、林地路段，如有危险化学品</w:t>
            </w:r>
            <w:r>
              <w:rPr>
                <w:rFonts w:cs="Times New Roman"/>
                <w:kern w:val="0"/>
                <w:sz w:val="18"/>
                <w:szCs w:val="18"/>
              </w:rPr>
              <w:t>泄漏</w:t>
            </w:r>
            <w:r>
              <w:rPr>
                <w:rFonts w:cs="Times New Roman"/>
                <w:kern w:val="0"/>
                <w:sz w:val="18"/>
                <w:szCs w:val="18"/>
              </w:rPr>
              <w:t>，会使农田、林地的土壤及地下水造成污染，并对周边的生态环境造成严重的破坏。</w:t>
            </w:r>
          </w:p>
          <w:p w:rsidR="00A46452" w:rsidRDefault="009A3928">
            <w:pPr>
              <w:wordWrap w:val="0"/>
              <w:topLinePunct/>
              <w:adjustRightInd w:val="0"/>
              <w:snapToGrid w:val="0"/>
              <w:spacing w:line="240" w:lineRule="auto"/>
              <w:ind w:firstLineChars="0" w:firstLine="0"/>
              <w:jc w:val="left"/>
              <w:rPr>
                <w:rFonts w:cs="Times New Roman"/>
                <w:kern w:val="0"/>
                <w:sz w:val="18"/>
                <w:szCs w:val="18"/>
              </w:rPr>
            </w:pPr>
            <w:r>
              <w:rPr>
                <w:rFonts w:cs="Times New Roman"/>
                <w:kern w:val="0"/>
                <w:sz w:val="18"/>
                <w:szCs w:val="18"/>
              </w:rPr>
              <w:t>对大气环境影响分析</w:t>
            </w:r>
          </w:p>
          <w:p w:rsidR="00A46452" w:rsidRDefault="009A3928">
            <w:pPr>
              <w:wordWrap w:val="0"/>
              <w:topLinePunct/>
              <w:adjustRightInd w:val="0"/>
              <w:snapToGrid w:val="0"/>
              <w:spacing w:line="240" w:lineRule="auto"/>
              <w:ind w:firstLineChars="0" w:firstLine="0"/>
              <w:jc w:val="left"/>
              <w:rPr>
                <w:rFonts w:cs="Times New Roman"/>
                <w:kern w:val="0"/>
                <w:sz w:val="18"/>
                <w:szCs w:val="18"/>
              </w:rPr>
            </w:pPr>
            <w:r>
              <w:rPr>
                <w:rFonts w:cs="Times New Roman"/>
                <w:kern w:val="0"/>
                <w:sz w:val="18"/>
                <w:szCs w:val="18"/>
              </w:rPr>
              <w:t>在危险化学品的运输中，部分有毒有害物质具有易挥发性，一旦发生交通事故引起泄漏，就以气体形式扩散到大气环境中，将短时间内对附近区域大气环境质量造成严重的污染影响，对工程附近区域的敏感目标人群健康和安全造成影响，特别是对下风向人群健康影响严重。</w:t>
            </w:r>
          </w:p>
        </w:tc>
      </w:tr>
      <w:tr w:rsidR="00A46452">
        <w:trPr>
          <w:jc w:val="center"/>
        </w:trPr>
        <w:tc>
          <w:tcPr>
            <w:tcW w:w="978"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风险防范措施要求</w:t>
            </w:r>
          </w:p>
        </w:tc>
        <w:tc>
          <w:tcPr>
            <w:tcW w:w="4021" w:type="pct"/>
            <w:gridSpan w:val="5"/>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在公路跨越桥梁两端设置限速标志；运载有毒、有害危险品车辆上路必须按国家相关规定报有关管理部门。项目桥面设置加固防撞护栏。若发生重大事故，必须立即启动应急预</w:t>
            </w:r>
            <w:r>
              <w:rPr>
                <w:rFonts w:cs="Times New Roman"/>
                <w:sz w:val="18"/>
                <w:szCs w:val="18"/>
              </w:rPr>
              <w:t>案。</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从工程、管理等多方面落实预防手段来降低该类事故的发生率，同时备有应急措施计划，做到预防和救援并重。</w:t>
            </w:r>
          </w:p>
        </w:tc>
      </w:tr>
      <w:tr w:rsidR="00A46452">
        <w:trPr>
          <w:jc w:val="center"/>
        </w:trPr>
        <w:tc>
          <w:tcPr>
            <w:tcW w:w="5000" w:type="pct"/>
            <w:gridSpan w:val="6"/>
            <w:tcBorders>
              <w:top w:val="single" w:sz="4" w:space="0" w:color="auto"/>
              <w:left w:val="single" w:sz="12" w:space="0" w:color="auto"/>
              <w:bottom w:val="single" w:sz="12"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填表说明（列出项目相关信息及评价说明）本项目具有潜在的事故风险，要从建设、生产、贮运等各方面积极采取防护措施，这是确保安全的根本。</w:t>
            </w: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7.7.7</w:t>
      </w:r>
      <w:r>
        <w:rPr>
          <w:rFonts w:cs="Times New Roman" w:hint="default"/>
          <w:sz w:val="28"/>
          <w:szCs w:val="28"/>
        </w:rPr>
        <w:t>环境风险防范措施</w:t>
      </w:r>
      <w:bookmarkEnd w:id="330"/>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7.7.7.1</w:t>
      </w:r>
      <w:r>
        <w:rPr>
          <w:rFonts w:cs="Times New Roman" w:hint="default"/>
          <w:iCs/>
        </w:rPr>
        <w:t>危险物品运输车辆交通事故预防措施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1</w:t>
      </w:r>
      <w:r>
        <w:rPr>
          <w:rFonts w:cs="Times New Roman"/>
          <w:snapToGrid w:val="0"/>
          <w:szCs w:val="24"/>
          <w:lang w:val="zh-CN"/>
        </w:rPr>
        <w:t>）加强车辆管理，加强车检工作，保证上路车辆车况良好；依据国务院发布的《化学危险物品安全管理条例》有关要求，运输危险品须持有公安部门颁发的三张证书，即运输许可证、驾驶员执照及保安员证书。所有从事化学危险货物运输的车辆，必须在车前醒目位置悬挂黄底黑字</w:t>
      </w:r>
      <w:r>
        <w:rPr>
          <w:rFonts w:cs="Times New Roman"/>
          <w:snapToGrid w:val="0"/>
          <w:szCs w:val="24"/>
          <w:lang w:val="zh-CN"/>
        </w:rPr>
        <w:t>“</w:t>
      </w:r>
      <w:r>
        <w:rPr>
          <w:rFonts w:cs="Times New Roman"/>
          <w:snapToGrid w:val="0"/>
          <w:szCs w:val="24"/>
          <w:lang w:val="zh-CN"/>
        </w:rPr>
        <w:t>危险品</w:t>
      </w:r>
      <w:r>
        <w:rPr>
          <w:rFonts w:cs="Times New Roman"/>
          <w:snapToGrid w:val="0"/>
          <w:szCs w:val="24"/>
          <w:lang w:val="zh-CN"/>
        </w:rPr>
        <w:t>”</w:t>
      </w:r>
      <w:r>
        <w:rPr>
          <w:rFonts w:cs="Times New Roman"/>
          <w:snapToGrid w:val="0"/>
          <w:szCs w:val="24"/>
          <w:lang w:val="zh-CN"/>
        </w:rPr>
        <w:t>字样的三角旗；严格禁止车辆超载。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）危险品车辆上路必须事先通知道路管理处，接受上路安全检查，同时车辆上必须有醒目的装有危险品的标记，以便对其加强管理和监控。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3</w:t>
      </w:r>
      <w:r>
        <w:rPr>
          <w:rFonts w:cs="Times New Roman"/>
          <w:snapToGrid w:val="0"/>
          <w:szCs w:val="24"/>
          <w:lang w:val="zh-CN"/>
        </w:rPr>
        <w:t>）建立道路运输在线监控系统，并与项目沿线地方环保部门相连，危险品车辆一旦发生事故，第一时间启动应急措施。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4</w:t>
      </w:r>
      <w:r>
        <w:rPr>
          <w:rFonts w:cs="Times New Roman"/>
          <w:snapToGrid w:val="0"/>
          <w:szCs w:val="24"/>
          <w:lang w:val="zh-CN"/>
        </w:rPr>
        <w:t>）使用可变情报板随时警示容易诱发交通事故的恶劣天气或危险路况，提前采取限制行车速度或封闭局部路段等积极、主动的风险防范措施。</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7.7.7.2</w:t>
      </w:r>
      <w:r>
        <w:rPr>
          <w:rFonts w:cs="Times New Roman" w:hint="default"/>
          <w:iCs/>
        </w:rPr>
        <w:t>公路环境风险防范措施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1</w:t>
      </w:r>
      <w:r>
        <w:rPr>
          <w:rFonts w:cs="Times New Roman"/>
          <w:snapToGrid w:val="0"/>
          <w:szCs w:val="24"/>
          <w:lang w:val="zh-CN"/>
        </w:rPr>
        <w:t>）管理措施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防范危险品运输风险事故的最主要措施是要严格执行国家和行业部门颁布的危险货物运输相关法规。相关法规有：《危险化学品安全管理条例》《道路危险货物运输管理规定》。</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危险品运输车辆一般应安排在交通量较少时段通行，在气候不好的条件</w:t>
      </w:r>
      <w:r>
        <w:rPr>
          <w:rFonts w:cs="Times New Roman"/>
          <w:snapToGrid w:val="0"/>
          <w:szCs w:val="24"/>
          <w:lang w:val="zh-CN"/>
        </w:rPr>
        <w:t>下应禁止其上路，尤其是临近</w:t>
      </w:r>
      <w:r>
        <w:rPr>
          <w:rFonts w:cs="Times New Roman"/>
          <w:snapToGrid w:val="0"/>
          <w:szCs w:val="24"/>
        </w:rPr>
        <w:t>喀什噶尔河、突来买提河、柯坪河</w:t>
      </w:r>
      <w:r>
        <w:rPr>
          <w:rFonts w:cs="Times New Roman"/>
          <w:snapToGrid w:val="0"/>
          <w:szCs w:val="24"/>
          <w:lang w:val="zh-CN"/>
        </w:rPr>
        <w:t>，</w:t>
      </w:r>
      <w:r>
        <w:rPr>
          <w:rFonts w:cs="Times New Roman"/>
          <w:snapToGrid w:val="0"/>
          <w:szCs w:val="24"/>
        </w:rPr>
        <w:t>五十团四支渠</w:t>
      </w:r>
      <w:r>
        <w:rPr>
          <w:rFonts w:cs="Times New Roman"/>
          <w:snapToGrid w:val="0"/>
          <w:szCs w:val="24"/>
          <w:lang w:val="zh-CN"/>
        </w:rPr>
        <w:t>、</w:t>
      </w:r>
      <w:r>
        <w:rPr>
          <w:rFonts w:cs="Times New Roman"/>
          <w:snapToGrid w:val="0"/>
          <w:szCs w:val="24"/>
        </w:rPr>
        <w:t>五十团四干渠、中干渠、六支干渠、阿恰干渠</w:t>
      </w:r>
      <w:r>
        <w:rPr>
          <w:rFonts w:cs="Times New Roman"/>
          <w:snapToGrid w:val="0"/>
          <w:szCs w:val="24"/>
          <w:lang w:val="zh-CN"/>
        </w:rPr>
        <w:t>路段。</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）工程措施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①</w:t>
      </w:r>
      <w:r>
        <w:rPr>
          <w:rFonts w:cs="Times New Roman"/>
          <w:snapToGrid w:val="0"/>
          <w:szCs w:val="24"/>
          <w:lang w:val="zh-CN"/>
        </w:rPr>
        <w:t>防撞护栏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对本项目跨越河流、干渠的桥梁设置水泥防撞护栏，防撞护栏高度大于</w:t>
      </w:r>
      <w:r>
        <w:rPr>
          <w:rFonts w:cs="Times New Roman"/>
          <w:snapToGrid w:val="0"/>
          <w:szCs w:val="24"/>
          <w:lang w:val="zh-CN"/>
        </w:rPr>
        <w:t>1.0m</w:t>
      </w:r>
      <w:r>
        <w:rPr>
          <w:rFonts w:cs="Times New Roman"/>
          <w:snapToGrid w:val="0"/>
          <w:szCs w:val="24"/>
          <w:lang w:val="zh-CN"/>
        </w:rPr>
        <w:t>。参照《公路交通安全设计规范》（</w:t>
      </w:r>
      <w:r>
        <w:rPr>
          <w:rFonts w:cs="Times New Roman"/>
          <w:snapToGrid w:val="0"/>
          <w:szCs w:val="24"/>
          <w:lang w:val="zh-CN"/>
        </w:rPr>
        <w:t>JTGD81-2017</w:t>
      </w:r>
      <w:r>
        <w:rPr>
          <w:rFonts w:cs="Times New Roman"/>
          <w:snapToGrid w:val="0"/>
          <w:szCs w:val="24"/>
          <w:lang w:val="zh-CN"/>
        </w:rPr>
        <w:t>），本工程防撞护栏等级应不低于</w:t>
      </w:r>
      <w:r>
        <w:rPr>
          <w:rFonts w:cs="Times New Roman"/>
          <w:snapToGrid w:val="0"/>
          <w:szCs w:val="24"/>
          <w:lang w:val="zh-CN"/>
        </w:rPr>
        <w:t>SA</w:t>
      </w:r>
      <w:r>
        <w:rPr>
          <w:rFonts w:cs="Times New Roman"/>
          <w:snapToGrid w:val="0"/>
          <w:szCs w:val="24"/>
          <w:lang w:val="zh-CN"/>
        </w:rPr>
        <w:t>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②</w:t>
      </w:r>
      <w:r>
        <w:rPr>
          <w:rFonts w:cs="Times New Roman"/>
          <w:snapToGrid w:val="0"/>
          <w:szCs w:val="24"/>
          <w:lang w:val="zh-CN"/>
        </w:rPr>
        <w:t>设置标识标牌</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在本项目跨河、跨渠桥梁共计</w:t>
      </w:r>
      <w:r>
        <w:rPr>
          <w:rFonts w:cs="Times New Roman"/>
          <w:snapToGrid w:val="0"/>
          <w:szCs w:val="24"/>
        </w:rPr>
        <w:t>15</w:t>
      </w:r>
      <w:r>
        <w:rPr>
          <w:rFonts w:cs="Times New Roman"/>
          <w:snapToGrid w:val="0"/>
          <w:szCs w:val="24"/>
          <w:lang w:val="zh-CN"/>
        </w:rPr>
        <w:t>座，在桥梁路段上下行各设</w:t>
      </w:r>
      <w:r>
        <w:rPr>
          <w:rFonts w:cs="Times New Roman"/>
          <w:snapToGrid w:val="0"/>
          <w:szCs w:val="24"/>
          <w:lang w:val="zh-CN"/>
        </w:rPr>
        <w:t>1</w:t>
      </w:r>
      <w:r>
        <w:rPr>
          <w:rFonts w:cs="Times New Roman"/>
          <w:snapToGrid w:val="0"/>
          <w:szCs w:val="24"/>
          <w:lang w:val="zh-CN"/>
        </w:rPr>
        <w:t>处</w:t>
      </w:r>
      <w:r>
        <w:rPr>
          <w:rFonts w:cs="Times New Roman"/>
          <w:snapToGrid w:val="0"/>
          <w:szCs w:val="24"/>
          <w:lang w:val="zh-CN"/>
        </w:rPr>
        <w:t>“</w:t>
      </w:r>
      <w:r>
        <w:rPr>
          <w:rFonts w:cs="Times New Roman"/>
          <w:snapToGrid w:val="0"/>
          <w:szCs w:val="24"/>
          <w:lang w:val="zh-CN"/>
        </w:rPr>
        <w:t>谨慎驾驶</w:t>
      </w:r>
      <w:r>
        <w:rPr>
          <w:rFonts w:cs="Times New Roman"/>
          <w:snapToGrid w:val="0"/>
          <w:szCs w:val="24"/>
          <w:lang w:val="zh-CN"/>
        </w:rPr>
        <w:t>”</w:t>
      </w:r>
      <w:r>
        <w:rPr>
          <w:rFonts w:cs="Times New Roman"/>
          <w:snapToGrid w:val="0"/>
          <w:szCs w:val="24"/>
          <w:lang w:val="zh-CN"/>
        </w:rPr>
        <w:t>等相关标志牌及警示牌，共计</w:t>
      </w:r>
      <w:r>
        <w:rPr>
          <w:rFonts w:cs="Times New Roman"/>
          <w:snapToGrid w:val="0"/>
          <w:szCs w:val="24"/>
        </w:rPr>
        <w:t>30</w:t>
      </w:r>
      <w:r>
        <w:rPr>
          <w:rFonts w:cs="Times New Roman"/>
          <w:snapToGrid w:val="0"/>
          <w:szCs w:val="24"/>
          <w:lang w:val="zh-CN"/>
        </w:rPr>
        <w:t>处。进入桥梁路段设置减速带，以提请司机注意安全和控制车速，加强道路管控，限制通行车辆</w:t>
      </w:r>
      <w:r>
        <w:rPr>
          <w:rFonts w:cs="Times New Roman"/>
          <w:snapToGrid w:val="0"/>
          <w:szCs w:val="24"/>
          <w:lang w:val="zh-CN"/>
        </w:rPr>
        <w:t>随行人员及司机的活动范围，减少对河流、灌渠等的影响。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rPr>
        <w:fldChar w:fldCharType="begin"/>
      </w:r>
      <w:r>
        <w:rPr>
          <w:rFonts w:cs="Times New Roman"/>
          <w:snapToGrid w:val="0"/>
          <w:szCs w:val="24"/>
        </w:rPr>
        <w:instrText xml:space="preserve"> = 3 \* GB3 </w:instrText>
      </w:r>
      <w:r>
        <w:rPr>
          <w:rFonts w:cs="Times New Roman"/>
          <w:snapToGrid w:val="0"/>
          <w:szCs w:val="24"/>
        </w:rPr>
        <w:fldChar w:fldCharType="separate"/>
      </w:r>
      <w:r>
        <w:rPr>
          <w:rFonts w:cs="Times New Roman"/>
          <w:snapToGrid w:val="0"/>
          <w:szCs w:val="24"/>
        </w:rPr>
        <w:t>③</w:t>
      </w:r>
      <w:r>
        <w:rPr>
          <w:rFonts w:cs="Times New Roman"/>
          <w:snapToGrid w:val="0"/>
          <w:szCs w:val="24"/>
        </w:rPr>
        <w:fldChar w:fldCharType="end"/>
      </w:r>
      <w:r>
        <w:rPr>
          <w:rFonts w:cs="Times New Roman"/>
          <w:snapToGrid w:val="0"/>
          <w:szCs w:val="24"/>
        </w:rPr>
        <w:t>在</w:t>
      </w:r>
      <w:r>
        <w:rPr>
          <w:rFonts w:cs="Times New Roman"/>
          <w:snapToGrid w:val="0"/>
          <w:szCs w:val="24"/>
        </w:rPr>
        <w:t>喀什噶尔河、突来买提河、柯坪河</w:t>
      </w:r>
      <w:r>
        <w:rPr>
          <w:rFonts w:cs="Times New Roman"/>
          <w:snapToGrid w:val="0"/>
          <w:szCs w:val="24"/>
          <w:lang w:val="zh-CN"/>
        </w:rPr>
        <w:t>，</w:t>
      </w:r>
      <w:r>
        <w:rPr>
          <w:rFonts w:cs="Times New Roman"/>
          <w:snapToGrid w:val="0"/>
          <w:szCs w:val="24"/>
        </w:rPr>
        <w:t>五十团四支渠</w:t>
      </w:r>
      <w:r>
        <w:rPr>
          <w:rFonts w:cs="Times New Roman"/>
          <w:snapToGrid w:val="0"/>
          <w:szCs w:val="24"/>
          <w:lang w:val="zh-CN"/>
        </w:rPr>
        <w:t>、</w:t>
      </w:r>
      <w:r>
        <w:rPr>
          <w:rFonts w:cs="Times New Roman"/>
          <w:snapToGrid w:val="0"/>
          <w:szCs w:val="24"/>
        </w:rPr>
        <w:t>五十团四干渠、中干渠、六支干渠、阿恰干渠</w:t>
      </w:r>
      <w:r>
        <w:rPr>
          <w:rFonts w:cs="Times New Roman"/>
          <w:snapToGrid w:val="0"/>
          <w:szCs w:val="24"/>
          <w:lang w:val="zh-CN"/>
        </w:rPr>
        <w:t>路段</w:t>
      </w:r>
      <w:r>
        <w:rPr>
          <w:rFonts w:cs="Times New Roman"/>
          <w:snapToGrid w:val="0"/>
          <w:szCs w:val="24"/>
        </w:rPr>
        <w:t>跨域段的桥梁均应考虑风险防范措施，需要控制危险化学品运输车辆的速度，降低危险品事故的发生。</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3</w:t>
      </w:r>
      <w:r>
        <w:rPr>
          <w:rFonts w:cs="Times New Roman"/>
          <w:snapToGrid w:val="0"/>
          <w:szCs w:val="24"/>
          <w:lang w:val="zh-CN"/>
        </w:rPr>
        <w:t>）园地、林地火灾风险防范</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在穿越园地、林地路段两侧设置</w:t>
      </w:r>
      <w:r>
        <w:rPr>
          <w:rFonts w:cs="Times New Roman"/>
          <w:snapToGrid w:val="0"/>
          <w:szCs w:val="24"/>
          <w:lang w:val="zh-CN"/>
        </w:rPr>
        <w:t>“</w:t>
      </w:r>
      <w:r>
        <w:rPr>
          <w:rFonts w:cs="Times New Roman"/>
          <w:snapToGrid w:val="0"/>
          <w:szCs w:val="24"/>
          <w:lang w:val="zh-CN"/>
        </w:rPr>
        <w:t>森林防火</w:t>
      </w:r>
      <w:r>
        <w:rPr>
          <w:rFonts w:cs="Times New Roman"/>
          <w:snapToGrid w:val="0"/>
          <w:szCs w:val="24"/>
          <w:lang w:val="zh-CN"/>
        </w:rPr>
        <w:t>”“</w:t>
      </w:r>
      <w:r>
        <w:rPr>
          <w:rFonts w:cs="Times New Roman"/>
          <w:snapToGrid w:val="0"/>
          <w:szCs w:val="24"/>
          <w:lang w:val="zh-CN"/>
        </w:rPr>
        <w:t>禁止烟火</w:t>
      </w:r>
      <w:r>
        <w:rPr>
          <w:rFonts w:cs="Times New Roman"/>
          <w:snapToGrid w:val="0"/>
          <w:szCs w:val="24"/>
          <w:lang w:val="zh-CN"/>
        </w:rPr>
        <w:t>”</w:t>
      </w:r>
      <w:r>
        <w:rPr>
          <w:rFonts w:cs="Times New Roman"/>
          <w:snapToGrid w:val="0"/>
          <w:szCs w:val="24"/>
          <w:lang w:val="zh-CN"/>
        </w:rPr>
        <w:t>等警示牌，以提醒司机注意沿线林地防火安全。</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bookmarkStart w:id="331" w:name="_Toc172668173"/>
      <w:r>
        <w:rPr>
          <w:rFonts w:cs="Times New Roman" w:hint="default"/>
          <w:iCs/>
        </w:rPr>
        <w:t>7.7.7.3</w:t>
      </w:r>
      <w:r>
        <w:rPr>
          <w:rFonts w:cs="Times New Roman" w:hint="default"/>
          <w:iCs/>
        </w:rPr>
        <w:t>建立突发环境事件隐患排查制度要求</w:t>
      </w:r>
    </w:p>
    <w:p w:rsidR="00A46452" w:rsidRDefault="009A3928">
      <w:pPr>
        <w:wordWrap w:val="0"/>
        <w:topLinePunct/>
        <w:ind w:firstLine="480"/>
        <w:rPr>
          <w:rFonts w:cs="Times New Roman"/>
          <w:snapToGrid w:val="0"/>
        </w:rPr>
      </w:pPr>
      <w:r>
        <w:rPr>
          <w:rFonts w:cs="Times New Roman"/>
          <w:snapToGrid w:val="0"/>
        </w:rPr>
        <w:t>建立由主要负责人领导的环境风险隐患排查治理领导小组，全面负责本项目的环境风险隐患排查治理工作。实行定期或不定期的隐患排查，及时根据隐患产生的原因，制定隐患整改方案和防范措施，并建立隐患整改清单。隐患排查主要包括：突发环境事件应急预案编制、修订；应急演练开展情况；环境应急物资和装备配备情况；桥面径流收集系统的管网、事故池等；房建设施污水处理站的运行等。其中综合排查一年应不少于一次，日常排查每月不少于一次。</w:t>
      </w:r>
    </w:p>
    <w:bookmarkEnd w:id="331"/>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7.7.8</w:t>
      </w:r>
      <w:r>
        <w:rPr>
          <w:rFonts w:cs="Times New Roman" w:hint="default"/>
          <w:sz w:val="28"/>
          <w:szCs w:val="28"/>
        </w:rPr>
        <w:t>环境风险应急预案</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根据环境风险类型识别，拟建公路可能发生的环境风险是因交通事故而导致危化品发生</w:t>
      </w:r>
      <w:r>
        <w:rPr>
          <w:rFonts w:cs="Times New Roman"/>
          <w:snapToGrid w:val="0"/>
          <w:szCs w:val="24"/>
        </w:rPr>
        <w:t>泄漏、爆炸及火灾等，对沿线环境空气及土壤等造成污染。</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rPr>
        <w:t>公路营运单位应根据本项目的风险类型、危险物质和危险单元，制定拟建公路应急预案并报相关政府部门备案，本评价中仅提出原则性要求。</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⑴</w:t>
      </w:r>
      <w:r>
        <w:rPr>
          <w:rFonts w:cs="Times New Roman"/>
          <w:snapToGrid w:val="0"/>
          <w:szCs w:val="24"/>
          <w:lang w:val="zh-CN"/>
        </w:rPr>
        <w:t>应急救援组织机构及其职责</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工程沿线县市均已建立突发公共事件应急预案，涵盖了突然发生，造成或者可能造成重大人员伤亡、财产损失、生态环境破坏和严重社会危害，危及公共安全的各类紧急事件。同时形成了以领导机构、办事机构、工作机构、县、乡（镇）机构组成的应急组织体系。建立了应对突发公共事件的预测、预警、信息报告、应急处置、恢复重建及调查评估等运行机制。</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⑵</w:t>
      </w:r>
      <w:r>
        <w:rPr>
          <w:rFonts w:cs="Times New Roman"/>
          <w:snapToGrid w:val="0"/>
          <w:szCs w:val="24"/>
          <w:lang w:val="zh-CN"/>
        </w:rPr>
        <w:t>应急救援程序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主要是事故报告与报警、事故救援等。应急救援程序见图</w:t>
      </w:r>
      <w:r>
        <w:rPr>
          <w:rFonts w:cs="Times New Roman" w:hint="eastAsia"/>
          <w:snapToGrid w:val="0"/>
          <w:szCs w:val="24"/>
        </w:rPr>
        <w:t>7</w:t>
      </w:r>
      <w:r>
        <w:rPr>
          <w:rFonts w:cs="Times New Roman"/>
          <w:snapToGrid w:val="0"/>
          <w:szCs w:val="24"/>
          <w:lang w:val="zh-CN"/>
        </w:rPr>
        <w:t>.</w:t>
      </w:r>
      <w:r>
        <w:rPr>
          <w:rFonts w:cs="Times New Roman"/>
          <w:snapToGrid w:val="0"/>
          <w:szCs w:val="24"/>
        </w:rPr>
        <w:t>7</w:t>
      </w:r>
      <w:r>
        <w:rPr>
          <w:rFonts w:cs="Times New Roman"/>
          <w:snapToGrid w:val="0"/>
          <w:szCs w:val="24"/>
          <w:lang w:val="zh-CN"/>
        </w:rPr>
        <w:t>-1</w:t>
      </w:r>
      <w:r>
        <w:rPr>
          <w:rFonts w:cs="Times New Roman"/>
          <w:snapToGrid w:val="0"/>
          <w:szCs w:val="24"/>
          <w:lang w:val="zh-CN"/>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⑶</w:t>
      </w:r>
      <w:r>
        <w:rPr>
          <w:rFonts w:cs="Times New Roman"/>
          <w:snapToGrid w:val="0"/>
          <w:szCs w:val="24"/>
          <w:lang w:val="zh-CN"/>
        </w:rPr>
        <w:t>本项目的应急预案</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对本项目管理单位而言，应制定</w:t>
      </w:r>
      <w:r>
        <w:rPr>
          <w:rFonts w:cs="Times New Roman"/>
          <w:snapToGrid w:val="0"/>
          <w:szCs w:val="24"/>
        </w:rPr>
        <w:t>应急预案</w:t>
      </w:r>
      <w:r>
        <w:rPr>
          <w:rFonts w:cs="Times New Roman"/>
          <w:snapToGrid w:val="0"/>
          <w:szCs w:val="24"/>
          <w:lang w:val="zh-CN"/>
        </w:rPr>
        <w:t>，其主要内容包括：</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①</w:t>
      </w:r>
      <w:r>
        <w:rPr>
          <w:rFonts w:cs="Times New Roman"/>
          <w:snapToGrid w:val="0"/>
          <w:szCs w:val="24"/>
          <w:lang w:val="zh-CN"/>
        </w:rPr>
        <w:t>营运单位应编制详尽的应急计划，统一</w:t>
      </w:r>
      <w:r>
        <w:rPr>
          <w:rFonts w:cs="Times New Roman"/>
          <w:snapToGrid w:val="0"/>
          <w:szCs w:val="24"/>
          <w:lang w:val="zh-CN"/>
        </w:rPr>
        <w:t>应急行动，明确应急责任人和有关部门的职责，确保在最短的时间将事故控制，以减少对环境的破坏。</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②</w:t>
      </w:r>
      <w:r>
        <w:rPr>
          <w:rFonts w:cs="Times New Roman"/>
          <w:snapToGrid w:val="0"/>
          <w:szCs w:val="24"/>
          <w:lang w:val="zh-CN"/>
        </w:rPr>
        <w:t>建立事故风险应急报告程序：按照《国家突发环境事件应急预案》的规定建立突发环境事件的分级标准，确立响应程序。一旦发生运输危险品的事故，由事故当事人和群众拨打电话至应急中心或者监控中心通过监控设备得知情况后马上通知应急中心后，应急中心值班人员在了解情况后立即通知应急指挥人，由应急指挥人立即将事故情况按事故报告响应程序上报沿线市县环境应急委，报告内容应当包括时间、地点、起因、性质、涉及人员、应急措施及特别请求等，并通知事</w:t>
      </w:r>
      <w:r>
        <w:rPr>
          <w:rFonts w:cs="Times New Roman"/>
          <w:snapToGrid w:val="0"/>
          <w:szCs w:val="24"/>
          <w:lang w:val="zh-CN"/>
        </w:rPr>
        <w:t>故处理小组的相关人员迅速前往现场，采取进一步的应急措施，防止污染和危险的扩散。</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③</w:t>
      </w:r>
      <w:r>
        <w:rPr>
          <w:rFonts w:cs="Times New Roman"/>
          <w:snapToGrid w:val="0"/>
          <w:szCs w:val="24"/>
          <w:lang w:val="zh-CN"/>
        </w:rPr>
        <w:t>事故应急响应时间：分为</w:t>
      </w:r>
      <w:r>
        <w:rPr>
          <w:rFonts w:cs="Times New Roman"/>
          <w:snapToGrid w:val="0"/>
          <w:szCs w:val="24"/>
          <w:lang w:val="zh-CN"/>
        </w:rPr>
        <w:t>4</w:t>
      </w:r>
      <w:r>
        <w:rPr>
          <w:rFonts w:cs="Times New Roman"/>
          <w:snapToGrid w:val="0"/>
          <w:szCs w:val="24"/>
          <w:lang w:val="zh-CN"/>
        </w:rPr>
        <w:t>级。</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④</w:t>
      </w:r>
      <w:r>
        <w:rPr>
          <w:rFonts w:cs="Times New Roman"/>
          <w:snapToGrid w:val="0"/>
          <w:szCs w:val="24"/>
          <w:lang w:val="zh-CN"/>
        </w:rPr>
        <w:t>应急培训计划：对相关应急人员应进行事故应急培训，使其具有相应的环保知识和应急事故处理的能力；定期进行相应的演练工作，主要是事故一旦发生后的应急救援工作。</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⑤</w:t>
      </w:r>
      <w:r>
        <w:rPr>
          <w:rFonts w:cs="Times New Roman"/>
          <w:snapToGrid w:val="0"/>
          <w:szCs w:val="24"/>
          <w:lang w:val="zh-CN"/>
        </w:rPr>
        <w:t>配备事故急救设备和器材，例如应急电话、灭火器等。</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⑥</w:t>
      </w:r>
      <w:r>
        <w:rPr>
          <w:rFonts w:cs="Times New Roman"/>
          <w:snapToGrid w:val="0"/>
          <w:szCs w:val="24"/>
          <w:lang w:val="zh-CN"/>
        </w:rPr>
        <w:t>应急环境监测、抢险、救援及控制措施：由地方环境监测站对事故现场周围环境质量进行监测，对事故性质、参数与后果进行评估，为指挥部门提供决策依据。</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⑦</w:t>
      </w:r>
      <w:r>
        <w:rPr>
          <w:rFonts w:cs="Times New Roman"/>
          <w:snapToGrid w:val="0"/>
          <w:szCs w:val="24"/>
          <w:lang w:val="zh-CN"/>
        </w:rPr>
        <w:t>人员紧急撤离、疏散、应急剂量控制、撤离组织计划：在事故现场，由领导小组领导，其他各个协调管理机构对现场进行处理，本项目建设单位主要进行协调和沟通工作，并负责工作的汇报。</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⑧</w:t>
      </w:r>
      <w:r>
        <w:rPr>
          <w:rFonts w:cs="Times New Roman"/>
          <w:snapToGrid w:val="0"/>
          <w:szCs w:val="24"/>
          <w:lang w:val="zh-CN"/>
        </w:rPr>
        <w:t>事故应急救援关闭程序与恢复措施：现场处理完毕后，由地方环境监测站跟踪监测环境质量状况，并进行总结，汇报。</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⑨</w:t>
      </w:r>
      <w:r>
        <w:rPr>
          <w:rFonts w:cs="Times New Roman"/>
          <w:snapToGrid w:val="0"/>
          <w:szCs w:val="24"/>
          <w:lang w:val="zh-CN"/>
        </w:rPr>
        <w:t>公众教育和信息：对发生的危险品污染事故，通过媒体对公众进行公示，起到教育和警示作用。</w:t>
      </w:r>
    </w:p>
    <w:p w:rsidR="00A46452" w:rsidRDefault="009A3928">
      <w:pPr>
        <w:pStyle w:val="31"/>
        <w:keepNext w:val="0"/>
        <w:keepLines w:val="0"/>
        <w:wordWrap w:val="0"/>
        <w:topLinePunct/>
        <w:adjustRightInd w:val="0"/>
        <w:snapToGrid w:val="0"/>
        <w:spacing w:before="120" w:after="120"/>
        <w:rPr>
          <w:rFonts w:cs="Times New Roman" w:hint="default"/>
          <w:sz w:val="28"/>
        </w:rPr>
      </w:pPr>
      <w:bookmarkStart w:id="332" w:name="_Toc172668175"/>
      <w:r>
        <w:rPr>
          <w:rFonts w:cs="Times New Roman" w:hint="default"/>
          <w:sz w:val="28"/>
        </w:rPr>
        <w:t>7.7.9</w:t>
      </w:r>
      <w:r>
        <w:rPr>
          <w:rFonts w:cs="Times New Roman" w:hint="default"/>
          <w:sz w:val="28"/>
        </w:rPr>
        <w:t>环境风险评价结论</w:t>
      </w:r>
      <w:bookmarkEnd w:id="332"/>
    </w:p>
    <w:p w:rsidR="00A46452" w:rsidRDefault="009A3928">
      <w:pPr>
        <w:wordWrap w:val="0"/>
        <w:topLinePunct/>
        <w:ind w:firstLine="480"/>
        <w:rPr>
          <w:rFonts w:cs="Times New Roman"/>
          <w:snapToGrid w:val="0"/>
          <w:szCs w:val="24"/>
          <w:lang w:val="zh-CN"/>
        </w:rPr>
      </w:pPr>
      <w:r>
        <w:rPr>
          <w:rFonts w:cs="Times New Roman"/>
          <w:snapToGrid w:val="0"/>
          <w:szCs w:val="24"/>
          <w:lang w:val="zh-CN"/>
        </w:rPr>
        <w:t>本项目环境风险事故主要</w:t>
      </w:r>
      <w:r>
        <w:rPr>
          <w:rFonts w:cs="Times New Roman"/>
          <w:snapToGrid w:val="0"/>
          <w:szCs w:val="24"/>
        </w:rPr>
        <w:t>为</w:t>
      </w:r>
      <w:r>
        <w:rPr>
          <w:rFonts w:cs="Times New Roman"/>
          <w:snapToGrid w:val="0"/>
          <w:szCs w:val="24"/>
          <w:lang w:val="zh-CN"/>
        </w:rPr>
        <w:t>运输危险品车辆在水域路段发生事故导致危化品</w:t>
      </w:r>
      <w:r>
        <w:rPr>
          <w:rFonts w:cs="Times New Roman"/>
          <w:snapToGrid w:val="0"/>
          <w:szCs w:val="24"/>
        </w:rPr>
        <w:t>进</w:t>
      </w:r>
      <w:r>
        <w:rPr>
          <w:rFonts w:cs="Times New Roman"/>
          <w:snapToGrid w:val="0"/>
          <w:szCs w:val="24"/>
          <w:lang w:val="zh-CN"/>
        </w:rPr>
        <w:t>入水体或车辆直接影响地表水</w:t>
      </w:r>
      <w:r>
        <w:rPr>
          <w:rFonts w:cs="Times New Roman"/>
          <w:snapToGrid w:val="0"/>
          <w:szCs w:val="24"/>
        </w:rPr>
        <w:t>。</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通过分析认为，项目</w:t>
      </w:r>
      <w:r>
        <w:rPr>
          <w:rFonts w:cs="Times New Roman"/>
          <w:snapToGrid w:val="0"/>
          <w:szCs w:val="24"/>
          <w:lang w:val="zh-CN"/>
        </w:rPr>
        <w:t>建成后，在沿线尤其是敏感路段危险化学品运输车辆发生一旦发生泄漏、火灾、爆炸事故，地表水、土壤可能受到污染，存在一定的环境风险，环境安全保障不容忽视。因此，在项目建设运营后应结合当地应急管理体系建立本项目应急体系建设和风险防范，从而防范和降低环境风险。</w:t>
      </w:r>
    </w:p>
    <w:p w:rsidR="00A46452" w:rsidRDefault="009A3928">
      <w:pPr>
        <w:wordWrap w:val="0"/>
        <w:topLinePunct/>
        <w:adjustRightInd w:val="0"/>
        <w:snapToGrid w:val="0"/>
        <w:ind w:firstLine="480"/>
        <w:rPr>
          <w:rFonts w:cs="Times New Roman"/>
          <w:sz w:val="21"/>
          <w:szCs w:val="24"/>
        </w:rPr>
      </w:pPr>
      <w:r>
        <w:rPr>
          <w:rFonts w:cs="Times New Roman"/>
          <w:snapToGrid w:val="0"/>
          <w:szCs w:val="24"/>
          <w:lang w:val="zh-CN"/>
        </w:rPr>
        <w:t>一旦发生事故，应立即启动本项目应急预案，抗御风险事故和环境影响，做到环境风险可控。</w:t>
      </w:r>
    </w:p>
    <w:p w:rsidR="00A46452" w:rsidRDefault="00A46452">
      <w:pPr>
        <w:wordWrap w:val="0"/>
        <w:topLinePunct/>
        <w:adjustRightInd w:val="0"/>
        <w:snapToGrid w:val="0"/>
        <w:ind w:firstLine="480"/>
        <w:rPr>
          <w:rFonts w:cs="Times New Roman"/>
          <w:snapToGrid w:val="0"/>
          <w:szCs w:val="24"/>
          <w:lang w:val="zh-CN"/>
        </w:rPr>
        <w:sectPr w:rsidR="00A46452">
          <w:headerReference w:type="even" r:id="rId80"/>
          <w:footerReference w:type="even" r:id="rId81"/>
          <w:footerReference w:type="default" r:id="rId82"/>
          <w:pgSz w:w="11905" w:h="16838"/>
          <w:pgMar w:top="1383" w:right="1803" w:bottom="1383" w:left="1803" w:header="850" w:footer="680" w:gutter="0"/>
          <w:cols w:space="0"/>
          <w:docGrid w:type="lines" w:linePitch="331"/>
        </w:sectPr>
      </w:pPr>
    </w:p>
    <w:p w:rsidR="00A46452" w:rsidRDefault="009A3928">
      <w:pPr>
        <w:pStyle w:val="1"/>
        <w:wordWrap w:val="0"/>
        <w:topLinePunct/>
        <w:adjustRightInd w:val="0"/>
        <w:snapToGrid w:val="0"/>
        <w:jc w:val="left"/>
        <w:rPr>
          <w:rFonts w:eastAsia="黑体" w:cs="Times New Roman" w:hint="default"/>
          <w:sz w:val="32"/>
          <w:szCs w:val="32"/>
        </w:rPr>
      </w:pPr>
      <w:bookmarkStart w:id="333" w:name="_Toc4507864"/>
      <w:bookmarkStart w:id="334" w:name="_Toc154077011"/>
      <w:bookmarkStart w:id="335" w:name="_Toc98413569"/>
      <w:bookmarkStart w:id="336" w:name="_Toc14654"/>
      <w:bookmarkStart w:id="337" w:name="_Toc381606062"/>
      <w:bookmarkStart w:id="338" w:name="_Toc316511155"/>
      <w:bookmarkStart w:id="339" w:name="_Toc316561721"/>
      <w:bookmarkStart w:id="340" w:name="_Toc28748"/>
      <w:bookmarkStart w:id="341" w:name="_Toc187080719"/>
      <w:r>
        <w:rPr>
          <w:rFonts w:eastAsia="黑体" w:cs="Times New Roman" w:hint="default"/>
          <w:sz w:val="32"/>
          <w:szCs w:val="32"/>
        </w:rPr>
        <w:t>8</w:t>
      </w:r>
      <w:r>
        <w:rPr>
          <w:rFonts w:eastAsia="黑体" w:cs="Times New Roman" w:hint="default"/>
          <w:sz w:val="32"/>
          <w:szCs w:val="32"/>
        </w:rPr>
        <w:t>环境保护措施及其可行性论证</w:t>
      </w:r>
      <w:bookmarkEnd w:id="333"/>
      <w:bookmarkEnd w:id="334"/>
      <w:bookmarkEnd w:id="335"/>
      <w:bookmarkEnd w:id="336"/>
      <w:bookmarkEnd w:id="337"/>
      <w:bookmarkEnd w:id="338"/>
      <w:bookmarkEnd w:id="339"/>
      <w:bookmarkEnd w:id="340"/>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42" w:name="_Toc8477"/>
      <w:bookmarkStart w:id="343" w:name="_Toc98413571"/>
      <w:bookmarkStart w:id="344" w:name="_Toc154077013"/>
      <w:bookmarkStart w:id="345" w:name="_Toc31772"/>
      <w:bookmarkStart w:id="346" w:name="_Toc316511167"/>
      <w:bookmarkStart w:id="347" w:name="_Toc316561733"/>
      <w:r>
        <w:rPr>
          <w:rFonts w:cs="Times New Roman" w:hint="default"/>
          <w:sz w:val="30"/>
          <w:szCs w:val="30"/>
        </w:rPr>
        <w:t>8.1</w:t>
      </w:r>
      <w:r>
        <w:rPr>
          <w:rFonts w:cs="Times New Roman" w:hint="default"/>
          <w:sz w:val="30"/>
          <w:szCs w:val="30"/>
        </w:rPr>
        <w:t>生态环境保护措施</w:t>
      </w:r>
      <w:bookmarkEnd w:id="342"/>
      <w:bookmarkEnd w:id="343"/>
      <w:bookmarkEnd w:id="344"/>
      <w:bookmarkEnd w:id="345"/>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48" w:name="_Toc34989613"/>
      <w:bookmarkStart w:id="349" w:name="_Toc97464678"/>
      <w:bookmarkStart w:id="350" w:name="_Toc98413572"/>
      <w:bookmarkStart w:id="351" w:name="_Toc98414254"/>
      <w:bookmarkStart w:id="352" w:name="_Toc57826776"/>
      <w:r>
        <w:rPr>
          <w:rFonts w:cs="Times New Roman" w:hint="default"/>
          <w:sz w:val="28"/>
          <w:szCs w:val="28"/>
        </w:rPr>
        <w:t>8.1.1</w:t>
      </w:r>
      <w:r>
        <w:rPr>
          <w:rFonts w:cs="Times New Roman" w:hint="default"/>
          <w:sz w:val="28"/>
          <w:szCs w:val="28"/>
        </w:rPr>
        <w:t>施工期</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8.1.1.1</w:t>
      </w:r>
      <w:r>
        <w:rPr>
          <w:rFonts w:cs="Times New Roman" w:hint="default"/>
          <w:iCs/>
        </w:rPr>
        <w:t>预防保护性措施</w:t>
      </w:r>
    </w:p>
    <w:p w:rsidR="00A46452" w:rsidRDefault="009A3928">
      <w:pPr>
        <w:adjustRightInd w:val="0"/>
        <w:ind w:left="900" w:firstLineChars="0" w:hanging="420"/>
        <w:textAlignment w:val="baseline"/>
        <w:rPr>
          <w:rFonts w:cs="Times New Roman"/>
          <w:snapToGrid w:val="0"/>
        </w:rPr>
      </w:pPr>
      <w:r>
        <w:rPr>
          <w:rFonts w:cs="Times New Roman"/>
          <w:snapToGrid w:val="0"/>
        </w:rPr>
        <w:t>1.</w:t>
      </w:r>
      <w:r>
        <w:rPr>
          <w:rFonts w:cs="Times New Roman"/>
          <w:szCs w:val="24"/>
        </w:rPr>
        <w:t>加强生态环保宣传教育</w:t>
      </w:r>
    </w:p>
    <w:p w:rsidR="00A46452" w:rsidRDefault="009A3928">
      <w:pPr>
        <w:autoSpaceDE w:val="0"/>
        <w:autoSpaceDN w:val="0"/>
        <w:adjustRightInd w:val="0"/>
        <w:ind w:firstLine="480"/>
        <w:jc w:val="left"/>
        <w:rPr>
          <w:rFonts w:cs="Times New Roman"/>
          <w:snapToGrid w:val="0"/>
        </w:rPr>
      </w:pPr>
      <w:r>
        <w:rPr>
          <w:rFonts w:cs="Times New Roman"/>
          <w:snapToGrid w:val="0"/>
        </w:rPr>
        <w:t>（</w:t>
      </w:r>
      <w:r>
        <w:rPr>
          <w:rFonts w:cs="Times New Roman"/>
          <w:snapToGrid w:val="0"/>
        </w:rPr>
        <w:t>1</w:t>
      </w:r>
      <w:r>
        <w:rPr>
          <w:rFonts w:cs="Times New Roman"/>
          <w:snapToGrid w:val="0"/>
        </w:rPr>
        <w:t>）施工进场前，应加强对施工人员的生态环境保护的宣传教育工作，在工地及周边地区，设立与环境保护有关的科普性宣传牌，包括生态保护的科普知识、相关法规、拟采用的生态保护措施及意义等。</w:t>
      </w:r>
    </w:p>
    <w:p w:rsidR="00A46452" w:rsidRDefault="009A3928">
      <w:pPr>
        <w:ind w:firstLine="480"/>
        <w:rPr>
          <w:rFonts w:cs="Times New Roman"/>
          <w:snapToGrid w:val="0"/>
        </w:rPr>
      </w:pPr>
      <w:r>
        <w:rPr>
          <w:rFonts w:cs="Times New Roman"/>
          <w:snapToGrid w:val="0"/>
        </w:rPr>
        <w:t>（</w:t>
      </w:r>
      <w:r>
        <w:rPr>
          <w:rFonts w:cs="Times New Roman"/>
          <w:snapToGrid w:val="0"/>
        </w:rPr>
        <w:t>2</w:t>
      </w:r>
      <w:r>
        <w:rPr>
          <w:rFonts w:cs="Times New Roman"/>
          <w:snapToGrid w:val="0"/>
        </w:rPr>
        <w:t>）倡导绿色施工，对施工期的环境保护作出具体规定，并将拟建公路的绿色施工、环境保护、水土保持有关措施、条款纳入招标文件，保证在施工中贯彻落实。</w:t>
      </w:r>
    </w:p>
    <w:p w:rsidR="00A46452" w:rsidRDefault="009A3928">
      <w:pPr>
        <w:adjustRightInd w:val="0"/>
        <w:ind w:left="900" w:firstLineChars="0" w:hanging="420"/>
        <w:textAlignment w:val="baseline"/>
        <w:rPr>
          <w:rFonts w:cs="Times New Roman"/>
          <w:snapToGrid w:val="0"/>
        </w:rPr>
      </w:pPr>
      <w:r>
        <w:rPr>
          <w:rFonts w:cs="Times New Roman"/>
          <w:snapToGrid w:val="0"/>
        </w:rPr>
        <w:t>2.</w:t>
      </w:r>
      <w:r>
        <w:rPr>
          <w:rFonts w:cs="Times New Roman"/>
          <w:snapToGrid w:val="0"/>
        </w:rPr>
        <w:t>植物资源及公益林保护和恢复措施</w:t>
      </w:r>
    </w:p>
    <w:p w:rsidR="00A46452" w:rsidRDefault="009A3928">
      <w:pPr>
        <w:adjustRightInd w:val="0"/>
        <w:ind w:firstLine="480"/>
        <w:textAlignment w:val="baseline"/>
        <w:rPr>
          <w:rFonts w:cs="Times New Roman"/>
          <w:snapToGrid w:val="0"/>
        </w:rPr>
      </w:pPr>
      <w:r>
        <w:rPr>
          <w:rFonts w:cs="Times New Roman"/>
          <w:snapToGrid w:val="0"/>
        </w:rPr>
        <w:t>（</w:t>
      </w:r>
      <w:r>
        <w:rPr>
          <w:rFonts w:cs="Times New Roman"/>
          <w:snapToGrid w:val="0"/>
        </w:rPr>
        <w:t>1</w:t>
      </w:r>
      <w:r>
        <w:rPr>
          <w:rFonts w:cs="Times New Roman"/>
          <w:snapToGrid w:val="0"/>
        </w:rPr>
        <w:t>）严格按照设计文件确定征占地范围，进行地表植被的清理工作；严格执行划界施工，禁止对征地范围之外的植被造成破坏；严格控制路基开挖，避免超挖破坏周围植被。</w:t>
      </w:r>
    </w:p>
    <w:p w:rsidR="00A46452" w:rsidRDefault="009A3928">
      <w:pPr>
        <w:tabs>
          <w:tab w:val="left" w:pos="993"/>
        </w:tabs>
        <w:adjustRightInd w:val="0"/>
        <w:ind w:firstLine="480"/>
        <w:textAlignment w:val="baseline"/>
        <w:rPr>
          <w:rFonts w:cs="Times New Roman"/>
          <w:snapToGrid w:val="0"/>
        </w:rPr>
      </w:pPr>
      <w:r>
        <w:rPr>
          <w:rFonts w:cs="Times New Roman"/>
          <w:snapToGrid w:val="0"/>
        </w:rPr>
        <w:t>（</w:t>
      </w:r>
      <w:r>
        <w:rPr>
          <w:rFonts w:cs="Times New Roman"/>
          <w:snapToGrid w:val="0"/>
        </w:rPr>
        <w:t>2</w:t>
      </w:r>
      <w:r>
        <w:rPr>
          <w:rFonts w:cs="Times New Roman"/>
          <w:snapToGrid w:val="0"/>
        </w:rPr>
        <w:t>）路基施工和弃渣施工前，应将占用农用地的表土层（其中耕地约</w:t>
      </w:r>
      <w:r>
        <w:rPr>
          <w:rFonts w:cs="Times New Roman"/>
          <w:snapToGrid w:val="0"/>
        </w:rPr>
        <w:t>30cm</w:t>
      </w:r>
      <w:r>
        <w:rPr>
          <w:rFonts w:cs="Times New Roman"/>
          <w:snapToGrid w:val="0"/>
        </w:rPr>
        <w:t>厚，林地、草地约</w:t>
      </w:r>
      <w:r>
        <w:rPr>
          <w:rFonts w:cs="Times New Roman"/>
          <w:snapToGrid w:val="0"/>
        </w:rPr>
        <w:t>10cm</w:t>
      </w:r>
      <w:r>
        <w:rPr>
          <w:rFonts w:cs="Times New Roman"/>
          <w:snapToGrid w:val="0"/>
        </w:rPr>
        <w:t>厚，即土壤耕作层）剥离，并在用地范围内适当位置进行集中堆放，并采取临时拦挡和覆盖</w:t>
      </w:r>
      <w:r>
        <w:rPr>
          <w:rFonts w:cs="Times New Roman"/>
          <w:snapToGrid w:val="0"/>
        </w:rPr>
        <w:t>措施，防止雨淋造成养分流失，以便用于后期的绿化和土地复垦。</w:t>
      </w:r>
    </w:p>
    <w:p w:rsidR="00A46452" w:rsidRDefault="009A3928">
      <w:pPr>
        <w:tabs>
          <w:tab w:val="left" w:pos="993"/>
        </w:tabs>
        <w:adjustRightInd w:val="0"/>
        <w:ind w:firstLine="480"/>
        <w:textAlignment w:val="baseline"/>
        <w:rPr>
          <w:rFonts w:cs="Times New Roman"/>
          <w:snapToGrid w:val="0"/>
        </w:rPr>
      </w:pPr>
      <w:r>
        <w:rPr>
          <w:rFonts w:cs="Times New Roman"/>
          <w:snapToGrid w:val="0"/>
        </w:rPr>
        <w:t>（</w:t>
      </w:r>
      <w:r>
        <w:rPr>
          <w:rFonts w:cs="Times New Roman"/>
          <w:snapToGrid w:val="0"/>
        </w:rPr>
        <w:t>3</w:t>
      </w:r>
      <w:r>
        <w:rPr>
          <w:rFonts w:cs="Times New Roman"/>
          <w:snapToGrid w:val="0"/>
        </w:rPr>
        <w:t>）因公路施工破坏植被而裸露的土地应在施工结束后立即整治利用，恢复植被或复耕。</w:t>
      </w:r>
    </w:p>
    <w:p w:rsidR="00A46452" w:rsidRDefault="009A3928">
      <w:pPr>
        <w:tabs>
          <w:tab w:val="left" w:pos="993"/>
        </w:tabs>
        <w:adjustRightInd w:val="0"/>
        <w:ind w:firstLine="480"/>
        <w:textAlignment w:val="baseline"/>
        <w:rPr>
          <w:rFonts w:cs="Times New Roman"/>
          <w:snapToGrid w:val="0"/>
        </w:rPr>
      </w:pPr>
      <w:r>
        <w:rPr>
          <w:rFonts w:cs="Times New Roman"/>
          <w:snapToGrid w:val="0"/>
        </w:rPr>
        <w:t>（</w:t>
      </w:r>
      <w:r>
        <w:rPr>
          <w:rFonts w:cs="Times New Roman"/>
          <w:snapToGrid w:val="0"/>
        </w:rPr>
        <w:t>4</w:t>
      </w:r>
      <w:r>
        <w:rPr>
          <w:rFonts w:cs="Times New Roman"/>
          <w:snapToGrid w:val="0"/>
        </w:rPr>
        <w:t>）对于能够避让的重点保护植物，比如肉苁蓉、胀果甘草、黑果枸杞、灰胡杨以及古树名木，应优先采取就地保护措施：周边设置警示牌并登记备案，显示该植株的特殊地位，警示在植株周边的施工活动务必小心谨慎，避免对植株枝叶、根系造成直接伤害；在植株周围设置防护围栏，禁止施工活动进入围栏保护区域，以保证植株周围的地表土壤不被开挖，植株根系不会受到施工破坏。</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8.1.1.2</w:t>
      </w:r>
      <w:r>
        <w:rPr>
          <w:rFonts w:cs="Times New Roman" w:hint="default"/>
          <w:iCs/>
        </w:rPr>
        <w:t>减缓补偿措</w:t>
      </w:r>
      <w:r>
        <w:rPr>
          <w:rFonts w:cs="Times New Roman" w:hint="default"/>
          <w:iCs/>
        </w:rPr>
        <w:t>施</w:t>
      </w:r>
      <w:bookmarkEnd w:id="348"/>
      <w:bookmarkEnd w:id="349"/>
      <w:bookmarkEnd w:id="350"/>
      <w:bookmarkEnd w:id="351"/>
      <w:bookmarkEnd w:id="352"/>
    </w:p>
    <w:p w:rsidR="00A46452" w:rsidRDefault="009A3928">
      <w:pPr>
        <w:pStyle w:val="52"/>
        <w:keepNext w:val="0"/>
        <w:widowControl w:val="0"/>
        <w:wordWrap w:val="0"/>
        <w:topLinePunct/>
        <w:ind w:firstLineChars="0"/>
        <w:rPr>
          <w:rFonts w:cs="Times New Roman" w:hint="default"/>
        </w:rPr>
      </w:pPr>
      <w:r>
        <w:rPr>
          <w:rFonts w:cs="Times New Roman" w:hint="default"/>
        </w:rPr>
        <w:t>8.1.1.2.1</w:t>
      </w:r>
      <w:r>
        <w:rPr>
          <w:rFonts w:cs="Times New Roman" w:hint="default"/>
        </w:rPr>
        <w:t>陆生植物减缓补偿措施</w:t>
      </w:r>
    </w:p>
    <w:p w:rsidR="00A46452" w:rsidRDefault="009A3928">
      <w:pPr>
        <w:tabs>
          <w:tab w:val="left" w:pos="2304"/>
        </w:tabs>
        <w:adjustRightInd w:val="0"/>
        <w:snapToGrid w:val="0"/>
        <w:ind w:firstLine="480"/>
        <w:rPr>
          <w:rFonts w:cs="Times New Roman"/>
        </w:rPr>
      </w:pPr>
      <w:r>
        <w:rPr>
          <w:rFonts w:cs="Times New Roman"/>
        </w:rPr>
        <w:t>（</w:t>
      </w:r>
      <w:r>
        <w:rPr>
          <w:rFonts w:cs="Times New Roman"/>
        </w:rPr>
        <w:t>1</w:t>
      </w:r>
      <w:r>
        <w:rPr>
          <w:rFonts w:cs="Times New Roman"/>
        </w:rPr>
        <w:t>）</w:t>
      </w:r>
      <w:r>
        <w:rPr>
          <w:rFonts w:cs="Times New Roman"/>
        </w:rPr>
        <w:t>农田保护措施</w:t>
      </w:r>
    </w:p>
    <w:p w:rsidR="00A46452" w:rsidRDefault="009A3928">
      <w:pPr>
        <w:tabs>
          <w:tab w:val="left" w:pos="2304"/>
        </w:tabs>
        <w:adjustRightInd w:val="0"/>
        <w:snapToGrid w:val="0"/>
        <w:ind w:firstLine="480"/>
        <w:rPr>
          <w:rFonts w:cs="Times New Roman"/>
        </w:rPr>
      </w:pPr>
      <w:r>
        <w:rPr>
          <w:rFonts w:cs="Times New Roman"/>
        </w:rPr>
        <w:t>本项目永久占用</w:t>
      </w:r>
      <w:r>
        <w:rPr>
          <w:rFonts w:cs="Times New Roman"/>
          <w:snapToGrid w:val="0"/>
          <w:szCs w:val="24"/>
          <w:lang w:val="zh-CN"/>
        </w:rPr>
        <w:t>耕地总面积</w:t>
      </w:r>
      <w:r>
        <w:rPr>
          <w:rFonts w:cs="Times New Roman"/>
          <w:snapToGrid w:val="0"/>
          <w:szCs w:val="24"/>
        </w:rPr>
        <w:t>34.27</w:t>
      </w:r>
      <w:r>
        <w:rPr>
          <w:rFonts w:cs="Times New Roman"/>
          <w:snapToGrid w:val="0"/>
          <w:szCs w:val="24"/>
          <w:lang w:val="zh-CN"/>
        </w:rPr>
        <w:t>hm²</w:t>
      </w:r>
      <w:r>
        <w:rPr>
          <w:rFonts w:cs="Times New Roman"/>
          <w:snapToGrid w:val="0"/>
          <w:szCs w:val="24"/>
          <w:lang w:val="zh-CN"/>
        </w:rPr>
        <w:t>，在</w:t>
      </w:r>
      <w:r>
        <w:rPr>
          <w:rFonts w:cs="Times New Roman"/>
          <w:szCs w:val="24"/>
        </w:rPr>
        <w:t>满足公路工程技术标准的条件下，少占耕地，尽量绕避生态敏感区。</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进一步减少占地、保护耕地</w:t>
      </w:r>
    </w:p>
    <w:p w:rsidR="00A46452" w:rsidRDefault="009A3928">
      <w:pPr>
        <w:wordWrap w:val="0"/>
        <w:topLinePunct/>
        <w:ind w:firstLine="480"/>
        <w:rPr>
          <w:rFonts w:cs="Times New Roman"/>
          <w:snapToGrid w:val="0"/>
          <w:lang w:val="zh-CN"/>
        </w:rPr>
      </w:pPr>
      <w:r>
        <w:rPr>
          <w:rFonts w:cs="Times New Roman"/>
          <w:snapToGrid w:val="0"/>
          <w:lang w:val="zh-CN"/>
        </w:rPr>
        <w:t>根据《关于严格耕地用途管制有关问题的通知》（自然资发〔</w:t>
      </w:r>
      <w:r>
        <w:rPr>
          <w:rFonts w:cs="Times New Roman"/>
          <w:snapToGrid w:val="0"/>
          <w:lang w:val="zh-CN"/>
        </w:rPr>
        <w:t>202</w:t>
      </w:r>
      <w:r>
        <w:rPr>
          <w:rFonts w:cs="Times New Roman"/>
          <w:snapToGrid w:val="0"/>
        </w:rPr>
        <w:t>1</w:t>
      </w:r>
      <w:r>
        <w:rPr>
          <w:rFonts w:cs="Times New Roman"/>
          <w:snapToGrid w:val="0"/>
          <w:lang w:val="zh-CN"/>
        </w:rPr>
        <w:t>〕</w:t>
      </w:r>
      <w:r>
        <w:rPr>
          <w:rFonts w:cs="Times New Roman"/>
          <w:snapToGrid w:val="0"/>
          <w:lang w:val="zh-CN"/>
        </w:rPr>
        <w:t>166</w:t>
      </w:r>
      <w:r>
        <w:rPr>
          <w:rFonts w:cs="Times New Roman"/>
          <w:snapToGrid w:val="0"/>
          <w:lang w:val="zh-CN"/>
        </w:rPr>
        <w:t>号）、《关于积极做好用地用海要素保障的通知》（自然资发〔</w:t>
      </w:r>
      <w:r>
        <w:rPr>
          <w:rFonts w:cs="Times New Roman"/>
          <w:snapToGrid w:val="0"/>
          <w:lang w:val="zh-CN"/>
        </w:rPr>
        <w:t>2022</w:t>
      </w:r>
      <w:r>
        <w:rPr>
          <w:rFonts w:cs="Times New Roman"/>
          <w:snapToGrid w:val="0"/>
          <w:lang w:val="zh-CN"/>
        </w:rPr>
        <w:t>〕</w:t>
      </w:r>
      <w:r>
        <w:rPr>
          <w:rFonts w:cs="Times New Roman"/>
          <w:snapToGrid w:val="0"/>
          <w:lang w:val="zh-CN"/>
        </w:rPr>
        <w:t>129</w:t>
      </w:r>
      <w:r>
        <w:rPr>
          <w:rFonts w:cs="Times New Roman"/>
          <w:snapToGrid w:val="0"/>
          <w:lang w:val="zh-CN"/>
        </w:rPr>
        <w:t>号）、《关于规范临时用地管理的通知》（自然资规〔</w:t>
      </w:r>
      <w:r>
        <w:rPr>
          <w:rFonts w:cs="Times New Roman"/>
          <w:snapToGrid w:val="0"/>
          <w:lang w:val="zh-CN"/>
        </w:rPr>
        <w:t>2021</w:t>
      </w:r>
      <w:r>
        <w:rPr>
          <w:rFonts w:cs="Times New Roman"/>
          <w:snapToGrid w:val="0"/>
          <w:lang w:val="zh-CN"/>
        </w:rPr>
        <w:t>〕</w:t>
      </w:r>
      <w:r>
        <w:rPr>
          <w:rFonts w:cs="Times New Roman"/>
          <w:snapToGrid w:val="0"/>
          <w:lang w:val="zh-CN"/>
        </w:rPr>
        <w:t>2</w:t>
      </w:r>
      <w:r>
        <w:rPr>
          <w:rFonts w:cs="Times New Roman"/>
          <w:snapToGrid w:val="0"/>
          <w:lang w:val="zh-CN"/>
        </w:rPr>
        <w:t>号）的相关要求，工程设计中确保满足工程要求与减少建设用地的合理统一，尽最大可能减少对耕地的占用，设计阶段严格按照《公路工程项目建设用地指标》的规定，对路基、桥涵等辅助设施等用地面积进行优化设计，在满足工程要求的基础上建议采用用地指标的低值设计，尽量减少对土地资源的占用。</w:t>
      </w:r>
    </w:p>
    <w:p w:rsidR="00A46452" w:rsidRDefault="009A3928">
      <w:pPr>
        <w:wordWrap w:val="0"/>
        <w:topLinePunct/>
        <w:ind w:firstLine="480"/>
        <w:rPr>
          <w:rFonts w:cs="Times New Roman"/>
          <w:snapToGrid w:val="0"/>
          <w:lang w:val="zh-CN"/>
        </w:rPr>
      </w:pPr>
      <w:r>
        <w:rPr>
          <w:rFonts w:cs="Times New Roman"/>
          <w:snapToGrid w:val="0"/>
          <w:lang w:val="zh-CN"/>
        </w:rPr>
        <w:t>在工程量增加不大的情况下，应优先选择能够最大限度节约土地、保护耕地的方案，要充分利用废弃地、劣质地。</w:t>
      </w:r>
      <w:r>
        <w:rPr>
          <w:rFonts w:cs="Times New Roman"/>
          <w:snapToGrid w:val="0"/>
          <w:lang w:val="zh-CN"/>
        </w:rPr>
        <w:t>本工程在工可阶段的路线方案选择时，满足公路工程技术标准的条件下，优先选择了占用耕地少的路线方案。但由于要满足公路技术标准的要求，且沿线耕地较密集，所以仍占用了一定的耕地，因而在下一阶段设计中，仍应高度重视工程占地问题，优化路线方案，合理布设附属设施，从而尽可能地节约耕地。</w:t>
      </w:r>
    </w:p>
    <w:p w:rsidR="00A46452" w:rsidRDefault="009A3928">
      <w:pPr>
        <w:wordWrap w:val="0"/>
        <w:topLinePunct/>
        <w:ind w:firstLine="480"/>
        <w:rPr>
          <w:rFonts w:cs="Times New Roman"/>
          <w:snapToGrid w:val="0"/>
          <w:lang w:val="zh-CN"/>
        </w:rPr>
      </w:pPr>
      <w:r>
        <w:rPr>
          <w:rFonts w:cs="Times New Roman"/>
          <w:snapToGrid w:val="0"/>
          <w:lang w:val="zh-CN"/>
        </w:rPr>
        <w:t>线路布线在农田路段路基采用收缩边坡，减少路基占地，临时渣土、筑路材料集中堆放在项目红线范围内，远离农田堆放。</w:t>
      </w:r>
    </w:p>
    <w:p w:rsidR="00A46452" w:rsidRDefault="009A3928">
      <w:pPr>
        <w:wordWrap w:val="0"/>
        <w:topLinePunct/>
        <w:ind w:firstLine="480"/>
        <w:rPr>
          <w:rFonts w:cs="Times New Roman"/>
          <w:snapToGrid w:val="0"/>
          <w:lang w:val="zh-CN"/>
        </w:rPr>
      </w:pPr>
      <w:r>
        <w:rPr>
          <w:rFonts w:cs="Times New Roman"/>
          <w:snapToGrid w:val="0"/>
          <w:lang w:val="zh-CN"/>
        </w:rPr>
        <w:t>合理设置弃渣场，不占用农田；施工场地、施工营地等临时占地尽量选择永久占地范围内，以减少这部分临时占地量，有效保护沿线的耕地。</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对农田的</w:t>
      </w:r>
      <w:r>
        <w:rPr>
          <w:rFonts w:cs="Times New Roman"/>
          <w:snapToGrid w:val="0"/>
        </w:rPr>
        <w:t>恢复</w:t>
      </w:r>
      <w:r>
        <w:rPr>
          <w:rFonts w:cs="Times New Roman"/>
          <w:snapToGrid w:val="0"/>
          <w:lang w:val="zh-CN"/>
        </w:rPr>
        <w:t>和补偿</w:t>
      </w:r>
    </w:p>
    <w:p w:rsidR="00A46452" w:rsidRDefault="009A3928">
      <w:pPr>
        <w:wordWrap w:val="0"/>
        <w:topLinePunct/>
        <w:ind w:firstLine="480"/>
        <w:rPr>
          <w:rFonts w:cs="Times New Roman"/>
          <w:snapToGrid w:val="0"/>
          <w:lang w:val="zh-CN"/>
        </w:rPr>
      </w:pPr>
      <w:r>
        <w:rPr>
          <w:rFonts w:cs="Times New Roman"/>
          <w:snapToGrid w:val="0"/>
          <w:lang w:val="zh-CN"/>
        </w:rPr>
        <w:t>《关于严格耕地用途管制有关问题的通知》（自然资发〔</w:t>
      </w:r>
      <w:r>
        <w:rPr>
          <w:rFonts w:cs="Times New Roman"/>
          <w:snapToGrid w:val="0"/>
          <w:lang w:val="zh-CN"/>
        </w:rPr>
        <w:t>202</w:t>
      </w:r>
      <w:r>
        <w:rPr>
          <w:rFonts w:cs="Times New Roman"/>
          <w:snapToGrid w:val="0"/>
        </w:rPr>
        <w:t>1</w:t>
      </w:r>
      <w:r>
        <w:rPr>
          <w:rFonts w:cs="Times New Roman"/>
          <w:snapToGrid w:val="0"/>
          <w:lang w:val="zh-CN"/>
        </w:rPr>
        <w:t>〕</w:t>
      </w:r>
      <w:r>
        <w:rPr>
          <w:rFonts w:cs="Times New Roman"/>
          <w:snapToGrid w:val="0"/>
          <w:lang w:val="zh-CN"/>
        </w:rPr>
        <w:t>166</w:t>
      </w:r>
      <w:r>
        <w:rPr>
          <w:rFonts w:cs="Times New Roman"/>
          <w:snapToGrid w:val="0"/>
          <w:lang w:val="zh-CN"/>
        </w:rPr>
        <w:t>号）和《新疆维吾尔自治区严格执行占用耕地补偿制度管理办法》，必须落实占用耕地补偿制度，确保耕地总量动态平衡，占用耕地一律实行先预交耕地开垦费。按照</w:t>
      </w:r>
      <w:r>
        <w:rPr>
          <w:rFonts w:cs="Times New Roman"/>
          <w:snapToGrid w:val="0"/>
          <w:lang w:val="zh-CN"/>
        </w:rPr>
        <w:t>“</w:t>
      </w:r>
      <w:r>
        <w:rPr>
          <w:rFonts w:cs="Times New Roman"/>
          <w:snapToGrid w:val="0"/>
          <w:lang w:val="zh-CN"/>
        </w:rPr>
        <w:t>占多少，垦多少</w:t>
      </w:r>
      <w:r>
        <w:rPr>
          <w:rFonts w:cs="Times New Roman"/>
          <w:snapToGrid w:val="0"/>
          <w:lang w:val="zh-CN"/>
        </w:rPr>
        <w:t>”</w:t>
      </w:r>
      <w:r>
        <w:rPr>
          <w:rFonts w:cs="Times New Roman"/>
          <w:snapToGrid w:val="0"/>
          <w:lang w:val="zh-CN"/>
        </w:rPr>
        <w:t>的原则，建设单位应补充与所占耕地数量质量相当的耕地。建设单位为补充耕地责任单位。未取得用地手续，禁止开工。</w:t>
      </w:r>
    </w:p>
    <w:p w:rsidR="00A46452" w:rsidRDefault="009A3928">
      <w:pPr>
        <w:wordWrap w:val="0"/>
        <w:topLinePunct/>
        <w:ind w:firstLine="480"/>
        <w:rPr>
          <w:rFonts w:cs="Times New Roman"/>
          <w:snapToGrid w:val="0"/>
          <w:lang w:val="zh-CN"/>
        </w:rPr>
      </w:pPr>
      <w:r>
        <w:rPr>
          <w:rFonts w:cs="Times New Roman"/>
          <w:snapToGrid w:val="0"/>
          <w:lang w:val="zh-CN"/>
        </w:rPr>
        <w:t>在工程的总体规划中必须考虑施工对农业生产的影响，将农业损失纳入工程预算中，通过农业区时，尤其是占用耕地等经济农业区时应尽量</w:t>
      </w:r>
      <w:r>
        <w:rPr>
          <w:rFonts w:cs="Times New Roman"/>
          <w:snapToGrid w:val="0"/>
          <w:lang w:val="zh-CN"/>
        </w:rPr>
        <w:t>缩小影响范围，减少损失，降低工程对农业生态环境的干扰和破坏，避免或尽量减少占用耕地。</w:t>
      </w:r>
    </w:p>
    <w:p w:rsidR="00A46452" w:rsidRDefault="009A3928">
      <w:pPr>
        <w:wordWrap w:val="0"/>
        <w:topLinePunct/>
        <w:ind w:firstLine="480"/>
        <w:rPr>
          <w:rFonts w:cs="Times New Roman"/>
          <w:snapToGrid w:val="0"/>
        </w:rPr>
      </w:pPr>
      <w:r>
        <w:rPr>
          <w:rFonts w:cs="Times New Roman"/>
          <w:snapToGrid w:val="0"/>
        </w:rPr>
        <w:t>公路施工前预先将路段内耕地土质较好的表层土剥离表土，集中堆放，并采用防尘网苫盖，施工结束后用于土壤改良或临时占地的土地平整。</w:t>
      </w:r>
    </w:p>
    <w:p w:rsidR="00A46452" w:rsidRDefault="009A3928">
      <w:pPr>
        <w:wordWrap w:val="0"/>
        <w:topLinePunct/>
        <w:ind w:firstLine="482"/>
        <w:rPr>
          <w:rFonts w:cs="Times New Roman"/>
          <w:b/>
          <w:bCs/>
          <w:snapToGrid w:val="0"/>
          <w:lang w:val="zh-CN"/>
        </w:rPr>
      </w:pPr>
      <w:r>
        <w:rPr>
          <w:rFonts w:cs="Times New Roman"/>
          <w:b/>
          <w:bCs/>
          <w:snapToGrid w:val="0"/>
          <w:lang w:val="zh-CN"/>
        </w:rPr>
        <w:t>（</w:t>
      </w:r>
      <w:r>
        <w:rPr>
          <w:rFonts w:cs="Times New Roman"/>
          <w:b/>
          <w:bCs/>
          <w:snapToGrid w:val="0"/>
        </w:rPr>
        <w:t>2</w:t>
      </w:r>
      <w:r>
        <w:rPr>
          <w:rFonts w:cs="Times New Roman"/>
          <w:b/>
          <w:bCs/>
          <w:snapToGrid w:val="0"/>
        </w:rPr>
        <w:t>）公</w:t>
      </w:r>
      <w:r>
        <w:rPr>
          <w:rFonts w:cs="Times New Roman"/>
          <w:b/>
          <w:bCs/>
          <w:snapToGrid w:val="0"/>
          <w:lang w:val="zh-CN"/>
        </w:rPr>
        <w:t>益林的保护措施</w:t>
      </w:r>
    </w:p>
    <w:p w:rsidR="00A46452" w:rsidRDefault="009A3928">
      <w:pPr>
        <w:tabs>
          <w:tab w:val="left" w:pos="993"/>
        </w:tabs>
        <w:adjustRightInd w:val="0"/>
        <w:ind w:firstLine="480"/>
        <w:textAlignment w:val="baseline"/>
        <w:rPr>
          <w:rFonts w:cs="Times New Roman"/>
          <w:snapToGrid w:val="0"/>
          <w:lang w:val="zh-CN"/>
        </w:rPr>
      </w:pPr>
      <w:r>
        <w:rPr>
          <w:rFonts w:cs="Times New Roman"/>
          <w:snapToGrid w:val="0"/>
          <w:lang w:val="zh-CN"/>
        </w:rPr>
        <w:t>①</w:t>
      </w:r>
      <w:r>
        <w:rPr>
          <w:rFonts w:cs="Times New Roman"/>
          <w:snapToGrid w:val="0"/>
        </w:rPr>
        <w:t>拟建公路占用国家二级公益林</w:t>
      </w:r>
      <w:r>
        <w:rPr>
          <w:rFonts w:cs="Times New Roman"/>
          <w:snapToGrid w:val="0"/>
        </w:rPr>
        <w:t>2</w:t>
      </w:r>
      <w:r>
        <w:rPr>
          <w:rFonts w:cs="Times New Roman"/>
          <w:snapToGrid w:val="0"/>
        </w:rPr>
        <w:t>3.19</w:t>
      </w:r>
      <w:r>
        <w:rPr>
          <w:rFonts w:cs="Times New Roman"/>
          <w:snapToGrid w:val="0"/>
        </w:rPr>
        <w:t>hm</w:t>
      </w:r>
      <w:r>
        <w:rPr>
          <w:rFonts w:cs="Times New Roman"/>
          <w:snapToGrid w:val="0"/>
          <w:vertAlign w:val="superscript"/>
        </w:rPr>
        <w:t>2</w:t>
      </w:r>
      <w:r>
        <w:rPr>
          <w:rFonts w:cs="Times New Roman"/>
          <w:snapToGrid w:val="0"/>
        </w:rPr>
        <w:t>，分布在第三师以及巴楚县，具体位于</w:t>
      </w:r>
      <w:r>
        <w:rPr>
          <w:rFonts w:cs="Times New Roman"/>
          <w:snapToGrid w:val="0"/>
        </w:rPr>
        <w:t>K3+280~K3+520</w:t>
      </w:r>
      <w:r>
        <w:rPr>
          <w:rFonts w:cs="Times New Roman"/>
          <w:snapToGrid w:val="0"/>
        </w:rPr>
        <w:t>、</w:t>
      </w:r>
      <w:r>
        <w:rPr>
          <w:rFonts w:cs="Times New Roman"/>
          <w:snapToGrid w:val="0"/>
        </w:rPr>
        <w:t>K4+440~K4+620</w:t>
      </w:r>
      <w:r>
        <w:rPr>
          <w:rFonts w:cs="Times New Roman"/>
          <w:snapToGrid w:val="0"/>
        </w:rPr>
        <w:t>、</w:t>
      </w:r>
      <w:r>
        <w:rPr>
          <w:rFonts w:cs="Times New Roman"/>
          <w:snapToGrid w:val="0"/>
        </w:rPr>
        <w:t>K22+460~K24+680</w:t>
      </w:r>
      <w:r>
        <w:rPr>
          <w:rFonts w:cs="Times New Roman"/>
          <w:snapToGrid w:val="0"/>
        </w:rPr>
        <w:t>、</w:t>
      </w:r>
      <w:r>
        <w:rPr>
          <w:rFonts w:cs="Times New Roman"/>
          <w:snapToGrid w:val="0"/>
        </w:rPr>
        <w:t>K26+780~K32+240</w:t>
      </w:r>
      <w:r>
        <w:rPr>
          <w:rFonts w:cs="Times New Roman"/>
          <w:snapToGrid w:val="0"/>
        </w:rPr>
        <w:t>，</w:t>
      </w:r>
      <w:r>
        <w:rPr>
          <w:rFonts w:cs="Times New Roman"/>
          <w:snapToGrid w:val="0"/>
        </w:rPr>
        <w:t>K42+980~K45+540</w:t>
      </w:r>
      <w:r>
        <w:rPr>
          <w:rFonts w:cs="Times New Roman"/>
          <w:snapToGrid w:val="0"/>
        </w:rPr>
        <w:t>桩号路段，主要为胡杨林和柽柳灌丛，需按国家及《自治区重点建设项目征地拆迁补偿标准》（新国土资发</w:t>
      </w:r>
      <w:r>
        <w:rPr>
          <w:rFonts w:cs="Times New Roman"/>
          <w:snapToGrid w:val="0"/>
        </w:rPr>
        <w:t>〔</w:t>
      </w:r>
      <w:r>
        <w:rPr>
          <w:rFonts w:cs="Times New Roman"/>
          <w:snapToGrid w:val="0"/>
        </w:rPr>
        <w:t>2009</w:t>
      </w:r>
      <w:r>
        <w:rPr>
          <w:rFonts w:cs="Times New Roman"/>
          <w:snapToGrid w:val="0"/>
        </w:rPr>
        <w:t>〕</w:t>
      </w:r>
      <w:r>
        <w:rPr>
          <w:rFonts w:cs="Times New Roman"/>
          <w:snapToGrid w:val="0"/>
        </w:rPr>
        <w:t>131</w:t>
      </w:r>
      <w:r>
        <w:rPr>
          <w:rFonts w:cs="Times New Roman"/>
          <w:snapToGrid w:val="0"/>
        </w:rPr>
        <w:t>号</w:t>
      </w:r>
      <w:r>
        <w:rPr>
          <w:rFonts w:cs="Times New Roman"/>
          <w:snapToGrid w:val="0"/>
        </w:rPr>
        <w:t>）等法律法规要求，进行货币补偿措施，施工单位应严格按照设计施工，不得超出范围，不得随意直接砍伐林地。</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施工期严格控制施工场地、施工便道的设置数量及施工人员的活动范围，应严格控制施工活动，避免影响征地范围以外的</w:t>
      </w:r>
      <w:r>
        <w:rPr>
          <w:rFonts w:cs="Times New Roman"/>
          <w:snapToGrid w:val="0"/>
        </w:rPr>
        <w:t>公益</w:t>
      </w:r>
      <w:r>
        <w:rPr>
          <w:rFonts w:cs="Times New Roman"/>
          <w:snapToGrid w:val="0"/>
        </w:rPr>
        <w:t>林</w:t>
      </w:r>
      <w:r>
        <w:rPr>
          <w:rFonts w:cs="Times New Roman"/>
          <w:snapToGrid w:val="0"/>
          <w:lang w:val="zh-CN"/>
        </w:rPr>
        <w:t>生态环境。</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在施工期内，应当加强对生态公益林的保护，制止破坏林地、林木的行为、清除可能的火灾隐患，做好病虫害预防工作；对发生严重的病虫害、火灾或其他自然灾害，应当立即报告当地人民政府和林业行政主管部门，采取措施进行防治。采取标语、广播、电视、讲座等形式，广泛开展生态公益林区划分布、管护要求、环境道德、生态意识、生态保护知识及森林效能等方面的宣传教育。</w:t>
      </w:r>
    </w:p>
    <w:p w:rsidR="00A46452" w:rsidRDefault="009A3928">
      <w:pPr>
        <w:wordWrap w:val="0"/>
        <w:topLinePunct/>
        <w:ind w:firstLine="482"/>
        <w:rPr>
          <w:rFonts w:cs="Times New Roman"/>
          <w:b/>
          <w:bCs/>
          <w:snapToGrid w:val="0"/>
          <w:lang w:val="zh-CN"/>
        </w:rPr>
      </w:pPr>
      <w:r>
        <w:rPr>
          <w:rFonts w:cs="Times New Roman"/>
          <w:b/>
          <w:bCs/>
          <w:snapToGrid w:val="0"/>
        </w:rPr>
        <w:t>（</w:t>
      </w:r>
      <w:r>
        <w:rPr>
          <w:rFonts w:cs="Times New Roman"/>
          <w:b/>
          <w:bCs/>
          <w:snapToGrid w:val="0"/>
        </w:rPr>
        <w:t>3</w:t>
      </w:r>
      <w:r>
        <w:rPr>
          <w:rFonts w:cs="Times New Roman"/>
          <w:b/>
          <w:bCs/>
          <w:snapToGrid w:val="0"/>
        </w:rPr>
        <w:t>）</w:t>
      </w:r>
      <w:r>
        <w:rPr>
          <w:rFonts w:cs="Times New Roman"/>
          <w:b/>
          <w:bCs/>
          <w:snapToGrid w:val="0"/>
          <w:lang w:val="zh-CN"/>
        </w:rPr>
        <w:t>重点保护野生植物保护措施</w:t>
      </w:r>
    </w:p>
    <w:p w:rsidR="00A46452" w:rsidRDefault="009A3928">
      <w:pPr>
        <w:wordWrap w:val="0"/>
        <w:topLinePunct/>
        <w:ind w:firstLine="480"/>
        <w:rPr>
          <w:rFonts w:cs="Times New Roman"/>
          <w:snapToGrid w:val="0"/>
          <w:lang w:val="zh-CN"/>
        </w:rPr>
      </w:pPr>
      <w:r>
        <w:rPr>
          <w:rFonts w:cs="Times New Roman"/>
          <w:snapToGrid w:val="0"/>
          <w:lang w:val="zh-CN"/>
        </w:rPr>
        <w:t>结合资料收集和现场调查，评价范围内发现国家</w:t>
      </w:r>
      <w:r>
        <w:rPr>
          <w:rFonts w:cs="Times New Roman"/>
          <w:snapToGrid w:val="0"/>
        </w:rPr>
        <w:t>及自治区</w:t>
      </w:r>
      <w:r>
        <w:rPr>
          <w:rFonts w:cs="Times New Roman"/>
          <w:snapToGrid w:val="0"/>
          <w:lang w:val="zh-CN"/>
        </w:rPr>
        <w:t>级重点保护野生植物，未发现极小种群。</w:t>
      </w:r>
    </w:p>
    <w:p w:rsidR="00A46452" w:rsidRDefault="009A3928">
      <w:pPr>
        <w:wordWrap w:val="0"/>
        <w:topLinePunct/>
        <w:ind w:firstLine="480"/>
        <w:rPr>
          <w:rFonts w:cs="Times New Roman"/>
          <w:snapToGrid w:val="0"/>
          <w:lang w:val="zh-CN"/>
        </w:rPr>
      </w:pPr>
      <w:r>
        <w:rPr>
          <w:rFonts w:cs="Times New Roman"/>
          <w:snapToGrid w:val="0"/>
          <w:lang w:val="zh-CN"/>
        </w:rPr>
        <w:t>在项目建设中，施工单位应注意识别珍稀保护植物资源，加强珍稀保护植物保护宣传工作，一旦遇到珍稀保护植物，立即向林业部门汇报，依照相关标准或规范对珍稀濒危进行保护，协商采取措施后再进行下一步施工。</w:t>
      </w:r>
    </w:p>
    <w:p w:rsidR="00A46452" w:rsidRDefault="009A3928">
      <w:pPr>
        <w:wordWrap w:val="0"/>
        <w:topLinePunct/>
        <w:ind w:firstLine="480"/>
        <w:rPr>
          <w:rFonts w:cs="Times New Roman"/>
          <w:snapToGrid w:val="0"/>
          <w:lang w:val="zh-CN"/>
        </w:rPr>
      </w:pPr>
      <w:r>
        <w:rPr>
          <w:rFonts w:cs="Times New Roman"/>
          <w:snapToGrid w:val="0"/>
          <w:lang w:val="zh-CN"/>
        </w:rPr>
        <w:t>加强宣传教育活动，做好施工监理工作。通过宣传教育活动，培养施工人员、当地群众保护区域内</w:t>
      </w:r>
      <w:r>
        <w:rPr>
          <w:rFonts w:cs="Times New Roman"/>
          <w:snapToGrid w:val="0"/>
        </w:rPr>
        <w:t>保护植物</w:t>
      </w:r>
      <w:r>
        <w:rPr>
          <w:rFonts w:cs="Times New Roman"/>
          <w:snapToGrid w:val="0"/>
          <w:lang w:val="zh-CN"/>
        </w:rPr>
        <w:t>；通过划定施工人员活动范围，加强施工管理，积极采取洒水减少扬尘，做好弃渣、废水、固废等处理工作，采用挂宣传牌和警示标志，避免施工活动对</w:t>
      </w:r>
      <w:r>
        <w:rPr>
          <w:rFonts w:cs="Times New Roman"/>
          <w:snapToGrid w:val="0"/>
        </w:rPr>
        <w:t>保护物种</w:t>
      </w:r>
      <w:r>
        <w:rPr>
          <w:rFonts w:cs="Times New Roman"/>
          <w:snapToGrid w:val="0"/>
          <w:lang w:val="zh-CN"/>
        </w:rPr>
        <w:t>的不利影响。</w:t>
      </w:r>
    </w:p>
    <w:p w:rsidR="00A46452" w:rsidRDefault="009A3928">
      <w:pPr>
        <w:pStyle w:val="52"/>
        <w:keepNext w:val="0"/>
        <w:widowControl w:val="0"/>
        <w:wordWrap w:val="0"/>
        <w:topLinePunct/>
        <w:ind w:firstLineChars="0"/>
        <w:rPr>
          <w:rFonts w:cs="Times New Roman" w:hint="default"/>
        </w:rPr>
      </w:pPr>
      <w:r>
        <w:rPr>
          <w:rFonts w:cs="Times New Roman" w:hint="default"/>
        </w:rPr>
        <w:t>8.1.1.2.2</w:t>
      </w:r>
      <w:r>
        <w:rPr>
          <w:rFonts w:cs="Times New Roman" w:hint="default"/>
        </w:rPr>
        <w:t>陆生动物保护措施</w:t>
      </w:r>
    </w:p>
    <w:p w:rsidR="00A46452" w:rsidRDefault="009A3928">
      <w:pPr>
        <w:ind w:firstLine="480"/>
        <w:rPr>
          <w:rFonts w:cs="Times New Roman"/>
          <w:snapToGrid w:val="0"/>
          <w:lang w:val="zh-CN"/>
        </w:rPr>
      </w:pPr>
      <w:r>
        <w:rPr>
          <w:rFonts w:cs="Times New Roman"/>
          <w:szCs w:val="24"/>
        </w:rPr>
        <w:t>评价范围内分布有国家重点保护野生</w:t>
      </w:r>
      <w:r>
        <w:rPr>
          <w:rFonts w:cs="Times New Roman"/>
          <w:szCs w:val="24"/>
        </w:rPr>
        <w:t>动物保护</w:t>
      </w:r>
      <w:r>
        <w:rPr>
          <w:rFonts w:cs="Times New Roman"/>
          <w:szCs w:val="24"/>
        </w:rPr>
        <w:t>9</w:t>
      </w:r>
      <w:r>
        <w:rPr>
          <w:rFonts w:cs="Times New Roman"/>
          <w:szCs w:val="24"/>
        </w:rPr>
        <w:t>种（国家</w:t>
      </w:r>
      <w:r>
        <w:rPr>
          <w:rFonts w:cs="Times New Roman"/>
          <w:szCs w:val="24"/>
        </w:rPr>
        <w:t>二</w:t>
      </w:r>
      <w:r>
        <w:rPr>
          <w:rFonts w:cs="Times New Roman"/>
          <w:szCs w:val="24"/>
        </w:rPr>
        <w:t>级保护动物</w:t>
      </w:r>
      <w:r>
        <w:rPr>
          <w:rFonts w:cs="Times New Roman"/>
          <w:szCs w:val="24"/>
        </w:rPr>
        <w:t>8</w:t>
      </w:r>
      <w:r>
        <w:rPr>
          <w:rFonts w:cs="Times New Roman"/>
          <w:szCs w:val="24"/>
        </w:rPr>
        <w:t>种、自治区二级保护动物</w:t>
      </w:r>
      <w:r>
        <w:rPr>
          <w:rFonts w:cs="Times New Roman"/>
          <w:szCs w:val="24"/>
        </w:rPr>
        <w:t>1</w:t>
      </w:r>
      <w:r>
        <w:rPr>
          <w:rFonts w:cs="Times New Roman"/>
          <w:szCs w:val="24"/>
        </w:rPr>
        <w:t>种），数量较多，除了进行一般动物的避让、减缓等保护措施外，还要重点加强有关动物法律法规宣传工作，在主要的施工区和施工人员的生活区设立动物保护的宣传栏，对国家级重点保护野生动物重点标识及说明，包括动物图片、保护等级、濒危级别、保护意义、法律责任等。</w:t>
      </w:r>
    </w:p>
    <w:p w:rsidR="00A46452" w:rsidRDefault="009A3928">
      <w:pPr>
        <w:ind w:firstLine="480"/>
        <w:rPr>
          <w:rFonts w:cs="Times New Roman"/>
          <w:szCs w:val="24"/>
        </w:rPr>
      </w:pPr>
      <w:r>
        <w:rPr>
          <w:rFonts w:cs="Times New Roman"/>
          <w:szCs w:val="24"/>
        </w:rPr>
        <w:t>（</w:t>
      </w:r>
      <w:r>
        <w:rPr>
          <w:rFonts w:cs="Times New Roman"/>
          <w:szCs w:val="24"/>
        </w:rPr>
        <w:t>1</w:t>
      </w:r>
      <w:r>
        <w:rPr>
          <w:rFonts w:cs="Times New Roman"/>
          <w:szCs w:val="24"/>
        </w:rPr>
        <w:t>）减缓措施</w:t>
      </w:r>
    </w:p>
    <w:p w:rsidR="00A46452" w:rsidRDefault="009A3928">
      <w:pPr>
        <w:ind w:firstLine="480"/>
        <w:rPr>
          <w:rFonts w:cs="Times New Roman"/>
          <w:szCs w:val="24"/>
        </w:rPr>
      </w:pPr>
      <w:r>
        <w:rPr>
          <w:rFonts w:cs="Times New Roman"/>
          <w:szCs w:val="24"/>
        </w:rPr>
        <w:t>①</w:t>
      </w:r>
      <w:r>
        <w:rPr>
          <w:rFonts w:cs="Times New Roman"/>
          <w:szCs w:val="24"/>
        </w:rPr>
        <w:t>优化施工计划，尽量缩短施工作业时间，尽量避开鸟类活动的高峰期及其繁育期。野生鸟类和哺乳动物大多在晨、昏或夜间外出觅食，正午是鸟类休息时间，为了减少工程施工噪声对野生动物的惊扰，优先使用低噪声</w:t>
      </w:r>
      <w:r>
        <w:rPr>
          <w:rFonts w:cs="Times New Roman"/>
          <w:szCs w:val="24"/>
        </w:rPr>
        <w:t>、振动小的施工机械，必要时采取措施降低施工机械噪声，如加防振垫、隔声罩、多孔性吸声材料建立隔声屏障等。在两栖类繁殖的春季，尽量减少施工强度和范围。在多数动物的发情期（春季），减少噪声和施工强度。</w:t>
      </w:r>
    </w:p>
    <w:p w:rsidR="00A46452" w:rsidRDefault="009A3928">
      <w:pPr>
        <w:ind w:firstLine="480"/>
        <w:rPr>
          <w:rFonts w:cs="Times New Roman"/>
          <w:szCs w:val="24"/>
        </w:rPr>
      </w:pPr>
      <w:r>
        <w:rPr>
          <w:rFonts w:cs="Times New Roman"/>
          <w:szCs w:val="24"/>
        </w:rPr>
        <w:t>②</w:t>
      </w:r>
      <w:r>
        <w:rPr>
          <w:rFonts w:cs="Times New Roman"/>
          <w:szCs w:val="24"/>
        </w:rPr>
        <w:t>妥善保管好施工材料，远离水体堆放；施工材料、渣土运输进行遮挡，避</w:t>
      </w:r>
    </w:p>
    <w:p w:rsidR="00A46452" w:rsidRDefault="009A3928">
      <w:pPr>
        <w:ind w:firstLine="480"/>
        <w:rPr>
          <w:rFonts w:cs="Times New Roman"/>
          <w:szCs w:val="24"/>
        </w:rPr>
      </w:pPr>
      <w:r>
        <w:rPr>
          <w:rFonts w:cs="Times New Roman"/>
          <w:szCs w:val="24"/>
        </w:rPr>
        <w:t>免落入水体，破坏两栖类和部分爬行类、鸟类的栖息地。</w:t>
      </w:r>
    </w:p>
    <w:p w:rsidR="00A46452" w:rsidRDefault="009A3928">
      <w:pPr>
        <w:ind w:firstLine="480"/>
        <w:rPr>
          <w:rFonts w:cs="Times New Roman"/>
          <w:szCs w:val="24"/>
        </w:rPr>
      </w:pPr>
      <w:r>
        <w:rPr>
          <w:rFonts w:cs="Times New Roman"/>
          <w:szCs w:val="24"/>
        </w:rPr>
        <w:t>③</w:t>
      </w:r>
      <w:r>
        <w:rPr>
          <w:rFonts w:cs="Times New Roman"/>
          <w:szCs w:val="24"/>
        </w:rPr>
        <w:t>控制施工范围，施工便道等尽量使用沿线已有道路。</w:t>
      </w:r>
    </w:p>
    <w:p w:rsidR="00A46452" w:rsidRDefault="009A3928">
      <w:pPr>
        <w:ind w:firstLine="480"/>
        <w:rPr>
          <w:rFonts w:cs="Times New Roman"/>
          <w:szCs w:val="24"/>
        </w:rPr>
      </w:pPr>
      <w:r>
        <w:rPr>
          <w:rFonts w:cs="Times New Roman"/>
          <w:szCs w:val="24"/>
        </w:rPr>
        <w:t>④</w:t>
      </w:r>
      <w:r>
        <w:rPr>
          <w:rFonts w:cs="Times New Roman"/>
          <w:szCs w:val="24"/>
        </w:rPr>
        <w:t>林地分布较多地段，建议工程施工前对施工区域周边野生动物进行驱赶，同时严禁烟火和狩猎，并以警戒线划分施工区域边界，防止施工人员误入工区外的林地。</w:t>
      </w:r>
    </w:p>
    <w:p w:rsidR="00A46452" w:rsidRDefault="009A3928">
      <w:pPr>
        <w:ind w:firstLine="480"/>
        <w:rPr>
          <w:rFonts w:cs="Times New Roman"/>
          <w:szCs w:val="24"/>
        </w:rPr>
      </w:pPr>
      <w:r>
        <w:rPr>
          <w:rFonts w:cs="Times New Roman"/>
          <w:szCs w:val="24"/>
        </w:rPr>
        <w:t>⑤</w:t>
      </w:r>
      <w:r>
        <w:rPr>
          <w:rFonts w:cs="Times New Roman"/>
          <w:szCs w:val="24"/>
        </w:rPr>
        <w:t>夜间尽可能少安排大型机械作业，以免噪声和振动对野生动物的生长、繁殖造成不良影响。限定工作车辆、人员数量和工作时间，以减少对动物生境的影响。</w:t>
      </w:r>
    </w:p>
    <w:p w:rsidR="00A46452" w:rsidRDefault="009A3928">
      <w:pPr>
        <w:ind w:firstLine="480"/>
        <w:rPr>
          <w:rFonts w:cs="Times New Roman"/>
          <w:szCs w:val="24"/>
        </w:rPr>
      </w:pPr>
      <w:r>
        <w:rPr>
          <w:rFonts w:cs="Times New Roman"/>
          <w:szCs w:val="24"/>
        </w:rPr>
        <w:t>（</w:t>
      </w:r>
      <w:r>
        <w:rPr>
          <w:rFonts w:cs="Times New Roman"/>
          <w:szCs w:val="24"/>
        </w:rPr>
        <w:t>2</w:t>
      </w:r>
      <w:r>
        <w:rPr>
          <w:rFonts w:cs="Times New Roman"/>
          <w:szCs w:val="24"/>
        </w:rPr>
        <w:t>）补偿措施</w:t>
      </w:r>
    </w:p>
    <w:p w:rsidR="00A46452" w:rsidRDefault="009A3928">
      <w:pPr>
        <w:ind w:firstLine="480"/>
        <w:rPr>
          <w:rFonts w:cs="Times New Roman"/>
          <w:szCs w:val="24"/>
        </w:rPr>
      </w:pPr>
      <w:r>
        <w:rPr>
          <w:rFonts w:cs="Times New Roman"/>
          <w:szCs w:val="24"/>
        </w:rPr>
        <w:t>①</w:t>
      </w:r>
      <w:r>
        <w:rPr>
          <w:rFonts w:cs="Times New Roman"/>
          <w:szCs w:val="24"/>
        </w:rPr>
        <w:t>撤离施工现场后及时清理建筑垃圾和一切非原始栖息地所属物品。工程完工后尽快做好生态恢复工作，尤其是临时占地处，尽量减少生境破坏对动物的不利影响。公路两侧合理绿化，以种植本地适生的乔木、灌木和草本植物为主。</w:t>
      </w:r>
    </w:p>
    <w:p w:rsidR="00A46452" w:rsidRDefault="009A3928">
      <w:pPr>
        <w:ind w:firstLine="480"/>
        <w:rPr>
          <w:rFonts w:cs="Times New Roman"/>
          <w:szCs w:val="24"/>
        </w:rPr>
      </w:pPr>
      <w:r>
        <w:rPr>
          <w:rFonts w:cs="Times New Roman"/>
          <w:szCs w:val="24"/>
        </w:rPr>
        <w:t>②</w:t>
      </w:r>
      <w:r>
        <w:rPr>
          <w:rFonts w:cs="Times New Roman"/>
          <w:szCs w:val="24"/>
        </w:rPr>
        <w:t>桥梁下方及时清理平整、移除施工材料和一切非自然物并做好植被恢复，与周边环境自然衔接；临时施工道路及时进行植被恢复，减少对野生动物的阻隔影响。</w:t>
      </w:r>
    </w:p>
    <w:p w:rsidR="00A46452" w:rsidRDefault="009A3928">
      <w:pPr>
        <w:ind w:firstLine="480"/>
        <w:rPr>
          <w:rFonts w:cs="Times New Roman"/>
          <w:szCs w:val="24"/>
        </w:rPr>
      </w:pPr>
      <w:r>
        <w:rPr>
          <w:rFonts w:cs="Times New Roman"/>
          <w:szCs w:val="24"/>
        </w:rPr>
        <w:t>（</w:t>
      </w:r>
      <w:r>
        <w:rPr>
          <w:rFonts w:cs="Times New Roman"/>
          <w:szCs w:val="24"/>
        </w:rPr>
        <w:t>3</w:t>
      </w:r>
      <w:r>
        <w:rPr>
          <w:rFonts w:cs="Times New Roman"/>
          <w:szCs w:val="24"/>
        </w:rPr>
        <w:t>）管理措施</w:t>
      </w:r>
    </w:p>
    <w:p w:rsidR="00A46452" w:rsidRDefault="009A3928">
      <w:pPr>
        <w:ind w:firstLine="480"/>
        <w:rPr>
          <w:rFonts w:cs="Times New Roman"/>
          <w:szCs w:val="24"/>
        </w:rPr>
      </w:pPr>
      <w:r>
        <w:rPr>
          <w:rFonts w:cs="Times New Roman"/>
          <w:szCs w:val="24"/>
        </w:rPr>
        <w:t>①</w:t>
      </w:r>
      <w:r>
        <w:rPr>
          <w:rFonts w:cs="Times New Roman"/>
          <w:szCs w:val="24"/>
        </w:rPr>
        <w:t>加强对工程施工人员的生态教育和野生动物保护教育，加强宣传力度。采用在工程施工营地分发宣传资料、日常工作会议中重点告知的方式宣传《中华人民共和国野生动物保护法》《中华人民共和国陆生野生动物保护实施条例》等相关法律法规及条例，提高施工和管理人员的保护意识，严禁捕猎野生动物的行为。</w:t>
      </w:r>
    </w:p>
    <w:p w:rsidR="00A46452" w:rsidRDefault="009A3928">
      <w:pPr>
        <w:ind w:firstLine="480"/>
        <w:rPr>
          <w:rFonts w:cs="Times New Roman"/>
          <w:szCs w:val="24"/>
        </w:rPr>
      </w:pPr>
      <w:r>
        <w:rPr>
          <w:rFonts w:cs="Times New Roman"/>
          <w:szCs w:val="24"/>
        </w:rPr>
        <w:t>②</w:t>
      </w:r>
      <w:r>
        <w:rPr>
          <w:rFonts w:cs="Times New Roman"/>
          <w:szCs w:val="24"/>
        </w:rPr>
        <w:t>严格控制工程弃渣范围，同时控制弃渣作业和运输车辆运行轨迹，避免扩大弃渣行为实际影响范围。</w:t>
      </w:r>
    </w:p>
    <w:p w:rsidR="00A46452" w:rsidRDefault="009A3928">
      <w:pPr>
        <w:ind w:firstLine="480"/>
        <w:rPr>
          <w:rFonts w:cs="Times New Roman"/>
          <w:szCs w:val="24"/>
        </w:rPr>
      </w:pPr>
      <w:r>
        <w:rPr>
          <w:rFonts w:cs="Times New Roman"/>
          <w:szCs w:val="24"/>
        </w:rPr>
        <w:t>③</w:t>
      </w:r>
      <w:r>
        <w:rPr>
          <w:rFonts w:cs="Times New Roman"/>
          <w:szCs w:val="24"/>
        </w:rPr>
        <w:t>对施工便道严格管理，在施工期间控制工程车辆运行速度，禁止社会其他</w:t>
      </w:r>
    </w:p>
    <w:p w:rsidR="00A46452" w:rsidRDefault="009A3928">
      <w:pPr>
        <w:ind w:firstLine="480"/>
        <w:rPr>
          <w:rFonts w:cs="Times New Roman"/>
          <w:szCs w:val="24"/>
        </w:rPr>
      </w:pPr>
      <w:r>
        <w:rPr>
          <w:rFonts w:cs="Times New Roman"/>
          <w:szCs w:val="24"/>
        </w:rPr>
        <w:t>车辆进入，并在施工结束后及时封闭施工便道，以利于植被恢复。</w:t>
      </w:r>
    </w:p>
    <w:p w:rsidR="00A46452" w:rsidRDefault="009A3928">
      <w:pPr>
        <w:ind w:firstLine="480"/>
        <w:rPr>
          <w:rFonts w:cs="Times New Roman"/>
          <w:szCs w:val="24"/>
        </w:rPr>
      </w:pPr>
      <w:r>
        <w:rPr>
          <w:rFonts w:cs="Times New Roman"/>
          <w:szCs w:val="24"/>
        </w:rPr>
        <w:t>（</w:t>
      </w:r>
      <w:r>
        <w:rPr>
          <w:rFonts w:cs="Times New Roman"/>
          <w:szCs w:val="24"/>
        </w:rPr>
        <w:t>4</w:t>
      </w:r>
      <w:r>
        <w:rPr>
          <w:rFonts w:cs="Times New Roman"/>
          <w:szCs w:val="24"/>
        </w:rPr>
        <w:t>）对重要野生动物的保护措施</w:t>
      </w:r>
    </w:p>
    <w:p w:rsidR="00A46452" w:rsidRDefault="009A3928">
      <w:pPr>
        <w:ind w:firstLine="480"/>
        <w:rPr>
          <w:rFonts w:cs="Times New Roman"/>
          <w:szCs w:val="24"/>
        </w:rPr>
      </w:pPr>
      <w:r>
        <w:rPr>
          <w:rFonts w:cs="Times New Roman"/>
          <w:szCs w:val="24"/>
        </w:rPr>
        <w:t>施工过程中发现国家、地方重点保护野生动物在工程沿线出现，应及时采取避光、防噪措施。</w:t>
      </w:r>
    </w:p>
    <w:p w:rsidR="00A46452" w:rsidRDefault="009A3928">
      <w:pPr>
        <w:ind w:firstLine="480"/>
        <w:rPr>
          <w:rFonts w:cs="Times New Roman"/>
          <w:szCs w:val="24"/>
        </w:rPr>
      </w:pPr>
      <w:r>
        <w:rPr>
          <w:rFonts w:cs="Times New Roman"/>
          <w:szCs w:val="24"/>
        </w:rPr>
        <w:t>针对国家、地方重点保护野生动物，部分重要野生动物易受到施工人员非法捕捉而造成个体数量下降，建议在施工周期严禁非法捕猎野生动物，并加强对工程施工人员的生态教育和野生动物保护教育，加强宣传力度，提高施工和管理人员的保护意识。</w:t>
      </w:r>
    </w:p>
    <w:p w:rsidR="00A46452" w:rsidRDefault="009A3928">
      <w:pPr>
        <w:pStyle w:val="52"/>
        <w:keepNext w:val="0"/>
        <w:widowControl w:val="0"/>
        <w:wordWrap w:val="0"/>
        <w:topLinePunct/>
        <w:ind w:firstLineChars="0"/>
        <w:rPr>
          <w:rFonts w:cs="Times New Roman" w:hint="default"/>
        </w:rPr>
      </w:pPr>
      <w:r>
        <w:rPr>
          <w:rFonts w:cs="Times New Roman" w:hint="default"/>
        </w:rPr>
        <w:t>8.1.1.2.3</w:t>
      </w:r>
      <w:r>
        <w:rPr>
          <w:rFonts w:cs="Times New Roman" w:hint="default"/>
        </w:rPr>
        <w:t>水生生态的保护措施</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）涉水桥梁基础施工措施及要求</w:t>
      </w:r>
    </w:p>
    <w:p w:rsidR="00A46452" w:rsidRDefault="009A3928">
      <w:pPr>
        <w:wordWrap w:val="0"/>
        <w:topLinePunct/>
        <w:ind w:firstLine="480"/>
        <w:rPr>
          <w:rFonts w:cs="Times New Roman"/>
          <w:snapToGrid w:val="0"/>
          <w:lang w:val="zh-CN"/>
        </w:rPr>
      </w:pPr>
      <w:r>
        <w:rPr>
          <w:rFonts w:cs="Times New Roman"/>
          <w:snapToGrid w:val="0"/>
          <w:lang w:val="zh-CN"/>
        </w:rPr>
        <w:t>跨河桥梁涉水桥墩基础施工采用钢围堰，钻孔泥</w:t>
      </w:r>
      <w:r>
        <w:rPr>
          <w:rFonts w:cs="Times New Roman"/>
          <w:snapToGrid w:val="0"/>
          <w:lang w:val="zh-CN"/>
        </w:rPr>
        <w:t>浆收集回用，渣土运至弃渣场堆放，不得向河流排放施工污废水。</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）繁殖期施工优化措施</w:t>
      </w:r>
    </w:p>
    <w:p w:rsidR="00A46452" w:rsidRDefault="009A3928">
      <w:pPr>
        <w:wordWrap w:val="0"/>
        <w:topLinePunct/>
        <w:ind w:firstLine="480"/>
        <w:rPr>
          <w:rFonts w:cs="Times New Roman"/>
          <w:snapToGrid w:val="0"/>
          <w:lang w:val="zh-CN"/>
        </w:rPr>
      </w:pPr>
      <w:r>
        <w:rPr>
          <w:rFonts w:cs="Times New Roman"/>
          <w:snapToGrid w:val="0"/>
          <w:lang w:val="zh-CN"/>
        </w:rPr>
        <w:t>涉水桥梁施工过程中应合理安排水下施工作业时间，尽量避开</w:t>
      </w:r>
      <w:r>
        <w:rPr>
          <w:rFonts w:cs="Times New Roman"/>
          <w:snapToGrid w:val="0"/>
          <w:lang w:val="zh-CN"/>
        </w:rPr>
        <w:t>3-6</w:t>
      </w:r>
      <w:r>
        <w:rPr>
          <w:rFonts w:cs="Times New Roman"/>
          <w:snapToGrid w:val="0"/>
          <w:lang w:val="zh-CN"/>
        </w:rPr>
        <w:t>月鱼类主要繁殖期。合理调度施工班次，禁止在鱼类繁殖季节产卵的高峰时段（清晨和涨水时）进行高噪声施工作业。</w:t>
      </w:r>
    </w:p>
    <w:p w:rsidR="00A46452" w:rsidRDefault="009A3928">
      <w:pPr>
        <w:wordWrap w:val="0"/>
        <w:topLinePunct/>
        <w:adjustRightInd w:val="0"/>
        <w:snapToGrid w:val="0"/>
        <w:ind w:firstLine="480"/>
        <w:rPr>
          <w:rFonts w:cs="Times New Roman"/>
          <w:snapToGrid w:val="0"/>
          <w:lang w:val="zh-CN"/>
        </w:rPr>
      </w:pPr>
      <w:r>
        <w:rPr>
          <w:rFonts w:cs="Times New Roman"/>
          <w:snapToGrid w:val="0"/>
          <w:lang w:val="zh-CN"/>
        </w:rPr>
        <w:t>建设单位应对全体施工人员进行野生动物保护教育，以提高施工人员的环境保护意识。对于鱼类繁殖期的陆域施工作业，严禁越界施工，并尽量减少施工噪声。</w:t>
      </w:r>
    </w:p>
    <w:p w:rsidR="00A46452" w:rsidRDefault="009A3928">
      <w:pPr>
        <w:pStyle w:val="52"/>
        <w:keepNext w:val="0"/>
        <w:widowControl w:val="0"/>
        <w:wordWrap w:val="0"/>
        <w:topLinePunct/>
        <w:ind w:firstLineChars="0"/>
        <w:rPr>
          <w:rFonts w:cs="Times New Roman" w:hint="default"/>
          <w:lang w:val="zh-CN"/>
        </w:rPr>
      </w:pPr>
      <w:r>
        <w:rPr>
          <w:rFonts w:cs="Times New Roman" w:hint="default"/>
        </w:rPr>
        <w:t>8.1.1.2.4</w:t>
      </w:r>
      <w:r>
        <w:rPr>
          <w:rFonts w:cs="Times New Roman" w:hint="default"/>
          <w:lang w:val="zh-CN"/>
        </w:rPr>
        <w:t>临时占地生态环境影响减缓措施</w:t>
      </w:r>
    </w:p>
    <w:p w:rsidR="00A46452" w:rsidRDefault="009A3928">
      <w:pPr>
        <w:ind w:firstLine="480"/>
        <w:rPr>
          <w:rFonts w:cs="Times New Roman"/>
          <w:snapToGrid w:val="0"/>
          <w:szCs w:val="24"/>
          <w:lang w:val="zh-CN"/>
        </w:rPr>
      </w:pPr>
      <w:r>
        <w:rPr>
          <w:rFonts w:cs="Times New Roman"/>
          <w:snapToGrid w:val="0"/>
          <w:szCs w:val="24"/>
          <w:lang w:val="zh-CN"/>
        </w:rPr>
        <w:t>项目临时占地主要包括施工</w:t>
      </w:r>
      <w:r>
        <w:rPr>
          <w:rFonts w:cs="Times New Roman"/>
          <w:snapToGrid w:val="0"/>
          <w:szCs w:val="24"/>
        </w:rPr>
        <w:t>综合</w:t>
      </w:r>
      <w:r>
        <w:rPr>
          <w:rFonts w:cs="Times New Roman"/>
          <w:snapToGrid w:val="0"/>
          <w:szCs w:val="24"/>
          <w:lang w:val="zh-CN"/>
        </w:rPr>
        <w:t>站、施工便道，各类临时占地在施工过程中应遵守以下措施：</w:t>
      </w:r>
    </w:p>
    <w:p w:rsidR="00A46452" w:rsidRDefault="009A3928">
      <w:pPr>
        <w:tabs>
          <w:tab w:val="left" w:pos="851"/>
        </w:tabs>
        <w:adjustRightInd w:val="0"/>
        <w:ind w:firstLineChars="176" w:firstLine="440"/>
        <w:textAlignment w:val="baseline"/>
        <w:rPr>
          <w:rFonts w:cs="Times New Roman"/>
          <w:kern w:val="0"/>
          <w:szCs w:val="20"/>
        </w:rPr>
      </w:pPr>
      <w:r>
        <w:rPr>
          <w:rFonts w:cs="Times New Roman"/>
          <w:spacing w:val="5"/>
          <w:kern w:val="0"/>
          <w:szCs w:val="24"/>
        </w:rPr>
        <w:t>（</w:t>
      </w:r>
      <w:r>
        <w:rPr>
          <w:rFonts w:cs="Times New Roman"/>
          <w:spacing w:val="5"/>
          <w:kern w:val="0"/>
          <w:szCs w:val="24"/>
        </w:rPr>
        <w:t>1</w:t>
      </w:r>
      <w:r>
        <w:rPr>
          <w:rFonts w:cs="Times New Roman"/>
          <w:spacing w:val="5"/>
          <w:kern w:val="0"/>
          <w:szCs w:val="24"/>
        </w:rPr>
        <w:t>）</w:t>
      </w:r>
      <w:r>
        <w:rPr>
          <w:rFonts w:cs="Times New Roman"/>
          <w:kern w:val="0"/>
          <w:szCs w:val="20"/>
        </w:rPr>
        <w:t>临时工程表土应剥离、临时堆存并加盖篷布覆盖，用于后期植被恢复。</w:t>
      </w:r>
    </w:p>
    <w:p w:rsidR="00A46452" w:rsidRDefault="009A3928">
      <w:pPr>
        <w:tabs>
          <w:tab w:val="left" w:pos="851"/>
        </w:tabs>
        <w:adjustRightInd w:val="0"/>
        <w:ind w:firstLine="500"/>
        <w:textAlignment w:val="baseline"/>
        <w:rPr>
          <w:rFonts w:cs="Times New Roman"/>
          <w:kern w:val="0"/>
          <w:szCs w:val="20"/>
        </w:rPr>
      </w:pPr>
      <w:r>
        <w:rPr>
          <w:rFonts w:cs="Times New Roman"/>
          <w:spacing w:val="5"/>
          <w:kern w:val="0"/>
          <w:szCs w:val="24"/>
        </w:rPr>
        <w:t>（</w:t>
      </w:r>
      <w:r>
        <w:rPr>
          <w:rFonts w:cs="Times New Roman"/>
          <w:spacing w:val="5"/>
          <w:kern w:val="0"/>
          <w:szCs w:val="24"/>
        </w:rPr>
        <w:t>2</w:t>
      </w:r>
      <w:r>
        <w:rPr>
          <w:rFonts w:cs="Times New Roman"/>
          <w:spacing w:val="5"/>
          <w:kern w:val="0"/>
          <w:szCs w:val="24"/>
        </w:rPr>
        <w:t>）</w:t>
      </w:r>
      <w:r>
        <w:rPr>
          <w:rFonts w:cs="Times New Roman"/>
          <w:kern w:val="0"/>
          <w:szCs w:val="20"/>
        </w:rPr>
        <w:t>弃土、弃渣场施工前应划界施工，不得破坏界外植被。</w:t>
      </w:r>
    </w:p>
    <w:p w:rsidR="00A46452" w:rsidRDefault="009A3928">
      <w:pPr>
        <w:tabs>
          <w:tab w:val="left" w:pos="851"/>
        </w:tabs>
        <w:adjustRightInd w:val="0"/>
        <w:ind w:firstLineChars="0" w:firstLine="480"/>
        <w:textAlignment w:val="baseline"/>
        <w:rPr>
          <w:rFonts w:cs="Times New Roman"/>
          <w:kern w:val="0"/>
          <w:szCs w:val="20"/>
        </w:rPr>
      </w:pPr>
      <w:r>
        <w:rPr>
          <w:rFonts w:cs="Times New Roman"/>
          <w:spacing w:val="5"/>
          <w:kern w:val="0"/>
          <w:szCs w:val="24"/>
        </w:rPr>
        <w:t>（</w:t>
      </w:r>
      <w:r>
        <w:rPr>
          <w:rFonts w:cs="Times New Roman"/>
          <w:spacing w:val="5"/>
          <w:kern w:val="0"/>
          <w:szCs w:val="24"/>
        </w:rPr>
        <w:t>3</w:t>
      </w:r>
      <w:r>
        <w:rPr>
          <w:rFonts w:cs="Times New Roman"/>
          <w:spacing w:val="5"/>
          <w:kern w:val="0"/>
          <w:szCs w:val="24"/>
        </w:rPr>
        <w:t>）</w:t>
      </w:r>
      <w:r>
        <w:rPr>
          <w:rFonts w:cs="Times New Roman"/>
          <w:kern w:val="0"/>
          <w:szCs w:val="20"/>
        </w:rPr>
        <w:t>堆土、</w:t>
      </w:r>
      <w:r>
        <w:rPr>
          <w:rFonts w:cs="Times New Roman"/>
          <w:kern w:val="0"/>
          <w:szCs w:val="24"/>
        </w:rPr>
        <w:t>弃土采用湿法运输，加盖篷布覆盖，并弃入指定区域，不得随意抛洒。</w:t>
      </w:r>
    </w:p>
    <w:p w:rsidR="00A46452" w:rsidRDefault="009A3928">
      <w:pPr>
        <w:adjustRightInd w:val="0"/>
        <w:ind w:firstLine="500"/>
        <w:textAlignment w:val="baseline"/>
        <w:rPr>
          <w:rFonts w:cs="Times New Roman"/>
          <w:spacing w:val="5"/>
          <w:kern w:val="0"/>
          <w:szCs w:val="24"/>
        </w:rPr>
      </w:pPr>
      <w:r>
        <w:rPr>
          <w:rFonts w:cs="Times New Roman"/>
          <w:spacing w:val="5"/>
          <w:kern w:val="0"/>
          <w:szCs w:val="24"/>
        </w:rPr>
        <w:t>（</w:t>
      </w:r>
      <w:r>
        <w:rPr>
          <w:rFonts w:cs="Times New Roman"/>
          <w:spacing w:val="5"/>
          <w:kern w:val="0"/>
          <w:szCs w:val="24"/>
        </w:rPr>
        <w:t>4</w:t>
      </w:r>
      <w:r>
        <w:rPr>
          <w:rFonts w:cs="Times New Roman"/>
          <w:spacing w:val="5"/>
          <w:kern w:val="0"/>
          <w:szCs w:val="24"/>
        </w:rPr>
        <w:t>）施工便道尽量依托现有道路，减少新建施工便道长度，并根据施工时序，充分利用征地红线范围内的用地。合理安排运输路线，施工便道应尽量远离村庄等环境敏感点。</w:t>
      </w:r>
    </w:p>
    <w:p w:rsidR="00A46452" w:rsidRDefault="009A3928">
      <w:pPr>
        <w:adjustRightInd w:val="0"/>
        <w:ind w:firstLineChars="0" w:firstLine="480"/>
        <w:textAlignment w:val="baseline"/>
        <w:rPr>
          <w:rFonts w:cs="Times New Roman"/>
          <w:spacing w:val="5"/>
          <w:kern w:val="0"/>
          <w:szCs w:val="24"/>
        </w:rPr>
      </w:pPr>
      <w:r>
        <w:rPr>
          <w:rFonts w:cs="Times New Roman"/>
          <w:spacing w:val="5"/>
          <w:kern w:val="0"/>
          <w:szCs w:val="24"/>
        </w:rPr>
        <w:t>（</w:t>
      </w:r>
      <w:r>
        <w:rPr>
          <w:rFonts w:cs="Times New Roman"/>
          <w:spacing w:val="5"/>
          <w:kern w:val="0"/>
          <w:szCs w:val="24"/>
        </w:rPr>
        <w:t>5</w:t>
      </w:r>
      <w:r>
        <w:rPr>
          <w:rFonts w:cs="Times New Roman"/>
          <w:spacing w:val="5"/>
          <w:kern w:val="0"/>
          <w:szCs w:val="24"/>
        </w:rPr>
        <w:t>）施工便道应设置限行桩、彩条旗等标志，严格规定便道施工范围，控制施工边界，避免施工车辆随意行驶，损坏便道以外区域。便道路口应设置限速标志，转弯及视线不良地段应设置</w:t>
      </w:r>
      <w:r>
        <w:rPr>
          <w:rFonts w:cs="Times New Roman"/>
          <w:spacing w:val="5"/>
          <w:kern w:val="0"/>
          <w:szCs w:val="24"/>
        </w:rPr>
        <w:t>注意安全警示标志</w:t>
      </w:r>
      <w:r>
        <w:rPr>
          <w:rFonts w:cs="Times New Roman"/>
          <w:spacing w:val="5"/>
          <w:kern w:val="0"/>
          <w:szCs w:val="24"/>
        </w:rPr>
        <w:t>。施工便道应定期洒水，</w:t>
      </w:r>
      <w:r>
        <w:rPr>
          <w:rFonts w:cs="Times New Roman"/>
          <w:spacing w:val="5"/>
          <w:kern w:val="0"/>
          <w:szCs w:val="24"/>
        </w:rPr>
        <w:t>防止</w:t>
      </w:r>
      <w:r>
        <w:rPr>
          <w:rFonts w:cs="Times New Roman"/>
          <w:spacing w:val="5"/>
          <w:kern w:val="0"/>
          <w:szCs w:val="24"/>
        </w:rPr>
        <w:t>扬尘污染。</w:t>
      </w:r>
    </w:p>
    <w:p w:rsidR="00A46452" w:rsidRDefault="009A3928">
      <w:pPr>
        <w:adjustRightInd w:val="0"/>
        <w:ind w:firstLineChars="0" w:firstLine="480"/>
        <w:textAlignment w:val="baseline"/>
        <w:rPr>
          <w:rFonts w:cs="Times New Roman"/>
          <w:spacing w:val="5"/>
          <w:kern w:val="0"/>
          <w:szCs w:val="24"/>
        </w:rPr>
      </w:pPr>
      <w:r>
        <w:rPr>
          <w:rFonts w:cs="Times New Roman"/>
          <w:spacing w:val="5"/>
          <w:kern w:val="0"/>
          <w:szCs w:val="24"/>
        </w:rPr>
        <w:t>（</w:t>
      </w:r>
      <w:r>
        <w:rPr>
          <w:rFonts w:cs="Times New Roman"/>
          <w:spacing w:val="5"/>
          <w:kern w:val="0"/>
          <w:szCs w:val="24"/>
        </w:rPr>
        <w:t>6</w:t>
      </w:r>
      <w:r>
        <w:rPr>
          <w:rFonts w:cs="Times New Roman"/>
          <w:spacing w:val="5"/>
          <w:kern w:val="0"/>
          <w:szCs w:val="24"/>
        </w:rPr>
        <w:t>）</w:t>
      </w:r>
      <w:r>
        <w:rPr>
          <w:rFonts w:cs="Times New Roman"/>
          <w:spacing w:val="-2"/>
          <w:kern w:val="0"/>
          <w:szCs w:val="24"/>
        </w:rPr>
        <w:t>施工结束后，</w:t>
      </w:r>
      <w:r>
        <w:rPr>
          <w:rFonts w:cs="Times New Roman"/>
          <w:kern w:val="0"/>
          <w:szCs w:val="20"/>
        </w:rPr>
        <w:t>施工便道可交给地方政府公路管理部门进行养护，作为团场内部、镇级、村级公路使用，若无法继续使用，</w:t>
      </w:r>
      <w:r>
        <w:rPr>
          <w:rFonts w:cs="Times New Roman"/>
          <w:spacing w:val="5"/>
          <w:kern w:val="0"/>
          <w:szCs w:val="24"/>
        </w:rPr>
        <w:t>应根据恢复方案及时进行土地整治和植被恢复，占用林地和草地的采用植灌、草进行植被恢复，占用耕地的覆盖耕植土进行复耕。</w:t>
      </w:r>
    </w:p>
    <w:p w:rsidR="00A46452" w:rsidRDefault="009A3928">
      <w:pPr>
        <w:wordWrap w:val="0"/>
        <w:topLinePunct/>
        <w:adjustRightInd w:val="0"/>
        <w:snapToGrid w:val="0"/>
        <w:ind w:firstLine="480"/>
        <w:rPr>
          <w:rFonts w:cs="Times New Roman"/>
          <w:snapToGrid w:val="0"/>
          <w:lang w:val="zh-CN"/>
        </w:rPr>
      </w:pPr>
      <w:r>
        <w:rPr>
          <w:rFonts w:cs="Times New Roman"/>
          <w:kern w:val="0"/>
          <w:szCs w:val="24"/>
        </w:rPr>
        <w:t>（</w:t>
      </w:r>
      <w:r>
        <w:rPr>
          <w:rFonts w:cs="Times New Roman"/>
          <w:kern w:val="0"/>
          <w:szCs w:val="24"/>
        </w:rPr>
        <w:t>7</w:t>
      </w:r>
      <w:r>
        <w:rPr>
          <w:rFonts w:cs="Times New Roman"/>
          <w:kern w:val="0"/>
          <w:szCs w:val="24"/>
        </w:rPr>
        <w:t>）</w:t>
      </w:r>
      <w:r>
        <w:rPr>
          <w:rFonts w:cs="Times New Roman"/>
          <w:kern w:val="0"/>
          <w:szCs w:val="20"/>
        </w:rPr>
        <w:t>施工结束后，</w:t>
      </w:r>
      <w:r>
        <w:rPr>
          <w:rFonts w:cs="Times New Roman"/>
          <w:kern w:val="0"/>
          <w:szCs w:val="20"/>
        </w:rPr>
        <w:t>施工便道</w:t>
      </w:r>
      <w:r>
        <w:rPr>
          <w:rFonts w:cs="Times New Roman"/>
          <w:kern w:val="0"/>
          <w:szCs w:val="20"/>
        </w:rPr>
        <w:t>及施工生产生活区应立即清除周围一切杂物，边坡平整、压实、均匀覆表土后及时采取植被恢复措施。</w:t>
      </w:r>
    </w:p>
    <w:p w:rsidR="00A46452" w:rsidRDefault="009A3928">
      <w:pPr>
        <w:pStyle w:val="52"/>
        <w:keepNext w:val="0"/>
        <w:widowControl w:val="0"/>
        <w:wordWrap w:val="0"/>
        <w:topLinePunct/>
        <w:ind w:firstLineChars="0"/>
        <w:rPr>
          <w:rFonts w:cs="Times New Roman" w:hint="default"/>
          <w:lang w:val="zh-CN"/>
        </w:rPr>
      </w:pPr>
      <w:r>
        <w:rPr>
          <w:rFonts w:cs="Times New Roman" w:hint="default"/>
        </w:rPr>
        <w:t>8.1.1.2.5</w:t>
      </w:r>
      <w:r>
        <w:rPr>
          <w:rFonts w:cs="Times New Roman" w:hint="default"/>
          <w:lang w:val="zh-CN"/>
        </w:rPr>
        <w:t>风积沙防风治沙措施</w:t>
      </w:r>
    </w:p>
    <w:p w:rsidR="00A46452" w:rsidRDefault="009A3928">
      <w:pPr>
        <w:ind w:firstLine="480"/>
        <w:rPr>
          <w:rFonts w:cs="Times New Roman"/>
          <w:szCs w:val="24"/>
        </w:rPr>
      </w:pPr>
      <w:r>
        <w:rPr>
          <w:rFonts w:cs="Times New Roman"/>
          <w:szCs w:val="24"/>
        </w:rPr>
        <w:t>根据《全国防沙治沙规划（</w:t>
      </w:r>
      <w:r>
        <w:rPr>
          <w:rFonts w:cs="Times New Roman"/>
          <w:szCs w:val="24"/>
        </w:rPr>
        <w:t>2021-2030</w:t>
      </w:r>
      <w:r>
        <w:rPr>
          <w:rFonts w:cs="Times New Roman"/>
          <w:szCs w:val="24"/>
        </w:rPr>
        <w:t>）》《新疆维吾尔自治区防沙治沙规划（</w:t>
      </w:r>
      <w:r>
        <w:rPr>
          <w:rFonts w:cs="Times New Roman"/>
          <w:szCs w:val="24"/>
        </w:rPr>
        <w:t>2021-2030</w:t>
      </w:r>
      <w:r>
        <w:rPr>
          <w:rFonts w:cs="Times New Roman"/>
          <w:szCs w:val="24"/>
        </w:rPr>
        <w:t>）》和《关于加强沙区建设项目环境影响评价工作的通知》（新环环评发</w:t>
      </w:r>
      <w:r>
        <w:rPr>
          <w:rFonts w:cs="Times New Roman"/>
          <w:szCs w:val="24"/>
        </w:rPr>
        <w:t>〔</w:t>
      </w:r>
      <w:r>
        <w:rPr>
          <w:rFonts w:cs="Times New Roman"/>
          <w:szCs w:val="24"/>
        </w:rPr>
        <w:t>2020</w:t>
      </w:r>
      <w:r>
        <w:rPr>
          <w:rFonts w:cs="Times New Roman"/>
          <w:szCs w:val="24"/>
        </w:rPr>
        <w:t>〕</w:t>
      </w:r>
      <w:r>
        <w:rPr>
          <w:rFonts w:cs="Times New Roman"/>
          <w:szCs w:val="24"/>
        </w:rPr>
        <w:t>138</w:t>
      </w:r>
      <w:r>
        <w:rPr>
          <w:rFonts w:cs="Times New Roman"/>
          <w:szCs w:val="24"/>
        </w:rPr>
        <w:t>号</w:t>
      </w:r>
      <w:r>
        <w:rPr>
          <w:rFonts w:cs="Times New Roman"/>
          <w:szCs w:val="24"/>
        </w:rPr>
        <w:t>）要求，在沙化土地区，根据沙化土地类型、沙化程度并结合水土流失治理等技术措施，进行生态治理。通过综合措施，遏制沙化土地扩展，抑制流沙侵袭，实现绿洲可持续发展。</w:t>
      </w:r>
    </w:p>
    <w:p w:rsidR="00A46452" w:rsidRDefault="009A3928">
      <w:pPr>
        <w:ind w:firstLine="480"/>
        <w:rPr>
          <w:rFonts w:cs="Times New Roman"/>
          <w:szCs w:val="24"/>
        </w:rPr>
      </w:pPr>
      <w:r>
        <w:rPr>
          <w:rFonts w:cs="Times New Roman"/>
          <w:szCs w:val="24"/>
        </w:rPr>
        <w:t>拟建公路图木舒克区域内起沙风向为北东向，</w:t>
      </w:r>
      <w:r>
        <w:rPr>
          <w:rFonts w:cs="Times New Roman"/>
          <w:szCs w:val="24"/>
        </w:rPr>
        <w:t>3</w:t>
      </w:r>
      <w:r>
        <w:rPr>
          <w:rFonts w:cs="Times New Roman"/>
          <w:szCs w:val="24"/>
        </w:rPr>
        <w:t>月至</w:t>
      </w:r>
      <w:r>
        <w:rPr>
          <w:rFonts w:cs="Times New Roman"/>
          <w:szCs w:val="24"/>
        </w:rPr>
        <w:t>10</w:t>
      </w:r>
      <w:r>
        <w:rPr>
          <w:rFonts w:cs="Times New Roman"/>
          <w:szCs w:val="24"/>
        </w:rPr>
        <w:t>月大风天较多，易形成沙尘，线路桩号</w:t>
      </w:r>
      <w:r>
        <w:rPr>
          <w:rFonts w:cs="Times New Roman"/>
          <w:szCs w:val="24"/>
        </w:rPr>
        <w:t>K31+700</w:t>
      </w:r>
      <w:r>
        <w:rPr>
          <w:rFonts w:cs="Times New Roman"/>
          <w:szCs w:val="24"/>
        </w:rPr>
        <w:t>～</w:t>
      </w:r>
      <w:r>
        <w:rPr>
          <w:rFonts w:cs="Times New Roman"/>
          <w:szCs w:val="24"/>
        </w:rPr>
        <w:t>K43+400</w:t>
      </w:r>
      <w:r>
        <w:rPr>
          <w:rFonts w:cs="Times New Roman"/>
          <w:szCs w:val="24"/>
        </w:rPr>
        <w:t>段与</w:t>
      </w:r>
      <w:r>
        <w:rPr>
          <w:rFonts w:cs="Times New Roman"/>
          <w:szCs w:val="24"/>
        </w:rPr>
        <w:t>K55+000</w:t>
      </w:r>
      <w:r>
        <w:rPr>
          <w:rFonts w:cs="Times New Roman"/>
          <w:szCs w:val="24"/>
        </w:rPr>
        <w:t>～</w:t>
      </w:r>
      <w:r>
        <w:rPr>
          <w:rFonts w:cs="Times New Roman"/>
          <w:szCs w:val="24"/>
        </w:rPr>
        <w:t>K61+300</w:t>
      </w:r>
      <w:r>
        <w:rPr>
          <w:rFonts w:cs="Times New Roman"/>
          <w:szCs w:val="24"/>
        </w:rPr>
        <w:t>段位于风积沙漠区及过渡地带，受风沙影响明显，为风沙危害路段。</w:t>
      </w:r>
    </w:p>
    <w:p w:rsidR="00A46452" w:rsidRDefault="009A3928" w:rsidP="00182EED">
      <w:pPr>
        <w:widowControl/>
        <w:ind w:firstLine="480"/>
        <w:jc w:val="left"/>
        <w:rPr>
          <w:rFonts w:cs="Times New Roman"/>
        </w:rPr>
      </w:pPr>
      <w:r>
        <w:rPr>
          <w:rFonts w:cs="Times New Roman"/>
          <w:kern w:val="0"/>
          <w:szCs w:val="24"/>
          <w:lang w:bidi="ar"/>
        </w:rPr>
        <w:t>（</w:t>
      </w:r>
      <w:r>
        <w:rPr>
          <w:rFonts w:cs="Times New Roman"/>
          <w:kern w:val="0"/>
          <w:szCs w:val="24"/>
          <w:lang w:bidi="ar"/>
        </w:rPr>
        <w:t>1</w:t>
      </w:r>
      <w:r>
        <w:rPr>
          <w:rFonts w:cs="Times New Roman"/>
          <w:kern w:val="0"/>
          <w:szCs w:val="24"/>
          <w:lang w:bidi="ar"/>
        </w:rPr>
        <w:t>）当地沙害防治方法</w:t>
      </w:r>
    </w:p>
    <w:p w:rsidR="00A46452" w:rsidRDefault="009A3928" w:rsidP="00182EED">
      <w:pPr>
        <w:widowControl/>
        <w:ind w:firstLine="480"/>
        <w:jc w:val="left"/>
        <w:rPr>
          <w:rFonts w:cs="Times New Roman"/>
        </w:rPr>
      </w:pPr>
      <w:r>
        <w:rPr>
          <w:rFonts w:cs="Times New Roman"/>
          <w:kern w:val="0"/>
          <w:szCs w:val="24"/>
          <w:lang w:bidi="ar"/>
        </w:rPr>
        <w:t>①</w:t>
      </w:r>
      <w:r>
        <w:rPr>
          <w:rFonts w:cs="Times New Roman"/>
          <w:kern w:val="0"/>
          <w:szCs w:val="24"/>
          <w:lang w:bidi="ar"/>
        </w:rPr>
        <w:t>高立式栅栏阻沙：在公路两侧较远处，设置高立式栅栏阻沙。栅栏工程的作用可以归纳四个方面一是阻滞整个风沙流过境，二是阻滞低矮沙丘前移，</w:t>
      </w:r>
      <w:r>
        <w:rPr>
          <w:rFonts w:cs="Times New Roman"/>
          <w:kern w:val="0"/>
          <w:szCs w:val="24"/>
          <w:lang w:bidi="ar"/>
        </w:rPr>
        <w:t xml:space="preserve"> </w:t>
      </w:r>
      <w:r>
        <w:rPr>
          <w:rFonts w:cs="Times New Roman"/>
          <w:kern w:val="0"/>
          <w:szCs w:val="24"/>
          <w:lang w:bidi="ar"/>
        </w:rPr>
        <w:t>三是形成高沙堤，减缓沙丘前进速度和化解沙丘整体移动为风沙流分散运动，四是相应增加防护宽度。栅栏工程可分为紧密型、通风型和疏透型三种类型</w:t>
      </w:r>
      <w:r>
        <w:rPr>
          <w:rFonts w:cs="Times New Roman"/>
          <w:kern w:val="0"/>
          <w:szCs w:val="24"/>
          <w:lang w:bidi="ar"/>
        </w:rPr>
        <w:t xml:space="preserve"> </w:t>
      </w:r>
      <w:r>
        <w:rPr>
          <w:rFonts w:cs="Times New Roman"/>
          <w:kern w:val="0"/>
          <w:szCs w:val="24"/>
          <w:lang w:bidi="ar"/>
        </w:rPr>
        <w:t>按排列可分为单行栅栏、多行栅栏和异型栅栏。栅栏的材料可以用枝条、芦苇和尼龙网等。根据当地材料来源，公路两侧栅栏材料大致有以下几种</w:t>
      </w:r>
      <w:r>
        <w:rPr>
          <w:rFonts w:cs="Times New Roman"/>
          <w:kern w:val="0"/>
          <w:szCs w:val="24"/>
          <w:lang w:bidi="ar"/>
        </w:rPr>
        <w:t>:(a)</w:t>
      </w:r>
      <w:r>
        <w:rPr>
          <w:rFonts w:cs="Times New Roman"/>
          <w:kern w:val="0"/>
          <w:szCs w:val="24"/>
          <w:lang w:bidi="ar"/>
        </w:rPr>
        <w:t>原状芦苇和加固木桩组成的疏透型栅栏，透风度约为</w:t>
      </w:r>
      <w:r>
        <w:rPr>
          <w:rFonts w:cs="Times New Roman"/>
          <w:kern w:val="0"/>
          <w:szCs w:val="24"/>
          <w:lang w:bidi="ar"/>
        </w:rPr>
        <w:t xml:space="preserve"> 35</w:t>
      </w:r>
      <w:r>
        <w:rPr>
          <w:rFonts w:cs="Times New Roman" w:hint="eastAsia"/>
          <w:kern w:val="0"/>
          <w:szCs w:val="24"/>
          <w:lang w:bidi="ar"/>
        </w:rPr>
        <w:t>%</w:t>
      </w:r>
      <w:r>
        <w:rPr>
          <w:rFonts w:cs="Times New Roman" w:hint="eastAsia"/>
          <w:kern w:val="0"/>
          <w:szCs w:val="24"/>
          <w:lang w:bidi="ar"/>
        </w:rPr>
        <w:t>～</w:t>
      </w:r>
      <w:r>
        <w:rPr>
          <w:rFonts w:cs="Times New Roman"/>
          <w:kern w:val="0"/>
          <w:szCs w:val="24"/>
          <w:lang w:bidi="ar"/>
        </w:rPr>
        <w:t>45%</w:t>
      </w:r>
      <w:r>
        <w:rPr>
          <w:rFonts w:cs="Times New Roman"/>
          <w:kern w:val="0"/>
          <w:szCs w:val="24"/>
          <w:lang w:bidi="ar"/>
        </w:rPr>
        <w:t>左右。</w:t>
      </w:r>
      <w:r>
        <w:rPr>
          <w:rFonts w:cs="Times New Roman"/>
          <w:kern w:val="0"/>
          <w:szCs w:val="24"/>
          <w:lang w:bidi="ar"/>
        </w:rPr>
        <w:t>(b)</w:t>
      </w:r>
      <w:r>
        <w:rPr>
          <w:rFonts w:cs="Times New Roman"/>
          <w:kern w:val="0"/>
          <w:szCs w:val="24"/>
          <w:lang w:bidi="ar"/>
        </w:rPr>
        <w:t>以原状芦苇把编成的紧密型栅栏，透风度</w:t>
      </w:r>
      <w:r>
        <w:rPr>
          <w:rFonts w:cs="Times New Roman"/>
          <w:kern w:val="0"/>
          <w:szCs w:val="24"/>
          <w:lang w:bidi="ar"/>
        </w:rPr>
        <w:t>&lt;l0%</w:t>
      </w:r>
      <w:r>
        <w:rPr>
          <w:rFonts w:cs="Times New Roman"/>
          <w:kern w:val="0"/>
          <w:szCs w:val="24"/>
          <w:lang w:bidi="ar"/>
        </w:rPr>
        <w:t>。</w:t>
      </w:r>
      <w:r>
        <w:rPr>
          <w:rFonts w:cs="Times New Roman"/>
          <w:kern w:val="0"/>
          <w:szCs w:val="24"/>
          <w:lang w:bidi="ar"/>
        </w:rPr>
        <w:t>(c)</w:t>
      </w:r>
      <w:r>
        <w:rPr>
          <w:rFonts w:cs="Times New Roman"/>
          <w:kern w:val="0"/>
          <w:szCs w:val="24"/>
          <w:lang w:bidi="ar"/>
        </w:rPr>
        <w:t>尼龙阿通风型栅栏。通过流场测定和堆积量量测，不论芦苇栅栏还是尼龙栅栏，风速经过栅栏后，受到较大的削减，由于受栅栏的阻挡，小型沙丘前移速度明显减缓，并且形成了较为陡峭的落沙坡形态。</w:t>
      </w:r>
      <w:r>
        <w:rPr>
          <w:rFonts w:cs="Times New Roman"/>
          <w:kern w:val="0"/>
          <w:szCs w:val="24"/>
          <w:lang w:bidi="ar"/>
        </w:rPr>
        <w:t xml:space="preserve"> </w:t>
      </w:r>
    </w:p>
    <w:p w:rsidR="00A46452" w:rsidRDefault="009A3928" w:rsidP="00182EED">
      <w:pPr>
        <w:widowControl/>
        <w:ind w:firstLine="480"/>
        <w:jc w:val="left"/>
        <w:rPr>
          <w:rFonts w:cs="Times New Roman"/>
        </w:rPr>
      </w:pPr>
      <w:r>
        <w:rPr>
          <w:rFonts w:cs="Times New Roman"/>
          <w:kern w:val="0"/>
          <w:szCs w:val="24"/>
          <w:lang w:bidi="ar"/>
        </w:rPr>
        <w:t>②</w:t>
      </w:r>
      <w:r>
        <w:rPr>
          <w:rFonts w:cs="Times New Roman"/>
          <w:kern w:val="0"/>
          <w:szCs w:val="24"/>
          <w:lang w:bidi="ar"/>
        </w:rPr>
        <w:t>草方格沙障固沙：在公路两侧扎制草方格固沙是目前国内外应用最为广泛的</w:t>
      </w:r>
      <w:r>
        <w:rPr>
          <w:rFonts w:cs="Times New Roman"/>
          <w:kern w:val="0"/>
          <w:szCs w:val="24"/>
          <w:lang w:bidi="ar"/>
        </w:rPr>
        <w:t>方法。扎制草方格的草类多种多样，柔性草类为好，因为柔性草可以充分干扰和分散气流。根据就地取材的原则，使用压碾过的芦苇扎制草方格固抄，取得了明显固沙效果。扎制草方格的宽度应根据沙害的严重程度而定草方格的规格有</w:t>
      </w:r>
      <w:r>
        <w:rPr>
          <w:rFonts w:cs="Times New Roman"/>
          <w:kern w:val="0"/>
          <w:szCs w:val="24"/>
          <w:lang w:bidi="ar"/>
        </w:rPr>
        <w:t xml:space="preserve"> 0.75m×0.75m</w:t>
      </w:r>
      <w:r>
        <w:rPr>
          <w:rFonts w:cs="Times New Roman"/>
          <w:kern w:val="0"/>
          <w:szCs w:val="24"/>
          <w:lang w:bidi="ar"/>
        </w:rPr>
        <w:t>，</w:t>
      </w:r>
      <w:r>
        <w:rPr>
          <w:rFonts w:cs="Times New Roman"/>
          <w:kern w:val="0"/>
          <w:szCs w:val="24"/>
          <w:lang w:bidi="ar"/>
        </w:rPr>
        <w:t>1m×1m</w:t>
      </w:r>
      <w:r>
        <w:rPr>
          <w:rFonts w:cs="Times New Roman"/>
          <w:kern w:val="0"/>
          <w:szCs w:val="24"/>
          <w:lang w:bidi="ar"/>
        </w:rPr>
        <w:t>，</w:t>
      </w:r>
      <w:r>
        <w:rPr>
          <w:rFonts w:cs="Times New Roman"/>
          <w:kern w:val="0"/>
          <w:szCs w:val="24"/>
          <w:lang w:bidi="ar"/>
        </w:rPr>
        <w:t>1.5m×1.5m</w:t>
      </w:r>
      <w:r>
        <w:rPr>
          <w:rFonts w:cs="Times New Roman"/>
          <w:kern w:val="0"/>
          <w:szCs w:val="24"/>
          <w:lang w:bidi="ar"/>
        </w:rPr>
        <w:t>，</w:t>
      </w:r>
      <w:r>
        <w:rPr>
          <w:rFonts w:cs="Times New Roman"/>
          <w:kern w:val="0"/>
          <w:szCs w:val="24"/>
          <w:lang w:bidi="ar"/>
        </w:rPr>
        <w:t xml:space="preserve">1m×2m </w:t>
      </w:r>
      <w:r>
        <w:rPr>
          <w:rFonts w:cs="Times New Roman"/>
          <w:kern w:val="0"/>
          <w:szCs w:val="24"/>
          <w:lang w:bidi="ar"/>
        </w:rPr>
        <w:t>方格，也有</w:t>
      </w:r>
      <w:r>
        <w:rPr>
          <w:rFonts w:cs="Times New Roman"/>
          <w:kern w:val="0"/>
          <w:szCs w:val="24"/>
          <w:lang w:bidi="ar"/>
        </w:rPr>
        <w:t>1m</w:t>
      </w:r>
      <w:r>
        <w:rPr>
          <w:rFonts w:cs="Times New Roman"/>
          <w:kern w:val="0"/>
          <w:szCs w:val="24"/>
          <w:lang w:bidi="ar"/>
        </w:rPr>
        <w:t>带状芦苇沙障。草的外露高度均在</w:t>
      </w:r>
      <w:r>
        <w:rPr>
          <w:rFonts w:cs="Times New Roman"/>
          <w:kern w:val="0"/>
          <w:szCs w:val="24"/>
          <w:lang w:bidi="ar"/>
        </w:rPr>
        <w:t>15cm</w:t>
      </w:r>
      <w:r>
        <w:rPr>
          <w:rFonts w:cs="Times New Roman"/>
          <w:kern w:val="0"/>
          <w:szCs w:val="24"/>
          <w:lang w:bidi="ar"/>
        </w:rPr>
        <w:t>左右。草方格沙障固沙原理是通过扎制沙障加大地面粗糙度，从而加大近地面层的风速梯度变化，把贴近地表风速减小到使沙粒起跳的临界风速以下，从而保证了地面不起沙。</w:t>
      </w:r>
    </w:p>
    <w:p w:rsidR="00A46452" w:rsidRDefault="009A3928" w:rsidP="00182EED">
      <w:pPr>
        <w:widowControl/>
        <w:ind w:firstLine="480"/>
        <w:jc w:val="left"/>
        <w:rPr>
          <w:rFonts w:cs="Times New Roman"/>
          <w:kern w:val="0"/>
          <w:szCs w:val="24"/>
          <w:lang w:bidi="ar"/>
        </w:rPr>
      </w:pPr>
      <w:r>
        <w:rPr>
          <w:rFonts w:cs="Times New Roman"/>
          <w:kern w:val="0"/>
          <w:szCs w:val="24"/>
          <w:lang w:bidi="ar"/>
        </w:rPr>
        <w:t>③</w:t>
      </w:r>
      <w:r>
        <w:rPr>
          <w:rFonts w:cs="Times New Roman"/>
          <w:kern w:val="0"/>
          <w:szCs w:val="24"/>
          <w:lang w:bidi="ar"/>
        </w:rPr>
        <w:t>化学材料固沙：化学固沙是将</w:t>
      </w:r>
      <w:r>
        <w:rPr>
          <w:rFonts w:cs="Times New Roman"/>
          <w:kern w:val="0"/>
          <w:szCs w:val="24"/>
          <w:lang w:bidi="ar"/>
        </w:rPr>
        <w:t>化学物质喷洒在沙面上粘结凝聚表面，或在沙面上形成保护膜，使沙表面能够抵御风的吹蚀，不产生风沙流，从而固定沙丘在沙漠公路沿线，实施了三种化学固沙原料：乳化沥青、</w:t>
      </w:r>
      <w:r>
        <w:rPr>
          <w:rFonts w:cs="Times New Roman"/>
          <w:kern w:val="0"/>
          <w:szCs w:val="24"/>
          <w:lang w:bidi="ar"/>
        </w:rPr>
        <w:t>L-P</w:t>
      </w:r>
      <w:r>
        <w:rPr>
          <w:rFonts w:cs="Times New Roman"/>
          <w:kern w:val="0"/>
          <w:szCs w:val="24"/>
          <w:lang w:bidi="ar"/>
        </w:rPr>
        <w:t>高分子聚合物和盐液。除盐液因空气相对湿度过小，和流沙表面干沙层太厚。喷洒过程中结晶或一接触地面即脱，未在地表形成盐胶层外，其余两种化学固沙剂都有一定的固沙效果，而且可以机械化施工节省人力。当地很少采用此方法。</w:t>
      </w:r>
    </w:p>
    <w:p w:rsidR="00A46452" w:rsidRDefault="009A3928" w:rsidP="00182EED">
      <w:pPr>
        <w:widowControl/>
        <w:ind w:firstLine="480"/>
        <w:jc w:val="left"/>
        <w:rPr>
          <w:rFonts w:cs="Times New Roman"/>
        </w:rPr>
      </w:pPr>
      <w:r>
        <w:rPr>
          <w:rFonts w:cs="Times New Roman"/>
          <w:kern w:val="0"/>
          <w:szCs w:val="24"/>
          <w:lang w:bidi="ar"/>
        </w:rPr>
        <w:t>④</w:t>
      </w:r>
      <w:r>
        <w:rPr>
          <w:rFonts w:cs="Times New Roman"/>
          <w:kern w:val="0"/>
          <w:szCs w:val="24"/>
          <w:lang w:bidi="ar"/>
        </w:rPr>
        <w:t>生物固沙：生物固沙是一项相对永久的措施。沿沙漠公路建立绿色植被带，不仅可以起到防沙治沙的作用，对改变塔里木盆地沙漠生态环境也会起到积极作</w:t>
      </w:r>
      <w:r>
        <w:rPr>
          <w:rFonts w:cs="Times New Roman"/>
          <w:kern w:val="0"/>
          <w:szCs w:val="24"/>
          <w:lang w:bidi="ar"/>
        </w:rPr>
        <w:t>用。当地多采用抗旱耐盐植物，</w:t>
      </w:r>
      <w:r>
        <w:rPr>
          <w:rFonts w:cs="Times New Roman"/>
          <w:kern w:val="0"/>
          <w:szCs w:val="24"/>
          <w:lang w:bidi="ar"/>
        </w:rPr>
        <w:t>主要</w:t>
      </w:r>
      <w:r>
        <w:rPr>
          <w:rFonts w:cs="Times New Roman"/>
          <w:kern w:val="0"/>
          <w:szCs w:val="24"/>
          <w:lang w:bidi="ar"/>
        </w:rPr>
        <w:t>是沙枣、长穗柽柳、甘肃柽柳、刚毛柽柳、甘蒙柽柳、东疆沙拐枣、泡果沙拐枣、密枣沙拐枣、心形沙拐枣、头状沙拐枣、乔木状沙拐枣、红皮沙拐枣、梭梭、白梭梭、刺沙蓬、白茎盐生草和红茎盐生草等。</w:t>
      </w:r>
    </w:p>
    <w:p w:rsidR="00A46452" w:rsidRDefault="009A3928" w:rsidP="00182EED">
      <w:pPr>
        <w:widowControl/>
        <w:ind w:firstLine="480"/>
        <w:jc w:val="left"/>
        <w:rPr>
          <w:rFonts w:cs="Times New Roman"/>
          <w:szCs w:val="24"/>
        </w:rPr>
      </w:pPr>
      <w:r>
        <w:rPr>
          <w:rFonts w:cs="Times New Roman"/>
          <w:kern w:val="0"/>
          <w:szCs w:val="24"/>
          <w:lang w:bidi="ar"/>
        </w:rPr>
        <w:t>⑤</w:t>
      </w:r>
      <w:r>
        <w:rPr>
          <w:rFonts w:cs="Times New Roman"/>
          <w:kern w:val="0"/>
          <w:szCs w:val="24"/>
          <w:lang w:bidi="ar"/>
        </w:rPr>
        <w:t>路基边坡防护：作好路基边坡防护措施，有利于风沙流越过路堤和防止路基风蚀。在已建沙漠公路沿线共设置了四种材料的防护措施：砂砾覆盖、扎草方格、淤土覆盖和</w:t>
      </w:r>
      <w:r>
        <w:rPr>
          <w:rFonts w:cs="Times New Roman"/>
          <w:kern w:val="0"/>
          <w:szCs w:val="24"/>
          <w:lang w:bidi="ar"/>
        </w:rPr>
        <w:t>L-P</w:t>
      </w:r>
      <w:r>
        <w:rPr>
          <w:rFonts w:cs="Times New Roman"/>
          <w:kern w:val="0"/>
          <w:szCs w:val="24"/>
          <w:lang w:bidi="ar"/>
        </w:rPr>
        <w:t>高分子材料固沙。</w:t>
      </w:r>
    </w:p>
    <w:p w:rsidR="00A46452" w:rsidRDefault="009A3928">
      <w:pPr>
        <w:ind w:firstLine="480"/>
        <w:rPr>
          <w:rFonts w:cs="Times New Roman"/>
          <w:szCs w:val="24"/>
        </w:rPr>
      </w:pPr>
      <w:r>
        <w:rPr>
          <w:rFonts w:cs="Times New Roman"/>
          <w:szCs w:val="24"/>
        </w:rPr>
        <w:t>（</w:t>
      </w:r>
      <w:r>
        <w:rPr>
          <w:rFonts w:cs="Times New Roman"/>
          <w:szCs w:val="24"/>
        </w:rPr>
        <w:t>2</w:t>
      </w:r>
      <w:r>
        <w:rPr>
          <w:rFonts w:cs="Times New Roman"/>
          <w:szCs w:val="24"/>
        </w:rPr>
        <w:t>）要坚持</w:t>
      </w:r>
      <w:r>
        <w:rPr>
          <w:rFonts w:cs="Times New Roman"/>
          <w:szCs w:val="24"/>
        </w:rPr>
        <w:t>“</w:t>
      </w:r>
      <w:r>
        <w:rPr>
          <w:rFonts w:cs="Times New Roman"/>
          <w:szCs w:val="24"/>
        </w:rPr>
        <w:t>因地制宜、因害设防、保护优先、综合治理</w:t>
      </w:r>
      <w:r>
        <w:rPr>
          <w:rFonts w:cs="Times New Roman"/>
          <w:szCs w:val="24"/>
        </w:rPr>
        <w:t>”</w:t>
      </w:r>
      <w:r>
        <w:rPr>
          <w:rFonts w:cs="Times New Roman"/>
          <w:szCs w:val="24"/>
        </w:rPr>
        <w:t>的原则，坚持宜乔则乔、宜灌则灌、宜草则草，采取以林草植被恢复为主的综</w:t>
      </w:r>
      <w:r>
        <w:rPr>
          <w:rFonts w:cs="Times New Roman"/>
          <w:szCs w:val="24"/>
        </w:rPr>
        <w:t>合措施，加强地表覆盖，减少尘源，做好植被保护、生态修复和补偿以及防沙治沙工作。</w:t>
      </w:r>
    </w:p>
    <w:p w:rsidR="00A46452" w:rsidRDefault="009A3928">
      <w:pPr>
        <w:ind w:firstLine="480"/>
        <w:rPr>
          <w:rFonts w:cs="Times New Roman"/>
          <w:szCs w:val="24"/>
        </w:rPr>
      </w:pPr>
      <w:r>
        <w:rPr>
          <w:rFonts w:cs="Times New Roman"/>
          <w:szCs w:val="24"/>
        </w:rPr>
        <w:t>（</w:t>
      </w:r>
      <w:r>
        <w:rPr>
          <w:rFonts w:cs="Times New Roman"/>
          <w:szCs w:val="24"/>
        </w:rPr>
        <w:t>3</w:t>
      </w:r>
      <w:r>
        <w:rPr>
          <w:rFonts w:cs="Times New Roman"/>
          <w:szCs w:val="24"/>
        </w:rPr>
        <w:t>）严格控制施工范围，严禁随意破坏防风固沙设施，重点要保护荒漠植被、</w:t>
      </w:r>
      <w:r>
        <w:rPr>
          <w:rFonts w:cs="Times New Roman"/>
          <w:spacing w:val="-3"/>
          <w:szCs w:val="24"/>
        </w:rPr>
        <w:t>砾幕</w:t>
      </w:r>
      <w:r>
        <w:rPr>
          <w:rFonts w:cs="Times New Roman"/>
          <w:szCs w:val="24"/>
        </w:rPr>
        <w:t>。明确设定施工区域，严格划定施工作业带范围，限制施工人员的活动范围。施工便道使用当地现有道路，施工生产生活区租用现有场地，尽可能减少</w:t>
      </w:r>
      <w:r>
        <w:rPr>
          <w:rFonts w:cs="Times New Roman"/>
          <w:szCs w:val="24"/>
        </w:rPr>
        <w:t xml:space="preserve"> </w:t>
      </w:r>
      <w:r>
        <w:rPr>
          <w:rFonts w:cs="Times New Roman"/>
          <w:szCs w:val="24"/>
        </w:rPr>
        <w:t>对地表的扰动和植被的破坏。严格落实拟建公路水土保持方案中的水土流失、防沙治沙措施，保护施工区植被。</w:t>
      </w:r>
    </w:p>
    <w:p w:rsidR="00A46452" w:rsidRDefault="009A3928">
      <w:pPr>
        <w:ind w:firstLine="480"/>
        <w:rPr>
          <w:rFonts w:cs="Times New Roman"/>
          <w:szCs w:val="24"/>
        </w:rPr>
      </w:pPr>
      <w:r>
        <w:rPr>
          <w:rFonts w:cs="Times New Roman"/>
          <w:szCs w:val="24"/>
        </w:rPr>
        <w:t>（</w:t>
      </w:r>
      <w:r>
        <w:rPr>
          <w:rFonts w:cs="Times New Roman"/>
          <w:szCs w:val="24"/>
        </w:rPr>
        <w:t>4</w:t>
      </w:r>
      <w:r>
        <w:rPr>
          <w:rFonts w:cs="Times New Roman"/>
          <w:szCs w:val="24"/>
        </w:rPr>
        <w:t>）拟建公路在荒漠路段布设的施工生产生活区，应该注意做好表层砾幕层的保护工作，取土、弃渣完工后碎石块恢复戈壁滩上的砾幕，使地表与周围地貌协调。</w:t>
      </w:r>
    </w:p>
    <w:p w:rsidR="00A46452" w:rsidRDefault="009A3928">
      <w:pPr>
        <w:ind w:firstLine="480"/>
        <w:rPr>
          <w:rFonts w:cs="Times New Roman"/>
          <w:szCs w:val="24"/>
        </w:rPr>
      </w:pPr>
      <w:r>
        <w:rPr>
          <w:rFonts w:cs="Times New Roman"/>
          <w:szCs w:val="24"/>
        </w:rPr>
        <w:t>（</w:t>
      </w:r>
      <w:r>
        <w:rPr>
          <w:rFonts w:cs="Times New Roman"/>
          <w:szCs w:val="24"/>
        </w:rPr>
        <w:t>5</w:t>
      </w:r>
      <w:r>
        <w:rPr>
          <w:rFonts w:cs="Times New Roman"/>
          <w:szCs w:val="24"/>
        </w:rPr>
        <w:t>）保存永久占地的表层土，为后期植被恢复提供良好的土壤。对于建设中永久占用植被部分的表层土予以收集保存，在其他土壤贫瘠处铺设以生态恢复。</w:t>
      </w:r>
    </w:p>
    <w:p w:rsidR="00A46452" w:rsidRDefault="009A3928">
      <w:pPr>
        <w:ind w:firstLine="480"/>
        <w:rPr>
          <w:rFonts w:cs="Times New Roman"/>
          <w:szCs w:val="24"/>
        </w:rPr>
      </w:pPr>
      <w:r>
        <w:rPr>
          <w:rFonts w:cs="Times New Roman"/>
          <w:szCs w:val="24"/>
        </w:rPr>
        <w:t>（</w:t>
      </w:r>
      <w:r>
        <w:rPr>
          <w:rFonts w:cs="Times New Roman"/>
          <w:szCs w:val="24"/>
        </w:rPr>
        <w:t>6</w:t>
      </w:r>
      <w:r>
        <w:rPr>
          <w:rFonts w:cs="Times New Roman"/>
          <w:szCs w:val="24"/>
        </w:rPr>
        <w:t>）加强植物防护，路基边坡采用植物护坡，植物选择当地植物物种，采用灌草结合的方式；公路两侧永久占地范围内应加强绿化，防止水土流失、防风固沙。</w:t>
      </w:r>
    </w:p>
    <w:p w:rsidR="00A46452" w:rsidRDefault="009A3928">
      <w:pPr>
        <w:ind w:firstLineChars="0" w:firstLine="480"/>
        <w:rPr>
          <w:rFonts w:cs="Times New Roman"/>
          <w:szCs w:val="24"/>
        </w:rPr>
      </w:pPr>
      <w:r>
        <w:rPr>
          <w:rFonts w:cs="Times New Roman"/>
          <w:szCs w:val="24"/>
        </w:rPr>
        <w:t>（</w:t>
      </w:r>
      <w:r>
        <w:rPr>
          <w:rFonts w:cs="Times New Roman"/>
          <w:szCs w:val="24"/>
        </w:rPr>
        <w:t>7</w:t>
      </w:r>
      <w:r>
        <w:rPr>
          <w:rFonts w:cs="Times New Roman"/>
          <w:szCs w:val="24"/>
        </w:rPr>
        <w:t>）遵循</w:t>
      </w:r>
      <w:r>
        <w:rPr>
          <w:rFonts w:cs="Times New Roman"/>
          <w:szCs w:val="24"/>
        </w:rPr>
        <w:t>“</w:t>
      </w:r>
      <w:r>
        <w:rPr>
          <w:rFonts w:cs="Times New Roman"/>
          <w:szCs w:val="24"/>
        </w:rPr>
        <w:t>原生态保护优先</w:t>
      </w:r>
      <w:r>
        <w:rPr>
          <w:rFonts w:cs="Times New Roman"/>
          <w:szCs w:val="24"/>
        </w:rPr>
        <w:t>”</w:t>
      </w:r>
      <w:r>
        <w:rPr>
          <w:rFonts w:cs="Times New Roman"/>
          <w:szCs w:val="24"/>
        </w:rPr>
        <w:t>原则，严格保护天然砾幕层和生物结皮，剥离的砾幕层应严格按原</w:t>
      </w:r>
      <w:r>
        <w:rPr>
          <w:rFonts w:cs="Times New Roman"/>
          <w:szCs w:val="24"/>
        </w:rPr>
        <w:t>生境原位回填复位，确保层序结构与原始地貌一致，严格控制施工界限。</w:t>
      </w:r>
    </w:p>
    <w:p w:rsidR="00A46452" w:rsidRDefault="009A3928">
      <w:pPr>
        <w:pStyle w:val="52"/>
        <w:keepNext w:val="0"/>
        <w:widowControl w:val="0"/>
        <w:wordWrap w:val="0"/>
        <w:topLinePunct/>
        <w:ind w:firstLineChars="0"/>
        <w:rPr>
          <w:rFonts w:cs="Times New Roman" w:hint="default"/>
          <w:lang w:val="zh-CN"/>
        </w:rPr>
      </w:pPr>
      <w:r>
        <w:rPr>
          <w:rFonts w:cs="Times New Roman" w:hint="default"/>
        </w:rPr>
        <w:t>8.1.1.2.7</w:t>
      </w:r>
      <w:r>
        <w:rPr>
          <w:rFonts w:cs="Times New Roman" w:hint="default"/>
          <w:lang w:val="zh-CN"/>
        </w:rPr>
        <w:t>水土流失防治措施</w:t>
      </w:r>
    </w:p>
    <w:p w:rsidR="00A46452" w:rsidRDefault="009A3928" w:rsidP="00182EED">
      <w:pPr>
        <w:wordWrap w:val="0"/>
        <w:topLinePunct/>
        <w:ind w:firstLine="480"/>
        <w:rPr>
          <w:rFonts w:cs="Times New Roman"/>
          <w:lang w:val="zh-CN"/>
        </w:rPr>
      </w:pPr>
      <w:r>
        <w:rPr>
          <w:rFonts w:cs="Times New Roman" w:hint="eastAsia"/>
          <w:lang w:val="zh-CN"/>
        </w:rPr>
        <w:t>（</w:t>
      </w:r>
      <w:r>
        <w:rPr>
          <w:rFonts w:cs="Times New Roman" w:hint="eastAsia"/>
        </w:rPr>
        <w:t>1</w:t>
      </w:r>
      <w:r>
        <w:rPr>
          <w:rFonts w:cs="Times New Roman" w:hint="eastAsia"/>
          <w:lang w:val="zh-CN"/>
        </w:rPr>
        <w:t>）</w:t>
      </w:r>
      <w:r>
        <w:rPr>
          <w:rFonts w:cs="Times New Roman"/>
          <w:lang w:val="zh-CN"/>
        </w:rPr>
        <w:t>合理安排施工进度及施工时间，</w:t>
      </w:r>
      <w:r>
        <w:rPr>
          <w:rFonts w:cs="Times New Roman"/>
          <w:lang w:val="zh-CN"/>
        </w:rPr>
        <w:t>施工时选择无雨、小风的季节进行，避免扬尘和水土流失。在河流和沟渠开挖段施工时应做到随挖、随运、随铺、随压，不留或尽可能少留疏松地面，废弃土方要及时清运处理；尽量缩短施工期，使土壤暴露时间缩短，并快速回填。</w:t>
      </w:r>
    </w:p>
    <w:p w:rsidR="00A46452" w:rsidRDefault="009A3928">
      <w:pPr>
        <w:wordWrap w:val="0"/>
        <w:topLinePunct/>
        <w:ind w:firstLine="480"/>
        <w:rPr>
          <w:rFonts w:cs="Times New Roman"/>
          <w:snapToGrid w:val="0"/>
          <w:lang w:val="zh-CN"/>
        </w:rPr>
      </w:pPr>
      <w:r>
        <w:rPr>
          <w:rFonts w:cs="Times New Roman" w:hint="eastAsia"/>
          <w:snapToGrid w:val="0"/>
          <w:lang w:val="zh-CN"/>
        </w:rPr>
        <w:t>（</w:t>
      </w:r>
      <w:r>
        <w:rPr>
          <w:rFonts w:cs="Times New Roman" w:hint="eastAsia"/>
          <w:snapToGrid w:val="0"/>
        </w:rPr>
        <w:t>2</w:t>
      </w:r>
      <w:r>
        <w:rPr>
          <w:rFonts w:cs="Times New Roman" w:hint="eastAsia"/>
          <w:snapToGrid w:val="0"/>
          <w:lang w:val="zh-CN"/>
        </w:rPr>
        <w:t>）</w:t>
      </w:r>
      <w:r>
        <w:rPr>
          <w:rFonts w:cs="Times New Roman"/>
          <w:snapToGrid w:val="0"/>
          <w:lang w:val="zh-CN"/>
        </w:rPr>
        <w:t>施工中产生的弃土石方可以从以下几个方面进行处理：可以修路垫路基使用；可以用于水土保持工程使用；剩余部分应设专门渣场堆放，渣场的选择要合理，并征得当地水土保持和环保管理部门的同意，堆渣场应修筑拦渣坝、截水沟、并进行平整及植被自然恢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8.1.1.3</w:t>
      </w:r>
      <w:r>
        <w:rPr>
          <w:rFonts w:cs="Times New Roman" w:hint="default"/>
          <w:iCs/>
        </w:rPr>
        <w:t>生态修复措施</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）植被修复的目标及要求</w:t>
      </w:r>
    </w:p>
    <w:p w:rsidR="00A46452" w:rsidRDefault="009A3928">
      <w:pPr>
        <w:wordWrap w:val="0"/>
        <w:topLinePunct/>
        <w:ind w:firstLine="480"/>
        <w:rPr>
          <w:rFonts w:cs="Times New Roman"/>
          <w:snapToGrid w:val="0"/>
          <w:lang w:val="zh-CN"/>
        </w:rPr>
      </w:pPr>
      <w:r>
        <w:rPr>
          <w:rFonts w:cs="Times New Roman"/>
          <w:snapToGrid w:val="0"/>
          <w:lang w:val="zh-CN"/>
        </w:rPr>
        <w:t>对工程临时占地，要及时进行植被修复。根据《土地复垦条例》《土地复垦技术标准》等规定，结合当地实际，植被修复目标和要求如下：</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恢复植被和土壤，保证一定的植被覆盖度和土壤肥力；</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维持物种种类和组成，保护生物多样性；</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实现</w:t>
      </w:r>
      <w:r>
        <w:rPr>
          <w:rFonts w:cs="Times New Roman"/>
          <w:snapToGrid w:val="0"/>
          <w:lang w:val="zh-CN"/>
        </w:rPr>
        <w:t>生物群落的恢复，提高生态系统的生产力和自我维持力；</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应综合考虑物理（非生物）方法、生物方法和管理措施，边施工、边修复；</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复垦后地形地貌与当地自然环境和景观相协调。</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）植被恢复原则</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对于永久占用林地的补偿原则均按照就近就地恢复原则，以达到尽量修复沿线区域受损的</w:t>
      </w:r>
      <w:r>
        <w:rPr>
          <w:rFonts w:cs="Times New Roman"/>
          <w:snapToGrid w:val="0"/>
        </w:rPr>
        <w:t>森林</w:t>
      </w:r>
      <w:r>
        <w:rPr>
          <w:rFonts w:cs="Times New Roman"/>
          <w:snapToGrid w:val="0"/>
          <w:lang w:val="zh-CN"/>
        </w:rPr>
        <w:t>生态系统功能的目的。恢复地点</w:t>
      </w:r>
      <w:r>
        <w:rPr>
          <w:rFonts w:cs="Times New Roman"/>
          <w:snapToGrid w:val="0"/>
        </w:rPr>
        <w:t>采取</w:t>
      </w:r>
      <w:r>
        <w:rPr>
          <w:rFonts w:cs="Times New Roman"/>
          <w:snapToGrid w:val="0"/>
          <w:lang w:val="zh-CN"/>
        </w:rPr>
        <w:t>就近恢复，恢复林木数量不低于项目征占用林地的面积，保证森林面积占补平衡，保证森林生态功能不降低。</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在需要砍伐的树木中，优先考虑对幼龄林木的移栽，尽量将工程砍伐的林木数量及生态影响降至最低。首先考虑林地结构得更加合理，采用乔、灌、草相结合的方式，避免树种单一、林种单一、林层单一的问题，形成结构合理、功能全面的林地结构；恢复混交林，增强生态功能。</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施工前，对永久占地范围内进行详细的林业调查，依据各保护树种特性，针对性地制定移栽、移植、采集、繁殖栽培等保护性措施，以维持其后代的种群数量及遗传多样性。保护树种首先考虑移栽，幼树和幼苗必须采取相应的移栽措施，依据其生长习性移栽至线路附近区域，对于必须砍伐的保护树</w:t>
      </w:r>
      <w:r>
        <w:rPr>
          <w:rFonts w:cs="Times New Roman"/>
          <w:snapToGrid w:val="0"/>
          <w:lang w:val="zh-CN"/>
        </w:rPr>
        <w:t>种按相关标准进行补偿。</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w:t>
      </w:r>
      <w:r>
        <w:rPr>
          <w:rFonts w:cs="Times New Roman"/>
          <w:snapToGrid w:val="0"/>
        </w:rPr>
        <w:t>临时工程</w:t>
      </w:r>
      <w:r>
        <w:rPr>
          <w:rFonts w:cs="Times New Roman"/>
          <w:snapToGrid w:val="0"/>
          <w:lang w:val="zh-CN"/>
        </w:rPr>
        <w:t>植被修复措施</w:t>
      </w:r>
    </w:p>
    <w:p w:rsidR="00A46452" w:rsidRDefault="009A3928">
      <w:pPr>
        <w:wordWrap w:val="0"/>
        <w:topLinePunct/>
        <w:ind w:firstLine="480"/>
        <w:rPr>
          <w:rFonts w:cs="Times New Roman"/>
          <w:snapToGrid w:val="0"/>
          <w:lang w:val="zh-CN"/>
        </w:rPr>
      </w:pPr>
      <w:r>
        <w:rPr>
          <w:rFonts w:cs="Times New Roman"/>
          <w:snapToGrid w:val="0"/>
          <w:lang w:val="zh-CN"/>
        </w:rPr>
        <w:t>本项目弃土场、施工道路、风积沙料场等临时占地，其主要损毁类型为施工过程中对土地的压占，施工结束后，施工单位应负责清理现场。凡受到施工车辆、机械破坏的地方都要及时修整，恢复原貌，植被一时难以恢复的可在来年予以恢复。</w:t>
      </w:r>
    </w:p>
    <w:p w:rsidR="00A46452" w:rsidRDefault="009A3928">
      <w:pPr>
        <w:wordWrap w:val="0"/>
        <w:topLinePunct/>
        <w:ind w:firstLine="480"/>
        <w:rPr>
          <w:rFonts w:cs="Times New Roman"/>
          <w:snapToGrid w:val="0"/>
          <w:lang w:val="zh-CN"/>
        </w:rPr>
      </w:pPr>
      <w:r>
        <w:rPr>
          <w:rFonts w:cs="Times New Roman"/>
          <w:snapToGrid w:val="0"/>
          <w:lang w:val="zh-CN"/>
        </w:rPr>
        <w:t>根据施工工区损毁土地的类型及施工作业需要，对施工工区复垦的主要内容包括：表土剥离及堆放、土地平整及土方回填工程。</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表土剥离及堆放：为了保证损毁土地后期的复垦，需对临时使用的</w:t>
      </w:r>
      <w:r>
        <w:rPr>
          <w:rFonts w:cs="Times New Roman"/>
          <w:snapToGrid w:val="0"/>
        </w:rPr>
        <w:t>灌木草地</w:t>
      </w:r>
      <w:r>
        <w:rPr>
          <w:rFonts w:cs="Times New Roman"/>
          <w:snapToGrid w:val="0"/>
          <w:lang w:val="zh-CN"/>
        </w:rPr>
        <w:t>等土壤肥力较高的土地在损毁前进行表土剥离，并进行集中堆放，在表土</w:t>
      </w:r>
      <w:r>
        <w:rPr>
          <w:rFonts w:cs="Times New Roman"/>
          <w:snapToGrid w:val="0"/>
          <w:lang w:val="zh-CN"/>
        </w:rPr>
        <w:t>堆放场四周采用袋装土拦挡；施工工区应随工程进度及时进行复垦，使用时间相对较短，但为了防止大风造成的扬尘，对工区的表土堆放场进行防尘网苫盖，苫盖后采用周边的石块压盖。</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土地平整及表土回填：</w:t>
      </w:r>
    </w:p>
    <w:p w:rsidR="00A46452" w:rsidRDefault="009A3928">
      <w:pPr>
        <w:wordWrap w:val="0"/>
        <w:topLinePunct/>
        <w:ind w:firstLine="480"/>
        <w:rPr>
          <w:rFonts w:cs="Times New Roman"/>
          <w:snapToGrid w:val="0"/>
          <w:lang w:val="zh-CN"/>
        </w:rPr>
      </w:pPr>
      <w:r>
        <w:rPr>
          <w:rFonts w:cs="Times New Roman"/>
          <w:snapToGrid w:val="0"/>
          <w:lang w:val="zh-CN"/>
        </w:rPr>
        <w:t>为了提高施工工区使用后复垦土地的平整度，对施工工区进行土地平整，平整完成后</w:t>
      </w:r>
      <w:r>
        <w:rPr>
          <w:rFonts w:cs="Times New Roman"/>
          <w:snapToGrid w:val="0"/>
        </w:rPr>
        <w:t>进行表土回填</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）林地恢复计划</w:t>
      </w:r>
    </w:p>
    <w:p w:rsidR="00A46452" w:rsidRDefault="009A3928">
      <w:pPr>
        <w:wordWrap w:val="0"/>
        <w:topLinePunct/>
        <w:ind w:firstLine="480"/>
        <w:rPr>
          <w:rFonts w:cs="Times New Roman"/>
          <w:snapToGrid w:val="0"/>
          <w:lang w:val="zh-CN"/>
        </w:rPr>
      </w:pPr>
      <w:r>
        <w:rPr>
          <w:rFonts w:cs="Times New Roman"/>
          <w:snapToGrid w:val="0"/>
          <w:lang w:val="zh-CN"/>
        </w:rPr>
        <w:t>工程占用林地砍伐树木，对林木有一定的影响，需采取严格的造林绿化措施来补偿。建设单位应按</w:t>
      </w:r>
      <w:r>
        <w:rPr>
          <w:rFonts w:cs="Times New Roman"/>
          <w:snapToGrid w:val="0"/>
          <w:lang w:val="zh-CN"/>
        </w:rPr>
        <w:t>“</w:t>
      </w:r>
      <w:r>
        <w:rPr>
          <w:rFonts w:cs="Times New Roman"/>
          <w:snapToGrid w:val="0"/>
          <w:lang w:val="zh-CN"/>
        </w:rPr>
        <w:t>伐一补一</w:t>
      </w:r>
      <w:r>
        <w:rPr>
          <w:rFonts w:cs="Times New Roman"/>
          <w:snapToGrid w:val="0"/>
          <w:lang w:val="zh-CN"/>
        </w:rPr>
        <w:t>”</w:t>
      </w:r>
      <w:r>
        <w:rPr>
          <w:rFonts w:cs="Times New Roman"/>
          <w:snapToGrid w:val="0"/>
          <w:lang w:val="zh-CN"/>
        </w:rPr>
        <w:t>的原则进行植树绿化。主要树种考虑乡土物种杨树、沙枣树等。绿化工程的实施，可由项目业主与沿线地方政府共同协作完成。具</w:t>
      </w:r>
      <w:r>
        <w:rPr>
          <w:rFonts w:cs="Times New Roman"/>
          <w:snapToGrid w:val="0"/>
          <w:lang w:val="zh-CN"/>
        </w:rPr>
        <w:t>体可由项目业主补偿绿化资金，地方政府组织实施绿化。</w:t>
      </w:r>
    </w:p>
    <w:p w:rsidR="00A46452" w:rsidRDefault="009A3928">
      <w:pPr>
        <w:wordWrap w:val="0"/>
        <w:topLinePunct/>
        <w:ind w:firstLine="480"/>
        <w:rPr>
          <w:rFonts w:cs="Times New Roman"/>
          <w:snapToGrid w:val="0"/>
        </w:rPr>
      </w:pPr>
      <w:r>
        <w:rPr>
          <w:rFonts w:cs="Times New Roman"/>
          <w:snapToGrid w:val="0"/>
        </w:rPr>
        <w:t>具体补偿措施如下</w:t>
      </w:r>
      <w:r>
        <w:rPr>
          <w:rFonts w:cs="Times New Roman"/>
          <w:snapToGrid w:val="0"/>
        </w:rPr>
        <w:t>:</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树种移栽</w:t>
      </w:r>
    </w:p>
    <w:p w:rsidR="00A46452" w:rsidRDefault="009A3928">
      <w:pPr>
        <w:wordWrap w:val="0"/>
        <w:topLinePunct/>
        <w:ind w:firstLine="480"/>
        <w:rPr>
          <w:rFonts w:cs="Times New Roman"/>
          <w:snapToGrid w:val="0"/>
          <w:lang w:val="zh-CN"/>
        </w:rPr>
      </w:pPr>
      <w:r>
        <w:rPr>
          <w:rFonts w:cs="Times New Roman"/>
          <w:snapToGrid w:val="0"/>
          <w:lang w:val="zh-CN"/>
        </w:rPr>
        <w:t>下一阶段应进一步明确占用树种及数量，对于适于移栽的小树苗或经济价值较大（园林树种）的树种应当进行移栽。不适宜移栽的树木本着等量补偿的原则进行异地补偿，按照国家及地方补偿标准，进行异地补植或货币补偿，在当地林业部门的指导下进行。建议下阶段与当地林业部门联系，确定进一步补植或补偿方案。</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表土剥离</w:t>
      </w:r>
    </w:p>
    <w:p w:rsidR="00A46452" w:rsidRDefault="009A3928">
      <w:pPr>
        <w:wordWrap w:val="0"/>
        <w:topLinePunct/>
        <w:ind w:firstLine="480"/>
        <w:rPr>
          <w:rFonts w:cs="Times New Roman"/>
          <w:snapToGrid w:val="0"/>
          <w:lang w:val="zh-CN"/>
        </w:rPr>
      </w:pPr>
      <w:r>
        <w:rPr>
          <w:rFonts w:cs="Times New Roman"/>
          <w:snapToGrid w:val="0"/>
          <w:lang w:val="zh-CN"/>
        </w:rPr>
        <w:t>对工程建设中永久占用的林地等的表层土予以收集保存，作为后期恢复植被用。</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树种配置</w:t>
      </w:r>
    </w:p>
    <w:p w:rsidR="00A46452" w:rsidRDefault="009A3928">
      <w:pPr>
        <w:wordWrap w:val="0"/>
        <w:topLinePunct/>
        <w:ind w:firstLine="480"/>
        <w:rPr>
          <w:rFonts w:cs="Times New Roman"/>
          <w:snapToGrid w:val="0"/>
          <w:lang w:val="zh-CN"/>
        </w:rPr>
      </w:pPr>
      <w:r>
        <w:rPr>
          <w:rFonts w:cs="Times New Roman"/>
          <w:snapToGrid w:val="0"/>
          <w:lang w:val="zh-CN"/>
        </w:rPr>
        <w:t>在树种配置上本着</w:t>
      </w:r>
      <w:r>
        <w:rPr>
          <w:rFonts w:cs="Times New Roman"/>
          <w:snapToGrid w:val="0"/>
          <w:lang w:val="zh-CN"/>
        </w:rPr>
        <w:t>“</w:t>
      </w:r>
      <w:r>
        <w:rPr>
          <w:rFonts w:cs="Times New Roman"/>
          <w:snapToGrid w:val="0"/>
          <w:lang w:val="zh-CN"/>
        </w:rPr>
        <w:t>异地异树</w:t>
      </w:r>
      <w:r>
        <w:rPr>
          <w:rFonts w:cs="Times New Roman"/>
          <w:snapToGrid w:val="0"/>
          <w:lang w:val="zh-CN"/>
        </w:rPr>
        <w:t>”“</w:t>
      </w:r>
      <w:r>
        <w:rPr>
          <w:rFonts w:cs="Times New Roman"/>
          <w:snapToGrid w:val="0"/>
          <w:lang w:val="zh-CN"/>
        </w:rPr>
        <w:t>景观相容</w:t>
      </w:r>
      <w:r>
        <w:rPr>
          <w:rFonts w:cs="Times New Roman"/>
          <w:snapToGrid w:val="0"/>
          <w:lang w:val="zh-CN"/>
        </w:rPr>
        <w:t>”</w:t>
      </w:r>
      <w:r>
        <w:rPr>
          <w:rFonts w:cs="Times New Roman"/>
          <w:snapToGrid w:val="0"/>
          <w:lang w:val="zh-CN"/>
        </w:rPr>
        <w:t>的原则；适地适树，树种选择要尽量考虑适合本区气候特点的乡土树种，与周围树种组成尽量一致，慎重对待外来植物种的引进，保证生物安全。</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根据工程扰动地表面积和可绿化区域，设计恢复绿化面积。</w:t>
      </w:r>
    </w:p>
    <w:p w:rsidR="00A46452" w:rsidRDefault="009A3928">
      <w:pPr>
        <w:wordWrap w:val="0"/>
        <w:topLinePunct/>
        <w:ind w:firstLine="480"/>
        <w:rPr>
          <w:rFonts w:cs="Times New Roman"/>
          <w:snapToGrid w:val="0"/>
        </w:rPr>
      </w:pPr>
      <w:r>
        <w:rPr>
          <w:rFonts w:cs="Times New Roman"/>
          <w:snapToGrid w:val="0"/>
          <w:lang w:val="zh-CN"/>
        </w:rPr>
        <w:t>⑤</w:t>
      </w:r>
      <w:r>
        <w:rPr>
          <w:rFonts w:cs="Times New Roman"/>
          <w:snapToGrid w:val="0"/>
          <w:lang w:val="zh-CN"/>
        </w:rPr>
        <w:t>根据工程扰动地表面积和可绿化区域的分布采取适宜的绿化措施，以恢复植被，减轻工程建设对项目区生态系统稳定性的影响，主要针对道路边坡、桥下空间、</w:t>
      </w:r>
      <w:r>
        <w:rPr>
          <w:rFonts w:cs="Times New Roman"/>
          <w:snapToGrid w:val="0"/>
        </w:rPr>
        <w:t>服务</w:t>
      </w:r>
      <w:r>
        <w:rPr>
          <w:rFonts w:cs="Times New Roman"/>
          <w:snapToGrid w:val="0"/>
          <w:lang w:val="zh-CN"/>
        </w:rPr>
        <w:t>工区及临时占地等区域进行绿化。植物种类选择要求包括：适应环境，抗逆性强，可抵抗公害、病虫害，易养护；不得使用未经评估的外来物种；不产生环境污</w:t>
      </w:r>
      <w:r>
        <w:rPr>
          <w:rFonts w:cs="Times New Roman"/>
          <w:snapToGrid w:val="0"/>
          <w:lang w:val="zh-CN"/>
        </w:rPr>
        <w:t>染，不应成为传播病虫害的中间媒介；选择易成活、生长快、萌根性强、茎矮叶茂、覆盖度大和根系发达的多年生木本植物或草本植物；绿化恢复树种应以本土树种为主，同时，栽植位置、成年高度、冠幅、根系和落叶等不得影响公路行车安全。</w:t>
      </w:r>
    </w:p>
    <w:p w:rsidR="00A46452" w:rsidRDefault="009A3928">
      <w:pPr>
        <w:wordWrap w:val="0"/>
        <w:topLinePunct/>
        <w:ind w:firstLine="480"/>
        <w:rPr>
          <w:rFonts w:cs="Times New Roman"/>
          <w:snapToGrid w:val="0"/>
          <w:lang w:val="zh-CN"/>
        </w:rPr>
      </w:pPr>
      <w:r>
        <w:rPr>
          <w:rFonts w:cs="Times New Roman"/>
          <w:snapToGrid w:val="0"/>
          <w:lang w:val="zh-CN"/>
        </w:rPr>
        <w:t>通过以上措施可尽可能恢复因施工造成的扰动，减少水土流失，促进自然植被的恢复。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8.1.1.4</w:t>
      </w:r>
      <w:r>
        <w:rPr>
          <w:rFonts w:cs="Times New Roman" w:hint="default"/>
          <w:iCs/>
        </w:rPr>
        <w:t>管理措施</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）宣传教育</w:t>
      </w:r>
    </w:p>
    <w:p w:rsidR="00A46452" w:rsidRDefault="009A3928">
      <w:pPr>
        <w:wordWrap w:val="0"/>
        <w:topLinePunct/>
        <w:ind w:firstLine="480"/>
        <w:rPr>
          <w:rFonts w:cs="Times New Roman"/>
          <w:snapToGrid w:val="0"/>
          <w:lang w:val="zh-CN"/>
        </w:rPr>
      </w:pPr>
      <w:r>
        <w:rPr>
          <w:rFonts w:cs="Times New Roman"/>
          <w:snapToGrid w:val="0"/>
          <w:lang w:val="zh-CN"/>
        </w:rPr>
        <w:t>加强宣传教育，在施工开始前，开展《中华人民共和国野生动物保护法》《中华人民共和国野生植物保护条例》《中华人民共和国草原法》《中华人民共和国森林法》等相关法律法规的教育，向施工人员明确生物多样性是受国家法律保护，破坏生物多样性将承担相应的法律责任。教育施工人员，遵守国家和地方的法律及相关规定，禁止随意破坏植被和猎捕野生动物，自觉保护好评价区内的各种动物、植物和自然景观。</w:t>
      </w:r>
    </w:p>
    <w:p w:rsidR="00A46452" w:rsidRDefault="009A3928">
      <w:pPr>
        <w:wordWrap w:val="0"/>
        <w:topLinePunct/>
        <w:ind w:firstLine="480"/>
        <w:rPr>
          <w:rFonts w:cs="Times New Roman"/>
          <w:snapToGrid w:val="0"/>
          <w:lang w:val="zh-CN"/>
        </w:rPr>
      </w:pPr>
      <w:r>
        <w:rPr>
          <w:rFonts w:cs="Times New Roman"/>
          <w:snapToGrid w:val="0"/>
          <w:lang w:val="zh-CN"/>
        </w:rPr>
        <w:t>在工地及周边设立爱护动物和自然植被的宣传牌；印制具有重要生态功能的本土植物野外鉴定手册，并分发到工作人员手中，手册中配以彩色图片和简洁的文字</w:t>
      </w:r>
      <w:r>
        <w:rPr>
          <w:rFonts w:cs="Times New Roman"/>
          <w:snapToGrid w:val="0"/>
          <w:lang w:val="zh-CN"/>
        </w:rPr>
        <w:t>说明，突出对于这些物种的保护方法和保护的重要性；</w:t>
      </w:r>
    </w:p>
    <w:p w:rsidR="00A46452" w:rsidRDefault="009A3928">
      <w:pPr>
        <w:wordWrap w:val="0"/>
        <w:topLinePunct/>
        <w:ind w:firstLine="480"/>
        <w:rPr>
          <w:rFonts w:cs="Times New Roman"/>
          <w:snapToGrid w:val="0"/>
          <w:lang w:val="zh-CN"/>
        </w:rPr>
      </w:pPr>
      <w:r>
        <w:rPr>
          <w:rFonts w:cs="Times New Roman"/>
          <w:snapToGrid w:val="0"/>
          <w:lang w:val="zh-CN"/>
        </w:rPr>
        <w:t>对项目工作人员和施工人员开展生态保护措施方面的短期培训工作，通过培训详细介绍如何最大限度减少自然植被的丧失；如何及时开展植被恢复；以及施工作业中对于环境保护的一些注意事项等。</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）施工管理</w:t>
      </w:r>
    </w:p>
    <w:p w:rsidR="00A46452" w:rsidRDefault="009A3928">
      <w:pPr>
        <w:wordWrap w:val="0"/>
        <w:topLinePunct/>
        <w:ind w:firstLine="480"/>
        <w:rPr>
          <w:rFonts w:cs="Times New Roman"/>
          <w:snapToGrid w:val="0"/>
          <w:lang w:val="zh-CN"/>
        </w:rPr>
      </w:pPr>
      <w:r>
        <w:rPr>
          <w:rFonts w:cs="Times New Roman"/>
          <w:snapToGrid w:val="0"/>
          <w:lang w:val="zh-CN"/>
        </w:rPr>
        <w:t>划定施工范围，严禁施工人员和器械超出施工区域。通报所有施工人员活动规则并在施工营地、公路沿线等设置警示标牌，任何施工人员不得越过红线施工或任意活动，以减小施工活动对公路周围植被和动物栖息地的影响。对擅自越过施工禁入区红线的施工人员进行严肃处理和教育，对进入禁入区造成损失</w:t>
      </w:r>
      <w:r>
        <w:rPr>
          <w:rFonts w:cs="Times New Roman"/>
          <w:snapToGrid w:val="0"/>
          <w:lang w:val="zh-CN"/>
        </w:rPr>
        <w:t>的追究施工单位及施工人员相应责任。</w:t>
      </w:r>
    </w:p>
    <w:p w:rsidR="00A46452" w:rsidRDefault="009A3928">
      <w:pPr>
        <w:wordWrap w:val="0"/>
        <w:topLinePunct/>
        <w:ind w:firstLine="480"/>
        <w:rPr>
          <w:rFonts w:cs="Times New Roman"/>
          <w:snapToGrid w:val="0"/>
          <w:lang w:val="zh-CN"/>
        </w:rPr>
      </w:pPr>
      <w:r>
        <w:rPr>
          <w:rFonts w:cs="Times New Roman"/>
          <w:snapToGrid w:val="0"/>
          <w:lang w:val="zh-CN"/>
        </w:rPr>
        <w:t>施工中要做到分段施工，随挖、随运、随铺、随压，不留疏松地面，提高工程施工效率，尽可能缩短施工工期。项目施工区应严格控制施工便道扰动的范围，采取布设彩旗和标志牌的措施起到限制车辆运行和警示的作用。</w:t>
      </w:r>
    </w:p>
    <w:p w:rsidR="00A46452" w:rsidRDefault="009A3928">
      <w:pPr>
        <w:wordWrap w:val="0"/>
        <w:topLinePunct/>
        <w:ind w:firstLine="480"/>
        <w:rPr>
          <w:rFonts w:cs="Times New Roman"/>
          <w:snapToGrid w:val="0"/>
          <w:lang w:val="zh-CN"/>
        </w:rPr>
      </w:pPr>
      <w:r>
        <w:rPr>
          <w:rFonts w:cs="Times New Roman"/>
          <w:snapToGrid w:val="0"/>
          <w:lang w:val="zh-CN"/>
        </w:rPr>
        <w:t>彩旗主要布设在施工便道两侧，每隔</w:t>
      </w:r>
      <w:r>
        <w:rPr>
          <w:rFonts w:cs="Times New Roman"/>
          <w:snapToGrid w:val="0"/>
          <w:lang w:val="zh-CN"/>
        </w:rPr>
        <w:t>20m</w:t>
      </w:r>
      <w:r>
        <w:rPr>
          <w:rFonts w:cs="Times New Roman"/>
          <w:snapToGrid w:val="0"/>
          <w:lang w:val="zh-CN"/>
        </w:rPr>
        <w:t>布设一面。岔路口和关键路口设置木质标志牌，标明便道，高度约</w:t>
      </w:r>
      <w:r>
        <w:rPr>
          <w:rFonts w:cs="Times New Roman"/>
          <w:snapToGrid w:val="0"/>
          <w:lang w:val="zh-CN"/>
        </w:rPr>
        <w:t>1.5m</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加强施工期筑路材料的管理，妥善放置，及时清理。施工产生的建筑废料要尽量回收，严禁乱堆乱放。禁止在耕地及基本农田、距乡村</w:t>
      </w:r>
      <w:r>
        <w:rPr>
          <w:rFonts w:cs="Times New Roman"/>
          <w:snapToGrid w:val="0"/>
          <w:lang w:val="zh-CN"/>
        </w:rPr>
        <w:t>300m</w:t>
      </w:r>
      <w:r>
        <w:rPr>
          <w:rFonts w:cs="Times New Roman"/>
          <w:snapToGrid w:val="0"/>
          <w:lang w:val="zh-CN"/>
        </w:rPr>
        <w:t>范围内设置施工站场、取土场、弃土（渣）场。在大</w:t>
      </w:r>
      <w:r>
        <w:rPr>
          <w:rFonts w:cs="Times New Roman"/>
          <w:snapToGrid w:val="0"/>
          <w:lang w:val="zh-CN"/>
        </w:rPr>
        <w:t>桥钻孔桩基础临时施工场地设置泥浆池和沉淀池，防止污染河流水质。桥梁施工作业结束后，要清理施工场地，以防施工废料等随雨水进入水体。</w:t>
      </w:r>
    </w:p>
    <w:p w:rsidR="00A46452" w:rsidRDefault="009A3928">
      <w:pPr>
        <w:wordWrap w:val="0"/>
        <w:topLinePunct/>
        <w:ind w:firstLine="480"/>
        <w:rPr>
          <w:rFonts w:cs="Times New Roman"/>
          <w:snapToGrid w:val="0"/>
          <w:lang w:val="zh-CN"/>
        </w:rPr>
      </w:pPr>
      <w:r>
        <w:rPr>
          <w:rFonts w:cs="Times New Roman"/>
          <w:snapToGrid w:val="0"/>
          <w:lang w:val="zh-CN"/>
        </w:rPr>
        <w:t>取（弃）土场主要占用戈壁荒漠，为植被覆盖较差的不可利用地，应加强保护，取土施工中需采取逐条块取土的方式，循序渐进，不可对原地表一次性全部扰动破坏。取土施工前需将占地的原砾幕层剥离并集中堆放在取土（料）场一角，取土施工期间采取临时性防护措施。</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53" w:name="_Toc34989614"/>
      <w:bookmarkStart w:id="354" w:name="_Toc98414255"/>
      <w:bookmarkStart w:id="355" w:name="_Toc97464679"/>
      <w:bookmarkStart w:id="356" w:name="_Toc57826777"/>
      <w:bookmarkStart w:id="357" w:name="_Toc98413573"/>
      <w:r>
        <w:rPr>
          <w:rFonts w:cs="Times New Roman" w:hint="default"/>
          <w:sz w:val="28"/>
          <w:szCs w:val="28"/>
        </w:rPr>
        <w:t>8.1.2</w:t>
      </w:r>
      <w:r>
        <w:rPr>
          <w:rFonts w:cs="Times New Roman" w:hint="default"/>
          <w:sz w:val="28"/>
          <w:szCs w:val="28"/>
        </w:rPr>
        <w:t>运营期生态保护措施</w:t>
      </w:r>
      <w:bookmarkEnd w:id="353"/>
      <w:bookmarkEnd w:id="354"/>
      <w:bookmarkEnd w:id="355"/>
      <w:bookmarkEnd w:id="356"/>
      <w:bookmarkEnd w:id="357"/>
    </w:p>
    <w:p w:rsidR="00A46452" w:rsidRDefault="009A3928">
      <w:pPr>
        <w:wordWrap w:val="0"/>
        <w:topLinePunct/>
        <w:ind w:firstLine="480"/>
        <w:rPr>
          <w:rFonts w:cs="Times New Roman"/>
          <w:snapToGrid w:val="0"/>
          <w:lang w:val="zh-CN"/>
        </w:rPr>
      </w:pPr>
      <w:r>
        <w:rPr>
          <w:rFonts w:cs="Times New Roman"/>
          <w:snapToGrid w:val="0"/>
          <w:lang w:val="zh-CN"/>
        </w:rPr>
        <w:t>车辆需按规定速度从区域通过，不得逗留。禁止往车外扔垃圾。车辆在保护区路段内发生故障时，严禁用强光长时间照射。安</w:t>
      </w:r>
      <w:r>
        <w:rPr>
          <w:rFonts w:cs="Times New Roman"/>
          <w:snapToGrid w:val="0"/>
          <w:lang w:val="zh-CN"/>
        </w:rPr>
        <w:t>排维护人员定期清理公路沿线垃圾。运营期，公路管理部门要接受</w:t>
      </w:r>
      <w:r>
        <w:rPr>
          <w:rFonts w:cs="Times New Roman"/>
          <w:snapToGrid w:val="0"/>
        </w:rPr>
        <w:t>相关</w:t>
      </w:r>
      <w:r>
        <w:rPr>
          <w:rFonts w:cs="Times New Roman"/>
          <w:snapToGrid w:val="0"/>
          <w:lang w:val="zh-CN"/>
        </w:rPr>
        <w:t>管理部门的监督。</w:t>
      </w:r>
    </w:p>
    <w:p w:rsidR="00A46452" w:rsidRDefault="009A3928">
      <w:pPr>
        <w:wordWrap w:val="0"/>
        <w:topLinePunct/>
        <w:ind w:firstLine="480"/>
        <w:rPr>
          <w:rFonts w:cs="Times New Roman"/>
          <w:snapToGrid w:val="0"/>
          <w:lang w:val="zh-CN"/>
        </w:rPr>
      </w:pPr>
      <w:r>
        <w:rPr>
          <w:rFonts w:cs="Times New Roman"/>
          <w:snapToGrid w:val="0"/>
          <w:lang w:val="zh-CN"/>
        </w:rPr>
        <w:t>加强对公路沿线生态环境的管理、保护、巡护工作。禁止公路维修和检查人员对动物栖息地产生新的破坏，实施维护工作时应尽力避免影响野生动物正常的活动。</w:t>
      </w:r>
    </w:p>
    <w:p w:rsidR="00A46452" w:rsidRDefault="009A3928">
      <w:pPr>
        <w:wordWrap w:val="0"/>
        <w:topLinePunct/>
        <w:ind w:firstLine="480"/>
        <w:rPr>
          <w:rFonts w:cs="Times New Roman"/>
          <w:snapToGrid w:val="0"/>
          <w:lang w:val="zh-CN"/>
        </w:rPr>
      </w:pPr>
      <w:r>
        <w:rPr>
          <w:rFonts w:cs="Times New Roman"/>
          <w:snapToGrid w:val="0"/>
          <w:lang w:val="zh-CN"/>
        </w:rPr>
        <w:t>由于受严酷的自然条件限制，工程施工结束后，不具备恢复乔灌植被条件，可采取撒播草籽进行初级防护。施工结束后，取弃土场、综合站场及施工便道土地平整，选择耐干旱、贫瘠，适生且免灌的草种植被，如猪毛菜、骆驼刺、盐节木等草种。</w:t>
      </w:r>
    </w:p>
    <w:p w:rsidR="00A46452" w:rsidRDefault="009A3928">
      <w:pPr>
        <w:wordWrap w:val="0"/>
        <w:topLinePunct/>
        <w:ind w:firstLine="480"/>
        <w:rPr>
          <w:rFonts w:cs="Times New Roman"/>
          <w:snapToGrid w:val="0"/>
          <w:lang w:val="zh-CN"/>
        </w:rPr>
      </w:pPr>
      <w:r>
        <w:rPr>
          <w:rFonts w:cs="Times New Roman"/>
          <w:snapToGrid w:val="0"/>
          <w:lang w:val="zh-CN"/>
        </w:rPr>
        <w:t>对于永久占地，在服务区、停车区、互通区进行重点绿化，建筑物周围种植富于观赏性的常绿乔木、设置花坛、规划小园林，使之有良好的自然引入和空间引入，充分利用空地进行绿化，并根据不同气候不同地域在各个站场选种不同的树种花草，力求扩大绿化面积。</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58" w:name="_Toc381606082"/>
      <w:bookmarkStart w:id="359" w:name="_Toc4507867"/>
      <w:bookmarkStart w:id="360" w:name="_Toc185408983"/>
      <w:bookmarkStart w:id="361" w:name="_Toc316511169"/>
      <w:bookmarkStart w:id="362" w:name="_Toc316561735"/>
      <w:bookmarkStart w:id="363" w:name="_Toc16856"/>
      <w:bookmarkStart w:id="364" w:name="_Toc98413574"/>
      <w:bookmarkStart w:id="365" w:name="_Toc154077014"/>
      <w:bookmarkStart w:id="366" w:name="_Toc11245"/>
      <w:bookmarkEnd w:id="346"/>
      <w:bookmarkEnd w:id="347"/>
      <w:r>
        <w:rPr>
          <w:rFonts w:cs="Times New Roman" w:hint="default"/>
          <w:sz w:val="30"/>
          <w:szCs w:val="30"/>
        </w:rPr>
        <w:t>8.</w:t>
      </w:r>
      <w:bookmarkEnd w:id="358"/>
      <w:bookmarkEnd w:id="359"/>
      <w:bookmarkEnd w:id="360"/>
      <w:bookmarkEnd w:id="361"/>
      <w:bookmarkEnd w:id="362"/>
      <w:r>
        <w:rPr>
          <w:rFonts w:cs="Times New Roman" w:hint="default"/>
          <w:sz w:val="30"/>
          <w:szCs w:val="30"/>
        </w:rPr>
        <w:t>2</w:t>
      </w:r>
      <w:r>
        <w:rPr>
          <w:rFonts w:cs="Times New Roman" w:hint="default"/>
          <w:sz w:val="30"/>
          <w:szCs w:val="30"/>
        </w:rPr>
        <w:t>环境空气污染防治措施</w:t>
      </w:r>
      <w:bookmarkEnd w:id="363"/>
      <w:bookmarkEnd w:id="364"/>
      <w:bookmarkEnd w:id="365"/>
      <w:bookmarkEnd w:id="366"/>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67" w:name="_Toc98414257"/>
      <w:bookmarkStart w:id="368" w:name="_Toc98413575"/>
      <w:bookmarkStart w:id="369" w:name="_Toc57826779"/>
      <w:bookmarkStart w:id="370" w:name="_Toc97464681"/>
      <w:bookmarkStart w:id="371" w:name="_Toc34989616"/>
      <w:r>
        <w:rPr>
          <w:rFonts w:cs="Times New Roman" w:hint="default"/>
          <w:sz w:val="28"/>
          <w:szCs w:val="28"/>
        </w:rPr>
        <w:t>8.2.1</w:t>
      </w:r>
      <w:r>
        <w:rPr>
          <w:rFonts w:cs="Times New Roman" w:hint="default"/>
          <w:sz w:val="28"/>
          <w:szCs w:val="28"/>
        </w:rPr>
        <w:t>施工期</w:t>
      </w:r>
      <w:bookmarkEnd w:id="367"/>
      <w:bookmarkEnd w:id="368"/>
      <w:bookmarkEnd w:id="369"/>
      <w:bookmarkEnd w:id="370"/>
      <w:bookmarkEnd w:id="371"/>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8.2.1.1</w:t>
      </w:r>
      <w:r>
        <w:rPr>
          <w:rFonts w:cs="Times New Roman" w:hint="default"/>
          <w:iCs/>
        </w:rPr>
        <w:t>施工扬尘污染防治要求</w:t>
      </w:r>
    </w:p>
    <w:p w:rsidR="00A46452" w:rsidRDefault="009A3928">
      <w:pPr>
        <w:wordWrap w:val="0"/>
        <w:topLinePunct/>
        <w:ind w:firstLine="480"/>
        <w:rPr>
          <w:rFonts w:cs="Times New Roman"/>
          <w:snapToGrid w:val="0"/>
          <w:lang w:val="zh-CN"/>
        </w:rPr>
      </w:pPr>
      <w:r>
        <w:rPr>
          <w:rFonts w:cs="Times New Roman"/>
          <w:snapToGrid w:val="0"/>
          <w:lang w:val="zh-CN"/>
        </w:rPr>
        <w:t>拟建工程在施工中耗用大量建筑材料，建材在装卸、堆放过程中会产生扬尘污染，为减缓项目地区环境空气中的</w:t>
      </w:r>
      <w:r>
        <w:rPr>
          <w:rFonts w:cs="Times New Roman"/>
          <w:snapToGrid w:val="0"/>
          <w:lang w:val="zh-CN"/>
        </w:rPr>
        <w:t>TSP</w:t>
      </w:r>
      <w:r>
        <w:rPr>
          <w:rFonts w:cs="Times New Roman"/>
          <w:snapToGrid w:val="0"/>
          <w:lang w:val="zh-CN"/>
        </w:rPr>
        <w:t>污染，施工单位应严格执行国家、自治区的相关规定，采取如下措施：</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1</w:t>
      </w:r>
      <w:r>
        <w:rPr>
          <w:rFonts w:cs="Times New Roman"/>
          <w:b/>
          <w:snapToGrid w:val="0"/>
          <w:lang w:val="zh-CN"/>
        </w:rPr>
        <w:t>）施工场地管理</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施工场地出口处应当设置冲洗设施以及配套的排水、泥浆沉淀设施，运输车辆驶出施工现场前应当将槽帮和车轮冲洗干净。</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施工场地应当硬化并保持清洁；闲置三个月以上的施工工地，应当对其裸露土地进行临时绿化或者采用铺装等防尘措施。</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t>拌和站</w:t>
      </w:r>
      <w:r>
        <w:rPr>
          <w:rFonts w:cs="Times New Roman"/>
          <w:snapToGrid w:val="0"/>
          <w:lang w:val="zh-CN"/>
        </w:rPr>
        <w:fldChar w:fldCharType="end"/>
      </w:r>
      <w:r>
        <w:rPr>
          <w:rFonts w:cs="Times New Roman"/>
          <w:snapToGrid w:val="0"/>
          <w:lang w:val="zh-CN"/>
        </w:rPr>
        <w:t>、预制厂、物料堆放区和办公生活区等应进行硬化处理，并设置冲洗水导流槽，通往沉淀池。</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4 \* GB3 </w:instrText>
      </w:r>
      <w:r>
        <w:rPr>
          <w:rFonts w:cs="Times New Roman"/>
          <w:snapToGrid w:val="0"/>
          <w:lang w:val="zh-CN"/>
        </w:rPr>
        <w:fldChar w:fldCharType="separate"/>
      </w:r>
      <w:r>
        <w:rPr>
          <w:rFonts w:cs="Times New Roman"/>
          <w:snapToGrid w:val="0"/>
          <w:lang w:val="zh-CN"/>
        </w:rPr>
        <w:t>④</w:t>
      </w:r>
      <w:r>
        <w:rPr>
          <w:rFonts w:cs="Times New Roman"/>
          <w:snapToGrid w:val="0"/>
          <w:lang w:val="zh-CN"/>
        </w:rPr>
        <w:fldChar w:fldCharType="end"/>
      </w:r>
      <w:r>
        <w:rPr>
          <w:rFonts w:cs="Times New Roman"/>
          <w:snapToGrid w:val="0"/>
          <w:lang w:val="zh-CN"/>
        </w:rPr>
        <w:t>各施工段应设置</w:t>
      </w:r>
      <w:r>
        <w:rPr>
          <w:rFonts w:cs="Times New Roman"/>
          <w:snapToGrid w:val="0"/>
          <w:lang w:val="zh-CN"/>
        </w:rPr>
        <w:t>1</w:t>
      </w:r>
      <w:r>
        <w:rPr>
          <w:rFonts w:cs="Times New Roman"/>
          <w:snapToGrid w:val="0"/>
          <w:lang w:val="zh-CN"/>
        </w:rPr>
        <w:t>名专职环境保护管理人员，指导和管理施工现场的工程弃土、建筑垃圾、建筑材料的处置、清运、堆放和场地恢复等，清除进出施工现场</w:t>
      </w:r>
      <w:r>
        <w:rPr>
          <w:rFonts w:cs="Times New Roman"/>
          <w:snapToGrid w:val="0"/>
          <w:lang w:val="zh-CN"/>
        </w:rPr>
        <w:t>道路上的泥土、弃料等，以减少二次扬尘。</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加强施工现场管理，强化文明施工与作业。在选择施工单位时，建设单位应将施工期的环境减缓措施写入合同文本中，并加强督促与检查，确保施工期的环境减缓措施落到实处。</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2</w:t>
      </w:r>
      <w:r>
        <w:rPr>
          <w:rFonts w:cs="Times New Roman"/>
          <w:b/>
          <w:snapToGrid w:val="0"/>
          <w:lang w:val="zh-CN"/>
        </w:rPr>
        <w:t>）道路运输防尘</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施工场地应配备洒水车定期清扫洒水，特别是风沙区要加强洒水降尘，保证道路表面密实、湿润，防止因土质松散、干燥而产生扬尘。</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土方和散货物料的运输采用密闭方式，运输车辆的车厢应配备顶棚或遮盖物，运输路线尽量避开集中居住区，并对车辆经过的道路进行洒水降尘，以减少扬尘污染；对于不慎撒落的废渣、材料</w:t>
      </w:r>
      <w:r>
        <w:rPr>
          <w:rFonts w:cs="Times New Roman"/>
          <w:snapToGrid w:val="0"/>
          <w:lang w:val="zh-CN"/>
        </w:rPr>
        <w:t>等派专人负责清扫，避免引起二次扬尘污染。</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土方、水泥和石灰等散装物料运输、临时存放和装卸过程中，应采取防风遮挡措施或降尘措施。</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设置限速标志牌，控制场内车辆行驶速度小于</w:t>
      </w:r>
      <w:r>
        <w:rPr>
          <w:rFonts w:cs="Times New Roman"/>
          <w:snapToGrid w:val="0"/>
          <w:lang w:val="zh-CN"/>
        </w:rPr>
        <w:t>20km/h</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建设单位应合理设计材料运输路线，运输道路。</w:t>
      </w:r>
    </w:p>
    <w:p w:rsidR="00A46452" w:rsidRDefault="009A3928">
      <w:pPr>
        <w:wordWrap w:val="0"/>
        <w:topLinePunct/>
        <w:ind w:firstLine="480"/>
        <w:rPr>
          <w:rFonts w:cs="Times New Roman"/>
          <w:snapToGrid w:val="0"/>
          <w:lang w:val="zh-CN"/>
        </w:rPr>
      </w:pPr>
      <w:r>
        <w:rPr>
          <w:rFonts w:cs="Times New Roman"/>
          <w:snapToGrid w:val="0"/>
          <w:lang w:val="zh-CN"/>
        </w:rPr>
        <w:t>⑥</w:t>
      </w:r>
      <w:r>
        <w:rPr>
          <w:rFonts w:cs="Times New Roman"/>
          <w:snapToGrid w:val="0"/>
          <w:lang w:val="zh-CN"/>
        </w:rPr>
        <w:t>清运渣土时，施工企业选用具有渣土运输专业资格的建筑渣土运输企业，进出工地的渣土、垃圾、材料等运输车辆进行密闭，防止物料抛撒滴漏。加强工程渣土运输和建筑垃圾运输企业管理，全面落实车辆营运证、准运证及通行证核发和建筑渣土处置许可制度。</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3</w:t>
      </w:r>
      <w:r>
        <w:rPr>
          <w:rFonts w:cs="Times New Roman"/>
          <w:b/>
          <w:snapToGrid w:val="0"/>
          <w:lang w:val="zh-CN"/>
        </w:rPr>
        <w:t>）材料堆场防尘</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土方、石灰、黄沙、水泥</w:t>
      </w:r>
      <w:r>
        <w:rPr>
          <w:rFonts w:cs="Times New Roman"/>
          <w:snapToGrid w:val="0"/>
          <w:lang w:val="zh-CN"/>
        </w:rPr>
        <w:t>等散货物料的堆场四周设置围挡防风，控制堆垛的堆存高度小于</w:t>
      </w:r>
      <w:r>
        <w:rPr>
          <w:rFonts w:cs="Times New Roman"/>
          <w:snapToGrid w:val="0"/>
          <w:lang w:val="zh-CN"/>
        </w:rPr>
        <w:t>5m</w:t>
      </w:r>
      <w:r>
        <w:rPr>
          <w:rFonts w:cs="Times New Roman"/>
          <w:snapToGrid w:val="0"/>
          <w:lang w:val="zh-CN"/>
        </w:rPr>
        <w:t>。</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土方、黄沙堆场采取定期洒水措施，保证堆垛的湿润，并配备篷布遮盖。</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石灰、水泥等不宜洒水的物料应贮存在三面封闭的堆场内，上部设置防雨顶棚。</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施工工地内的散装物料、渣土和建筑垃圾应当遮盖或者在库房内存放，不得在施工工地外堆放。</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制定合理的施工计划，合理调配施工物料，物料根据施工实际进度由产地调运进场，尽量减少堆场的堆存量和堆存周期。</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4</w:t>
      </w:r>
      <w:r>
        <w:rPr>
          <w:rFonts w:cs="Times New Roman"/>
          <w:b/>
          <w:snapToGrid w:val="0"/>
          <w:lang w:val="zh-CN"/>
        </w:rPr>
        <w:t>）土方及路基路面施工防尘</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土方堆场集中布置在项目占地红线内，与附近集中居民点的距离不小于</w:t>
      </w:r>
      <w:r>
        <w:rPr>
          <w:rFonts w:cs="Times New Roman"/>
          <w:snapToGrid w:val="0"/>
          <w:lang w:val="zh-CN"/>
        </w:rPr>
        <w:t>200m</w:t>
      </w:r>
      <w:r>
        <w:rPr>
          <w:rFonts w:cs="Times New Roman"/>
          <w:snapToGrid w:val="0"/>
          <w:lang w:val="zh-CN"/>
        </w:rPr>
        <w:t>，控制土方堆垛的高度不超过</w:t>
      </w:r>
      <w:r>
        <w:rPr>
          <w:rFonts w:cs="Times New Roman"/>
          <w:snapToGrid w:val="0"/>
          <w:lang w:val="zh-CN"/>
        </w:rPr>
        <w:t>5m</w:t>
      </w:r>
      <w:r>
        <w:rPr>
          <w:rFonts w:cs="Times New Roman"/>
          <w:snapToGrid w:val="0"/>
          <w:lang w:val="zh-CN"/>
        </w:rPr>
        <w:t>，并配备篷布覆盖，施工现场不得有裸露土堆。</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土方作业前采取洒水措施，保证土方的湿润。根据路基填筑进度安排运土计划，尽量做到运土、拌合、填筑过程顺畅衔接，减少土方的临时堆存时间。</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路基路面填筑时，及时压实，未完工路面及时洒水并用篷布覆盖，不得裸露。避免在大风天气进行施工；风速达到五级以上应当停止爆破或者拆除建筑物、构筑物。</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遇天气久旱，对堆放的风积沙，开挖的土方，工地地面等易产生扬尘的部位应经常洒水；遇</w:t>
      </w:r>
      <w:r>
        <w:rPr>
          <w:rFonts w:cs="Times New Roman"/>
          <w:snapToGrid w:val="0"/>
          <w:lang w:val="zh-CN"/>
        </w:rPr>
        <w:t>恶劣天气减少堆存量并及时利用，设置围栏，定时洒水防尘；</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工程土方开挖前施工单位应按《建筑工程绿色施工规范》（</w:t>
      </w:r>
      <w:r>
        <w:rPr>
          <w:rFonts w:cs="Times New Roman"/>
          <w:snapToGrid w:val="0"/>
          <w:lang w:val="zh-CN"/>
        </w:rPr>
        <w:t>GB/T50905-2014</w:t>
      </w:r>
      <w:r>
        <w:rPr>
          <w:rFonts w:cs="Times New Roman"/>
          <w:snapToGrid w:val="0"/>
          <w:lang w:val="zh-CN"/>
        </w:rPr>
        <w:t>）的要求，做好洗车池和冲洗设施、建筑垃圾和生活垃圾分类密闭存放装置、沙土覆盖、工地路面硬化和生活区合理规划等工作。</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5</w:t>
      </w:r>
      <w:r>
        <w:rPr>
          <w:rFonts w:cs="Times New Roman"/>
          <w:b/>
          <w:snapToGrid w:val="0"/>
          <w:lang w:val="zh-CN"/>
        </w:rPr>
        <w:t>）料场、弃土场防尘</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取土场、弃土场选址远离居民区，</w:t>
      </w:r>
      <w:r>
        <w:rPr>
          <w:rFonts w:cs="Times New Roman"/>
          <w:snapToGrid w:val="0"/>
          <w:lang w:val="zh-CN"/>
        </w:rPr>
        <w:t>300m</w:t>
      </w:r>
      <w:r>
        <w:rPr>
          <w:rFonts w:cs="Times New Roman"/>
          <w:snapToGrid w:val="0"/>
          <w:lang w:val="zh-CN"/>
        </w:rPr>
        <w:t>以内无居民区等敏感目标。</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禁止在干旱大风天气禁止取土、弃土。</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fldChar w:fldCharType="end"/>
      </w:r>
      <w:r>
        <w:rPr>
          <w:rFonts w:cs="Times New Roman"/>
          <w:snapToGrid w:val="0"/>
          <w:lang w:val="zh-CN"/>
        </w:rPr>
        <w:t>取土、弃土运输过程中做好三防措施：即防</w:t>
      </w:r>
      <w:r>
        <w:rPr>
          <w:rFonts w:cs="Times New Roman"/>
          <w:snapToGrid w:val="0"/>
          <w:lang w:val="zh-CN"/>
        </w:rPr>
        <w:t>尘、防遗洒、防噪，具体为施工道路采用砂石路面，并经常洒水降尘；车辆运输土石料的过程中进行苫盖、密闭；运输车辆加强维护、保养，减轻车辆噪声，施工道路尽量远离村民点，夜间</w:t>
      </w:r>
      <w:r>
        <w:rPr>
          <w:rFonts w:cs="Times New Roman"/>
          <w:snapToGrid w:val="0"/>
          <w:lang w:val="zh-CN"/>
        </w:rPr>
        <w:t>24:00~08:00</w:t>
      </w:r>
      <w:r>
        <w:rPr>
          <w:rFonts w:cs="Times New Roman"/>
          <w:snapToGrid w:val="0"/>
          <w:lang w:val="zh-CN"/>
        </w:rPr>
        <w:t>时间段禁止施工。</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4 \* GB3 </w:instrText>
      </w:r>
      <w:r>
        <w:rPr>
          <w:rFonts w:cs="Times New Roman"/>
          <w:snapToGrid w:val="0"/>
          <w:lang w:val="zh-CN"/>
        </w:rPr>
        <w:fldChar w:fldCharType="separate"/>
      </w:r>
      <w:r>
        <w:rPr>
          <w:rFonts w:cs="Times New Roman"/>
          <w:snapToGrid w:val="0"/>
          <w:lang w:val="zh-CN"/>
        </w:rPr>
        <w:t>④</w:t>
      </w:r>
      <w:r>
        <w:rPr>
          <w:rFonts w:cs="Times New Roman"/>
          <w:snapToGrid w:val="0"/>
          <w:lang w:val="zh-CN"/>
        </w:rPr>
        <w:fldChar w:fldCharType="end"/>
      </w:r>
      <w:r>
        <w:rPr>
          <w:rFonts w:cs="Times New Roman"/>
          <w:snapToGrid w:val="0"/>
          <w:lang w:val="zh-CN"/>
        </w:rPr>
        <w:t>严格控制运料车装料数量，避免沿路抛洒；在卸运时采用有效方法削减扬尘污染；弃渣运送时，要加盖篷布，做到不散落。</w:t>
      </w:r>
    </w:p>
    <w:p w:rsidR="00A46452" w:rsidRDefault="009A3928">
      <w:pPr>
        <w:wordWrap w:val="0"/>
        <w:topLinePunct/>
        <w:ind w:firstLine="482"/>
        <w:rPr>
          <w:rFonts w:cs="Times New Roman"/>
          <w:b/>
          <w:snapToGrid w:val="0"/>
          <w:lang w:val="zh-CN"/>
        </w:rPr>
      </w:pPr>
      <w:r>
        <w:rPr>
          <w:rFonts w:cs="Times New Roman"/>
          <w:b/>
          <w:snapToGrid w:val="0"/>
          <w:lang w:val="zh-CN"/>
        </w:rPr>
        <w:t>（</w:t>
      </w:r>
      <w:r>
        <w:rPr>
          <w:rFonts w:cs="Times New Roman"/>
          <w:b/>
          <w:snapToGrid w:val="0"/>
          <w:lang w:val="zh-CN"/>
        </w:rPr>
        <w:t>6</w:t>
      </w:r>
      <w:r>
        <w:rPr>
          <w:rFonts w:cs="Times New Roman"/>
          <w:b/>
          <w:snapToGrid w:val="0"/>
          <w:lang w:val="zh-CN"/>
        </w:rPr>
        <w:t>）拌和站和预制场防尘</w:t>
      </w:r>
    </w:p>
    <w:p w:rsidR="00A46452" w:rsidRDefault="009A3928">
      <w:pPr>
        <w:wordWrap w:val="0"/>
        <w:topLinePunct/>
        <w:ind w:firstLine="480"/>
        <w:rPr>
          <w:rFonts w:cs="Times New Roman"/>
          <w:snapToGrid w:val="0"/>
          <w:lang w:val="zh-CN"/>
        </w:rPr>
      </w:pPr>
      <w:r>
        <w:rPr>
          <w:rFonts w:cs="Times New Roman"/>
          <w:snapToGrid w:val="0"/>
          <w:lang w:val="zh-CN"/>
        </w:rPr>
        <w:t>①</w:t>
      </w:r>
      <w:r>
        <w:rPr>
          <w:rFonts w:cs="Times New Roman"/>
          <w:snapToGrid w:val="0"/>
          <w:lang w:val="zh-CN"/>
        </w:rPr>
        <w:t>水稳拌和站及混凝土拌和均采用站拌方式，但要慎重选择地址，拌和站应远离居民区敏感点（采取先进设施，拌和站周边</w:t>
      </w:r>
      <w:r>
        <w:rPr>
          <w:rFonts w:cs="Times New Roman"/>
          <w:snapToGrid w:val="0"/>
          <w:lang w:val="zh-CN"/>
        </w:rPr>
        <w:t>300m</w:t>
      </w:r>
      <w:r>
        <w:rPr>
          <w:rFonts w:cs="Times New Roman"/>
          <w:snapToGrid w:val="0"/>
          <w:lang w:val="zh-CN"/>
        </w:rPr>
        <w:t>范围内不能有敏感点），位于当地施工季节主导风向的下风向。</w:t>
      </w:r>
    </w:p>
    <w:p w:rsidR="00A46452" w:rsidRDefault="009A3928">
      <w:pPr>
        <w:wordWrap w:val="0"/>
        <w:topLinePunct/>
        <w:ind w:firstLine="480"/>
        <w:rPr>
          <w:rFonts w:cs="Times New Roman"/>
          <w:snapToGrid w:val="0"/>
          <w:lang w:val="zh-CN"/>
        </w:rPr>
      </w:pPr>
      <w:r>
        <w:rPr>
          <w:rFonts w:cs="Times New Roman"/>
          <w:snapToGrid w:val="0"/>
          <w:lang w:val="zh-CN"/>
        </w:rPr>
        <w:t>②</w:t>
      </w:r>
      <w:r>
        <w:rPr>
          <w:rFonts w:cs="Times New Roman"/>
          <w:snapToGrid w:val="0"/>
          <w:lang w:val="zh-CN"/>
        </w:rPr>
        <w:t>水稳拌和站、混凝土拌和站和预制场要求设置硬质围挡，站内洒水抑尘、定期冲洗地面和车辆。</w:t>
      </w:r>
    </w:p>
    <w:p w:rsidR="00A46452" w:rsidRDefault="009A3928">
      <w:pPr>
        <w:wordWrap w:val="0"/>
        <w:topLinePunct/>
        <w:ind w:firstLine="480"/>
        <w:rPr>
          <w:rFonts w:cs="Times New Roman"/>
          <w:snapToGrid w:val="0"/>
          <w:lang w:val="zh-CN"/>
        </w:rPr>
      </w:pPr>
      <w:r>
        <w:rPr>
          <w:rFonts w:cs="Times New Roman"/>
          <w:snapToGrid w:val="0"/>
          <w:lang w:val="zh-CN"/>
        </w:rPr>
        <w:t>③</w:t>
      </w:r>
      <w:r>
        <w:rPr>
          <w:rFonts w:cs="Times New Roman"/>
          <w:snapToGrid w:val="0"/>
          <w:lang w:val="zh-CN"/>
        </w:rPr>
        <w:t>拌和站采取全封闭车间化生产，原材料、上料、配料、搅拌设备以及料仓存料库全封闭，砂石料拌和采用集中站拌方式，拌和站四周设置围挡防风阻尘，</w:t>
      </w:r>
      <w:r>
        <w:rPr>
          <w:rFonts w:cs="Times New Roman"/>
          <w:snapToGrid w:val="0"/>
        </w:rPr>
        <w:t>水稳</w:t>
      </w:r>
      <w:r>
        <w:rPr>
          <w:rFonts w:cs="Times New Roman"/>
          <w:snapToGrid w:val="0"/>
        </w:rPr>
        <w:t>拌和站</w:t>
      </w:r>
      <w:r>
        <w:rPr>
          <w:rFonts w:cs="Times New Roman"/>
          <w:snapToGrid w:val="0"/>
        </w:rPr>
        <w:t>运行产生的含尘废气经搅拌楼设置的箱式布袋除尘器处理排放，混凝土</w:t>
      </w:r>
      <w:r>
        <w:rPr>
          <w:rFonts w:cs="Times New Roman"/>
          <w:snapToGrid w:val="0"/>
        </w:rPr>
        <w:t>拌和站</w:t>
      </w:r>
      <w:r>
        <w:rPr>
          <w:rFonts w:cs="Times New Roman"/>
          <w:snapToGrid w:val="0"/>
        </w:rPr>
        <w:t>的筒仓含尘废气经仓顶脉冲布袋除尘器处</w:t>
      </w:r>
      <w:r>
        <w:rPr>
          <w:rFonts w:cs="Times New Roman"/>
          <w:snapToGrid w:val="0"/>
        </w:rPr>
        <w:t>理后排放，排放口高度均离地</w:t>
      </w:r>
      <w:r>
        <w:rPr>
          <w:rFonts w:cs="Times New Roman"/>
          <w:snapToGrid w:val="0"/>
        </w:rPr>
        <w:t>15</w:t>
      </w:r>
      <w:r>
        <w:rPr>
          <w:rFonts w:cs="Times New Roman"/>
          <w:snapToGrid w:val="0"/>
        </w:rPr>
        <w:t>m</w:t>
      </w:r>
      <w:r>
        <w:rPr>
          <w:rFonts w:cs="Times New Roman"/>
          <w:snapToGrid w:val="0"/>
        </w:rPr>
        <w:t>。废气中颗粒物排放浓度均满足《水泥工业大气污染物排放标准》（</w:t>
      </w:r>
      <w:r>
        <w:rPr>
          <w:rFonts w:cs="Times New Roman"/>
          <w:snapToGrid w:val="0"/>
        </w:rPr>
        <w:t>GB4915-2013</w:t>
      </w:r>
      <w:r>
        <w:rPr>
          <w:rFonts w:cs="Times New Roman"/>
          <w:snapToGrid w:val="0"/>
        </w:rPr>
        <w:t>）中表</w:t>
      </w:r>
      <w:r>
        <w:rPr>
          <w:rFonts w:cs="Times New Roman"/>
          <w:snapToGrid w:val="0"/>
        </w:rPr>
        <w:t>1</w:t>
      </w:r>
      <w:r>
        <w:rPr>
          <w:rFonts w:cs="Times New Roman"/>
          <w:snapToGrid w:val="0"/>
        </w:rPr>
        <w:t>散装水泥中转站及水泥制品生产排放限值（颗粒物</w:t>
      </w:r>
      <w:r>
        <w:rPr>
          <w:rFonts w:cs="Times New Roman"/>
          <w:snapToGrid w:val="0"/>
        </w:rPr>
        <w:t>≤20</w:t>
      </w:r>
      <w:r>
        <w:rPr>
          <w:rFonts w:cs="Times New Roman"/>
          <w:snapToGrid w:val="0"/>
        </w:rPr>
        <w:t>mg/m</w:t>
      </w:r>
      <w:r>
        <w:rPr>
          <w:rFonts w:cs="Times New Roman"/>
          <w:snapToGrid w:val="0"/>
          <w:vertAlign w:val="superscript"/>
        </w:rPr>
        <w:t>3</w:t>
      </w:r>
      <w:r>
        <w:rPr>
          <w:rFonts w:cs="Times New Roman"/>
          <w:snapToGrid w:val="0"/>
        </w:rPr>
        <w:t>）要求。</w:t>
      </w:r>
    </w:p>
    <w:p w:rsidR="00A46452" w:rsidRDefault="009A3928">
      <w:pPr>
        <w:wordWrap w:val="0"/>
        <w:topLinePunct/>
        <w:ind w:firstLine="480"/>
        <w:rPr>
          <w:rFonts w:cs="Times New Roman"/>
          <w:snapToGrid w:val="0"/>
          <w:lang w:val="zh-CN"/>
        </w:rPr>
      </w:pPr>
      <w:r>
        <w:rPr>
          <w:rFonts w:cs="Times New Roman"/>
          <w:snapToGrid w:val="0"/>
          <w:lang w:val="zh-CN"/>
        </w:rPr>
        <w:t>④</w:t>
      </w:r>
      <w:r>
        <w:rPr>
          <w:rFonts w:cs="Times New Roman"/>
          <w:snapToGrid w:val="0"/>
          <w:lang w:val="zh-CN"/>
        </w:rPr>
        <w:t>拌和站和预制场应定时清扫、洒水，每天至少两次（上下班），在经过人员密集地区要加强洒水密度和强度。</w:t>
      </w:r>
    </w:p>
    <w:p w:rsidR="00A46452" w:rsidRDefault="009A3928">
      <w:pPr>
        <w:wordWrap w:val="0"/>
        <w:topLinePunct/>
        <w:ind w:firstLine="480"/>
        <w:rPr>
          <w:rFonts w:cs="Times New Roman"/>
          <w:snapToGrid w:val="0"/>
          <w:lang w:val="zh-CN"/>
        </w:rPr>
      </w:pPr>
      <w:r>
        <w:rPr>
          <w:rFonts w:cs="Times New Roman"/>
          <w:snapToGrid w:val="0"/>
          <w:lang w:val="zh-CN"/>
        </w:rPr>
        <w:t>⑤</w:t>
      </w:r>
      <w:r>
        <w:rPr>
          <w:rFonts w:cs="Times New Roman"/>
          <w:snapToGrid w:val="0"/>
          <w:lang w:val="zh-CN"/>
        </w:rPr>
        <w:t>严格控制运料车装料数量，避免沿路抛洒；水泥等粉细散装材料在卸运时采用有效方法削减扬尘污染；弃渣运送时，要加盖篷布，做到不散落。</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8.2.1.2</w:t>
      </w:r>
      <w:r>
        <w:rPr>
          <w:rFonts w:cs="Times New Roman" w:hint="default"/>
          <w:iCs/>
        </w:rPr>
        <w:t>施工沥青烟气防治</w:t>
      </w:r>
    </w:p>
    <w:p w:rsidR="00A46452" w:rsidRDefault="009A3928">
      <w:pPr>
        <w:wordWrap w:val="0"/>
        <w:topLinePunct/>
        <w:ind w:firstLine="480"/>
        <w:rPr>
          <w:rFonts w:cs="Times New Roman"/>
          <w:snapToGrid w:val="0"/>
          <w:lang w:val="zh-CN"/>
        </w:rPr>
      </w:pPr>
      <w:r>
        <w:rPr>
          <w:rFonts w:cs="Times New Roman"/>
          <w:snapToGrid w:val="0"/>
          <w:lang w:val="zh-CN"/>
        </w:rPr>
        <w:t>施工阶段的沥青烟气主要出现在沥青拌合和路面铺设过程中。由于本项目沥青由外购成品提供，施工过程不涉及沥青熬炼过程，仅涉及搅拌过程，按照《公路环境保护设计规范》（</w:t>
      </w:r>
      <w:r>
        <w:rPr>
          <w:rFonts w:cs="Times New Roman"/>
          <w:snapToGrid w:val="0"/>
          <w:lang w:val="zh-CN"/>
        </w:rPr>
        <w:t>JTG B04-2010</w:t>
      </w:r>
      <w:r>
        <w:rPr>
          <w:rFonts w:cs="Times New Roman"/>
          <w:snapToGrid w:val="0"/>
          <w:lang w:val="zh-CN"/>
        </w:rPr>
        <w:t>）的要求，采取以下措施：</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）全线应集中设置拌和站，边界设置硬质围挡，选用先进的拌和设备。</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）选址时应设在开阔、空旷的地方，拌和站周边</w:t>
      </w:r>
      <w:r>
        <w:rPr>
          <w:rFonts w:cs="Times New Roman"/>
          <w:snapToGrid w:val="0"/>
          <w:lang w:val="zh-CN"/>
        </w:rPr>
        <w:t>300m</w:t>
      </w:r>
      <w:r>
        <w:rPr>
          <w:rFonts w:cs="Times New Roman"/>
          <w:snapToGrid w:val="0"/>
          <w:lang w:val="zh-CN"/>
        </w:rPr>
        <w:t>范围内不能有敏感点。沥青拌和站导热油炉、物料烘干筒所使用燃料必须使用清洁能源，不得使用高污染燃料。</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w:t>
      </w:r>
      <w:r>
        <w:rPr>
          <w:rFonts w:cs="Times New Roman"/>
          <w:snapToGrid w:val="0"/>
          <w:lang w:val="zh-CN"/>
        </w:rPr>
        <w:t>沥青加热罐、输送斗车、搅拌缸设置集气罩，由风量不小于</w:t>
      </w:r>
      <w:r>
        <w:rPr>
          <w:rFonts w:cs="Times New Roman"/>
          <w:snapToGrid w:val="0"/>
          <w:lang w:val="zh-CN"/>
        </w:rPr>
        <w:t>200m³/min</w:t>
      </w:r>
      <w:r>
        <w:rPr>
          <w:rFonts w:cs="Times New Roman"/>
          <w:snapToGrid w:val="0"/>
          <w:lang w:val="zh-CN"/>
        </w:rPr>
        <w:t>的引风机收集烟气。</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w:t>
      </w:r>
      <w:r>
        <w:rPr>
          <w:rFonts w:cs="Times New Roman"/>
          <w:snapToGrid w:val="0"/>
          <w:lang w:val="zh-CN"/>
        </w:rPr>
        <w:t>烟气收集管道下游设置烟气净化装置净化烟气，经净化的烟气由</w:t>
      </w:r>
      <w:r>
        <w:rPr>
          <w:rFonts w:cs="Times New Roman"/>
          <w:snapToGrid w:val="0"/>
          <w:lang w:val="zh-CN"/>
        </w:rPr>
        <w:t>15m</w:t>
      </w:r>
      <w:r>
        <w:rPr>
          <w:rFonts w:cs="Times New Roman"/>
          <w:snapToGrid w:val="0"/>
          <w:lang w:val="zh-CN"/>
        </w:rPr>
        <w:t>高的排气筒排放。为确保沥青烟气处理效率，采用购置市面上较成熟的成套净化设备，净化工艺为</w:t>
      </w:r>
      <w:r>
        <w:rPr>
          <w:rFonts w:cs="Times New Roman"/>
          <w:snapToGrid w:val="0"/>
          <w:lang w:val="zh-CN"/>
        </w:rPr>
        <w:t>“</w:t>
      </w:r>
      <w:r>
        <w:rPr>
          <w:rFonts w:cs="Times New Roman"/>
          <w:snapToGrid w:val="0"/>
          <w:lang w:val="zh-CN"/>
        </w:rPr>
        <w:t>冷凝</w:t>
      </w:r>
      <w:r>
        <w:rPr>
          <w:rFonts w:cs="Times New Roman"/>
          <w:snapToGrid w:val="0"/>
          <w:lang w:val="zh-CN"/>
        </w:rPr>
        <w:t>+</w:t>
      </w:r>
      <w:r>
        <w:rPr>
          <w:rFonts w:cs="Times New Roman"/>
          <w:snapToGrid w:val="0"/>
          <w:lang w:val="zh-CN"/>
        </w:rPr>
        <w:t>电捕焦油器</w:t>
      </w:r>
      <w:r>
        <w:rPr>
          <w:rFonts w:cs="Times New Roman"/>
          <w:snapToGrid w:val="0"/>
          <w:lang w:val="zh-CN"/>
        </w:rPr>
        <w:t>+</w:t>
      </w:r>
      <w:r>
        <w:rPr>
          <w:rFonts w:cs="Times New Roman"/>
          <w:snapToGrid w:val="0"/>
          <w:lang w:val="zh-CN"/>
        </w:rPr>
        <w:t>活性炭吸附</w:t>
      </w:r>
      <w:r>
        <w:rPr>
          <w:rFonts w:cs="Times New Roman"/>
          <w:snapToGrid w:val="0"/>
          <w:lang w:val="zh-CN"/>
        </w:rPr>
        <w:t>”</w:t>
      </w:r>
      <w:r>
        <w:rPr>
          <w:rFonts w:cs="Times New Roman"/>
          <w:snapToGrid w:val="0"/>
          <w:lang w:val="zh-CN"/>
        </w:rPr>
        <w:t>，该处理工艺运行稳定，去除效率高，能高效去除苯并</w:t>
      </w:r>
      <w:r>
        <w:rPr>
          <w:rFonts w:cs="Times New Roman"/>
          <w:snapToGrid w:val="0"/>
          <w:lang w:val="zh-CN"/>
        </w:rPr>
        <w:t>[a]</w:t>
      </w:r>
      <w:r>
        <w:rPr>
          <w:rFonts w:cs="Times New Roman"/>
          <w:snapToGrid w:val="0"/>
          <w:lang w:val="zh-CN"/>
        </w:rPr>
        <w:t>芘、轻质芳烃溶剂等</w:t>
      </w:r>
      <w:r>
        <w:rPr>
          <w:rFonts w:cs="Times New Roman"/>
          <w:snapToGrid w:val="0"/>
          <w:lang w:val="zh-CN"/>
        </w:rPr>
        <w:t>VOC</w:t>
      </w:r>
      <w:r>
        <w:rPr>
          <w:rFonts w:cs="Times New Roman"/>
          <w:snapToGrid w:val="0"/>
          <w:lang w:val="zh-CN"/>
        </w:rPr>
        <w:t>类污染物，根据采用类似工艺的沥青混凝土拌和站烟气出口监测结果，沥青烟和苯并</w:t>
      </w:r>
      <w:r>
        <w:rPr>
          <w:rFonts w:cs="Times New Roman"/>
          <w:snapToGrid w:val="0"/>
          <w:lang w:val="zh-CN"/>
        </w:rPr>
        <w:t>[a]</w:t>
      </w:r>
      <w:r>
        <w:rPr>
          <w:rFonts w:cs="Times New Roman"/>
          <w:snapToGrid w:val="0"/>
          <w:lang w:val="zh-CN"/>
        </w:rPr>
        <w:t>芘出口浓度可满足《大气污染物综合排放标准》（</w:t>
      </w:r>
      <w:r>
        <w:rPr>
          <w:rFonts w:cs="Times New Roman"/>
          <w:snapToGrid w:val="0"/>
          <w:lang w:val="zh-CN"/>
        </w:rPr>
        <w:t>GB16297-1996</w:t>
      </w:r>
      <w:r>
        <w:rPr>
          <w:rFonts w:cs="Times New Roman"/>
          <w:snapToGrid w:val="0"/>
          <w:lang w:val="zh-CN"/>
        </w:rPr>
        <w:t>）表</w:t>
      </w:r>
      <w:r>
        <w:rPr>
          <w:rFonts w:cs="Times New Roman"/>
          <w:snapToGrid w:val="0"/>
          <w:lang w:val="zh-CN"/>
        </w:rPr>
        <w:t>2</w:t>
      </w:r>
      <w:r>
        <w:rPr>
          <w:rFonts w:cs="Times New Roman"/>
          <w:snapToGrid w:val="0"/>
          <w:lang w:val="zh-CN"/>
        </w:rPr>
        <w:t>中的</w:t>
      </w:r>
      <w:r>
        <w:rPr>
          <w:rFonts w:cs="Times New Roman"/>
          <w:snapToGrid w:val="0"/>
          <w:lang w:val="zh-CN"/>
        </w:rPr>
        <w:t>二级排放标准要求。</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5</w:t>
      </w:r>
      <w:r>
        <w:rPr>
          <w:rFonts w:cs="Times New Roman"/>
          <w:snapToGrid w:val="0"/>
          <w:lang w:val="zh-CN"/>
        </w:rPr>
        <w:t>）</w:t>
      </w:r>
      <w:r>
        <w:rPr>
          <w:rFonts w:cs="Times New Roman"/>
          <w:snapToGrid w:val="0"/>
          <w:lang w:val="zh-CN"/>
        </w:rPr>
        <w:t>采用先进的拌合设备，采用布袋除尘、骨料四周设置围挡，并覆盖苫布，减少粉尘的影响。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8.2.1.3</w:t>
      </w:r>
      <w:r>
        <w:rPr>
          <w:rFonts w:cs="Times New Roman" w:hint="default"/>
          <w:iCs/>
        </w:rPr>
        <w:t>施工运输车辆机械尾气控制</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）运输车辆严禁超载运输，避免超过车载负荷而尾气排放量呈几何级数上升；</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）运输车辆和施工机械要及时进行保养，保证其正常运行，避免因机械保养不当而导致的尾气排放量增大，对于排放量严重超标的机械应禁止使用。</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3</w:t>
      </w:r>
      <w:r>
        <w:rPr>
          <w:rFonts w:cs="Times New Roman"/>
          <w:snapToGrid w:val="0"/>
          <w:lang w:val="zh-CN"/>
        </w:rPr>
        <w:t>）</w:t>
      </w:r>
      <w:r>
        <w:rPr>
          <w:rFonts w:cs="Times New Roman"/>
          <w:snapToGrid w:val="0"/>
          <w:lang w:val="zh-CN"/>
        </w:rPr>
        <w:t>施工单位必须选用符合国家卫生防护标准的施工机械设备和运输工具，确保其废气排放符合国家有关标准。</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8.2.1.4</w:t>
      </w:r>
      <w:r>
        <w:rPr>
          <w:rFonts w:cs="Times New Roman" w:hint="default"/>
          <w:iCs/>
        </w:rPr>
        <w:t>对环境敏感点的防治</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1</w:t>
      </w:r>
      <w:r>
        <w:rPr>
          <w:rFonts w:cs="Times New Roman"/>
          <w:snapToGrid w:val="0"/>
          <w:lang w:val="zh-CN"/>
        </w:rPr>
        <w:t>）禁止在农田内</w:t>
      </w:r>
      <w:r>
        <w:rPr>
          <w:rFonts w:cs="Times New Roman"/>
          <w:snapToGrid w:val="0"/>
          <w:lang w:val="zh-CN"/>
        </w:rPr>
        <w:t>设置施工场地、取、弃土（渣）场等临时用地，严格控制施工用地范围。</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2</w:t>
      </w:r>
      <w:r>
        <w:rPr>
          <w:rFonts w:cs="Times New Roman"/>
          <w:snapToGrid w:val="0"/>
          <w:lang w:val="zh-CN"/>
        </w:rPr>
        <w:t>）施工生产场地（预制场、拌和站等）的设置应远离村庄敏感点，施工生产时应避免下风向环境敏感点的地段，并设置围挡，以减小对周围环境的影响。</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8.2.1.5</w:t>
      </w:r>
      <w:r>
        <w:rPr>
          <w:rFonts w:cs="Times New Roman" w:hint="default"/>
          <w:iCs/>
        </w:rPr>
        <w:t>焊接烟尘</w:t>
      </w:r>
    </w:p>
    <w:p w:rsidR="00A46452" w:rsidRDefault="009A3928">
      <w:pPr>
        <w:wordWrap w:val="0"/>
        <w:topLinePunct/>
        <w:ind w:firstLine="480"/>
        <w:rPr>
          <w:rFonts w:cs="Times New Roman"/>
          <w:snapToGrid w:val="0"/>
        </w:rPr>
      </w:pPr>
      <w:r>
        <w:rPr>
          <w:rFonts w:cs="Times New Roman"/>
          <w:snapToGrid w:val="0"/>
          <w:lang w:val="zh-CN"/>
        </w:rPr>
        <w:t>钢件焊接过程中，钢构加工场内须加强通风换气，避免封闭作业。</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72" w:name="_Toc98414258"/>
      <w:bookmarkStart w:id="373" w:name="_Toc57826780"/>
      <w:bookmarkStart w:id="374" w:name="_Toc98413576"/>
      <w:bookmarkStart w:id="375" w:name="_Toc97464682"/>
      <w:bookmarkStart w:id="376" w:name="_Toc34989617"/>
      <w:r>
        <w:rPr>
          <w:rFonts w:cs="Times New Roman" w:hint="default"/>
          <w:sz w:val="28"/>
          <w:szCs w:val="28"/>
        </w:rPr>
        <w:t>8.2.2</w:t>
      </w:r>
      <w:r>
        <w:rPr>
          <w:rFonts w:cs="Times New Roman" w:hint="default"/>
          <w:sz w:val="28"/>
          <w:szCs w:val="28"/>
        </w:rPr>
        <w:t>营运期</w:t>
      </w:r>
      <w:bookmarkEnd w:id="372"/>
      <w:bookmarkEnd w:id="373"/>
      <w:bookmarkEnd w:id="374"/>
      <w:bookmarkEnd w:id="375"/>
      <w:bookmarkEnd w:id="376"/>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8.2.2.1</w:t>
      </w:r>
      <w:r>
        <w:rPr>
          <w:rFonts w:cs="Times New Roman" w:hint="default"/>
          <w:iCs/>
        </w:rPr>
        <w:t>公路工程</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）加强公路管理及路面养护，保持公路良好运营状态。</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）严格执行汽车排放车检制度，限制尾气排放严重超标车辆上路。</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）加强运输散装物资如煤、水泥、砂石材料等车辆的管理，运送上述物品需加盖篷布。</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8.2.2.2</w:t>
      </w:r>
      <w:r>
        <w:rPr>
          <w:rFonts w:cs="Times New Roman" w:hint="default"/>
          <w:iCs/>
        </w:rPr>
        <w:t>服务区工程</w:t>
      </w:r>
    </w:p>
    <w:p w:rsidR="00A46452" w:rsidRDefault="009A3928">
      <w:pPr>
        <w:wordWrap w:val="0"/>
        <w:topLinePunct/>
        <w:adjustRightInd w:val="0"/>
        <w:snapToGrid w:val="0"/>
        <w:ind w:firstLine="480"/>
        <w:rPr>
          <w:rFonts w:cs="Times New Roman"/>
          <w:snapToGrid w:val="0"/>
          <w:lang w:val="zh-CN"/>
        </w:rPr>
      </w:pPr>
      <w:r>
        <w:rPr>
          <w:rFonts w:cs="Times New Roman"/>
          <w:snapToGrid w:val="0"/>
        </w:rPr>
        <w:t>服务区</w:t>
      </w:r>
      <w:r>
        <w:rPr>
          <w:rFonts w:cs="Times New Roman"/>
          <w:snapToGrid w:val="0"/>
          <w:lang w:val="zh-CN"/>
        </w:rPr>
        <w:t>设施产生的废气主要</w:t>
      </w:r>
      <w:r>
        <w:rPr>
          <w:rFonts w:cs="Times New Roman"/>
          <w:snapToGrid w:val="0"/>
        </w:rPr>
        <w:t>有</w:t>
      </w:r>
      <w:r>
        <w:rPr>
          <w:rFonts w:cs="Times New Roman"/>
          <w:snapToGrid w:val="0"/>
          <w:lang w:val="zh-CN"/>
        </w:rPr>
        <w:t>餐饮油烟。</w:t>
      </w:r>
      <w:r>
        <w:rPr>
          <w:rFonts w:cs="Times New Roman"/>
          <w:snapToGrid w:val="0"/>
        </w:rPr>
        <w:t>服务区</w:t>
      </w:r>
      <w:r>
        <w:rPr>
          <w:rFonts w:cs="Times New Roman"/>
          <w:snapToGrid w:val="0"/>
          <w:lang w:val="zh-CN"/>
        </w:rPr>
        <w:t>设施餐饮油烟经过烟气净化装置并正常开启运行，清洗及时、保证油烟达标排放。</w:t>
      </w:r>
      <w:r>
        <w:rPr>
          <w:rFonts w:cs="Times New Roman"/>
          <w:kern w:val="0"/>
          <w:szCs w:val="24"/>
        </w:rPr>
        <w:t>服务区拟</w:t>
      </w:r>
      <w:r>
        <w:rPr>
          <w:rFonts w:cs="Times New Roman"/>
        </w:rPr>
        <w:t>依托沿线第三师</w:t>
      </w:r>
      <w:r>
        <w:rPr>
          <w:rFonts w:cs="Times New Roman"/>
        </w:rPr>
        <w:t>53</w:t>
      </w:r>
      <w:r>
        <w:rPr>
          <w:rFonts w:cs="Times New Roman"/>
        </w:rPr>
        <w:t>团集中供暖设施进行供暖，无锅炉废气排放。</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77" w:name="bookmark46"/>
      <w:bookmarkStart w:id="378" w:name="_Toc27625"/>
      <w:bookmarkStart w:id="379" w:name="_Toc98413577"/>
      <w:bookmarkStart w:id="380" w:name="_Toc19985"/>
      <w:bookmarkStart w:id="381" w:name="_Toc154077015"/>
      <w:bookmarkEnd w:id="377"/>
      <w:r>
        <w:rPr>
          <w:rFonts w:cs="Times New Roman" w:hint="default"/>
          <w:sz w:val="30"/>
          <w:szCs w:val="30"/>
        </w:rPr>
        <w:t>8.3</w:t>
      </w:r>
      <w:r>
        <w:rPr>
          <w:rFonts w:cs="Times New Roman" w:hint="default"/>
          <w:sz w:val="30"/>
          <w:szCs w:val="30"/>
        </w:rPr>
        <w:t>地表水环境污染防治措施</w:t>
      </w:r>
      <w:bookmarkEnd w:id="378"/>
      <w:bookmarkEnd w:id="379"/>
      <w:bookmarkEnd w:id="380"/>
      <w:bookmarkEnd w:id="381"/>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82" w:name="_Toc97464684"/>
      <w:bookmarkStart w:id="383" w:name="_Toc98414260"/>
      <w:bookmarkStart w:id="384" w:name="_Toc34989619"/>
      <w:bookmarkStart w:id="385" w:name="_Toc98413578"/>
      <w:bookmarkStart w:id="386" w:name="_Toc57826782"/>
      <w:r>
        <w:rPr>
          <w:rFonts w:cs="Times New Roman" w:hint="default"/>
          <w:sz w:val="28"/>
          <w:szCs w:val="28"/>
        </w:rPr>
        <w:t>8.3.1</w:t>
      </w:r>
      <w:r>
        <w:rPr>
          <w:rFonts w:cs="Times New Roman" w:hint="default"/>
          <w:sz w:val="28"/>
          <w:szCs w:val="28"/>
        </w:rPr>
        <w:t>施工期</w:t>
      </w:r>
      <w:bookmarkEnd w:id="382"/>
      <w:bookmarkEnd w:id="383"/>
      <w:bookmarkEnd w:id="384"/>
      <w:bookmarkEnd w:id="385"/>
      <w:bookmarkEnd w:id="386"/>
    </w:p>
    <w:p w:rsidR="00A46452" w:rsidRDefault="009A3928">
      <w:pPr>
        <w:wordWrap w:val="0"/>
        <w:topLinePunct/>
        <w:ind w:firstLine="480"/>
        <w:rPr>
          <w:rFonts w:cs="Times New Roman"/>
          <w:snapToGrid w:val="0"/>
          <w:lang w:val="zh-CN"/>
        </w:rPr>
      </w:pPr>
      <w:r>
        <w:rPr>
          <w:rFonts w:cs="Times New Roman"/>
          <w:snapToGrid w:val="0"/>
          <w:lang w:val="zh-CN"/>
        </w:rPr>
        <w:t>本项目共设</w:t>
      </w:r>
      <w:r>
        <w:rPr>
          <w:rFonts w:cs="Times New Roman"/>
          <w:snapToGrid w:val="0"/>
        </w:rPr>
        <w:t>3</w:t>
      </w:r>
      <w:r>
        <w:rPr>
          <w:rFonts w:cs="Times New Roman"/>
          <w:snapToGrid w:val="0"/>
          <w:lang w:val="zh-CN"/>
        </w:rPr>
        <w:t>处综合站场。</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）含油污水控制措施</w:t>
      </w:r>
    </w:p>
    <w:p w:rsidR="00A46452" w:rsidRDefault="009A3928">
      <w:pPr>
        <w:wordWrap w:val="0"/>
        <w:topLinePunct/>
        <w:ind w:firstLine="480"/>
        <w:rPr>
          <w:rFonts w:cs="Times New Roman"/>
          <w:snapToGrid w:val="0"/>
          <w:lang w:val="zh-CN"/>
        </w:rPr>
      </w:pPr>
      <w:r>
        <w:rPr>
          <w:rFonts w:cs="Times New Roman"/>
          <w:snapToGrid w:val="0"/>
          <w:lang w:val="zh-CN"/>
        </w:rPr>
        <w:t>采用施工过程控制、清洁生产的方案进行含油污水的控制。</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本项目机械及车辆维修依托</w:t>
      </w:r>
      <w:r>
        <w:rPr>
          <w:rFonts w:cs="Times New Roman"/>
          <w:snapToGrid w:val="0"/>
        </w:rPr>
        <w:t>周边县市</w:t>
      </w:r>
      <w:r>
        <w:rPr>
          <w:rFonts w:cs="Times New Roman"/>
          <w:snapToGrid w:val="0"/>
          <w:lang w:val="zh-CN"/>
        </w:rPr>
        <w:t>社会资源，施工站场、营地不设机械维修站；设备临时维修过程产生的废油，采用固态吸油材料吸收混合后封存作为危险废物外运。</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尽量选用先进的设备、机械、以有效地减少跑、冒、滴、漏的数量及机械维修次数，从而减少含油污水的产生量。在不可避免的跑、冒、滴、漏过程中尽量采用固态吸油材料（如棉纱、木屑、吸油纸等），将废油收集转化到固态物质中，避免产生过多的含油污水。对渗漏到土场的油污应及时利用刮削装置收集封存，临时贮存设施应按国家《危险废物贮存污染控制标准》（</w:t>
      </w:r>
      <w:r>
        <w:rPr>
          <w:rFonts w:cs="Times New Roman"/>
          <w:snapToGrid w:val="0"/>
          <w:lang w:val="zh-CN"/>
        </w:rPr>
        <w:t>GB18597-2023</w:t>
      </w:r>
      <w:r>
        <w:rPr>
          <w:rFonts w:cs="Times New Roman"/>
          <w:snapToGrid w:val="0"/>
          <w:lang w:val="zh-CN"/>
        </w:rPr>
        <w:t>）的要求设</w:t>
      </w:r>
      <w:r>
        <w:rPr>
          <w:rFonts w:cs="Times New Roman"/>
          <w:snapToGrid w:val="0"/>
          <w:lang w:val="zh-CN"/>
        </w:rPr>
        <w:t>置贮存场所，后交有危废处理资质的单位进行处理。</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fldChar w:fldCharType="end"/>
      </w:r>
      <w:r>
        <w:rPr>
          <w:rFonts w:cs="Times New Roman"/>
          <w:snapToGrid w:val="0"/>
          <w:lang w:val="zh-CN"/>
        </w:rPr>
        <w:t>设备、施工机械、车辆清洗废水收集至隔油沉淀池中，隔油沉淀处理后，上清液用于站场的洒水降尘等。</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）预制厂、拌和站等生产废水处理措施</w:t>
      </w:r>
    </w:p>
    <w:p w:rsidR="00A46452" w:rsidRDefault="009A3928">
      <w:pPr>
        <w:wordWrap w:val="0"/>
        <w:topLinePunct/>
        <w:ind w:firstLine="480"/>
        <w:rPr>
          <w:rFonts w:cs="Times New Roman"/>
          <w:snapToGrid w:val="0"/>
          <w:lang w:val="zh-CN"/>
        </w:rPr>
      </w:pPr>
      <w:r>
        <w:rPr>
          <w:rFonts w:cs="Times New Roman"/>
          <w:snapToGrid w:val="0"/>
          <w:lang w:val="zh-CN"/>
        </w:rPr>
        <w:t>本项目的预制场、拌和站以及物料堆场等临时工程设施在综合站场内，均远离河流及渠道。各综合场地内设置</w:t>
      </w:r>
      <w:r>
        <w:rPr>
          <w:rFonts w:cs="Times New Roman"/>
          <w:snapToGrid w:val="0"/>
          <w:lang w:val="zh-CN"/>
        </w:rPr>
        <w:t>1</w:t>
      </w:r>
      <w:r>
        <w:rPr>
          <w:rFonts w:cs="Times New Roman"/>
          <w:snapToGrid w:val="0"/>
          <w:lang w:val="zh-CN"/>
        </w:rPr>
        <w:t>个有效容积不低于</w:t>
      </w:r>
      <w:r>
        <w:rPr>
          <w:rFonts w:cs="Times New Roman"/>
          <w:snapToGrid w:val="0"/>
          <w:lang w:val="zh-CN"/>
        </w:rPr>
        <w:t>5m</w:t>
      </w:r>
      <w:r>
        <w:rPr>
          <w:rFonts w:cs="Times New Roman"/>
          <w:snapToGrid w:val="0"/>
          <w:vertAlign w:val="superscript"/>
          <w:lang w:val="zh-CN"/>
        </w:rPr>
        <w:t>3</w:t>
      </w:r>
      <w:r>
        <w:rPr>
          <w:rFonts w:cs="Times New Roman"/>
          <w:snapToGrid w:val="0"/>
          <w:lang w:val="zh-CN"/>
        </w:rPr>
        <w:t>的隔油沉淀池；构件预制场混凝土搅拌场内设置多级沉淀池，对搅拌车冲洗废水进行沉淀处理，沉淀后的废水回用，用于场地冲洗。同时，场地内设置有导水沟，冲洗水部分蒸发，剩余冲洗水经导水沟进</w:t>
      </w:r>
      <w:r>
        <w:rPr>
          <w:rFonts w:cs="Times New Roman"/>
          <w:snapToGrid w:val="0"/>
          <w:lang w:val="zh-CN"/>
        </w:rPr>
        <w:t>入沉淀池。因此，搅拌站废水均经沉淀处理回用，不外排。对于沉淀池内的沉积物，定期清掏清运，确保多级沉淀池的正常运行。处理水首先循环回用于施工生产，其余用于施工现场、临时堆土场的洒水防尘，不向外排放，沉淀池定期进行清理，沉淀物运至弃土（渣）场。</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）生活污水控制措施</w:t>
      </w:r>
    </w:p>
    <w:p w:rsidR="00A46452" w:rsidRDefault="009A3928">
      <w:pPr>
        <w:wordWrap w:val="0"/>
        <w:topLinePunct/>
        <w:ind w:firstLine="480"/>
        <w:rPr>
          <w:rFonts w:cs="Times New Roman"/>
          <w:snapToGrid w:val="0"/>
          <w:lang w:val="zh-CN"/>
        </w:rPr>
      </w:pPr>
      <w:r>
        <w:rPr>
          <w:rFonts w:cs="Times New Roman"/>
          <w:snapToGrid w:val="0"/>
          <w:lang w:val="zh-CN"/>
        </w:rPr>
        <w:t>本项目施工营地生活污水采用以下措施：</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施工人员的就餐和洗涤采用集中统一形式进行管理，尽量减少生活污水量。</w:t>
      </w:r>
    </w:p>
    <w:p w:rsidR="00A46452" w:rsidRDefault="009A3928">
      <w:pPr>
        <w:wordWrap w:val="0"/>
        <w:topLinePunct/>
        <w:ind w:firstLine="480"/>
        <w:rPr>
          <w:rFonts w:cs="Times New Roman"/>
          <w:snapToGrid w:val="0"/>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自建的施工营地内设置一体化生活污水处理设施，生活污水经处理后</w:t>
      </w:r>
      <w:r>
        <w:rPr>
          <w:rFonts w:cs="Times New Roman"/>
          <w:snapToGrid w:val="0"/>
        </w:rPr>
        <w:t>满足新疆维吾尔自</w:t>
      </w:r>
      <w:r>
        <w:rPr>
          <w:rFonts w:cs="Times New Roman"/>
          <w:snapToGrid w:val="0"/>
        </w:rPr>
        <w:t>治区地方标准《农村生活污水处理排放标准》（</w:t>
      </w:r>
      <w:r>
        <w:rPr>
          <w:rFonts w:cs="Times New Roman"/>
          <w:snapToGrid w:val="0"/>
        </w:rPr>
        <w:t>DB654275-2019</w:t>
      </w:r>
      <w:r>
        <w:rPr>
          <w:rFonts w:cs="Times New Roman"/>
          <w:snapToGrid w:val="0"/>
        </w:rPr>
        <w:t>）表</w:t>
      </w:r>
      <w:r>
        <w:rPr>
          <w:rFonts w:cs="Times New Roman"/>
          <w:snapToGrid w:val="0"/>
        </w:rPr>
        <w:t>2</w:t>
      </w:r>
      <w:r>
        <w:rPr>
          <w:rFonts w:cs="Times New Roman"/>
          <w:snapToGrid w:val="0"/>
        </w:rPr>
        <w:t>中</w:t>
      </w:r>
      <w:r>
        <w:rPr>
          <w:rFonts w:cs="Times New Roman"/>
          <w:snapToGrid w:val="0"/>
        </w:rPr>
        <w:t>B</w:t>
      </w:r>
      <w:r>
        <w:rPr>
          <w:rFonts w:cs="Times New Roman"/>
          <w:snapToGrid w:val="0"/>
        </w:rPr>
        <w:t>级限值，出水满足</w:t>
      </w:r>
      <w:r>
        <w:rPr>
          <w:rFonts w:cs="Times New Roman"/>
          <w:snapToGrid w:val="0"/>
        </w:rPr>
        <w:t>B</w:t>
      </w:r>
      <w:r>
        <w:rPr>
          <w:rFonts w:cs="Times New Roman"/>
          <w:snapToGrid w:val="0"/>
        </w:rPr>
        <w:t>级限值后可用于周边荒漠植被灌溉。</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rPr>
        <w:t>4</w:t>
      </w:r>
      <w:r>
        <w:rPr>
          <w:rFonts w:cs="Times New Roman"/>
          <w:snapToGrid w:val="0"/>
          <w:lang w:val="zh-CN"/>
        </w:rPr>
        <w:t>）</w:t>
      </w:r>
      <w:r>
        <w:rPr>
          <w:rFonts w:cs="Times New Roman"/>
          <w:snapToGrid w:val="0"/>
          <w:lang w:val="zh-CN"/>
        </w:rPr>
        <w:t>跨越水体环境保护措施</w:t>
      </w:r>
    </w:p>
    <w:p w:rsidR="00A46452" w:rsidRDefault="009A3928">
      <w:pPr>
        <w:wordWrap w:val="0"/>
        <w:topLinePunct/>
        <w:ind w:firstLine="480"/>
        <w:rPr>
          <w:rFonts w:cs="Times New Roman"/>
          <w:snapToGrid w:val="0"/>
          <w:lang w:val="zh-CN"/>
        </w:rPr>
      </w:pPr>
      <w:r>
        <w:rPr>
          <w:rFonts w:cs="Times New Roman"/>
          <w:snapToGrid w:val="0"/>
          <w:lang w:val="zh-CN"/>
        </w:rPr>
        <w:t>本项目全线共设大桥</w:t>
      </w:r>
      <w:r>
        <w:rPr>
          <w:rFonts w:cs="Times New Roman"/>
          <w:snapToGrid w:val="0"/>
          <w:lang w:val="zh-CN"/>
        </w:rPr>
        <w:t>767m/4</w:t>
      </w:r>
      <w:r>
        <w:rPr>
          <w:rFonts w:cs="Times New Roman"/>
          <w:snapToGrid w:val="0"/>
          <w:lang w:val="zh-CN"/>
        </w:rPr>
        <w:t>座，桥梁</w:t>
      </w:r>
      <w:r>
        <w:rPr>
          <w:rFonts w:cs="Times New Roman"/>
          <w:snapToGrid w:val="0"/>
          <w:lang w:val="zh-CN"/>
        </w:rPr>
        <w:t>14</w:t>
      </w:r>
      <w:r>
        <w:rPr>
          <w:rFonts w:cs="Times New Roman"/>
          <w:snapToGrid w:val="0"/>
          <w:lang w:val="zh-CN"/>
        </w:rPr>
        <w:t>座，中桥</w:t>
      </w:r>
      <w:r>
        <w:rPr>
          <w:rFonts w:cs="Times New Roman"/>
          <w:snapToGrid w:val="0"/>
          <w:lang w:val="zh-CN"/>
        </w:rPr>
        <w:t>356m/6</w:t>
      </w:r>
      <w:r>
        <w:rPr>
          <w:rFonts w:cs="Times New Roman"/>
          <w:snapToGrid w:val="0"/>
          <w:lang w:val="zh-CN"/>
        </w:rPr>
        <w:t>座、小桥</w:t>
      </w:r>
      <w:r>
        <w:rPr>
          <w:rFonts w:cs="Times New Roman"/>
          <w:snapToGrid w:val="0"/>
          <w:lang w:val="zh-CN"/>
        </w:rPr>
        <w:t>98m/4</w:t>
      </w:r>
      <w:r>
        <w:rPr>
          <w:rFonts w:cs="Times New Roman"/>
          <w:snapToGrid w:val="0"/>
          <w:lang w:val="zh-CN"/>
        </w:rPr>
        <w:t>座，涵洞</w:t>
      </w:r>
      <w:r>
        <w:rPr>
          <w:rFonts w:cs="Times New Roman"/>
          <w:snapToGrid w:val="0"/>
          <w:lang w:val="zh-CN"/>
        </w:rPr>
        <w:t>75</w:t>
      </w:r>
      <w:r>
        <w:rPr>
          <w:rFonts w:cs="Times New Roman"/>
          <w:snapToGrid w:val="0"/>
          <w:lang w:val="zh-CN"/>
        </w:rPr>
        <w:t>道，主要跨越奎屯河以及灌渠。</w:t>
      </w:r>
    </w:p>
    <w:p w:rsidR="00A46452" w:rsidRDefault="009A3928">
      <w:pPr>
        <w:wordWrap w:val="0"/>
        <w:topLinePunct/>
        <w:ind w:firstLine="480"/>
        <w:rPr>
          <w:rFonts w:cs="Times New Roman"/>
          <w:snapToGrid w:val="0"/>
          <w:lang w:val="zh-CN"/>
        </w:rPr>
      </w:pPr>
      <w:r>
        <w:rPr>
          <w:rFonts w:cs="Times New Roman"/>
          <w:snapToGrid w:val="0"/>
          <w:lang w:val="zh-CN"/>
        </w:rPr>
        <w:t>1</w:t>
      </w:r>
      <w:r>
        <w:rPr>
          <w:rFonts w:cs="Times New Roman"/>
          <w:snapToGrid w:val="0"/>
          <w:lang w:val="zh-CN"/>
        </w:rPr>
        <w:t>）本工程跨越水体方案尽可能优化，施工时选在枯水期进行施工；</w:t>
      </w:r>
    </w:p>
    <w:p w:rsidR="00A46452" w:rsidRDefault="009A3928">
      <w:pPr>
        <w:wordWrap w:val="0"/>
        <w:topLinePunct/>
        <w:ind w:firstLine="480"/>
        <w:rPr>
          <w:rFonts w:cs="Times New Roman"/>
          <w:snapToGrid w:val="0"/>
          <w:lang w:val="zh-CN"/>
        </w:rPr>
      </w:pPr>
      <w:r>
        <w:rPr>
          <w:rFonts w:cs="Times New Roman"/>
          <w:snapToGrid w:val="0"/>
          <w:lang w:val="zh-CN"/>
        </w:rPr>
        <w:t>2</w:t>
      </w:r>
      <w:r>
        <w:rPr>
          <w:rFonts w:cs="Times New Roman"/>
          <w:snapToGrid w:val="0"/>
          <w:lang w:val="zh-CN"/>
        </w:rPr>
        <w:t>）严格控制施工范围，应尽量控制水体跨越段施工作业面，以免对水体造成大面积破坏；</w:t>
      </w:r>
    </w:p>
    <w:p w:rsidR="00A46452" w:rsidRDefault="009A3928">
      <w:pPr>
        <w:wordWrap w:val="0"/>
        <w:topLinePunct/>
        <w:ind w:firstLine="480"/>
        <w:rPr>
          <w:rFonts w:cs="Times New Roman"/>
          <w:snapToGrid w:val="0"/>
          <w:lang w:val="zh-CN"/>
        </w:rPr>
      </w:pPr>
      <w:r>
        <w:rPr>
          <w:rFonts w:cs="Times New Roman"/>
          <w:snapToGrid w:val="0"/>
          <w:lang w:val="zh-CN"/>
        </w:rPr>
        <w:t>3</w:t>
      </w:r>
      <w:r>
        <w:rPr>
          <w:rFonts w:cs="Times New Roman"/>
          <w:snapToGrid w:val="0"/>
          <w:lang w:val="zh-CN"/>
        </w:rPr>
        <w:t>）施工场地应尽量紧凑，减少占地面积；</w:t>
      </w:r>
    </w:p>
    <w:p w:rsidR="00A46452" w:rsidRDefault="009A3928">
      <w:pPr>
        <w:wordWrap w:val="0"/>
        <w:topLinePunct/>
        <w:ind w:firstLine="480"/>
        <w:rPr>
          <w:rFonts w:cs="Times New Roman"/>
          <w:snapToGrid w:val="0"/>
          <w:lang w:val="zh-CN"/>
        </w:rPr>
      </w:pPr>
      <w:r>
        <w:rPr>
          <w:rFonts w:cs="Times New Roman"/>
          <w:snapToGrid w:val="0"/>
          <w:lang w:val="zh-CN"/>
        </w:rPr>
        <w:t>4</w:t>
      </w:r>
      <w:r>
        <w:rPr>
          <w:rFonts w:cs="Times New Roman"/>
          <w:snapToGrid w:val="0"/>
          <w:lang w:val="zh-CN"/>
        </w:rPr>
        <w:t>）施工时所产生的废油等物严禁倾倒或抛入水体，不</w:t>
      </w:r>
      <w:r>
        <w:rPr>
          <w:rFonts w:cs="Times New Roman"/>
          <w:snapToGrid w:val="0"/>
          <w:lang w:val="zh-CN"/>
        </w:rPr>
        <w:t>得在水体附近清洗施工器具、机械等，加强施工机械维护，防止施工机械漏油；</w:t>
      </w:r>
    </w:p>
    <w:p w:rsidR="00A46452" w:rsidRDefault="009A3928">
      <w:pPr>
        <w:wordWrap w:val="0"/>
        <w:topLinePunct/>
        <w:ind w:firstLine="480"/>
        <w:rPr>
          <w:rFonts w:cs="Times New Roman"/>
          <w:snapToGrid w:val="0"/>
          <w:lang w:val="zh-CN"/>
        </w:rPr>
      </w:pPr>
      <w:r>
        <w:rPr>
          <w:rFonts w:cs="Times New Roman"/>
          <w:snapToGrid w:val="0"/>
          <w:lang w:val="zh-CN"/>
        </w:rPr>
        <w:t>5</w:t>
      </w:r>
      <w:r>
        <w:rPr>
          <w:rFonts w:cs="Times New Roman"/>
          <w:snapToGrid w:val="0"/>
          <w:lang w:val="zh-CN"/>
        </w:rPr>
        <w:t>）含有害物质的建筑材料如水泥等不准堆放在水体附近，并应设苫盖和围栏，防止雨水冲刷进入水体。</w:t>
      </w:r>
    </w:p>
    <w:p w:rsidR="00A46452" w:rsidRDefault="009A3928">
      <w:pPr>
        <w:wordWrap w:val="0"/>
        <w:topLinePunct/>
        <w:ind w:firstLine="480"/>
        <w:rPr>
          <w:rFonts w:cs="Times New Roman"/>
          <w:snapToGrid w:val="0"/>
          <w:lang w:val="zh-CN"/>
        </w:rPr>
      </w:pPr>
      <w:r>
        <w:rPr>
          <w:rFonts w:cs="Times New Roman"/>
          <w:snapToGrid w:val="0"/>
          <w:lang w:val="zh-CN"/>
        </w:rPr>
        <w:t>6</w:t>
      </w:r>
      <w:r>
        <w:rPr>
          <w:rFonts w:cs="Times New Roman"/>
          <w:snapToGrid w:val="0"/>
          <w:lang w:val="zh-CN"/>
        </w:rPr>
        <w:t>）跨越施工作业过程产生的废弃土石方应在指定地点堆放，禁止弃入河道或河滩，以免淤塞河道。</w:t>
      </w:r>
    </w:p>
    <w:p w:rsidR="00A46452" w:rsidRDefault="009A3928">
      <w:pPr>
        <w:wordWrap w:val="0"/>
        <w:topLinePunct/>
        <w:ind w:firstLine="480"/>
        <w:rPr>
          <w:rFonts w:cs="Times New Roman"/>
          <w:snapToGrid w:val="0"/>
          <w:lang w:val="zh-CN"/>
        </w:rPr>
      </w:pPr>
      <w:r>
        <w:rPr>
          <w:rFonts w:cs="Times New Roman"/>
          <w:snapToGrid w:val="0"/>
          <w:lang w:val="zh-CN"/>
        </w:rPr>
        <w:t>7</w:t>
      </w:r>
      <w:r>
        <w:rPr>
          <w:rFonts w:cs="Times New Roman"/>
          <w:snapToGrid w:val="0"/>
          <w:lang w:val="zh-CN"/>
        </w:rPr>
        <w:t>）施工结束后，应将各种垃圾和多余的填方土运走，保持原有地表高度，恢复河床原貌，以保护水生生态系统的完整性。对废泥浆池做到及时掩埋、填平、覆土、压实，以利于土壤、植被的恢复。</w:t>
      </w:r>
    </w:p>
    <w:p w:rsidR="00A46452" w:rsidRDefault="009A3928" w:rsidP="00182EED">
      <w:pPr>
        <w:wordWrap w:val="0"/>
        <w:topLinePunct/>
        <w:ind w:firstLine="480"/>
        <w:rPr>
          <w:rFonts w:cs="Times New Roman"/>
          <w:snapToGrid w:val="0"/>
          <w:lang w:val="zh-CN"/>
        </w:rPr>
      </w:pPr>
      <w:r>
        <w:rPr>
          <w:rFonts w:cs="Times New Roman"/>
          <w:snapToGrid w:val="0"/>
        </w:rPr>
        <w:t>8</w:t>
      </w:r>
      <w:r>
        <w:rPr>
          <w:rFonts w:cs="Times New Roman"/>
          <w:snapToGrid w:val="0"/>
          <w:lang w:val="zh-CN"/>
        </w:rPr>
        <w:t>）对采用钻孔桩基础施工的跨河桥梁，严禁将桩基钻孔出渣及施工废弃物排入水体，桥墩施工区附近岸边、渠道两侧设置泥浆沉淀池，施工过程中产生的泥浆、钻渣排入沉淀池，沉淀后的泥浆清液循环回用至钻孔内，施工结束后，沉淀池内上清液洒水降尘，废弃钻渣</w:t>
      </w:r>
      <w:r>
        <w:rPr>
          <w:rFonts w:cs="Times New Roman"/>
          <w:snapToGrid w:val="0"/>
        </w:rPr>
        <w:t>和</w:t>
      </w:r>
      <w:r>
        <w:rPr>
          <w:rFonts w:cs="Times New Roman"/>
          <w:snapToGrid w:val="0"/>
          <w:lang w:val="zh-CN"/>
        </w:rPr>
        <w:t>泥浆集中拉运至弃土场填埋处理。</w:t>
      </w:r>
    </w:p>
    <w:p w:rsidR="00A46452" w:rsidRDefault="009A3928" w:rsidP="00182EED">
      <w:pPr>
        <w:widowControl/>
        <w:ind w:firstLine="480"/>
        <w:jc w:val="left"/>
        <w:rPr>
          <w:rFonts w:cs="Times New Roman"/>
          <w:snapToGrid w:val="0"/>
          <w:lang w:val="zh-CN"/>
        </w:rPr>
      </w:pPr>
      <w:r>
        <w:rPr>
          <w:rFonts w:cs="Times New Roman"/>
          <w:snapToGrid w:val="0"/>
        </w:rPr>
        <w:t>9</w:t>
      </w:r>
      <w:r>
        <w:rPr>
          <w:rFonts w:cs="Times New Roman"/>
          <w:snapToGrid w:val="0"/>
          <w:lang w:val="zh-CN"/>
        </w:rPr>
        <w:t>）加强钻孔灌注桩基础施工中水泥混凝土灌注作业过程的监控，对溢出的水泥混凝土收集并运至弃土（渣）场堆放。钻孔灌注桩基础施工中的泥浆循环使用，严禁将废泥浆直接向水体中排放，并采取防护措施。尤其保护</w:t>
      </w:r>
      <w:r>
        <w:rPr>
          <w:rFonts w:cs="Times New Roman"/>
          <w:snapToGrid w:val="0"/>
        </w:rPr>
        <w:t>喀什噶尔河</w:t>
      </w:r>
      <w:r>
        <w:rPr>
          <w:rFonts w:cs="Times New Roman"/>
          <w:snapToGrid w:val="0"/>
          <w:lang w:val="zh-CN"/>
        </w:rPr>
        <w:t>、</w:t>
      </w:r>
      <w:r>
        <w:rPr>
          <w:rFonts w:cs="Times New Roman"/>
          <w:snapToGrid w:val="0"/>
        </w:rPr>
        <w:t>突来买提河、柯坪河、</w:t>
      </w:r>
      <w:r>
        <w:rPr>
          <w:rFonts w:cs="Times New Roman"/>
          <w:kern w:val="0"/>
          <w:szCs w:val="24"/>
          <w:lang w:bidi="ar"/>
        </w:rPr>
        <w:t>苏贝希沟</w:t>
      </w:r>
      <w:r>
        <w:rPr>
          <w:rFonts w:cs="Times New Roman"/>
          <w:kern w:val="0"/>
          <w:szCs w:val="24"/>
          <w:lang w:bidi="ar"/>
        </w:rPr>
        <w:t>-</w:t>
      </w:r>
      <w:r>
        <w:rPr>
          <w:rFonts w:cs="Times New Roman"/>
          <w:kern w:val="0"/>
          <w:szCs w:val="24"/>
          <w:lang w:bidi="ar"/>
        </w:rPr>
        <w:t>加依洛萨</w:t>
      </w:r>
      <w:r>
        <w:rPr>
          <w:rFonts w:cs="Times New Roman"/>
          <w:kern w:val="0"/>
          <w:szCs w:val="24"/>
          <w:lang w:bidi="ar"/>
        </w:rPr>
        <w:t>依河</w:t>
      </w:r>
      <w:r>
        <w:rPr>
          <w:rFonts w:cs="Times New Roman"/>
          <w:snapToGrid w:val="0"/>
        </w:rPr>
        <w:t>及周边干渠的</w:t>
      </w:r>
      <w:r>
        <w:rPr>
          <w:rFonts w:cs="Times New Roman"/>
          <w:snapToGrid w:val="0"/>
          <w:lang w:val="zh-CN"/>
        </w:rPr>
        <w:t>水质。</w:t>
      </w:r>
    </w:p>
    <w:p w:rsidR="00A46452" w:rsidRDefault="009A3928">
      <w:pPr>
        <w:wordWrap w:val="0"/>
        <w:topLinePunct/>
        <w:ind w:firstLine="480"/>
        <w:rPr>
          <w:rFonts w:cs="Times New Roman"/>
          <w:snapToGrid w:val="0"/>
          <w:lang w:val="zh-CN"/>
        </w:rPr>
      </w:pPr>
      <w:r>
        <w:rPr>
          <w:rFonts w:cs="Times New Roman"/>
          <w:snapToGrid w:val="0"/>
        </w:rPr>
        <w:t>10</w:t>
      </w:r>
      <w:r>
        <w:rPr>
          <w:rFonts w:cs="Times New Roman"/>
          <w:snapToGrid w:val="0"/>
          <w:lang w:val="zh-CN"/>
        </w:rPr>
        <w:t>）涉水桥墩施工尽可能安排在枯水季节，尽量避开雨季，采用钢套筒围堰施工方式。施工时不得在距离河流</w:t>
      </w:r>
      <w:r>
        <w:rPr>
          <w:rFonts w:cs="Times New Roman"/>
          <w:snapToGrid w:val="0"/>
          <w:lang w:val="zh-CN"/>
        </w:rPr>
        <w:t>200m</w:t>
      </w:r>
      <w:r>
        <w:rPr>
          <w:rFonts w:cs="Times New Roman"/>
          <w:snapToGrid w:val="0"/>
          <w:lang w:val="zh-CN"/>
        </w:rPr>
        <w:t>范围内设置施工营地、施工场地等临时设施。桥梁涵洞施工过程中，应加强现场管理，严禁将施工固体废物、废油、废水等弃入水体。同时，桥梁及涵洞施工作业完毕后，要清理好施工现场，以防止施工废料等垃圾随雨水进入水体。施工期要与河道主管部门、水情部门保持密切联系，根据洪水预报，及时采取措施，确保防洪安全。河道内严禁堆放大量的施工物料，施工结束后，要及时清除弃渣等，可能恢复河道原貌，以利洪水畅通</w:t>
      </w:r>
      <w:r>
        <w:rPr>
          <w:rFonts w:cs="Times New Roman"/>
          <w:snapToGrid w:val="0"/>
          <w:lang w:val="zh-CN"/>
        </w:rPr>
        <w:t>演泄。</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5</w:t>
      </w:r>
      <w:r>
        <w:rPr>
          <w:rFonts w:cs="Times New Roman"/>
          <w:snapToGrid w:val="0"/>
          <w:lang w:val="zh-CN"/>
        </w:rPr>
        <w:t>）水污染其他防治措施</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1 \* GB3 </w:instrText>
      </w:r>
      <w:r>
        <w:rPr>
          <w:rFonts w:cs="Times New Roman"/>
          <w:snapToGrid w:val="0"/>
          <w:lang w:val="zh-CN"/>
        </w:rPr>
        <w:fldChar w:fldCharType="separate"/>
      </w:r>
      <w:r>
        <w:rPr>
          <w:rFonts w:cs="Times New Roman"/>
          <w:snapToGrid w:val="0"/>
          <w:lang w:val="zh-CN"/>
        </w:rPr>
        <w:t>①</w:t>
      </w:r>
      <w:r>
        <w:rPr>
          <w:rFonts w:cs="Times New Roman"/>
          <w:snapToGrid w:val="0"/>
          <w:lang w:val="zh-CN"/>
        </w:rPr>
        <w:fldChar w:fldCharType="end"/>
      </w:r>
      <w:r>
        <w:rPr>
          <w:rFonts w:cs="Times New Roman"/>
          <w:snapToGrid w:val="0"/>
          <w:lang w:val="zh-CN"/>
        </w:rPr>
        <w:t>工程承包合同中应明确筑路材料（如沥青、油料、化学品等）的运输过程中防止洒漏条款，堆放场地不得设在河道、灌渠附近，以免随雨水冲入水体，造成水体污染。</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2 \* GB3 </w:instrText>
      </w:r>
      <w:r>
        <w:rPr>
          <w:rFonts w:cs="Times New Roman"/>
          <w:snapToGrid w:val="0"/>
          <w:lang w:val="zh-CN"/>
        </w:rPr>
        <w:fldChar w:fldCharType="separate"/>
      </w:r>
      <w:r>
        <w:rPr>
          <w:rFonts w:cs="Times New Roman"/>
          <w:snapToGrid w:val="0"/>
          <w:lang w:val="zh-CN"/>
        </w:rPr>
        <w:t>②</w:t>
      </w:r>
      <w:r>
        <w:rPr>
          <w:rFonts w:cs="Times New Roman"/>
          <w:snapToGrid w:val="0"/>
          <w:lang w:val="zh-CN"/>
        </w:rPr>
        <w:fldChar w:fldCharType="end"/>
      </w:r>
      <w:r>
        <w:rPr>
          <w:rFonts w:cs="Times New Roman"/>
          <w:snapToGrid w:val="0"/>
          <w:lang w:val="zh-CN"/>
        </w:rPr>
        <w:t>施工材料如沥青、油料、化学品等有害物质堆放场地应设围挡措施，并加篷布覆盖以减少雨水冲刷造成污染。</w:t>
      </w:r>
    </w:p>
    <w:p w:rsidR="00A46452" w:rsidRDefault="009A3928">
      <w:pPr>
        <w:wordWrap w:val="0"/>
        <w:topLinePunct/>
        <w:ind w:firstLine="480"/>
        <w:rPr>
          <w:rFonts w:cs="Times New Roman"/>
          <w:snapToGrid w:val="0"/>
          <w:lang w:val="zh-CN"/>
        </w:rPr>
      </w:pPr>
      <w:r>
        <w:rPr>
          <w:rFonts w:cs="Times New Roman"/>
          <w:snapToGrid w:val="0"/>
          <w:lang w:val="zh-CN"/>
        </w:rPr>
        <w:fldChar w:fldCharType="begin"/>
      </w:r>
      <w:r>
        <w:rPr>
          <w:rFonts w:cs="Times New Roman"/>
          <w:snapToGrid w:val="0"/>
          <w:lang w:val="zh-CN"/>
        </w:rPr>
        <w:instrText xml:space="preserve"> = 3 \* GB3 </w:instrText>
      </w:r>
      <w:r>
        <w:rPr>
          <w:rFonts w:cs="Times New Roman"/>
          <w:snapToGrid w:val="0"/>
          <w:lang w:val="zh-CN"/>
        </w:rPr>
        <w:fldChar w:fldCharType="separate"/>
      </w:r>
      <w:r>
        <w:rPr>
          <w:rFonts w:cs="Times New Roman"/>
          <w:snapToGrid w:val="0"/>
          <w:lang w:val="zh-CN"/>
        </w:rPr>
        <w:t>③</w:t>
      </w:r>
      <w:r>
        <w:rPr>
          <w:rFonts w:cs="Times New Roman"/>
          <w:snapToGrid w:val="0"/>
          <w:lang w:val="zh-CN"/>
        </w:rPr>
        <w:fldChar w:fldCharType="end"/>
      </w:r>
      <w:r>
        <w:rPr>
          <w:rFonts w:cs="Times New Roman"/>
          <w:snapToGrid w:val="0"/>
          <w:lang w:val="zh-CN"/>
        </w:rPr>
        <w:t>施工开始前应先挖两侧的排水沟，保证路面径流不会影响周边河流的水质。</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387" w:name="_Toc98414261"/>
      <w:bookmarkStart w:id="388" w:name="_Toc98413579"/>
      <w:bookmarkStart w:id="389" w:name="_Toc34989620"/>
      <w:bookmarkStart w:id="390" w:name="_Toc97464685"/>
      <w:bookmarkStart w:id="391" w:name="_Toc57826783"/>
      <w:r>
        <w:rPr>
          <w:rFonts w:cs="Times New Roman" w:hint="default"/>
          <w:sz w:val="28"/>
          <w:szCs w:val="28"/>
        </w:rPr>
        <w:t>8.3.2</w:t>
      </w:r>
      <w:r>
        <w:rPr>
          <w:rFonts w:cs="Times New Roman" w:hint="default"/>
          <w:sz w:val="28"/>
          <w:szCs w:val="28"/>
        </w:rPr>
        <w:t>营运期</w:t>
      </w:r>
      <w:bookmarkEnd w:id="387"/>
      <w:bookmarkEnd w:id="388"/>
      <w:bookmarkEnd w:id="389"/>
      <w:bookmarkEnd w:id="390"/>
      <w:bookmarkEnd w:id="391"/>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8.3.2.1</w:t>
      </w:r>
      <w:r>
        <w:rPr>
          <w:rFonts w:cs="Times New Roman" w:hint="default"/>
          <w:iCs/>
        </w:rPr>
        <w:t>沿线设施生活污水处理方案技术经济比较</w:t>
      </w:r>
    </w:p>
    <w:p w:rsidR="00A46452" w:rsidRDefault="009A3928">
      <w:pPr>
        <w:wordWrap w:val="0"/>
        <w:topLinePunct/>
        <w:ind w:firstLine="480"/>
        <w:rPr>
          <w:rFonts w:cs="Times New Roman"/>
          <w:snapToGrid w:val="0"/>
          <w:lang w:val="zh-CN"/>
        </w:rPr>
      </w:pPr>
      <w:r>
        <w:rPr>
          <w:rFonts w:cs="Times New Roman"/>
          <w:snapToGrid w:val="0"/>
          <w:lang w:val="zh-CN"/>
        </w:rPr>
        <w:t>公路沿线设施生活污水处理主要采用一体化污水处理装置处理方案，采用</w:t>
      </w:r>
      <w:r>
        <w:rPr>
          <w:rFonts w:cs="Times New Roman"/>
          <w:snapToGrid w:val="0"/>
          <w:lang w:val="zh-CN"/>
        </w:rPr>
        <w:t>A</w:t>
      </w:r>
      <w:r>
        <w:rPr>
          <w:rFonts w:cs="Times New Roman"/>
          <w:snapToGrid w:val="0"/>
          <w:vertAlign w:val="superscript"/>
          <w:lang w:val="zh-CN"/>
        </w:rPr>
        <w:t>2</w:t>
      </w:r>
      <w:r>
        <w:rPr>
          <w:rFonts w:cs="Times New Roman"/>
          <w:snapToGrid w:val="0"/>
          <w:lang w:val="zh-CN"/>
        </w:rPr>
        <w:t>/O</w:t>
      </w:r>
      <w:r>
        <w:rPr>
          <w:rFonts w:cs="Times New Roman"/>
          <w:snapToGrid w:val="0"/>
          <w:lang w:val="zh-CN"/>
        </w:rPr>
        <w:t>工艺处理工艺，其经济技术情况见表</w:t>
      </w:r>
      <w:r>
        <w:rPr>
          <w:rFonts w:cs="Times New Roman" w:hint="eastAsia"/>
          <w:snapToGrid w:val="0"/>
        </w:rPr>
        <w:t>8</w:t>
      </w:r>
      <w:r>
        <w:rPr>
          <w:rFonts w:cs="Times New Roman"/>
          <w:snapToGrid w:val="0"/>
        </w:rPr>
        <w:t>.3</w:t>
      </w:r>
      <w:r>
        <w:rPr>
          <w:rFonts w:cs="Times New Roman"/>
          <w:snapToGrid w:val="0"/>
          <w:lang w:val="zh-CN"/>
        </w:rPr>
        <w:t>-1</w:t>
      </w:r>
      <w:r>
        <w:rPr>
          <w:rFonts w:cs="Times New Roman"/>
          <w:snapToGrid w:val="0"/>
          <w:lang w:val="zh-CN"/>
        </w:rPr>
        <w:t>。</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hint="eastAsia"/>
        </w:rPr>
        <w:t>8</w:t>
      </w:r>
      <w:r>
        <w:rPr>
          <w:rFonts w:eastAsia="黑体" w:cs="Times New Roman"/>
        </w:rPr>
        <w:t>.3-1</w:t>
      </w:r>
      <w:r>
        <w:rPr>
          <w:rFonts w:eastAsia="黑体" w:cs="Times New Roman"/>
        </w:rPr>
        <w:t xml:space="preserve">        </w:t>
      </w:r>
      <w:r>
        <w:rPr>
          <w:rFonts w:eastAsia="黑体" w:cs="Times New Roman"/>
        </w:rPr>
        <w:t xml:space="preserve">      </w:t>
      </w:r>
      <w:r>
        <w:rPr>
          <w:rFonts w:eastAsia="黑体" w:cs="Times New Roman"/>
        </w:rPr>
        <w:t>生活污水处理方案情况一览表</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8"/>
        <w:gridCol w:w="850"/>
        <w:gridCol w:w="2148"/>
        <w:gridCol w:w="971"/>
        <w:gridCol w:w="2030"/>
        <w:gridCol w:w="1319"/>
      </w:tblGrid>
      <w:tr w:rsidR="00A46452">
        <w:tc>
          <w:tcPr>
            <w:tcW w:w="988"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水处理方案</w:t>
            </w:r>
          </w:p>
        </w:tc>
        <w:tc>
          <w:tcPr>
            <w:tcW w:w="850"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处理工艺</w:t>
            </w:r>
          </w:p>
        </w:tc>
        <w:tc>
          <w:tcPr>
            <w:tcW w:w="2148"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优点</w:t>
            </w:r>
          </w:p>
        </w:tc>
        <w:tc>
          <w:tcPr>
            <w:tcW w:w="971"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缺点</w:t>
            </w:r>
          </w:p>
        </w:tc>
        <w:tc>
          <w:tcPr>
            <w:tcW w:w="2030"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处理效果</w:t>
            </w:r>
          </w:p>
        </w:tc>
        <w:tc>
          <w:tcPr>
            <w:tcW w:w="1319" w:type="dxa"/>
            <w:vAlign w:val="center"/>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实施费用</w:t>
            </w:r>
          </w:p>
        </w:tc>
      </w:tr>
      <w:tr w:rsidR="00A46452">
        <w:tc>
          <w:tcPr>
            <w:tcW w:w="988" w:type="dxa"/>
          </w:tcPr>
          <w:p w:rsidR="00A46452" w:rsidRDefault="009A3928">
            <w:pPr>
              <w:wordWrap w:val="0"/>
              <w:topLinePunct/>
              <w:adjustRightInd w:val="0"/>
              <w:spacing w:line="240" w:lineRule="auto"/>
              <w:ind w:firstLineChars="0" w:firstLine="0"/>
              <w:jc w:val="left"/>
              <w:rPr>
                <w:rFonts w:cs="Times New Roman"/>
                <w:kern w:val="0"/>
                <w:sz w:val="18"/>
                <w:szCs w:val="18"/>
              </w:rPr>
            </w:pPr>
            <w:r>
              <w:rPr>
                <w:rFonts w:cs="Times New Roman"/>
                <w:kern w:val="0"/>
                <w:sz w:val="18"/>
                <w:szCs w:val="18"/>
              </w:rPr>
              <w:t>一体化污水处理装置</w:t>
            </w:r>
          </w:p>
        </w:tc>
        <w:tc>
          <w:tcPr>
            <w:tcW w:w="850" w:type="dxa"/>
          </w:tcPr>
          <w:p w:rsidR="00A46452" w:rsidRDefault="009A3928">
            <w:pPr>
              <w:wordWrap w:val="0"/>
              <w:topLinePunct/>
              <w:adjustRightInd w:val="0"/>
              <w:spacing w:line="240" w:lineRule="auto"/>
              <w:ind w:firstLineChars="0" w:firstLine="0"/>
              <w:jc w:val="left"/>
              <w:rPr>
                <w:rFonts w:cs="Times New Roman"/>
                <w:kern w:val="0"/>
                <w:sz w:val="18"/>
                <w:szCs w:val="18"/>
              </w:rPr>
            </w:pPr>
            <w:r>
              <w:rPr>
                <w:rFonts w:cs="Times New Roman"/>
                <w:kern w:val="0"/>
                <w:sz w:val="18"/>
                <w:szCs w:val="18"/>
              </w:rPr>
              <w:t>A</w:t>
            </w:r>
            <w:r>
              <w:rPr>
                <w:rFonts w:cs="Times New Roman"/>
                <w:kern w:val="0"/>
                <w:sz w:val="18"/>
                <w:szCs w:val="18"/>
                <w:vertAlign w:val="superscript"/>
              </w:rPr>
              <w:t>2</w:t>
            </w:r>
            <w:r>
              <w:rPr>
                <w:rFonts w:cs="Times New Roman"/>
                <w:kern w:val="0"/>
                <w:sz w:val="18"/>
                <w:szCs w:val="18"/>
              </w:rPr>
              <w:t>/O</w:t>
            </w:r>
            <w:r>
              <w:rPr>
                <w:rFonts w:cs="Times New Roman"/>
                <w:kern w:val="0"/>
                <w:sz w:val="18"/>
                <w:szCs w:val="18"/>
              </w:rPr>
              <w:t>工艺</w:t>
            </w:r>
          </w:p>
        </w:tc>
        <w:tc>
          <w:tcPr>
            <w:tcW w:w="2148"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去除污染物效率高；占地面积小；污泥沉降性能好，脱水性能好；设备噪声小；自控系统的维修量小，管理操作方便。</w:t>
            </w:r>
          </w:p>
        </w:tc>
        <w:tc>
          <w:tcPr>
            <w:tcW w:w="971" w:type="dxa"/>
          </w:tcPr>
          <w:p w:rsidR="00A46452" w:rsidRDefault="009A3928">
            <w:pPr>
              <w:wordWrap w:val="0"/>
              <w:topLinePunct/>
              <w:adjustRightInd w:val="0"/>
              <w:spacing w:line="240" w:lineRule="auto"/>
              <w:ind w:firstLineChars="0" w:firstLine="0"/>
              <w:jc w:val="left"/>
              <w:rPr>
                <w:rFonts w:cs="Times New Roman"/>
                <w:kern w:val="0"/>
                <w:sz w:val="18"/>
                <w:szCs w:val="18"/>
              </w:rPr>
            </w:pPr>
            <w:r>
              <w:rPr>
                <w:rFonts w:cs="Times New Roman"/>
                <w:kern w:val="0"/>
                <w:sz w:val="18"/>
                <w:szCs w:val="18"/>
              </w:rPr>
              <w:t>运行费用</w:t>
            </w:r>
          </w:p>
        </w:tc>
        <w:tc>
          <w:tcPr>
            <w:tcW w:w="2030"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新疆维吾尔自治区地方标准《农村生活污水处理排放标准》（</w:t>
            </w:r>
            <w:r>
              <w:rPr>
                <w:rFonts w:cs="Times New Roman"/>
                <w:kern w:val="0"/>
                <w:sz w:val="18"/>
                <w:szCs w:val="18"/>
              </w:rPr>
              <w:t>DB654275-2019</w:t>
            </w:r>
            <w:r>
              <w:rPr>
                <w:rFonts w:cs="Times New Roman"/>
                <w:kern w:val="0"/>
                <w:sz w:val="18"/>
                <w:szCs w:val="18"/>
              </w:rPr>
              <w:t>）表</w:t>
            </w:r>
            <w:r>
              <w:rPr>
                <w:rFonts w:cs="Times New Roman"/>
                <w:kern w:val="0"/>
                <w:sz w:val="18"/>
                <w:szCs w:val="18"/>
              </w:rPr>
              <w:t>2</w:t>
            </w:r>
            <w:r>
              <w:rPr>
                <w:rFonts w:cs="Times New Roman"/>
                <w:kern w:val="0"/>
                <w:sz w:val="18"/>
                <w:szCs w:val="18"/>
              </w:rPr>
              <w:t>中</w:t>
            </w:r>
            <w:r>
              <w:rPr>
                <w:rFonts w:cs="Times New Roman"/>
                <w:kern w:val="0"/>
                <w:sz w:val="18"/>
                <w:szCs w:val="18"/>
              </w:rPr>
              <w:t>B</w:t>
            </w:r>
            <w:r>
              <w:rPr>
                <w:rFonts w:cs="Times New Roman"/>
                <w:kern w:val="0"/>
                <w:sz w:val="18"/>
                <w:szCs w:val="18"/>
              </w:rPr>
              <w:t>级限值</w:t>
            </w:r>
          </w:p>
        </w:tc>
        <w:tc>
          <w:tcPr>
            <w:tcW w:w="1319" w:type="dxa"/>
          </w:tcPr>
          <w:p w:rsidR="00A46452" w:rsidRDefault="009A3928">
            <w:pPr>
              <w:wordWrap w:val="0"/>
              <w:topLinePunct/>
              <w:adjustRightInd w:val="0"/>
              <w:spacing w:line="240" w:lineRule="auto"/>
              <w:ind w:firstLineChars="0" w:firstLine="0"/>
              <w:jc w:val="left"/>
              <w:rPr>
                <w:rFonts w:cs="Times New Roman"/>
                <w:kern w:val="0"/>
                <w:sz w:val="18"/>
                <w:szCs w:val="18"/>
              </w:rPr>
            </w:pPr>
            <w:r>
              <w:rPr>
                <w:rFonts w:cs="Times New Roman"/>
                <w:kern w:val="0"/>
                <w:sz w:val="18"/>
                <w:szCs w:val="18"/>
              </w:rPr>
              <w:t>处理污水量较大，费用较高</w:t>
            </w:r>
          </w:p>
        </w:tc>
      </w:tr>
    </w:tbl>
    <w:p w:rsidR="00A46452" w:rsidRDefault="009A3928">
      <w:pPr>
        <w:wordWrap w:val="0"/>
        <w:topLinePunct/>
        <w:ind w:firstLine="480"/>
        <w:rPr>
          <w:rFonts w:cs="Times New Roman"/>
          <w:snapToGrid w:val="0"/>
          <w:lang w:val="zh-CN"/>
        </w:rPr>
      </w:pPr>
      <w:r>
        <w:rPr>
          <w:rFonts w:cs="Times New Roman"/>
          <w:snapToGrid w:val="0"/>
          <w:lang w:val="zh-CN"/>
        </w:rPr>
        <w:t>A</w:t>
      </w:r>
      <w:r>
        <w:rPr>
          <w:rFonts w:cs="Times New Roman"/>
          <w:snapToGrid w:val="0"/>
          <w:vertAlign w:val="superscript"/>
          <w:lang w:val="zh-CN"/>
        </w:rPr>
        <w:t>2</w:t>
      </w:r>
      <w:r>
        <w:rPr>
          <w:rFonts w:cs="Times New Roman"/>
          <w:snapToGrid w:val="0"/>
          <w:lang w:val="zh-CN"/>
        </w:rPr>
        <w:t>/O</w:t>
      </w:r>
      <w:r>
        <w:rPr>
          <w:rFonts w:cs="Times New Roman"/>
          <w:snapToGrid w:val="0"/>
          <w:lang w:val="zh-CN"/>
        </w:rPr>
        <w:t>工艺具体工艺流程：生活污水先进隔油池处理后与其他生活废水汇集到化粪池中，通过自流的方式进入格栅渠，渠内设置一道格栅，拦截了污水中的废纸等较大的杂物。污水经过格栅渠，自流进入污水调节池，在调节池内进行水质和水量的调节与均化，并进行一定程度的厌氧水解预处理，经接种培植于池中的厌氧菌群生化作用下，使污水中不溶和难于溶解的大分子重新释放到废水中去，提高废水的</w:t>
      </w:r>
      <w:r>
        <w:rPr>
          <w:rFonts w:cs="Times New Roman"/>
          <w:snapToGrid w:val="0"/>
          <w:lang w:val="zh-CN"/>
        </w:rPr>
        <w:t>BOD</w:t>
      </w:r>
      <w:r>
        <w:rPr>
          <w:rFonts w:cs="Times New Roman"/>
          <w:snapToGrid w:val="0"/>
          <w:vertAlign w:val="subscript"/>
          <w:lang w:val="zh-CN"/>
        </w:rPr>
        <w:t>5</w:t>
      </w:r>
      <w:r>
        <w:rPr>
          <w:rFonts w:cs="Times New Roman"/>
          <w:snapToGrid w:val="0"/>
          <w:lang w:val="zh-CN"/>
        </w:rPr>
        <w:t>/COD</w:t>
      </w:r>
      <w:r>
        <w:rPr>
          <w:rFonts w:cs="Times New Roman"/>
          <w:snapToGrid w:val="0"/>
          <w:lang w:val="zh-CN"/>
        </w:rPr>
        <w:t>比值，提高污水处理运行可生化性，达到运行稳定可靠。在经过调节池自流进入一体化污水处理装置处理后达到新疆维吾尔自治区地方标准《农村生活污水处理排放标准》（</w:t>
      </w:r>
      <w:r>
        <w:rPr>
          <w:rFonts w:cs="Times New Roman"/>
          <w:snapToGrid w:val="0"/>
          <w:lang w:val="zh-CN"/>
        </w:rPr>
        <w:t>DB654275-2019</w:t>
      </w:r>
      <w:r>
        <w:rPr>
          <w:rFonts w:cs="Times New Roman"/>
          <w:snapToGrid w:val="0"/>
          <w:lang w:val="zh-CN"/>
        </w:rPr>
        <w:t>）表</w:t>
      </w:r>
      <w:r>
        <w:rPr>
          <w:rFonts w:cs="Times New Roman"/>
          <w:snapToGrid w:val="0"/>
          <w:lang w:val="zh-CN"/>
        </w:rPr>
        <w:t>2</w:t>
      </w:r>
      <w:r>
        <w:rPr>
          <w:rFonts w:cs="Times New Roman"/>
          <w:snapToGrid w:val="0"/>
          <w:lang w:val="zh-CN"/>
        </w:rPr>
        <w:t>中</w:t>
      </w:r>
      <w:r>
        <w:rPr>
          <w:rFonts w:cs="Times New Roman"/>
          <w:snapToGrid w:val="0"/>
        </w:rPr>
        <w:t>A</w:t>
      </w:r>
      <w:r>
        <w:rPr>
          <w:rFonts w:cs="Times New Roman"/>
          <w:snapToGrid w:val="0"/>
          <w:lang w:val="zh-CN"/>
        </w:rPr>
        <w:t>级限值后夏季用于绿化，冬季</w:t>
      </w:r>
      <w:r>
        <w:rPr>
          <w:rFonts w:cs="Times New Roman"/>
          <w:snapToGrid w:val="0"/>
        </w:rPr>
        <w:t>储存池贮存</w:t>
      </w:r>
      <w:r>
        <w:rPr>
          <w:rFonts w:cs="Times New Roman"/>
          <w:snapToGrid w:val="0"/>
          <w:lang w:val="zh-CN"/>
        </w:rPr>
        <w:t>。处理装置需要严格做好防渗工作。</w:t>
      </w:r>
      <w:r>
        <w:rPr>
          <w:rFonts w:cs="Times New Roman"/>
          <w:snapToGrid w:val="0"/>
          <w:lang w:val="zh-CN"/>
        </w:rPr>
        <w:t>A</w:t>
      </w:r>
      <w:r>
        <w:rPr>
          <w:rFonts w:cs="Times New Roman"/>
          <w:snapToGrid w:val="0"/>
          <w:vertAlign w:val="superscript"/>
          <w:lang w:val="zh-CN"/>
        </w:rPr>
        <w:t>2</w:t>
      </w:r>
      <w:r>
        <w:rPr>
          <w:rFonts w:cs="Times New Roman"/>
          <w:snapToGrid w:val="0"/>
          <w:lang w:val="zh-CN"/>
        </w:rPr>
        <w:t>/O</w:t>
      </w:r>
      <w:r>
        <w:rPr>
          <w:rFonts w:cs="Times New Roman"/>
          <w:snapToGrid w:val="0"/>
          <w:lang w:val="zh-CN"/>
        </w:rPr>
        <w:t>工艺具体处理工艺流程如下图</w:t>
      </w:r>
      <w:r>
        <w:rPr>
          <w:rFonts w:cs="Times New Roman" w:hint="eastAsia"/>
          <w:snapToGrid w:val="0"/>
        </w:rPr>
        <w:t>8</w:t>
      </w:r>
      <w:r>
        <w:rPr>
          <w:rFonts w:cs="Times New Roman"/>
          <w:snapToGrid w:val="0"/>
        </w:rPr>
        <w:t>.3</w:t>
      </w:r>
      <w:r>
        <w:rPr>
          <w:rFonts w:cs="Times New Roman"/>
          <w:snapToGrid w:val="0"/>
          <w:lang w:val="zh-CN"/>
        </w:rPr>
        <w:t>-1</w:t>
      </w:r>
      <w:r>
        <w:rPr>
          <w:rFonts w:cs="Times New Roman"/>
          <w:snapToGrid w:val="0"/>
          <w:lang w:val="zh-CN"/>
        </w:rPr>
        <w:t>。</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8.3.2.2</w:t>
      </w:r>
      <w:r>
        <w:rPr>
          <w:rFonts w:cs="Times New Roman" w:hint="default"/>
          <w:iCs/>
        </w:rPr>
        <w:t>沿线设施生活污水拟采取处理措施及措施可行性</w:t>
      </w:r>
    </w:p>
    <w:p w:rsidR="00A46452" w:rsidRDefault="009A3928">
      <w:pPr>
        <w:pStyle w:val="affff9"/>
        <w:wordWrap w:val="0"/>
        <w:topLinePunct/>
        <w:ind w:firstLine="480"/>
        <w:jc w:val="left"/>
        <w:rPr>
          <w:rFonts w:eastAsia="宋体" w:cs="Times New Roman"/>
        </w:rPr>
      </w:pPr>
      <w:r>
        <w:rPr>
          <w:rFonts w:eastAsia="宋体" w:cs="Times New Roman"/>
        </w:rPr>
        <w:t>服务区、治超站等的生活污水浓度详见第</w:t>
      </w:r>
      <w:r>
        <w:rPr>
          <w:rFonts w:eastAsia="宋体" w:cs="Times New Roman"/>
        </w:rPr>
        <w:t>5.2.2.2</w:t>
      </w:r>
      <w:r>
        <w:rPr>
          <w:rFonts w:eastAsia="宋体" w:cs="Times New Roman"/>
        </w:rPr>
        <w:t>，</w:t>
      </w:r>
      <w:r>
        <w:rPr>
          <w:rFonts w:eastAsia="宋体" w:cs="Times New Roman"/>
        </w:rPr>
        <w:t>一般生活污水</w:t>
      </w:r>
      <w:r>
        <w:rPr>
          <w:rFonts w:eastAsia="宋体" w:cs="Times New Roman"/>
        </w:rPr>
        <w:t>A2/O</w:t>
      </w:r>
      <w:r>
        <w:rPr>
          <w:rFonts w:eastAsia="宋体" w:cs="Times New Roman"/>
        </w:rPr>
        <w:t>工艺的处理效率为</w:t>
      </w:r>
      <w:r>
        <w:rPr>
          <w:rFonts w:eastAsia="宋体" w:cs="Times New Roman"/>
        </w:rPr>
        <w:t>BOD5≥95%</w:t>
      </w:r>
      <w:r>
        <w:rPr>
          <w:rFonts w:eastAsia="宋体" w:cs="Times New Roman"/>
        </w:rPr>
        <w:t>，</w:t>
      </w:r>
      <w:r>
        <w:rPr>
          <w:rFonts w:eastAsia="宋体" w:cs="Times New Roman"/>
        </w:rPr>
        <w:t>COD≥88%</w:t>
      </w:r>
      <w:r>
        <w:rPr>
          <w:rFonts w:eastAsia="宋体" w:cs="Times New Roman"/>
        </w:rPr>
        <w:t>，氨氮</w:t>
      </w:r>
      <w:r>
        <w:rPr>
          <w:rFonts w:eastAsia="宋体" w:cs="Times New Roman"/>
        </w:rPr>
        <w:t>≥85%</w:t>
      </w:r>
      <w:r>
        <w:rPr>
          <w:rFonts w:eastAsia="宋体" w:cs="Times New Roman"/>
        </w:rPr>
        <w:t>，</w:t>
      </w:r>
      <w:r>
        <w:rPr>
          <w:rFonts w:eastAsia="宋体" w:cs="Times New Roman"/>
        </w:rPr>
        <w:t>SS≥90%</w:t>
      </w:r>
      <w:r>
        <w:rPr>
          <w:rFonts w:eastAsia="宋体" w:cs="Times New Roman"/>
        </w:rPr>
        <w:t>。处理后废水浓度为：</w:t>
      </w:r>
      <w:r>
        <w:rPr>
          <w:rFonts w:eastAsia="宋体" w:cs="Times New Roman"/>
        </w:rPr>
        <w:t>6≤pH</w:t>
      </w:r>
      <w:r>
        <w:rPr>
          <w:rFonts w:eastAsia="宋体" w:cs="Times New Roman"/>
        </w:rPr>
        <w:t>值</w:t>
      </w:r>
      <w:r>
        <w:rPr>
          <w:rFonts w:eastAsia="宋体" w:cs="Times New Roman"/>
        </w:rPr>
        <w:t>≤9</w:t>
      </w:r>
      <w:r>
        <w:rPr>
          <w:rFonts w:eastAsia="宋体" w:cs="Times New Roman"/>
        </w:rPr>
        <w:t>、</w:t>
      </w:r>
      <w:r>
        <w:rPr>
          <w:rFonts w:eastAsia="宋体" w:cs="Times New Roman"/>
        </w:rPr>
        <w:t>COD≤96mg/L</w:t>
      </w:r>
      <w:r>
        <w:rPr>
          <w:rFonts w:eastAsia="宋体" w:cs="Times New Roman"/>
        </w:rPr>
        <w:t>、</w:t>
      </w:r>
      <w:r>
        <w:rPr>
          <w:rFonts w:eastAsia="宋体" w:cs="Times New Roman"/>
        </w:rPr>
        <w:t>SS≤50mg/L</w:t>
      </w:r>
      <w:r>
        <w:rPr>
          <w:rFonts w:eastAsia="宋体" w:cs="Times New Roman"/>
        </w:rPr>
        <w:t>粪大肠菌群（</w:t>
      </w:r>
      <w:r>
        <w:rPr>
          <w:rFonts w:eastAsia="宋体" w:cs="Times New Roman"/>
        </w:rPr>
        <w:t>MPN/L</w:t>
      </w:r>
      <w:r>
        <w:rPr>
          <w:rFonts w:eastAsia="宋体" w:cs="Times New Roman"/>
        </w:rPr>
        <w:t>）</w:t>
      </w:r>
      <w:r>
        <w:rPr>
          <w:rFonts w:eastAsia="宋体" w:cs="Times New Roman"/>
        </w:rPr>
        <w:t>≤20000</w:t>
      </w:r>
      <w:r>
        <w:rPr>
          <w:rFonts w:eastAsia="宋体" w:cs="Times New Roman"/>
        </w:rPr>
        <w:t>，能够满足新疆维吾尔自治区地方标准《农村生活污水处理排放标准》（</w:t>
      </w:r>
      <w:r>
        <w:rPr>
          <w:rFonts w:eastAsia="宋体" w:cs="Times New Roman"/>
        </w:rPr>
        <w:t>DB654275-2019</w:t>
      </w:r>
      <w:r>
        <w:rPr>
          <w:rFonts w:eastAsia="宋体" w:cs="Times New Roman"/>
        </w:rPr>
        <w:t>）表</w:t>
      </w:r>
      <w:r>
        <w:rPr>
          <w:rFonts w:eastAsia="宋体" w:cs="Times New Roman"/>
        </w:rPr>
        <w:t>2</w:t>
      </w:r>
      <w:r>
        <w:rPr>
          <w:rFonts w:eastAsia="宋体" w:cs="Times New Roman"/>
        </w:rPr>
        <w:t>中</w:t>
      </w:r>
      <w:r>
        <w:rPr>
          <w:rFonts w:eastAsia="宋体" w:cs="Times New Roman"/>
        </w:rPr>
        <w:t>A</w:t>
      </w:r>
      <w:r>
        <w:rPr>
          <w:rFonts w:eastAsia="宋体" w:cs="Times New Roman"/>
        </w:rPr>
        <w:t>级限值，处理工艺可行。沿线设施生活污水</w:t>
      </w:r>
      <w:r>
        <w:rPr>
          <w:rFonts w:eastAsia="宋体" w:cs="Times New Roman"/>
        </w:rPr>
        <w:t>处理措施详见表</w:t>
      </w:r>
      <w:r>
        <w:rPr>
          <w:rFonts w:eastAsia="宋体" w:cs="Times New Roman" w:hint="eastAsia"/>
        </w:rPr>
        <w:t>8</w:t>
      </w:r>
      <w:r>
        <w:rPr>
          <w:rFonts w:eastAsia="宋体" w:cs="Times New Roman"/>
        </w:rPr>
        <w:t>.3-2</w:t>
      </w:r>
      <w:r>
        <w:rPr>
          <w:rFonts w:eastAsia="宋体" w:cs="Times New Roman"/>
        </w:rPr>
        <w:t>。</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hint="eastAsia"/>
        </w:rPr>
        <w:t>8</w:t>
      </w:r>
      <w:r>
        <w:rPr>
          <w:rFonts w:eastAsia="黑体" w:cs="Times New Roman"/>
        </w:rPr>
        <w:t>.3-2</w:t>
      </w:r>
      <w:r>
        <w:rPr>
          <w:rFonts w:eastAsia="黑体" w:cs="Times New Roman"/>
        </w:rPr>
        <w:t xml:space="preserve">      </w:t>
      </w:r>
      <w:r>
        <w:rPr>
          <w:rFonts w:eastAsia="黑体" w:cs="Times New Roman"/>
        </w:rPr>
        <w:t xml:space="preserve">        </w:t>
      </w:r>
      <w:r>
        <w:rPr>
          <w:rFonts w:eastAsia="黑体" w:cs="Times New Roman"/>
        </w:rPr>
        <w:t>各处服务设施污水处理装置一览表</w:t>
      </w:r>
    </w:p>
    <w:tbl>
      <w:tblPr>
        <w:tblStyle w:val="aff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8"/>
        <w:gridCol w:w="1262"/>
        <w:gridCol w:w="850"/>
        <w:gridCol w:w="1175"/>
        <w:gridCol w:w="1175"/>
        <w:gridCol w:w="1478"/>
        <w:gridCol w:w="850"/>
        <w:gridCol w:w="788"/>
      </w:tblGrid>
      <w:tr w:rsidR="00A46452">
        <w:tc>
          <w:tcPr>
            <w:tcW w:w="70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序号</w:t>
            </w:r>
          </w:p>
        </w:tc>
        <w:tc>
          <w:tcPr>
            <w:tcW w:w="1262"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沿线设施</w:t>
            </w:r>
          </w:p>
        </w:tc>
        <w:tc>
          <w:tcPr>
            <w:tcW w:w="850"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污水预测量</w:t>
            </w:r>
          </w:p>
        </w:tc>
        <w:tc>
          <w:tcPr>
            <w:tcW w:w="1175"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污水处理措施</w:t>
            </w:r>
          </w:p>
        </w:tc>
        <w:tc>
          <w:tcPr>
            <w:tcW w:w="1175"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处理效果</w:t>
            </w:r>
          </w:p>
        </w:tc>
        <w:tc>
          <w:tcPr>
            <w:tcW w:w="147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排放去向</w:t>
            </w:r>
          </w:p>
        </w:tc>
        <w:tc>
          <w:tcPr>
            <w:tcW w:w="850"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设计处理能力（</w:t>
            </w:r>
            <w:r>
              <w:rPr>
                <w:rFonts w:cs="Times New Roman"/>
                <w:sz w:val="18"/>
                <w:szCs w:val="18"/>
              </w:rPr>
              <w:t>t/d</w:t>
            </w:r>
            <w:r>
              <w:rPr>
                <w:rFonts w:cs="Times New Roman"/>
                <w:sz w:val="18"/>
                <w:szCs w:val="18"/>
              </w:rPr>
              <w:t>）</w:t>
            </w:r>
          </w:p>
        </w:tc>
        <w:tc>
          <w:tcPr>
            <w:tcW w:w="78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污水处理设施</w:t>
            </w:r>
          </w:p>
        </w:tc>
      </w:tr>
      <w:tr w:rsidR="00A46452">
        <w:trPr>
          <w:trHeight w:val="437"/>
        </w:trPr>
        <w:tc>
          <w:tcPr>
            <w:tcW w:w="70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1</w:t>
            </w:r>
          </w:p>
        </w:tc>
        <w:tc>
          <w:tcPr>
            <w:tcW w:w="1262"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服务区</w:t>
            </w:r>
          </w:p>
        </w:tc>
        <w:tc>
          <w:tcPr>
            <w:tcW w:w="850" w:type="dxa"/>
            <w:vAlign w:val="center"/>
          </w:tcPr>
          <w:p w:rsidR="00A46452" w:rsidRDefault="009A3928">
            <w:pPr>
              <w:wordWrap w:val="0"/>
              <w:topLinePunct/>
              <w:adjustRightInd w:val="0"/>
              <w:snapToGrid w:val="0"/>
              <w:spacing w:line="240" w:lineRule="atLeast"/>
              <w:ind w:firstLineChars="0" w:firstLine="0"/>
              <w:jc w:val="center"/>
              <w:rPr>
                <w:rFonts w:cs="Times New Roman"/>
                <w:sz w:val="18"/>
                <w:szCs w:val="18"/>
              </w:rPr>
            </w:pPr>
            <w:r>
              <w:rPr>
                <w:rFonts w:eastAsiaTheme="minorEastAsia" w:cs="Times New Roman"/>
                <w:sz w:val="18"/>
                <w:szCs w:val="18"/>
              </w:rPr>
              <w:t>4.42</w:t>
            </w:r>
          </w:p>
        </w:tc>
        <w:tc>
          <w:tcPr>
            <w:tcW w:w="1175" w:type="dxa"/>
            <w:vMerge w:val="restart"/>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建议采用地埋式一体化处理设施（</w:t>
            </w:r>
            <w:r>
              <w:rPr>
                <w:rFonts w:cs="Times New Roman"/>
                <w:sz w:val="18"/>
                <w:szCs w:val="18"/>
              </w:rPr>
              <w:t>A</w:t>
            </w:r>
            <w:r>
              <w:rPr>
                <w:rFonts w:cs="Times New Roman"/>
                <w:sz w:val="18"/>
                <w:szCs w:val="18"/>
                <w:vertAlign w:val="superscript"/>
              </w:rPr>
              <w:t>2</w:t>
            </w:r>
            <w:r>
              <w:rPr>
                <w:rFonts w:cs="Times New Roman"/>
                <w:sz w:val="18"/>
                <w:szCs w:val="18"/>
              </w:rPr>
              <w:t>/O</w:t>
            </w:r>
            <w:r>
              <w:rPr>
                <w:rFonts w:cs="Times New Roman"/>
                <w:sz w:val="18"/>
                <w:szCs w:val="18"/>
              </w:rPr>
              <w:t>工艺），处理设施清水池（储水池）容积应不小于</w:t>
            </w:r>
            <w:r>
              <w:rPr>
                <w:rFonts w:cs="Times New Roman"/>
                <w:sz w:val="18"/>
                <w:szCs w:val="18"/>
              </w:rPr>
              <w:t>7d</w:t>
            </w:r>
            <w:r>
              <w:rPr>
                <w:rFonts w:cs="Times New Roman"/>
                <w:sz w:val="18"/>
                <w:szCs w:val="18"/>
              </w:rPr>
              <w:t>的量</w:t>
            </w:r>
          </w:p>
        </w:tc>
        <w:tc>
          <w:tcPr>
            <w:tcW w:w="1175" w:type="dxa"/>
            <w:vMerge w:val="restart"/>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满足新疆维吾尔自治区地方标准《农村生活污水处理排放标准》（</w:t>
            </w:r>
            <w:r>
              <w:rPr>
                <w:rFonts w:cs="Times New Roman"/>
                <w:sz w:val="18"/>
                <w:szCs w:val="18"/>
              </w:rPr>
              <w:t>DB654275-2019</w:t>
            </w:r>
            <w:r>
              <w:rPr>
                <w:rFonts w:cs="Times New Roman"/>
                <w:sz w:val="18"/>
                <w:szCs w:val="18"/>
              </w:rPr>
              <w:t>）表</w:t>
            </w:r>
            <w:r>
              <w:rPr>
                <w:rFonts w:cs="Times New Roman"/>
                <w:sz w:val="18"/>
                <w:szCs w:val="18"/>
              </w:rPr>
              <w:t>2</w:t>
            </w:r>
            <w:r>
              <w:rPr>
                <w:rFonts w:cs="Times New Roman"/>
                <w:sz w:val="18"/>
                <w:szCs w:val="18"/>
              </w:rPr>
              <w:t>中</w:t>
            </w:r>
            <w:r>
              <w:rPr>
                <w:rFonts w:cs="Times New Roman"/>
                <w:sz w:val="18"/>
                <w:szCs w:val="18"/>
              </w:rPr>
              <w:t>A</w:t>
            </w:r>
            <w:r>
              <w:rPr>
                <w:rFonts w:cs="Times New Roman"/>
                <w:sz w:val="18"/>
                <w:szCs w:val="18"/>
              </w:rPr>
              <w:t>级限值</w:t>
            </w:r>
          </w:p>
        </w:tc>
        <w:tc>
          <w:tcPr>
            <w:tcW w:w="147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夏季用于场内绿化，冬季</w:t>
            </w:r>
            <w:r>
              <w:rPr>
                <w:rFonts w:cs="Times New Roman"/>
                <w:sz w:val="18"/>
                <w:szCs w:val="18"/>
              </w:rPr>
              <w:t>贮存</w:t>
            </w:r>
          </w:p>
        </w:tc>
        <w:tc>
          <w:tcPr>
            <w:tcW w:w="850"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20</w:t>
            </w:r>
            <w:r>
              <w:rPr>
                <w:rFonts w:cs="Times New Roman"/>
                <w:sz w:val="18"/>
                <w:szCs w:val="18"/>
              </w:rPr>
              <w:t>t/d</w:t>
            </w:r>
          </w:p>
        </w:tc>
        <w:tc>
          <w:tcPr>
            <w:tcW w:w="78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2</w:t>
            </w:r>
          </w:p>
        </w:tc>
      </w:tr>
      <w:tr w:rsidR="00A46452">
        <w:tc>
          <w:tcPr>
            <w:tcW w:w="70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2</w:t>
            </w:r>
          </w:p>
        </w:tc>
        <w:tc>
          <w:tcPr>
            <w:tcW w:w="1262"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治超站</w:t>
            </w:r>
          </w:p>
        </w:tc>
        <w:tc>
          <w:tcPr>
            <w:tcW w:w="850" w:type="dxa"/>
            <w:vAlign w:val="center"/>
          </w:tcPr>
          <w:p w:rsidR="00A46452" w:rsidRDefault="009A3928">
            <w:pPr>
              <w:wordWrap w:val="0"/>
              <w:topLinePunct/>
              <w:adjustRightInd w:val="0"/>
              <w:snapToGrid w:val="0"/>
              <w:spacing w:line="240" w:lineRule="atLeast"/>
              <w:ind w:firstLineChars="0" w:firstLine="0"/>
              <w:jc w:val="center"/>
              <w:rPr>
                <w:rFonts w:cs="Times New Roman"/>
                <w:sz w:val="18"/>
                <w:szCs w:val="18"/>
              </w:rPr>
            </w:pPr>
            <w:r>
              <w:rPr>
                <w:rFonts w:eastAsiaTheme="minorEastAsia" w:cs="Times New Roman"/>
                <w:sz w:val="18"/>
                <w:szCs w:val="18"/>
              </w:rPr>
              <w:t>5.00</w:t>
            </w:r>
          </w:p>
        </w:tc>
        <w:tc>
          <w:tcPr>
            <w:tcW w:w="1175" w:type="dxa"/>
            <w:vMerge/>
            <w:vAlign w:val="center"/>
          </w:tcPr>
          <w:p w:rsidR="00A46452" w:rsidRDefault="00A46452">
            <w:pPr>
              <w:wordWrap w:val="0"/>
              <w:topLinePunct/>
              <w:spacing w:line="240" w:lineRule="auto"/>
              <w:ind w:firstLineChars="0" w:firstLine="0"/>
              <w:jc w:val="center"/>
              <w:rPr>
                <w:rFonts w:cs="Times New Roman"/>
                <w:sz w:val="18"/>
                <w:szCs w:val="18"/>
              </w:rPr>
            </w:pPr>
          </w:p>
        </w:tc>
        <w:tc>
          <w:tcPr>
            <w:tcW w:w="1175" w:type="dxa"/>
            <w:vMerge/>
            <w:vAlign w:val="center"/>
          </w:tcPr>
          <w:p w:rsidR="00A46452" w:rsidRDefault="00A46452">
            <w:pPr>
              <w:wordWrap w:val="0"/>
              <w:topLinePunct/>
              <w:spacing w:line="240" w:lineRule="auto"/>
              <w:ind w:firstLineChars="0" w:firstLine="0"/>
              <w:jc w:val="center"/>
              <w:rPr>
                <w:rFonts w:cs="Times New Roman"/>
                <w:sz w:val="18"/>
                <w:szCs w:val="18"/>
              </w:rPr>
            </w:pPr>
          </w:p>
        </w:tc>
        <w:tc>
          <w:tcPr>
            <w:tcW w:w="147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夏季用于场内绿化，冬季</w:t>
            </w:r>
            <w:r>
              <w:rPr>
                <w:rFonts w:cs="Times New Roman"/>
                <w:sz w:val="18"/>
                <w:szCs w:val="18"/>
              </w:rPr>
              <w:t>贮存</w:t>
            </w:r>
          </w:p>
        </w:tc>
        <w:tc>
          <w:tcPr>
            <w:tcW w:w="850"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10</w:t>
            </w:r>
            <w:r>
              <w:rPr>
                <w:rFonts w:cs="Times New Roman"/>
                <w:sz w:val="18"/>
                <w:szCs w:val="18"/>
              </w:rPr>
              <w:t>t/d</w:t>
            </w:r>
          </w:p>
        </w:tc>
        <w:tc>
          <w:tcPr>
            <w:tcW w:w="788" w:type="dxa"/>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1</w:t>
            </w:r>
          </w:p>
        </w:tc>
      </w:tr>
    </w:tbl>
    <w:p w:rsidR="00A46452" w:rsidRDefault="009A3928">
      <w:pPr>
        <w:wordWrap w:val="0"/>
        <w:topLinePunct/>
        <w:ind w:firstLine="480"/>
        <w:rPr>
          <w:rFonts w:cs="Times New Roman"/>
        </w:rPr>
      </w:pPr>
      <w:r>
        <w:rPr>
          <w:rFonts w:cs="Times New Roman"/>
        </w:rPr>
        <w:t>根据各服务设施所处环境特点，对生活污水进行集中收集处理，对服务区、停车区生活污水建议采取一体化污水处理设施处理达到新疆维吾尔自治区地方标准《农村生活污水处理排放标准》（</w:t>
      </w:r>
      <w:r>
        <w:rPr>
          <w:rFonts w:cs="Times New Roman"/>
        </w:rPr>
        <w:t>DB654275-2019</w:t>
      </w:r>
      <w:r>
        <w:rPr>
          <w:rFonts w:cs="Times New Roman"/>
        </w:rPr>
        <w:t>）表</w:t>
      </w:r>
      <w:r>
        <w:rPr>
          <w:rFonts w:cs="Times New Roman"/>
        </w:rPr>
        <w:t>2</w:t>
      </w:r>
      <w:r>
        <w:rPr>
          <w:rFonts w:cs="Times New Roman"/>
        </w:rPr>
        <w:t>中</w:t>
      </w:r>
      <w:r>
        <w:rPr>
          <w:rFonts w:cs="Times New Roman"/>
        </w:rPr>
        <w:t>A</w:t>
      </w:r>
      <w:r>
        <w:rPr>
          <w:rFonts w:cs="Times New Roman"/>
        </w:rPr>
        <w:t>级限值后，夏季用于场内绿化，冬季</w:t>
      </w:r>
      <w:r>
        <w:rPr>
          <w:rFonts w:cs="Times New Roman"/>
        </w:rPr>
        <w:t>储存池贮存</w:t>
      </w:r>
      <w:r>
        <w:rPr>
          <w:rFonts w:cs="Times New Roman"/>
        </w:rPr>
        <w:t>。禁止向项目沿线水体排污。</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8.3.2.3</w:t>
      </w:r>
      <w:r>
        <w:rPr>
          <w:rFonts w:cs="Times New Roman" w:hint="default"/>
          <w:iCs/>
        </w:rPr>
        <w:t>路面雨水的排放去向</w:t>
      </w:r>
    </w:p>
    <w:p w:rsidR="00A46452" w:rsidRDefault="009A3928">
      <w:pPr>
        <w:wordWrap w:val="0"/>
        <w:topLinePunct/>
        <w:ind w:firstLine="480"/>
        <w:rPr>
          <w:rFonts w:cs="Times New Roman"/>
          <w:snapToGrid w:val="0"/>
          <w:lang w:val="zh-CN"/>
        </w:rPr>
      </w:pPr>
      <w:r>
        <w:rPr>
          <w:rFonts w:cs="Times New Roman"/>
          <w:snapToGrid w:val="0"/>
          <w:lang w:val="zh-CN"/>
        </w:rPr>
        <w:t>路面雨水径流通过路面、路基的排水进入排水沟，该排水沟的废水确保不进入沿线的渠道或河道。</w:t>
      </w:r>
      <w:r>
        <w:rPr>
          <w:rFonts w:cs="Times New Roman"/>
          <w:snapToGrid w:val="0"/>
        </w:rPr>
        <w:t>第三师图木舒克、喀什地区巴楚县、阿克苏地区柯坪县</w:t>
      </w:r>
      <w:r>
        <w:rPr>
          <w:rFonts w:cs="Times New Roman"/>
          <w:snapToGrid w:val="0"/>
          <w:lang w:val="zh-CN"/>
        </w:rPr>
        <w:t>位于新疆西</w:t>
      </w:r>
      <w:r>
        <w:rPr>
          <w:rFonts w:cs="Times New Roman"/>
          <w:snapToGrid w:val="0"/>
        </w:rPr>
        <w:t>南</w:t>
      </w:r>
      <w:r>
        <w:rPr>
          <w:rFonts w:cs="Times New Roman"/>
          <w:snapToGrid w:val="0"/>
          <w:lang w:val="zh-CN"/>
        </w:rPr>
        <w:t>部地区，气候干旱少雨，路面径流可忽略不计。</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8.3.2.4</w:t>
      </w:r>
      <w:r>
        <w:rPr>
          <w:rFonts w:cs="Times New Roman" w:hint="default"/>
          <w:iCs/>
        </w:rPr>
        <w:t>运输车辆事故废水的处理措施</w:t>
      </w:r>
    </w:p>
    <w:p w:rsidR="00A46452" w:rsidRDefault="009A3928">
      <w:pPr>
        <w:wordWrap w:val="0"/>
        <w:topLinePunct/>
        <w:ind w:firstLine="480"/>
        <w:rPr>
          <w:rFonts w:cs="Times New Roman"/>
          <w:snapToGrid w:val="0"/>
          <w:lang w:val="zh-CN"/>
        </w:rPr>
      </w:pPr>
      <w:r>
        <w:rPr>
          <w:rFonts w:cs="Times New Roman" w:hint="eastAsia"/>
          <w:snapToGrid w:val="0"/>
          <w:lang w:val="zh-CN"/>
        </w:rPr>
        <w:t>（</w:t>
      </w:r>
      <w:r>
        <w:rPr>
          <w:rFonts w:cs="Times New Roman" w:hint="eastAsia"/>
          <w:snapToGrid w:val="0"/>
        </w:rPr>
        <w:t>1</w:t>
      </w:r>
      <w:r>
        <w:rPr>
          <w:rFonts w:cs="Times New Roman" w:hint="eastAsia"/>
          <w:snapToGrid w:val="0"/>
          <w:lang w:val="zh-CN"/>
        </w:rPr>
        <w:t>）</w:t>
      </w:r>
      <w:r>
        <w:rPr>
          <w:rFonts w:cs="Times New Roman"/>
          <w:snapToGrid w:val="0"/>
          <w:lang w:val="zh-CN"/>
        </w:rPr>
        <w:t>事故状态下，事故废水集中收集，收集的事故污水采用槽车进行清空，委托有资质的单位统一处理，禁止外排进入沿线水体。</w:t>
      </w:r>
    </w:p>
    <w:p w:rsidR="00A46452" w:rsidRDefault="009A3928">
      <w:pPr>
        <w:wordWrap w:val="0"/>
        <w:topLinePunct/>
        <w:ind w:firstLine="480"/>
        <w:rPr>
          <w:rFonts w:cs="Times New Roman"/>
          <w:snapToGrid w:val="0"/>
          <w:lang w:val="zh-CN"/>
        </w:rPr>
      </w:pPr>
      <w:r>
        <w:rPr>
          <w:rFonts w:cs="Times New Roman" w:hint="eastAsia"/>
          <w:snapToGrid w:val="0"/>
          <w:lang w:val="zh-CN"/>
        </w:rPr>
        <w:t>（</w:t>
      </w:r>
      <w:r>
        <w:rPr>
          <w:rFonts w:cs="Times New Roman" w:hint="eastAsia"/>
          <w:snapToGrid w:val="0"/>
        </w:rPr>
        <w:t>2</w:t>
      </w:r>
      <w:r>
        <w:rPr>
          <w:rFonts w:cs="Times New Roman" w:hint="eastAsia"/>
          <w:snapToGrid w:val="0"/>
          <w:lang w:val="zh-CN"/>
        </w:rPr>
        <w:t>）</w:t>
      </w:r>
      <w:r>
        <w:rPr>
          <w:rFonts w:cs="Times New Roman"/>
          <w:snapToGrid w:val="0"/>
        </w:rPr>
        <w:t>大桥路段</w:t>
      </w:r>
      <w:r>
        <w:rPr>
          <w:rFonts w:cs="Times New Roman"/>
          <w:snapToGrid w:val="0"/>
          <w:lang w:val="zh-CN"/>
        </w:rPr>
        <w:t>设置加强型防撞护栏进行有效拦挡，道路两侧设置标志提醒过往司机。</w:t>
      </w:r>
    </w:p>
    <w:p w:rsidR="00A46452" w:rsidRDefault="009A3928">
      <w:pPr>
        <w:wordWrap w:val="0"/>
        <w:topLinePunct/>
        <w:ind w:firstLine="480"/>
        <w:rPr>
          <w:rFonts w:cs="Times New Roman"/>
          <w:snapToGrid w:val="0"/>
          <w:lang w:val="zh-CN"/>
        </w:rPr>
      </w:pPr>
      <w:r>
        <w:rPr>
          <w:rFonts w:cs="Times New Roman" w:hint="eastAsia"/>
          <w:snapToGrid w:val="0"/>
          <w:lang w:val="zh-CN"/>
        </w:rPr>
        <w:t>（</w:t>
      </w:r>
      <w:r>
        <w:rPr>
          <w:rFonts w:cs="Times New Roman" w:hint="eastAsia"/>
          <w:snapToGrid w:val="0"/>
        </w:rPr>
        <w:t>3</w:t>
      </w:r>
      <w:r>
        <w:rPr>
          <w:rFonts w:cs="Times New Roman" w:hint="eastAsia"/>
          <w:snapToGrid w:val="0"/>
          <w:lang w:val="zh-CN"/>
        </w:rPr>
        <w:t>）</w:t>
      </w:r>
      <w:r>
        <w:rPr>
          <w:rFonts w:cs="Times New Roman"/>
          <w:snapToGrid w:val="0"/>
          <w:lang w:val="zh-CN"/>
        </w:rPr>
        <w:t>加强事故现场管理，运输车辆事故遗落的油品、危险品等需及时清除，并委托专门机构专业处置，处理方案需报第</w:t>
      </w:r>
      <w:r>
        <w:rPr>
          <w:rFonts w:cs="Times New Roman"/>
          <w:snapToGrid w:val="0"/>
        </w:rPr>
        <w:t>三</w:t>
      </w:r>
      <w:r>
        <w:rPr>
          <w:rFonts w:cs="Times New Roman"/>
          <w:snapToGrid w:val="0"/>
          <w:lang w:val="zh-CN"/>
        </w:rPr>
        <w:t>师</w:t>
      </w:r>
      <w:r>
        <w:rPr>
          <w:rFonts w:cs="Times New Roman"/>
          <w:snapToGrid w:val="0"/>
        </w:rPr>
        <w:t>图木舒克</w:t>
      </w:r>
      <w:r>
        <w:rPr>
          <w:rFonts w:cs="Times New Roman"/>
          <w:snapToGrid w:val="0"/>
          <w:lang w:val="zh-CN"/>
        </w:rPr>
        <w:t>市生态环境局、阿克苏地区、</w:t>
      </w:r>
      <w:r>
        <w:rPr>
          <w:rFonts w:cs="Times New Roman"/>
          <w:snapToGrid w:val="0"/>
        </w:rPr>
        <w:t>喀什地区相关县市</w:t>
      </w:r>
      <w:r>
        <w:rPr>
          <w:rFonts w:cs="Times New Roman"/>
          <w:snapToGrid w:val="0"/>
          <w:lang w:val="zh-CN"/>
        </w:rPr>
        <w:t>生态环境局批准，重大事故应及时上报兵团生态环境局、新疆维吾尔自治区生态环境厅。</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92" w:name="_Toc14295"/>
      <w:bookmarkStart w:id="393" w:name="_Toc8731"/>
      <w:r>
        <w:rPr>
          <w:rFonts w:cs="Times New Roman" w:hint="default"/>
          <w:sz w:val="30"/>
          <w:szCs w:val="30"/>
        </w:rPr>
        <w:t>8.4</w:t>
      </w:r>
      <w:r>
        <w:rPr>
          <w:rFonts w:cs="Times New Roman" w:hint="default"/>
          <w:sz w:val="30"/>
          <w:szCs w:val="30"/>
        </w:rPr>
        <w:t>地下水环境污染防治措施</w:t>
      </w:r>
      <w:bookmarkEnd w:id="392"/>
      <w:bookmarkEnd w:id="393"/>
    </w:p>
    <w:p w:rsidR="00A46452" w:rsidRDefault="009A3928">
      <w:pPr>
        <w:pStyle w:val="TableText"/>
        <w:wordWrap w:val="0"/>
        <w:topLinePunct/>
        <w:ind w:firstLine="480"/>
        <w:rPr>
          <w:rFonts w:eastAsia="宋体"/>
          <w:snapToGrid w:val="0"/>
          <w:sz w:val="24"/>
          <w:szCs w:val="24"/>
          <w:lang w:val="zh-CN" w:eastAsia="zh-CN"/>
        </w:rPr>
      </w:pPr>
      <w:r>
        <w:rPr>
          <w:rFonts w:eastAsia="宋体"/>
          <w:snapToGrid w:val="0"/>
          <w:sz w:val="24"/>
          <w:szCs w:val="24"/>
          <w:lang w:val="zh-CN" w:eastAsia="zh-CN"/>
        </w:rPr>
        <w:t>（</w:t>
      </w:r>
      <w:r>
        <w:rPr>
          <w:rFonts w:eastAsia="宋体"/>
          <w:snapToGrid w:val="0"/>
          <w:sz w:val="24"/>
          <w:szCs w:val="24"/>
          <w:lang w:val="zh-CN" w:eastAsia="zh-CN"/>
        </w:rPr>
        <w:t>1</w:t>
      </w:r>
      <w:r>
        <w:rPr>
          <w:rFonts w:eastAsia="宋体"/>
          <w:snapToGrid w:val="0"/>
          <w:sz w:val="24"/>
          <w:szCs w:val="24"/>
          <w:lang w:val="zh-CN" w:eastAsia="zh-CN"/>
        </w:rPr>
        <w:t>）生活污水处理站区域防渗措施为：防渗钢筋混凝土，表面刷水泥基聚脲防腐、防渗涂层，渗透系数不大于</w:t>
      </w:r>
      <w:r>
        <w:rPr>
          <w:rFonts w:eastAsia="宋体"/>
          <w:snapToGrid w:val="0"/>
          <w:sz w:val="24"/>
          <w:szCs w:val="24"/>
          <w:lang w:val="zh-CN" w:eastAsia="zh-CN"/>
        </w:rPr>
        <w:t>1.0×10</w:t>
      </w:r>
      <w:r>
        <w:rPr>
          <w:rFonts w:eastAsia="宋体"/>
          <w:snapToGrid w:val="0"/>
          <w:sz w:val="24"/>
          <w:szCs w:val="24"/>
          <w:vertAlign w:val="superscript"/>
          <w:lang w:eastAsia="zh-CN"/>
        </w:rPr>
        <w:t>-</w:t>
      </w:r>
      <w:r>
        <w:rPr>
          <w:snapToGrid w:val="0"/>
          <w:sz w:val="24"/>
          <w:szCs w:val="24"/>
          <w:vertAlign w:val="superscript"/>
          <w:lang w:eastAsia="zh-CN"/>
        </w:rPr>
        <w:t>7</w:t>
      </w:r>
      <w:r>
        <w:rPr>
          <w:rFonts w:eastAsia="宋体"/>
          <w:snapToGrid w:val="0"/>
          <w:sz w:val="24"/>
          <w:szCs w:val="24"/>
          <w:lang w:val="zh-CN" w:eastAsia="zh-CN"/>
        </w:rPr>
        <w:t>cm/s</w:t>
      </w:r>
      <w:r>
        <w:rPr>
          <w:rFonts w:eastAsia="宋体"/>
          <w:snapToGrid w:val="0"/>
          <w:sz w:val="24"/>
          <w:szCs w:val="24"/>
          <w:lang w:val="zh-CN" w:eastAsia="zh-CN"/>
        </w:rPr>
        <w:t>。</w:t>
      </w:r>
    </w:p>
    <w:p w:rsidR="00A46452" w:rsidRDefault="009A3928">
      <w:pPr>
        <w:pStyle w:val="TableText"/>
        <w:wordWrap w:val="0"/>
        <w:topLinePunct/>
        <w:ind w:firstLine="480"/>
        <w:rPr>
          <w:rFonts w:eastAsia="宋体"/>
          <w:snapToGrid w:val="0"/>
          <w:sz w:val="24"/>
          <w:szCs w:val="24"/>
          <w:lang w:val="zh-CN" w:eastAsia="zh-CN"/>
        </w:rPr>
      </w:pPr>
      <w:r>
        <w:rPr>
          <w:rFonts w:eastAsia="宋体"/>
          <w:snapToGrid w:val="0"/>
          <w:sz w:val="24"/>
          <w:szCs w:val="24"/>
          <w:lang w:val="zh-CN" w:eastAsia="zh-CN"/>
        </w:rPr>
        <w:t>（</w:t>
      </w:r>
      <w:r>
        <w:rPr>
          <w:rFonts w:eastAsia="宋体"/>
          <w:snapToGrid w:val="0"/>
          <w:sz w:val="24"/>
          <w:szCs w:val="24"/>
          <w:lang w:val="zh-CN" w:eastAsia="zh-CN"/>
        </w:rPr>
        <w:t>2</w:t>
      </w:r>
      <w:r>
        <w:rPr>
          <w:rFonts w:eastAsia="宋体"/>
          <w:snapToGrid w:val="0"/>
          <w:sz w:val="24"/>
          <w:szCs w:val="24"/>
          <w:lang w:val="zh-CN" w:eastAsia="zh-CN"/>
        </w:rPr>
        <w:t>）污水管道铺设防渗：污水管道尽量架空铺设，如采用地下管道，应加强地下管道及设施的固化和密封，采用防腐蚀、防爆材料，防止发生沉降引起渗漏，并按明渠明沟敷设。埋地管道防渗，需依次采用</w:t>
      </w:r>
      <w:r>
        <w:rPr>
          <w:rFonts w:eastAsia="宋体"/>
          <w:snapToGrid w:val="0"/>
          <w:sz w:val="24"/>
          <w:szCs w:val="24"/>
          <w:lang w:val="zh-CN" w:eastAsia="zh-CN"/>
        </w:rPr>
        <w:t>“</w:t>
      </w:r>
      <w:r>
        <w:rPr>
          <w:rFonts w:eastAsia="宋体"/>
          <w:snapToGrid w:val="0"/>
          <w:sz w:val="24"/>
          <w:szCs w:val="24"/>
          <w:lang w:val="zh-CN" w:eastAsia="zh-CN"/>
        </w:rPr>
        <w:t>中粗砂回填</w:t>
      </w:r>
      <w:r>
        <w:rPr>
          <w:rFonts w:eastAsia="宋体"/>
          <w:snapToGrid w:val="0"/>
          <w:sz w:val="24"/>
          <w:szCs w:val="24"/>
          <w:lang w:val="zh-CN" w:eastAsia="zh-CN"/>
        </w:rPr>
        <w:t>+</w:t>
      </w:r>
      <w:r>
        <w:rPr>
          <w:rFonts w:eastAsia="宋体"/>
          <w:snapToGrid w:val="0"/>
          <w:sz w:val="24"/>
          <w:szCs w:val="24"/>
          <w:lang w:val="zh-CN" w:eastAsia="zh-CN"/>
        </w:rPr>
        <w:t>长丝无纺土工</w:t>
      </w:r>
      <w:r>
        <w:rPr>
          <w:rFonts w:eastAsia="宋体"/>
          <w:snapToGrid w:val="0"/>
          <w:sz w:val="24"/>
          <w:szCs w:val="24"/>
          <w:lang w:val="zh-CN" w:eastAsia="zh-CN"/>
        </w:rPr>
        <w:t xml:space="preserve"> </w:t>
      </w:r>
      <w:r>
        <w:rPr>
          <w:rFonts w:eastAsia="宋体"/>
          <w:snapToGrid w:val="0"/>
          <w:sz w:val="24"/>
          <w:szCs w:val="24"/>
          <w:lang w:val="zh-CN" w:eastAsia="zh-CN"/>
        </w:rPr>
        <w:t>布</w:t>
      </w:r>
      <w:r>
        <w:rPr>
          <w:rFonts w:eastAsia="宋体"/>
          <w:snapToGrid w:val="0"/>
          <w:sz w:val="24"/>
          <w:szCs w:val="24"/>
          <w:lang w:val="zh-CN" w:eastAsia="zh-CN"/>
        </w:rPr>
        <w:t>+2mm</w:t>
      </w:r>
      <w:r>
        <w:rPr>
          <w:rFonts w:eastAsia="宋体"/>
          <w:snapToGrid w:val="0"/>
          <w:sz w:val="24"/>
          <w:szCs w:val="24"/>
          <w:lang w:val="zh-CN" w:eastAsia="zh-CN"/>
        </w:rPr>
        <w:t>厚</w:t>
      </w:r>
      <w:r>
        <w:rPr>
          <w:rFonts w:eastAsia="宋体"/>
          <w:snapToGrid w:val="0"/>
          <w:sz w:val="24"/>
          <w:szCs w:val="24"/>
          <w:lang w:val="zh-CN" w:eastAsia="zh-CN"/>
        </w:rPr>
        <w:t>HDPE</w:t>
      </w:r>
      <w:r>
        <w:rPr>
          <w:rFonts w:eastAsia="宋体"/>
          <w:snapToGrid w:val="0"/>
          <w:sz w:val="24"/>
          <w:szCs w:val="24"/>
          <w:lang w:val="zh-CN" w:eastAsia="zh-CN"/>
        </w:rPr>
        <w:t>土工膜</w:t>
      </w:r>
      <w:r>
        <w:rPr>
          <w:rFonts w:eastAsia="宋体"/>
          <w:snapToGrid w:val="0"/>
          <w:sz w:val="24"/>
          <w:szCs w:val="24"/>
          <w:lang w:val="zh-CN" w:eastAsia="zh-CN"/>
        </w:rPr>
        <w:t>+</w:t>
      </w:r>
      <w:r>
        <w:rPr>
          <w:rFonts w:eastAsia="宋体"/>
          <w:snapToGrid w:val="0"/>
          <w:sz w:val="24"/>
          <w:szCs w:val="24"/>
          <w:lang w:val="zh-CN" w:eastAsia="zh-CN"/>
        </w:rPr>
        <w:t>长丝无纺土工布</w:t>
      </w:r>
      <w:r>
        <w:rPr>
          <w:rFonts w:eastAsia="宋体"/>
          <w:snapToGrid w:val="0"/>
          <w:sz w:val="24"/>
          <w:szCs w:val="24"/>
          <w:lang w:val="zh-CN" w:eastAsia="zh-CN"/>
        </w:rPr>
        <w:t xml:space="preserve">+ </w:t>
      </w:r>
      <w:r>
        <w:rPr>
          <w:rFonts w:eastAsia="宋体"/>
          <w:snapToGrid w:val="0"/>
          <w:sz w:val="24"/>
          <w:szCs w:val="24"/>
          <w:lang w:val="zh-CN" w:eastAsia="zh-CN"/>
        </w:rPr>
        <w:t>中砂垫层</w:t>
      </w:r>
      <w:r>
        <w:rPr>
          <w:rFonts w:eastAsia="宋体"/>
          <w:snapToGrid w:val="0"/>
          <w:sz w:val="24"/>
          <w:szCs w:val="24"/>
          <w:lang w:val="zh-CN" w:eastAsia="zh-CN"/>
        </w:rPr>
        <w:t>+</w:t>
      </w:r>
      <w:r>
        <w:rPr>
          <w:rFonts w:eastAsia="宋体"/>
          <w:snapToGrid w:val="0"/>
          <w:sz w:val="24"/>
          <w:szCs w:val="24"/>
          <w:lang w:val="zh-CN" w:eastAsia="zh-CN"/>
        </w:rPr>
        <w:t>原土夯实</w:t>
      </w:r>
      <w:r>
        <w:rPr>
          <w:rFonts w:eastAsia="宋体"/>
          <w:snapToGrid w:val="0"/>
          <w:sz w:val="24"/>
          <w:szCs w:val="24"/>
          <w:lang w:val="zh-CN" w:eastAsia="zh-CN"/>
        </w:rPr>
        <w:t>”</w:t>
      </w:r>
      <w:r>
        <w:rPr>
          <w:rFonts w:eastAsia="宋体"/>
          <w:snapToGrid w:val="0"/>
          <w:sz w:val="24"/>
          <w:szCs w:val="24"/>
          <w:lang w:val="zh-CN" w:eastAsia="zh-CN"/>
        </w:rPr>
        <w:t>的结构进行防渗（渗透系数不大于</w:t>
      </w:r>
      <w:r>
        <w:rPr>
          <w:rFonts w:eastAsia="宋体"/>
          <w:snapToGrid w:val="0"/>
          <w:sz w:val="24"/>
          <w:szCs w:val="24"/>
          <w:lang w:val="zh-CN" w:eastAsia="zh-CN"/>
        </w:rPr>
        <w:t>1.0×10</w:t>
      </w:r>
      <w:r>
        <w:rPr>
          <w:rFonts w:eastAsia="宋体"/>
          <w:snapToGrid w:val="0"/>
          <w:sz w:val="24"/>
          <w:szCs w:val="24"/>
          <w:vertAlign w:val="superscript"/>
          <w:lang w:eastAsia="zh-CN"/>
        </w:rPr>
        <w:t>-</w:t>
      </w:r>
      <w:r>
        <w:rPr>
          <w:snapToGrid w:val="0"/>
          <w:sz w:val="24"/>
          <w:szCs w:val="24"/>
          <w:vertAlign w:val="superscript"/>
          <w:lang w:eastAsia="zh-CN"/>
        </w:rPr>
        <w:t>7</w:t>
      </w:r>
      <w:r>
        <w:rPr>
          <w:rFonts w:eastAsia="宋体"/>
          <w:snapToGrid w:val="0"/>
          <w:sz w:val="24"/>
          <w:szCs w:val="24"/>
          <w:lang w:val="zh-CN" w:eastAsia="zh-CN"/>
        </w:rPr>
        <w:t>cm/s</w:t>
      </w:r>
      <w:r>
        <w:rPr>
          <w:rFonts w:eastAsia="宋体"/>
          <w:snapToGrid w:val="0"/>
          <w:sz w:val="24"/>
          <w:szCs w:val="24"/>
          <w:lang w:val="zh-CN" w:eastAsia="zh-CN"/>
        </w:rPr>
        <w:t>）。</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394" w:name="bookmark47"/>
      <w:bookmarkStart w:id="395" w:name="bookmark48"/>
      <w:bookmarkStart w:id="396" w:name="_Toc548"/>
      <w:bookmarkStart w:id="397" w:name="_Toc12229"/>
      <w:bookmarkStart w:id="398" w:name="_Toc98413580"/>
      <w:bookmarkStart w:id="399" w:name="_Toc154077016"/>
      <w:bookmarkEnd w:id="394"/>
      <w:bookmarkEnd w:id="395"/>
      <w:r>
        <w:rPr>
          <w:rFonts w:cs="Times New Roman" w:hint="default"/>
          <w:sz w:val="30"/>
          <w:szCs w:val="30"/>
        </w:rPr>
        <w:t>8.5</w:t>
      </w:r>
      <w:r>
        <w:rPr>
          <w:rFonts w:cs="Times New Roman" w:hint="default"/>
          <w:sz w:val="30"/>
          <w:szCs w:val="30"/>
        </w:rPr>
        <w:t>噪声污染防治措施</w:t>
      </w:r>
      <w:bookmarkEnd w:id="396"/>
      <w:bookmarkEnd w:id="397"/>
      <w:bookmarkEnd w:id="398"/>
      <w:bookmarkEnd w:id="399"/>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00" w:name="_Toc97464687"/>
      <w:bookmarkStart w:id="401" w:name="_Toc98413581"/>
      <w:bookmarkStart w:id="402" w:name="_Toc98414263"/>
      <w:r>
        <w:rPr>
          <w:rFonts w:cs="Times New Roman" w:hint="default"/>
          <w:sz w:val="28"/>
          <w:szCs w:val="28"/>
        </w:rPr>
        <w:t>8.5.1</w:t>
      </w:r>
      <w:r>
        <w:rPr>
          <w:rFonts w:cs="Times New Roman" w:hint="default"/>
          <w:sz w:val="28"/>
          <w:szCs w:val="28"/>
        </w:rPr>
        <w:t>施工期</w:t>
      </w:r>
      <w:bookmarkEnd w:id="400"/>
      <w:bookmarkEnd w:id="401"/>
      <w:bookmarkEnd w:id="402"/>
    </w:p>
    <w:p w:rsidR="00A46452" w:rsidRDefault="009A3928">
      <w:pPr>
        <w:wordWrap w:val="0"/>
        <w:topLinePunct/>
        <w:ind w:firstLine="480"/>
        <w:rPr>
          <w:rFonts w:cs="Times New Roman"/>
          <w:snapToGrid w:val="0"/>
        </w:rPr>
      </w:pPr>
      <w:r>
        <w:rPr>
          <w:rFonts w:cs="Times New Roman"/>
          <w:snapToGrid w:val="0"/>
        </w:rPr>
        <w:t>本评价提出以下环保措施：</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1</w:t>
      </w:r>
      <w:r>
        <w:rPr>
          <w:rFonts w:cs="Times New Roman"/>
          <w:snapToGrid w:val="0"/>
        </w:rPr>
        <w:t>）合理布局施工现场</w:t>
      </w:r>
    </w:p>
    <w:p w:rsidR="00A46452" w:rsidRDefault="009A3928">
      <w:pPr>
        <w:wordWrap w:val="0"/>
        <w:topLinePunct/>
        <w:ind w:firstLine="480"/>
        <w:rPr>
          <w:rFonts w:cs="Times New Roman"/>
          <w:snapToGrid w:val="0"/>
        </w:rPr>
      </w:pPr>
      <w:r>
        <w:rPr>
          <w:rFonts w:cs="Times New Roman"/>
          <w:snapToGrid w:val="0"/>
        </w:rPr>
        <w:t>合理科学地布局施工现场是减少施工噪声的主要途径，如将施工现场的固定振动源相对集中，以减少影响的范围；如对可固定的机械设备如空压机、发电机安置在施工场地临时房间内，房屋内设隔音板，降低噪声。另外在村庄敏感点附近施工时，需提前告知周边居民，设立群众意见反馈处，听取并采纳群众合理意见。</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2</w:t>
      </w:r>
      <w:r>
        <w:rPr>
          <w:rFonts w:cs="Times New Roman"/>
          <w:snapToGrid w:val="0"/>
        </w:rPr>
        <w:t>）合理安排施工作业时间</w:t>
      </w:r>
    </w:p>
    <w:p w:rsidR="00A46452" w:rsidRDefault="009A3928">
      <w:pPr>
        <w:wordWrap w:val="0"/>
        <w:topLinePunct/>
        <w:ind w:firstLine="480"/>
        <w:rPr>
          <w:rFonts w:cs="Times New Roman"/>
          <w:snapToGrid w:val="0"/>
        </w:rPr>
      </w:pPr>
      <w:r>
        <w:rPr>
          <w:rFonts w:cs="Times New Roman"/>
          <w:snapToGrid w:val="0"/>
        </w:rPr>
        <w:t>在保证进度的前提下，合理安排作业时间，对于敏感点附近路段施工的须把排放噪声强度大的施工应安排在白天施工。严格禁止夜间进行施工作业。特殊情况需连续作业时，除采取有效措施外，报生态环境局批准后施工，并公告附近群众。</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3</w:t>
      </w:r>
      <w:r>
        <w:rPr>
          <w:rFonts w:cs="Times New Roman"/>
          <w:snapToGrid w:val="0"/>
        </w:rPr>
        <w:t>）合理安排施工运输车辆的行走路线和行走时间</w:t>
      </w:r>
    </w:p>
    <w:p w:rsidR="00A46452" w:rsidRDefault="009A3928">
      <w:pPr>
        <w:wordWrap w:val="0"/>
        <w:topLinePunct/>
        <w:ind w:firstLine="480"/>
        <w:rPr>
          <w:rFonts w:cs="Times New Roman"/>
          <w:snapToGrid w:val="0"/>
          <w:lang w:val="zh-CN"/>
        </w:rPr>
      </w:pPr>
      <w:r>
        <w:rPr>
          <w:rFonts w:cs="Times New Roman"/>
          <w:snapToGrid w:val="0"/>
          <w:lang w:val="zh-CN"/>
        </w:rPr>
        <w:t>施工运输车辆，尤其是大型运输车辆，应按照有关部门的规定，确定合理运输路线和时间。选择主要运输道路应尽可能远离村镇等敏感点；施工车辆在经过各敏感点路段时禁止鸣笛等措施。</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4</w:t>
      </w:r>
      <w:r>
        <w:rPr>
          <w:rFonts w:cs="Times New Roman"/>
          <w:snapToGrid w:val="0"/>
          <w:lang w:val="zh-CN"/>
        </w:rPr>
        <w:t>）合理选择施工机械设备</w:t>
      </w:r>
    </w:p>
    <w:p w:rsidR="00A46452" w:rsidRDefault="009A3928">
      <w:pPr>
        <w:wordWrap w:val="0"/>
        <w:topLinePunct/>
        <w:ind w:firstLine="480"/>
        <w:rPr>
          <w:rFonts w:cs="Times New Roman"/>
          <w:snapToGrid w:val="0"/>
          <w:lang w:val="zh-CN"/>
        </w:rPr>
      </w:pPr>
      <w:r>
        <w:rPr>
          <w:rFonts w:cs="Times New Roman"/>
          <w:snapToGrid w:val="0"/>
          <w:lang w:val="zh-CN"/>
        </w:rPr>
        <w:t>施工单位应尽量选用低噪音、振动的各类施工机械设备，并带有</w:t>
      </w:r>
      <w:r>
        <w:rPr>
          <w:rFonts w:cs="Times New Roman"/>
          <w:snapToGrid w:val="0"/>
          <w:lang w:val="zh-CN"/>
        </w:rPr>
        <w:t>消声和隔音的附属设备，振动较大的固定机械设备应加装减振机座；避免多台高噪音的机械设备在同一工场和同一时间使用。对排放高强度噪声的施工机械设备在场，应在靠近敏感点一侧设置隔声挡板或吸声屏障，减少施工噪声对环境的影响。主线边界线外</w:t>
      </w:r>
      <w:r>
        <w:rPr>
          <w:rFonts w:cs="Times New Roman"/>
          <w:snapToGrid w:val="0"/>
        </w:rPr>
        <w:t>50</w:t>
      </w:r>
      <w:r>
        <w:rPr>
          <w:rFonts w:cs="Times New Roman"/>
          <w:snapToGrid w:val="0"/>
          <w:lang w:val="zh-CN"/>
        </w:rPr>
        <w:t>m</w:t>
      </w:r>
      <w:r>
        <w:rPr>
          <w:rFonts w:cs="Times New Roman"/>
          <w:snapToGrid w:val="0"/>
          <w:lang w:val="zh-CN"/>
        </w:rPr>
        <w:t>范围内有</w:t>
      </w:r>
      <w:r>
        <w:rPr>
          <w:rFonts w:cs="Times New Roman"/>
          <w:snapToGrid w:val="0"/>
        </w:rPr>
        <w:t>2</w:t>
      </w:r>
      <w:r>
        <w:rPr>
          <w:rFonts w:cs="Times New Roman"/>
          <w:snapToGrid w:val="0"/>
        </w:rPr>
        <w:t>个敏感点</w:t>
      </w:r>
      <w:r>
        <w:rPr>
          <w:rFonts w:cs="Times New Roman"/>
          <w:snapToGrid w:val="0"/>
          <w:lang w:val="zh-CN"/>
        </w:rPr>
        <w:t>，分别为</w:t>
      </w:r>
      <w:r>
        <w:rPr>
          <w:rFonts w:cs="Times New Roman" w:hint="eastAsia"/>
          <w:snapToGrid w:val="0"/>
        </w:rPr>
        <w:t>幸福佳园一期</w:t>
      </w:r>
      <w:r>
        <w:rPr>
          <w:rFonts w:cs="Times New Roman"/>
          <w:snapToGrid w:val="0"/>
        </w:rPr>
        <w:t>、玉尔其乡</w:t>
      </w:r>
      <w:r>
        <w:rPr>
          <w:rFonts w:cs="Times New Roman"/>
          <w:snapToGrid w:val="0"/>
          <w:lang w:val="zh-CN"/>
        </w:rPr>
        <w:t>，在上述敏感点附近施工时，需要在村庄一侧放置临时隔声屏障。</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5</w:t>
      </w:r>
      <w:r>
        <w:rPr>
          <w:rFonts w:cs="Times New Roman"/>
          <w:snapToGrid w:val="0"/>
          <w:lang w:val="zh-CN"/>
        </w:rPr>
        <w:t>）做好宣传工作，倡导科学管理和文明施工</w:t>
      </w:r>
    </w:p>
    <w:p w:rsidR="00A46452" w:rsidRDefault="009A3928">
      <w:pPr>
        <w:wordWrap w:val="0"/>
        <w:topLinePunct/>
        <w:ind w:firstLine="480"/>
        <w:rPr>
          <w:rFonts w:cs="Times New Roman"/>
          <w:snapToGrid w:val="0"/>
          <w:lang w:val="zh-CN"/>
        </w:rPr>
      </w:pPr>
      <w:r>
        <w:rPr>
          <w:rFonts w:cs="Times New Roman"/>
          <w:snapToGrid w:val="0"/>
          <w:lang w:val="zh-CN"/>
        </w:rPr>
        <w:t>由于技术条件、施工现场客观环境的限制，即使采用了相应的控制对策和措施，施工噪声、振动仍可能对周围环境产生一定的影响；为此要向沿线</w:t>
      </w:r>
      <w:r>
        <w:rPr>
          <w:rFonts w:cs="Times New Roman"/>
          <w:snapToGrid w:val="0"/>
          <w:lang w:val="zh-CN"/>
        </w:rPr>
        <w:t>受影响的居民和有关单位做好宣传工作，以提高人们对不利影响的心理承受力；加强施工现场的科学管理，做好施工人员的环境保护意识的教育；大力倡导文明施工的自觉性，尽量降低人为因素造成施工噪声的加重。</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6</w:t>
      </w:r>
      <w:r>
        <w:rPr>
          <w:rFonts w:cs="Times New Roman"/>
          <w:snapToGrid w:val="0"/>
          <w:lang w:val="zh-CN"/>
        </w:rPr>
        <w:t>）加强环境管理，接受生态环境部门环境监督</w:t>
      </w:r>
    </w:p>
    <w:p w:rsidR="00A46452" w:rsidRDefault="009A3928">
      <w:pPr>
        <w:wordWrap w:val="0"/>
        <w:topLinePunct/>
        <w:ind w:firstLine="480"/>
        <w:rPr>
          <w:rFonts w:cs="Times New Roman"/>
          <w:snapToGrid w:val="0"/>
          <w:lang w:val="zh-CN"/>
        </w:rPr>
      </w:pPr>
      <w:r>
        <w:rPr>
          <w:rFonts w:cs="Times New Roman"/>
          <w:snapToGrid w:val="0"/>
          <w:lang w:val="zh-CN"/>
        </w:rPr>
        <w:t>为了有效地控制施工噪声对沿线</w:t>
      </w:r>
      <w:r>
        <w:rPr>
          <w:rFonts w:cs="Times New Roman"/>
          <w:snapToGrid w:val="0"/>
        </w:rPr>
        <w:t>声环境敏感点的</w:t>
      </w:r>
      <w:r>
        <w:rPr>
          <w:rFonts w:cs="Times New Roman"/>
          <w:snapToGrid w:val="0"/>
          <w:lang w:val="zh-CN"/>
        </w:rPr>
        <w:t>环境的影响，除落实有关的控制措施外，还必须加强环境管理；根据国家和地方的有关法律、法令、条例、规定，施工单位应主动接受生态环境主管部门的监督管理和检查；建设单位在进行工程承包时，应将有关施工噪声控制纳入承包内容，并在施工和工程监理过</w:t>
      </w:r>
      <w:r>
        <w:rPr>
          <w:rFonts w:cs="Times New Roman"/>
          <w:snapToGrid w:val="0"/>
          <w:lang w:val="zh-CN"/>
        </w:rPr>
        <w:t>程中设立专人负责，以确保控制施工噪声措施的实施。</w:t>
      </w:r>
    </w:p>
    <w:p w:rsidR="00A46452" w:rsidRDefault="009A3928">
      <w:pPr>
        <w:wordWrap w:val="0"/>
        <w:topLinePunct/>
        <w:ind w:firstLine="480"/>
        <w:rPr>
          <w:rFonts w:cs="Times New Roman"/>
          <w:szCs w:val="20"/>
        </w:rPr>
      </w:pPr>
      <w:r>
        <w:rPr>
          <w:rFonts w:cs="Times New Roman"/>
          <w:szCs w:val="20"/>
        </w:rPr>
        <w:t>（</w:t>
      </w:r>
      <w:r>
        <w:rPr>
          <w:rFonts w:cs="Times New Roman"/>
          <w:szCs w:val="20"/>
        </w:rPr>
        <w:t>7</w:t>
      </w:r>
      <w:r>
        <w:rPr>
          <w:rFonts w:cs="Times New Roman"/>
          <w:szCs w:val="20"/>
        </w:rPr>
        <w:t>）施工单位需贯彻各项施工管理制度</w:t>
      </w:r>
    </w:p>
    <w:p w:rsidR="00A46452" w:rsidRDefault="009A3928">
      <w:pPr>
        <w:wordWrap w:val="0"/>
        <w:topLinePunct/>
        <w:ind w:firstLine="480"/>
        <w:rPr>
          <w:rFonts w:cs="Times New Roman"/>
          <w:szCs w:val="20"/>
        </w:rPr>
      </w:pPr>
      <w:r>
        <w:rPr>
          <w:rFonts w:cs="Times New Roman"/>
          <w:szCs w:val="20"/>
        </w:rPr>
        <w:t>施工单位要确保施工噪声满足《建筑施工场界环境噪声排放标准》（</w:t>
      </w:r>
      <w:r>
        <w:rPr>
          <w:rFonts w:cs="Times New Roman"/>
          <w:szCs w:val="20"/>
        </w:rPr>
        <w:t>GB12523-2011</w:t>
      </w:r>
      <w:r>
        <w:rPr>
          <w:rFonts w:cs="Times New Roman"/>
          <w:szCs w:val="20"/>
        </w:rPr>
        <w:t>），认真贯彻《中华人民共和国噪声污染防治法》等有关国家和地方的规定。</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03" w:name="_Toc98414264"/>
      <w:bookmarkStart w:id="404" w:name="_Toc97464688"/>
      <w:bookmarkStart w:id="405" w:name="_Toc98413582"/>
      <w:r>
        <w:rPr>
          <w:rFonts w:cs="Times New Roman" w:hint="default"/>
          <w:sz w:val="28"/>
          <w:szCs w:val="28"/>
        </w:rPr>
        <w:t>8.5.2</w:t>
      </w:r>
      <w:r>
        <w:rPr>
          <w:rFonts w:cs="Times New Roman" w:hint="default"/>
          <w:sz w:val="28"/>
          <w:szCs w:val="28"/>
        </w:rPr>
        <w:t>运营期</w:t>
      </w:r>
      <w:bookmarkEnd w:id="403"/>
      <w:bookmarkEnd w:id="404"/>
      <w:bookmarkEnd w:id="405"/>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8.5.2.1</w:t>
      </w:r>
      <w:r>
        <w:rPr>
          <w:rFonts w:cs="Times New Roman" w:hint="default"/>
          <w:iCs/>
        </w:rPr>
        <w:t>沿线敏感点规划的布局要求</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）按照《公路安全保护条例》规定，本项目建设控制区的范围为项目用地外缘起向外距离不少于</w:t>
      </w:r>
      <w:r>
        <w:rPr>
          <w:rFonts w:cs="Times New Roman"/>
          <w:snapToGrid w:val="0"/>
          <w:lang w:val="zh-CN"/>
        </w:rPr>
        <w:t>30m</w:t>
      </w:r>
      <w:r>
        <w:rPr>
          <w:rFonts w:cs="Times New Roman"/>
          <w:snapToGrid w:val="0"/>
          <w:lang w:val="zh-CN"/>
        </w:rPr>
        <w:t>，在公路建筑控制区内，除公路保护需要外，禁止修建建筑物和地面构筑物。</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）除按以上要求禁止在公路建筑控制区范围内修建建筑物外，沿线乡镇建设如果向本项目靠近，在防护距离内不宜建设敏感建筑物。</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8.5.2.2</w:t>
      </w:r>
      <w:r>
        <w:rPr>
          <w:rFonts w:cs="Times New Roman" w:hint="default"/>
          <w:iCs/>
        </w:rPr>
        <w:t>工程措施</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1</w:t>
      </w:r>
      <w:r>
        <w:rPr>
          <w:rFonts w:cs="Times New Roman"/>
          <w:snapToGrid w:val="0"/>
        </w:rPr>
        <w:t>）声环境保护措施配置原则</w:t>
      </w:r>
    </w:p>
    <w:p w:rsidR="00A46452" w:rsidRDefault="009A3928">
      <w:pPr>
        <w:wordWrap w:val="0"/>
        <w:topLinePunct/>
        <w:ind w:firstLine="480"/>
        <w:rPr>
          <w:rFonts w:cs="Times New Roman"/>
          <w:snapToGrid w:val="0"/>
        </w:rPr>
      </w:pPr>
      <w:r>
        <w:rPr>
          <w:rFonts w:cs="Times New Roman"/>
          <w:snapToGrid w:val="0"/>
        </w:rPr>
        <w:t>本次评价结合实际情况，本着兼顾公平的原则，所采用的原则为：对沿线超标的房屋采取有效的降噪措施，使敏感点的声环境能够达标，同时综合考虑降噪措施的可操作性和降噪设施的经济成本和性价比。降噪目标：声环境质量达标的，项目实施后声环境质量原则上仍须达标；声环境质量不达标的，须强化噪声防治措施，确保项目实施后声环境质量不恶化。</w:t>
      </w:r>
    </w:p>
    <w:p w:rsidR="00A46452" w:rsidRDefault="009A3928">
      <w:pPr>
        <w:wordWrap w:val="0"/>
        <w:topLinePunct/>
        <w:ind w:firstLine="480"/>
        <w:rPr>
          <w:rFonts w:cs="Times New Roman"/>
          <w:snapToGrid w:val="0"/>
        </w:rPr>
      </w:pPr>
      <w:r>
        <w:rPr>
          <w:rFonts w:cs="Times New Roman"/>
          <w:snapToGrid w:val="0"/>
        </w:rPr>
        <w:t>防治公路交通噪声可</w:t>
      </w:r>
      <w:r>
        <w:rPr>
          <w:rFonts w:cs="Times New Roman"/>
          <w:snapToGrid w:val="0"/>
        </w:rPr>
        <w:t>以从以下几个方面着手：</w:t>
      </w:r>
      <w:r>
        <w:rPr>
          <w:rFonts w:cs="Times New Roman"/>
          <w:snapToGrid w:val="0"/>
        </w:rPr>
        <w:t>第一，</w:t>
      </w:r>
      <w:r>
        <w:rPr>
          <w:rFonts w:cs="Times New Roman"/>
          <w:snapToGrid w:val="0"/>
        </w:rPr>
        <w:t>做好规划设计工作，这包括做好路线的规划设计，尽可能将线路远离噪声敏感点较多的集中区，这在项目初设报告中已做了较多考虑。同样，规划居民住宅区、学校、医院等噪声敏感目标时，也应使其远离交通干道；第二，采取工程措施控制和降低交通噪声的危害，例如：公路两侧加设声屏障、种植绿化林带降噪或对建筑物做吸隔声处理等。针对拟建工程的具体建设情况和环境特点，本评价提出以下声环境保护原则：</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1 \* GB3 </w:instrText>
      </w:r>
      <w:r>
        <w:rPr>
          <w:rFonts w:cs="Times New Roman"/>
          <w:snapToGrid w:val="0"/>
        </w:rPr>
        <w:fldChar w:fldCharType="separate"/>
      </w:r>
      <w:r>
        <w:rPr>
          <w:rFonts w:cs="Times New Roman"/>
          <w:snapToGrid w:val="0"/>
        </w:rPr>
        <w:t>①</w:t>
      </w:r>
      <w:r>
        <w:rPr>
          <w:rFonts w:cs="Times New Roman"/>
          <w:snapToGrid w:val="0"/>
        </w:rPr>
        <w:fldChar w:fldCharType="end"/>
      </w:r>
      <w:r>
        <w:rPr>
          <w:rFonts w:cs="Times New Roman"/>
          <w:snapToGrid w:val="0"/>
        </w:rPr>
        <w:t>对于营运中期环境噪声预测超标的敏感点均推荐采取工程降噪措施。营运远期预测超标的敏</w:t>
      </w:r>
      <w:r>
        <w:rPr>
          <w:rFonts w:cs="Times New Roman"/>
          <w:snapToGrid w:val="0"/>
        </w:rPr>
        <w:t>感点采取跟踪监测，视超标情况采取相应的降噪措施。</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2 \* GB3 </w:instrText>
      </w:r>
      <w:r>
        <w:rPr>
          <w:rFonts w:cs="Times New Roman"/>
          <w:snapToGrid w:val="0"/>
        </w:rPr>
        <w:fldChar w:fldCharType="separate"/>
      </w:r>
      <w:r>
        <w:rPr>
          <w:rFonts w:cs="Times New Roman"/>
          <w:snapToGrid w:val="0"/>
        </w:rPr>
        <w:t>②</w:t>
      </w:r>
      <w:r>
        <w:rPr>
          <w:rFonts w:cs="Times New Roman"/>
          <w:snapToGrid w:val="0"/>
        </w:rPr>
        <w:fldChar w:fldCharType="end"/>
      </w:r>
      <w:r>
        <w:rPr>
          <w:rFonts w:cs="Times New Roman"/>
          <w:snapToGrid w:val="0"/>
        </w:rPr>
        <w:t>加强交通管理，严格执行限速和禁止超载等交通规则，在通过人口密度较大的</w:t>
      </w:r>
      <w:r>
        <w:rPr>
          <w:rFonts w:cs="Times New Roman"/>
          <w:snapToGrid w:val="0"/>
        </w:rPr>
        <w:t>敏感点</w:t>
      </w:r>
      <w:r>
        <w:rPr>
          <w:rFonts w:cs="Times New Roman"/>
          <w:snapToGrid w:val="0"/>
        </w:rPr>
        <w:t>附近设置禁鸣标志，以减少交通噪声扰民问题。</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3 \* GB3 </w:instrText>
      </w:r>
      <w:r>
        <w:rPr>
          <w:rFonts w:cs="Times New Roman"/>
          <w:snapToGrid w:val="0"/>
        </w:rPr>
        <w:fldChar w:fldCharType="separate"/>
      </w:r>
      <w:r>
        <w:rPr>
          <w:rFonts w:cs="Times New Roman"/>
          <w:snapToGrid w:val="0"/>
        </w:rPr>
        <w:t>③</w:t>
      </w:r>
      <w:r>
        <w:rPr>
          <w:rFonts w:cs="Times New Roman"/>
          <w:snapToGrid w:val="0"/>
        </w:rPr>
        <w:fldChar w:fldCharType="end"/>
      </w:r>
      <w:r>
        <w:rPr>
          <w:rFonts w:cs="Times New Roman"/>
          <w:snapToGrid w:val="0"/>
        </w:rPr>
        <w:t>加强拟建公路沿线的声环境质量的环境监测工作，对可能受到较严重污染的敏感点实行环境噪声定期监测制度，根据因交通量增大引起的声环境污染程度，及时采取相应的减缓措施。</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4 \* GB3 </w:instrText>
      </w:r>
      <w:r>
        <w:rPr>
          <w:rFonts w:cs="Times New Roman"/>
          <w:snapToGrid w:val="0"/>
        </w:rPr>
        <w:fldChar w:fldCharType="separate"/>
      </w:r>
      <w:r>
        <w:rPr>
          <w:rFonts w:cs="Times New Roman"/>
          <w:snapToGrid w:val="0"/>
        </w:rPr>
        <w:t>④</w:t>
      </w:r>
      <w:r>
        <w:rPr>
          <w:rFonts w:cs="Times New Roman"/>
          <w:snapToGrid w:val="0"/>
        </w:rPr>
        <w:fldChar w:fldCharType="end"/>
      </w:r>
      <w:r>
        <w:rPr>
          <w:rFonts w:cs="Times New Roman"/>
          <w:snapToGrid w:val="0"/>
        </w:rPr>
        <w:t>经常养护路面，保证拟建公路的良好路况。</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5 \* GB3 </w:instrText>
      </w:r>
      <w:r>
        <w:rPr>
          <w:rFonts w:cs="Times New Roman"/>
          <w:snapToGrid w:val="0"/>
        </w:rPr>
        <w:fldChar w:fldCharType="separate"/>
      </w:r>
      <w:r>
        <w:rPr>
          <w:rFonts w:cs="Times New Roman"/>
          <w:snapToGrid w:val="0"/>
        </w:rPr>
        <w:t>⑤</w:t>
      </w:r>
      <w:r>
        <w:rPr>
          <w:rFonts w:cs="Times New Roman"/>
          <w:snapToGrid w:val="0"/>
        </w:rPr>
        <w:fldChar w:fldCharType="end"/>
      </w:r>
      <w:r>
        <w:rPr>
          <w:rFonts w:cs="Times New Roman"/>
          <w:snapToGrid w:val="0"/>
        </w:rPr>
        <w:t>结合当地生态建</w:t>
      </w:r>
      <w:r>
        <w:rPr>
          <w:rFonts w:cs="Times New Roman"/>
          <w:snapToGrid w:val="0"/>
        </w:rPr>
        <w:t>设规划，加强拟建工程征地范围内可绿化地段的绿化工作。对路堤边坡、排水沟边及立交路段等进行统一的绿化工程设计，公路</w:t>
      </w:r>
      <w:r>
        <w:rPr>
          <w:rFonts w:cs="Times New Roman"/>
          <w:snapToGrid w:val="0"/>
        </w:rPr>
        <w:t>敏感点</w:t>
      </w:r>
      <w:r>
        <w:rPr>
          <w:rFonts w:cs="Times New Roman"/>
          <w:snapToGrid w:val="0"/>
        </w:rPr>
        <w:t>路段两侧在可能情况下营造多层次结构的绿化林带，使之形成立体屏障，加强对交通噪声的阻隔、吸收作用。</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2</w:t>
      </w:r>
      <w:r>
        <w:rPr>
          <w:rFonts w:cs="Times New Roman"/>
          <w:snapToGrid w:val="0"/>
        </w:rPr>
        <w:t>）噪声环保措施及其经济、技术论证</w:t>
      </w:r>
    </w:p>
    <w:p w:rsidR="00A46452" w:rsidRDefault="009A3928">
      <w:pPr>
        <w:wordWrap w:val="0"/>
        <w:topLinePunct/>
        <w:ind w:firstLine="480"/>
        <w:rPr>
          <w:rFonts w:cs="Times New Roman"/>
          <w:snapToGrid w:val="0"/>
        </w:rPr>
      </w:pPr>
      <w:r>
        <w:rPr>
          <w:rFonts w:cs="Times New Roman"/>
          <w:snapToGrid w:val="0"/>
        </w:rPr>
        <w:t>公路工程中可供选择的声环境保护措施有：公路线位调整、声屏障、居民住宅环保搬迁、隔声窗、绿化降噪、改变建筑物的使用功能等。</w:t>
      </w:r>
    </w:p>
    <w:p w:rsidR="00A46452" w:rsidRDefault="009A3928">
      <w:pPr>
        <w:wordWrap w:val="0"/>
        <w:topLinePunct/>
        <w:ind w:firstLine="480"/>
        <w:rPr>
          <w:rFonts w:cs="Times New Roman"/>
          <w:snapToGrid w:val="0"/>
        </w:rPr>
      </w:pPr>
      <w:r>
        <w:rPr>
          <w:rFonts w:cs="Times New Roman"/>
          <w:snapToGrid w:val="0"/>
        </w:rPr>
        <w:t>本次评价结合沿线超标敏感点房屋高度、朝向和与公路距离等，同时考虑降噪措施的可操作性和降噪设备的经济成本和性价比。目前常用的降噪措施主要有</w:t>
      </w:r>
      <w:r>
        <w:rPr>
          <w:rFonts w:cs="Times New Roman"/>
          <w:snapToGrid w:val="0"/>
        </w:rPr>
        <w:t>线路避让、声屏障、居民搬迁、隔声窗、绿化降噪等。现将几种降噪措施进行比较，从而确定本项目各超标敏感点应采取的措施，具体见表</w:t>
      </w:r>
      <w:r>
        <w:rPr>
          <w:rFonts w:cs="Times New Roman" w:hint="eastAsia"/>
          <w:snapToGrid w:val="0"/>
        </w:rPr>
        <w:t>8</w:t>
      </w:r>
      <w:r>
        <w:rPr>
          <w:rFonts w:cs="Times New Roman"/>
          <w:snapToGrid w:val="0"/>
        </w:rPr>
        <w:t>.5</w:t>
      </w:r>
      <w:r>
        <w:rPr>
          <w:rFonts w:cs="Times New Roman"/>
          <w:snapToGrid w:val="0"/>
        </w:rPr>
        <w:t>-1</w:t>
      </w:r>
      <w:r>
        <w:rPr>
          <w:rFonts w:cs="Times New Roman"/>
          <w:snapToGrid w:val="0"/>
        </w:rPr>
        <w:t>。</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hint="eastAsia"/>
        </w:rPr>
        <w:t>8</w:t>
      </w:r>
      <w:r>
        <w:rPr>
          <w:rFonts w:eastAsia="黑体" w:cs="Times New Roman"/>
        </w:rPr>
        <w:t xml:space="preserve">.5-1         </w:t>
      </w:r>
      <w:r>
        <w:rPr>
          <w:rFonts w:eastAsia="黑体" w:cs="Times New Roman"/>
        </w:rPr>
        <w:t xml:space="preserve">         </w:t>
      </w:r>
      <w:r>
        <w:rPr>
          <w:rFonts w:eastAsia="黑体" w:cs="Times New Roman"/>
        </w:rPr>
        <w:t>常见噪声防治措施比较表</w:t>
      </w:r>
    </w:p>
    <w:tbl>
      <w:tblPr>
        <w:tblStyle w:val="aff8"/>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1"/>
        <w:gridCol w:w="2694"/>
        <w:gridCol w:w="1984"/>
        <w:gridCol w:w="2347"/>
      </w:tblGrid>
      <w:tr w:rsidR="00A46452">
        <w:trPr>
          <w:jc w:val="center"/>
        </w:trPr>
        <w:tc>
          <w:tcPr>
            <w:tcW w:w="1261" w:type="dxa"/>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措施名称</w:t>
            </w:r>
          </w:p>
        </w:tc>
        <w:tc>
          <w:tcPr>
            <w:tcW w:w="2694" w:type="dxa"/>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降噪效果</w:t>
            </w:r>
          </w:p>
        </w:tc>
        <w:tc>
          <w:tcPr>
            <w:tcW w:w="1984" w:type="dxa"/>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投资</w:t>
            </w:r>
          </w:p>
        </w:tc>
        <w:tc>
          <w:tcPr>
            <w:tcW w:w="2347" w:type="dxa"/>
          </w:tcPr>
          <w:p w:rsidR="00A46452" w:rsidRDefault="009A3928">
            <w:pPr>
              <w:wordWrap w:val="0"/>
              <w:topLinePunct/>
              <w:adjustRightInd w:val="0"/>
              <w:spacing w:line="240" w:lineRule="auto"/>
              <w:ind w:firstLineChars="0" w:firstLine="0"/>
              <w:jc w:val="center"/>
              <w:rPr>
                <w:rFonts w:cs="Times New Roman"/>
                <w:kern w:val="0"/>
                <w:sz w:val="18"/>
                <w:szCs w:val="18"/>
              </w:rPr>
            </w:pPr>
            <w:r>
              <w:rPr>
                <w:rFonts w:cs="Times New Roman"/>
                <w:kern w:val="0"/>
                <w:sz w:val="18"/>
                <w:szCs w:val="18"/>
              </w:rPr>
              <w:t>备注</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降噪绿化带</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密植常绿乔灌，高度在</w:t>
            </w:r>
            <w:r>
              <w:rPr>
                <w:rFonts w:cs="Times New Roman"/>
                <w:kern w:val="0"/>
                <w:sz w:val="18"/>
                <w:szCs w:val="18"/>
              </w:rPr>
              <w:t>4.5m</w:t>
            </w:r>
            <w:r>
              <w:rPr>
                <w:rFonts w:cs="Times New Roman"/>
                <w:kern w:val="0"/>
                <w:sz w:val="18"/>
                <w:szCs w:val="18"/>
              </w:rPr>
              <w:t>以上时，每</w:t>
            </w:r>
            <w:r>
              <w:rPr>
                <w:rFonts w:cs="Times New Roman"/>
                <w:kern w:val="0"/>
                <w:sz w:val="18"/>
                <w:szCs w:val="18"/>
              </w:rPr>
              <w:t>10m</w:t>
            </w:r>
            <w:r>
              <w:rPr>
                <w:rFonts w:cs="Times New Roman"/>
                <w:kern w:val="0"/>
                <w:sz w:val="18"/>
                <w:szCs w:val="18"/>
              </w:rPr>
              <w:t>宽度可降噪</w:t>
            </w:r>
            <w:r>
              <w:rPr>
                <w:rFonts w:cs="Times New Roman"/>
                <w:kern w:val="0"/>
                <w:sz w:val="18"/>
                <w:szCs w:val="18"/>
              </w:rPr>
              <w:t>1dB-1.5dB</w:t>
            </w:r>
            <w:r>
              <w:rPr>
                <w:rFonts w:cs="Times New Roman"/>
                <w:kern w:val="0"/>
                <w:sz w:val="18"/>
                <w:szCs w:val="18"/>
              </w:rPr>
              <w:t>，最多只能降</w:t>
            </w:r>
            <w:r>
              <w:rPr>
                <w:rFonts w:cs="Times New Roman"/>
                <w:kern w:val="0"/>
                <w:sz w:val="18"/>
                <w:szCs w:val="18"/>
              </w:rPr>
              <w:t>10dB</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道路所在区域不同，投资也不同，一般在</w:t>
            </w:r>
            <w:r>
              <w:rPr>
                <w:rFonts w:cs="Times New Roman"/>
                <w:kern w:val="0"/>
                <w:sz w:val="18"/>
                <w:szCs w:val="18"/>
              </w:rPr>
              <w:t>80</w:t>
            </w:r>
            <w:r>
              <w:rPr>
                <w:rFonts w:cs="Times New Roman"/>
                <w:kern w:val="0"/>
                <w:sz w:val="18"/>
                <w:szCs w:val="18"/>
              </w:rPr>
              <w:t>元</w:t>
            </w:r>
            <w:r>
              <w:rPr>
                <w:rFonts w:cs="Times New Roman"/>
                <w:kern w:val="0"/>
                <w:sz w:val="18"/>
                <w:szCs w:val="18"/>
              </w:rPr>
              <w:t>/m-200</w:t>
            </w:r>
            <w:r>
              <w:rPr>
                <w:rFonts w:cs="Times New Roman"/>
                <w:kern w:val="0"/>
                <w:sz w:val="18"/>
                <w:szCs w:val="18"/>
              </w:rPr>
              <w:t>元</w:t>
            </w:r>
            <w:r>
              <w:rPr>
                <w:rFonts w:cs="Times New Roman"/>
                <w:kern w:val="0"/>
                <w:sz w:val="18"/>
                <w:szCs w:val="18"/>
              </w:rPr>
              <w:t>/m</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除了隔声还有防尘、改善环境等效果，但占地较多</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声屏障</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对于距路中心线两侧</w:t>
            </w:r>
            <w:r>
              <w:rPr>
                <w:rFonts w:cs="Times New Roman"/>
                <w:kern w:val="0"/>
                <w:sz w:val="18"/>
                <w:szCs w:val="18"/>
              </w:rPr>
              <w:t>80m</w:t>
            </w:r>
            <w:r>
              <w:rPr>
                <w:rFonts w:cs="Times New Roman"/>
                <w:kern w:val="0"/>
                <w:sz w:val="18"/>
                <w:szCs w:val="18"/>
              </w:rPr>
              <w:t>以内的低层（</w:t>
            </w:r>
            <w:r>
              <w:rPr>
                <w:rFonts w:cs="Times New Roman"/>
                <w:kern w:val="0"/>
                <w:sz w:val="18"/>
                <w:szCs w:val="18"/>
              </w:rPr>
              <w:t>&lt;</w:t>
            </w:r>
            <w:r>
              <w:rPr>
                <w:rFonts w:cs="Times New Roman"/>
                <w:kern w:val="0"/>
                <w:sz w:val="18"/>
                <w:szCs w:val="18"/>
              </w:rPr>
              <w:t>5</w:t>
            </w:r>
            <w:r>
              <w:rPr>
                <w:rFonts w:cs="Times New Roman"/>
                <w:kern w:val="0"/>
                <w:sz w:val="18"/>
                <w:szCs w:val="18"/>
              </w:rPr>
              <w:t>层）声环境敏感点效果明显，一般可降噪</w:t>
            </w:r>
            <w:r>
              <w:rPr>
                <w:rFonts w:cs="Times New Roman"/>
                <w:kern w:val="0"/>
                <w:sz w:val="18"/>
                <w:szCs w:val="18"/>
              </w:rPr>
              <w:t>5dB-15dB</w:t>
            </w:r>
            <w:r>
              <w:rPr>
                <w:rFonts w:cs="Times New Roman"/>
                <w:kern w:val="0"/>
                <w:sz w:val="18"/>
                <w:szCs w:val="18"/>
              </w:rPr>
              <w:t>。</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1000</w:t>
            </w:r>
            <w:r>
              <w:rPr>
                <w:rFonts w:cs="Times New Roman"/>
                <w:kern w:val="0"/>
                <w:sz w:val="18"/>
                <w:szCs w:val="18"/>
              </w:rPr>
              <w:t>元</w:t>
            </w:r>
            <w:r>
              <w:rPr>
                <w:rFonts w:cs="Times New Roman"/>
                <w:kern w:val="0"/>
                <w:sz w:val="18"/>
                <w:szCs w:val="18"/>
              </w:rPr>
              <w:t>/m-3000</w:t>
            </w:r>
            <w:r>
              <w:rPr>
                <w:rFonts w:cs="Times New Roman"/>
                <w:kern w:val="0"/>
                <w:sz w:val="18"/>
                <w:szCs w:val="18"/>
              </w:rPr>
              <w:t>元</w:t>
            </w:r>
            <w:r>
              <w:rPr>
                <w:rFonts w:cs="Times New Roman"/>
                <w:kern w:val="0"/>
                <w:sz w:val="18"/>
                <w:szCs w:val="18"/>
              </w:rPr>
              <w:t>/m</w:t>
            </w:r>
            <w:r>
              <w:rPr>
                <w:rFonts w:cs="Times New Roman"/>
                <w:kern w:val="0"/>
                <w:sz w:val="18"/>
                <w:szCs w:val="18"/>
              </w:rPr>
              <w:t>，具体根据利用的声学材料不同而不同</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分为直壁型、薄屏式、折壁式，表面倾斜型、土堤式、封闭型等；节约土地</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隔声窗</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降噪效果明显；在窗户全部关闭不通风的情况下，平均隔声量为</w:t>
            </w:r>
            <w:r>
              <w:rPr>
                <w:rFonts w:cs="Times New Roman"/>
                <w:kern w:val="0"/>
                <w:sz w:val="18"/>
                <w:szCs w:val="18"/>
              </w:rPr>
              <w:t>43dB</w:t>
            </w:r>
            <w:r>
              <w:rPr>
                <w:rFonts w:cs="Times New Roman"/>
                <w:kern w:val="0"/>
                <w:sz w:val="18"/>
                <w:szCs w:val="18"/>
              </w:rPr>
              <w:t>；在通风状态下，平均隔声量为</w:t>
            </w:r>
            <w:r>
              <w:rPr>
                <w:rFonts w:cs="Times New Roman"/>
                <w:kern w:val="0"/>
                <w:sz w:val="18"/>
                <w:szCs w:val="18"/>
              </w:rPr>
              <w:t>25dB</w:t>
            </w:r>
            <w:r>
              <w:rPr>
                <w:rFonts w:cs="Times New Roman"/>
                <w:kern w:val="0"/>
                <w:sz w:val="18"/>
                <w:szCs w:val="18"/>
              </w:rPr>
              <w:t>。</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800</w:t>
            </w:r>
            <w:r>
              <w:rPr>
                <w:rFonts w:cs="Times New Roman"/>
                <w:kern w:val="0"/>
                <w:sz w:val="18"/>
                <w:szCs w:val="18"/>
              </w:rPr>
              <w:t>元</w:t>
            </w:r>
            <w:r>
              <w:rPr>
                <w:rFonts w:cs="Times New Roman"/>
                <w:kern w:val="0"/>
                <w:sz w:val="18"/>
                <w:szCs w:val="18"/>
              </w:rPr>
              <w:t>/m</w:t>
            </w:r>
            <w:r>
              <w:rPr>
                <w:rFonts w:cs="Times New Roman"/>
                <w:kern w:val="0"/>
                <w:sz w:val="18"/>
                <w:szCs w:val="18"/>
                <w:vertAlign w:val="superscript"/>
              </w:rPr>
              <w:t>2</w:t>
            </w:r>
            <w:r>
              <w:rPr>
                <w:rFonts w:cs="Times New Roman"/>
                <w:kern w:val="0"/>
                <w:sz w:val="18"/>
                <w:szCs w:val="18"/>
              </w:rPr>
              <w:t>-2000</w:t>
            </w:r>
            <w:r>
              <w:rPr>
                <w:rFonts w:cs="Times New Roman"/>
                <w:kern w:val="0"/>
                <w:sz w:val="18"/>
                <w:szCs w:val="18"/>
              </w:rPr>
              <w:t>元</w:t>
            </w:r>
            <w:r>
              <w:rPr>
                <w:rFonts w:cs="Times New Roman"/>
                <w:kern w:val="0"/>
                <w:sz w:val="18"/>
                <w:szCs w:val="18"/>
              </w:rPr>
              <w:t>/m</w:t>
            </w:r>
            <w:r>
              <w:rPr>
                <w:rFonts w:cs="Times New Roman"/>
                <w:kern w:val="0"/>
                <w:sz w:val="18"/>
                <w:szCs w:val="18"/>
                <w:vertAlign w:val="superscript"/>
              </w:rPr>
              <w:t>2</w:t>
            </w:r>
            <w:r>
              <w:rPr>
                <w:rFonts w:cs="Times New Roman"/>
                <w:kern w:val="0"/>
                <w:sz w:val="18"/>
                <w:szCs w:val="18"/>
              </w:rPr>
              <w:t>，具体根据材料和形式的不同而不同</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可定做，路两侧砖混构的房子均可采用，实施较难</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围墙</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加高</w:t>
            </w:r>
            <w:r>
              <w:rPr>
                <w:rFonts w:cs="Times New Roman"/>
                <w:kern w:val="0"/>
                <w:sz w:val="18"/>
                <w:szCs w:val="18"/>
              </w:rPr>
              <w:t>/</w:t>
            </w:r>
            <w:r>
              <w:rPr>
                <w:rFonts w:cs="Times New Roman"/>
                <w:kern w:val="0"/>
                <w:sz w:val="18"/>
                <w:szCs w:val="18"/>
              </w:rPr>
              <w:t>修建围墙，一般可</w:t>
            </w:r>
            <w:r>
              <w:rPr>
                <w:rFonts w:cs="Times New Roman"/>
                <w:kern w:val="0"/>
                <w:sz w:val="18"/>
                <w:szCs w:val="18"/>
              </w:rPr>
              <w:t>降噪</w:t>
            </w:r>
            <w:r>
              <w:rPr>
                <w:rFonts w:cs="Times New Roman"/>
                <w:kern w:val="0"/>
                <w:sz w:val="18"/>
                <w:szCs w:val="18"/>
              </w:rPr>
              <w:t>3dB-5dB</w:t>
            </w:r>
            <w:r>
              <w:rPr>
                <w:rFonts w:cs="Times New Roman"/>
                <w:kern w:val="0"/>
                <w:sz w:val="18"/>
                <w:szCs w:val="18"/>
              </w:rPr>
              <w:t>。</w:t>
            </w:r>
          </w:p>
        </w:tc>
        <w:tc>
          <w:tcPr>
            <w:tcW w:w="1984" w:type="dxa"/>
          </w:tcPr>
          <w:p w:rsidR="00A46452" w:rsidRDefault="00A46452">
            <w:pPr>
              <w:wordWrap w:val="0"/>
              <w:topLinePunct/>
              <w:adjustRightInd w:val="0"/>
              <w:spacing w:line="240" w:lineRule="auto"/>
              <w:ind w:firstLineChars="0" w:firstLine="0"/>
              <w:rPr>
                <w:rFonts w:cs="Times New Roman"/>
                <w:kern w:val="0"/>
                <w:sz w:val="18"/>
                <w:szCs w:val="18"/>
              </w:rPr>
            </w:pP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要考虑住宅与道路之间有无建围墙的位置</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低噪声路面</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通车初期可降噪</w:t>
            </w:r>
            <w:r>
              <w:rPr>
                <w:rFonts w:cs="Times New Roman"/>
                <w:kern w:val="0"/>
                <w:sz w:val="18"/>
                <w:szCs w:val="18"/>
              </w:rPr>
              <w:t>3dB-6dB</w:t>
            </w:r>
            <w:r>
              <w:rPr>
                <w:rFonts w:cs="Times New Roman"/>
                <w:kern w:val="0"/>
                <w:sz w:val="18"/>
                <w:szCs w:val="18"/>
              </w:rPr>
              <w:t>，随时间推移降噪效果会降低。</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与非减噪路面造价基本相同</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可保持沿线原有风貌，但耐久性差</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环保搬迁</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一次性解决噪声污染</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30.0</w:t>
            </w:r>
            <w:r>
              <w:rPr>
                <w:rFonts w:cs="Times New Roman"/>
                <w:kern w:val="0"/>
                <w:sz w:val="18"/>
                <w:szCs w:val="18"/>
              </w:rPr>
              <w:t>万</w:t>
            </w:r>
            <w:r>
              <w:rPr>
                <w:rFonts w:cs="Times New Roman"/>
                <w:kern w:val="0"/>
                <w:sz w:val="18"/>
                <w:szCs w:val="18"/>
              </w:rPr>
              <w:t>-50.0</w:t>
            </w:r>
            <w:r>
              <w:rPr>
                <w:rFonts w:cs="Times New Roman"/>
                <w:kern w:val="0"/>
                <w:sz w:val="18"/>
                <w:szCs w:val="18"/>
              </w:rPr>
              <w:t>万</w:t>
            </w:r>
            <w:r>
              <w:rPr>
                <w:rFonts w:cs="Times New Roman"/>
                <w:kern w:val="0"/>
                <w:sz w:val="18"/>
                <w:szCs w:val="18"/>
              </w:rPr>
              <w:t>元</w:t>
            </w:r>
            <w:r>
              <w:rPr>
                <w:rFonts w:cs="Times New Roman"/>
                <w:kern w:val="0"/>
                <w:sz w:val="18"/>
                <w:szCs w:val="18"/>
              </w:rPr>
              <w:t>/</w:t>
            </w:r>
            <w:r>
              <w:rPr>
                <w:rFonts w:cs="Times New Roman"/>
                <w:kern w:val="0"/>
                <w:sz w:val="18"/>
                <w:szCs w:val="18"/>
              </w:rPr>
              <w:t>户</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投资较大</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改变临路受噪声影响房屋的使用功能</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能从根本上解决噪声扰民问题。</w:t>
            </w:r>
          </w:p>
        </w:tc>
        <w:tc>
          <w:tcPr>
            <w:tcW w:w="198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根据改变的功能不同，投资也不同</w:t>
            </w: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与居民的环境保护意识、居民经济等有关，难以操作</w:t>
            </w:r>
          </w:p>
        </w:tc>
      </w:tr>
      <w:tr w:rsidR="00A46452">
        <w:trPr>
          <w:trHeight w:val="553"/>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降低车辆噪声</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降噪效果显著，降到一定噪声值后成本会明显上升</w:t>
            </w:r>
          </w:p>
        </w:tc>
        <w:tc>
          <w:tcPr>
            <w:tcW w:w="1984" w:type="dxa"/>
          </w:tcPr>
          <w:p w:rsidR="00A46452" w:rsidRDefault="00A46452">
            <w:pPr>
              <w:wordWrap w:val="0"/>
              <w:topLinePunct/>
              <w:adjustRightInd w:val="0"/>
              <w:spacing w:line="240" w:lineRule="auto"/>
              <w:ind w:firstLineChars="0" w:firstLine="0"/>
              <w:rPr>
                <w:rFonts w:cs="Times New Roman"/>
                <w:kern w:val="0"/>
                <w:sz w:val="18"/>
                <w:szCs w:val="18"/>
              </w:rPr>
            </w:pP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难以控制，可操作性较差</w:t>
            </w:r>
          </w:p>
        </w:tc>
      </w:tr>
      <w:tr w:rsidR="00A46452">
        <w:trPr>
          <w:jc w:val="center"/>
        </w:trPr>
        <w:tc>
          <w:tcPr>
            <w:tcW w:w="1261"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交通指挥、噪声标准和法规</w:t>
            </w:r>
          </w:p>
        </w:tc>
        <w:tc>
          <w:tcPr>
            <w:tcW w:w="2694"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从行政管理的角度，可更有效</w:t>
            </w:r>
          </w:p>
        </w:tc>
        <w:tc>
          <w:tcPr>
            <w:tcW w:w="1984" w:type="dxa"/>
          </w:tcPr>
          <w:p w:rsidR="00A46452" w:rsidRDefault="00A46452">
            <w:pPr>
              <w:wordWrap w:val="0"/>
              <w:topLinePunct/>
              <w:adjustRightInd w:val="0"/>
              <w:spacing w:line="240" w:lineRule="auto"/>
              <w:ind w:firstLineChars="0" w:firstLine="0"/>
              <w:rPr>
                <w:rFonts w:cs="Times New Roman"/>
                <w:kern w:val="0"/>
                <w:sz w:val="18"/>
                <w:szCs w:val="18"/>
              </w:rPr>
            </w:pPr>
          </w:p>
        </w:tc>
        <w:tc>
          <w:tcPr>
            <w:tcW w:w="2347" w:type="dxa"/>
          </w:tcPr>
          <w:p w:rsidR="00A46452" w:rsidRDefault="009A3928">
            <w:pPr>
              <w:wordWrap w:val="0"/>
              <w:topLinePunct/>
              <w:adjustRightInd w:val="0"/>
              <w:spacing w:line="240" w:lineRule="auto"/>
              <w:ind w:firstLineChars="0" w:firstLine="0"/>
              <w:rPr>
                <w:rFonts w:cs="Times New Roman"/>
                <w:kern w:val="0"/>
                <w:sz w:val="18"/>
                <w:szCs w:val="18"/>
              </w:rPr>
            </w:pPr>
            <w:r>
              <w:rPr>
                <w:rFonts w:cs="Times New Roman"/>
                <w:kern w:val="0"/>
                <w:sz w:val="18"/>
                <w:szCs w:val="18"/>
              </w:rPr>
              <w:t>与居民和行车人的环境保护意识和执行力度有关，多在城镇区域采用</w:t>
            </w:r>
          </w:p>
        </w:tc>
      </w:tr>
    </w:tbl>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1 \* GB3 </w:instrText>
      </w:r>
      <w:r>
        <w:rPr>
          <w:rFonts w:cs="Times New Roman"/>
          <w:snapToGrid w:val="0"/>
        </w:rPr>
        <w:fldChar w:fldCharType="separate"/>
      </w:r>
      <w:r>
        <w:rPr>
          <w:rFonts w:cs="Times New Roman"/>
          <w:snapToGrid w:val="0"/>
        </w:rPr>
        <w:t>①</w:t>
      </w:r>
      <w:r>
        <w:rPr>
          <w:rFonts w:cs="Times New Roman"/>
          <w:snapToGrid w:val="0"/>
        </w:rPr>
        <w:fldChar w:fldCharType="end"/>
      </w:r>
      <w:r>
        <w:rPr>
          <w:rFonts w:cs="Times New Roman"/>
          <w:snapToGrid w:val="0"/>
        </w:rPr>
        <w:t>声屏障措施降噪原理，效果及其可行性分析</w:t>
      </w:r>
    </w:p>
    <w:p w:rsidR="00A46452" w:rsidRDefault="009A3928">
      <w:pPr>
        <w:wordWrap w:val="0"/>
        <w:topLinePunct/>
        <w:ind w:firstLine="480"/>
        <w:rPr>
          <w:rFonts w:cs="Times New Roman"/>
          <w:snapToGrid w:val="0"/>
        </w:rPr>
      </w:pPr>
      <w:r>
        <w:rPr>
          <w:rFonts w:cs="Times New Roman"/>
          <w:snapToGrid w:val="0"/>
        </w:rPr>
        <w:t>当噪声源发出的声波遇到声屏障时，它将沿着</w:t>
      </w:r>
      <w:r>
        <w:rPr>
          <w:rFonts w:cs="Times New Roman"/>
          <w:snapToGrid w:val="0"/>
        </w:rPr>
        <w:t>3</w:t>
      </w:r>
      <w:r>
        <w:rPr>
          <w:rFonts w:cs="Times New Roman"/>
          <w:snapToGrid w:val="0"/>
        </w:rPr>
        <w:t>条路径传播：一部分越过声屏障顶端绕射到达受声点；一部分穿透声屏障到达受声点；一部分在声屏障壁面上产生反射。声屏障的插入损失主要取决于声源发出的声波沿这</w:t>
      </w:r>
      <w:r>
        <w:rPr>
          <w:rFonts w:cs="Times New Roman"/>
          <w:snapToGrid w:val="0"/>
        </w:rPr>
        <w:t>3</w:t>
      </w:r>
      <w:r>
        <w:rPr>
          <w:rFonts w:cs="Times New Roman"/>
          <w:snapToGrid w:val="0"/>
        </w:rPr>
        <w:t>条路径传播的声能分配。声屏障的作用就是阻止直达声的传播，隔离透射声，并使衍射声有足够的衰减。噪声在传播途中，若遇到障碍物远大于声波波长时，则大部分声能被衰减。噪声在传播途中，若遇到障</w:t>
      </w:r>
      <w:r>
        <w:rPr>
          <w:rFonts w:cs="Times New Roman"/>
          <w:snapToGrid w:val="0"/>
        </w:rPr>
        <w:t>碍物尺寸远大于声波波长时，则大部分声能被反射，一部分被衍射，于是在障碍物背后一定距离内形成</w:t>
      </w:r>
      <w:r>
        <w:rPr>
          <w:rFonts w:cs="Times New Roman"/>
          <w:snapToGrid w:val="0"/>
        </w:rPr>
        <w:t>“</w:t>
      </w:r>
      <w:r>
        <w:rPr>
          <w:rFonts w:cs="Times New Roman"/>
          <w:snapToGrid w:val="0"/>
        </w:rPr>
        <w:t>声影区</w:t>
      </w:r>
      <w:r>
        <w:rPr>
          <w:rFonts w:cs="Times New Roman"/>
          <w:snapToGrid w:val="0"/>
        </w:rPr>
        <w:t>”</w:t>
      </w:r>
      <w:r>
        <w:rPr>
          <w:rFonts w:cs="Times New Roman"/>
          <w:snapToGrid w:val="0"/>
        </w:rPr>
        <w:t>，如果被保护点处于声影区，等效声级可降低</w:t>
      </w:r>
      <w:r>
        <w:rPr>
          <w:rFonts w:cs="Times New Roman"/>
          <w:snapToGrid w:val="0"/>
        </w:rPr>
        <w:t>5dB~15dB</w:t>
      </w:r>
      <w:r>
        <w:rPr>
          <w:rFonts w:cs="Times New Roman"/>
          <w:snapToGrid w:val="0"/>
        </w:rPr>
        <w:t>。</w:t>
      </w:r>
    </w:p>
    <w:p w:rsidR="00A46452" w:rsidRDefault="009A3928">
      <w:pPr>
        <w:wordWrap w:val="0"/>
        <w:topLinePunct/>
        <w:ind w:firstLine="480"/>
        <w:rPr>
          <w:rFonts w:cs="Times New Roman"/>
          <w:snapToGrid w:val="0"/>
        </w:rPr>
      </w:pPr>
      <w:r>
        <w:rPr>
          <w:rFonts w:cs="Times New Roman"/>
          <w:snapToGrid w:val="0"/>
        </w:rPr>
        <w:t>声屏障的建造降低了噪声，但也会产生一些副作用，如对驾驶员产生心理上的压抑感，且在一定程度上破坏了公路景观。因此，应尽量减少设置声屏障，并且当声屏障长度大于</w:t>
      </w:r>
      <w:r>
        <w:rPr>
          <w:rFonts w:cs="Times New Roman"/>
          <w:snapToGrid w:val="0"/>
        </w:rPr>
        <w:t>1</w:t>
      </w:r>
      <w:r>
        <w:rPr>
          <w:rFonts w:cs="Times New Roman"/>
          <w:snapToGrid w:val="0"/>
        </w:rPr>
        <w:t>km</w:t>
      </w:r>
      <w:r>
        <w:rPr>
          <w:rFonts w:cs="Times New Roman"/>
          <w:snapToGrid w:val="0"/>
        </w:rPr>
        <w:t>时，应设紧急疏散口。</w:t>
      </w:r>
    </w:p>
    <w:p w:rsidR="00A46452" w:rsidRDefault="009A3928">
      <w:pPr>
        <w:wordWrap w:val="0"/>
        <w:topLinePunct/>
        <w:ind w:firstLine="480"/>
        <w:rPr>
          <w:rFonts w:cs="Times New Roman"/>
          <w:snapToGrid w:val="0"/>
        </w:rPr>
      </w:pPr>
      <w:r>
        <w:rPr>
          <w:rFonts w:cs="Times New Roman"/>
          <w:snapToGrid w:val="0"/>
        </w:rPr>
        <w:t>公路声屏障分为直壁型、折壁型、表面倾斜型和封闭型。而我国目前建成的声屏障以直壁型和折壁型中的倒</w:t>
      </w:r>
      <w:r>
        <w:rPr>
          <w:rFonts w:cs="Times New Roman"/>
          <w:snapToGrid w:val="0"/>
        </w:rPr>
        <w:t>L</w:t>
      </w:r>
      <w:r>
        <w:rPr>
          <w:rFonts w:cs="Times New Roman"/>
          <w:snapToGrid w:val="0"/>
        </w:rPr>
        <w:t>型为主。在此，简单介绍下这两种声屏障的特点。</w:t>
      </w:r>
    </w:p>
    <w:p w:rsidR="00A46452" w:rsidRDefault="009A3928">
      <w:pPr>
        <w:wordWrap w:val="0"/>
        <w:topLinePunct/>
        <w:ind w:firstLine="480"/>
        <w:rPr>
          <w:rFonts w:cs="Times New Roman"/>
          <w:snapToGrid w:val="0"/>
        </w:rPr>
      </w:pPr>
      <w:r>
        <w:rPr>
          <w:rFonts w:cs="Times New Roman"/>
          <w:snapToGrid w:val="0"/>
        </w:rPr>
        <w:t>直壁型：多用于填方路段、挖方</w:t>
      </w:r>
      <w:r>
        <w:rPr>
          <w:rFonts w:cs="Times New Roman"/>
          <w:snapToGrid w:val="0"/>
        </w:rPr>
        <w:t>路段、平路段等，整个声屏障墙体为上下竖直。多用混凝土或金属柱来保持稳定性。由于直壁型声屏障用材简易，施工方便，造价较低，与环境有较好的融合性，在国内外有广泛的应用。有厚壁式（以混凝土砌块或砖石类为主）、薄屏式（以金属板、木板、轻型复合板为主）等形式，直立型是在众多种类的声屏障中形式最简单的一种，但降噪效果较弱。</w:t>
      </w:r>
    </w:p>
    <w:p w:rsidR="00A46452" w:rsidRDefault="009A3928">
      <w:pPr>
        <w:wordWrap w:val="0"/>
        <w:topLinePunct/>
        <w:ind w:firstLine="480"/>
        <w:rPr>
          <w:rFonts w:cs="Times New Roman"/>
          <w:snapToGrid w:val="0"/>
        </w:rPr>
      </w:pPr>
      <w:r>
        <w:rPr>
          <w:rFonts w:cs="Times New Roman"/>
          <w:snapToGrid w:val="0"/>
        </w:rPr>
        <w:t>折壁型：一般用于降噪要求较高但声屏障的高度又有一定限制的场合。</w:t>
      </w:r>
      <w:r>
        <w:rPr>
          <w:rFonts w:cs="Times New Roman"/>
          <w:snapToGrid w:val="0"/>
        </w:rPr>
        <w:t>隔声屏障</w:t>
      </w:r>
      <w:r>
        <w:rPr>
          <w:rFonts w:cs="Times New Roman"/>
          <w:snapToGrid w:val="0"/>
        </w:rPr>
        <w:t>上部折向道路方向，折角小于</w:t>
      </w:r>
      <w:r>
        <w:rPr>
          <w:rFonts w:cs="Times New Roman"/>
          <w:snapToGrid w:val="0"/>
        </w:rPr>
        <w:t>45°</w:t>
      </w:r>
      <w:r>
        <w:rPr>
          <w:rFonts w:cs="Times New Roman"/>
          <w:snapToGrid w:val="0"/>
        </w:rPr>
        <w:t>，面向道路的一侧通常做成吸声表面。声屏障的支撑件多采用</w:t>
      </w:r>
      <w:r>
        <w:rPr>
          <w:rFonts w:cs="Times New Roman"/>
          <w:snapToGrid w:val="0"/>
        </w:rPr>
        <w:t>H</w:t>
      </w:r>
      <w:r>
        <w:rPr>
          <w:rFonts w:cs="Times New Roman"/>
          <w:snapToGrid w:val="0"/>
        </w:rPr>
        <w:t>型钢。这种声屏障可增加声程差，提高降噪效</w:t>
      </w:r>
      <w:r>
        <w:rPr>
          <w:rFonts w:cs="Times New Roman"/>
          <w:snapToGrid w:val="0"/>
        </w:rPr>
        <w:t>果，但对材料选择有一定要求。</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2 \* GB3 </w:instrText>
      </w:r>
      <w:r>
        <w:rPr>
          <w:rFonts w:cs="Times New Roman"/>
          <w:snapToGrid w:val="0"/>
        </w:rPr>
        <w:fldChar w:fldCharType="separate"/>
      </w:r>
      <w:r>
        <w:rPr>
          <w:rFonts w:cs="Times New Roman"/>
          <w:snapToGrid w:val="0"/>
        </w:rPr>
        <w:t>②</w:t>
      </w:r>
      <w:r>
        <w:rPr>
          <w:rFonts w:cs="Times New Roman"/>
          <w:snapToGrid w:val="0"/>
        </w:rPr>
        <w:fldChar w:fldCharType="end"/>
      </w:r>
      <w:r>
        <w:rPr>
          <w:rFonts w:cs="Times New Roman"/>
          <w:snapToGrid w:val="0"/>
        </w:rPr>
        <w:t>通风窗隔声降噪原理、效果及可行性分析</w:t>
      </w:r>
    </w:p>
    <w:p w:rsidR="00A46452" w:rsidRDefault="009A3928">
      <w:pPr>
        <w:wordWrap w:val="0"/>
        <w:topLinePunct/>
        <w:ind w:firstLine="480"/>
        <w:rPr>
          <w:rFonts w:cs="Times New Roman"/>
          <w:snapToGrid w:val="0"/>
        </w:rPr>
      </w:pPr>
      <w:r>
        <w:rPr>
          <w:rFonts w:cs="Times New Roman"/>
          <w:snapToGrid w:val="0"/>
        </w:rPr>
        <w:t>为保证窗户既有较好的隔声性能，又具有与普通窗户同样的通风、采光效果，建议采用隔声性能较好的中空玻璃，窗框采用密封性能较好的塑钢结构，在窗户的上部朝室内侧安装小型风机，通过位于窗户下部的室外铝合金百叶风口进风，将室外新风经消声风道引入室内。风机运行，在进风口造成负压，室外新鲜空气经进风口进入消声风道，消声后经出风口由风机吹入室内。在窗户全部关闭不通风的情况下，平均隔声量为</w:t>
      </w:r>
      <w:r>
        <w:rPr>
          <w:rFonts w:cs="Times New Roman"/>
          <w:snapToGrid w:val="0"/>
        </w:rPr>
        <w:t>43dB</w:t>
      </w:r>
      <w:r>
        <w:rPr>
          <w:rFonts w:cs="Times New Roman"/>
          <w:snapToGrid w:val="0"/>
        </w:rPr>
        <w:t>；在通风状态下，平均隔声量为</w:t>
      </w:r>
      <w:r>
        <w:rPr>
          <w:rFonts w:cs="Times New Roman"/>
          <w:snapToGrid w:val="0"/>
        </w:rPr>
        <w:t>25</w:t>
      </w:r>
      <w:r>
        <w:rPr>
          <w:rFonts w:cs="Times New Roman"/>
          <w:snapToGrid w:val="0"/>
        </w:rPr>
        <w:t>dB</w:t>
      </w:r>
      <w:r>
        <w:rPr>
          <w:rFonts w:cs="Times New Roman"/>
          <w:snapToGrid w:val="0"/>
        </w:rPr>
        <w:t>。</w:t>
      </w:r>
    </w:p>
    <w:p w:rsidR="00A46452" w:rsidRDefault="009A3928">
      <w:pPr>
        <w:wordWrap w:val="0"/>
        <w:topLinePunct/>
        <w:ind w:firstLine="480"/>
        <w:rPr>
          <w:rFonts w:cs="Times New Roman"/>
          <w:snapToGrid w:val="0"/>
        </w:rPr>
      </w:pPr>
      <w:r>
        <w:rPr>
          <w:rFonts w:cs="Times New Roman"/>
          <w:snapToGrid w:val="0"/>
        </w:rPr>
        <w:fldChar w:fldCharType="begin"/>
      </w:r>
      <w:r>
        <w:rPr>
          <w:rFonts w:cs="Times New Roman"/>
          <w:snapToGrid w:val="0"/>
        </w:rPr>
        <w:instrText xml:space="preserve"> = 3 \* GB3 </w:instrText>
      </w:r>
      <w:r>
        <w:rPr>
          <w:rFonts w:cs="Times New Roman"/>
          <w:snapToGrid w:val="0"/>
        </w:rPr>
        <w:fldChar w:fldCharType="separate"/>
      </w:r>
      <w:r>
        <w:rPr>
          <w:rFonts w:cs="Times New Roman"/>
          <w:snapToGrid w:val="0"/>
        </w:rPr>
        <w:t>③</w:t>
      </w:r>
      <w:r>
        <w:rPr>
          <w:rFonts w:cs="Times New Roman"/>
          <w:snapToGrid w:val="0"/>
        </w:rPr>
        <w:fldChar w:fldCharType="end"/>
      </w:r>
      <w:r>
        <w:rPr>
          <w:rFonts w:cs="Times New Roman"/>
          <w:snapToGrid w:val="0"/>
        </w:rPr>
        <w:t>跟踪监测措施可行性分析</w:t>
      </w:r>
    </w:p>
    <w:p w:rsidR="00A46452" w:rsidRDefault="009A3928">
      <w:pPr>
        <w:wordWrap w:val="0"/>
        <w:topLinePunct/>
        <w:ind w:firstLine="480"/>
        <w:rPr>
          <w:rFonts w:cs="Times New Roman"/>
          <w:snapToGrid w:val="0"/>
        </w:rPr>
      </w:pPr>
      <w:r>
        <w:rPr>
          <w:rFonts w:cs="Times New Roman"/>
          <w:snapToGrid w:val="0"/>
        </w:rPr>
        <w:t>根据公路项目竣工验收经验，营运期的实际车流量、车型比、昼夜比往往和理论预测值有出入，因此对于超标量预测较小的敏感点，须进行环境噪声跟踪监测，以便及时采取适当的噪声污染防治补救措施。</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3</w:t>
      </w:r>
      <w:r>
        <w:rPr>
          <w:rFonts w:cs="Times New Roman"/>
          <w:snapToGrid w:val="0"/>
        </w:rPr>
        <w:t>）根据声环境影响预测</w:t>
      </w:r>
      <w:r>
        <w:rPr>
          <w:rFonts w:cs="Times New Roman"/>
          <w:snapToGrid w:val="0"/>
        </w:rPr>
        <w:t>结合设计资料</w:t>
      </w:r>
      <w:r>
        <w:rPr>
          <w:rFonts w:cs="Times New Roman"/>
          <w:snapToGrid w:val="0"/>
        </w:rPr>
        <w:t>，对营运期</w:t>
      </w:r>
      <w:r>
        <w:rPr>
          <w:rFonts w:cs="Times New Roman" w:hint="eastAsia"/>
          <w:snapToGrid w:val="0"/>
        </w:rPr>
        <w:t>幸福佳园一期</w:t>
      </w:r>
      <w:r>
        <w:rPr>
          <w:rFonts w:cs="Times New Roman"/>
          <w:snapToGrid w:val="0"/>
        </w:rPr>
        <w:t>采取修建声屏障</w:t>
      </w:r>
      <w:r>
        <w:rPr>
          <w:rFonts w:cs="Times New Roman"/>
          <w:snapToGrid w:val="0"/>
        </w:rPr>
        <w:t>措施</w:t>
      </w:r>
      <w:r>
        <w:rPr>
          <w:rFonts w:cs="Times New Roman"/>
          <w:snapToGrid w:val="0"/>
        </w:rPr>
        <w:t>，对远期超标的居民敏感点采取跟踪监测措施。</w:t>
      </w:r>
    </w:p>
    <w:p w:rsidR="00A46452" w:rsidRDefault="009A3928">
      <w:pPr>
        <w:wordWrap w:val="0"/>
        <w:topLinePunct/>
        <w:ind w:firstLine="480"/>
        <w:rPr>
          <w:rFonts w:cs="Times New Roman"/>
          <w:snapToGrid w:val="0"/>
        </w:rPr>
      </w:pPr>
      <w:r>
        <w:rPr>
          <w:rFonts w:cs="Times New Roman"/>
          <w:snapToGrid w:val="0"/>
        </w:rPr>
        <w:t>本项目声屏障措施具体设计如下：</w:t>
      </w:r>
    </w:p>
    <w:p w:rsidR="00A46452" w:rsidRDefault="009A3928">
      <w:pPr>
        <w:wordWrap w:val="0"/>
        <w:topLinePunct/>
        <w:ind w:firstLine="480"/>
        <w:rPr>
          <w:rFonts w:cs="Times New Roman"/>
          <w:snapToGrid w:val="0"/>
        </w:rPr>
      </w:pPr>
      <w:r>
        <w:rPr>
          <w:rFonts w:cs="Times New Roman"/>
          <w:snapToGrid w:val="0"/>
        </w:rPr>
        <w:t>声屏障高度</w:t>
      </w:r>
      <w:r>
        <w:rPr>
          <w:rFonts w:cs="Times New Roman"/>
          <w:snapToGrid w:val="0"/>
        </w:rPr>
        <w:t>3m</w:t>
      </w:r>
      <w:r>
        <w:rPr>
          <w:rFonts w:cs="Times New Roman"/>
          <w:snapToGrid w:val="0"/>
        </w:rPr>
        <w:t>，钢立柱间距</w:t>
      </w:r>
      <w:r>
        <w:rPr>
          <w:rFonts w:cs="Times New Roman"/>
          <w:snapToGrid w:val="0"/>
        </w:rPr>
        <w:t>2m</w:t>
      </w:r>
      <w:r>
        <w:rPr>
          <w:rFonts w:cs="Times New Roman"/>
          <w:snapToGrid w:val="0"/>
        </w:rPr>
        <w:t>，地梁每隔</w:t>
      </w:r>
      <w:r>
        <w:rPr>
          <w:rFonts w:cs="Times New Roman"/>
          <w:snapToGrid w:val="0"/>
        </w:rPr>
        <w:t>35m</w:t>
      </w:r>
      <w:r>
        <w:rPr>
          <w:rFonts w:cs="Times New Roman"/>
          <w:snapToGrid w:val="0"/>
        </w:rPr>
        <w:t>设置一道伸缩缝，吸隔声板平均隔声量不小于</w:t>
      </w:r>
      <w:r>
        <w:rPr>
          <w:rFonts w:cs="Times New Roman"/>
          <w:snapToGrid w:val="0"/>
        </w:rPr>
        <w:t>30dB</w:t>
      </w:r>
      <w:r>
        <w:rPr>
          <w:rFonts w:cs="Times New Roman"/>
          <w:snapToGrid w:val="0"/>
        </w:rPr>
        <w:t>，板厚为</w:t>
      </w:r>
      <w:r>
        <w:rPr>
          <w:rFonts w:cs="Times New Roman"/>
          <w:snapToGrid w:val="0"/>
        </w:rPr>
        <w:t>10cm</w:t>
      </w:r>
      <w:r>
        <w:rPr>
          <w:rFonts w:cs="Times New Roman"/>
          <w:snapToGrid w:val="0"/>
        </w:rPr>
        <w:t>，自重</w:t>
      </w:r>
      <w:r>
        <w:rPr>
          <w:rFonts w:cs="Times New Roman"/>
          <w:snapToGrid w:val="0"/>
        </w:rPr>
        <w:t>&lt;33kg/m</w:t>
      </w:r>
      <w:r>
        <w:rPr>
          <w:rFonts w:cs="Times New Roman"/>
          <w:snapToGrid w:val="0"/>
          <w:vertAlign w:val="superscript"/>
        </w:rPr>
        <w:t>3</w:t>
      </w:r>
      <w:r>
        <w:rPr>
          <w:rFonts w:cs="Times New Roman"/>
          <w:snapToGrid w:val="0"/>
        </w:rPr>
        <w:t>，钢立柱采用</w:t>
      </w:r>
      <w:r>
        <w:rPr>
          <w:rFonts w:cs="Times New Roman"/>
          <w:snapToGrid w:val="0"/>
        </w:rPr>
        <w:t>Q235</w:t>
      </w:r>
      <w:r>
        <w:rPr>
          <w:rFonts w:cs="Times New Roman"/>
          <w:snapToGrid w:val="0"/>
        </w:rPr>
        <w:t>钢板焊接而成。声屏障支撑体系采用</w:t>
      </w:r>
      <w:r>
        <w:rPr>
          <w:rFonts w:cs="Times New Roman"/>
          <w:snapToGrid w:val="0"/>
        </w:rPr>
        <w:t>H</w:t>
      </w:r>
      <w:r>
        <w:rPr>
          <w:rFonts w:cs="Times New Roman"/>
          <w:snapToGrid w:val="0"/>
        </w:rPr>
        <w:t>型钢立柱，立柱间距</w:t>
      </w:r>
      <w:r>
        <w:rPr>
          <w:rFonts w:cs="Times New Roman"/>
          <w:snapToGrid w:val="0"/>
        </w:rPr>
        <w:t>2m</w:t>
      </w:r>
      <w:r>
        <w:rPr>
          <w:rFonts w:cs="Times New Roman"/>
          <w:snapToGrid w:val="0"/>
        </w:rPr>
        <w:t>。路基段声屏障基础采用钢筋混凝土基础，基础之间采用地梁连接。声屏障在</w:t>
      </w:r>
      <w:r>
        <w:rPr>
          <w:rFonts w:cs="Times New Roman"/>
          <w:snapToGrid w:val="0"/>
        </w:rPr>
        <w:t>1500N</w:t>
      </w:r>
      <w:r>
        <w:rPr>
          <w:rFonts w:cs="Times New Roman"/>
          <w:snapToGrid w:val="0"/>
        </w:rPr>
        <w:t>／</w:t>
      </w:r>
      <w:r>
        <w:rPr>
          <w:rFonts w:cs="Times New Roman"/>
          <w:snapToGrid w:val="0"/>
        </w:rPr>
        <w:t>m</w:t>
      </w:r>
      <w:r>
        <w:rPr>
          <w:rFonts w:cs="Times New Roman"/>
          <w:snapToGrid w:val="0"/>
          <w:vertAlign w:val="superscript"/>
        </w:rPr>
        <w:t>2</w:t>
      </w:r>
      <w:r>
        <w:rPr>
          <w:rFonts w:cs="Times New Roman"/>
          <w:snapToGrid w:val="0"/>
        </w:rPr>
        <w:t>的均布荷载作用下，最大挠度</w:t>
      </w:r>
      <w:r>
        <w:rPr>
          <w:rFonts w:cs="Times New Roman"/>
          <w:snapToGrid w:val="0"/>
        </w:rPr>
        <w:t>〈</w:t>
      </w:r>
      <w:r>
        <w:rPr>
          <w:rFonts w:cs="Times New Roman"/>
          <w:snapToGrid w:val="0"/>
        </w:rPr>
        <w:t>L/600</w:t>
      </w:r>
      <w:r>
        <w:rPr>
          <w:rFonts w:cs="Times New Roman"/>
          <w:snapToGrid w:val="0"/>
        </w:rPr>
        <w:t>，</w:t>
      </w:r>
      <w:r>
        <w:rPr>
          <w:rFonts w:cs="Times New Roman"/>
          <w:snapToGrid w:val="0"/>
        </w:rPr>
        <w:t>平均吸隔声量不小于</w:t>
      </w:r>
      <w:r>
        <w:rPr>
          <w:rFonts w:cs="Times New Roman"/>
          <w:snapToGrid w:val="0"/>
        </w:rPr>
        <w:t>30dB</w:t>
      </w:r>
      <w:r>
        <w:rPr>
          <w:rFonts w:cs="Times New Roman"/>
          <w:snapToGrid w:val="0"/>
        </w:rPr>
        <w:t>，</w:t>
      </w:r>
      <w:r>
        <w:rPr>
          <w:rFonts w:cs="Times New Roman"/>
          <w:snapToGrid w:val="0"/>
        </w:rPr>
        <w:t>吸声系数不小于</w:t>
      </w:r>
      <w:r>
        <w:rPr>
          <w:rFonts w:cs="Times New Roman"/>
          <w:snapToGrid w:val="0"/>
        </w:rPr>
        <w:t>0.7</w:t>
      </w:r>
      <w:r>
        <w:rPr>
          <w:rFonts w:cs="Times New Roman"/>
          <w:snapToGrid w:val="0"/>
        </w:rPr>
        <w:t>，</w:t>
      </w:r>
      <w:r>
        <w:rPr>
          <w:rFonts w:cs="Times New Roman"/>
          <w:snapToGrid w:val="0"/>
        </w:rPr>
        <w:t>钢立柱需热镀锌处理。钢立柱、百叶窗式隔声屏采用与主线公路波形梁相同颜色。</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4</w:t>
      </w:r>
      <w:r>
        <w:rPr>
          <w:rFonts w:cs="Times New Roman"/>
          <w:snapToGrid w:val="0"/>
        </w:rPr>
        <w:t>）施工图设计、验收关注重点</w:t>
      </w:r>
    </w:p>
    <w:p w:rsidR="00A46452" w:rsidRDefault="009A3928">
      <w:pPr>
        <w:wordWrap w:val="0"/>
        <w:topLinePunct/>
        <w:ind w:firstLine="480"/>
        <w:rPr>
          <w:rFonts w:cs="Times New Roman"/>
          <w:snapToGrid w:val="0"/>
        </w:rPr>
      </w:pPr>
      <w:r>
        <w:rPr>
          <w:rFonts w:cs="Times New Roman"/>
          <w:snapToGrid w:val="0"/>
        </w:rPr>
        <w:t>由于公路是线性建设项目，</w:t>
      </w:r>
      <w:r>
        <w:rPr>
          <w:rFonts w:cs="Times New Roman"/>
          <w:snapToGrid w:val="0"/>
        </w:rPr>
        <w:t>从工程可行性研究报告到初步设计、施工图设计等会发生一些线位、高差的变化。如果完全按照项目可研及初设的情况制定措施，会出现针对具体敏感点的降噪措施、措施的位置及规模等不尽合理的情况，使噪声防治措施失去应有的作用或需要设置措施的敏感点未采取措施。所以在下阶段设计期间应根据路线、高差等变化进行环境保护方案设计的调整。在声环境预测的基础上，在下阶段对于超标敏感点可采取的措施如下。</w:t>
      </w:r>
    </w:p>
    <w:p w:rsidR="00A46452" w:rsidRDefault="009A3928">
      <w:pPr>
        <w:wordWrap w:val="0"/>
        <w:topLinePunct/>
        <w:ind w:firstLine="480"/>
        <w:rPr>
          <w:rFonts w:cs="Times New Roman"/>
          <w:snapToGrid w:val="0"/>
        </w:rPr>
      </w:pPr>
      <w:r>
        <w:rPr>
          <w:rFonts w:cs="Times New Roman"/>
          <w:snapToGrid w:val="0"/>
        </w:rPr>
        <w:t>①</w:t>
      </w:r>
      <w:r>
        <w:rPr>
          <w:rFonts w:cs="Times New Roman"/>
          <w:snapToGrid w:val="0"/>
        </w:rPr>
        <w:t>规模较大的村庄，且与公路高差微小或比公路低时，应安装声屏障，使敏感点环境噪声有所降低。</w:t>
      </w:r>
    </w:p>
    <w:p w:rsidR="00A46452" w:rsidRDefault="009A3928">
      <w:pPr>
        <w:wordWrap w:val="0"/>
        <w:topLinePunct/>
        <w:ind w:firstLine="480"/>
        <w:rPr>
          <w:rFonts w:cs="Times New Roman"/>
          <w:snapToGrid w:val="0"/>
        </w:rPr>
      </w:pPr>
      <w:r>
        <w:rPr>
          <w:rFonts w:cs="Times New Roman"/>
          <w:snapToGrid w:val="0"/>
        </w:rPr>
        <w:t>②</w:t>
      </w:r>
      <w:r>
        <w:rPr>
          <w:rFonts w:cs="Times New Roman"/>
          <w:snapToGrid w:val="0"/>
        </w:rPr>
        <w:t>根据通车公路调查，车辆鸣笛影响较大，在沿途人</w:t>
      </w:r>
      <w:r>
        <w:rPr>
          <w:rFonts w:cs="Times New Roman"/>
          <w:snapToGrid w:val="0"/>
        </w:rPr>
        <w:t>口密集村庄路段安装禁鸣提示，减少鸣笛的现象。</w:t>
      </w:r>
    </w:p>
    <w:p w:rsidR="00A46452" w:rsidRDefault="009A3928">
      <w:pPr>
        <w:wordWrap w:val="0"/>
        <w:topLinePunct/>
        <w:ind w:firstLine="480"/>
        <w:rPr>
          <w:rFonts w:cs="Times New Roman"/>
          <w:snapToGrid w:val="0"/>
        </w:rPr>
      </w:pPr>
      <w:r>
        <w:rPr>
          <w:rFonts w:cs="Times New Roman"/>
          <w:snapToGrid w:val="0"/>
        </w:rPr>
        <w:t>③</w:t>
      </w:r>
      <w:r>
        <w:rPr>
          <w:rFonts w:cs="Times New Roman"/>
          <w:snapToGrid w:val="0"/>
        </w:rPr>
        <w:t>拟建道路沿线</w:t>
      </w:r>
      <w:r>
        <w:rPr>
          <w:rFonts w:cs="Times New Roman"/>
          <w:snapToGrid w:val="0"/>
        </w:rPr>
        <w:t>监测</w:t>
      </w:r>
      <w:r>
        <w:rPr>
          <w:rFonts w:cs="Times New Roman"/>
          <w:snapToGrid w:val="0"/>
        </w:rPr>
        <w:t>敏感点有</w:t>
      </w:r>
      <w:r>
        <w:rPr>
          <w:rFonts w:cs="Times New Roman"/>
          <w:snapToGrid w:val="0"/>
        </w:rPr>
        <w:t>4</w:t>
      </w:r>
      <w:r>
        <w:rPr>
          <w:rFonts w:cs="Times New Roman"/>
          <w:snapToGrid w:val="0"/>
        </w:rPr>
        <w:t>处，根据预测结果，项目营运后对沿线敏感目标有一定影响。</w:t>
      </w:r>
      <w:r>
        <w:rPr>
          <w:rFonts w:cs="Times New Roman"/>
        </w:rPr>
        <w:t>拟建公路</w:t>
      </w:r>
      <w:r>
        <w:rPr>
          <w:rFonts w:cs="Times New Roman"/>
        </w:rPr>
        <w:t>涉及的</w:t>
      </w:r>
      <w:r>
        <w:rPr>
          <w:rFonts w:cs="Times New Roman"/>
        </w:rPr>
        <w:t>4</w:t>
      </w:r>
      <w:r>
        <w:rPr>
          <w:rFonts w:cs="Times New Roman"/>
        </w:rPr>
        <w:t>处环境敏感点中，</w:t>
      </w:r>
      <w:r>
        <w:rPr>
          <w:rFonts w:cs="Times New Roman"/>
        </w:rPr>
        <w:t>近期、</w:t>
      </w:r>
      <w:r>
        <w:rPr>
          <w:rFonts w:cs="Times New Roman"/>
        </w:rPr>
        <w:t>中期</w:t>
      </w:r>
      <w:r>
        <w:rPr>
          <w:rFonts w:cs="Times New Roman"/>
        </w:rPr>
        <w:t>、</w:t>
      </w:r>
      <w:r>
        <w:rPr>
          <w:rFonts w:cs="Times New Roman"/>
        </w:rPr>
        <w:t>远期</w:t>
      </w:r>
      <w:r>
        <w:rPr>
          <w:rFonts w:cs="Times New Roman"/>
        </w:rPr>
        <w:t>主线</w:t>
      </w:r>
      <w:r>
        <w:rPr>
          <w:rFonts w:cs="Times New Roman"/>
        </w:rPr>
        <w:t>4</w:t>
      </w:r>
      <w:r>
        <w:rPr>
          <w:rFonts w:cs="Times New Roman"/>
        </w:rPr>
        <w:t>处敏感点近期昼间无超标，夜间</w:t>
      </w:r>
      <w:r>
        <w:rPr>
          <w:rFonts w:cs="Times New Roman"/>
        </w:rPr>
        <w:t>有一处超标</w:t>
      </w:r>
      <w:r>
        <w:rPr>
          <w:rFonts w:cs="Times New Roman"/>
        </w:rPr>
        <w:t>，</w:t>
      </w:r>
      <w:r>
        <w:rPr>
          <w:rFonts w:cs="Times New Roman"/>
        </w:rPr>
        <w:t>结合设计方案</w:t>
      </w:r>
      <w:r>
        <w:rPr>
          <w:rFonts w:cs="Times New Roman"/>
          <w:snapToGrid w:val="0"/>
        </w:rPr>
        <w:t>考虑，</w:t>
      </w:r>
      <w:r>
        <w:rPr>
          <w:rFonts w:cs="Times New Roman"/>
          <w:snapToGrid w:val="0"/>
        </w:rPr>
        <w:t>对营运</w:t>
      </w:r>
      <w:r>
        <w:rPr>
          <w:rFonts w:cs="Times New Roman"/>
          <w:snapToGrid w:val="0"/>
        </w:rPr>
        <w:t>近、</w:t>
      </w:r>
      <w:r>
        <w:rPr>
          <w:rFonts w:cs="Times New Roman"/>
          <w:snapToGrid w:val="0"/>
        </w:rPr>
        <w:t>中</w:t>
      </w:r>
      <w:r>
        <w:rPr>
          <w:rFonts w:cs="Times New Roman"/>
          <w:snapToGrid w:val="0"/>
        </w:rPr>
        <w:t>、</w:t>
      </w:r>
      <w:r>
        <w:rPr>
          <w:rFonts w:cs="Times New Roman"/>
          <w:snapToGrid w:val="0"/>
        </w:rPr>
        <w:t>远</w:t>
      </w:r>
      <w:r>
        <w:rPr>
          <w:rFonts w:cs="Times New Roman"/>
          <w:snapToGrid w:val="0"/>
        </w:rPr>
        <w:t>期</w:t>
      </w:r>
      <w:r>
        <w:rPr>
          <w:rFonts w:cs="Times New Roman" w:hint="eastAsia"/>
          <w:snapToGrid w:val="0"/>
        </w:rPr>
        <w:t>幸福佳园一期</w:t>
      </w:r>
      <w:r>
        <w:rPr>
          <w:rFonts w:cs="Times New Roman"/>
          <w:snapToGrid w:val="0"/>
        </w:rPr>
        <w:t>采取修建声屏障</w:t>
      </w:r>
      <w:r>
        <w:rPr>
          <w:rFonts w:cs="Times New Roman"/>
          <w:snapToGrid w:val="0"/>
        </w:rPr>
        <w:t>措施</w:t>
      </w:r>
      <w:r>
        <w:rPr>
          <w:rFonts w:cs="Times New Roman"/>
          <w:snapToGrid w:val="0"/>
        </w:rPr>
        <w:t>，</w:t>
      </w:r>
      <w:r>
        <w:rPr>
          <w:rFonts w:cs="Times New Roman"/>
          <w:snapToGrid w:val="0"/>
        </w:rPr>
        <w:t>其余敏感点采取绿化降噪、限制鸣笛等措施，</w:t>
      </w:r>
      <w:r>
        <w:rPr>
          <w:rFonts w:cs="Times New Roman"/>
          <w:snapToGrid w:val="0"/>
        </w:rPr>
        <w:t>对远期超标的居民敏感点采取跟踪监测措施。</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06" w:name="bookmark49"/>
      <w:bookmarkStart w:id="407" w:name="_Toc154077017"/>
      <w:bookmarkStart w:id="408" w:name="_Toc13198"/>
      <w:bookmarkStart w:id="409" w:name="_Toc98413583"/>
      <w:bookmarkStart w:id="410" w:name="_Toc32243"/>
      <w:bookmarkEnd w:id="406"/>
      <w:r>
        <w:rPr>
          <w:rFonts w:cs="Times New Roman" w:hint="default"/>
          <w:sz w:val="30"/>
          <w:szCs w:val="30"/>
        </w:rPr>
        <w:t>8.6</w:t>
      </w:r>
      <w:r>
        <w:rPr>
          <w:rFonts w:cs="Times New Roman" w:hint="default"/>
          <w:sz w:val="30"/>
          <w:szCs w:val="30"/>
        </w:rPr>
        <w:t>固体废物处理处置措施</w:t>
      </w:r>
      <w:bookmarkEnd w:id="407"/>
      <w:bookmarkEnd w:id="408"/>
      <w:bookmarkEnd w:id="409"/>
      <w:bookmarkEnd w:id="410"/>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11" w:name="_Toc98413584"/>
      <w:bookmarkStart w:id="412" w:name="_Toc98414266"/>
      <w:bookmarkStart w:id="413" w:name="_Toc97464690"/>
      <w:r>
        <w:rPr>
          <w:rFonts w:cs="Times New Roman" w:hint="default"/>
          <w:sz w:val="28"/>
          <w:szCs w:val="28"/>
        </w:rPr>
        <w:t>8.6.1</w:t>
      </w:r>
      <w:r>
        <w:rPr>
          <w:rFonts w:cs="Times New Roman" w:hint="default"/>
          <w:sz w:val="28"/>
          <w:szCs w:val="28"/>
        </w:rPr>
        <w:t>施工期</w:t>
      </w:r>
      <w:bookmarkEnd w:id="411"/>
      <w:bookmarkEnd w:id="412"/>
      <w:bookmarkEnd w:id="413"/>
    </w:p>
    <w:p w:rsidR="00A46452" w:rsidRDefault="009A3928">
      <w:pPr>
        <w:wordWrap w:val="0"/>
        <w:topLinePunct/>
        <w:ind w:firstLine="480"/>
        <w:rPr>
          <w:rFonts w:cs="Times New Roman"/>
          <w:snapToGrid w:val="0"/>
        </w:rPr>
      </w:pPr>
      <w:r>
        <w:rPr>
          <w:rFonts w:cs="Times New Roman"/>
          <w:snapToGrid w:val="0"/>
        </w:rPr>
        <w:t>施工期固体废物主要包括废弃土石方、建筑垃圾和施工人员生活垃圾。对施工期固体废物应采取</w:t>
      </w:r>
      <w:r>
        <w:rPr>
          <w:rFonts w:cs="Times New Roman"/>
          <w:snapToGrid w:val="0"/>
        </w:rPr>
        <w:t>“</w:t>
      </w:r>
      <w:r>
        <w:rPr>
          <w:rFonts w:cs="Times New Roman"/>
          <w:snapToGrid w:val="0"/>
        </w:rPr>
        <w:t>集中收集、分类处理、尽量回用</w:t>
      </w:r>
      <w:r>
        <w:rPr>
          <w:rFonts w:cs="Times New Roman"/>
          <w:snapToGrid w:val="0"/>
        </w:rPr>
        <w:t>”</w:t>
      </w:r>
      <w:r>
        <w:rPr>
          <w:rFonts w:cs="Times New Roman"/>
          <w:snapToGrid w:val="0"/>
        </w:rPr>
        <w:t>的原则，其中废弃土石方在设置的弃渣场进行处置，拆迁房屋、建筑物的建筑垃圾中能回收利用的进行综合利用，剩余部分</w:t>
      </w:r>
      <w:r>
        <w:rPr>
          <w:rFonts w:cs="Times New Roman"/>
        </w:rPr>
        <w:t>附近县市</w:t>
      </w:r>
      <w:r>
        <w:rPr>
          <w:rFonts w:cs="Times New Roman"/>
        </w:rPr>
        <w:t>建筑垃圾填埋场进行处置</w:t>
      </w:r>
      <w:r>
        <w:rPr>
          <w:rFonts w:cs="Times New Roman"/>
          <w:snapToGrid w:val="0"/>
        </w:rPr>
        <w:t>，生活垃圾集中收集后运送至附近</w:t>
      </w:r>
      <w:r>
        <w:rPr>
          <w:rFonts w:cs="Times New Roman"/>
          <w:snapToGrid w:val="0"/>
        </w:rPr>
        <w:t>县市生活</w:t>
      </w:r>
      <w:r>
        <w:rPr>
          <w:rFonts w:cs="Times New Roman"/>
          <w:snapToGrid w:val="0"/>
        </w:rPr>
        <w:t>垃圾处理</w:t>
      </w:r>
      <w:r>
        <w:rPr>
          <w:rFonts w:cs="Times New Roman"/>
          <w:snapToGrid w:val="0"/>
        </w:rPr>
        <w:t>厂</w:t>
      </w:r>
      <w:r>
        <w:rPr>
          <w:rFonts w:cs="Times New Roman"/>
          <w:snapToGrid w:val="0"/>
        </w:rPr>
        <w:t>集中处理。</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1</w:t>
      </w:r>
      <w:r>
        <w:rPr>
          <w:rFonts w:cs="Times New Roman"/>
          <w:snapToGrid w:val="0"/>
        </w:rPr>
        <w:t>）对收集、贮存、运输、处置固体废物的设施、设备和场所，应当加强管理和维护，保证其正常运行和使用。</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2</w:t>
      </w:r>
      <w:r>
        <w:rPr>
          <w:rFonts w:cs="Times New Roman"/>
          <w:snapToGrid w:val="0"/>
        </w:rPr>
        <w:t>）项目</w:t>
      </w:r>
      <w:r>
        <w:rPr>
          <w:rFonts w:cs="Times New Roman"/>
          <w:snapToGrid w:val="0"/>
        </w:rPr>
        <w:t>3</w:t>
      </w:r>
      <w:r>
        <w:rPr>
          <w:rFonts w:cs="Times New Roman"/>
          <w:snapToGrid w:val="0"/>
        </w:rPr>
        <w:t>处沥青</w:t>
      </w:r>
      <w:r>
        <w:rPr>
          <w:rFonts w:cs="Times New Roman"/>
          <w:snapToGrid w:val="0"/>
        </w:rPr>
        <w:t>拌和站</w:t>
      </w:r>
      <w:r>
        <w:rPr>
          <w:rFonts w:cs="Times New Roman"/>
          <w:snapToGrid w:val="0"/>
        </w:rPr>
        <w:t>，约产生</w:t>
      </w:r>
      <w:r>
        <w:rPr>
          <w:rFonts w:cs="Times New Roman"/>
          <w:snapToGrid w:val="0"/>
        </w:rPr>
        <w:t>0.75</w:t>
      </w:r>
      <w:r>
        <w:rPr>
          <w:rFonts w:cs="Times New Roman"/>
          <w:snapToGrid w:val="0"/>
        </w:rPr>
        <w:t>t</w:t>
      </w:r>
      <w:r>
        <w:rPr>
          <w:rFonts w:cs="Times New Roman"/>
          <w:snapToGrid w:val="0"/>
        </w:rPr>
        <w:t>废活性炭。沥青</w:t>
      </w:r>
      <w:r>
        <w:rPr>
          <w:rFonts w:cs="Times New Roman"/>
          <w:snapToGrid w:val="0"/>
        </w:rPr>
        <w:t>拌和站</w:t>
      </w:r>
      <w:r>
        <w:rPr>
          <w:rFonts w:cs="Times New Roman"/>
          <w:snapToGrid w:val="0"/>
        </w:rPr>
        <w:t>使用结束后拆除前，施工单位需立即委</w:t>
      </w:r>
      <w:r>
        <w:rPr>
          <w:rFonts w:cs="Times New Roman"/>
          <w:snapToGrid w:val="0"/>
        </w:rPr>
        <w:t>托有资质单位对废活性炭进行安全处置，禁止在站内暂存和自行处置。</w:t>
      </w:r>
    </w:p>
    <w:p w:rsidR="00A46452" w:rsidRDefault="009A3928">
      <w:pPr>
        <w:wordWrap w:val="0"/>
        <w:topLinePunct/>
        <w:ind w:firstLine="480"/>
        <w:rPr>
          <w:rFonts w:cs="Times New Roman"/>
          <w:snapToGrid w:val="0"/>
        </w:rPr>
      </w:pPr>
      <w:r>
        <w:rPr>
          <w:rFonts w:cs="Times New Roman"/>
          <w:snapToGrid w:val="0"/>
        </w:rPr>
        <w:t>（</w:t>
      </w:r>
      <w:r>
        <w:rPr>
          <w:rFonts w:cs="Times New Roman"/>
          <w:snapToGrid w:val="0"/>
        </w:rPr>
        <w:t>3</w:t>
      </w:r>
      <w:r>
        <w:rPr>
          <w:rFonts w:cs="Times New Roman"/>
          <w:snapToGrid w:val="0"/>
        </w:rPr>
        <w:t>）本项目产生的弃渣全部运至弃土场，不随意外排。</w:t>
      </w:r>
    </w:p>
    <w:p w:rsidR="00A46452" w:rsidRDefault="009A3928">
      <w:pPr>
        <w:wordWrap w:val="0"/>
        <w:topLinePunct/>
        <w:ind w:firstLine="480"/>
        <w:rPr>
          <w:rFonts w:cs="Times New Roman"/>
          <w:snapToGrid w:val="0"/>
          <w:lang w:val="zh-CN"/>
        </w:rPr>
      </w:pPr>
      <w:r>
        <w:rPr>
          <w:rFonts w:cs="Times New Roman"/>
          <w:snapToGrid w:val="0"/>
        </w:rPr>
        <w:t>（</w:t>
      </w:r>
      <w:r>
        <w:rPr>
          <w:rFonts w:cs="Times New Roman"/>
          <w:snapToGrid w:val="0"/>
        </w:rPr>
        <w:t>4</w:t>
      </w:r>
      <w:r>
        <w:rPr>
          <w:rFonts w:cs="Times New Roman"/>
          <w:snapToGrid w:val="0"/>
        </w:rPr>
        <w:t>）施工期产生的生活垃圾统一收集后，清运至</w:t>
      </w:r>
      <w:r>
        <w:rPr>
          <w:rFonts w:cs="Times New Roman"/>
          <w:snapToGrid w:val="0"/>
        </w:rPr>
        <w:t>附近县市</w:t>
      </w:r>
      <w:r>
        <w:rPr>
          <w:rFonts w:cs="Times New Roman"/>
          <w:snapToGrid w:val="0"/>
        </w:rPr>
        <w:t>生活垃圾填埋</w:t>
      </w:r>
      <w:r>
        <w:rPr>
          <w:rFonts w:cs="Times New Roman"/>
          <w:snapToGrid w:val="0"/>
          <w:lang w:val="zh-CN"/>
        </w:rPr>
        <w:t>场。</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14" w:name="_Toc97464691"/>
      <w:bookmarkStart w:id="415" w:name="_Toc98414267"/>
      <w:bookmarkStart w:id="416" w:name="_Toc98413585"/>
      <w:r>
        <w:rPr>
          <w:rFonts w:cs="Times New Roman" w:hint="default"/>
          <w:sz w:val="28"/>
          <w:szCs w:val="28"/>
        </w:rPr>
        <w:t>8.6.2</w:t>
      </w:r>
      <w:r>
        <w:rPr>
          <w:rFonts w:cs="Times New Roman" w:hint="default"/>
          <w:sz w:val="28"/>
          <w:szCs w:val="28"/>
        </w:rPr>
        <w:t>营运期</w:t>
      </w:r>
      <w:bookmarkEnd w:id="414"/>
      <w:bookmarkEnd w:id="415"/>
      <w:bookmarkEnd w:id="416"/>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1</w:t>
      </w:r>
      <w:r>
        <w:rPr>
          <w:rFonts w:cs="Times New Roman"/>
          <w:snapToGrid w:val="0"/>
          <w:lang w:val="zh-CN"/>
        </w:rPr>
        <w:t>）通过制定和宣传法规，禁止在公路上乱丢饮料袋、易拉罐等垃圾，以保证行车安全和公路两侧的清洁卫生。</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2</w:t>
      </w:r>
      <w:r>
        <w:rPr>
          <w:rFonts w:cs="Times New Roman"/>
          <w:snapToGrid w:val="0"/>
          <w:lang w:val="zh-CN"/>
        </w:rPr>
        <w:t>）服务区、停车区等处的生活垃圾集中收集，定期清运至</w:t>
      </w:r>
      <w:r>
        <w:rPr>
          <w:rFonts w:cs="Times New Roman"/>
          <w:snapToGrid w:val="0"/>
        </w:rPr>
        <w:t>附近县市</w:t>
      </w:r>
      <w:r>
        <w:rPr>
          <w:rFonts w:cs="Times New Roman"/>
          <w:snapToGrid w:val="0"/>
          <w:lang w:val="zh-CN"/>
        </w:rPr>
        <w:t>垃圾处理集中处理，严禁随意堆弃。</w:t>
      </w:r>
    </w:p>
    <w:p w:rsidR="00A46452" w:rsidRDefault="009A3928">
      <w:pPr>
        <w:wordWrap w:val="0"/>
        <w:topLinePunct/>
        <w:ind w:firstLine="480"/>
        <w:rPr>
          <w:rFonts w:cs="Times New Roman"/>
          <w:snapToGrid w:val="0"/>
          <w:lang w:val="zh-CN"/>
        </w:rPr>
      </w:pPr>
      <w:r>
        <w:rPr>
          <w:rFonts w:cs="Times New Roman"/>
          <w:snapToGrid w:val="0"/>
          <w:lang w:val="zh-CN"/>
        </w:rPr>
        <w:t>（</w:t>
      </w:r>
      <w:r>
        <w:rPr>
          <w:rFonts w:cs="Times New Roman"/>
          <w:snapToGrid w:val="0"/>
          <w:lang w:val="zh-CN"/>
        </w:rPr>
        <w:t>3</w:t>
      </w:r>
      <w:r>
        <w:rPr>
          <w:rFonts w:cs="Times New Roman"/>
          <w:snapToGrid w:val="0"/>
          <w:lang w:val="zh-CN"/>
        </w:rPr>
        <w:t>）公路维护人员定期将垃圾清运至</w:t>
      </w:r>
      <w:r>
        <w:rPr>
          <w:rFonts w:cs="Times New Roman"/>
          <w:snapToGrid w:val="0"/>
        </w:rPr>
        <w:t>附近县市</w:t>
      </w:r>
      <w:r>
        <w:rPr>
          <w:rFonts w:cs="Times New Roman"/>
          <w:snapToGrid w:val="0"/>
          <w:lang w:val="zh-CN"/>
        </w:rPr>
        <w:t>生活垃圾填埋场。</w:t>
      </w:r>
    </w:p>
    <w:p w:rsidR="00A46452" w:rsidRDefault="009A3928">
      <w:pPr>
        <w:wordWrap w:val="0"/>
        <w:topLinePunct/>
        <w:ind w:firstLine="480"/>
        <w:rPr>
          <w:rFonts w:cs="Times New Roman"/>
          <w:snapToGrid w:val="0"/>
        </w:rPr>
      </w:pPr>
      <w:r>
        <w:rPr>
          <w:rFonts w:cs="Times New Roman"/>
          <w:snapToGrid w:val="0"/>
          <w:lang w:val="zh-CN"/>
        </w:rPr>
        <w:t>（</w:t>
      </w:r>
      <w:r>
        <w:rPr>
          <w:rFonts w:cs="Times New Roman"/>
          <w:snapToGrid w:val="0"/>
        </w:rPr>
        <w:t>4</w:t>
      </w:r>
      <w:r>
        <w:rPr>
          <w:rFonts w:cs="Times New Roman"/>
          <w:snapToGrid w:val="0"/>
          <w:lang w:val="zh-CN"/>
        </w:rPr>
        <w:t>）</w:t>
      </w:r>
      <w:r>
        <w:rPr>
          <w:rFonts w:cs="Times New Roman"/>
          <w:snapToGrid w:val="0"/>
        </w:rPr>
        <w:t>运营期产生的危险废物送有资质的单位处置。</w:t>
      </w:r>
    </w:p>
    <w:p w:rsidR="00A46452" w:rsidRDefault="009A3928">
      <w:pPr>
        <w:wordWrap w:val="0"/>
        <w:topLinePunct/>
        <w:ind w:firstLine="480"/>
        <w:rPr>
          <w:rFonts w:cs="Times New Roman"/>
          <w:snapToGrid w:val="0"/>
        </w:rPr>
      </w:pPr>
      <w:r>
        <w:rPr>
          <w:rFonts w:cs="Times New Roman"/>
          <w:snapToGrid w:val="0"/>
        </w:rPr>
        <w:t>本项目环境保护措施图见图</w:t>
      </w:r>
      <w:r>
        <w:rPr>
          <w:rFonts w:cs="Times New Roman"/>
          <w:snapToGrid w:val="0"/>
        </w:rPr>
        <w:t>6.6-1</w:t>
      </w:r>
      <w:r>
        <w:rPr>
          <w:rFonts w:cs="Times New Roman"/>
          <w:snapToGrid w:val="0"/>
        </w:rPr>
        <w:t>。</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17" w:name="_Toc14545"/>
      <w:r>
        <w:rPr>
          <w:rFonts w:cs="Times New Roman" w:hint="default"/>
          <w:sz w:val="30"/>
          <w:szCs w:val="30"/>
        </w:rPr>
        <w:t>8.7</w:t>
      </w:r>
      <w:r>
        <w:rPr>
          <w:rFonts w:cs="Times New Roman" w:hint="default"/>
          <w:sz w:val="30"/>
          <w:szCs w:val="30"/>
        </w:rPr>
        <w:t>环保投资估算</w:t>
      </w:r>
      <w:bookmarkEnd w:id="341"/>
      <w:bookmarkEnd w:id="417"/>
    </w:p>
    <w:p w:rsidR="00A46452" w:rsidRDefault="009A3928" w:rsidP="00182EED">
      <w:pPr>
        <w:wordWrap w:val="0"/>
        <w:topLinePunct/>
        <w:adjustRightInd w:val="0"/>
        <w:snapToGrid w:val="0"/>
        <w:ind w:firstLine="480"/>
        <w:jc w:val="left"/>
        <w:rPr>
          <w:rFonts w:cs="Times New Roman"/>
          <w:snapToGrid w:val="0"/>
          <w:szCs w:val="24"/>
          <w:lang w:val="zh-CN"/>
        </w:rPr>
      </w:pPr>
      <w:r>
        <w:rPr>
          <w:rFonts w:cs="Times New Roman"/>
          <w:snapToGrid w:val="0"/>
          <w:szCs w:val="24"/>
          <w:lang w:val="zh-CN"/>
        </w:rPr>
        <w:t>本工程总投资为</w:t>
      </w:r>
      <w:r>
        <w:rPr>
          <w:rFonts w:cs="Times New Roman"/>
          <w:kern w:val="0"/>
          <w:szCs w:val="24"/>
          <w:lang w:bidi="ar"/>
        </w:rPr>
        <w:t>117219</w:t>
      </w:r>
      <w:r>
        <w:rPr>
          <w:rFonts w:cs="Times New Roman"/>
          <w:kern w:val="0"/>
          <w:szCs w:val="24"/>
          <w:lang w:bidi="ar"/>
        </w:rPr>
        <w:t>万元，</w:t>
      </w:r>
      <w:r>
        <w:rPr>
          <w:rFonts w:cs="Times New Roman"/>
          <w:snapToGrid w:val="0"/>
          <w:szCs w:val="24"/>
          <w:lang w:val="zh-CN"/>
        </w:rPr>
        <w:t>环保投资</w:t>
      </w:r>
      <w:r>
        <w:rPr>
          <w:rFonts w:cs="Times New Roman" w:hint="eastAsia"/>
          <w:snapToGrid w:val="0"/>
          <w:szCs w:val="24"/>
        </w:rPr>
        <w:t>72</w:t>
      </w:r>
      <w:r>
        <w:rPr>
          <w:rFonts w:cs="Times New Roman"/>
          <w:snapToGrid w:val="0"/>
          <w:szCs w:val="24"/>
        </w:rPr>
        <w:t>0</w:t>
      </w:r>
      <w:r>
        <w:rPr>
          <w:rFonts w:cs="Times New Roman"/>
          <w:snapToGrid w:val="0"/>
          <w:szCs w:val="24"/>
          <w:lang w:val="zh-CN"/>
        </w:rPr>
        <w:t>万元，占工程全部投资的</w:t>
      </w:r>
      <w:r>
        <w:rPr>
          <w:rFonts w:cs="Times New Roman"/>
          <w:snapToGrid w:val="0"/>
          <w:szCs w:val="24"/>
          <w:lang w:val="zh-CN"/>
        </w:rPr>
        <w:t>0.</w:t>
      </w:r>
      <w:r>
        <w:rPr>
          <w:rFonts w:cs="Times New Roman" w:hint="eastAsia"/>
          <w:snapToGrid w:val="0"/>
          <w:szCs w:val="24"/>
        </w:rPr>
        <w:t>61</w:t>
      </w:r>
      <w:r>
        <w:rPr>
          <w:rFonts w:cs="Times New Roman"/>
          <w:snapToGrid w:val="0"/>
          <w:szCs w:val="24"/>
          <w:lang w:val="zh-CN"/>
        </w:rPr>
        <w:t>%</w:t>
      </w:r>
      <w:r>
        <w:rPr>
          <w:rFonts w:cs="Times New Roman"/>
          <w:snapToGrid w:val="0"/>
          <w:szCs w:val="24"/>
          <w:lang w:val="zh-CN"/>
        </w:rPr>
        <w:t>，本工程环保投资见表</w:t>
      </w:r>
      <w:r>
        <w:rPr>
          <w:rFonts w:cs="Times New Roman" w:hint="eastAsia"/>
          <w:snapToGrid w:val="0"/>
          <w:szCs w:val="24"/>
        </w:rPr>
        <w:t>8</w:t>
      </w:r>
      <w:r>
        <w:rPr>
          <w:rFonts w:cs="Times New Roman"/>
          <w:snapToGrid w:val="0"/>
          <w:szCs w:val="24"/>
          <w:lang w:val="zh-CN"/>
        </w:rPr>
        <w:t>.7-1</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1"/>
          <w:szCs w:val="24"/>
        </w:rPr>
      </w:pPr>
      <w:r>
        <w:rPr>
          <w:rFonts w:ascii="Times New Roman" w:hAnsi="Times New Roman" w:cs="Times New Roman" w:hint="default"/>
          <w:sz w:val="24"/>
          <w:szCs w:val="24"/>
        </w:rPr>
        <w:t>表</w:t>
      </w:r>
      <w:r>
        <w:rPr>
          <w:rFonts w:ascii="Times New Roman" w:hAnsi="Times New Roman" w:cs="Times New Roman"/>
          <w:sz w:val="24"/>
          <w:szCs w:val="24"/>
        </w:rPr>
        <w:t>8</w:t>
      </w:r>
      <w:r>
        <w:rPr>
          <w:rFonts w:ascii="Times New Roman" w:hAnsi="Times New Roman" w:cs="Times New Roman" w:hint="default"/>
          <w:sz w:val="24"/>
          <w:szCs w:val="24"/>
        </w:rPr>
        <w:t xml:space="preserve">.7-1               </w:t>
      </w:r>
      <w:r>
        <w:rPr>
          <w:rFonts w:ascii="Times New Roman" w:hAnsi="Times New Roman" w:cs="Times New Roman" w:hint="default"/>
          <w:sz w:val="24"/>
          <w:szCs w:val="24"/>
        </w:rPr>
        <w:t xml:space="preserve">          </w:t>
      </w:r>
      <w:r>
        <w:rPr>
          <w:rFonts w:ascii="Times New Roman" w:hAnsi="Times New Roman" w:cs="Times New Roman" w:hint="default"/>
          <w:sz w:val="24"/>
          <w:szCs w:val="24"/>
        </w:rPr>
        <w:t>环保投资估算表</w:t>
      </w:r>
    </w:p>
    <w:tbl>
      <w:tblPr>
        <w:tblStyle w:val="affff7"/>
        <w:tblW w:w="5042" w:type="pct"/>
        <w:jc w:val="center"/>
        <w:tblBorders>
          <w:insideH w:val="single" w:sz="6" w:space="0" w:color="auto"/>
          <w:insideV w:val="single" w:sz="6" w:space="0" w:color="auto"/>
        </w:tblBorders>
        <w:tblLook w:val="04A0" w:firstRow="1" w:lastRow="0" w:firstColumn="1" w:lastColumn="0" w:noHBand="0" w:noVBand="1"/>
      </w:tblPr>
      <w:tblGrid>
        <w:gridCol w:w="460"/>
        <w:gridCol w:w="957"/>
        <w:gridCol w:w="857"/>
        <w:gridCol w:w="1625"/>
        <w:gridCol w:w="2507"/>
        <w:gridCol w:w="974"/>
        <w:gridCol w:w="1207"/>
      </w:tblGrid>
      <w:tr w:rsidR="00A46452">
        <w:trPr>
          <w:trHeight w:val="454"/>
          <w:jc w:val="center"/>
        </w:trPr>
        <w:tc>
          <w:tcPr>
            <w:tcW w:w="2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w w:val="99"/>
                <w:sz w:val="18"/>
                <w:szCs w:val="18"/>
              </w:rPr>
              <w:t>编</w:t>
            </w:r>
            <w:r>
              <w:rPr>
                <w:rFonts w:eastAsiaTheme="minorEastAsia" w:cs="Times New Roman"/>
                <w:bCs/>
                <w:w w:val="99"/>
                <w:sz w:val="18"/>
                <w:szCs w:val="18"/>
              </w:rPr>
              <w:t>号</w:t>
            </w: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sz w:val="18"/>
                <w:szCs w:val="18"/>
              </w:rPr>
              <w:t>环境要素</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sz w:val="18"/>
                <w:szCs w:val="18"/>
              </w:rPr>
              <w:t>工程项目费用名称</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sz w:val="18"/>
                <w:szCs w:val="18"/>
              </w:rPr>
              <w:t>环保投资</w:t>
            </w:r>
          </w:p>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sz w:val="18"/>
                <w:szCs w:val="18"/>
              </w:rPr>
              <w:t>（万元）</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bCs/>
                <w:sz w:val="18"/>
                <w:szCs w:val="18"/>
              </w:rPr>
              <w:t>责任主体</w:t>
            </w:r>
          </w:p>
        </w:tc>
      </w:tr>
      <w:tr w:rsidR="00A46452">
        <w:trPr>
          <w:trHeight w:val="252"/>
          <w:jc w:val="center"/>
        </w:trPr>
        <w:tc>
          <w:tcPr>
            <w:tcW w:w="26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施工期环境保护措施</w:t>
            </w:r>
          </w:p>
        </w:tc>
        <w:tc>
          <w:tcPr>
            <w:tcW w:w="55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水环境</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施工生产区设隔油沉淀池（</w:t>
            </w:r>
            <w:r>
              <w:rPr>
                <w:rFonts w:eastAsiaTheme="minorEastAsia" w:cs="Times New Roman"/>
                <w:sz w:val="18"/>
                <w:szCs w:val="18"/>
              </w:rPr>
              <w:t>3</w:t>
            </w:r>
            <w:r>
              <w:rPr>
                <w:rFonts w:eastAsiaTheme="minorEastAsia" w:cs="Times New Roman"/>
                <w:sz w:val="18"/>
                <w:szCs w:val="18"/>
              </w:rPr>
              <w:t>处</w:t>
            </w:r>
            <w:r>
              <w:rPr>
                <w:rFonts w:eastAsiaTheme="minorEastAsia" w:cs="Times New Roman"/>
                <w:sz w:val="18"/>
                <w:szCs w:val="18"/>
              </w:rPr>
              <w:t>）</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val="70"/>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自建施工营地设置一体化污水处理设施（</w:t>
            </w:r>
            <w:r>
              <w:rPr>
                <w:rFonts w:eastAsiaTheme="minorEastAsia" w:cs="Times New Roman"/>
                <w:sz w:val="18"/>
                <w:szCs w:val="18"/>
              </w:rPr>
              <w:t>3</w:t>
            </w:r>
            <w:r>
              <w:rPr>
                <w:rFonts w:eastAsiaTheme="minorEastAsia" w:cs="Times New Roman"/>
                <w:sz w:val="18"/>
                <w:szCs w:val="18"/>
              </w:rPr>
              <w:t>处</w:t>
            </w:r>
            <w:r>
              <w:rPr>
                <w:rFonts w:eastAsiaTheme="minorEastAsia" w:cs="Times New Roman"/>
                <w:sz w:val="18"/>
                <w:szCs w:val="18"/>
              </w:rPr>
              <w:t>）</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36</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val="316"/>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生态环境</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施工生产区、弃土场、施工便道等临时占地生态恢复、土地平整</w:t>
            </w:r>
            <w:r>
              <w:rPr>
                <w:rFonts w:eastAsiaTheme="minorEastAsia" w:cs="Times New Roman"/>
                <w:sz w:val="18"/>
                <w:szCs w:val="18"/>
              </w:rPr>
              <w:t>等水保投资</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cs="Times New Roman"/>
                <w:bCs/>
                <w:sz w:val="18"/>
                <w:szCs w:val="18"/>
              </w:rPr>
              <w:t>10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55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耕地、林地补偿及恢复经费</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计入工程预算</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365"/>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生态保护标识牌、限速标志</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624"/>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Borders>
              <w:bottom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Borders>
              <w:bottom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风积沙区沙障防护、边坡防护</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计入工程投资</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41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val="restart"/>
            <w:tcBorders>
              <w:top w:val="single" w:sz="4" w:space="0" w:color="auto"/>
              <w:bottom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固体废物</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施工及运营期生活垃圾收集、处置</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5</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426"/>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Borders>
              <w:top w:val="single" w:sz="4" w:space="0" w:color="auto"/>
              <w:bottom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桥梁钻渣等的处理</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332"/>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Borders>
              <w:top w:val="single" w:sz="4" w:space="0" w:color="auto"/>
              <w:bottom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废活性炭</w:t>
            </w:r>
            <w:r>
              <w:rPr>
                <w:rFonts w:eastAsiaTheme="minorEastAsia" w:cs="Times New Roman"/>
                <w:sz w:val="18"/>
                <w:szCs w:val="18"/>
              </w:rPr>
              <w:t>等</w:t>
            </w:r>
            <w:r>
              <w:rPr>
                <w:rFonts w:eastAsiaTheme="minorEastAsia" w:cs="Times New Roman"/>
                <w:sz w:val="18"/>
                <w:szCs w:val="18"/>
              </w:rPr>
              <w:t>委托有资质单位处置，废沥青处理</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295"/>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Borders>
              <w:top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声环境</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减速、禁止鸣笛等标牌</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15</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38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环境空气</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洒水车；施工营地等施工围挡及其他扬尘控制措施；</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20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292"/>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劳动保护</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施工人员</w:t>
            </w:r>
            <w:r>
              <w:rPr>
                <w:rFonts w:eastAsiaTheme="minorEastAsia" w:cs="Times New Roman"/>
                <w:sz w:val="18"/>
                <w:szCs w:val="18"/>
              </w:rPr>
              <w:t>佩戴</w:t>
            </w:r>
            <w:r>
              <w:rPr>
                <w:rFonts w:eastAsiaTheme="minorEastAsia" w:cs="Times New Roman"/>
                <w:sz w:val="18"/>
                <w:szCs w:val="18"/>
              </w:rPr>
              <w:t>防尘口罩</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5</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施工单位</w:t>
            </w:r>
          </w:p>
        </w:tc>
      </w:tr>
      <w:tr w:rsidR="00A46452">
        <w:trPr>
          <w:trHeight w:hRule="exact" w:val="605"/>
          <w:jc w:val="center"/>
        </w:trPr>
        <w:tc>
          <w:tcPr>
            <w:tcW w:w="26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运营期环境保护措施</w:t>
            </w:r>
          </w:p>
        </w:tc>
        <w:tc>
          <w:tcPr>
            <w:tcW w:w="55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水环境</w:t>
            </w:r>
          </w:p>
        </w:tc>
        <w:tc>
          <w:tcPr>
            <w:tcW w:w="499" w:type="pct"/>
            <w:vMerge w:val="restart"/>
            <w:tcBorders>
              <w:righ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生活</w:t>
            </w:r>
          </w:p>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污水</w:t>
            </w:r>
          </w:p>
        </w:tc>
        <w:tc>
          <w:tcPr>
            <w:tcW w:w="946" w:type="pct"/>
            <w:tcBorders>
              <w:lef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处服务区</w:t>
            </w:r>
          </w:p>
        </w:tc>
        <w:tc>
          <w:tcPr>
            <w:tcW w:w="1459"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2</w:t>
            </w:r>
            <w:r>
              <w:rPr>
                <w:rFonts w:eastAsiaTheme="minorEastAsia" w:cs="Times New Roman"/>
                <w:sz w:val="18"/>
                <w:szCs w:val="18"/>
              </w:rPr>
              <w:t>套一体化污水处理设施（出水水质能满足新疆维吾尔自治区地方标准《农村生活污水处理排放标准》（</w:t>
            </w:r>
            <w:r>
              <w:rPr>
                <w:rFonts w:eastAsiaTheme="minorEastAsia" w:cs="Times New Roman"/>
                <w:sz w:val="18"/>
                <w:szCs w:val="18"/>
              </w:rPr>
              <w:t>DB654275-2019</w:t>
            </w:r>
            <w:r>
              <w:rPr>
                <w:rFonts w:eastAsiaTheme="minorEastAsia" w:cs="Times New Roman"/>
                <w:sz w:val="18"/>
                <w:szCs w:val="18"/>
              </w:rPr>
              <w:t>）表</w:t>
            </w:r>
            <w:r>
              <w:rPr>
                <w:rFonts w:eastAsiaTheme="minorEastAsia" w:cs="Times New Roman"/>
                <w:sz w:val="18"/>
                <w:szCs w:val="18"/>
              </w:rPr>
              <w:t>2</w:t>
            </w:r>
            <w:r>
              <w:rPr>
                <w:rFonts w:eastAsiaTheme="minorEastAsia" w:cs="Times New Roman"/>
                <w:sz w:val="18"/>
                <w:szCs w:val="18"/>
              </w:rPr>
              <w:t>中</w:t>
            </w:r>
            <w:r>
              <w:rPr>
                <w:rFonts w:eastAsiaTheme="minorEastAsia" w:cs="Times New Roman" w:hint="eastAsia"/>
                <w:sz w:val="18"/>
                <w:szCs w:val="18"/>
              </w:rPr>
              <w:t>A</w:t>
            </w:r>
            <w:r>
              <w:rPr>
                <w:rFonts w:eastAsiaTheme="minorEastAsia" w:cs="Times New Roman"/>
                <w:sz w:val="18"/>
                <w:szCs w:val="18"/>
              </w:rPr>
              <w:t>级限值</w:t>
            </w:r>
          </w:p>
        </w:tc>
        <w:tc>
          <w:tcPr>
            <w:tcW w:w="56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60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611"/>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499" w:type="pct"/>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946" w:type="pct"/>
            <w:tcBorders>
              <w:lef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w:t>
            </w:r>
            <w:r>
              <w:rPr>
                <w:rFonts w:eastAsiaTheme="minorEastAsia" w:cs="Times New Roman"/>
                <w:sz w:val="18"/>
                <w:szCs w:val="18"/>
              </w:rPr>
              <w:t>处停车区</w:t>
            </w:r>
          </w:p>
        </w:tc>
        <w:tc>
          <w:tcPr>
            <w:tcW w:w="1459"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538"/>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499" w:type="pct"/>
            <w:vMerge w:val="restart"/>
            <w:tcBorders>
              <w:righ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环境风险</w:t>
            </w:r>
          </w:p>
        </w:tc>
        <w:tc>
          <w:tcPr>
            <w:tcW w:w="946" w:type="pct"/>
            <w:tcBorders>
              <w:lef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桥梁高</w:t>
            </w:r>
            <w:r>
              <w:rPr>
                <w:rFonts w:eastAsiaTheme="minorEastAsia" w:cs="Times New Roman"/>
                <w:sz w:val="18"/>
                <w:szCs w:val="18"/>
              </w:rPr>
              <w:t>1.2m</w:t>
            </w:r>
            <w:r>
              <w:rPr>
                <w:rFonts w:eastAsiaTheme="minorEastAsia" w:cs="Times New Roman"/>
                <w:sz w:val="18"/>
                <w:szCs w:val="18"/>
              </w:rPr>
              <w:t>防撞护栏</w:t>
            </w:r>
          </w:p>
        </w:tc>
        <w:tc>
          <w:tcPr>
            <w:tcW w:w="1459"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防范运输事故</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50</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277"/>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499" w:type="pct"/>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946" w:type="pct"/>
            <w:tcBorders>
              <w:lef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警示牌</w:t>
            </w:r>
          </w:p>
        </w:tc>
        <w:tc>
          <w:tcPr>
            <w:tcW w:w="1459"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防范运输事故</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5</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277"/>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499" w:type="pct"/>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946" w:type="pct"/>
            <w:tcBorders>
              <w:lef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应急器材</w:t>
            </w:r>
          </w:p>
        </w:tc>
        <w:tc>
          <w:tcPr>
            <w:tcW w:w="1459"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15</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311"/>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1056" w:type="pct"/>
            <w:gridSpan w:val="2"/>
            <w:vMerge w:val="restart"/>
            <w:tcBorders>
              <w:right w:val="single" w:sz="4" w:space="0" w:color="auto"/>
            </w:tcBorders>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声环境</w:t>
            </w:r>
          </w:p>
        </w:tc>
        <w:tc>
          <w:tcPr>
            <w:tcW w:w="2405" w:type="pct"/>
            <w:gridSpan w:val="2"/>
            <w:tcBorders>
              <w:left w:val="single" w:sz="4" w:space="0" w:color="auto"/>
            </w:tcBorders>
          </w:tcPr>
          <w:p w:rsidR="00A46452" w:rsidRDefault="009A3928">
            <w:pPr>
              <w:wordWrap w:val="0"/>
              <w:topLinePunct/>
              <w:adjustRightInd w:val="0"/>
              <w:snapToGrid w:val="0"/>
              <w:spacing w:line="240" w:lineRule="exact"/>
              <w:ind w:firstLineChars="0" w:firstLine="0"/>
              <w:jc w:val="center"/>
              <w:textAlignment w:val="baseline"/>
              <w:rPr>
                <w:rFonts w:eastAsiaTheme="minorEastAsia" w:cs="Times New Roman"/>
                <w:kern w:val="0"/>
                <w:sz w:val="18"/>
                <w:szCs w:val="18"/>
              </w:rPr>
            </w:pPr>
            <w:r>
              <w:rPr>
                <w:rFonts w:eastAsiaTheme="minorEastAsia" w:cs="Times New Roman"/>
                <w:kern w:val="0"/>
                <w:sz w:val="18"/>
                <w:szCs w:val="18"/>
              </w:rPr>
              <w:t>禁鸣标志</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3</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234"/>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1056" w:type="pct"/>
            <w:gridSpan w:val="2"/>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405" w:type="pct"/>
            <w:gridSpan w:val="2"/>
            <w:vMerge w:val="restart"/>
            <w:tcBorders>
              <w:left w:val="single" w:sz="4" w:space="0" w:color="auto"/>
            </w:tcBorders>
          </w:tcPr>
          <w:p w:rsidR="00A46452" w:rsidRDefault="009A3928">
            <w:pPr>
              <w:wordWrap w:val="0"/>
              <w:topLinePunct/>
              <w:adjustRightInd w:val="0"/>
              <w:snapToGrid w:val="0"/>
              <w:spacing w:line="240" w:lineRule="exact"/>
              <w:ind w:firstLineChars="0" w:firstLine="0"/>
              <w:jc w:val="center"/>
              <w:textAlignment w:val="baseline"/>
              <w:rPr>
                <w:rFonts w:eastAsiaTheme="minorEastAsia" w:cs="Times New Roman"/>
                <w:kern w:val="0"/>
                <w:sz w:val="18"/>
                <w:szCs w:val="18"/>
              </w:rPr>
            </w:pPr>
            <w:r>
              <w:rPr>
                <w:rFonts w:cs="Times New Roman"/>
                <w:bCs/>
                <w:sz w:val="18"/>
                <w:szCs w:val="18"/>
              </w:rPr>
              <w:t>隔声窗、声屏障</w:t>
            </w:r>
          </w:p>
        </w:tc>
        <w:tc>
          <w:tcPr>
            <w:tcW w:w="56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cs="Times New Roman"/>
                <w:bCs/>
                <w:sz w:val="18"/>
                <w:szCs w:val="18"/>
              </w:rPr>
              <w:t>179</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35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1056" w:type="pct"/>
            <w:gridSpan w:val="2"/>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405" w:type="pct"/>
            <w:gridSpan w:val="2"/>
            <w:vMerge/>
            <w:tcBorders>
              <w:left w:val="single" w:sz="4" w:space="0" w:color="auto"/>
            </w:tcBorders>
          </w:tcPr>
          <w:p w:rsidR="00A46452" w:rsidRDefault="00A46452">
            <w:pPr>
              <w:wordWrap w:val="0"/>
              <w:topLinePunct/>
              <w:adjustRightInd w:val="0"/>
              <w:snapToGrid w:val="0"/>
              <w:spacing w:line="240" w:lineRule="exact"/>
              <w:ind w:firstLineChars="0" w:firstLine="0"/>
              <w:jc w:val="center"/>
              <w:textAlignment w:val="baseline"/>
              <w:rPr>
                <w:rFonts w:eastAsiaTheme="minorEastAsia" w:cs="Times New Roman"/>
                <w:kern w:val="0"/>
                <w:sz w:val="18"/>
                <w:szCs w:val="18"/>
              </w:rPr>
            </w:pPr>
          </w:p>
        </w:tc>
        <w:tc>
          <w:tcPr>
            <w:tcW w:w="5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272"/>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1056" w:type="pct"/>
            <w:gridSpan w:val="2"/>
            <w:vMerge/>
            <w:tcBorders>
              <w:right w:val="single" w:sz="4" w:space="0" w:color="auto"/>
            </w:tcBorders>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405" w:type="pct"/>
            <w:gridSpan w:val="2"/>
            <w:tcBorders>
              <w:left w:val="single" w:sz="4" w:space="0" w:color="auto"/>
            </w:tcBorders>
          </w:tcPr>
          <w:p w:rsidR="00A46452" w:rsidRDefault="009A3928">
            <w:pPr>
              <w:wordWrap w:val="0"/>
              <w:topLinePunct/>
              <w:adjustRightInd w:val="0"/>
              <w:snapToGrid w:val="0"/>
              <w:spacing w:line="240" w:lineRule="exact"/>
              <w:ind w:firstLineChars="0" w:firstLine="0"/>
              <w:jc w:val="center"/>
              <w:textAlignment w:val="baseline"/>
              <w:rPr>
                <w:rFonts w:eastAsiaTheme="minorEastAsia" w:cs="Times New Roman"/>
                <w:kern w:val="0"/>
                <w:sz w:val="18"/>
                <w:szCs w:val="18"/>
              </w:rPr>
            </w:pPr>
            <w:r>
              <w:rPr>
                <w:rFonts w:eastAsiaTheme="minorEastAsia" w:cs="Times New Roman"/>
                <w:kern w:val="0"/>
                <w:sz w:val="18"/>
                <w:szCs w:val="18"/>
              </w:rPr>
              <w:t>跟踪监测</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7</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436"/>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环境空气</w:t>
            </w:r>
          </w:p>
        </w:tc>
        <w:tc>
          <w:tcPr>
            <w:tcW w:w="2904" w:type="pct"/>
            <w:gridSpan w:val="3"/>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营运期配备路面清扫车和洒水车减少路面扬尘</w:t>
            </w:r>
          </w:p>
        </w:tc>
        <w:tc>
          <w:tcPr>
            <w:tcW w:w="567" w:type="pct"/>
            <w:vMerge w:val="restar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12</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436"/>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2904" w:type="pct"/>
            <w:gridSpan w:val="3"/>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59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固体废物</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辅助设施生活垃圾收集处置、公路沿线垃圾收集清运</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12</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422"/>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环境监测</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营运期跟踪环境监测</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100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323"/>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环境监理</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施工期环境监理</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100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578"/>
          <w:jc w:val="center"/>
        </w:trPr>
        <w:tc>
          <w:tcPr>
            <w:tcW w:w="267" w:type="pct"/>
            <w:vMerge/>
          </w:tcPr>
          <w:p w:rsidR="00A46452" w:rsidRDefault="00A46452">
            <w:pPr>
              <w:pStyle w:val="TableParagraph"/>
              <w:wordWrap w:val="0"/>
              <w:topLinePunct/>
              <w:spacing w:line="240" w:lineRule="exact"/>
              <w:ind w:firstLineChars="0" w:firstLine="0"/>
              <w:jc w:val="center"/>
              <w:rPr>
                <w:rFonts w:eastAsiaTheme="minorEastAsia" w:cs="Times New Roman"/>
                <w:sz w:val="18"/>
                <w:szCs w:val="18"/>
              </w:rPr>
            </w:pPr>
          </w:p>
        </w:tc>
        <w:tc>
          <w:tcPr>
            <w:tcW w:w="55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竣工环保验收</w:t>
            </w:r>
          </w:p>
        </w:tc>
        <w:tc>
          <w:tcPr>
            <w:tcW w:w="2904" w:type="pct"/>
            <w:gridSpan w:val="3"/>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竣工环境保护验收</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20</w:t>
            </w:r>
          </w:p>
        </w:tc>
        <w:tc>
          <w:tcPr>
            <w:tcW w:w="703"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建设单位</w:t>
            </w:r>
          </w:p>
        </w:tc>
      </w:tr>
      <w:tr w:rsidR="00A46452">
        <w:trPr>
          <w:trHeight w:hRule="exact" w:val="371"/>
          <w:jc w:val="center"/>
        </w:trPr>
        <w:tc>
          <w:tcPr>
            <w:tcW w:w="3729" w:type="pct"/>
            <w:gridSpan w:val="5"/>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小计</w:t>
            </w:r>
          </w:p>
        </w:tc>
        <w:tc>
          <w:tcPr>
            <w:tcW w:w="567" w:type="pct"/>
          </w:tcPr>
          <w:p w:rsidR="00A46452" w:rsidRDefault="009A3928">
            <w:pPr>
              <w:pStyle w:val="TableParagraph"/>
              <w:wordWrap w:val="0"/>
              <w:topLinePunct/>
              <w:spacing w:line="240" w:lineRule="exact"/>
              <w:ind w:firstLineChars="0" w:firstLine="0"/>
              <w:jc w:val="center"/>
              <w:rPr>
                <w:rFonts w:eastAsiaTheme="minorEastAsia" w:cs="Times New Roman"/>
                <w:sz w:val="18"/>
                <w:szCs w:val="18"/>
              </w:rPr>
            </w:pPr>
            <w:r>
              <w:rPr>
                <w:rFonts w:eastAsiaTheme="minorEastAsia" w:cs="Times New Roman" w:hint="eastAsia"/>
                <w:sz w:val="18"/>
                <w:szCs w:val="18"/>
              </w:rPr>
              <w:t>720</w:t>
            </w:r>
          </w:p>
        </w:tc>
        <w:tc>
          <w:tcPr>
            <w:tcW w:w="703" w:type="pct"/>
          </w:tcPr>
          <w:p w:rsidR="00A46452" w:rsidRDefault="009A3928">
            <w:pPr>
              <w:wordWrap w:val="0"/>
              <w:topLinePunct/>
              <w:spacing w:line="240" w:lineRule="exact"/>
              <w:ind w:firstLineChars="0" w:firstLine="0"/>
              <w:jc w:val="center"/>
              <w:rPr>
                <w:rFonts w:eastAsiaTheme="minorEastAsia" w:cs="Times New Roman"/>
                <w:sz w:val="18"/>
                <w:szCs w:val="18"/>
              </w:rPr>
            </w:pPr>
            <w:r>
              <w:rPr>
                <w:rFonts w:eastAsiaTheme="minorEastAsia" w:cs="Times New Roman"/>
                <w:sz w:val="18"/>
                <w:szCs w:val="18"/>
              </w:rPr>
              <w:t>/</w:t>
            </w:r>
          </w:p>
        </w:tc>
      </w:tr>
    </w:tbl>
    <w:p w:rsidR="00A46452" w:rsidRDefault="00A46452" w:rsidP="00182EED">
      <w:pPr>
        <w:wordWrap w:val="0"/>
        <w:topLinePunct/>
        <w:adjustRightInd w:val="0"/>
        <w:snapToGrid w:val="0"/>
        <w:ind w:firstLine="420"/>
        <w:rPr>
          <w:rFonts w:cs="Times New Roman"/>
          <w:sz w:val="21"/>
          <w:szCs w:val="24"/>
        </w:rPr>
      </w:pPr>
    </w:p>
    <w:p w:rsidR="00A46452" w:rsidRDefault="00A46452" w:rsidP="00182EED">
      <w:pPr>
        <w:wordWrap w:val="0"/>
        <w:topLinePunct/>
        <w:adjustRightInd w:val="0"/>
        <w:snapToGrid w:val="0"/>
        <w:ind w:firstLine="420"/>
        <w:rPr>
          <w:rFonts w:cs="Times New Roman"/>
          <w:sz w:val="21"/>
          <w:szCs w:val="24"/>
        </w:rPr>
        <w:sectPr w:rsidR="00A46452">
          <w:pgSz w:w="11905" w:h="16838"/>
          <w:pgMar w:top="1383" w:right="1803" w:bottom="1383" w:left="1803" w:header="850" w:footer="680" w:gutter="0"/>
          <w:cols w:space="0"/>
          <w:docGrid w:type="lines" w:linePitch="331"/>
        </w:sectPr>
      </w:pPr>
    </w:p>
    <w:p w:rsidR="00A46452" w:rsidRDefault="009A3928">
      <w:pPr>
        <w:pStyle w:val="1"/>
        <w:wordWrap w:val="0"/>
        <w:topLinePunct/>
        <w:adjustRightInd w:val="0"/>
        <w:snapToGrid w:val="0"/>
        <w:jc w:val="left"/>
        <w:rPr>
          <w:rFonts w:eastAsia="黑体" w:cs="Times New Roman" w:hint="default"/>
          <w:sz w:val="32"/>
          <w:szCs w:val="32"/>
        </w:rPr>
      </w:pPr>
      <w:bookmarkStart w:id="418" w:name="_Toc15670"/>
      <w:bookmarkStart w:id="419" w:name="_Toc187080720"/>
      <w:bookmarkStart w:id="420" w:name="_Toc316561746"/>
      <w:bookmarkStart w:id="421" w:name="_Toc4507869"/>
      <w:bookmarkStart w:id="422" w:name="_Toc192264502"/>
      <w:bookmarkStart w:id="423" w:name="_Toc346739706"/>
      <w:bookmarkStart w:id="424" w:name="_Toc316511185"/>
      <w:bookmarkStart w:id="425" w:name="_Toc381606125"/>
      <w:r>
        <w:rPr>
          <w:rFonts w:eastAsia="黑体" w:cs="Times New Roman" w:hint="default"/>
          <w:sz w:val="32"/>
          <w:szCs w:val="32"/>
        </w:rPr>
        <w:t>9</w:t>
      </w:r>
      <w:r>
        <w:rPr>
          <w:rFonts w:eastAsia="黑体" w:cs="Times New Roman" w:hint="default"/>
          <w:sz w:val="32"/>
          <w:szCs w:val="32"/>
        </w:rPr>
        <w:t>环境影响经济损益分析</w:t>
      </w:r>
      <w:bookmarkEnd w:id="418"/>
      <w:bookmarkEnd w:id="419"/>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工程建成后获得的效益是多方面的，可分为经济效益、社会效益和环境效益三部分。经济效益又可分为直接经济效益和间接经济效益。直接经济效益是指道路使用者获得的效益，主要是由于交通条件改善而产生的节约效益（包括车辆运行成本的节约和行驶时间的节约）、车辆行驶里程缩短而得到的效益、交通运输网得到改善而产生的效益和交通事故减少产生的效益等；间接经济效益是指随着交通条件的改善，地区经济得以更好地发展，沿线土地增值、地区财政收入增加等。社会效益主要指项目的建成可改善区域交通状况和当地人员生活质量、环境保护、改善投资环境等。环境</w:t>
      </w:r>
      <w:r>
        <w:rPr>
          <w:rFonts w:cs="Times New Roman"/>
          <w:snapToGrid w:val="0"/>
          <w:szCs w:val="24"/>
          <w:lang w:val="zh-CN"/>
        </w:rPr>
        <w:t>效益主要指项目对生态环境的正效益。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项目实施的投资效果，通常取决于它所带来的经济效益、社会效益和环境效益的优劣。本项目的建设加强了</w:t>
      </w:r>
      <w:r>
        <w:rPr>
          <w:rFonts w:cs="Times New Roman"/>
          <w:snapToGrid w:val="0"/>
          <w:szCs w:val="24"/>
        </w:rPr>
        <w:t>第</w:t>
      </w:r>
      <w:r>
        <w:rPr>
          <w:rFonts w:cs="Times New Roman"/>
          <w:snapToGrid w:val="0"/>
          <w:szCs w:val="24"/>
        </w:rPr>
        <w:t>三</w:t>
      </w:r>
      <w:r>
        <w:rPr>
          <w:rFonts w:cs="Times New Roman"/>
          <w:snapToGrid w:val="0"/>
          <w:szCs w:val="24"/>
        </w:rPr>
        <w:t>师</w:t>
      </w:r>
      <w:r>
        <w:rPr>
          <w:rFonts w:cs="Times New Roman"/>
          <w:snapToGrid w:val="0"/>
          <w:szCs w:val="24"/>
        </w:rPr>
        <w:t>图木舒克</w:t>
      </w:r>
      <w:r>
        <w:rPr>
          <w:rFonts w:cs="Times New Roman"/>
          <w:snapToGrid w:val="0"/>
          <w:szCs w:val="24"/>
        </w:rPr>
        <w:t>市、阿克苏地区</w:t>
      </w:r>
      <w:r>
        <w:rPr>
          <w:rFonts w:cs="Times New Roman"/>
          <w:snapToGrid w:val="0"/>
          <w:szCs w:val="24"/>
        </w:rPr>
        <w:t>柯坪县</w:t>
      </w:r>
      <w:r>
        <w:rPr>
          <w:rFonts w:cs="Times New Roman"/>
          <w:snapToGrid w:val="0"/>
          <w:szCs w:val="24"/>
          <w:lang w:val="zh-CN"/>
        </w:rPr>
        <w:t>之间的联系，进一步完善了自治区、兵团及第</w:t>
      </w:r>
      <w:r>
        <w:rPr>
          <w:rFonts w:cs="Times New Roman"/>
          <w:snapToGrid w:val="0"/>
          <w:szCs w:val="24"/>
        </w:rPr>
        <w:t>三</w:t>
      </w:r>
      <w:r>
        <w:rPr>
          <w:rFonts w:cs="Times New Roman"/>
          <w:snapToGrid w:val="0"/>
          <w:szCs w:val="24"/>
          <w:lang w:val="zh-CN"/>
        </w:rPr>
        <w:t>师公路网，有利于促进第</w:t>
      </w:r>
      <w:r>
        <w:rPr>
          <w:rFonts w:cs="Times New Roman"/>
          <w:snapToGrid w:val="0"/>
          <w:szCs w:val="24"/>
        </w:rPr>
        <w:t>三</w:t>
      </w:r>
      <w:r>
        <w:rPr>
          <w:rFonts w:cs="Times New Roman"/>
          <w:snapToGrid w:val="0"/>
          <w:szCs w:val="24"/>
          <w:lang w:val="zh-CN"/>
        </w:rPr>
        <w:t>师</w:t>
      </w:r>
      <w:r>
        <w:rPr>
          <w:rFonts w:cs="Times New Roman"/>
          <w:snapToGrid w:val="0"/>
          <w:szCs w:val="24"/>
        </w:rPr>
        <w:t>图木舒克</w:t>
      </w:r>
      <w:r>
        <w:rPr>
          <w:rFonts w:cs="Times New Roman"/>
          <w:snapToGrid w:val="0"/>
          <w:szCs w:val="24"/>
          <w:lang w:val="zh-CN"/>
        </w:rPr>
        <w:t>市的经济社会发展，有利于加强兵团在南疆力量建设，有利于维护南疆社会稳定。此项目的实施对提高社会效益、路网功能改善意义重大。</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26" w:name="_Toc187080721"/>
      <w:bookmarkStart w:id="427" w:name="_Toc4460"/>
      <w:r>
        <w:rPr>
          <w:rFonts w:cs="Times New Roman" w:hint="default"/>
          <w:sz w:val="30"/>
          <w:szCs w:val="30"/>
        </w:rPr>
        <w:t>9.1</w:t>
      </w:r>
      <w:r>
        <w:rPr>
          <w:rFonts w:cs="Times New Roman" w:hint="default"/>
          <w:sz w:val="30"/>
          <w:szCs w:val="30"/>
        </w:rPr>
        <w:t>经济效益分析</w:t>
      </w:r>
      <w:bookmarkEnd w:id="426"/>
      <w:bookmarkEnd w:id="42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9.1.1</w:t>
      </w:r>
      <w:r>
        <w:rPr>
          <w:rFonts w:cs="Times New Roman" w:hint="default"/>
          <w:sz w:val="28"/>
          <w:szCs w:val="28"/>
        </w:rPr>
        <w:t>直接经济效益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本项目的实施</w:t>
      </w:r>
      <w:r>
        <w:rPr>
          <w:rFonts w:cs="Times New Roman"/>
          <w:szCs w:val="24"/>
        </w:rPr>
        <w:t>将对加快沿线地区产品资源、旅游资源开发，为沿线人民群众创造就业机会、增加当地居民的收入，提高人民群众的生活水平，促进区域经济协调发展都将起到积极作用。同时，项目的快速实施能够有效</w:t>
      </w:r>
      <w:r>
        <w:rPr>
          <w:rFonts w:cs="Times New Roman"/>
          <w:szCs w:val="24"/>
        </w:rPr>
        <w:t>地</w:t>
      </w:r>
      <w:r>
        <w:rPr>
          <w:rFonts w:cs="Times New Roman"/>
          <w:szCs w:val="24"/>
        </w:rPr>
        <w:t>提高</w:t>
      </w:r>
      <w:r>
        <w:rPr>
          <w:rFonts w:cs="Times New Roman"/>
          <w:snapToGrid w:val="0"/>
          <w:szCs w:val="24"/>
        </w:rPr>
        <w:t>第</w:t>
      </w:r>
      <w:r>
        <w:rPr>
          <w:rFonts w:cs="Times New Roman"/>
          <w:snapToGrid w:val="0"/>
          <w:szCs w:val="24"/>
        </w:rPr>
        <w:t>三</w:t>
      </w:r>
      <w:r>
        <w:rPr>
          <w:rFonts w:cs="Times New Roman"/>
          <w:snapToGrid w:val="0"/>
          <w:szCs w:val="24"/>
        </w:rPr>
        <w:t>师</w:t>
      </w:r>
      <w:r>
        <w:rPr>
          <w:rFonts w:cs="Times New Roman"/>
          <w:snapToGrid w:val="0"/>
          <w:szCs w:val="24"/>
        </w:rPr>
        <w:t>图木舒克市</w:t>
      </w:r>
      <w:r>
        <w:rPr>
          <w:rFonts w:cs="Times New Roman"/>
          <w:snapToGrid w:val="0"/>
          <w:szCs w:val="24"/>
        </w:rPr>
        <w:t>、阿克苏地区</w:t>
      </w:r>
      <w:r>
        <w:rPr>
          <w:rFonts w:cs="Times New Roman"/>
          <w:snapToGrid w:val="0"/>
          <w:szCs w:val="24"/>
        </w:rPr>
        <w:t>柯坪</w:t>
      </w:r>
      <w:r>
        <w:rPr>
          <w:rFonts w:cs="Times New Roman"/>
          <w:snapToGrid w:val="0"/>
          <w:szCs w:val="24"/>
        </w:rPr>
        <w:t>县</w:t>
      </w:r>
      <w:r>
        <w:rPr>
          <w:rFonts w:cs="Times New Roman"/>
          <w:szCs w:val="24"/>
        </w:rPr>
        <w:t>的运输效率。因此，建设项目是积极有利的。</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交通是国家的基础产业，是社会发展的重要前提和先行行业，它在国民经济中起着举足轻重的作用。本项目的建设在加强民族团结、维护国家统一、巩固边防、促进商品流通、扩大对外贸易及改善人民群众的生活条件等方面都具有重大意义。</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9.1.2</w:t>
      </w:r>
      <w:r>
        <w:rPr>
          <w:rFonts w:cs="Times New Roman" w:hint="default"/>
          <w:sz w:val="28"/>
          <w:szCs w:val="28"/>
        </w:rPr>
        <w:t>经济评价结果</w:t>
      </w:r>
    </w:p>
    <w:p w:rsidR="00A46452" w:rsidRDefault="009A3928" w:rsidP="00182EED">
      <w:pPr>
        <w:wordWrap w:val="0"/>
        <w:topLinePunct/>
        <w:adjustRightInd w:val="0"/>
        <w:snapToGrid w:val="0"/>
        <w:ind w:firstLine="480"/>
        <w:jc w:val="left"/>
        <w:rPr>
          <w:rFonts w:cs="Times New Roman"/>
          <w:snapToGrid w:val="0"/>
          <w:szCs w:val="24"/>
          <w:lang w:val="zh-CN"/>
        </w:rPr>
      </w:pPr>
      <w:r>
        <w:rPr>
          <w:rFonts w:cs="Times New Roman"/>
          <w:snapToGrid w:val="0"/>
          <w:szCs w:val="24"/>
          <w:lang w:val="zh-CN"/>
        </w:rPr>
        <w:t>本项目推荐方案全长</w:t>
      </w:r>
      <w:r>
        <w:rPr>
          <w:rFonts w:cs="Times New Roman"/>
          <w:snapToGrid w:val="0"/>
          <w:szCs w:val="24"/>
        </w:rPr>
        <w:t>107.379km</w:t>
      </w:r>
      <w:r>
        <w:rPr>
          <w:rFonts w:cs="Times New Roman"/>
          <w:snapToGrid w:val="0"/>
          <w:szCs w:val="24"/>
          <w:lang w:val="zh-CN"/>
        </w:rPr>
        <w:t>，</w:t>
      </w:r>
      <w:r>
        <w:rPr>
          <w:rFonts w:cs="Times New Roman"/>
          <w:snapToGrid w:val="0"/>
          <w:szCs w:val="24"/>
        </w:rPr>
        <w:t>本工程总估算投资</w:t>
      </w:r>
      <w:r>
        <w:rPr>
          <w:rFonts w:cs="Times New Roman"/>
          <w:kern w:val="0"/>
          <w:szCs w:val="24"/>
          <w:lang w:bidi="ar"/>
        </w:rPr>
        <w:t>117219</w:t>
      </w:r>
      <w:r>
        <w:rPr>
          <w:rFonts w:cs="Times New Roman"/>
          <w:kern w:val="0"/>
          <w:szCs w:val="24"/>
          <w:lang w:bidi="ar"/>
        </w:rPr>
        <w:t>万元</w:t>
      </w:r>
      <w:r>
        <w:rPr>
          <w:rFonts w:cs="Times New Roman"/>
          <w:snapToGrid w:val="0"/>
          <w:szCs w:val="24"/>
        </w:rPr>
        <w:t>。</w:t>
      </w:r>
      <w:r>
        <w:rPr>
          <w:rFonts w:cs="Times New Roman"/>
          <w:snapToGrid w:val="0"/>
          <w:szCs w:val="24"/>
          <w:lang w:val="zh-CN"/>
        </w:rPr>
        <w:t>根据国民经济评价结果该项目经济</w:t>
      </w:r>
      <w:r>
        <w:rPr>
          <w:rFonts w:cs="Times New Roman"/>
          <w:kern w:val="0"/>
          <w:szCs w:val="24"/>
          <w:lang w:bidi="ar"/>
        </w:rPr>
        <w:t>内部收益率</w:t>
      </w:r>
      <w:r>
        <w:rPr>
          <w:rFonts w:cs="Times New Roman"/>
          <w:kern w:val="0"/>
          <w:szCs w:val="24"/>
          <w:lang w:bidi="ar"/>
        </w:rPr>
        <w:t>1</w:t>
      </w:r>
      <w:r>
        <w:rPr>
          <w:rFonts w:cs="Times New Roman"/>
          <w:kern w:val="0"/>
          <w:szCs w:val="24"/>
          <w:lang w:bidi="ar"/>
        </w:rPr>
        <w:t>1.02%</w:t>
      </w:r>
      <w:r>
        <w:rPr>
          <w:rFonts w:cs="Times New Roman"/>
          <w:kern w:val="0"/>
          <w:szCs w:val="24"/>
          <w:lang w:bidi="ar"/>
        </w:rPr>
        <w:t>，效益费用比</w:t>
      </w:r>
      <w:r>
        <w:rPr>
          <w:rFonts w:cs="Times New Roman"/>
          <w:kern w:val="0"/>
          <w:szCs w:val="24"/>
          <w:lang w:bidi="ar"/>
        </w:rPr>
        <w:t>1.51</w:t>
      </w:r>
      <w:r>
        <w:rPr>
          <w:rFonts w:cs="Times New Roman"/>
          <w:kern w:val="0"/>
          <w:szCs w:val="24"/>
          <w:lang w:bidi="ar"/>
        </w:rPr>
        <w:t>，大于</w:t>
      </w:r>
      <w:r>
        <w:rPr>
          <w:rFonts w:cs="Times New Roman"/>
          <w:kern w:val="0"/>
          <w:szCs w:val="24"/>
          <w:lang w:bidi="ar"/>
        </w:rPr>
        <w:t>1</w:t>
      </w:r>
      <w:r>
        <w:rPr>
          <w:rFonts w:cs="Times New Roman"/>
          <w:snapToGrid w:val="0"/>
          <w:szCs w:val="24"/>
          <w:lang w:val="zh-CN"/>
        </w:rPr>
        <w:t>。动态投资回收期</w:t>
      </w:r>
      <w:r>
        <w:rPr>
          <w:rFonts w:cs="Times New Roman"/>
          <w:snapToGrid w:val="0"/>
          <w:szCs w:val="24"/>
        </w:rPr>
        <w:t>15.</w:t>
      </w:r>
      <w:r>
        <w:rPr>
          <w:rFonts w:cs="Times New Roman"/>
          <w:snapToGrid w:val="0"/>
          <w:szCs w:val="24"/>
          <w:lang w:val="zh-CN"/>
        </w:rPr>
        <w:t>3</w:t>
      </w:r>
      <w:r>
        <w:rPr>
          <w:rFonts w:cs="Times New Roman"/>
          <w:snapToGrid w:val="0"/>
          <w:szCs w:val="24"/>
          <w:lang w:val="zh-CN"/>
        </w:rPr>
        <w:t>年，分析表明本项目具备一定的经济效益。</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28" w:name="_Toc22222"/>
      <w:bookmarkStart w:id="429" w:name="_Toc187080722"/>
      <w:r>
        <w:rPr>
          <w:rFonts w:cs="Times New Roman" w:hint="default"/>
          <w:sz w:val="30"/>
          <w:szCs w:val="30"/>
        </w:rPr>
        <w:t>9.2</w:t>
      </w:r>
      <w:r>
        <w:rPr>
          <w:rFonts w:cs="Times New Roman" w:hint="default"/>
          <w:sz w:val="30"/>
          <w:szCs w:val="30"/>
        </w:rPr>
        <w:t>社会效益分析</w:t>
      </w:r>
      <w:bookmarkEnd w:id="428"/>
      <w:bookmarkEnd w:id="429"/>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社会效益包括以下几个方面：</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1</w:t>
      </w:r>
      <w:r>
        <w:rPr>
          <w:rFonts w:cs="Times New Roman"/>
          <w:snapToGrid w:val="0"/>
          <w:szCs w:val="24"/>
        </w:rPr>
        <w:t>）全面建设小康社会目标，促进地区经济发展</w:t>
      </w:r>
    </w:p>
    <w:p w:rsidR="00A46452" w:rsidRDefault="009A3928" w:rsidP="00182EED">
      <w:pPr>
        <w:wordWrap w:val="0"/>
        <w:topLinePunct/>
        <w:adjustRightInd w:val="0"/>
        <w:snapToGrid w:val="0"/>
        <w:ind w:firstLine="480"/>
        <w:jc w:val="left"/>
        <w:rPr>
          <w:rFonts w:cs="Times New Roman"/>
        </w:rPr>
      </w:pPr>
      <w:r>
        <w:rPr>
          <w:rFonts w:cs="Times New Roman"/>
          <w:kern w:val="0"/>
          <w:szCs w:val="24"/>
          <w:lang w:bidi="ar"/>
        </w:rPr>
        <w:t>第三师图木舒克市－柯坪县－乌什县公路（图木舒克</w:t>
      </w:r>
      <w:r>
        <w:rPr>
          <w:rFonts w:cs="Times New Roman"/>
          <w:kern w:val="0"/>
          <w:szCs w:val="24"/>
          <w:lang w:bidi="ar"/>
        </w:rPr>
        <w:t>-</w:t>
      </w:r>
      <w:r>
        <w:rPr>
          <w:rFonts w:cs="Times New Roman"/>
          <w:kern w:val="0"/>
          <w:szCs w:val="24"/>
          <w:lang w:bidi="ar"/>
        </w:rPr>
        <w:t>柯坪段）位于新疆生产建设兵团第三师图木舒克市、</w:t>
      </w:r>
      <w:r>
        <w:rPr>
          <w:rFonts w:cs="Times New Roman"/>
          <w:kern w:val="0"/>
          <w:szCs w:val="24"/>
          <w:lang w:bidi="ar"/>
        </w:rPr>
        <w:t>喀什地区</w:t>
      </w:r>
      <w:r>
        <w:rPr>
          <w:rFonts w:cs="Times New Roman"/>
          <w:kern w:val="0"/>
          <w:szCs w:val="24"/>
          <w:lang w:bidi="ar"/>
        </w:rPr>
        <w:t>巴楚县、</w:t>
      </w:r>
      <w:r>
        <w:rPr>
          <w:rFonts w:cs="Times New Roman"/>
          <w:kern w:val="0"/>
          <w:szCs w:val="24"/>
          <w:lang w:bidi="ar"/>
        </w:rPr>
        <w:t>阿克苏地区</w:t>
      </w:r>
      <w:r>
        <w:rPr>
          <w:rFonts w:cs="Times New Roman"/>
          <w:kern w:val="0"/>
          <w:szCs w:val="24"/>
          <w:lang w:bidi="ar"/>
        </w:rPr>
        <w:t>柯坪县境内，是兵团省道网规划中</w:t>
      </w:r>
      <w:r>
        <w:rPr>
          <w:rFonts w:cs="Times New Roman"/>
          <w:kern w:val="0"/>
          <w:szCs w:val="24"/>
          <w:lang w:bidi="ar"/>
        </w:rPr>
        <w:t>S308</w:t>
      </w:r>
      <w:r>
        <w:rPr>
          <w:rFonts w:cs="Times New Roman"/>
          <w:kern w:val="0"/>
          <w:szCs w:val="24"/>
          <w:lang w:bidi="ar"/>
        </w:rPr>
        <w:t>线的组成部分，也是南疆南北大通道：别迭里口岸－乌什县（</w:t>
      </w:r>
      <w:r>
        <w:rPr>
          <w:rFonts w:cs="Times New Roman"/>
          <w:kern w:val="0"/>
          <w:szCs w:val="24"/>
          <w:lang w:bidi="ar"/>
        </w:rPr>
        <w:t>G219</w:t>
      </w:r>
      <w:r>
        <w:rPr>
          <w:rFonts w:cs="Times New Roman"/>
          <w:kern w:val="0"/>
          <w:szCs w:val="24"/>
          <w:lang w:bidi="ar"/>
        </w:rPr>
        <w:t>）－阿克苏地区柯坪县（</w:t>
      </w:r>
      <w:r>
        <w:rPr>
          <w:rFonts w:cs="Times New Roman"/>
          <w:kern w:val="0"/>
          <w:szCs w:val="24"/>
          <w:lang w:bidi="ar"/>
        </w:rPr>
        <w:t>G3012</w:t>
      </w:r>
      <w:r>
        <w:rPr>
          <w:rFonts w:cs="Times New Roman"/>
          <w:kern w:val="0"/>
          <w:szCs w:val="24"/>
          <w:lang w:bidi="ar"/>
        </w:rPr>
        <w:t>、</w:t>
      </w:r>
      <w:r>
        <w:rPr>
          <w:rFonts w:cs="Times New Roman"/>
          <w:kern w:val="0"/>
          <w:szCs w:val="24"/>
          <w:lang w:bidi="ar"/>
        </w:rPr>
        <w:t>G314</w:t>
      </w:r>
      <w:r>
        <w:rPr>
          <w:rFonts w:cs="Times New Roman"/>
          <w:kern w:val="0"/>
          <w:szCs w:val="24"/>
          <w:lang w:bidi="ar"/>
        </w:rPr>
        <w:t>）－第三师图木舒克市（</w:t>
      </w:r>
      <w:r>
        <w:rPr>
          <w:rFonts w:cs="Times New Roman"/>
          <w:kern w:val="0"/>
          <w:szCs w:val="24"/>
          <w:lang w:bidi="ar"/>
        </w:rPr>
        <w:t>G217</w:t>
      </w:r>
      <w:r>
        <w:rPr>
          <w:rFonts w:cs="Times New Roman"/>
          <w:kern w:val="0"/>
          <w:szCs w:val="24"/>
          <w:lang w:bidi="ar"/>
        </w:rPr>
        <w:t>）－第十四师昆玉市、</w:t>
      </w:r>
      <w:r>
        <w:rPr>
          <w:rFonts w:cs="Times New Roman"/>
          <w:kern w:val="0"/>
          <w:szCs w:val="24"/>
          <w:lang w:bidi="ar"/>
        </w:rPr>
        <w:t xml:space="preserve">224 </w:t>
      </w:r>
      <w:r>
        <w:rPr>
          <w:rFonts w:cs="Times New Roman"/>
          <w:kern w:val="0"/>
          <w:szCs w:val="24"/>
          <w:lang w:bidi="ar"/>
        </w:rPr>
        <w:t>团（</w:t>
      </w:r>
      <w:r>
        <w:rPr>
          <w:rFonts w:cs="Times New Roman"/>
          <w:kern w:val="0"/>
          <w:szCs w:val="24"/>
          <w:lang w:bidi="ar"/>
        </w:rPr>
        <w:t>G315</w:t>
      </w:r>
      <w:r>
        <w:rPr>
          <w:rFonts w:cs="Times New Roman"/>
          <w:kern w:val="0"/>
          <w:szCs w:val="24"/>
          <w:lang w:bidi="ar"/>
        </w:rPr>
        <w:t>、</w:t>
      </w:r>
      <w:r>
        <w:rPr>
          <w:rFonts w:cs="Times New Roman"/>
          <w:kern w:val="0"/>
          <w:szCs w:val="24"/>
          <w:lang w:bidi="ar"/>
        </w:rPr>
        <w:t>G3012</w:t>
      </w:r>
      <w:r>
        <w:rPr>
          <w:rFonts w:cs="Times New Roman"/>
          <w:kern w:val="0"/>
          <w:szCs w:val="24"/>
          <w:lang w:bidi="ar"/>
        </w:rPr>
        <w:t>）的重要组成部分。同时也是图木舒克市东北方向对外的快速出口道路。项目的建成将实现公、铁、空联运、零距离转换，促进图木舒克市的综合交通运输发展。拟建公路的建设对维护区域稳定，促进兵地融合发展、促进社会经济发展，完善区域路网结构都有着重大意义。</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本项目的建设将带动垦区内各团场和乡镇经济的快速</w:t>
      </w:r>
      <w:r>
        <w:rPr>
          <w:rFonts w:cs="Times New Roman"/>
          <w:snapToGrid w:val="0"/>
          <w:szCs w:val="24"/>
        </w:rPr>
        <w:t>增长，对调整团场内部产业结构、提高货物流通速度都有显著的推动作用。同时，对加速发展团场小城镇建设，繁荣周边经济，提高人民生活水平，促进垦区农、工、商、建、贸和旅游业的迅速发展起着重要的作用。</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2</w:t>
      </w:r>
      <w:r>
        <w:rPr>
          <w:rFonts w:cs="Times New Roman"/>
          <w:snapToGrid w:val="0"/>
          <w:szCs w:val="24"/>
        </w:rPr>
        <w:t>）保证南疆地区经济发展、政治稳定</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项目区有着丰富的自然资源优势，是我区粮食、棉花以及畜牧业生产基地，许多农牧产品因其颇具特色而驰名中外；项目区有着丰富的水土光热资源，发展潜力巨大；项目区有着独特的自然风光和灿烂的历史文化以及丰富多彩的民风民俗。</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发达的交通路网会加快促进招商引资的进程，加快地区将资源优势转化为产业优</w:t>
      </w:r>
      <w:r>
        <w:rPr>
          <w:rFonts w:cs="Times New Roman"/>
          <w:snapToGrid w:val="0"/>
          <w:szCs w:val="24"/>
        </w:rPr>
        <w:t>势和经济优势的进程，巩固加快了地区的经济发展。本项目的兴建将有助于第</w:t>
      </w:r>
      <w:r>
        <w:rPr>
          <w:rFonts w:cs="Times New Roman"/>
          <w:snapToGrid w:val="0"/>
          <w:szCs w:val="24"/>
        </w:rPr>
        <w:t>三</w:t>
      </w:r>
      <w:r>
        <w:rPr>
          <w:rFonts w:cs="Times New Roman"/>
          <w:snapToGrid w:val="0"/>
          <w:szCs w:val="24"/>
        </w:rPr>
        <w:t>师</w:t>
      </w:r>
      <w:r>
        <w:rPr>
          <w:rFonts w:cs="Times New Roman"/>
          <w:snapToGrid w:val="0"/>
          <w:szCs w:val="24"/>
        </w:rPr>
        <w:t>图木舒克</w:t>
      </w:r>
      <w:r>
        <w:rPr>
          <w:rFonts w:cs="Times New Roman"/>
          <w:snapToGrid w:val="0"/>
          <w:szCs w:val="24"/>
        </w:rPr>
        <w:t>市经济稳步发展</w:t>
      </w:r>
      <w:r>
        <w:rPr>
          <w:rFonts w:cs="Times New Roman"/>
          <w:snapToGrid w:val="0"/>
          <w:szCs w:val="24"/>
        </w:rPr>
        <w:t>，</w:t>
      </w:r>
      <w:r>
        <w:rPr>
          <w:rFonts w:cs="Times New Roman"/>
          <w:snapToGrid w:val="0"/>
          <w:szCs w:val="24"/>
        </w:rPr>
        <w:t>率先实现南疆地区跨越式和长治久安。因此本项目建成后，能够有效</w:t>
      </w:r>
      <w:r>
        <w:rPr>
          <w:rFonts w:cs="Times New Roman"/>
          <w:snapToGrid w:val="0"/>
          <w:szCs w:val="24"/>
        </w:rPr>
        <w:t>地</w:t>
      </w:r>
      <w:r>
        <w:rPr>
          <w:rFonts w:cs="Times New Roman"/>
          <w:snapToGrid w:val="0"/>
          <w:szCs w:val="24"/>
        </w:rPr>
        <w:t>提高</w:t>
      </w:r>
      <w:r>
        <w:rPr>
          <w:rFonts w:cs="Times New Roman"/>
          <w:snapToGrid w:val="0"/>
          <w:szCs w:val="24"/>
          <w:lang w:val="zh-CN"/>
        </w:rPr>
        <w:t>区域</w:t>
      </w:r>
      <w:r>
        <w:rPr>
          <w:rFonts w:cs="Times New Roman"/>
          <w:snapToGrid w:val="0"/>
          <w:szCs w:val="24"/>
        </w:rPr>
        <w:t>运输效率，促进兵地融合，全面建成小康社会，实现全疆工作总目标</w:t>
      </w:r>
      <w:r>
        <w:rPr>
          <w:rFonts w:cs="Times New Roman"/>
          <w:snapToGrid w:val="0"/>
          <w:szCs w:val="24"/>
        </w:rPr>
        <w:t>——</w:t>
      </w:r>
      <w:r>
        <w:rPr>
          <w:rFonts w:cs="Times New Roman"/>
          <w:snapToGrid w:val="0"/>
          <w:szCs w:val="24"/>
        </w:rPr>
        <w:t>“</w:t>
      </w:r>
      <w:r>
        <w:rPr>
          <w:rFonts w:cs="Times New Roman"/>
          <w:snapToGrid w:val="0"/>
          <w:szCs w:val="24"/>
        </w:rPr>
        <w:t>社会稳定和长治久安</w:t>
      </w:r>
      <w:r>
        <w:rPr>
          <w:rFonts w:cs="Times New Roman"/>
          <w:snapToGrid w:val="0"/>
          <w:szCs w:val="24"/>
        </w:rPr>
        <w:t>”</w:t>
      </w:r>
      <w:r>
        <w:rPr>
          <w:rFonts w:cs="Times New Roman"/>
          <w:snapToGrid w:val="0"/>
          <w:szCs w:val="24"/>
        </w:rPr>
        <w:t>提供了有力的支撑。</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3</w:t>
      </w:r>
      <w:r>
        <w:rPr>
          <w:rFonts w:cs="Times New Roman"/>
          <w:snapToGrid w:val="0"/>
          <w:szCs w:val="24"/>
        </w:rPr>
        <w:t>）响应国家优先发展基础产业，刺激经济增长的方针政策</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公路作为最基本的公共基础设施，它的发展一直是经济发展的前提和命脉。无论是在发达国家，还是发展中国家，政府往往把增加公路投资作为改善经济疲软，刺激经济增长的手段。</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新疆兵团要加快基础设施建设，把基础设施建设作为新的经济增长点，使资源优势尽快地转化为产业优势和经济优势。对于拟建公路沿线各市、团场、县来说，其薄弱环节正是交通基础设施条件差，交通运输路线长、道路等级低，路况差，导致运输成本高，制约了其资源优势向产业优势及经济优势的转换，发展交通已成为当务之急，重中之重</w:t>
      </w:r>
      <w:r>
        <w:rPr>
          <w:rFonts w:cs="Times New Roman"/>
          <w:snapToGrid w:val="0"/>
          <w:szCs w:val="24"/>
        </w:rPr>
        <w:t>。</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w:t>
      </w:r>
      <w:r>
        <w:rPr>
          <w:rFonts w:cs="Times New Roman"/>
          <w:snapToGrid w:val="0"/>
          <w:szCs w:val="24"/>
        </w:rPr>
        <w:t>4</w:t>
      </w:r>
      <w:r>
        <w:rPr>
          <w:rFonts w:cs="Times New Roman"/>
          <w:snapToGrid w:val="0"/>
          <w:szCs w:val="24"/>
        </w:rPr>
        <w:t>）巩固国防，促进政治稳定，加强民族团结</w:t>
      </w:r>
    </w:p>
    <w:p w:rsidR="00A46452" w:rsidRDefault="009A3928">
      <w:pPr>
        <w:wordWrap w:val="0"/>
        <w:topLinePunct/>
        <w:adjustRightInd w:val="0"/>
        <w:snapToGrid w:val="0"/>
        <w:ind w:firstLine="480"/>
        <w:rPr>
          <w:rFonts w:cs="Times New Roman"/>
          <w:snapToGrid w:val="0"/>
          <w:szCs w:val="24"/>
        </w:rPr>
      </w:pPr>
      <w:r>
        <w:rPr>
          <w:rFonts w:cs="Times New Roman"/>
          <w:snapToGrid w:val="0"/>
          <w:szCs w:val="24"/>
        </w:rPr>
        <w:t>新疆维吾尔自治区地处我国西北边陲，与蒙古、俄罗斯、哈萨克斯坦、吉尔吉斯斯坦、塔吉克斯坦、阿富汗、巴基斯坦、印度等</w:t>
      </w:r>
      <w:r>
        <w:rPr>
          <w:rFonts w:cs="Times New Roman"/>
          <w:snapToGrid w:val="0"/>
          <w:szCs w:val="24"/>
        </w:rPr>
        <w:t>8</w:t>
      </w:r>
      <w:r>
        <w:rPr>
          <w:rFonts w:cs="Times New Roman"/>
          <w:snapToGrid w:val="0"/>
          <w:szCs w:val="24"/>
        </w:rPr>
        <w:t>个国家为邻，国境线长达</w:t>
      </w:r>
      <w:r>
        <w:rPr>
          <w:rFonts w:cs="Times New Roman"/>
          <w:snapToGrid w:val="0"/>
          <w:szCs w:val="24"/>
        </w:rPr>
        <w:t>5400</w:t>
      </w:r>
      <w:r>
        <w:rPr>
          <w:rFonts w:cs="Times New Roman"/>
          <w:snapToGrid w:val="0"/>
          <w:szCs w:val="24"/>
        </w:rPr>
        <w:t>多千米。随着我国综</w:t>
      </w:r>
      <w:r>
        <w:rPr>
          <w:rFonts w:cs="Times New Roman"/>
          <w:snapToGrid w:val="0"/>
          <w:szCs w:val="24"/>
        </w:rPr>
        <w:t>合国力的提高，国防建设将进一步向现代化迈进。国家的统一，民族的团结，在</w:t>
      </w:r>
      <w:r>
        <w:rPr>
          <w:rFonts w:cs="Times New Roman"/>
          <w:snapToGrid w:val="0"/>
          <w:szCs w:val="24"/>
        </w:rPr>
        <w:t>“</w:t>
      </w:r>
      <w:r>
        <w:rPr>
          <w:rFonts w:cs="Times New Roman"/>
          <w:snapToGrid w:val="0"/>
          <w:szCs w:val="24"/>
        </w:rPr>
        <w:t>硬件</w:t>
      </w:r>
      <w:r>
        <w:rPr>
          <w:rFonts w:cs="Times New Roman"/>
          <w:snapToGrid w:val="0"/>
          <w:szCs w:val="24"/>
        </w:rPr>
        <w:t>”</w:t>
      </w:r>
      <w:r>
        <w:rPr>
          <w:rFonts w:cs="Times New Roman"/>
          <w:snapToGrid w:val="0"/>
          <w:szCs w:val="24"/>
        </w:rPr>
        <w:t>上要靠交通来实现。</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rPr>
        <w:t>发展是解决我们面临所有问题的关键。加快边疆地区发展，实现经济繁荣，提高人民生活水平，才能从根本上增强</w:t>
      </w:r>
      <w:r>
        <w:rPr>
          <w:rFonts w:cs="Times New Roman"/>
          <w:snapToGrid w:val="0"/>
          <w:szCs w:val="24"/>
        </w:rPr>
        <w:t>中华民族凝聚力</w:t>
      </w:r>
      <w:r>
        <w:rPr>
          <w:rFonts w:cs="Times New Roman"/>
          <w:snapToGrid w:val="0"/>
          <w:szCs w:val="24"/>
        </w:rPr>
        <w:t>，保持国家长治久安。因此，本项目的实施对巩固国防、促进政治稳定、加强民族团结、维护国家统一有着十分重要的意义。</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30" w:name="_Toc19977"/>
      <w:bookmarkStart w:id="431" w:name="_Toc187080723"/>
      <w:r>
        <w:rPr>
          <w:rFonts w:cs="Times New Roman" w:hint="default"/>
          <w:sz w:val="30"/>
          <w:szCs w:val="30"/>
        </w:rPr>
        <w:t>9.3</w:t>
      </w:r>
      <w:r>
        <w:rPr>
          <w:rFonts w:cs="Times New Roman" w:hint="default"/>
          <w:sz w:val="30"/>
          <w:szCs w:val="30"/>
        </w:rPr>
        <w:t>环境效益分析</w:t>
      </w:r>
      <w:bookmarkEnd w:id="430"/>
      <w:bookmarkEnd w:id="431"/>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拟建公路穿越的区域主要为农田和荒漠，项目的建设会使沿线地区的生态环境发生变化，主要表现在修建公路路基填料要占用一定土地，打破了拟建公路沿线自然环境要素之间的平衡，造成生</w:t>
      </w:r>
      <w:r>
        <w:rPr>
          <w:rFonts w:cs="Times New Roman"/>
          <w:snapToGrid w:val="0"/>
          <w:szCs w:val="24"/>
          <w:lang w:val="zh-CN"/>
        </w:rPr>
        <w:t>态环境问题、地表植被破坏及工程活动引发的地质病害等几个方面生态环境问题。但是，生态补偿费以及各项环境保护措施的实施，可以在一定程度上补偿公路建设带来的负面影响，使拟建公路产生经济和社会效益的同时，也产生一定的环境效益。</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9.3.1</w:t>
      </w:r>
      <w:r>
        <w:rPr>
          <w:rFonts w:cs="Times New Roman" w:hint="default"/>
          <w:sz w:val="28"/>
          <w:szCs w:val="28"/>
        </w:rPr>
        <w:t>环境损失评价</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在不采取任何环保措施的情况下，公路在施工期和运营期将会使沿线的自然生态环境、农业生产、自然景观等受到不同程度的影响。</w:t>
      </w:r>
    </w:p>
    <w:p w:rsidR="00A46452" w:rsidRDefault="009A3928">
      <w:pPr>
        <w:wordWrap w:val="0"/>
        <w:topLinePunct/>
        <w:adjustRightInd w:val="0"/>
        <w:snapToGrid w:val="0"/>
        <w:ind w:firstLine="448"/>
        <w:rPr>
          <w:rFonts w:cs="Times New Roman"/>
          <w:snapToGrid w:val="0"/>
          <w:spacing w:val="-8"/>
          <w:szCs w:val="24"/>
          <w:lang w:val="zh-CN"/>
        </w:rPr>
      </w:pPr>
      <w:r>
        <w:rPr>
          <w:rFonts w:cs="Times New Roman"/>
          <w:snapToGrid w:val="0"/>
          <w:spacing w:val="-8"/>
          <w:szCs w:val="24"/>
          <w:lang w:val="zh-CN"/>
        </w:rPr>
        <w:t>（</w:t>
      </w:r>
      <w:r>
        <w:rPr>
          <w:rFonts w:cs="Times New Roman"/>
          <w:snapToGrid w:val="0"/>
          <w:spacing w:val="-8"/>
          <w:szCs w:val="24"/>
          <w:lang w:val="zh-CN"/>
        </w:rPr>
        <w:t>1</w:t>
      </w:r>
      <w:r>
        <w:rPr>
          <w:rFonts w:cs="Times New Roman"/>
          <w:snapToGrid w:val="0"/>
          <w:spacing w:val="-8"/>
          <w:szCs w:val="24"/>
          <w:lang w:val="zh-CN"/>
        </w:rPr>
        <w:t>）自然资源和景观资源损失</w:t>
      </w:r>
    </w:p>
    <w:p w:rsidR="00A46452" w:rsidRDefault="009A3928">
      <w:pPr>
        <w:pStyle w:val="5a"/>
        <w:wordWrap w:val="0"/>
        <w:topLinePunct/>
        <w:adjustRightInd w:val="0"/>
        <w:snapToGrid w:val="0"/>
        <w:spacing w:line="360" w:lineRule="auto"/>
        <w:ind w:firstLine="448"/>
        <w:rPr>
          <w:rFonts w:ascii="Times New Roman" w:hAnsi="Times New Roman" w:cs="Times New Roman" w:hint="default"/>
          <w:color w:val="auto"/>
          <w:spacing w:val="-8"/>
        </w:rPr>
      </w:pPr>
      <w:r>
        <w:rPr>
          <w:rFonts w:ascii="Times New Roman" w:hAnsi="Times New Roman" w:cs="Times New Roman" w:hint="default"/>
          <w:snapToGrid w:val="0"/>
          <w:color w:val="auto"/>
          <w:spacing w:val="-8"/>
          <w:lang w:val="zh-CN"/>
        </w:rPr>
        <w:t>根据可研本项目路线全长</w:t>
      </w:r>
      <w:r>
        <w:rPr>
          <w:rFonts w:ascii="Times New Roman" w:hAnsi="Times New Roman" w:cs="Times New Roman" w:hint="default"/>
          <w:snapToGrid w:val="0"/>
          <w:color w:val="auto"/>
          <w:spacing w:val="-8"/>
        </w:rPr>
        <w:t>107.379km</w:t>
      </w:r>
      <w:r>
        <w:rPr>
          <w:rFonts w:ascii="Times New Roman" w:hAnsi="Times New Roman" w:cs="Times New Roman" w:hint="default"/>
          <w:snapToGrid w:val="0"/>
          <w:color w:val="auto"/>
          <w:spacing w:val="-8"/>
          <w:lang w:val="zh-CN"/>
        </w:rPr>
        <w:t>，</w:t>
      </w:r>
      <w:r>
        <w:rPr>
          <w:rFonts w:ascii="Times New Roman" w:hAnsi="Times New Roman" w:cs="Times New Roman" w:hint="default"/>
          <w:color w:val="auto"/>
          <w:spacing w:val="-8"/>
        </w:rPr>
        <w:t>公路全线占地</w:t>
      </w:r>
      <w:r>
        <w:rPr>
          <w:rFonts w:ascii="Times New Roman" w:hAnsi="Times New Roman" w:cs="Times New Roman" w:hint="default"/>
          <w:color w:val="auto"/>
        </w:rPr>
        <w:t>300.80</w:t>
      </w:r>
      <w:r>
        <w:rPr>
          <w:rFonts w:ascii="Times New Roman" w:hAnsi="Times New Roman" w:cs="Times New Roman" w:hint="default"/>
          <w:color w:val="auto"/>
        </w:rPr>
        <w:t>hm²</w:t>
      </w:r>
      <w:r>
        <w:rPr>
          <w:rFonts w:ascii="Times New Roman" w:hAnsi="Times New Roman" w:cs="Times New Roman" w:hint="default"/>
          <w:color w:val="auto"/>
        </w:rPr>
        <w:t>，</w:t>
      </w:r>
      <w:r>
        <w:rPr>
          <w:rFonts w:ascii="Times New Roman" w:hAnsi="Times New Roman" w:cs="Times New Roman" w:hint="default"/>
          <w:color w:val="auto"/>
          <w:spacing w:val="-8"/>
        </w:rPr>
        <w:t>占地类型为耕地、</w:t>
      </w:r>
      <w:r>
        <w:rPr>
          <w:rFonts w:ascii="Times New Roman" w:hAnsi="Times New Roman" w:cs="Times New Roman" w:hint="default"/>
          <w:color w:val="auto"/>
          <w:spacing w:val="-8"/>
        </w:rPr>
        <w:t>草地</w:t>
      </w:r>
      <w:r>
        <w:rPr>
          <w:rFonts w:ascii="Times New Roman" w:hAnsi="Times New Roman" w:cs="Times New Roman" w:hint="default"/>
          <w:color w:val="auto"/>
          <w:spacing w:val="-8"/>
        </w:rPr>
        <w:t>、林地、荒地及建设用地，</w:t>
      </w:r>
      <w:r>
        <w:rPr>
          <w:rFonts w:ascii="Times New Roman" w:hAnsi="Times New Roman" w:cs="Times New Roman" w:hint="default"/>
          <w:snapToGrid w:val="0"/>
          <w:color w:val="auto"/>
          <w:lang w:val="zh-CN"/>
        </w:rPr>
        <w:t>本项目建成后，对公路两侧的自然景观造成了分割，原有生态景观转化为公路景观。</w:t>
      </w:r>
    </w:p>
    <w:p w:rsidR="00A46452" w:rsidRDefault="009A3928">
      <w:pPr>
        <w:wordWrap w:val="0"/>
        <w:topLinePunct/>
        <w:adjustRightInd w:val="0"/>
        <w:snapToGrid w:val="0"/>
        <w:ind w:firstLine="448"/>
        <w:rPr>
          <w:rFonts w:cs="Times New Roman"/>
          <w:snapToGrid w:val="0"/>
          <w:spacing w:val="-8"/>
          <w:szCs w:val="24"/>
          <w:lang w:val="zh-CN"/>
        </w:rPr>
      </w:pPr>
      <w:r>
        <w:rPr>
          <w:rFonts w:cs="Times New Roman"/>
          <w:snapToGrid w:val="0"/>
          <w:spacing w:val="-8"/>
          <w:szCs w:val="24"/>
          <w:lang w:val="zh-CN"/>
        </w:rPr>
        <w:t>（</w:t>
      </w:r>
      <w:r>
        <w:rPr>
          <w:rFonts w:cs="Times New Roman"/>
          <w:snapToGrid w:val="0"/>
          <w:spacing w:val="-8"/>
          <w:szCs w:val="24"/>
          <w:lang w:val="zh-CN"/>
        </w:rPr>
        <w:t>2</w:t>
      </w:r>
      <w:r>
        <w:rPr>
          <w:rFonts w:cs="Times New Roman"/>
          <w:snapToGrid w:val="0"/>
          <w:spacing w:val="-8"/>
          <w:szCs w:val="24"/>
          <w:lang w:val="zh-CN"/>
        </w:rPr>
        <w:t>）污染损失</w:t>
      </w:r>
    </w:p>
    <w:p w:rsidR="00A46452" w:rsidRDefault="009A3928">
      <w:pPr>
        <w:wordWrap w:val="0"/>
        <w:topLinePunct/>
        <w:adjustRightInd w:val="0"/>
        <w:snapToGrid w:val="0"/>
        <w:ind w:firstLine="448"/>
        <w:rPr>
          <w:rFonts w:cs="Times New Roman"/>
          <w:snapToGrid w:val="0"/>
          <w:szCs w:val="24"/>
          <w:lang w:val="zh-CN"/>
        </w:rPr>
      </w:pPr>
      <w:r>
        <w:rPr>
          <w:rFonts w:cs="Times New Roman"/>
          <w:snapToGrid w:val="0"/>
          <w:spacing w:val="-8"/>
          <w:szCs w:val="24"/>
          <w:lang w:val="zh-CN"/>
        </w:rPr>
        <w:t>施工过程中扬尘、汽车尾气对自然植被产生的污染损失，施工各类机械活动、人员扰动、工程占地对生态环境造成的影响和破坏是无法定量分析的，只能通过环保措施尽量加以减缓。</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9.3.2</w:t>
      </w:r>
      <w:r>
        <w:rPr>
          <w:rFonts w:cs="Times New Roman" w:hint="default"/>
          <w:sz w:val="28"/>
          <w:szCs w:val="28"/>
        </w:rPr>
        <w:t>环境效益分析</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本项目建设环境效益体现在两个方面：一是工程建设带来的环境效益；二是实施环境保护措施带来的环境效益。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1</w:t>
      </w:r>
      <w:r>
        <w:rPr>
          <w:rFonts w:cs="Times New Roman"/>
          <w:snapToGrid w:val="0"/>
          <w:szCs w:val="24"/>
          <w:lang w:val="zh-CN"/>
        </w:rPr>
        <w:t>）工程建设环境效益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①</w:t>
      </w:r>
      <w:r>
        <w:rPr>
          <w:rFonts w:cs="Times New Roman"/>
          <w:snapToGrid w:val="0"/>
          <w:szCs w:val="24"/>
          <w:lang w:val="zh-CN"/>
        </w:rPr>
        <w:t>生态效益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随着公路沿线各类工程防护措施和水土保持措施的完善，公路沿线的水土流失状况将会得到一定程度的改善，这也有利于保护和改善区域及沿线的生态环境状况。</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②</w:t>
      </w:r>
      <w:r>
        <w:rPr>
          <w:rFonts w:cs="Times New Roman"/>
          <w:snapToGrid w:val="0"/>
          <w:szCs w:val="24"/>
          <w:lang w:val="zh-CN"/>
        </w:rPr>
        <w:t>大气环境效益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汽车尾气中的主要污染成分是</w:t>
      </w:r>
      <w:r>
        <w:rPr>
          <w:rFonts w:cs="Times New Roman"/>
          <w:snapToGrid w:val="0"/>
          <w:szCs w:val="24"/>
          <w:lang w:val="zh-CN"/>
        </w:rPr>
        <w:t>CO</w:t>
      </w:r>
      <w:r>
        <w:rPr>
          <w:rFonts w:cs="Times New Roman"/>
          <w:snapToGrid w:val="0"/>
          <w:szCs w:val="24"/>
          <w:lang w:val="zh-CN"/>
        </w:rPr>
        <w:t>、</w:t>
      </w:r>
      <w:r>
        <w:rPr>
          <w:rFonts w:cs="Times New Roman"/>
          <w:snapToGrid w:val="0"/>
          <w:szCs w:val="24"/>
          <w:lang w:val="zh-CN"/>
        </w:rPr>
        <w:t>NO</w:t>
      </w:r>
      <w:r>
        <w:rPr>
          <w:rFonts w:cs="Times New Roman"/>
          <w:snapToGrid w:val="0"/>
          <w:szCs w:val="24"/>
          <w:vertAlign w:val="subscript"/>
          <w:lang w:val="zh-CN"/>
        </w:rPr>
        <w:t>2</w:t>
      </w:r>
      <w:r>
        <w:rPr>
          <w:rFonts w:cs="Times New Roman"/>
          <w:snapToGrid w:val="0"/>
          <w:szCs w:val="24"/>
          <w:lang w:val="zh-CN"/>
        </w:rPr>
        <w:t>和碳氢化合物。据相关资料表明，汽车在空挡时碳氢化合物和</w:t>
      </w:r>
      <w:r>
        <w:rPr>
          <w:rFonts w:cs="Times New Roman"/>
          <w:snapToGrid w:val="0"/>
          <w:szCs w:val="24"/>
          <w:lang w:val="zh-CN"/>
        </w:rPr>
        <w:t>CO</w:t>
      </w:r>
      <w:r>
        <w:rPr>
          <w:rFonts w:cs="Times New Roman"/>
          <w:snapToGrid w:val="0"/>
          <w:szCs w:val="24"/>
          <w:lang w:val="zh-CN"/>
        </w:rPr>
        <w:t>浓度最高；低速时碳氢化合物和</w:t>
      </w:r>
      <w:r>
        <w:rPr>
          <w:rFonts w:cs="Times New Roman"/>
          <w:snapToGrid w:val="0"/>
          <w:szCs w:val="24"/>
          <w:lang w:val="zh-CN"/>
        </w:rPr>
        <w:t>CO</w:t>
      </w:r>
      <w:r>
        <w:rPr>
          <w:rFonts w:cs="Times New Roman"/>
          <w:snapToGrid w:val="0"/>
          <w:szCs w:val="24"/>
          <w:lang w:val="zh-CN"/>
        </w:rPr>
        <w:t>浓度较高；高速时</w:t>
      </w:r>
      <w:r>
        <w:rPr>
          <w:rFonts w:cs="Times New Roman"/>
          <w:snapToGrid w:val="0"/>
          <w:szCs w:val="24"/>
          <w:lang w:val="zh-CN"/>
        </w:rPr>
        <w:t>CO</w:t>
      </w:r>
      <w:r>
        <w:rPr>
          <w:rFonts w:cs="Times New Roman"/>
          <w:snapToGrid w:val="0"/>
          <w:szCs w:val="24"/>
          <w:lang w:val="zh-CN"/>
        </w:rPr>
        <w:t>和碳氢化合物浓度较低。在路况较差的情况下，行驶的汽车不得不频繁地加速和减速，从而导致尾气中碳氢化合物和</w:t>
      </w:r>
      <w:r>
        <w:rPr>
          <w:rFonts w:cs="Times New Roman"/>
          <w:snapToGrid w:val="0"/>
          <w:szCs w:val="24"/>
          <w:lang w:val="zh-CN"/>
        </w:rPr>
        <w:t>CO</w:t>
      </w:r>
      <w:r>
        <w:rPr>
          <w:rFonts w:cs="Times New Roman"/>
          <w:snapToGrid w:val="0"/>
          <w:szCs w:val="24"/>
          <w:lang w:val="zh-CN"/>
        </w:rPr>
        <w:t>的排放量增大。由此可见，本项目的实施将全面改善线路沿线交通条件，提高公路通畅程度，将有利于缓解汽车</w:t>
      </w:r>
      <w:r>
        <w:rPr>
          <w:rFonts w:cs="Times New Roman"/>
          <w:snapToGrid w:val="0"/>
          <w:szCs w:val="24"/>
          <w:lang w:val="zh-CN"/>
        </w:rPr>
        <w:t>尾气对周围大气环境的影响。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w:t>
      </w:r>
      <w:r>
        <w:rPr>
          <w:rFonts w:cs="Times New Roman"/>
          <w:snapToGrid w:val="0"/>
          <w:szCs w:val="24"/>
          <w:lang w:val="zh-CN"/>
        </w:rPr>
        <w:t>2</w:t>
      </w:r>
      <w:r>
        <w:rPr>
          <w:rFonts w:cs="Times New Roman"/>
          <w:snapToGrid w:val="0"/>
          <w:szCs w:val="24"/>
          <w:lang w:val="zh-CN"/>
        </w:rPr>
        <w:t>）环境保护投资效益</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环境保护行动计划涉及工程建设的前期方案设计、施工和运营三个阶段，环境保护措施包括确定环境可行的选线方案、生态破坏补偿、水土保持工程以及环境监督检查与管理等各个方面，采取的环境保护措施适当，环境保护投资合理，具有显著的环境效益，实现了工程建设的环境可行性，主要体现在：</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1 \* GB3 </w:instrText>
      </w:r>
      <w:r>
        <w:rPr>
          <w:rFonts w:cs="Times New Roman"/>
          <w:snapToGrid w:val="0"/>
          <w:szCs w:val="24"/>
          <w:lang w:val="zh-CN"/>
        </w:rPr>
        <w:fldChar w:fldCharType="separate"/>
      </w:r>
      <w:r>
        <w:rPr>
          <w:rFonts w:cs="Times New Roman"/>
          <w:snapToGrid w:val="0"/>
          <w:szCs w:val="24"/>
          <w:lang w:val="zh-CN"/>
        </w:rPr>
        <w:t>①</w:t>
      </w:r>
      <w:r>
        <w:rPr>
          <w:rFonts w:cs="Times New Roman"/>
          <w:snapToGrid w:val="0"/>
          <w:szCs w:val="24"/>
          <w:lang w:val="zh-CN"/>
        </w:rPr>
        <w:fldChar w:fldCharType="end"/>
      </w:r>
      <w:r>
        <w:rPr>
          <w:rFonts w:cs="Times New Roman"/>
          <w:snapToGrid w:val="0"/>
          <w:szCs w:val="24"/>
          <w:lang w:val="zh-CN"/>
        </w:rPr>
        <w:t>最大限度地减少占地拆迁以及由此带来的社会、经济和环境影响；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2 \* GB3 </w:instrText>
      </w:r>
      <w:r>
        <w:rPr>
          <w:rFonts w:cs="Times New Roman"/>
          <w:snapToGrid w:val="0"/>
          <w:szCs w:val="24"/>
          <w:lang w:val="zh-CN"/>
        </w:rPr>
        <w:fldChar w:fldCharType="separate"/>
      </w:r>
      <w:r>
        <w:rPr>
          <w:rFonts w:cs="Times New Roman"/>
          <w:snapToGrid w:val="0"/>
          <w:szCs w:val="24"/>
          <w:lang w:val="zh-CN"/>
        </w:rPr>
        <w:t>②</w:t>
      </w:r>
      <w:r>
        <w:rPr>
          <w:rFonts w:cs="Times New Roman"/>
          <w:snapToGrid w:val="0"/>
          <w:szCs w:val="24"/>
          <w:lang w:val="zh-CN"/>
        </w:rPr>
        <w:fldChar w:fldCharType="end"/>
      </w:r>
      <w:r>
        <w:rPr>
          <w:rFonts w:cs="Times New Roman"/>
          <w:snapToGrid w:val="0"/>
          <w:szCs w:val="24"/>
          <w:lang w:val="zh-CN"/>
        </w:rPr>
        <w:t>采取经济补偿、拆迁安置等措施，减缓了不利的社会影响；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3 \*</w:instrText>
      </w:r>
      <w:r>
        <w:rPr>
          <w:rFonts w:cs="Times New Roman"/>
          <w:snapToGrid w:val="0"/>
          <w:szCs w:val="24"/>
          <w:lang w:val="zh-CN"/>
        </w:rPr>
        <w:instrText xml:space="preserve"> GB3 </w:instrText>
      </w:r>
      <w:r>
        <w:rPr>
          <w:rFonts w:cs="Times New Roman"/>
          <w:snapToGrid w:val="0"/>
          <w:szCs w:val="24"/>
          <w:lang w:val="zh-CN"/>
        </w:rPr>
        <w:fldChar w:fldCharType="separate"/>
      </w:r>
      <w:r>
        <w:rPr>
          <w:rFonts w:cs="Times New Roman"/>
          <w:snapToGrid w:val="0"/>
          <w:szCs w:val="24"/>
          <w:lang w:val="zh-CN"/>
        </w:rPr>
        <w:t>③</w:t>
      </w:r>
      <w:r>
        <w:rPr>
          <w:rFonts w:cs="Times New Roman"/>
          <w:snapToGrid w:val="0"/>
          <w:szCs w:val="24"/>
          <w:lang w:val="zh-CN"/>
        </w:rPr>
        <w:fldChar w:fldCharType="end"/>
      </w:r>
      <w:r>
        <w:rPr>
          <w:rFonts w:cs="Times New Roman"/>
          <w:snapToGrid w:val="0"/>
          <w:szCs w:val="24"/>
          <w:lang w:val="zh-CN"/>
        </w:rPr>
        <w:t>施工便道尽量利用现有的道路，取、弃土场选址远离环境敏感点，最大程度地减轻了水土流失、扬尘污染以及景观影响；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4 \* GB3 </w:instrText>
      </w:r>
      <w:r>
        <w:rPr>
          <w:rFonts w:cs="Times New Roman"/>
          <w:snapToGrid w:val="0"/>
          <w:szCs w:val="24"/>
          <w:lang w:val="zh-CN"/>
        </w:rPr>
        <w:fldChar w:fldCharType="separate"/>
      </w:r>
      <w:r>
        <w:rPr>
          <w:rFonts w:cs="Times New Roman"/>
          <w:snapToGrid w:val="0"/>
          <w:szCs w:val="24"/>
          <w:lang w:val="zh-CN"/>
        </w:rPr>
        <w:t>④</w:t>
      </w:r>
      <w:r>
        <w:rPr>
          <w:rFonts w:cs="Times New Roman"/>
          <w:snapToGrid w:val="0"/>
          <w:szCs w:val="24"/>
          <w:lang w:val="zh-CN"/>
        </w:rPr>
        <w:fldChar w:fldCharType="end"/>
      </w:r>
      <w:r>
        <w:rPr>
          <w:rFonts w:cs="Times New Roman"/>
          <w:snapToGrid w:val="0"/>
          <w:szCs w:val="24"/>
          <w:lang w:val="zh-CN"/>
        </w:rPr>
        <w:t>工程采取了路基防护工程，降低了水土流失影响，增加了工程的生态效益；设置过水涵洞等工程措施，保证了水利通道的通畅，消除了洪水威胁，保护了水利工程基础设施；</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5 \* GB3 </w:instrText>
      </w:r>
      <w:r>
        <w:rPr>
          <w:rFonts w:cs="Times New Roman"/>
          <w:snapToGrid w:val="0"/>
          <w:szCs w:val="24"/>
          <w:lang w:val="zh-CN"/>
        </w:rPr>
        <w:fldChar w:fldCharType="separate"/>
      </w:r>
      <w:r>
        <w:rPr>
          <w:rFonts w:cs="Times New Roman"/>
          <w:snapToGrid w:val="0"/>
          <w:szCs w:val="24"/>
          <w:lang w:val="zh-CN"/>
        </w:rPr>
        <w:t>⑤</w:t>
      </w:r>
      <w:r>
        <w:rPr>
          <w:rFonts w:cs="Times New Roman"/>
          <w:snapToGrid w:val="0"/>
          <w:szCs w:val="24"/>
          <w:lang w:val="zh-CN"/>
        </w:rPr>
        <w:fldChar w:fldCharType="end"/>
      </w:r>
      <w:r>
        <w:rPr>
          <w:rFonts w:cs="Times New Roman"/>
          <w:snapToGrid w:val="0"/>
          <w:szCs w:val="24"/>
          <w:lang w:val="zh-CN"/>
        </w:rPr>
        <w:t>各种标志标识等安全设施的设置减少了交通事故，降低了风险事故带来的人、财、物损失和对环境的影响；</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fldChar w:fldCharType="begin"/>
      </w:r>
      <w:r>
        <w:rPr>
          <w:rFonts w:cs="Times New Roman"/>
          <w:snapToGrid w:val="0"/>
          <w:szCs w:val="24"/>
          <w:lang w:val="zh-CN"/>
        </w:rPr>
        <w:instrText xml:space="preserve"> = 6 \* GB3 </w:instrText>
      </w:r>
      <w:r>
        <w:rPr>
          <w:rFonts w:cs="Times New Roman"/>
          <w:snapToGrid w:val="0"/>
          <w:szCs w:val="24"/>
          <w:lang w:val="zh-CN"/>
        </w:rPr>
        <w:fldChar w:fldCharType="separate"/>
      </w:r>
      <w:r>
        <w:rPr>
          <w:rFonts w:cs="Times New Roman"/>
          <w:snapToGrid w:val="0"/>
          <w:szCs w:val="24"/>
          <w:lang w:val="zh-CN"/>
        </w:rPr>
        <w:t>⑥</w:t>
      </w:r>
      <w:r>
        <w:rPr>
          <w:rFonts w:cs="Times New Roman"/>
          <w:snapToGrid w:val="0"/>
          <w:szCs w:val="24"/>
          <w:lang w:val="zh-CN"/>
        </w:rPr>
        <w:fldChar w:fldCharType="end"/>
      </w:r>
      <w:r>
        <w:rPr>
          <w:rFonts w:cs="Times New Roman"/>
          <w:snapToGrid w:val="0"/>
          <w:szCs w:val="24"/>
          <w:lang w:val="zh-CN"/>
        </w:rPr>
        <w:t>实施环境监督和管理措施，增强了环境保护意</w:t>
      </w:r>
      <w:r>
        <w:rPr>
          <w:rFonts w:cs="Times New Roman"/>
          <w:snapToGrid w:val="0"/>
          <w:szCs w:val="24"/>
          <w:lang w:val="zh-CN"/>
        </w:rPr>
        <w:t>识，预防了污染，避免了环境污染纠纷。</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 xml:space="preserve">9.3.3 </w:t>
      </w:r>
      <w:r>
        <w:rPr>
          <w:rFonts w:cs="Times New Roman" w:hint="default"/>
          <w:sz w:val="28"/>
          <w:szCs w:val="28"/>
        </w:rPr>
        <w:t>环境影响损益分析</w:t>
      </w:r>
    </w:p>
    <w:p w:rsidR="00A46452" w:rsidRDefault="009A3928">
      <w:pPr>
        <w:wordWrap w:val="0"/>
        <w:topLinePunct/>
        <w:adjustRightInd w:val="0"/>
        <w:snapToGrid w:val="0"/>
        <w:ind w:firstLine="480"/>
        <w:rPr>
          <w:rFonts w:cs="Times New Roman"/>
          <w:sz w:val="21"/>
          <w:szCs w:val="24"/>
        </w:rPr>
      </w:pPr>
      <w:r>
        <w:rPr>
          <w:rFonts w:cs="Times New Roman"/>
          <w:snapToGrid w:val="0"/>
          <w:szCs w:val="24"/>
          <w:lang w:val="zh-CN"/>
        </w:rPr>
        <w:t>对受本项目影响的主要环境因素，分别采用补偿法、专家打分法等分析方法对本项目环境经济损益进行定性分析，其结果见表</w:t>
      </w:r>
      <w:r>
        <w:rPr>
          <w:rFonts w:cs="Times New Roman" w:hint="eastAsia"/>
          <w:snapToGrid w:val="0"/>
          <w:szCs w:val="24"/>
        </w:rPr>
        <w:t>9</w:t>
      </w:r>
      <w:r>
        <w:rPr>
          <w:rFonts w:cs="Times New Roman"/>
          <w:snapToGrid w:val="0"/>
          <w:szCs w:val="24"/>
          <w:lang w:val="zh-CN"/>
        </w:rPr>
        <w:t>.3-1</w:t>
      </w:r>
      <w:r>
        <w:rPr>
          <w:rFonts w:cs="Times New Roman"/>
          <w:snapToGrid w:val="0"/>
          <w:szCs w:val="24"/>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9</w:t>
      </w:r>
      <w:r>
        <w:rPr>
          <w:rFonts w:ascii="Times New Roman" w:hAnsi="Times New Roman" w:cs="Times New Roman" w:hint="default"/>
          <w:sz w:val="24"/>
          <w:szCs w:val="24"/>
        </w:rPr>
        <w:t xml:space="preserve">.3-1         </w:t>
      </w:r>
      <w:r>
        <w:rPr>
          <w:rFonts w:ascii="Times New Roman" w:hAnsi="Times New Roman" w:cs="Times New Roman" w:hint="default"/>
          <w:sz w:val="24"/>
          <w:szCs w:val="24"/>
        </w:rPr>
        <w:t xml:space="preserve">   </w:t>
      </w:r>
      <w:r>
        <w:rPr>
          <w:rFonts w:ascii="Times New Roman" w:hAnsi="Times New Roman" w:cs="Times New Roman" w:hint="default"/>
          <w:sz w:val="24"/>
          <w:szCs w:val="24"/>
        </w:rPr>
        <w:t>本项目环境影响经济效益分析表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8"/>
        <w:gridCol w:w="1434"/>
        <w:gridCol w:w="4128"/>
        <w:gridCol w:w="708"/>
        <w:gridCol w:w="1747"/>
      </w:tblGrid>
      <w:tr w:rsidR="00A46452">
        <w:trPr>
          <w:trHeight w:val="20"/>
          <w:jc w:val="center"/>
        </w:trPr>
        <w:tc>
          <w:tcPr>
            <w:tcW w:w="292" w:type="pct"/>
            <w:tcBorders>
              <w:top w:val="single" w:sz="12"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842"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2424"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环境要素</w:t>
            </w:r>
          </w:p>
        </w:tc>
        <w:tc>
          <w:tcPr>
            <w:tcW w:w="416" w:type="pct"/>
            <w:tcBorders>
              <w:top w:val="single" w:sz="12"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效益</w:t>
            </w:r>
          </w:p>
        </w:tc>
        <w:tc>
          <w:tcPr>
            <w:tcW w:w="1026" w:type="pct"/>
            <w:tcBorders>
              <w:top w:val="single" w:sz="12" w:space="0" w:color="auto"/>
              <w:left w:val="single" w:sz="4" w:space="0" w:color="auto"/>
              <w:bottom w:val="single" w:sz="4" w:space="0" w:color="auto"/>
              <w:right w:val="single" w:sz="12"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备注</w:t>
            </w: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环境空气</w:t>
            </w:r>
          </w:p>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声环境</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拟建公路沿线声环境、环境空气质量降低</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val="restart"/>
            <w:tcBorders>
              <w:top w:val="single" w:sz="4" w:space="0" w:color="auto"/>
              <w:left w:val="single" w:sz="4" w:space="0" w:color="auto"/>
              <w:bottom w:val="single" w:sz="4" w:space="0" w:color="auto"/>
              <w:right w:val="single" w:sz="12"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按影响程度</w:t>
            </w:r>
            <w:r>
              <w:rPr>
                <w:rFonts w:ascii="Times New Roman" w:eastAsia="宋体" w:hAnsi="Times New Roman" w:cs="Times New Roman"/>
                <w:sz w:val="18"/>
                <w:szCs w:val="18"/>
              </w:rPr>
              <w:t>由小到大</w:t>
            </w:r>
            <w:r>
              <w:rPr>
                <w:rFonts w:ascii="Times New Roman" w:eastAsia="宋体" w:hAnsi="Times New Roman" w:cs="Times New Roman"/>
                <w:sz w:val="18"/>
                <w:szCs w:val="18"/>
              </w:rPr>
              <w:t>分别打</w:t>
            </w: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r>
              <w:rPr>
                <w:rFonts w:ascii="Times New Roman" w:eastAsia="宋体" w:hAnsi="Times New Roman" w:cs="Times New Roman"/>
                <w:sz w:val="18"/>
                <w:szCs w:val="18"/>
              </w:rPr>
              <w:t>分；</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正效益；</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负效益</w:t>
            </w: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水环境</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可能影响到跨越</w:t>
            </w:r>
            <w:r>
              <w:rPr>
                <w:rFonts w:ascii="Times New Roman" w:eastAsia="宋体" w:hAnsi="Times New Roman" w:cs="Times New Roman"/>
                <w:sz w:val="18"/>
                <w:szCs w:val="18"/>
              </w:rPr>
              <w:t>河流、</w:t>
            </w:r>
            <w:r>
              <w:rPr>
                <w:rFonts w:ascii="Times New Roman" w:eastAsia="宋体" w:hAnsi="Times New Roman" w:cs="Times New Roman"/>
                <w:sz w:val="18"/>
                <w:szCs w:val="18"/>
              </w:rPr>
              <w:t>干渠的水质</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人群健康</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无显著不利影响，交通方便有利于就医</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动物</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涉及重点保护野生动物栖息地</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植物</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主要破坏永久占地范围内的地表植被，包括人工林、农作物，</w:t>
            </w:r>
            <w:r>
              <w:rPr>
                <w:rFonts w:ascii="Times New Roman" w:eastAsia="宋体" w:hAnsi="Times New Roman" w:cs="Times New Roman"/>
                <w:sz w:val="18"/>
                <w:szCs w:val="18"/>
              </w:rPr>
              <w:t>相对</w:t>
            </w:r>
            <w:r>
              <w:rPr>
                <w:rFonts w:ascii="Times New Roman" w:eastAsia="宋体" w:hAnsi="Times New Roman" w:cs="Times New Roman"/>
                <w:sz w:val="18"/>
                <w:szCs w:val="18"/>
              </w:rPr>
              <w:t>区域损失较小</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旅游资源</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无显著的不利影响，有利于资源开发</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产业结构</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有利于产业结构的转变，有利于第一产业转变为第二、三产业</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城镇规划</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与沿线城镇总体规划、路网规划等相协调</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景观绿化美化</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增加环保投资，改善沿线环境质量</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水土保持</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无显著的不利影响，但增加工程投资</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征地拆迁</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涉及沿线村镇房屋、沿线电力设施的工程拆迁</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土地价值</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基本无影响</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13</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直接社会效益</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缩短里程、节约时间、降低运输成本、降低油耗、提高安全性等</w:t>
            </w:r>
            <w:r>
              <w:rPr>
                <w:rFonts w:ascii="Times New Roman" w:eastAsia="宋体" w:hAnsi="Times New Roman" w:cs="Times New Roman"/>
                <w:sz w:val="18"/>
                <w:szCs w:val="18"/>
              </w:rPr>
              <w:t>5</w:t>
            </w:r>
            <w:r>
              <w:rPr>
                <w:rFonts w:ascii="Times New Roman" w:eastAsia="宋体" w:hAnsi="Times New Roman" w:cs="Times New Roman"/>
                <w:sz w:val="18"/>
                <w:szCs w:val="18"/>
              </w:rPr>
              <w:t>种效益</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14</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间接社会效益</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体现社会共同进步、公平原则，改善投资环境、促进经济发展、增强环境意识</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292" w:type="pct"/>
            <w:tcBorders>
              <w:top w:val="single" w:sz="4" w:space="0" w:color="auto"/>
              <w:left w:val="single" w:sz="12"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42"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环保措施</w:t>
            </w:r>
          </w:p>
        </w:tc>
        <w:tc>
          <w:tcPr>
            <w:tcW w:w="2424"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增加工程投资，但所占比例总体较小</w:t>
            </w:r>
          </w:p>
        </w:tc>
        <w:tc>
          <w:tcPr>
            <w:tcW w:w="416" w:type="pct"/>
            <w:tcBorders>
              <w:top w:val="single" w:sz="4" w:space="0" w:color="auto"/>
              <w:left w:val="single" w:sz="4" w:space="0" w:color="auto"/>
              <w:bottom w:val="single" w:sz="4"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026" w:type="pct"/>
            <w:vMerge/>
            <w:tcBorders>
              <w:top w:val="single" w:sz="4" w:space="0" w:color="auto"/>
              <w:left w:val="single" w:sz="4" w:space="0" w:color="auto"/>
              <w:bottom w:val="single" w:sz="4"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r w:rsidR="00A46452">
        <w:trPr>
          <w:trHeight w:val="20"/>
          <w:jc w:val="center"/>
        </w:trPr>
        <w:tc>
          <w:tcPr>
            <w:tcW w:w="1134" w:type="pct"/>
            <w:gridSpan w:val="2"/>
            <w:tcBorders>
              <w:top w:val="single" w:sz="4" w:space="0" w:color="auto"/>
              <w:left w:val="single" w:sz="12" w:space="0" w:color="auto"/>
              <w:bottom w:val="single" w:sz="12"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合计</w:t>
            </w:r>
          </w:p>
        </w:tc>
        <w:tc>
          <w:tcPr>
            <w:tcW w:w="2424"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正效益：</w:t>
            </w:r>
            <w:r>
              <w:rPr>
                <w:rFonts w:ascii="Times New Roman" w:eastAsia="宋体" w:hAnsi="Times New Roman" w:cs="Times New Roman"/>
                <w:sz w:val="18"/>
                <w:szCs w:val="18"/>
              </w:rPr>
              <w:t>+16</w:t>
            </w:r>
            <w:r>
              <w:rPr>
                <w:rFonts w:ascii="Times New Roman" w:eastAsia="宋体" w:hAnsi="Times New Roman" w:cs="Times New Roman"/>
                <w:sz w:val="18"/>
                <w:szCs w:val="18"/>
              </w:rPr>
              <w:t>；负效益：</w:t>
            </w:r>
            <w:r>
              <w:rPr>
                <w:rFonts w:ascii="Times New Roman" w:eastAsia="宋体" w:hAnsi="Times New Roman" w:cs="Times New Roman"/>
                <w:sz w:val="18"/>
                <w:szCs w:val="18"/>
              </w:rPr>
              <w:t>-</w:t>
            </w:r>
            <w:r>
              <w:rPr>
                <w:rFonts w:ascii="Times New Roman" w:eastAsia="宋体" w:hAnsi="Times New Roman" w:cs="Times New Roman"/>
                <w:sz w:val="18"/>
                <w:szCs w:val="18"/>
              </w:rPr>
              <w:t>5</w:t>
            </w:r>
            <w:r>
              <w:rPr>
                <w:rFonts w:ascii="Times New Roman" w:eastAsia="宋体" w:hAnsi="Times New Roman" w:cs="Times New Roman"/>
                <w:sz w:val="18"/>
                <w:szCs w:val="18"/>
              </w:rPr>
              <w:t>。</w:t>
            </w:r>
          </w:p>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正效益</w:t>
            </w:r>
            <w:r>
              <w:rPr>
                <w:rFonts w:ascii="Times New Roman" w:eastAsia="宋体" w:hAnsi="Times New Roman" w:cs="Times New Roman"/>
                <w:sz w:val="18"/>
                <w:szCs w:val="18"/>
              </w:rPr>
              <w:t>/</w:t>
            </w:r>
            <w:r>
              <w:rPr>
                <w:rFonts w:ascii="Times New Roman" w:eastAsia="宋体" w:hAnsi="Times New Roman" w:cs="Times New Roman"/>
                <w:sz w:val="18"/>
                <w:szCs w:val="18"/>
              </w:rPr>
              <w:t>负效益</w:t>
            </w:r>
            <w:r>
              <w:rPr>
                <w:rFonts w:ascii="Times New Roman" w:eastAsia="宋体" w:hAnsi="Times New Roman" w:cs="Times New Roman"/>
                <w:sz w:val="18"/>
                <w:szCs w:val="18"/>
              </w:rPr>
              <w:t>=</w:t>
            </w:r>
            <w:r>
              <w:rPr>
                <w:rFonts w:ascii="Times New Roman" w:eastAsia="宋体" w:hAnsi="Times New Roman" w:cs="Times New Roman"/>
                <w:sz w:val="18"/>
                <w:szCs w:val="18"/>
              </w:rPr>
              <w:t>3.2</w:t>
            </w:r>
          </w:p>
        </w:tc>
        <w:tc>
          <w:tcPr>
            <w:tcW w:w="416" w:type="pct"/>
            <w:tcBorders>
              <w:top w:val="single" w:sz="4" w:space="0" w:color="auto"/>
              <w:left w:val="single" w:sz="4" w:space="0" w:color="auto"/>
              <w:bottom w:val="single" w:sz="12" w:space="0" w:color="auto"/>
              <w:right w:val="single" w:sz="4" w:space="0" w:color="auto"/>
              <w:tl2br w:val="nil"/>
              <w:tr2bl w:val="nil"/>
            </w:tcBorders>
            <w:vAlign w:val="center"/>
          </w:tcPr>
          <w:p w:rsidR="00A46452" w:rsidRDefault="009A3928">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1</w:t>
            </w:r>
          </w:p>
        </w:tc>
        <w:tc>
          <w:tcPr>
            <w:tcW w:w="1026" w:type="pct"/>
            <w:tcBorders>
              <w:top w:val="single" w:sz="4" w:space="0" w:color="auto"/>
              <w:left w:val="single" w:sz="4" w:space="0" w:color="auto"/>
              <w:bottom w:val="single" w:sz="12" w:space="0" w:color="auto"/>
              <w:right w:val="single" w:sz="12" w:space="0" w:color="auto"/>
              <w:tl2br w:val="nil"/>
              <w:tr2bl w:val="nil"/>
            </w:tcBorders>
            <w:vAlign w:val="center"/>
          </w:tcPr>
          <w:p w:rsidR="00A46452" w:rsidRDefault="00A46452">
            <w:pPr>
              <w:pStyle w:val="affff6"/>
              <w:wordWrap w:val="0"/>
              <w:overflowPunct/>
              <w:topLinePunct/>
              <w:snapToGrid w:val="0"/>
              <w:spacing w:before="0" w:after="0" w:line="240" w:lineRule="exact"/>
              <w:ind w:firstLineChars="0" w:firstLine="0"/>
              <w:jc w:val="center"/>
              <w:rPr>
                <w:rFonts w:ascii="Times New Roman" w:eastAsia="宋体" w:hAnsi="Times New Roman" w:cs="Times New Roman"/>
                <w:sz w:val="18"/>
                <w:szCs w:val="18"/>
              </w:rPr>
            </w:pPr>
          </w:p>
        </w:tc>
      </w:tr>
    </w:tbl>
    <w:p w:rsidR="00A46452" w:rsidRDefault="009A3928">
      <w:pPr>
        <w:wordWrap w:val="0"/>
        <w:topLinePunct/>
        <w:adjustRightInd w:val="0"/>
        <w:snapToGrid w:val="0"/>
        <w:ind w:firstLine="480"/>
        <w:rPr>
          <w:rFonts w:cs="Times New Roman"/>
          <w:snapToGrid w:val="0"/>
          <w:szCs w:val="24"/>
          <w:lang w:val="zh-CN"/>
        </w:rPr>
        <w:sectPr w:rsidR="00A46452">
          <w:pgSz w:w="11905" w:h="16838"/>
          <w:pgMar w:top="1383" w:right="1803" w:bottom="1383" w:left="1803" w:header="850" w:footer="680" w:gutter="0"/>
          <w:cols w:space="0"/>
          <w:docGrid w:type="lines" w:linePitch="331"/>
        </w:sectPr>
      </w:pPr>
      <w:r>
        <w:rPr>
          <w:rFonts w:cs="Times New Roman"/>
          <w:snapToGrid w:val="0"/>
          <w:szCs w:val="24"/>
          <w:lang w:val="zh-CN"/>
        </w:rPr>
        <w:t>环境损益分析结果表明，拟建公路环境正效益是负效益的</w:t>
      </w:r>
      <w:r>
        <w:rPr>
          <w:rFonts w:cs="Times New Roman"/>
          <w:snapToGrid w:val="0"/>
          <w:szCs w:val="24"/>
        </w:rPr>
        <w:t>3.2</w:t>
      </w:r>
      <w:r>
        <w:rPr>
          <w:rFonts w:cs="Times New Roman"/>
          <w:snapToGrid w:val="0"/>
          <w:szCs w:val="24"/>
          <w:lang w:val="zh-CN"/>
        </w:rPr>
        <w:t>倍，说明，拟建公路所产生环境经济的正效益占主导地位。从环境影响的经济损益角度来看拟建公路是可行的。</w:t>
      </w:r>
    </w:p>
    <w:p w:rsidR="00A46452" w:rsidRDefault="009A3928">
      <w:pPr>
        <w:pStyle w:val="1"/>
        <w:wordWrap w:val="0"/>
        <w:topLinePunct/>
        <w:adjustRightInd w:val="0"/>
        <w:snapToGrid w:val="0"/>
        <w:jc w:val="left"/>
        <w:rPr>
          <w:rFonts w:eastAsia="黑体" w:cs="Times New Roman" w:hint="default"/>
          <w:sz w:val="32"/>
          <w:szCs w:val="32"/>
        </w:rPr>
      </w:pPr>
      <w:bookmarkStart w:id="432" w:name="_Toc187080724"/>
      <w:bookmarkStart w:id="433" w:name="_Toc4507874"/>
      <w:bookmarkStart w:id="434" w:name="_Toc381606133"/>
      <w:bookmarkStart w:id="435" w:name="_Toc10721"/>
      <w:bookmarkEnd w:id="420"/>
      <w:bookmarkEnd w:id="421"/>
      <w:bookmarkEnd w:id="422"/>
      <w:bookmarkEnd w:id="423"/>
      <w:bookmarkEnd w:id="424"/>
      <w:bookmarkEnd w:id="425"/>
      <w:r>
        <w:rPr>
          <w:rFonts w:eastAsia="黑体" w:cs="Times New Roman" w:hint="default"/>
          <w:sz w:val="32"/>
          <w:szCs w:val="32"/>
        </w:rPr>
        <w:t>10</w:t>
      </w:r>
      <w:r>
        <w:rPr>
          <w:rFonts w:eastAsia="黑体" w:cs="Times New Roman" w:hint="default"/>
          <w:sz w:val="32"/>
          <w:szCs w:val="32"/>
        </w:rPr>
        <w:t>环境管理及环境监测计划</w:t>
      </w:r>
      <w:bookmarkEnd w:id="432"/>
      <w:bookmarkEnd w:id="433"/>
      <w:bookmarkEnd w:id="434"/>
      <w:bookmarkEnd w:id="435"/>
    </w:p>
    <w:p w:rsidR="00A46452" w:rsidRDefault="009A3928">
      <w:pPr>
        <w:wordWrap w:val="0"/>
        <w:topLinePunct/>
        <w:adjustRightInd w:val="0"/>
        <w:snapToGrid w:val="0"/>
        <w:ind w:firstLine="480"/>
        <w:rPr>
          <w:rFonts w:cs="Times New Roman"/>
          <w:szCs w:val="22"/>
        </w:rPr>
      </w:pPr>
      <w:r>
        <w:rPr>
          <w:rFonts w:cs="Times New Roman"/>
          <w:szCs w:val="22"/>
        </w:rPr>
        <w:t>建设项目实施环境保护计划包含两个方面，一是工程的环境保护措施，二是工程的环境管理，二者相辅相成，缺一不可。环境监控计划的制定和执行，是环境管理的依据和基础，为环境质量统计和环境质量定量评价提供科学依据，可以保证各项污染防治措施的实施与落实，及时发现环保措施出现的问题并进行修正和改进。</w:t>
      </w:r>
    </w:p>
    <w:p w:rsidR="00A46452" w:rsidRDefault="009A3928">
      <w:pPr>
        <w:wordWrap w:val="0"/>
        <w:topLinePunct/>
        <w:adjustRightInd w:val="0"/>
        <w:snapToGrid w:val="0"/>
        <w:ind w:firstLine="480"/>
        <w:rPr>
          <w:rFonts w:cs="Times New Roman"/>
          <w:snapToGrid w:val="0"/>
          <w:szCs w:val="24"/>
          <w:lang w:val="zh-CN"/>
        </w:rPr>
      </w:pPr>
      <w:r>
        <w:rPr>
          <w:rFonts w:cs="Times New Roman"/>
          <w:szCs w:val="22"/>
        </w:rPr>
        <w:t>根据本项目沿线的环境现状及其工程特点，报告书预测分析了公路建设施工期及运营期对环境带来的各种直接的、间接的环境影响，为了减轻工程建设对环境带来的不利影响，制订出具体的环境保护措施、环境保护措施的落实计划及环境监测计划，为本项目各个阶段实施环境影响减缓措施及环境管理提供一个行动准则与工作框架。</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36" w:name="_Toc187080725"/>
      <w:bookmarkStart w:id="437" w:name="_Toc19119"/>
      <w:r>
        <w:rPr>
          <w:rFonts w:cs="Times New Roman" w:hint="default"/>
          <w:sz w:val="30"/>
          <w:szCs w:val="30"/>
        </w:rPr>
        <w:t>10.1</w:t>
      </w:r>
      <w:r>
        <w:rPr>
          <w:rFonts w:cs="Times New Roman" w:hint="default"/>
          <w:sz w:val="30"/>
          <w:szCs w:val="30"/>
        </w:rPr>
        <w:t>环境管理计划</w:t>
      </w:r>
      <w:bookmarkEnd w:id="436"/>
      <w:bookmarkEnd w:id="437"/>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38" w:name="_Toc34989635"/>
      <w:bookmarkStart w:id="439" w:name="_Toc187080726"/>
      <w:bookmarkStart w:id="440" w:name="_Toc57826798"/>
      <w:r>
        <w:rPr>
          <w:rFonts w:cs="Times New Roman" w:hint="default"/>
          <w:sz w:val="28"/>
          <w:szCs w:val="28"/>
        </w:rPr>
        <w:t>10.1.1</w:t>
      </w:r>
      <w:r>
        <w:rPr>
          <w:rFonts w:cs="Times New Roman" w:hint="default"/>
          <w:sz w:val="28"/>
          <w:szCs w:val="28"/>
        </w:rPr>
        <w:t>环境保护管理</w:t>
      </w:r>
      <w:bookmarkEnd w:id="438"/>
      <w:r>
        <w:rPr>
          <w:rFonts w:cs="Times New Roman" w:hint="default"/>
          <w:sz w:val="28"/>
          <w:szCs w:val="28"/>
        </w:rPr>
        <w:t>机构</w:t>
      </w:r>
      <w:bookmarkEnd w:id="439"/>
      <w:bookmarkEnd w:id="440"/>
    </w:p>
    <w:p w:rsidR="00A46452" w:rsidRDefault="009A3928">
      <w:pPr>
        <w:wordWrap w:val="0"/>
        <w:topLinePunct/>
        <w:adjustRightInd w:val="0"/>
        <w:snapToGrid w:val="0"/>
        <w:ind w:firstLine="480"/>
        <w:rPr>
          <w:rFonts w:cs="Times New Roman"/>
          <w:szCs w:val="22"/>
        </w:rPr>
      </w:pPr>
      <w:r>
        <w:rPr>
          <w:rFonts w:cs="Times New Roman"/>
          <w:szCs w:val="22"/>
        </w:rPr>
        <w:t>本项目的环保机构可分为：管理机构、监督机构、实施机构和辅助机构。</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1</w:t>
      </w:r>
      <w:r>
        <w:rPr>
          <w:rFonts w:cs="Times New Roman"/>
          <w:szCs w:val="22"/>
        </w:rPr>
        <w:t>）管理机构</w:t>
      </w:r>
    </w:p>
    <w:p w:rsidR="00A46452" w:rsidRDefault="009A3928">
      <w:pPr>
        <w:wordWrap w:val="0"/>
        <w:topLinePunct/>
        <w:adjustRightInd w:val="0"/>
        <w:snapToGrid w:val="0"/>
        <w:ind w:firstLine="480"/>
        <w:rPr>
          <w:rFonts w:cs="Times New Roman"/>
          <w:szCs w:val="22"/>
        </w:rPr>
      </w:pPr>
      <w:r>
        <w:rPr>
          <w:rFonts w:cs="Times New Roman"/>
          <w:szCs w:val="22"/>
        </w:rPr>
        <w:t>新疆生产建设兵团第三师图木舒克市公路建设项目管理处负责组织工程的可行性研究和工程的环</w:t>
      </w:r>
      <w:r>
        <w:rPr>
          <w:rFonts w:cs="Times New Roman"/>
          <w:szCs w:val="22"/>
        </w:rPr>
        <w:t>境影响评价工作，制订环境保护工作计划。</w:t>
      </w:r>
    </w:p>
    <w:p w:rsidR="00A46452" w:rsidRDefault="009A3928">
      <w:pPr>
        <w:wordWrap w:val="0"/>
        <w:topLinePunct/>
        <w:adjustRightInd w:val="0"/>
        <w:snapToGrid w:val="0"/>
        <w:ind w:firstLine="480"/>
        <w:rPr>
          <w:rFonts w:cs="Times New Roman"/>
          <w:szCs w:val="22"/>
        </w:rPr>
      </w:pPr>
      <w:r>
        <w:rPr>
          <w:rFonts w:cs="Times New Roman"/>
          <w:szCs w:val="22"/>
        </w:rPr>
        <w:t>公路施工</w:t>
      </w:r>
      <w:r>
        <w:rPr>
          <w:rFonts w:cs="Times New Roman"/>
          <w:szCs w:val="22"/>
        </w:rPr>
        <w:t>期间</w:t>
      </w:r>
      <w:r>
        <w:rPr>
          <w:rFonts w:cs="Times New Roman"/>
          <w:szCs w:val="22"/>
        </w:rPr>
        <w:t>的环境管理由施工监督部门执行。全线设环境监督小组，环境监督小组的人员中至少有</w:t>
      </w:r>
      <w:r>
        <w:rPr>
          <w:rFonts w:cs="Times New Roman"/>
          <w:szCs w:val="22"/>
        </w:rPr>
        <w:t>1</w:t>
      </w:r>
      <w:r>
        <w:rPr>
          <w:rFonts w:cs="Times New Roman"/>
          <w:szCs w:val="22"/>
        </w:rPr>
        <w:t>名具备一定的环境保护知识，能进行一些简单的现场环境调查。环境监督小组的成员要包括各不同合同段的人员，各合同段的环境监督人员负责监督本合同段内的施工是否按合同要求实施环境保护措施，对施工全过程进行监督，随时发现环境问题，并及时给予解决。</w:t>
      </w:r>
    </w:p>
    <w:p w:rsidR="00A46452" w:rsidRDefault="009A3928">
      <w:pPr>
        <w:wordWrap w:val="0"/>
        <w:topLinePunct/>
        <w:adjustRightInd w:val="0"/>
        <w:snapToGrid w:val="0"/>
        <w:ind w:firstLine="480"/>
        <w:rPr>
          <w:rFonts w:cs="Times New Roman"/>
          <w:szCs w:val="22"/>
        </w:rPr>
      </w:pPr>
      <w:r>
        <w:rPr>
          <w:rFonts w:cs="Times New Roman"/>
          <w:szCs w:val="22"/>
        </w:rPr>
        <w:t>公路施工完成后，有资质单位对公路进行有关环保方面的竣工验收，主要内容为生态环境保护、工程防护措施及有关环保措施落实情况，并将验收结果上报</w:t>
      </w:r>
      <w:r>
        <w:rPr>
          <w:rFonts w:cs="Times New Roman"/>
          <w:szCs w:val="22"/>
        </w:rPr>
        <w:t>自治区生态</w:t>
      </w:r>
      <w:r>
        <w:rPr>
          <w:rFonts w:cs="Times New Roman" w:hint="eastAsia"/>
          <w:szCs w:val="22"/>
        </w:rPr>
        <w:t>环境</w:t>
      </w:r>
      <w:r>
        <w:rPr>
          <w:rFonts w:cs="Times New Roman"/>
          <w:szCs w:val="22"/>
        </w:rPr>
        <w:t>厅备案</w:t>
      </w:r>
      <w:r>
        <w:rPr>
          <w:rFonts w:cs="Times New Roman"/>
          <w:szCs w:val="22"/>
        </w:rPr>
        <w:t>。</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2</w:t>
      </w:r>
      <w:r>
        <w:rPr>
          <w:rFonts w:cs="Times New Roman"/>
          <w:szCs w:val="22"/>
        </w:rPr>
        <w:t>）监督机构</w:t>
      </w:r>
    </w:p>
    <w:p w:rsidR="00A46452" w:rsidRDefault="009A3928">
      <w:pPr>
        <w:wordWrap w:val="0"/>
        <w:topLinePunct/>
        <w:adjustRightInd w:val="0"/>
        <w:snapToGrid w:val="0"/>
        <w:ind w:firstLine="480"/>
        <w:rPr>
          <w:rFonts w:cs="Times New Roman"/>
          <w:szCs w:val="22"/>
        </w:rPr>
      </w:pPr>
      <w:r>
        <w:rPr>
          <w:rFonts w:cs="Times New Roman"/>
          <w:szCs w:val="22"/>
        </w:rPr>
        <w:t>本项目由新疆生产建设兵团</w:t>
      </w:r>
      <w:r>
        <w:rPr>
          <w:rFonts w:cs="Times New Roman"/>
          <w:szCs w:val="24"/>
        </w:rPr>
        <w:t>第</w:t>
      </w:r>
      <w:r>
        <w:rPr>
          <w:rFonts w:cs="Times New Roman"/>
          <w:szCs w:val="24"/>
        </w:rPr>
        <w:t>三</w:t>
      </w:r>
      <w:r>
        <w:rPr>
          <w:rFonts w:cs="Times New Roman"/>
          <w:szCs w:val="24"/>
        </w:rPr>
        <w:t>师</w:t>
      </w:r>
      <w:r>
        <w:rPr>
          <w:rFonts w:cs="Times New Roman"/>
          <w:szCs w:val="24"/>
        </w:rPr>
        <w:t>图木舒克市公路建设项目管理处</w:t>
      </w:r>
      <w:r>
        <w:rPr>
          <w:rFonts w:cs="Times New Roman"/>
          <w:szCs w:val="22"/>
        </w:rPr>
        <w:t>负责，具体由新疆生产建设兵团第</w:t>
      </w:r>
      <w:r>
        <w:rPr>
          <w:rFonts w:cs="Times New Roman"/>
          <w:szCs w:val="22"/>
        </w:rPr>
        <w:t>三</w:t>
      </w:r>
      <w:r>
        <w:rPr>
          <w:rFonts w:cs="Times New Roman"/>
          <w:szCs w:val="22"/>
        </w:rPr>
        <w:t>师交通局直接监督管理，总体由第</w:t>
      </w:r>
      <w:r>
        <w:rPr>
          <w:rFonts w:cs="Times New Roman"/>
          <w:szCs w:val="22"/>
        </w:rPr>
        <w:t>三</w:t>
      </w:r>
      <w:r>
        <w:rPr>
          <w:rFonts w:cs="Times New Roman"/>
          <w:szCs w:val="22"/>
        </w:rPr>
        <w:t>师</w:t>
      </w:r>
      <w:r>
        <w:rPr>
          <w:rFonts w:cs="Times New Roman"/>
          <w:szCs w:val="22"/>
        </w:rPr>
        <w:t>图木舒克</w:t>
      </w:r>
      <w:r>
        <w:rPr>
          <w:rFonts w:cs="Times New Roman"/>
          <w:szCs w:val="22"/>
        </w:rPr>
        <w:t>市生态环境局环境监察支队直接监督管理。</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3</w:t>
      </w:r>
      <w:r>
        <w:rPr>
          <w:rFonts w:cs="Times New Roman"/>
          <w:szCs w:val="22"/>
        </w:rPr>
        <w:t>）实施机构</w:t>
      </w:r>
    </w:p>
    <w:p w:rsidR="00A46452" w:rsidRDefault="009A3928">
      <w:pPr>
        <w:wordWrap w:val="0"/>
        <w:topLinePunct/>
        <w:adjustRightInd w:val="0"/>
        <w:snapToGrid w:val="0"/>
        <w:ind w:firstLine="480"/>
        <w:rPr>
          <w:rFonts w:cs="Times New Roman"/>
          <w:szCs w:val="22"/>
        </w:rPr>
      </w:pPr>
      <w:r>
        <w:rPr>
          <w:rFonts w:cs="Times New Roman"/>
          <w:szCs w:val="22"/>
        </w:rPr>
        <w:t>建设单位在工程招标过程中将环境保护要求列入标书，由施工单位负责各项环保措施的实施。新疆生产建设兵团</w:t>
      </w:r>
      <w:r>
        <w:rPr>
          <w:rFonts w:cs="Times New Roman"/>
          <w:szCs w:val="24"/>
        </w:rPr>
        <w:t>第</w:t>
      </w:r>
      <w:r>
        <w:rPr>
          <w:rFonts w:cs="Times New Roman"/>
          <w:szCs w:val="24"/>
        </w:rPr>
        <w:t>三</w:t>
      </w:r>
      <w:r>
        <w:rPr>
          <w:rFonts w:cs="Times New Roman"/>
          <w:szCs w:val="24"/>
        </w:rPr>
        <w:t>师</w:t>
      </w:r>
      <w:r>
        <w:rPr>
          <w:rFonts w:cs="Times New Roman"/>
          <w:szCs w:val="24"/>
        </w:rPr>
        <w:t>图木舒克市公路建设项目管理处</w:t>
      </w:r>
      <w:r>
        <w:rPr>
          <w:rFonts w:cs="Times New Roman"/>
          <w:szCs w:val="22"/>
        </w:rPr>
        <w:t>可委托监理部门对设计及施工进行监管，以确保环保措施的落</w:t>
      </w:r>
      <w:r>
        <w:rPr>
          <w:rFonts w:cs="Times New Roman"/>
          <w:szCs w:val="22"/>
        </w:rPr>
        <w:t>实</w:t>
      </w:r>
      <w:r>
        <w:rPr>
          <w:rFonts w:cs="Times New Roman"/>
          <w:szCs w:val="22"/>
        </w:rPr>
        <w:t>。</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41" w:name="_Toc34989636"/>
      <w:bookmarkStart w:id="442" w:name="_Toc187080727"/>
      <w:bookmarkStart w:id="443" w:name="_Toc57826799"/>
      <w:r>
        <w:rPr>
          <w:rFonts w:cs="Times New Roman" w:hint="default"/>
          <w:sz w:val="28"/>
          <w:szCs w:val="28"/>
        </w:rPr>
        <w:t>10.1.2</w:t>
      </w:r>
      <w:r>
        <w:rPr>
          <w:rFonts w:cs="Times New Roman" w:hint="default"/>
          <w:sz w:val="28"/>
          <w:szCs w:val="28"/>
        </w:rPr>
        <w:t>环境保护</w:t>
      </w:r>
      <w:bookmarkEnd w:id="441"/>
      <w:r>
        <w:rPr>
          <w:rFonts w:cs="Times New Roman" w:hint="default"/>
          <w:sz w:val="28"/>
          <w:szCs w:val="28"/>
        </w:rPr>
        <w:t>管理内容</w:t>
      </w:r>
      <w:bookmarkEnd w:id="442"/>
      <w:bookmarkEnd w:id="443"/>
    </w:p>
    <w:p w:rsidR="00A46452" w:rsidRDefault="009A3928">
      <w:pPr>
        <w:pStyle w:val="12"/>
        <w:widowControl w:val="0"/>
        <w:tabs>
          <w:tab w:val="left" w:pos="3552"/>
        </w:tabs>
        <w:wordWrap w:val="0"/>
        <w:topLinePunct/>
        <w:adjustRightInd w:val="0"/>
        <w:snapToGrid w:val="0"/>
        <w:spacing w:after="0"/>
        <w:ind w:firstLine="480"/>
        <w:jc w:val="both"/>
        <w:rPr>
          <w:rFonts w:cs="Times New Roman" w:hint="default"/>
          <w:snapToGrid w:val="0"/>
          <w:lang w:val="zh-CN"/>
        </w:rPr>
      </w:pPr>
      <w:r>
        <w:rPr>
          <w:rFonts w:cs="Times New Roman" w:hint="default"/>
          <w:snapToGrid w:val="0"/>
        </w:rPr>
        <w:t>根据项目环境管理的要求，提出了本项目环境管理计划内容，</w:t>
      </w:r>
      <w:r>
        <w:rPr>
          <w:rFonts w:cs="Times New Roman" w:hint="default"/>
          <w:snapToGrid w:val="0"/>
          <w:lang w:val="zh-CN"/>
        </w:rPr>
        <w:t>具体情况见表</w:t>
      </w:r>
      <w:r>
        <w:rPr>
          <w:rFonts w:cs="Times New Roman"/>
          <w:snapToGrid w:val="0"/>
        </w:rPr>
        <w:t>10</w:t>
      </w:r>
      <w:r>
        <w:rPr>
          <w:rFonts w:cs="Times New Roman" w:hint="default"/>
          <w:snapToGrid w:val="0"/>
          <w:lang w:val="zh-CN"/>
        </w:rPr>
        <w:t>.1-1</w:t>
      </w:r>
      <w:r>
        <w:rPr>
          <w:rFonts w:cs="Times New Roman" w:hint="default"/>
          <w:snapToGrid w:val="0"/>
          <w:lang w:val="zh-CN"/>
        </w:rPr>
        <w:t>。</w:t>
      </w:r>
    </w:p>
    <w:p w:rsidR="00A46452" w:rsidRDefault="009A3928">
      <w:pPr>
        <w:pStyle w:val="1c"/>
        <w:wordWrap w:val="0"/>
        <w:topLinePunct/>
        <w:adjustRightInd w:val="0"/>
        <w:snapToGrid w:val="0"/>
        <w:spacing w:line="240" w:lineRule="auto"/>
        <w:ind w:firstLineChars="0" w:firstLine="0"/>
        <w:jc w:val="left"/>
        <w:rPr>
          <w:rFonts w:ascii="Times New Roman" w:hAnsi="Times New Roman" w:cs="Times New Roman" w:hint="default"/>
          <w:sz w:val="24"/>
          <w:szCs w:val="24"/>
        </w:rPr>
      </w:pPr>
      <w:r>
        <w:rPr>
          <w:rFonts w:ascii="Times New Roman" w:hAnsi="Times New Roman" w:cs="Times New Roman" w:hint="default"/>
          <w:sz w:val="24"/>
          <w:szCs w:val="24"/>
        </w:rPr>
        <w:t>表</w:t>
      </w:r>
      <w:r>
        <w:rPr>
          <w:rFonts w:ascii="Times New Roman" w:hAnsi="Times New Roman" w:cs="Times New Roman"/>
          <w:sz w:val="24"/>
          <w:szCs w:val="24"/>
        </w:rPr>
        <w:t>10</w:t>
      </w:r>
      <w:r>
        <w:rPr>
          <w:rFonts w:ascii="Times New Roman" w:hAnsi="Times New Roman" w:cs="Times New Roman" w:hint="default"/>
          <w:sz w:val="24"/>
          <w:szCs w:val="24"/>
        </w:rPr>
        <w:t xml:space="preserve">.1-1       </w:t>
      </w:r>
      <w:r>
        <w:rPr>
          <w:rFonts w:ascii="Times New Roman" w:hAnsi="Times New Roman" w:cs="Times New Roman" w:hint="default"/>
          <w:sz w:val="24"/>
          <w:szCs w:val="24"/>
        </w:rPr>
        <w:t xml:space="preserve">             </w:t>
      </w:r>
      <w:r>
        <w:rPr>
          <w:rFonts w:ascii="Times New Roman" w:hAnsi="Times New Roman" w:cs="Times New Roman" w:hint="default"/>
          <w:sz w:val="24"/>
          <w:szCs w:val="24"/>
        </w:rPr>
        <w:t>环境管理计划一览表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2"/>
        <w:gridCol w:w="5732"/>
        <w:gridCol w:w="1247"/>
        <w:gridCol w:w="724"/>
      </w:tblGrid>
      <w:tr w:rsidR="00A46452">
        <w:trPr>
          <w:trHeight w:val="20"/>
          <w:jc w:val="center"/>
        </w:trPr>
        <w:tc>
          <w:tcPr>
            <w:tcW w:w="477" w:type="pct"/>
            <w:tcBorders>
              <w:top w:val="single" w:sz="12"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环境问题</w:t>
            </w:r>
          </w:p>
        </w:tc>
        <w:tc>
          <w:tcPr>
            <w:tcW w:w="3366" w:type="pc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环境管理目标</w:t>
            </w:r>
          </w:p>
        </w:tc>
        <w:tc>
          <w:tcPr>
            <w:tcW w:w="732" w:type="pct"/>
            <w:tcBorders>
              <w:top w:val="single" w:sz="12"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实施</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机构</w:t>
            </w:r>
          </w:p>
        </w:tc>
        <w:tc>
          <w:tcPr>
            <w:tcW w:w="422" w:type="pct"/>
            <w:tcBorders>
              <w:top w:val="single" w:sz="12"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负责</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机构</w:t>
            </w:r>
          </w:p>
        </w:tc>
      </w:tr>
      <w:tr w:rsidR="00A46452">
        <w:trPr>
          <w:trHeight w:val="20"/>
          <w:jc w:val="center"/>
        </w:trPr>
        <w:tc>
          <w:tcPr>
            <w:tcW w:w="5000" w:type="pct"/>
            <w:gridSpan w:val="4"/>
            <w:tcBorders>
              <w:top w:val="single" w:sz="6" w:space="0" w:color="auto"/>
              <w:left w:val="single" w:sz="12"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b/>
                <w:sz w:val="18"/>
                <w:szCs w:val="18"/>
              </w:rPr>
            </w:pPr>
            <w:r>
              <w:rPr>
                <w:rFonts w:cs="Times New Roman"/>
                <w:b/>
                <w:sz w:val="18"/>
                <w:szCs w:val="18"/>
              </w:rPr>
              <w:t>设计期</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生态</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核实永久占地中的耕地、林地是否异地开垦和植被恢复情况，核实临</w:t>
            </w:r>
            <w:r>
              <w:rPr>
                <w:rFonts w:cs="Times New Roman"/>
                <w:sz w:val="18"/>
                <w:szCs w:val="18"/>
              </w:rPr>
              <w:t>时</w:t>
            </w:r>
            <w:r>
              <w:rPr>
                <w:rFonts w:cs="Times New Roman"/>
                <w:sz w:val="18"/>
                <w:szCs w:val="18"/>
              </w:rPr>
              <w:t>占地保护和恢复情况。</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核实施工站场、弃土场、施工便道的选址是否避让植被密集区。路基边坡和护坡道的防护设计，是否有利于减少水土流失对路基的影响。</w:t>
            </w:r>
          </w:p>
        </w:tc>
        <w:tc>
          <w:tcPr>
            <w:tcW w:w="732"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c>
          <w:tcPr>
            <w:tcW w:w="422" w:type="pct"/>
            <w:vMerge w:val="restar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声环境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对比建设项目的环境影响评价文件以及工程内容和工程设计方案，调查声环境敏感点情况，尽量避免噪声扰民。</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大气</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对比建设项目的环境影响评价文件以及工程内容和工程设计方案，调查大气环境敏感点情况。</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水环境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调查路面排水去向，不得直接排向农田渠道，避免发生污染。</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固体废物</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调查</w:t>
            </w:r>
            <w:r>
              <w:rPr>
                <w:rFonts w:cs="Times New Roman"/>
                <w:spacing w:val="6"/>
                <w:sz w:val="18"/>
                <w:szCs w:val="18"/>
              </w:rPr>
              <w:t>弃土场的位置，是否按设计要求弃土。</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社会</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根据项目占地和是否存在各类保护区，核实</w:t>
            </w:r>
            <w:r>
              <w:rPr>
                <w:rFonts w:cs="Times New Roman"/>
                <w:spacing w:val="6"/>
                <w:sz w:val="18"/>
                <w:szCs w:val="18"/>
              </w:rPr>
              <w:t>选线方案是否经济可行。</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核实是否按计划完成征地与补偿。</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5000" w:type="pct"/>
            <w:gridSpan w:val="4"/>
            <w:tcBorders>
              <w:top w:val="single" w:sz="6" w:space="0" w:color="auto"/>
              <w:left w:val="single" w:sz="12"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b/>
                <w:sz w:val="18"/>
                <w:szCs w:val="18"/>
              </w:rPr>
            </w:pPr>
            <w:r>
              <w:rPr>
                <w:rFonts w:cs="Times New Roman"/>
                <w:b/>
                <w:sz w:val="18"/>
                <w:szCs w:val="18"/>
              </w:rPr>
              <w:t>施工期</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生态</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严格划定项目施工作业区（带）边界，严禁超界占用；</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临时占地尽量设置在永久占地范围内；</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减少临时占地，</w:t>
            </w:r>
            <w:r>
              <w:rPr>
                <w:rFonts w:cs="Times New Roman"/>
                <w:sz w:val="18"/>
                <w:szCs w:val="18"/>
              </w:rPr>
              <w:t>做好</w:t>
            </w:r>
            <w:r>
              <w:rPr>
                <w:rFonts w:cs="Times New Roman"/>
                <w:sz w:val="18"/>
                <w:szCs w:val="18"/>
              </w:rPr>
              <w:t>临时用地的恢复工作；</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④</w:t>
            </w:r>
            <w:r>
              <w:rPr>
                <w:rFonts w:cs="Times New Roman"/>
                <w:sz w:val="18"/>
                <w:szCs w:val="18"/>
              </w:rPr>
              <w:t>保护植被，及时恢复被破坏的地表；</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⑤</w:t>
            </w:r>
            <w:r>
              <w:rPr>
                <w:rFonts w:cs="Times New Roman"/>
                <w:sz w:val="18"/>
                <w:szCs w:val="18"/>
              </w:rPr>
              <w:t>做好路基、弃土场、边坡的水土保持工作，</w:t>
            </w:r>
            <w:r>
              <w:rPr>
                <w:rFonts w:cs="Times New Roman"/>
                <w:sz w:val="18"/>
                <w:szCs w:val="18"/>
              </w:rPr>
              <w:t>防止</w:t>
            </w:r>
            <w:r>
              <w:rPr>
                <w:rFonts w:cs="Times New Roman"/>
                <w:sz w:val="18"/>
                <w:szCs w:val="18"/>
              </w:rPr>
              <w:t>水土流失，及时进行土地复垦；</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⑥</w:t>
            </w:r>
            <w:r>
              <w:rPr>
                <w:rFonts w:cs="Times New Roman"/>
                <w:sz w:val="18"/>
                <w:szCs w:val="18"/>
              </w:rPr>
              <w:t>公路沿线表土集中堆存，防止水土流失，用于土地复垦；做好耕地、林地的占用审批工作，按照占补平衡原则、补偿占用的耕地、林地。</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⑦</w:t>
            </w:r>
            <w:r>
              <w:rPr>
                <w:rFonts w:cs="Times New Roman"/>
                <w:sz w:val="18"/>
                <w:szCs w:val="18"/>
              </w:rPr>
              <w:t>生态保护红线区范围内不得设置任何临时工程，严格控制工程占地，严禁破坏污染水环境。</w:t>
            </w:r>
          </w:p>
        </w:tc>
        <w:tc>
          <w:tcPr>
            <w:tcW w:w="732"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施工单位</w:t>
            </w:r>
          </w:p>
        </w:tc>
        <w:tc>
          <w:tcPr>
            <w:tcW w:w="422" w:type="pc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施工</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噪声</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尽量采用低噪声机械设备，经常对设备进行维修保养，避免由于设备性能差而导致噪声增强现象的发生；</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高噪声施工机械夜间（</w:t>
            </w:r>
            <w:r>
              <w:rPr>
                <w:rFonts w:cs="Times New Roman"/>
                <w:sz w:val="18"/>
                <w:szCs w:val="18"/>
              </w:rPr>
              <w:t>24</w:t>
            </w:r>
            <w:r>
              <w:rPr>
                <w:rFonts w:cs="Times New Roman"/>
                <w:sz w:val="18"/>
                <w:szCs w:val="18"/>
              </w:rPr>
              <w:t>:</w:t>
            </w:r>
            <w:r>
              <w:rPr>
                <w:rFonts w:cs="Times New Roman"/>
                <w:sz w:val="18"/>
                <w:szCs w:val="18"/>
              </w:rPr>
              <w:t>00-8</w:t>
            </w:r>
            <w:r>
              <w:rPr>
                <w:rFonts w:cs="Times New Roman"/>
                <w:sz w:val="18"/>
                <w:szCs w:val="18"/>
              </w:rPr>
              <w:t>:</w:t>
            </w:r>
            <w:r>
              <w:rPr>
                <w:rFonts w:cs="Times New Roman"/>
                <w:sz w:val="18"/>
                <w:szCs w:val="18"/>
              </w:rPr>
              <w:t>00</w:t>
            </w:r>
            <w:r>
              <w:rPr>
                <w:rFonts w:cs="Times New Roman"/>
                <w:sz w:val="18"/>
                <w:szCs w:val="18"/>
              </w:rPr>
              <w:t>）禁止在</w:t>
            </w:r>
            <w:r>
              <w:rPr>
                <w:rFonts w:cs="Times New Roman"/>
                <w:sz w:val="18"/>
                <w:szCs w:val="18"/>
              </w:rPr>
              <w:t>柯坪县居民区</w:t>
            </w:r>
            <w:r>
              <w:rPr>
                <w:rFonts w:cs="Times New Roman"/>
                <w:sz w:val="18"/>
                <w:szCs w:val="18"/>
              </w:rPr>
              <w:t>等声环境敏感点附近施工；若因工程需要必须夜间施工，应向当地生态环境主管部门申报，并提前公告。</w:t>
            </w:r>
          </w:p>
        </w:tc>
        <w:tc>
          <w:tcPr>
            <w:tcW w:w="732"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施工</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单位</w:t>
            </w:r>
          </w:p>
        </w:tc>
        <w:tc>
          <w:tcPr>
            <w:tcW w:w="422" w:type="pct"/>
            <w:vMerge w:val="restar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大气</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加强施工管理，提倡文明施工、集中施工、快速施工。</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物料堆场四周设置挡风墙（网），合理安排堆垛位置，并采取加盖</w:t>
            </w:r>
            <w:r>
              <w:rPr>
                <w:rFonts w:cs="Times New Roman"/>
                <w:sz w:val="18"/>
                <w:szCs w:val="18"/>
              </w:rPr>
              <w:t>篷布</w:t>
            </w:r>
            <w:r>
              <w:rPr>
                <w:rFonts w:cs="Times New Roman"/>
                <w:sz w:val="18"/>
                <w:szCs w:val="18"/>
              </w:rPr>
              <w:t>等遮挡措施。</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水泥、砂和石灰等散装物料在装卸、使用、运输、转运和临时存放过程</w:t>
            </w:r>
            <w:r>
              <w:rPr>
                <w:rFonts w:cs="Times New Roman"/>
                <w:sz w:val="18"/>
                <w:szCs w:val="18"/>
              </w:rPr>
              <w:t>中</w:t>
            </w:r>
            <w:r>
              <w:rPr>
                <w:rFonts w:cs="Times New Roman"/>
                <w:sz w:val="18"/>
                <w:szCs w:val="18"/>
              </w:rPr>
              <w:t>，应采取防风遮盖措施，以减少扬尘。</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fldChar w:fldCharType="begin"/>
            </w:r>
            <w:r>
              <w:rPr>
                <w:rFonts w:cs="Times New Roman"/>
                <w:sz w:val="18"/>
                <w:szCs w:val="18"/>
              </w:rPr>
              <w:instrText xml:space="preserve"> = 4 \* GB3 </w:instrText>
            </w:r>
            <w:r>
              <w:rPr>
                <w:rFonts w:cs="Times New Roman"/>
                <w:sz w:val="18"/>
                <w:szCs w:val="18"/>
              </w:rPr>
              <w:fldChar w:fldCharType="separate"/>
            </w:r>
            <w:r>
              <w:rPr>
                <w:rFonts w:cs="Times New Roman"/>
                <w:sz w:val="18"/>
                <w:szCs w:val="18"/>
              </w:rPr>
              <w:t>④</w:t>
            </w:r>
            <w:r>
              <w:rPr>
                <w:rFonts w:cs="Times New Roman"/>
                <w:sz w:val="18"/>
                <w:szCs w:val="18"/>
              </w:rPr>
              <w:fldChar w:fldCharType="end"/>
            </w:r>
            <w:r>
              <w:rPr>
                <w:rFonts w:cs="Times New Roman"/>
                <w:sz w:val="18"/>
                <w:szCs w:val="18"/>
              </w:rPr>
              <w:t>工程开挖土方应集中堆放，并及时回填，减小扬尘影响时间和范围。</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⑤</w:t>
            </w:r>
            <w:r>
              <w:rPr>
                <w:rFonts w:cs="Times New Roman"/>
                <w:sz w:val="18"/>
                <w:szCs w:val="18"/>
              </w:rPr>
              <w:t>合理选择拌合站的位置，加强防护措施。</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水环境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工程取水要书面报告水利部门，经批准后在指定地点取水，并做好安全环保防护工作；</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施工废水和生活污水合理处置，严禁排入地表水体；</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实施施工期环境监督工作，做好施工人员的环保教育工作，提倡文明施工、保护水体。</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④</w:t>
            </w:r>
            <w:r>
              <w:rPr>
                <w:rFonts w:cs="Times New Roman"/>
                <w:sz w:val="18"/>
                <w:szCs w:val="18"/>
              </w:rPr>
              <w:t>桥梁基础施工选择在枯水期，桥址处河道一侧设置泥浆沉淀池，上清液循环利用，施工结束后，及时拆除，弃渣清运至</w:t>
            </w:r>
            <w:r>
              <w:rPr>
                <w:rFonts w:cs="Times New Roman"/>
                <w:sz w:val="18"/>
                <w:szCs w:val="18"/>
              </w:rPr>
              <w:t>附近的</w:t>
            </w:r>
            <w:r>
              <w:rPr>
                <w:rFonts w:cs="Times New Roman"/>
                <w:sz w:val="18"/>
                <w:szCs w:val="18"/>
              </w:rPr>
              <w:t>城市管理部门指定地点。</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固体</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废物</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弃土应严格按设计要求，及时清运至弃土场。</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fldChar w:fldCharType="begin"/>
            </w:r>
            <w:r>
              <w:rPr>
                <w:rFonts w:cs="Times New Roman"/>
                <w:sz w:val="18"/>
                <w:szCs w:val="18"/>
              </w:rPr>
              <w:instrText xml:space="preserve"> = 2 \* GB3 </w:instrText>
            </w:r>
            <w:r>
              <w:rPr>
                <w:rFonts w:cs="Times New Roman"/>
                <w:sz w:val="18"/>
                <w:szCs w:val="18"/>
              </w:rPr>
              <w:fldChar w:fldCharType="separate"/>
            </w:r>
            <w:r>
              <w:rPr>
                <w:rFonts w:cs="Times New Roman"/>
                <w:sz w:val="18"/>
                <w:szCs w:val="18"/>
              </w:rPr>
              <w:t>②</w:t>
            </w:r>
            <w:r>
              <w:rPr>
                <w:rFonts w:cs="Times New Roman"/>
                <w:sz w:val="18"/>
                <w:szCs w:val="18"/>
              </w:rPr>
              <w:fldChar w:fldCharType="end"/>
            </w:r>
            <w:r>
              <w:rPr>
                <w:rFonts w:cs="Times New Roman"/>
                <w:sz w:val="18"/>
                <w:szCs w:val="18"/>
              </w:rPr>
              <w:t>按计划和施工的操作规程，严格控制并尽量减少余下的物料。</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fldChar w:fldCharType="begin"/>
            </w:r>
            <w:r>
              <w:rPr>
                <w:rFonts w:cs="Times New Roman"/>
                <w:sz w:val="18"/>
                <w:szCs w:val="18"/>
              </w:rPr>
              <w:instrText xml:space="preserve"> = 3 \* GB3 </w:instrText>
            </w:r>
            <w:r>
              <w:rPr>
                <w:rFonts w:cs="Times New Roman"/>
                <w:sz w:val="18"/>
                <w:szCs w:val="18"/>
              </w:rPr>
              <w:fldChar w:fldCharType="separate"/>
            </w:r>
            <w:r>
              <w:rPr>
                <w:rFonts w:cs="Times New Roman"/>
                <w:sz w:val="18"/>
                <w:szCs w:val="18"/>
              </w:rPr>
              <w:t>③</w:t>
            </w:r>
            <w:r>
              <w:rPr>
                <w:rFonts w:cs="Times New Roman"/>
                <w:sz w:val="18"/>
                <w:szCs w:val="18"/>
              </w:rPr>
              <w:fldChar w:fldCharType="end"/>
            </w:r>
            <w:r>
              <w:rPr>
                <w:rFonts w:cs="Times New Roman"/>
                <w:sz w:val="18"/>
                <w:szCs w:val="18"/>
              </w:rPr>
              <w:t>施工完毕后，应清除迹地范围内的生活垃圾、固体废物和构筑物等，并进行场地平整和生态恢复。</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社会</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施工期间，路基施工需进行洒水降尘，运输材料的车辆禁止超载，经过居民区减速。</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5000" w:type="pct"/>
            <w:gridSpan w:val="4"/>
            <w:tcBorders>
              <w:top w:val="single" w:sz="6" w:space="0" w:color="auto"/>
              <w:left w:val="single" w:sz="12"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b/>
                <w:sz w:val="18"/>
                <w:szCs w:val="18"/>
              </w:rPr>
            </w:pPr>
            <w:r>
              <w:rPr>
                <w:rFonts w:cs="Times New Roman"/>
                <w:b/>
                <w:sz w:val="18"/>
                <w:szCs w:val="18"/>
              </w:rPr>
              <w:t>运营期</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生态</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弃渣场、施工站场、施工便道等临时占地的恢复措施效果。</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对有毒的危险物品，应制定严格的运输措施和管理措施，以防止危险品的意外</w:t>
            </w:r>
            <w:r>
              <w:rPr>
                <w:rFonts w:cs="Times New Roman"/>
                <w:sz w:val="18"/>
                <w:szCs w:val="18"/>
              </w:rPr>
              <w:t>泄漏</w:t>
            </w:r>
            <w:r>
              <w:rPr>
                <w:rFonts w:cs="Times New Roman"/>
                <w:sz w:val="18"/>
                <w:szCs w:val="18"/>
              </w:rPr>
              <w:t>对公路两侧环境造成污染。</w:t>
            </w:r>
          </w:p>
        </w:tc>
        <w:tc>
          <w:tcPr>
            <w:tcW w:w="732"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c>
          <w:tcPr>
            <w:tcW w:w="422" w:type="pct"/>
            <w:vMerge w:val="restar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师交通局</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声环境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对</w:t>
            </w:r>
            <w:r>
              <w:rPr>
                <w:rFonts w:cs="Times New Roman"/>
                <w:sz w:val="18"/>
                <w:szCs w:val="18"/>
              </w:rPr>
              <w:t>4</w:t>
            </w:r>
            <w:r>
              <w:rPr>
                <w:rFonts w:cs="Times New Roman"/>
                <w:sz w:val="18"/>
                <w:szCs w:val="18"/>
              </w:rPr>
              <w:t>处声环境敏感点进行监测，验证措施降噪效果，保证敏感点声环境质量达标，根据实际情况调整降噪工程措施。</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加强公路交通管制，限制性能差的车辆上路，经常维持路面平整；禁鸣限速。</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禁止车况差、超载、装卸物品遮盖不严容易洒落的车辆上路。</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大气环境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加强车辆管理、监督、检测，禁止严重超过国家现行机动车尾气排放标准的车辆上路。</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加强公路管理和维护，保持公路良好运营状态，使车辆能够平稳、快速行驶，减少尾气排放。</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加强运输散装物资如煤、水泥、砂石材料及简易包装的化肥、农药等车辆的管理，运送上述物品需加盖</w:t>
            </w:r>
            <w:r>
              <w:rPr>
                <w:rFonts w:cs="Times New Roman"/>
                <w:sz w:val="18"/>
                <w:szCs w:val="18"/>
              </w:rPr>
              <w:t>篷布</w:t>
            </w:r>
            <w:r>
              <w:rPr>
                <w:rFonts w:cs="Times New Roman"/>
                <w:sz w:val="18"/>
                <w:szCs w:val="18"/>
              </w:rPr>
              <w:t>。</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水环境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跨越河道和渠道的桥面加装防撞栏、配备应急物资、编制应急预案。</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跨越河道和渠道大桥设置警示牌，提醒过往车辆，禁止丢弃垃圾。</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③</w:t>
            </w:r>
            <w:r>
              <w:rPr>
                <w:rFonts w:cs="Times New Roman"/>
                <w:sz w:val="18"/>
                <w:szCs w:val="18"/>
              </w:rPr>
              <w:t>保证一体化污水处理设施正常运转，定时巡检维护。</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固体</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废物</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制定和宣传法规，禁止乘客在公路上乱丢饮料袋、易拉罐等垃圾，以保证行车安全和公路两侧的清洁卫生。公路辅助设施、养护、清扫产生的生活垃圾等一般固废集中收集后，统一清运至</w:t>
            </w:r>
            <w:r>
              <w:rPr>
                <w:rFonts w:cs="Times New Roman"/>
                <w:sz w:val="18"/>
                <w:szCs w:val="18"/>
              </w:rPr>
              <w:t>城镇</w:t>
            </w:r>
            <w:r>
              <w:rPr>
                <w:rFonts w:cs="Times New Roman"/>
                <w:sz w:val="18"/>
                <w:szCs w:val="18"/>
              </w:rPr>
              <w:t>生活垃圾填埋场，禁止随意就地填埋。</w:t>
            </w:r>
          </w:p>
        </w:tc>
        <w:tc>
          <w:tcPr>
            <w:tcW w:w="732" w:type="pct"/>
            <w:vMerge w:val="restar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p>
        </w:tc>
        <w:tc>
          <w:tcPr>
            <w:tcW w:w="422" w:type="pct"/>
            <w:vMerge w:val="restart"/>
            <w:tcBorders>
              <w:top w:val="single" w:sz="6" w:space="0" w:color="auto"/>
              <w:left w:val="single" w:sz="6" w:space="0" w:color="auto"/>
              <w:bottom w:val="single" w:sz="6" w:space="0" w:color="auto"/>
              <w:right w:val="single" w:sz="12"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师交通局</w:t>
            </w:r>
          </w:p>
        </w:tc>
      </w:tr>
      <w:tr w:rsidR="00A46452">
        <w:trPr>
          <w:trHeight w:val="20"/>
          <w:jc w:val="center"/>
        </w:trPr>
        <w:tc>
          <w:tcPr>
            <w:tcW w:w="477" w:type="pct"/>
            <w:tcBorders>
              <w:top w:val="single" w:sz="6" w:space="0" w:color="auto"/>
              <w:left w:val="single" w:sz="12"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社会</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环境</w:t>
            </w:r>
          </w:p>
        </w:tc>
        <w:tc>
          <w:tcPr>
            <w:tcW w:w="3366" w:type="pct"/>
            <w:tcBorders>
              <w:top w:val="single" w:sz="6" w:space="0" w:color="auto"/>
              <w:left w:val="single" w:sz="6" w:space="0" w:color="auto"/>
              <w:bottom w:val="single" w:sz="6"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经常巡查公路及其通道，发现问题及时维修；按照《交通安全法》要求，经常检查并维护安全设施。</w:t>
            </w:r>
          </w:p>
        </w:tc>
        <w:tc>
          <w:tcPr>
            <w:tcW w:w="732" w:type="pct"/>
            <w:vMerge/>
            <w:tcBorders>
              <w:top w:val="single" w:sz="6" w:space="0" w:color="auto"/>
              <w:left w:val="single" w:sz="6" w:space="0" w:color="auto"/>
              <w:bottom w:val="single" w:sz="6" w:space="0" w:color="auto"/>
              <w:right w:val="single" w:sz="6"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c>
          <w:tcPr>
            <w:tcW w:w="422" w:type="pct"/>
            <w:vMerge/>
            <w:tcBorders>
              <w:top w:val="single" w:sz="6" w:space="0" w:color="auto"/>
              <w:left w:val="single" w:sz="6" w:space="0" w:color="auto"/>
              <w:bottom w:val="single" w:sz="6"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r w:rsidR="00A46452">
        <w:trPr>
          <w:trHeight w:val="20"/>
          <w:jc w:val="center"/>
        </w:trPr>
        <w:tc>
          <w:tcPr>
            <w:tcW w:w="477" w:type="pct"/>
            <w:tcBorders>
              <w:top w:val="single" w:sz="6" w:space="0" w:color="auto"/>
              <w:left w:val="single" w:sz="12"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危险品泄漏风险</w:t>
            </w:r>
          </w:p>
        </w:tc>
        <w:tc>
          <w:tcPr>
            <w:tcW w:w="3366"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①</w:t>
            </w:r>
            <w:r>
              <w:rPr>
                <w:rFonts w:cs="Times New Roman"/>
                <w:sz w:val="18"/>
                <w:szCs w:val="18"/>
              </w:rPr>
              <w:t>成立危险品运输事故应急领导小组，负责危险品运输管理及应急处理，并做好应急预案；</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t>②</w:t>
            </w:r>
            <w:r>
              <w:rPr>
                <w:rFonts w:cs="Times New Roman"/>
                <w:sz w:val="18"/>
                <w:szCs w:val="18"/>
              </w:rPr>
              <w:t>加强对危险品运输车辆的管理，严格执行</w:t>
            </w:r>
            <w:r>
              <w:rPr>
                <w:rFonts w:cs="Times New Roman"/>
                <w:sz w:val="18"/>
                <w:szCs w:val="18"/>
              </w:rPr>
              <w:t>《危险化学品安全管理条例》《</w:t>
            </w:r>
            <w:r>
              <w:rPr>
                <w:rFonts w:cs="Times New Roman"/>
                <w:sz w:val="18"/>
                <w:szCs w:val="18"/>
              </w:rPr>
              <w:t>道路危险货物运输管理规定》和《汽车运输危险货物规则》（</w:t>
            </w:r>
            <w:r>
              <w:rPr>
                <w:rFonts w:cs="Times New Roman"/>
                <w:sz w:val="18"/>
                <w:szCs w:val="18"/>
              </w:rPr>
              <w:t>JT617-2004</w:t>
            </w:r>
            <w:r>
              <w:rPr>
                <w:rFonts w:cs="Times New Roman"/>
                <w:sz w:val="18"/>
                <w:szCs w:val="18"/>
              </w:rPr>
              <w:t>）及《汽车运输、装卸危险货物作业规程》（</w:t>
            </w:r>
            <w:r>
              <w:rPr>
                <w:rFonts w:cs="Times New Roman"/>
                <w:sz w:val="18"/>
                <w:szCs w:val="18"/>
              </w:rPr>
              <w:t>JT618-2004</w:t>
            </w:r>
            <w:r>
              <w:rPr>
                <w:rFonts w:cs="Times New Roman"/>
                <w:sz w:val="18"/>
                <w:szCs w:val="18"/>
              </w:rPr>
              <w:t>）中的有关规定；</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fldChar w:fldCharType="begin"/>
            </w:r>
            <w:r>
              <w:rPr>
                <w:rFonts w:cs="Times New Roman"/>
                <w:sz w:val="18"/>
                <w:szCs w:val="18"/>
              </w:rPr>
              <w:instrText xml:space="preserve"> = 3 \* GB3 </w:instrText>
            </w:r>
            <w:r>
              <w:rPr>
                <w:rFonts w:cs="Times New Roman"/>
                <w:sz w:val="18"/>
                <w:szCs w:val="18"/>
              </w:rPr>
              <w:fldChar w:fldCharType="separate"/>
            </w:r>
            <w:r>
              <w:rPr>
                <w:rFonts w:cs="Times New Roman"/>
                <w:sz w:val="18"/>
                <w:szCs w:val="18"/>
              </w:rPr>
              <w:t>③</w:t>
            </w:r>
            <w:r>
              <w:rPr>
                <w:rFonts w:cs="Times New Roman"/>
                <w:sz w:val="18"/>
                <w:szCs w:val="18"/>
              </w:rPr>
              <w:fldChar w:fldCharType="end"/>
            </w:r>
            <w:r>
              <w:rPr>
                <w:rFonts w:cs="Times New Roman"/>
                <w:sz w:val="18"/>
                <w:szCs w:val="18"/>
              </w:rPr>
              <w:t>对申报运输危险品的车辆进行</w:t>
            </w:r>
            <w:r>
              <w:rPr>
                <w:rFonts w:cs="Times New Roman"/>
                <w:sz w:val="18"/>
                <w:szCs w:val="18"/>
              </w:rPr>
              <w:t>“</w:t>
            </w:r>
            <w:r>
              <w:rPr>
                <w:rFonts w:cs="Times New Roman"/>
                <w:sz w:val="18"/>
                <w:szCs w:val="18"/>
              </w:rPr>
              <w:t>三证（准运证、驾驶证、押运员证）一单（危险品行车路单）</w:t>
            </w:r>
            <w:r>
              <w:rPr>
                <w:rFonts w:cs="Times New Roman"/>
                <w:sz w:val="18"/>
                <w:szCs w:val="18"/>
              </w:rPr>
              <w:t>”</w:t>
            </w:r>
            <w:r>
              <w:rPr>
                <w:rFonts w:cs="Times New Roman"/>
                <w:sz w:val="18"/>
                <w:szCs w:val="18"/>
              </w:rPr>
              <w:t>的检查，手续不全的车辆禁止上路，对运输特种危险品的车辆必要时安排全程护送。除证件检查外，必要时对车辆进行安全检查，有隐患的车辆在隐患排除前不准上路；</w:t>
            </w:r>
          </w:p>
          <w:p w:rsidR="00A46452" w:rsidRDefault="009A3928">
            <w:pPr>
              <w:wordWrap w:val="0"/>
              <w:topLinePunct/>
              <w:adjustRightInd w:val="0"/>
              <w:snapToGrid w:val="0"/>
              <w:spacing w:line="240" w:lineRule="auto"/>
              <w:ind w:firstLineChars="0" w:firstLine="0"/>
              <w:rPr>
                <w:rFonts w:cs="Times New Roman"/>
                <w:sz w:val="18"/>
                <w:szCs w:val="18"/>
              </w:rPr>
            </w:pPr>
            <w:r>
              <w:rPr>
                <w:rFonts w:cs="Times New Roman"/>
                <w:sz w:val="18"/>
                <w:szCs w:val="18"/>
              </w:rPr>
              <w:fldChar w:fldCharType="begin"/>
            </w:r>
            <w:r>
              <w:rPr>
                <w:rFonts w:cs="Times New Roman"/>
                <w:sz w:val="18"/>
                <w:szCs w:val="18"/>
              </w:rPr>
              <w:instrText xml:space="preserve"> = 4 \* GB3 </w:instrText>
            </w:r>
            <w:r>
              <w:rPr>
                <w:rFonts w:cs="Times New Roman"/>
                <w:sz w:val="18"/>
                <w:szCs w:val="18"/>
              </w:rPr>
              <w:fldChar w:fldCharType="separate"/>
            </w:r>
            <w:r>
              <w:rPr>
                <w:rFonts w:cs="Times New Roman"/>
                <w:sz w:val="18"/>
                <w:szCs w:val="18"/>
              </w:rPr>
              <w:t>④</w:t>
            </w:r>
            <w:r>
              <w:rPr>
                <w:rFonts w:cs="Times New Roman"/>
                <w:sz w:val="18"/>
                <w:szCs w:val="18"/>
              </w:rPr>
              <w:fldChar w:fldCharType="end"/>
            </w:r>
            <w:r>
              <w:rPr>
                <w:rFonts w:cs="Times New Roman"/>
                <w:sz w:val="18"/>
                <w:szCs w:val="18"/>
              </w:rPr>
              <w:t>如发生危险品意外事件，应立即通知有</w:t>
            </w:r>
            <w:r>
              <w:rPr>
                <w:rFonts w:cs="Times New Roman"/>
                <w:sz w:val="18"/>
                <w:szCs w:val="18"/>
              </w:rPr>
              <w:t>关部门，采取应急行动。</w:t>
            </w:r>
          </w:p>
        </w:tc>
        <w:tc>
          <w:tcPr>
            <w:tcW w:w="732" w:type="pct"/>
            <w:tcBorders>
              <w:top w:val="single" w:sz="6" w:space="0" w:color="auto"/>
              <w:left w:val="single" w:sz="6" w:space="0" w:color="auto"/>
              <w:bottom w:val="single" w:sz="12" w:space="0" w:color="auto"/>
              <w:right w:val="single" w:sz="6" w:space="0" w:color="auto"/>
              <w:tl2br w:val="nil"/>
              <w:tr2bl w:val="nil"/>
            </w:tcBorders>
            <w:vAlign w:val="center"/>
          </w:tcPr>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第</w:t>
            </w:r>
            <w:r>
              <w:rPr>
                <w:rFonts w:cs="Times New Roman"/>
                <w:sz w:val="18"/>
                <w:szCs w:val="18"/>
              </w:rPr>
              <w:t>三</w:t>
            </w:r>
            <w:r>
              <w:rPr>
                <w:rFonts w:cs="Times New Roman"/>
                <w:sz w:val="18"/>
                <w:szCs w:val="18"/>
              </w:rPr>
              <w:t>师</w:t>
            </w:r>
            <w:r>
              <w:rPr>
                <w:rFonts w:cs="Times New Roman"/>
                <w:sz w:val="18"/>
                <w:szCs w:val="18"/>
              </w:rPr>
              <w:t>图木舒克市公路建设项目管理处</w:t>
            </w:r>
            <w:r>
              <w:rPr>
                <w:rFonts w:cs="Times New Roman"/>
                <w:sz w:val="18"/>
                <w:szCs w:val="18"/>
              </w:rPr>
              <w:t>、</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公安管理部门、</w:t>
            </w:r>
          </w:p>
          <w:p w:rsidR="00A46452" w:rsidRDefault="009A3928">
            <w:pPr>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生态环境行政主管部门</w:t>
            </w:r>
          </w:p>
        </w:tc>
        <w:tc>
          <w:tcPr>
            <w:tcW w:w="422" w:type="pct"/>
            <w:vMerge/>
            <w:tcBorders>
              <w:top w:val="single" w:sz="6" w:space="0" w:color="auto"/>
              <w:left w:val="single" w:sz="6" w:space="0" w:color="auto"/>
              <w:bottom w:val="single" w:sz="12" w:space="0" w:color="auto"/>
              <w:right w:val="single" w:sz="12" w:space="0" w:color="auto"/>
              <w:tl2br w:val="nil"/>
              <w:tr2bl w:val="nil"/>
            </w:tcBorders>
            <w:vAlign w:val="center"/>
          </w:tcPr>
          <w:p w:rsidR="00A46452" w:rsidRDefault="00A46452">
            <w:pPr>
              <w:wordWrap w:val="0"/>
              <w:topLinePunct/>
              <w:adjustRightInd w:val="0"/>
              <w:snapToGrid w:val="0"/>
              <w:spacing w:line="240" w:lineRule="auto"/>
              <w:ind w:firstLineChars="0" w:firstLine="0"/>
              <w:jc w:val="center"/>
              <w:rPr>
                <w:rFonts w:cs="Times New Roman"/>
                <w:sz w:val="18"/>
                <w:szCs w:val="18"/>
              </w:rPr>
            </w:pPr>
          </w:p>
        </w:tc>
      </w:tr>
    </w:tbl>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44" w:name="_Toc34989637"/>
      <w:bookmarkStart w:id="445" w:name="_Toc57826800"/>
      <w:bookmarkStart w:id="446" w:name="_Toc187080728"/>
      <w:r>
        <w:rPr>
          <w:rFonts w:cs="Times New Roman" w:hint="default"/>
          <w:sz w:val="28"/>
          <w:szCs w:val="28"/>
        </w:rPr>
        <w:t>10.1.3</w:t>
      </w:r>
      <w:r>
        <w:rPr>
          <w:rFonts w:cs="Times New Roman" w:hint="default"/>
          <w:sz w:val="28"/>
          <w:szCs w:val="28"/>
        </w:rPr>
        <w:t>环境保护管理</w:t>
      </w:r>
      <w:bookmarkEnd w:id="444"/>
      <w:r>
        <w:rPr>
          <w:rFonts w:cs="Times New Roman" w:hint="default"/>
          <w:sz w:val="28"/>
          <w:szCs w:val="28"/>
        </w:rPr>
        <w:t>执行</w:t>
      </w:r>
      <w:bookmarkEnd w:id="445"/>
      <w:bookmarkEnd w:id="446"/>
    </w:p>
    <w:p w:rsidR="00A46452" w:rsidRDefault="009A3928">
      <w:pPr>
        <w:wordWrap w:val="0"/>
        <w:topLinePunct/>
        <w:adjustRightInd w:val="0"/>
        <w:snapToGrid w:val="0"/>
        <w:ind w:firstLine="480"/>
        <w:rPr>
          <w:rFonts w:cs="Times New Roman"/>
          <w:szCs w:val="22"/>
        </w:rPr>
      </w:pPr>
      <w:r>
        <w:rPr>
          <w:rFonts w:cs="Times New Roman"/>
          <w:szCs w:val="22"/>
        </w:rPr>
        <w:t>环境保护计划的制定主要是为了落实本环境影响报告书所提出的环境保护措施及建议；对项目的实施（设计、施工）期间的监督和营运期的监测等工作提出要求。</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1</w:t>
      </w:r>
      <w:r>
        <w:rPr>
          <w:rFonts w:cs="Times New Roman"/>
          <w:szCs w:val="22"/>
        </w:rPr>
        <w:t>）设计阶段</w:t>
      </w:r>
    </w:p>
    <w:p w:rsidR="00A46452" w:rsidRDefault="009A3928">
      <w:pPr>
        <w:wordWrap w:val="0"/>
        <w:topLinePunct/>
        <w:adjustRightInd w:val="0"/>
        <w:snapToGrid w:val="0"/>
        <w:ind w:firstLine="480"/>
        <w:rPr>
          <w:rFonts w:cs="Times New Roman"/>
          <w:szCs w:val="22"/>
        </w:rPr>
      </w:pPr>
      <w:r>
        <w:rPr>
          <w:rFonts w:cs="Times New Roman"/>
          <w:szCs w:val="22"/>
        </w:rPr>
        <w:t>设计单位应将环境影响报告书提出的环保措施落实到后续设计中；建设单位、环境保护部门应负责环保措施的工程设计方案审查工作，并接受当地环保部门监督。</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2</w:t>
      </w:r>
      <w:r>
        <w:rPr>
          <w:rFonts w:cs="Times New Roman"/>
          <w:szCs w:val="22"/>
        </w:rPr>
        <w:t>）招、投标阶段</w:t>
      </w:r>
    </w:p>
    <w:p w:rsidR="00A46452" w:rsidRDefault="009A3928">
      <w:pPr>
        <w:wordWrap w:val="0"/>
        <w:topLinePunct/>
        <w:adjustRightInd w:val="0"/>
        <w:snapToGrid w:val="0"/>
        <w:ind w:firstLine="480"/>
        <w:rPr>
          <w:rFonts w:cs="Times New Roman"/>
          <w:szCs w:val="22"/>
        </w:rPr>
      </w:pPr>
      <w:r>
        <w:rPr>
          <w:rFonts w:cs="Times New Roman"/>
          <w:szCs w:val="22"/>
        </w:rPr>
        <w:t>建设单位按环评报告书所提出的环境保护措施和建议制定建设期环境保护实施行动计划和管理办法，并将其编入招标文件和承包项目的合同中；施工单位在投标书中应含有包括环境保护和文明施工的内容，在中标的合同中应有环境影响报告书提出的环境保护措施及建议的相应条文。</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3</w:t>
      </w:r>
      <w:r>
        <w:rPr>
          <w:rFonts w:cs="Times New Roman"/>
          <w:szCs w:val="22"/>
        </w:rPr>
        <w:t>）施工期</w:t>
      </w:r>
    </w:p>
    <w:p w:rsidR="00A46452" w:rsidRDefault="009A3928">
      <w:pPr>
        <w:wordWrap w:val="0"/>
        <w:topLinePunct/>
        <w:adjustRightInd w:val="0"/>
        <w:snapToGrid w:val="0"/>
        <w:ind w:firstLine="480"/>
        <w:rPr>
          <w:rFonts w:cs="Times New Roman"/>
          <w:szCs w:val="22"/>
        </w:rPr>
      </w:pPr>
      <w:r>
        <w:rPr>
          <w:rFonts w:cs="Times New Roman"/>
          <w:szCs w:val="22"/>
        </w:rPr>
        <w:t>建设单位组织开展环境保护宣传、教育和培训工作，组织实施工程的环境保护行动计划，及时处理环境污染事故和污染纠纷，接受环保管理部门的监督和指导。</w:t>
      </w:r>
    </w:p>
    <w:p w:rsidR="00A46452" w:rsidRDefault="009A3928">
      <w:pPr>
        <w:wordWrap w:val="0"/>
        <w:topLinePunct/>
        <w:adjustRightInd w:val="0"/>
        <w:snapToGrid w:val="0"/>
        <w:ind w:firstLine="480"/>
        <w:rPr>
          <w:rFonts w:cs="Times New Roman"/>
          <w:szCs w:val="22"/>
        </w:rPr>
      </w:pPr>
      <w:r>
        <w:rPr>
          <w:rFonts w:cs="Times New Roman"/>
          <w:szCs w:val="22"/>
        </w:rPr>
        <w:t>建设单位还应要求各施工监理机构配备具有一定的环境保护知识和技能的监理工程师</w:t>
      </w:r>
      <w:r>
        <w:rPr>
          <w:rFonts w:cs="Times New Roman"/>
          <w:szCs w:val="22"/>
        </w:rPr>
        <w:t>1</w:t>
      </w:r>
      <w:r>
        <w:rPr>
          <w:rFonts w:cs="Times New Roman"/>
          <w:szCs w:val="22"/>
        </w:rPr>
        <w:t>名，负责施工期的环境管理与监督，重点是施工废水排放、取、弃料作业及植被的保护、施工噪声和粉尘污染。</w:t>
      </w:r>
    </w:p>
    <w:p w:rsidR="00A46452" w:rsidRDefault="009A3928">
      <w:pPr>
        <w:wordWrap w:val="0"/>
        <w:topLinePunct/>
        <w:adjustRightInd w:val="0"/>
        <w:snapToGrid w:val="0"/>
        <w:ind w:firstLine="480"/>
        <w:rPr>
          <w:rFonts w:cs="Times New Roman"/>
          <w:szCs w:val="22"/>
        </w:rPr>
      </w:pPr>
      <w:r>
        <w:rPr>
          <w:rFonts w:cs="Times New Roman"/>
          <w:szCs w:val="22"/>
        </w:rPr>
        <w:t>施工单位应接受建设单位和当地生态环境行政主管部门的监督和指导，并按中标书、施工合同落实各项环境保护和文明施工措施，各施工单位至少应配备一名专职环保人员，具体监督、管理环保措施的实施情况。</w:t>
      </w:r>
    </w:p>
    <w:p w:rsidR="00A46452" w:rsidRDefault="009A3928">
      <w:pPr>
        <w:wordWrap w:val="0"/>
        <w:topLinePunct/>
        <w:adjustRightInd w:val="0"/>
        <w:snapToGrid w:val="0"/>
        <w:ind w:firstLine="480"/>
        <w:rPr>
          <w:rFonts w:cs="Times New Roman"/>
          <w:szCs w:val="22"/>
        </w:rPr>
      </w:pPr>
      <w:r>
        <w:rPr>
          <w:rFonts w:cs="Times New Roman"/>
          <w:szCs w:val="22"/>
        </w:rPr>
        <w:t>在施工结束后，建设单位应组织全面检查工程环保措施落实和施工现场的环境恢复情况，督促施工单位及时撤出临时占用场地，拆除临时设施，恢复被破坏的土地和植被</w:t>
      </w:r>
      <w:r>
        <w:rPr>
          <w:rFonts w:cs="Times New Roman"/>
          <w:szCs w:val="22"/>
        </w:rPr>
        <w:t>。</w:t>
      </w:r>
    </w:p>
    <w:p w:rsidR="00A46452" w:rsidRDefault="009A3928">
      <w:pPr>
        <w:wordWrap w:val="0"/>
        <w:topLinePunct/>
        <w:adjustRightInd w:val="0"/>
        <w:snapToGrid w:val="0"/>
        <w:ind w:firstLine="480"/>
        <w:rPr>
          <w:rFonts w:cs="Times New Roman"/>
          <w:szCs w:val="22"/>
        </w:rPr>
      </w:pPr>
      <w:r>
        <w:rPr>
          <w:rFonts w:cs="Times New Roman"/>
          <w:szCs w:val="22"/>
        </w:rPr>
        <w:t>（</w:t>
      </w:r>
      <w:r>
        <w:rPr>
          <w:rFonts w:cs="Times New Roman"/>
          <w:szCs w:val="22"/>
        </w:rPr>
        <w:t>4</w:t>
      </w:r>
      <w:r>
        <w:rPr>
          <w:rFonts w:cs="Times New Roman"/>
          <w:szCs w:val="22"/>
        </w:rPr>
        <w:t>）营运期</w:t>
      </w:r>
    </w:p>
    <w:p w:rsidR="00A46452" w:rsidRDefault="009A3928">
      <w:pPr>
        <w:wordWrap w:val="0"/>
        <w:topLinePunct/>
        <w:adjustRightInd w:val="0"/>
        <w:snapToGrid w:val="0"/>
        <w:ind w:firstLine="480"/>
        <w:rPr>
          <w:rFonts w:cs="Times New Roman"/>
          <w:snapToGrid w:val="0"/>
          <w:sz w:val="21"/>
          <w:szCs w:val="24"/>
          <w:lang w:val="zh-CN"/>
        </w:rPr>
      </w:pPr>
      <w:r>
        <w:rPr>
          <w:rFonts w:cs="Times New Roman"/>
          <w:szCs w:val="22"/>
        </w:rPr>
        <w:t>营运期的环保管理、监测和需补充的环境保护工程措施等由公路运营管理机构实施。</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47" w:name="bookmark56"/>
      <w:bookmarkStart w:id="448" w:name="_Toc8313"/>
      <w:bookmarkStart w:id="449" w:name="_Toc187080729"/>
      <w:bookmarkEnd w:id="447"/>
      <w:r>
        <w:rPr>
          <w:rFonts w:cs="Times New Roman" w:hint="default"/>
          <w:sz w:val="30"/>
          <w:szCs w:val="30"/>
        </w:rPr>
        <w:t>10.2</w:t>
      </w:r>
      <w:r>
        <w:rPr>
          <w:rFonts w:cs="Times New Roman" w:hint="default"/>
          <w:sz w:val="30"/>
          <w:szCs w:val="30"/>
        </w:rPr>
        <w:t>环境监测计划</w:t>
      </w:r>
      <w:bookmarkEnd w:id="448"/>
      <w:bookmarkEnd w:id="449"/>
    </w:p>
    <w:p w:rsidR="00A46452" w:rsidRDefault="009A3928">
      <w:pPr>
        <w:wordWrap w:val="0"/>
        <w:topLinePunct/>
        <w:adjustRightInd w:val="0"/>
        <w:snapToGrid w:val="0"/>
        <w:ind w:firstLine="480"/>
        <w:rPr>
          <w:rFonts w:cs="Times New Roman"/>
          <w:szCs w:val="22"/>
        </w:rPr>
      </w:pPr>
      <w:r>
        <w:rPr>
          <w:rFonts w:cs="Times New Roman"/>
          <w:szCs w:val="22"/>
        </w:rPr>
        <w:t>环境监测的目的是及时了解公路建设在施工期、运营期对沿线环境产生的影响程度及影响范围，并采取一系列环境保护措施以减轻或消除不利影响。环境监测还可以验证环境保护措施的效果，更好</w:t>
      </w:r>
      <w:r>
        <w:rPr>
          <w:rFonts w:cs="Times New Roman"/>
          <w:szCs w:val="22"/>
        </w:rPr>
        <w:t>地</w:t>
      </w:r>
      <w:r>
        <w:rPr>
          <w:rFonts w:cs="Times New Roman"/>
          <w:szCs w:val="22"/>
        </w:rPr>
        <w:t>保护环境，充分发挥公路的效益，并对突发性事故进行及时了解、控制，尽可能减少其损失。</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50" w:name="_Toc34989640"/>
      <w:bookmarkStart w:id="451" w:name="_Toc57826802"/>
      <w:r>
        <w:rPr>
          <w:rFonts w:cs="Times New Roman" w:hint="default"/>
          <w:sz w:val="28"/>
          <w:szCs w:val="28"/>
        </w:rPr>
        <w:t>10.2.1</w:t>
      </w:r>
      <w:r>
        <w:rPr>
          <w:rFonts w:cs="Times New Roman" w:hint="default"/>
          <w:sz w:val="28"/>
          <w:szCs w:val="28"/>
        </w:rPr>
        <w:t>监测</w:t>
      </w:r>
      <w:bookmarkEnd w:id="450"/>
      <w:r>
        <w:rPr>
          <w:rFonts w:cs="Times New Roman" w:hint="default"/>
          <w:sz w:val="28"/>
          <w:szCs w:val="28"/>
        </w:rPr>
        <w:t>机构</w:t>
      </w:r>
      <w:bookmarkEnd w:id="451"/>
    </w:p>
    <w:p w:rsidR="00A46452" w:rsidRDefault="009A3928">
      <w:pPr>
        <w:wordWrap w:val="0"/>
        <w:topLinePunct/>
        <w:adjustRightInd w:val="0"/>
        <w:snapToGrid w:val="0"/>
        <w:ind w:firstLine="480"/>
        <w:rPr>
          <w:rFonts w:cs="Times New Roman"/>
          <w:szCs w:val="22"/>
        </w:rPr>
      </w:pPr>
      <w:r>
        <w:rPr>
          <w:rFonts w:cs="Times New Roman"/>
          <w:szCs w:val="22"/>
        </w:rPr>
        <w:t>拟建项目施工期和运营期的环境监测可以委托有资质的监测单位承担，应定期定点监测，编制监测报告，提供给建设单位，以备生态</w:t>
      </w:r>
      <w:r>
        <w:rPr>
          <w:rFonts w:cs="Times New Roman"/>
          <w:szCs w:val="22"/>
        </w:rPr>
        <w:t>环境局监督。若在监测中发现问题应及时报告，以便及时有效</w:t>
      </w:r>
      <w:r>
        <w:rPr>
          <w:rFonts w:cs="Times New Roman"/>
          <w:szCs w:val="22"/>
        </w:rPr>
        <w:t>地</w:t>
      </w:r>
      <w:r>
        <w:rPr>
          <w:rFonts w:cs="Times New Roman"/>
          <w:szCs w:val="22"/>
        </w:rPr>
        <w:t>采取措施。</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10.2.2</w:t>
      </w:r>
      <w:r>
        <w:rPr>
          <w:rFonts w:cs="Times New Roman" w:hint="default"/>
          <w:sz w:val="28"/>
          <w:szCs w:val="28"/>
        </w:rPr>
        <w:t>监测方案布设原则</w:t>
      </w:r>
    </w:p>
    <w:p w:rsidR="00A46452" w:rsidRDefault="009A3928">
      <w:pPr>
        <w:wordWrap w:val="0"/>
        <w:topLinePunct/>
        <w:ind w:firstLine="480"/>
        <w:rPr>
          <w:rFonts w:cs="Times New Roman"/>
          <w:szCs w:val="22"/>
        </w:rPr>
      </w:pPr>
      <w:r>
        <w:rPr>
          <w:rFonts w:cs="Times New Roman"/>
          <w:szCs w:val="22"/>
        </w:rPr>
        <w:t>（</w:t>
      </w:r>
      <w:r>
        <w:rPr>
          <w:rFonts w:cs="Times New Roman"/>
          <w:szCs w:val="22"/>
        </w:rPr>
        <w:t>1</w:t>
      </w:r>
      <w:r>
        <w:rPr>
          <w:rFonts w:cs="Times New Roman"/>
          <w:szCs w:val="22"/>
        </w:rPr>
        <w:t>）与工程建设紧密结合的原则</w:t>
      </w:r>
    </w:p>
    <w:p w:rsidR="00A46452" w:rsidRDefault="009A3928">
      <w:pPr>
        <w:wordWrap w:val="0"/>
        <w:topLinePunct/>
        <w:ind w:firstLine="480"/>
        <w:rPr>
          <w:rFonts w:cs="Times New Roman"/>
          <w:szCs w:val="22"/>
        </w:rPr>
      </w:pPr>
      <w:r>
        <w:rPr>
          <w:rFonts w:cs="Times New Roman"/>
          <w:szCs w:val="22"/>
        </w:rPr>
        <w:t>监测的范围、对象和重点应结合工程施工、运行特点和周围环境敏感点的分布，及时反映工程施工、运行对周围环境敏感点的影响及环境变化对工程施工和运行的影响。</w:t>
      </w:r>
    </w:p>
    <w:p w:rsidR="00A46452" w:rsidRDefault="009A3928">
      <w:pPr>
        <w:wordWrap w:val="0"/>
        <w:topLinePunct/>
        <w:ind w:firstLine="480"/>
        <w:rPr>
          <w:rFonts w:cs="Times New Roman"/>
          <w:szCs w:val="22"/>
        </w:rPr>
      </w:pPr>
      <w:r>
        <w:rPr>
          <w:rFonts w:cs="Times New Roman"/>
          <w:szCs w:val="22"/>
        </w:rPr>
        <w:t>（</w:t>
      </w:r>
      <w:r>
        <w:rPr>
          <w:rFonts w:cs="Times New Roman"/>
          <w:szCs w:val="22"/>
        </w:rPr>
        <w:t>2</w:t>
      </w:r>
      <w:r>
        <w:rPr>
          <w:rFonts w:cs="Times New Roman"/>
          <w:szCs w:val="22"/>
        </w:rPr>
        <w:t>）针对性和代表性的原则</w:t>
      </w:r>
    </w:p>
    <w:p w:rsidR="00A46452" w:rsidRDefault="009A3928">
      <w:pPr>
        <w:wordWrap w:val="0"/>
        <w:topLinePunct/>
        <w:ind w:firstLine="480"/>
        <w:rPr>
          <w:rFonts w:cs="Times New Roman"/>
          <w:szCs w:val="22"/>
        </w:rPr>
      </w:pPr>
      <w:r>
        <w:rPr>
          <w:rFonts w:cs="Times New Roman"/>
          <w:szCs w:val="22"/>
        </w:rPr>
        <w:t>根据环境现状和环境影响预测结果，选择对环境影响大的、有控制性和代表性的以及对区域或流域影响起控制作用的主要因子进行监测，力求做到监测方案有针对性和代表性。</w:t>
      </w:r>
    </w:p>
    <w:p w:rsidR="00A46452" w:rsidRDefault="009A3928">
      <w:pPr>
        <w:wordWrap w:val="0"/>
        <w:topLinePunct/>
        <w:ind w:firstLine="480"/>
        <w:rPr>
          <w:rFonts w:cs="Times New Roman"/>
          <w:szCs w:val="22"/>
        </w:rPr>
      </w:pPr>
      <w:r>
        <w:rPr>
          <w:rFonts w:cs="Times New Roman"/>
          <w:szCs w:val="22"/>
        </w:rPr>
        <w:t>（</w:t>
      </w:r>
      <w:r>
        <w:rPr>
          <w:rFonts w:cs="Times New Roman"/>
          <w:szCs w:val="22"/>
        </w:rPr>
        <w:t>3</w:t>
      </w:r>
      <w:r>
        <w:rPr>
          <w:rFonts w:cs="Times New Roman"/>
          <w:szCs w:val="22"/>
        </w:rPr>
        <w:t>）经济性与可操作性的原则</w:t>
      </w:r>
    </w:p>
    <w:p w:rsidR="00A46452" w:rsidRDefault="009A3928">
      <w:pPr>
        <w:wordWrap w:val="0"/>
        <w:topLinePunct/>
        <w:ind w:firstLine="480"/>
        <w:rPr>
          <w:rFonts w:cs="Times New Roman"/>
          <w:szCs w:val="22"/>
        </w:rPr>
      </w:pPr>
      <w:r>
        <w:rPr>
          <w:rFonts w:cs="Times New Roman"/>
          <w:szCs w:val="22"/>
        </w:rPr>
        <w:t>按照相关专业技术规</w:t>
      </w:r>
      <w:r>
        <w:rPr>
          <w:rFonts w:cs="Times New Roman"/>
          <w:szCs w:val="22"/>
        </w:rPr>
        <w:t>范，监测项目、频次、时段和方法以满足本监测方案主要监控任务和目的为前提，尽量利用附近现有监测站网、监测机构、监测断面（点），所布设监测断面（点）可操作性应强，力求以较少的投入获得较完整的环境监测数据。</w:t>
      </w:r>
    </w:p>
    <w:p w:rsidR="00A46452" w:rsidRDefault="009A3928">
      <w:pPr>
        <w:wordWrap w:val="0"/>
        <w:topLinePunct/>
        <w:ind w:firstLine="480"/>
        <w:rPr>
          <w:rFonts w:cs="Times New Roman"/>
          <w:szCs w:val="22"/>
        </w:rPr>
      </w:pPr>
      <w:r>
        <w:rPr>
          <w:rFonts w:cs="Times New Roman"/>
          <w:szCs w:val="22"/>
        </w:rPr>
        <w:t>（</w:t>
      </w:r>
      <w:r>
        <w:rPr>
          <w:rFonts w:cs="Times New Roman"/>
          <w:szCs w:val="22"/>
        </w:rPr>
        <w:t>4</w:t>
      </w:r>
      <w:r>
        <w:rPr>
          <w:rFonts w:cs="Times New Roman"/>
          <w:szCs w:val="22"/>
        </w:rPr>
        <w:t>）统一规划、分步实施的原则</w:t>
      </w:r>
    </w:p>
    <w:p w:rsidR="00A46452" w:rsidRDefault="009A3928">
      <w:pPr>
        <w:wordWrap w:val="0"/>
        <w:topLinePunct/>
        <w:ind w:firstLine="480"/>
        <w:rPr>
          <w:rFonts w:cs="Times New Roman"/>
          <w:szCs w:val="22"/>
        </w:rPr>
      </w:pPr>
      <w:r>
        <w:rPr>
          <w:rFonts w:cs="Times New Roman"/>
          <w:szCs w:val="22"/>
        </w:rPr>
        <w:t>监测系统从总体考虑，统一规划，根据工程不同阶段的重点和要求，分期分步建立，逐步实施和完善。</w:t>
      </w:r>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bookmarkStart w:id="452" w:name="_Toc34989641"/>
      <w:bookmarkStart w:id="453" w:name="_Toc57826803"/>
      <w:r>
        <w:rPr>
          <w:rFonts w:cs="Times New Roman" w:hint="default"/>
          <w:sz w:val="28"/>
          <w:szCs w:val="28"/>
        </w:rPr>
        <w:t>10.2.3</w:t>
      </w:r>
      <w:r>
        <w:rPr>
          <w:rFonts w:cs="Times New Roman" w:hint="default"/>
          <w:sz w:val="28"/>
          <w:szCs w:val="28"/>
        </w:rPr>
        <w:t>监测计划</w:t>
      </w:r>
      <w:bookmarkEnd w:id="452"/>
      <w:bookmarkEnd w:id="453"/>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bookmarkStart w:id="454" w:name="_Toc187080730"/>
      <w:r>
        <w:rPr>
          <w:rFonts w:cs="Times New Roman" w:hint="default"/>
          <w:iCs/>
        </w:rPr>
        <w:t>10.2.3.1</w:t>
      </w:r>
      <w:r>
        <w:rPr>
          <w:rFonts w:cs="Times New Roman" w:hint="default"/>
          <w:iCs/>
        </w:rPr>
        <w:t>施工期环境监测计划</w:t>
      </w:r>
    </w:p>
    <w:p w:rsidR="00A46452" w:rsidRDefault="009A3928">
      <w:pPr>
        <w:pStyle w:val="a5"/>
        <w:wordWrap w:val="0"/>
        <w:topLinePunct/>
        <w:spacing w:after="0"/>
        <w:ind w:firstLine="480"/>
        <w:rPr>
          <w:rFonts w:cs="Times New Roman" w:hint="default"/>
          <w:lang w:val="zh-CN"/>
        </w:rPr>
      </w:pPr>
      <w:r>
        <w:rPr>
          <w:rFonts w:cs="Times New Roman" w:hint="default"/>
        </w:rPr>
        <w:t>1</w:t>
      </w:r>
      <w:r>
        <w:rPr>
          <w:rFonts w:cs="Times New Roman" w:hint="default"/>
        </w:rPr>
        <w:t>、</w:t>
      </w:r>
      <w:r>
        <w:rPr>
          <w:rFonts w:cs="Times New Roman" w:hint="default"/>
        </w:rPr>
        <w:t>废水</w:t>
      </w:r>
      <w:r>
        <w:rPr>
          <w:rFonts w:cs="Times New Roman" w:hint="default"/>
          <w:lang w:val="zh-CN"/>
        </w:rPr>
        <w:t>（污水）监测</w:t>
      </w:r>
    </w:p>
    <w:p w:rsidR="00A46452" w:rsidRDefault="009A3928">
      <w:pPr>
        <w:pStyle w:val="a5"/>
        <w:wordWrap w:val="0"/>
        <w:topLinePunct/>
        <w:spacing w:after="0"/>
        <w:ind w:firstLine="480"/>
        <w:rPr>
          <w:rFonts w:cs="Times New Roman" w:hint="default"/>
        </w:rPr>
      </w:pPr>
      <w:r>
        <w:rPr>
          <w:rFonts w:cs="Times New Roman" w:hint="default"/>
        </w:rPr>
        <w:t>（</w:t>
      </w:r>
      <w:r>
        <w:rPr>
          <w:rFonts w:cs="Times New Roman" w:hint="default"/>
        </w:rPr>
        <w:t>1</w:t>
      </w:r>
      <w:r>
        <w:rPr>
          <w:rFonts w:cs="Times New Roman" w:hint="default"/>
        </w:rPr>
        <w:t>）监测目的</w:t>
      </w:r>
    </w:p>
    <w:p w:rsidR="00A46452" w:rsidRDefault="009A3928">
      <w:pPr>
        <w:pStyle w:val="a5"/>
        <w:wordWrap w:val="0"/>
        <w:topLinePunct/>
        <w:spacing w:after="0"/>
        <w:ind w:firstLine="480"/>
        <w:rPr>
          <w:rFonts w:cs="Times New Roman" w:hint="default"/>
        </w:rPr>
      </w:pPr>
      <w:r>
        <w:rPr>
          <w:rFonts w:cs="Times New Roman" w:hint="default"/>
        </w:rPr>
        <w:t>了解工程施工期水污染源强和污废水处理设施的效果。</w:t>
      </w:r>
    </w:p>
    <w:p w:rsidR="00A46452" w:rsidRDefault="009A3928">
      <w:pPr>
        <w:pStyle w:val="a5"/>
        <w:wordWrap w:val="0"/>
        <w:topLinePunct/>
        <w:spacing w:after="0"/>
        <w:ind w:firstLine="480"/>
        <w:rPr>
          <w:rFonts w:cs="Times New Roman" w:hint="default"/>
        </w:rPr>
      </w:pPr>
      <w:r>
        <w:rPr>
          <w:rFonts w:cs="Times New Roman" w:hint="default"/>
        </w:rPr>
        <w:t>（</w:t>
      </w:r>
      <w:r>
        <w:rPr>
          <w:rFonts w:cs="Times New Roman" w:hint="default"/>
        </w:rPr>
        <w:t>2</w:t>
      </w:r>
      <w:r>
        <w:rPr>
          <w:rFonts w:cs="Times New Roman" w:hint="default"/>
        </w:rPr>
        <w:t>）监测断面、因子、频率及时间</w:t>
      </w:r>
    </w:p>
    <w:p w:rsidR="00A46452" w:rsidRDefault="009A3928">
      <w:pPr>
        <w:pStyle w:val="a5"/>
        <w:wordWrap w:val="0"/>
        <w:topLinePunct/>
        <w:spacing w:after="0"/>
        <w:ind w:firstLine="472"/>
        <w:rPr>
          <w:rFonts w:cs="Times New Roman" w:hint="default"/>
        </w:rPr>
      </w:pPr>
      <w:r>
        <w:rPr>
          <w:rFonts w:cs="Times New Roman" w:hint="default"/>
          <w:spacing w:val="-2"/>
        </w:rPr>
        <w:t>结合主体工程布置，施工期施工废水监测点</w:t>
      </w:r>
      <w:r>
        <w:rPr>
          <w:rFonts w:cs="Times New Roman" w:hint="default"/>
          <w:spacing w:val="-2"/>
        </w:rPr>
        <w:t>9</w:t>
      </w:r>
      <w:r>
        <w:rPr>
          <w:rFonts w:cs="Times New Roman" w:hint="default"/>
          <w:spacing w:val="-2"/>
        </w:rPr>
        <w:t>个，主要为施工废（污）水监测（包括施工废水和生活污水）。水质监测断面、参数、频率及时间见表</w:t>
      </w:r>
      <w:r>
        <w:rPr>
          <w:rFonts w:cs="Times New Roman"/>
          <w:spacing w:val="-2"/>
        </w:rPr>
        <w:t>10</w:t>
      </w:r>
      <w:r>
        <w:rPr>
          <w:rFonts w:cs="Times New Roman" w:hint="default"/>
          <w:spacing w:val="-2"/>
        </w:rPr>
        <w:t>.</w:t>
      </w:r>
      <w:r>
        <w:rPr>
          <w:rFonts w:cs="Times New Roman" w:hint="default"/>
          <w:spacing w:val="-2"/>
        </w:rPr>
        <w:t>2</w:t>
      </w:r>
      <w:r>
        <w:rPr>
          <w:rFonts w:cs="Times New Roman" w:hint="default"/>
          <w:spacing w:val="-2"/>
        </w:rPr>
        <w:t>-1</w:t>
      </w:r>
      <w:r>
        <w:rPr>
          <w:rFonts w:cs="Times New Roman"/>
          <w:spacing w:val="-2"/>
        </w:rPr>
        <w:t>。</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w:t>
      </w:r>
      <w:r>
        <w:rPr>
          <w:rFonts w:eastAsia="黑体" w:cs="Times New Roman" w:hint="default"/>
        </w:rPr>
        <w:t>2</w:t>
      </w:r>
      <w:r>
        <w:rPr>
          <w:rFonts w:eastAsia="黑体" w:cs="Times New Roman" w:hint="default"/>
        </w:rPr>
        <w:t xml:space="preserve">-1            </w:t>
      </w:r>
      <w:r>
        <w:rPr>
          <w:rFonts w:eastAsia="黑体" w:cs="Times New Roman" w:hint="default"/>
        </w:rPr>
        <w:t xml:space="preserve">   </w:t>
      </w:r>
      <w:r>
        <w:rPr>
          <w:rFonts w:eastAsia="黑体" w:cs="Times New Roman" w:hint="default"/>
        </w:rPr>
        <w:t>施工废（污）水监测技术要求一览表</w:t>
      </w:r>
    </w:p>
    <w:tbl>
      <w:tblPr>
        <w:tblW w:w="49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78"/>
        <w:gridCol w:w="1773"/>
        <w:gridCol w:w="2603"/>
        <w:gridCol w:w="1725"/>
        <w:gridCol w:w="1727"/>
      </w:tblGrid>
      <w:tr w:rsidR="00A46452">
        <w:trPr>
          <w:trHeight w:val="290"/>
          <w:tblHeader/>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序号</w:t>
            </w:r>
          </w:p>
        </w:tc>
        <w:tc>
          <w:tcPr>
            <w:tcW w:w="1042"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监测点</w:t>
            </w:r>
          </w:p>
        </w:tc>
        <w:tc>
          <w:tcPr>
            <w:tcW w:w="1529"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监测点位</w:t>
            </w:r>
          </w:p>
        </w:tc>
        <w:tc>
          <w:tcPr>
            <w:tcW w:w="1014"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监测内容</w:t>
            </w:r>
          </w:p>
        </w:tc>
        <w:tc>
          <w:tcPr>
            <w:tcW w:w="1015"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监测时间与频率</w:t>
            </w:r>
          </w:p>
        </w:tc>
      </w:tr>
      <w:tr w:rsidR="00A46452">
        <w:trPr>
          <w:trHeight w:val="554"/>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1</w:t>
            </w:r>
          </w:p>
        </w:tc>
        <w:tc>
          <w:tcPr>
            <w:tcW w:w="1042"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混凝土系统废水出口</w:t>
            </w:r>
          </w:p>
        </w:tc>
        <w:tc>
          <w:tcPr>
            <w:tcW w:w="1529"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3</w:t>
            </w:r>
            <w:r>
              <w:rPr>
                <w:rFonts w:cs="Times New Roman"/>
                <w:sz w:val="18"/>
                <w:szCs w:val="18"/>
              </w:rPr>
              <w:t>个工区混凝土系统废水处置系统出口，共</w:t>
            </w:r>
            <w:r>
              <w:rPr>
                <w:rFonts w:cs="Times New Roman"/>
                <w:sz w:val="18"/>
                <w:szCs w:val="18"/>
              </w:rPr>
              <w:t>3</w:t>
            </w:r>
            <w:r>
              <w:rPr>
                <w:rFonts w:cs="Times New Roman"/>
                <w:sz w:val="18"/>
                <w:szCs w:val="18"/>
              </w:rPr>
              <w:t>个</w:t>
            </w:r>
          </w:p>
        </w:tc>
        <w:tc>
          <w:tcPr>
            <w:tcW w:w="1014"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pH</w:t>
            </w:r>
            <w:r>
              <w:rPr>
                <w:rFonts w:cs="Times New Roman"/>
                <w:sz w:val="18"/>
                <w:szCs w:val="18"/>
              </w:rPr>
              <w:t>、</w:t>
            </w:r>
            <w:r>
              <w:rPr>
                <w:rFonts w:cs="Times New Roman"/>
                <w:sz w:val="18"/>
                <w:szCs w:val="18"/>
              </w:rPr>
              <w:t>SS</w:t>
            </w:r>
            <w:r>
              <w:rPr>
                <w:rFonts w:cs="Times New Roman"/>
                <w:sz w:val="18"/>
                <w:szCs w:val="18"/>
              </w:rPr>
              <w:t>、</w:t>
            </w:r>
            <w:r>
              <w:rPr>
                <w:rFonts w:cs="Times New Roman"/>
                <w:sz w:val="18"/>
                <w:szCs w:val="18"/>
              </w:rPr>
              <w:t>COD</w:t>
            </w:r>
            <w:r>
              <w:rPr>
                <w:rFonts w:cs="Times New Roman"/>
                <w:sz w:val="18"/>
                <w:szCs w:val="18"/>
              </w:rPr>
              <w:t>、废水流量</w:t>
            </w:r>
          </w:p>
        </w:tc>
        <w:tc>
          <w:tcPr>
            <w:tcW w:w="1015" w:type="pct"/>
            <w:vMerge w:val="restar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监测时间为工程施工期（</w:t>
            </w:r>
            <w:r>
              <w:rPr>
                <w:rFonts w:cs="Times New Roman"/>
                <w:sz w:val="18"/>
                <w:szCs w:val="18"/>
              </w:rPr>
              <w:t>24</w:t>
            </w:r>
            <w:r>
              <w:rPr>
                <w:rFonts w:cs="Times New Roman"/>
                <w:sz w:val="18"/>
                <w:szCs w:val="18"/>
              </w:rPr>
              <w:t>个月），监测频率为施工期每季度监测</w:t>
            </w:r>
            <w:r>
              <w:rPr>
                <w:rFonts w:cs="Times New Roman"/>
                <w:sz w:val="18"/>
                <w:szCs w:val="18"/>
              </w:rPr>
              <w:t>1</w:t>
            </w:r>
            <w:r>
              <w:rPr>
                <w:rFonts w:cs="Times New Roman"/>
                <w:sz w:val="18"/>
                <w:szCs w:val="18"/>
              </w:rPr>
              <w:t>次。</w:t>
            </w:r>
          </w:p>
        </w:tc>
      </w:tr>
      <w:tr w:rsidR="00A46452">
        <w:trPr>
          <w:trHeight w:val="693"/>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2</w:t>
            </w:r>
          </w:p>
        </w:tc>
        <w:tc>
          <w:tcPr>
            <w:tcW w:w="1042"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机械车辆冲洗及保养废水油水分离器出口</w:t>
            </w:r>
          </w:p>
        </w:tc>
        <w:tc>
          <w:tcPr>
            <w:tcW w:w="1529"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3</w:t>
            </w:r>
            <w:r>
              <w:rPr>
                <w:rFonts w:cs="Times New Roman"/>
                <w:sz w:val="18"/>
                <w:szCs w:val="18"/>
              </w:rPr>
              <w:t>个工区含油废水处理设施出口，共</w:t>
            </w:r>
            <w:r>
              <w:rPr>
                <w:rFonts w:cs="Times New Roman"/>
                <w:sz w:val="18"/>
                <w:szCs w:val="18"/>
              </w:rPr>
              <w:t>3</w:t>
            </w:r>
            <w:r>
              <w:rPr>
                <w:rFonts w:cs="Times New Roman"/>
                <w:sz w:val="18"/>
                <w:szCs w:val="18"/>
              </w:rPr>
              <w:t>个</w:t>
            </w:r>
          </w:p>
        </w:tc>
        <w:tc>
          <w:tcPr>
            <w:tcW w:w="1014"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SS</w:t>
            </w:r>
            <w:r>
              <w:rPr>
                <w:rFonts w:cs="Times New Roman"/>
                <w:sz w:val="18"/>
                <w:szCs w:val="18"/>
              </w:rPr>
              <w:t>、石油类、</w:t>
            </w:r>
            <w:r>
              <w:rPr>
                <w:rFonts w:cs="Times New Roman"/>
                <w:sz w:val="18"/>
                <w:szCs w:val="18"/>
              </w:rPr>
              <w:t>COD</w:t>
            </w:r>
            <w:r>
              <w:rPr>
                <w:rFonts w:cs="Times New Roman"/>
                <w:sz w:val="18"/>
                <w:szCs w:val="18"/>
              </w:rPr>
              <w:t>、废水流量</w:t>
            </w:r>
          </w:p>
        </w:tc>
        <w:tc>
          <w:tcPr>
            <w:tcW w:w="1015" w:type="pct"/>
            <w:vMerge/>
            <w:tcBorders>
              <w:tl2br w:val="nil"/>
              <w:tr2bl w:val="nil"/>
            </w:tcBorders>
            <w:vAlign w:val="center"/>
          </w:tcPr>
          <w:p w:rsidR="00A46452" w:rsidRDefault="00A46452">
            <w:pPr>
              <w:wordWrap w:val="0"/>
              <w:topLinePunct/>
              <w:spacing w:line="240" w:lineRule="exact"/>
              <w:ind w:firstLineChars="0" w:firstLine="0"/>
              <w:rPr>
                <w:rFonts w:cs="Times New Roman"/>
                <w:sz w:val="18"/>
                <w:szCs w:val="18"/>
              </w:rPr>
            </w:pPr>
          </w:p>
        </w:tc>
      </w:tr>
      <w:tr w:rsidR="00A46452">
        <w:trPr>
          <w:trHeight w:val="564"/>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3</w:t>
            </w:r>
          </w:p>
        </w:tc>
        <w:tc>
          <w:tcPr>
            <w:tcW w:w="1042"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生活污水一体化生活污水处理设施出口</w:t>
            </w:r>
          </w:p>
        </w:tc>
        <w:tc>
          <w:tcPr>
            <w:tcW w:w="1529"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3</w:t>
            </w:r>
            <w:r>
              <w:rPr>
                <w:rFonts w:cs="Times New Roman"/>
                <w:sz w:val="18"/>
                <w:szCs w:val="18"/>
              </w:rPr>
              <w:t>个工区施工营地生活污水处理设施出口，共</w:t>
            </w:r>
            <w:r>
              <w:rPr>
                <w:rFonts w:cs="Times New Roman"/>
                <w:sz w:val="18"/>
                <w:szCs w:val="18"/>
              </w:rPr>
              <w:t>3</w:t>
            </w:r>
            <w:r>
              <w:rPr>
                <w:rFonts w:cs="Times New Roman"/>
                <w:sz w:val="18"/>
                <w:szCs w:val="18"/>
              </w:rPr>
              <w:t>个</w:t>
            </w:r>
          </w:p>
        </w:tc>
        <w:tc>
          <w:tcPr>
            <w:tcW w:w="1014"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COD</w:t>
            </w:r>
            <w:r>
              <w:rPr>
                <w:rFonts w:cs="Times New Roman"/>
                <w:sz w:val="18"/>
                <w:szCs w:val="18"/>
              </w:rPr>
              <w:t>、</w:t>
            </w:r>
            <w:r>
              <w:rPr>
                <w:rFonts w:cs="Times New Roman"/>
                <w:sz w:val="18"/>
                <w:szCs w:val="18"/>
              </w:rPr>
              <w:t>BOD</w:t>
            </w:r>
            <w:r>
              <w:rPr>
                <w:rFonts w:cs="Times New Roman"/>
                <w:sz w:val="18"/>
                <w:szCs w:val="18"/>
                <w:vertAlign w:val="subscript"/>
              </w:rPr>
              <w:t>5</w:t>
            </w:r>
            <w:r>
              <w:rPr>
                <w:rFonts w:cs="Times New Roman"/>
                <w:sz w:val="18"/>
                <w:szCs w:val="18"/>
              </w:rPr>
              <w:t>、氨氮、总磷、总氮、粪大肠菌群、污水流量</w:t>
            </w:r>
          </w:p>
        </w:tc>
        <w:tc>
          <w:tcPr>
            <w:tcW w:w="1015" w:type="pct"/>
            <w:vMerge/>
            <w:tcBorders>
              <w:tl2br w:val="nil"/>
              <w:tr2bl w:val="nil"/>
            </w:tcBorders>
            <w:vAlign w:val="center"/>
          </w:tcPr>
          <w:p w:rsidR="00A46452" w:rsidRDefault="00A46452">
            <w:pPr>
              <w:wordWrap w:val="0"/>
              <w:topLinePunct/>
              <w:spacing w:line="240" w:lineRule="exact"/>
              <w:ind w:firstLineChars="0" w:firstLine="0"/>
              <w:rPr>
                <w:rFonts w:cs="Times New Roman"/>
                <w:sz w:val="18"/>
                <w:szCs w:val="18"/>
              </w:rPr>
            </w:pPr>
          </w:p>
        </w:tc>
      </w:tr>
    </w:tbl>
    <w:p w:rsidR="00A46452" w:rsidRDefault="009A3928">
      <w:pPr>
        <w:pStyle w:val="a5"/>
        <w:wordWrap w:val="0"/>
        <w:topLinePunct/>
        <w:spacing w:after="0"/>
        <w:ind w:firstLine="480"/>
        <w:rPr>
          <w:rFonts w:cs="Times New Roman" w:hint="default"/>
        </w:rPr>
      </w:pPr>
      <w:r>
        <w:rPr>
          <w:rFonts w:cs="Times New Roman" w:hint="default"/>
        </w:rPr>
        <w:t>2</w:t>
      </w:r>
      <w:r>
        <w:rPr>
          <w:rFonts w:cs="Times New Roman" w:hint="default"/>
        </w:rPr>
        <w:t>、</w:t>
      </w:r>
      <w:r>
        <w:rPr>
          <w:rFonts w:cs="Times New Roman" w:hint="default"/>
        </w:rPr>
        <w:t>河流水质监测</w:t>
      </w:r>
    </w:p>
    <w:p w:rsidR="00A46452" w:rsidRDefault="009A3928">
      <w:pPr>
        <w:pStyle w:val="a5"/>
        <w:wordWrap w:val="0"/>
        <w:topLinePunct/>
        <w:spacing w:after="0"/>
        <w:ind w:firstLine="480"/>
        <w:rPr>
          <w:rFonts w:cs="Times New Roman" w:hint="default"/>
        </w:rPr>
      </w:pPr>
      <w:r>
        <w:rPr>
          <w:rFonts w:cs="Times New Roman" w:hint="default"/>
        </w:rPr>
        <w:t>①</w:t>
      </w:r>
      <w:r>
        <w:rPr>
          <w:rFonts w:cs="Times New Roman" w:hint="default"/>
        </w:rPr>
        <w:t>监测点布设：为了解工程施工对河流水质的影响，在</w:t>
      </w:r>
      <w:r>
        <w:rPr>
          <w:rFonts w:cs="Times New Roman" w:hint="default"/>
        </w:rPr>
        <w:t>柯坪</w:t>
      </w:r>
      <w:r>
        <w:rPr>
          <w:rFonts w:cs="Times New Roman" w:hint="default"/>
        </w:rPr>
        <w:t>河</w:t>
      </w:r>
      <w:r>
        <w:rPr>
          <w:rFonts w:cs="Times New Roman" w:hint="default"/>
        </w:rPr>
        <w:t>、</w:t>
      </w:r>
      <w:r>
        <w:rPr>
          <w:rFonts w:cs="Times New Roman" w:hint="default"/>
        </w:rPr>
        <w:t>突来买提河、喀什噶尔河、</w:t>
      </w:r>
      <w:r>
        <w:rPr>
          <w:rFonts w:cs="Times New Roman" w:hint="default"/>
          <w:szCs w:val="21"/>
        </w:rPr>
        <w:t>苏贝希沟</w:t>
      </w:r>
      <w:r>
        <w:rPr>
          <w:rFonts w:cs="Times New Roman" w:hint="default"/>
          <w:szCs w:val="21"/>
        </w:rPr>
        <w:t>-</w:t>
      </w:r>
      <w:r>
        <w:rPr>
          <w:rFonts w:cs="Times New Roman" w:hint="default"/>
          <w:szCs w:val="21"/>
        </w:rPr>
        <w:t>加依洛萨依河</w:t>
      </w:r>
      <w:r>
        <w:rPr>
          <w:rFonts w:cs="Times New Roman" w:hint="default"/>
        </w:rPr>
        <w:t>等</w:t>
      </w:r>
      <w:r>
        <w:rPr>
          <w:rFonts w:cs="Times New Roman" w:hint="default"/>
        </w:rPr>
        <w:t>桥梁穿越</w:t>
      </w:r>
      <w:r>
        <w:rPr>
          <w:rFonts w:cs="Times New Roman" w:hint="default"/>
        </w:rPr>
        <w:t>断面布设</w:t>
      </w:r>
      <w:r>
        <w:rPr>
          <w:rFonts w:cs="Times New Roman" w:hint="default"/>
        </w:rPr>
        <w:t>1</w:t>
      </w:r>
      <w:r>
        <w:rPr>
          <w:rFonts w:cs="Times New Roman" w:hint="default"/>
        </w:rPr>
        <w:t>个监测断面，对水质进行监测。</w:t>
      </w:r>
    </w:p>
    <w:p w:rsidR="00A46452" w:rsidRDefault="009A3928">
      <w:pPr>
        <w:pStyle w:val="a5"/>
        <w:wordWrap w:val="0"/>
        <w:topLinePunct/>
        <w:spacing w:after="0"/>
        <w:ind w:firstLine="472"/>
        <w:rPr>
          <w:rFonts w:cs="Times New Roman" w:hint="default"/>
          <w:spacing w:val="-2"/>
        </w:rPr>
      </w:pPr>
      <w:r>
        <w:rPr>
          <w:rFonts w:cs="Times New Roman" w:hint="default"/>
          <w:spacing w:val="-2"/>
        </w:rPr>
        <w:t>②</w:t>
      </w:r>
      <w:r>
        <w:rPr>
          <w:rFonts w:cs="Times New Roman" w:hint="default"/>
          <w:spacing w:val="-2"/>
        </w:rPr>
        <w:t>监测技术要求：地表水监测项目、监测周期、监测时段及频次见表</w:t>
      </w:r>
      <w:r>
        <w:rPr>
          <w:rFonts w:cs="Times New Roman"/>
          <w:spacing w:val="-2"/>
        </w:rPr>
        <w:t>10</w:t>
      </w:r>
      <w:r>
        <w:rPr>
          <w:rFonts w:cs="Times New Roman" w:hint="default"/>
          <w:spacing w:val="-2"/>
        </w:rPr>
        <w:t>.2-2</w:t>
      </w:r>
      <w:r>
        <w:rPr>
          <w:rFonts w:cs="Times New Roman"/>
          <w:spacing w:val="-2"/>
        </w:rPr>
        <w:t>。</w:t>
      </w:r>
    </w:p>
    <w:p w:rsidR="00A46452" w:rsidRDefault="009A3928">
      <w:pPr>
        <w:pStyle w:val="a5"/>
        <w:wordWrap w:val="0"/>
        <w:topLinePunct/>
        <w:spacing w:after="0"/>
        <w:ind w:firstLine="480"/>
        <w:rPr>
          <w:rFonts w:cs="Times New Roman" w:hint="default"/>
        </w:rPr>
      </w:pPr>
      <w:r>
        <w:rPr>
          <w:rFonts w:cs="Times New Roman" w:hint="default"/>
        </w:rPr>
        <w:t>③</w:t>
      </w:r>
      <w:r>
        <w:rPr>
          <w:rFonts w:cs="Times New Roman" w:hint="default"/>
        </w:rPr>
        <w:t>监测方法：水样采集按照《环境监测技术规范》的规定方法执行，样品分析按照《地表水环境质量标准》</w:t>
      </w:r>
      <w:r>
        <w:rPr>
          <w:rFonts w:cs="Times New Roman" w:hint="default"/>
        </w:rPr>
        <w:t>(GB3838-2002)</w:t>
      </w:r>
      <w:r>
        <w:rPr>
          <w:rFonts w:cs="Times New Roman" w:hint="default"/>
        </w:rPr>
        <w:t>规定及《环境监测技术规范》的选配方法执行。</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.2-2</w:t>
      </w:r>
      <w:r>
        <w:rPr>
          <w:rFonts w:eastAsia="黑体" w:cs="Times New Roman" w:hint="default"/>
        </w:rPr>
        <w:t xml:space="preserve">              </w:t>
      </w:r>
      <w:r>
        <w:rPr>
          <w:rFonts w:eastAsia="黑体" w:cs="Times New Roman" w:hint="default"/>
        </w:rPr>
        <w:t xml:space="preserve"> </w:t>
      </w:r>
      <w:r>
        <w:rPr>
          <w:rFonts w:eastAsia="黑体" w:cs="Times New Roman" w:hint="default"/>
        </w:rPr>
        <w:t>施工期河流水质监测技术要求一览表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27"/>
        <w:gridCol w:w="2315"/>
        <w:gridCol w:w="1330"/>
        <w:gridCol w:w="2622"/>
        <w:gridCol w:w="1318"/>
      </w:tblGrid>
      <w:tr w:rsidR="00A46452">
        <w:trPr>
          <w:trHeight w:val="480"/>
        </w:trPr>
        <w:tc>
          <w:tcPr>
            <w:tcW w:w="545" w:type="pct"/>
            <w:tcBorders>
              <w:tl2br w:val="nil"/>
              <w:tr2bl w:val="nil"/>
            </w:tcBorders>
            <w:vAlign w:val="center"/>
          </w:tcPr>
          <w:p w:rsidR="00A46452" w:rsidRDefault="009A3928">
            <w:pPr>
              <w:pStyle w:val="TableParagraph"/>
              <w:wordWrap w:val="0"/>
              <w:topLinePunct/>
              <w:adjustRightInd w:val="0"/>
              <w:snapToGrid w:val="0"/>
              <w:spacing w:line="240" w:lineRule="exact"/>
              <w:ind w:firstLineChars="0" w:firstLine="0"/>
              <w:rPr>
                <w:rFonts w:cs="Times New Roman"/>
                <w:sz w:val="18"/>
                <w:szCs w:val="18"/>
              </w:rPr>
            </w:pPr>
            <w:r>
              <w:rPr>
                <w:rFonts w:cs="Times New Roman"/>
                <w:sz w:val="18"/>
                <w:szCs w:val="18"/>
              </w:rPr>
              <w:t>监测点位编号</w:t>
            </w:r>
          </w:p>
        </w:tc>
        <w:tc>
          <w:tcPr>
            <w:tcW w:w="1359" w:type="pct"/>
            <w:tcBorders>
              <w:tl2br w:val="nil"/>
              <w:tr2bl w:val="nil"/>
            </w:tcBorders>
            <w:vAlign w:val="center"/>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敏感点</w:t>
            </w:r>
            <w:r>
              <w:rPr>
                <w:rFonts w:cs="Times New Roman"/>
                <w:sz w:val="18"/>
                <w:szCs w:val="18"/>
              </w:rPr>
              <w:t>位置</w:t>
            </w:r>
          </w:p>
        </w:tc>
        <w:tc>
          <w:tcPr>
            <w:tcW w:w="781" w:type="pct"/>
            <w:tcBorders>
              <w:tl2br w:val="nil"/>
              <w:tr2bl w:val="nil"/>
            </w:tcBorders>
            <w:vAlign w:val="center"/>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桩号</w:t>
            </w:r>
          </w:p>
        </w:tc>
        <w:tc>
          <w:tcPr>
            <w:tcW w:w="1539" w:type="pct"/>
            <w:tcBorders>
              <w:tl2br w:val="nil"/>
              <w:tr2bl w:val="nil"/>
            </w:tcBorders>
            <w:vAlign w:val="center"/>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监测项目</w:t>
            </w:r>
          </w:p>
        </w:tc>
        <w:tc>
          <w:tcPr>
            <w:tcW w:w="774" w:type="pct"/>
            <w:tcBorders>
              <w:tl2br w:val="nil"/>
              <w:tr2bl w:val="nil"/>
            </w:tcBorders>
            <w:vAlign w:val="center"/>
          </w:tcPr>
          <w:p w:rsidR="00A46452" w:rsidRDefault="009A3928">
            <w:pPr>
              <w:pStyle w:val="TableParagraph"/>
              <w:wordWrap w:val="0"/>
              <w:topLinePunct/>
              <w:adjustRightInd w:val="0"/>
              <w:snapToGrid w:val="0"/>
              <w:spacing w:line="240" w:lineRule="exact"/>
              <w:ind w:firstLineChars="0" w:firstLine="0"/>
              <w:jc w:val="center"/>
              <w:rPr>
                <w:rFonts w:cs="Times New Roman"/>
                <w:sz w:val="18"/>
                <w:szCs w:val="18"/>
              </w:rPr>
            </w:pPr>
            <w:r>
              <w:rPr>
                <w:rFonts w:cs="Times New Roman"/>
                <w:sz w:val="18"/>
                <w:szCs w:val="18"/>
              </w:rPr>
              <w:t>监测频次</w:t>
            </w:r>
          </w:p>
        </w:tc>
      </w:tr>
      <w:tr w:rsidR="00A46452">
        <w:trPr>
          <w:trHeight w:val="410"/>
        </w:trPr>
        <w:tc>
          <w:tcPr>
            <w:tcW w:w="545"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HS-1</w:t>
            </w:r>
          </w:p>
        </w:tc>
        <w:tc>
          <w:tcPr>
            <w:tcW w:w="1359"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lang w:bidi="ar"/>
              </w:rPr>
              <w:t>突来买提河</w:t>
            </w:r>
          </w:p>
        </w:tc>
        <w:tc>
          <w:tcPr>
            <w:tcW w:w="78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lang w:bidi="ar"/>
              </w:rPr>
              <w:t>K22+48</w:t>
            </w:r>
            <w:r>
              <w:rPr>
                <w:rFonts w:cs="Times New Roman"/>
                <w:kern w:val="0"/>
                <w:sz w:val="18"/>
                <w:szCs w:val="18"/>
                <w:lang w:bidi="ar"/>
              </w:rPr>
              <w:t>2</w:t>
            </w:r>
            <w:r>
              <w:rPr>
                <w:rFonts w:cs="Times New Roman"/>
                <w:kern w:val="0"/>
                <w:sz w:val="18"/>
                <w:szCs w:val="18"/>
                <w:lang w:bidi="ar"/>
              </w:rPr>
              <w:t>.00</w:t>
            </w:r>
          </w:p>
        </w:tc>
        <w:tc>
          <w:tcPr>
            <w:tcW w:w="1539" w:type="pct"/>
            <w:vMerge w:val="restart"/>
            <w:tcBorders>
              <w:tl2br w:val="nil"/>
              <w:tr2bl w:val="nil"/>
            </w:tcBorders>
            <w:vAlign w:val="center"/>
          </w:tcPr>
          <w:p w:rsidR="00A46452" w:rsidRDefault="009A3928">
            <w:pPr>
              <w:wordWrap w:val="0"/>
              <w:topLinePunct/>
              <w:adjustRightInd w:val="0"/>
              <w:snapToGrid w:val="0"/>
              <w:spacing w:line="240" w:lineRule="exact"/>
              <w:ind w:firstLineChars="0" w:firstLine="0"/>
              <w:textAlignment w:val="center"/>
              <w:rPr>
                <w:rFonts w:cs="Times New Roman"/>
                <w:kern w:val="0"/>
                <w:sz w:val="18"/>
                <w:szCs w:val="18"/>
                <w:lang w:bidi="ar"/>
              </w:rPr>
            </w:pPr>
            <w:r>
              <w:rPr>
                <w:rFonts w:cs="Times New Roman"/>
                <w:sz w:val="18"/>
                <w:szCs w:val="18"/>
              </w:rPr>
              <w:t>水温、</w:t>
            </w:r>
            <w:r>
              <w:rPr>
                <w:rFonts w:cs="Times New Roman"/>
                <w:sz w:val="18"/>
                <w:szCs w:val="18"/>
              </w:rPr>
              <w:t>pH</w:t>
            </w:r>
            <w:r>
              <w:rPr>
                <w:rFonts w:cs="Times New Roman"/>
                <w:sz w:val="18"/>
                <w:szCs w:val="18"/>
              </w:rPr>
              <w:t>、溶解氧、高锰酸盐指数、化学需氧量、五日生化需氧量、氨氮、总氮、总磷、铜、锌、氟化物、砷、硒、汞、镉、铅、氰化物、六价铬、硫化物、石油类，共</w:t>
            </w:r>
            <w:r>
              <w:rPr>
                <w:rFonts w:cs="Times New Roman"/>
                <w:sz w:val="18"/>
                <w:szCs w:val="18"/>
              </w:rPr>
              <w:t>20</w:t>
            </w:r>
            <w:r>
              <w:rPr>
                <w:rFonts w:cs="Times New Roman"/>
                <w:sz w:val="18"/>
                <w:szCs w:val="18"/>
              </w:rPr>
              <w:t>项。</w:t>
            </w:r>
          </w:p>
        </w:tc>
        <w:tc>
          <w:tcPr>
            <w:tcW w:w="774" w:type="pct"/>
            <w:vMerge w:val="restart"/>
            <w:tcBorders>
              <w:tl2br w:val="nil"/>
              <w:tr2bl w:val="nil"/>
            </w:tcBorders>
            <w:vAlign w:val="center"/>
          </w:tcPr>
          <w:p w:rsidR="00A46452" w:rsidRDefault="009A3928">
            <w:pPr>
              <w:wordWrap w:val="0"/>
              <w:topLinePunct/>
              <w:adjustRightInd w:val="0"/>
              <w:snapToGrid w:val="0"/>
              <w:spacing w:line="240" w:lineRule="exact"/>
              <w:ind w:firstLineChars="0" w:firstLine="0"/>
              <w:textAlignment w:val="center"/>
              <w:rPr>
                <w:rFonts w:cs="Times New Roman"/>
                <w:sz w:val="18"/>
                <w:szCs w:val="18"/>
              </w:rPr>
            </w:pPr>
            <w:r>
              <w:rPr>
                <w:rFonts w:cs="Times New Roman"/>
                <w:sz w:val="18"/>
                <w:szCs w:val="18"/>
              </w:rPr>
              <w:t>施工期每年丰、平、枯水期各监测一次，每次连续监测</w:t>
            </w:r>
            <w:r>
              <w:rPr>
                <w:rFonts w:cs="Times New Roman"/>
                <w:sz w:val="18"/>
                <w:szCs w:val="18"/>
              </w:rPr>
              <w:t>3</w:t>
            </w:r>
            <w:r>
              <w:rPr>
                <w:rFonts w:cs="Times New Roman"/>
                <w:sz w:val="18"/>
                <w:szCs w:val="18"/>
              </w:rPr>
              <w:t>d</w:t>
            </w:r>
            <w:r>
              <w:rPr>
                <w:rFonts w:cs="Times New Roman"/>
                <w:sz w:val="18"/>
                <w:szCs w:val="18"/>
              </w:rPr>
              <w:t>，每天一个水样</w:t>
            </w:r>
            <w:r>
              <w:rPr>
                <w:rFonts w:cs="Times New Roman"/>
                <w:sz w:val="18"/>
                <w:szCs w:val="18"/>
              </w:rPr>
              <w:t>。</w:t>
            </w:r>
          </w:p>
        </w:tc>
      </w:tr>
      <w:tr w:rsidR="00A46452">
        <w:trPr>
          <w:trHeight w:val="380"/>
        </w:trPr>
        <w:tc>
          <w:tcPr>
            <w:tcW w:w="545"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HS-</w:t>
            </w:r>
            <w:r>
              <w:rPr>
                <w:rFonts w:cs="Times New Roman"/>
                <w:sz w:val="18"/>
                <w:szCs w:val="18"/>
              </w:rPr>
              <w:t>2</w:t>
            </w:r>
          </w:p>
        </w:tc>
        <w:tc>
          <w:tcPr>
            <w:tcW w:w="1359"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lang w:bidi="ar"/>
              </w:rPr>
              <w:t>喀什噶尔河</w:t>
            </w:r>
          </w:p>
        </w:tc>
        <w:tc>
          <w:tcPr>
            <w:tcW w:w="78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kern w:val="0"/>
                <w:sz w:val="18"/>
                <w:szCs w:val="18"/>
              </w:rPr>
            </w:pPr>
            <w:r>
              <w:rPr>
                <w:rFonts w:cs="Times New Roman"/>
                <w:kern w:val="0"/>
                <w:sz w:val="18"/>
                <w:szCs w:val="18"/>
                <w:lang w:bidi="ar"/>
              </w:rPr>
              <w:t>K</w:t>
            </w:r>
            <w:r>
              <w:rPr>
                <w:rFonts w:cs="Times New Roman"/>
                <w:kern w:val="0"/>
                <w:sz w:val="18"/>
                <w:szCs w:val="18"/>
                <w:lang w:bidi="ar"/>
              </w:rPr>
              <w:t>28</w:t>
            </w:r>
            <w:r>
              <w:rPr>
                <w:rFonts w:cs="Times New Roman"/>
                <w:kern w:val="0"/>
                <w:sz w:val="18"/>
                <w:szCs w:val="18"/>
                <w:lang w:bidi="ar"/>
              </w:rPr>
              <w:t>+</w:t>
            </w:r>
            <w:r>
              <w:rPr>
                <w:rFonts w:cs="Times New Roman"/>
                <w:kern w:val="0"/>
                <w:sz w:val="18"/>
                <w:szCs w:val="18"/>
                <w:lang w:bidi="ar"/>
              </w:rPr>
              <w:t>020</w:t>
            </w:r>
            <w:r>
              <w:rPr>
                <w:rFonts w:cs="Times New Roman"/>
                <w:kern w:val="0"/>
                <w:sz w:val="18"/>
                <w:szCs w:val="18"/>
                <w:lang w:bidi="ar"/>
              </w:rPr>
              <w:t>.</w:t>
            </w:r>
            <w:r>
              <w:rPr>
                <w:rFonts w:cs="Times New Roman"/>
                <w:kern w:val="0"/>
                <w:sz w:val="18"/>
                <w:szCs w:val="18"/>
                <w:lang w:bidi="ar"/>
              </w:rPr>
              <w:t>8</w:t>
            </w:r>
            <w:r>
              <w:rPr>
                <w:rFonts w:cs="Times New Roman"/>
                <w:kern w:val="0"/>
                <w:sz w:val="18"/>
                <w:szCs w:val="18"/>
                <w:lang w:bidi="ar"/>
              </w:rPr>
              <w:t>0</w:t>
            </w:r>
          </w:p>
        </w:tc>
        <w:tc>
          <w:tcPr>
            <w:tcW w:w="1539"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774"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r>
      <w:tr w:rsidR="00A46452">
        <w:trPr>
          <w:trHeight w:val="470"/>
        </w:trPr>
        <w:tc>
          <w:tcPr>
            <w:tcW w:w="545"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HS-</w:t>
            </w:r>
            <w:r>
              <w:rPr>
                <w:rFonts w:cs="Times New Roman"/>
                <w:sz w:val="18"/>
                <w:szCs w:val="18"/>
              </w:rPr>
              <w:t>3</w:t>
            </w:r>
          </w:p>
        </w:tc>
        <w:tc>
          <w:tcPr>
            <w:tcW w:w="1359"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w:t>
            </w:r>
          </w:p>
        </w:tc>
        <w:tc>
          <w:tcPr>
            <w:tcW w:w="78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w:t>
            </w:r>
            <w:r>
              <w:rPr>
                <w:rFonts w:cs="Times New Roman"/>
                <w:kern w:val="0"/>
                <w:sz w:val="18"/>
                <w:szCs w:val="18"/>
                <w:lang w:bidi="ar"/>
              </w:rPr>
              <w:t>1</w:t>
            </w:r>
            <w:r>
              <w:rPr>
                <w:rFonts w:cs="Times New Roman"/>
                <w:kern w:val="0"/>
                <w:sz w:val="18"/>
                <w:szCs w:val="18"/>
                <w:lang w:bidi="ar"/>
              </w:rPr>
              <w:t>+</w:t>
            </w:r>
            <w:r>
              <w:rPr>
                <w:rFonts w:cs="Times New Roman"/>
                <w:kern w:val="0"/>
                <w:sz w:val="18"/>
                <w:szCs w:val="18"/>
                <w:lang w:bidi="ar"/>
              </w:rPr>
              <w:t>114</w:t>
            </w:r>
            <w:r>
              <w:rPr>
                <w:rFonts w:cs="Times New Roman"/>
                <w:kern w:val="0"/>
                <w:sz w:val="18"/>
                <w:szCs w:val="18"/>
                <w:lang w:bidi="ar"/>
              </w:rPr>
              <w:t>.00</w:t>
            </w:r>
          </w:p>
        </w:tc>
        <w:tc>
          <w:tcPr>
            <w:tcW w:w="1539"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774"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r>
      <w:tr w:rsidR="00A46452">
        <w:trPr>
          <w:trHeight w:val="460"/>
        </w:trPr>
        <w:tc>
          <w:tcPr>
            <w:tcW w:w="545"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sz w:val="18"/>
                <w:szCs w:val="18"/>
              </w:rPr>
              <w:t>HS-</w:t>
            </w:r>
            <w:r>
              <w:rPr>
                <w:rFonts w:cs="Times New Roman"/>
                <w:sz w:val="18"/>
                <w:szCs w:val="18"/>
              </w:rPr>
              <w:t>4</w:t>
            </w:r>
          </w:p>
        </w:tc>
        <w:tc>
          <w:tcPr>
            <w:tcW w:w="1359"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柯坪</w:t>
            </w:r>
            <w:r>
              <w:rPr>
                <w:rFonts w:cs="Times New Roman"/>
                <w:kern w:val="0"/>
                <w:sz w:val="18"/>
                <w:szCs w:val="18"/>
                <w:lang w:bidi="ar"/>
              </w:rPr>
              <w:t>河</w:t>
            </w:r>
          </w:p>
        </w:tc>
        <w:tc>
          <w:tcPr>
            <w:tcW w:w="781" w:type="pct"/>
            <w:tcBorders>
              <w:tl2br w:val="nil"/>
              <w:tr2bl w:val="nil"/>
            </w:tcBorders>
            <w:vAlign w:val="center"/>
          </w:tcPr>
          <w:p w:rsidR="00A46452" w:rsidRDefault="009A3928">
            <w:pPr>
              <w:wordWrap w:val="0"/>
              <w:topLinePunct/>
              <w:adjustRightInd w:val="0"/>
              <w:snapToGrid w:val="0"/>
              <w:spacing w:line="240" w:lineRule="exact"/>
              <w:ind w:firstLineChars="0" w:firstLine="0"/>
              <w:jc w:val="center"/>
              <w:textAlignment w:val="center"/>
              <w:rPr>
                <w:rFonts w:cs="Times New Roman"/>
                <w:sz w:val="18"/>
                <w:szCs w:val="18"/>
              </w:rPr>
            </w:pPr>
            <w:r>
              <w:rPr>
                <w:rFonts w:cs="Times New Roman"/>
                <w:kern w:val="0"/>
                <w:sz w:val="18"/>
                <w:szCs w:val="18"/>
                <w:lang w:bidi="ar"/>
              </w:rPr>
              <w:t>K84+800.00</w:t>
            </w:r>
          </w:p>
        </w:tc>
        <w:tc>
          <w:tcPr>
            <w:tcW w:w="1539"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c>
          <w:tcPr>
            <w:tcW w:w="774" w:type="pct"/>
            <w:vMerge/>
            <w:tcBorders>
              <w:tl2br w:val="nil"/>
              <w:tr2bl w:val="nil"/>
            </w:tcBorders>
            <w:vAlign w:val="center"/>
          </w:tcPr>
          <w:p w:rsidR="00A46452" w:rsidRDefault="00A46452">
            <w:pPr>
              <w:wordWrap w:val="0"/>
              <w:topLinePunct/>
              <w:adjustRightInd w:val="0"/>
              <w:snapToGrid w:val="0"/>
              <w:spacing w:line="240" w:lineRule="exact"/>
              <w:ind w:firstLineChars="0" w:firstLine="0"/>
              <w:jc w:val="center"/>
              <w:textAlignment w:val="center"/>
              <w:rPr>
                <w:rFonts w:cs="Times New Roman"/>
                <w:kern w:val="0"/>
                <w:sz w:val="18"/>
                <w:szCs w:val="18"/>
                <w:lang w:bidi="ar"/>
              </w:rPr>
            </w:pPr>
          </w:p>
        </w:tc>
      </w:tr>
    </w:tbl>
    <w:p w:rsidR="00A46452" w:rsidRDefault="009A3928">
      <w:pPr>
        <w:pStyle w:val="a5"/>
        <w:wordWrap w:val="0"/>
        <w:topLinePunct/>
        <w:spacing w:after="0"/>
        <w:ind w:firstLine="480"/>
        <w:rPr>
          <w:rFonts w:cs="Times New Roman" w:hint="default"/>
        </w:rPr>
      </w:pPr>
      <w:r>
        <w:rPr>
          <w:rFonts w:cs="Times New Roman" w:hint="default"/>
        </w:rPr>
        <w:t>3</w:t>
      </w:r>
      <w:r>
        <w:rPr>
          <w:rFonts w:cs="Times New Roman" w:hint="default"/>
        </w:rPr>
        <w:t>、空气质量和噪声监测</w:t>
      </w:r>
    </w:p>
    <w:p w:rsidR="00A46452" w:rsidRDefault="009A3928">
      <w:pPr>
        <w:pStyle w:val="a5"/>
        <w:wordWrap w:val="0"/>
        <w:topLinePunct/>
        <w:spacing w:after="0"/>
        <w:ind w:firstLine="480"/>
        <w:rPr>
          <w:rFonts w:cs="Times New Roman" w:hint="default"/>
        </w:rPr>
      </w:pPr>
      <w:r>
        <w:rPr>
          <w:rFonts w:cs="Times New Roman" w:hint="default"/>
        </w:rPr>
        <w:t>（</w:t>
      </w:r>
      <w:r>
        <w:rPr>
          <w:rFonts w:cs="Times New Roman" w:hint="default"/>
        </w:rPr>
        <w:t>1</w:t>
      </w:r>
      <w:r>
        <w:rPr>
          <w:rFonts w:cs="Times New Roman" w:hint="default"/>
        </w:rPr>
        <w:t>）监测目的</w:t>
      </w:r>
    </w:p>
    <w:p w:rsidR="00A46452" w:rsidRDefault="009A3928">
      <w:pPr>
        <w:pStyle w:val="a5"/>
        <w:wordWrap w:val="0"/>
        <w:topLinePunct/>
        <w:spacing w:after="0"/>
        <w:ind w:firstLine="480"/>
        <w:rPr>
          <w:rFonts w:cs="Times New Roman" w:hint="default"/>
        </w:rPr>
      </w:pPr>
      <w:r>
        <w:rPr>
          <w:rFonts w:cs="Times New Roman" w:hint="default"/>
        </w:rPr>
        <w:t>了解工程施工期大气和噪声污染源强及其对环境空气质量和声环境质量的实际影响。</w:t>
      </w:r>
    </w:p>
    <w:p w:rsidR="00A46452" w:rsidRDefault="009A3928">
      <w:pPr>
        <w:pStyle w:val="a5"/>
        <w:wordWrap w:val="0"/>
        <w:topLinePunct/>
        <w:spacing w:after="0"/>
        <w:ind w:firstLine="480"/>
        <w:rPr>
          <w:rFonts w:cs="Times New Roman" w:hint="default"/>
        </w:rPr>
      </w:pPr>
      <w:r>
        <w:rPr>
          <w:rFonts w:cs="Times New Roman" w:hint="default"/>
        </w:rPr>
        <w:t>（</w:t>
      </w:r>
      <w:r>
        <w:rPr>
          <w:rFonts w:cs="Times New Roman" w:hint="default"/>
        </w:rPr>
        <w:t>2</w:t>
      </w:r>
      <w:r>
        <w:rPr>
          <w:rFonts w:cs="Times New Roman" w:hint="default"/>
        </w:rPr>
        <w:t>）监测点位、因子、频率</w:t>
      </w:r>
    </w:p>
    <w:p w:rsidR="00A46452" w:rsidRDefault="009A3928">
      <w:pPr>
        <w:pStyle w:val="a5"/>
        <w:wordWrap w:val="0"/>
        <w:topLinePunct/>
        <w:spacing w:after="0"/>
        <w:ind w:firstLine="480"/>
        <w:rPr>
          <w:rFonts w:cs="Times New Roman" w:hint="default"/>
          <w:snapToGrid w:val="0"/>
        </w:rPr>
      </w:pPr>
      <w:r>
        <w:rPr>
          <w:rFonts w:cs="Times New Roman" w:hint="default"/>
        </w:rPr>
        <w:t>为监控工程施工对工程区域环境空气和声环境质量的影响，选取工程量较大的工程段作为代表进行布点，共选取</w:t>
      </w:r>
      <w:r>
        <w:rPr>
          <w:rFonts w:cs="Times New Roman" w:hint="default"/>
        </w:rPr>
        <w:t>3</w:t>
      </w:r>
      <w:r>
        <w:rPr>
          <w:rFonts w:cs="Times New Roman" w:hint="default"/>
        </w:rPr>
        <w:t>个</w:t>
      </w:r>
      <w:r>
        <w:rPr>
          <w:rFonts w:cs="Times New Roman" w:hint="default"/>
        </w:rPr>
        <w:t>施工场站</w:t>
      </w:r>
      <w:r>
        <w:rPr>
          <w:rFonts w:cs="Times New Roman" w:hint="default"/>
        </w:rPr>
        <w:t>进行环境空气和声环境监测。监测项目、监测周期、监测时段及频率见表</w:t>
      </w:r>
      <w:r>
        <w:rPr>
          <w:rFonts w:cs="Times New Roman"/>
        </w:rPr>
        <w:t>10</w:t>
      </w:r>
      <w:r>
        <w:rPr>
          <w:rFonts w:cs="Times New Roman" w:hint="default"/>
        </w:rPr>
        <w:t>.2-3</w:t>
      </w:r>
      <w:r>
        <w:rPr>
          <w:rFonts w:cs="Times New Roman" w:hint="default"/>
        </w:rPr>
        <w:t>。</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 xml:space="preserve">.2-3             </w:t>
      </w:r>
      <w:r>
        <w:rPr>
          <w:rFonts w:eastAsia="黑体" w:cs="Times New Roman" w:hint="default"/>
        </w:rPr>
        <w:t>施工期大气和声环境监测计划一览表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84"/>
        <w:gridCol w:w="1227"/>
        <w:gridCol w:w="2353"/>
        <w:gridCol w:w="1668"/>
        <w:gridCol w:w="2480"/>
      </w:tblGrid>
      <w:tr w:rsidR="00A46452">
        <w:trPr>
          <w:trHeight w:val="340"/>
          <w:jc w:val="center"/>
        </w:trPr>
        <w:tc>
          <w:tcPr>
            <w:tcW w:w="460"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编号</w:t>
            </w:r>
          </w:p>
        </w:tc>
        <w:tc>
          <w:tcPr>
            <w:tcW w:w="721"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监测点名称</w:t>
            </w:r>
          </w:p>
        </w:tc>
        <w:tc>
          <w:tcPr>
            <w:tcW w:w="1381"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桩号</w:t>
            </w:r>
          </w:p>
        </w:tc>
        <w:tc>
          <w:tcPr>
            <w:tcW w:w="980"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监测内容</w:t>
            </w:r>
          </w:p>
        </w:tc>
        <w:tc>
          <w:tcPr>
            <w:tcW w:w="1456" w:type="pct"/>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监测时间、频次</w:t>
            </w:r>
          </w:p>
        </w:tc>
      </w:tr>
      <w:tr w:rsidR="00A46452">
        <w:trPr>
          <w:trHeight w:val="340"/>
          <w:jc w:val="center"/>
        </w:trPr>
        <w:tc>
          <w:tcPr>
            <w:tcW w:w="460" w:type="pct"/>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G</w:t>
            </w:r>
            <w:r>
              <w:rPr>
                <w:rFonts w:cs="Times New Roman"/>
                <w:sz w:val="18"/>
                <w:szCs w:val="18"/>
              </w:rPr>
              <w:t>1</w:t>
            </w:r>
          </w:p>
        </w:tc>
        <w:tc>
          <w:tcPr>
            <w:tcW w:w="721" w:type="pct"/>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施工营地</w:t>
            </w:r>
          </w:p>
        </w:tc>
        <w:tc>
          <w:tcPr>
            <w:tcW w:w="1381" w:type="pct"/>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kern w:val="0"/>
                <w:sz w:val="18"/>
                <w:szCs w:val="18"/>
                <w:lang w:bidi="ar"/>
              </w:rPr>
              <w:t>K14+300</w:t>
            </w:r>
            <w:r>
              <w:rPr>
                <w:rFonts w:cs="Times New Roman"/>
                <w:sz w:val="18"/>
                <w:szCs w:val="18"/>
              </w:rPr>
              <w:t>、</w:t>
            </w:r>
            <w:r>
              <w:rPr>
                <w:rFonts w:cs="Times New Roman"/>
                <w:kern w:val="0"/>
                <w:sz w:val="18"/>
                <w:szCs w:val="18"/>
                <w:lang w:bidi="ar"/>
              </w:rPr>
              <w:t>K28+500</w:t>
            </w:r>
            <w:r>
              <w:rPr>
                <w:rFonts w:cs="Times New Roman"/>
                <w:sz w:val="18"/>
                <w:szCs w:val="18"/>
              </w:rPr>
              <w:t>和</w:t>
            </w:r>
            <w:r>
              <w:rPr>
                <w:rFonts w:cs="Times New Roman"/>
                <w:kern w:val="0"/>
                <w:sz w:val="18"/>
                <w:szCs w:val="18"/>
                <w:lang w:bidi="ar"/>
              </w:rPr>
              <w:t>K78+600</w:t>
            </w:r>
          </w:p>
        </w:tc>
        <w:tc>
          <w:tcPr>
            <w:tcW w:w="980" w:type="pct"/>
            <w:tcBorders>
              <w:tl2br w:val="nil"/>
              <w:tr2bl w:val="nil"/>
            </w:tcBorders>
            <w:vAlign w:val="center"/>
          </w:tcPr>
          <w:p w:rsidR="00A46452" w:rsidRDefault="009A3928">
            <w:pPr>
              <w:wordWrap w:val="0"/>
              <w:topLinePunct/>
              <w:spacing w:line="240" w:lineRule="auto"/>
              <w:ind w:firstLineChars="0" w:firstLine="0"/>
              <w:rPr>
                <w:rFonts w:cs="Times New Roman"/>
                <w:sz w:val="18"/>
                <w:szCs w:val="18"/>
                <w:vertAlign w:val="subscript"/>
              </w:rPr>
            </w:pPr>
            <w:r>
              <w:rPr>
                <w:rFonts w:cs="Times New Roman"/>
                <w:sz w:val="18"/>
                <w:szCs w:val="18"/>
              </w:rPr>
              <w:t>环境空气监测内容：</w:t>
            </w:r>
            <w:r>
              <w:rPr>
                <w:rFonts w:cs="Times New Roman"/>
                <w:sz w:val="18"/>
                <w:szCs w:val="18"/>
              </w:rPr>
              <w:t>TSP</w:t>
            </w:r>
          </w:p>
          <w:p w:rsidR="00A46452" w:rsidRDefault="009A3928">
            <w:pPr>
              <w:wordWrap w:val="0"/>
              <w:topLinePunct/>
              <w:spacing w:line="240" w:lineRule="auto"/>
              <w:ind w:firstLineChars="0" w:firstLine="0"/>
              <w:rPr>
                <w:rFonts w:cs="Times New Roman"/>
                <w:sz w:val="18"/>
                <w:szCs w:val="18"/>
              </w:rPr>
            </w:pPr>
            <w:r>
              <w:rPr>
                <w:rFonts w:cs="Times New Roman"/>
                <w:sz w:val="18"/>
                <w:szCs w:val="18"/>
              </w:rPr>
              <w:t>声环境监测内容：等效连续</w:t>
            </w:r>
            <w:r>
              <w:rPr>
                <w:rFonts w:cs="Times New Roman"/>
                <w:sz w:val="18"/>
                <w:szCs w:val="18"/>
              </w:rPr>
              <w:t>A</w:t>
            </w:r>
            <w:r>
              <w:rPr>
                <w:rFonts w:cs="Times New Roman"/>
                <w:sz w:val="18"/>
                <w:szCs w:val="18"/>
              </w:rPr>
              <w:t>声级</w:t>
            </w:r>
          </w:p>
        </w:tc>
        <w:tc>
          <w:tcPr>
            <w:tcW w:w="1456" w:type="pct"/>
            <w:tcBorders>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环境空气监测频次：每年每季度监测</w:t>
            </w:r>
            <w:r>
              <w:rPr>
                <w:rFonts w:cs="Times New Roman"/>
                <w:sz w:val="18"/>
                <w:szCs w:val="18"/>
              </w:rPr>
              <w:t>1</w:t>
            </w:r>
            <w:r>
              <w:rPr>
                <w:rFonts w:cs="Times New Roman"/>
                <w:sz w:val="18"/>
                <w:szCs w:val="18"/>
              </w:rPr>
              <w:t>次。</w:t>
            </w:r>
            <w:r>
              <w:rPr>
                <w:rFonts w:cs="Times New Roman"/>
                <w:sz w:val="18"/>
                <w:szCs w:val="18"/>
              </w:rPr>
              <w:t>大气每次监测</w:t>
            </w:r>
            <w:r>
              <w:rPr>
                <w:rFonts w:cs="Times New Roman"/>
                <w:sz w:val="18"/>
                <w:szCs w:val="18"/>
              </w:rPr>
              <w:t>3d24h</w:t>
            </w:r>
            <w:r>
              <w:rPr>
                <w:rFonts w:cs="Times New Roman"/>
                <w:sz w:val="18"/>
                <w:szCs w:val="18"/>
              </w:rPr>
              <w:t>监测。</w:t>
            </w:r>
          </w:p>
          <w:p w:rsidR="00A46452" w:rsidRDefault="009A3928">
            <w:pPr>
              <w:wordWrap w:val="0"/>
              <w:topLinePunct/>
              <w:spacing w:line="240" w:lineRule="auto"/>
              <w:ind w:firstLineChars="0" w:firstLine="0"/>
              <w:rPr>
                <w:rFonts w:cs="Times New Roman"/>
                <w:sz w:val="18"/>
                <w:szCs w:val="18"/>
              </w:rPr>
            </w:pPr>
            <w:r>
              <w:rPr>
                <w:rFonts w:cs="Times New Roman"/>
                <w:sz w:val="18"/>
                <w:szCs w:val="18"/>
              </w:rPr>
              <w:t>声环境监测频次：每年每季度监测</w:t>
            </w:r>
            <w:r>
              <w:rPr>
                <w:rFonts w:cs="Times New Roman"/>
                <w:sz w:val="18"/>
                <w:szCs w:val="18"/>
              </w:rPr>
              <w:t>1</w:t>
            </w:r>
            <w:r>
              <w:rPr>
                <w:rFonts w:cs="Times New Roman"/>
                <w:sz w:val="18"/>
                <w:szCs w:val="18"/>
              </w:rPr>
              <w:t>次。</w:t>
            </w:r>
            <w:r>
              <w:rPr>
                <w:rFonts w:cs="Times New Roman"/>
                <w:sz w:val="18"/>
                <w:szCs w:val="18"/>
              </w:rPr>
              <w:t>每次监测</w:t>
            </w:r>
            <w:r>
              <w:rPr>
                <w:rFonts w:cs="Times New Roman"/>
                <w:sz w:val="18"/>
                <w:szCs w:val="18"/>
              </w:rPr>
              <w:t>2d</w:t>
            </w:r>
            <w:r>
              <w:rPr>
                <w:rFonts w:cs="Times New Roman"/>
                <w:sz w:val="18"/>
                <w:szCs w:val="18"/>
              </w:rPr>
              <w:t>，昼夜各监测一次。</w:t>
            </w:r>
          </w:p>
        </w:tc>
      </w:tr>
    </w:tbl>
    <w:p w:rsidR="00A46452" w:rsidRDefault="009A3928" w:rsidP="00182EED">
      <w:pPr>
        <w:pStyle w:val="0A"/>
        <w:wordWrap w:val="0"/>
        <w:topLinePunct/>
        <w:spacing w:line="360" w:lineRule="auto"/>
        <w:rPr>
          <w:rFonts w:hint="default"/>
          <w:snapToGrid w:val="0"/>
        </w:rPr>
      </w:pPr>
      <w:r>
        <w:rPr>
          <w:rFonts w:hint="default"/>
          <w:snapToGrid w:val="0"/>
        </w:rPr>
        <w:t>（</w:t>
      </w:r>
      <w:r>
        <w:rPr>
          <w:rFonts w:hint="default"/>
          <w:snapToGrid w:val="0"/>
        </w:rPr>
        <w:t>3</w:t>
      </w:r>
      <w:r>
        <w:rPr>
          <w:rFonts w:hint="default"/>
          <w:snapToGrid w:val="0"/>
        </w:rPr>
        <w:t>）监测方法</w:t>
      </w:r>
    </w:p>
    <w:p w:rsidR="00A46452" w:rsidRDefault="009A3928" w:rsidP="00182EED">
      <w:pPr>
        <w:pStyle w:val="0A"/>
        <w:wordWrap w:val="0"/>
        <w:topLinePunct/>
        <w:spacing w:line="360" w:lineRule="auto"/>
        <w:rPr>
          <w:rFonts w:hint="default"/>
          <w:snapToGrid w:val="0"/>
        </w:rPr>
      </w:pPr>
      <w:r>
        <w:rPr>
          <w:rFonts w:hint="default"/>
          <w:snapToGrid w:val="0"/>
        </w:rPr>
        <w:t>分别按照《环境监测技术规范》大气部分和噪声部分中规定的方法执行。</w:t>
      </w:r>
    </w:p>
    <w:p w:rsidR="00A46452" w:rsidRDefault="009A3928">
      <w:pPr>
        <w:pStyle w:val="a5"/>
        <w:wordWrap w:val="0"/>
        <w:topLinePunct/>
        <w:spacing w:after="0"/>
        <w:ind w:firstLine="480"/>
        <w:rPr>
          <w:rFonts w:cs="Times New Roman" w:hint="default"/>
        </w:rPr>
      </w:pPr>
      <w:r>
        <w:rPr>
          <w:rFonts w:cs="Times New Roman" w:hint="default"/>
        </w:rPr>
        <w:t>4</w:t>
      </w:r>
      <w:r>
        <w:rPr>
          <w:rFonts w:cs="Times New Roman" w:hint="default"/>
        </w:rPr>
        <w:t>、陆生生态质量监测</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w:t>
      </w:r>
      <w:r>
        <w:rPr>
          <w:rFonts w:hint="default"/>
          <w:snapToGrid w:val="0"/>
        </w:rPr>
        <w:t>1</w:t>
      </w:r>
      <w:r>
        <w:rPr>
          <w:rFonts w:hint="default"/>
          <w:snapToGrid w:val="0"/>
        </w:rPr>
        <w:t>）</w:t>
      </w:r>
      <w:r>
        <w:rPr>
          <w:rFonts w:hint="default"/>
          <w:snapToGrid w:val="0"/>
        </w:rPr>
        <w:t>保护植物监测</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对本次</w:t>
      </w:r>
      <w:r>
        <w:rPr>
          <w:rFonts w:hint="default"/>
          <w:snapToGrid w:val="0"/>
        </w:rPr>
        <w:t>项目沿线临近的生态环境保护目标区域</w:t>
      </w:r>
      <w:r>
        <w:rPr>
          <w:rFonts w:hint="default"/>
          <w:snapToGrid w:val="0"/>
        </w:rPr>
        <w:t>进行重点</w:t>
      </w:r>
      <w:r>
        <w:rPr>
          <w:rFonts w:hint="default"/>
          <w:snapToGrid w:val="0"/>
        </w:rPr>
        <w:t>布点</w:t>
      </w:r>
      <w:r>
        <w:rPr>
          <w:rFonts w:hint="default"/>
          <w:snapToGrid w:val="0"/>
        </w:rPr>
        <w:t>监测，</w:t>
      </w:r>
      <w:r>
        <w:rPr>
          <w:rFonts w:hint="default"/>
          <w:snapToGrid w:val="0"/>
        </w:rPr>
        <w:t>对于保护植物</w:t>
      </w:r>
      <w:r>
        <w:rPr>
          <w:rFonts w:hint="default"/>
          <w:snapToGrid w:val="0"/>
        </w:rPr>
        <w:t>详细记录工程占用情况和人为影响，观察其分布变化和生境质量变化等，在监测过程中记录其</w:t>
      </w:r>
      <w:r>
        <w:rPr>
          <w:rFonts w:hint="default"/>
          <w:snapToGrid w:val="0"/>
        </w:rPr>
        <w:t>GPS</w:t>
      </w:r>
      <w:r>
        <w:rPr>
          <w:rFonts w:hint="default"/>
          <w:snapToGrid w:val="0"/>
        </w:rPr>
        <w:t>位置信息、种群规模、种群结构、生境条件及分布、保护状况等。特别记录异常现象（如不正常开花、落叶、枯死、特定种类的激增剧减之类）。在施工期定期观察记录就地保护的生长情况，一旦发现异常情况及时采取保护措施。施工期定期全面监测整个项目评价区内外来入侵植物的生长分布状况。</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监测点位：植物植被监测以样方法为主，</w:t>
      </w:r>
      <w:r>
        <w:rPr>
          <w:rFonts w:hint="default"/>
        </w:rPr>
        <w:t>天然乔木林样方为</w:t>
      </w:r>
      <w:r>
        <w:rPr>
          <w:rFonts w:hint="default"/>
        </w:rPr>
        <w:t>10m×10m</w:t>
      </w:r>
      <w:r>
        <w:rPr>
          <w:rFonts w:hint="default"/>
        </w:rPr>
        <w:t>；灌</w:t>
      </w:r>
      <w:r>
        <w:rPr>
          <w:rFonts w:hint="default"/>
        </w:rPr>
        <w:t>木样方</w:t>
      </w:r>
      <w:r>
        <w:rPr>
          <w:rFonts w:hint="default"/>
        </w:rPr>
        <w:t>为</w:t>
      </w:r>
      <w:r>
        <w:rPr>
          <w:rFonts w:hint="default"/>
        </w:rPr>
        <w:t>5m×5m</w:t>
      </w:r>
      <w:r>
        <w:rPr>
          <w:rFonts w:hint="default"/>
        </w:rPr>
        <w:t>；</w:t>
      </w:r>
      <w:r>
        <w:rPr>
          <w:rFonts w:hint="default"/>
        </w:rPr>
        <w:t>草本样方</w:t>
      </w:r>
      <w:r>
        <w:rPr>
          <w:rFonts w:hint="default"/>
        </w:rPr>
        <w:t>为</w:t>
      </w:r>
      <w:r>
        <w:rPr>
          <w:rFonts w:hint="default"/>
        </w:rPr>
        <w:t>1m×1m</w:t>
      </w:r>
      <w:r>
        <w:rPr>
          <w:rFonts w:hint="default"/>
          <w:snapToGrid w:val="0"/>
        </w:rPr>
        <w:t>。共设置监测样方</w:t>
      </w:r>
      <w:r>
        <w:rPr>
          <w:rFonts w:hint="default"/>
          <w:snapToGrid w:val="0"/>
        </w:rPr>
        <w:t>8</w:t>
      </w:r>
      <w:r>
        <w:rPr>
          <w:rFonts w:hint="default"/>
          <w:snapToGrid w:val="0"/>
        </w:rPr>
        <w:t>处，其中包括</w:t>
      </w:r>
      <w:r>
        <w:rPr>
          <w:rFonts w:hint="default"/>
          <w:snapToGrid w:val="0"/>
        </w:rPr>
        <w:t>公益林位置</w:t>
      </w:r>
      <w:r>
        <w:rPr>
          <w:rFonts w:hint="default"/>
          <w:snapToGrid w:val="0"/>
        </w:rPr>
        <w:t>3</w:t>
      </w:r>
      <w:r>
        <w:rPr>
          <w:rFonts w:hint="default"/>
          <w:snapToGrid w:val="0"/>
        </w:rPr>
        <w:t>处、</w:t>
      </w:r>
      <w:r>
        <w:rPr>
          <w:rFonts w:hint="default"/>
          <w:snapToGrid w:val="0"/>
        </w:rPr>
        <w:t>施</w:t>
      </w:r>
      <w:r>
        <w:rPr>
          <w:rFonts w:hint="default"/>
          <w:snapToGrid w:val="0"/>
        </w:rPr>
        <w:t>工场站</w:t>
      </w:r>
      <w:r>
        <w:rPr>
          <w:rFonts w:hint="default"/>
          <w:snapToGrid w:val="0"/>
        </w:rPr>
        <w:t>3</w:t>
      </w:r>
      <w:r>
        <w:rPr>
          <w:rFonts w:hint="default"/>
          <w:snapToGrid w:val="0"/>
        </w:rPr>
        <w:t>处、</w:t>
      </w:r>
      <w:r>
        <w:rPr>
          <w:rFonts w:hint="default"/>
          <w:snapToGrid w:val="0"/>
        </w:rPr>
        <w:t>服务区</w:t>
      </w:r>
      <w:r>
        <w:rPr>
          <w:rFonts w:hint="default"/>
          <w:snapToGrid w:val="0"/>
        </w:rPr>
        <w:t>2</w:t>
      </w:r>
      <w:r>
        <w:rPr>
          <w:rFonts w:hint="default"/>
          <w:snapToGrid w:val="0"/>
        </w:rPr>
        <w:t>处。</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重要物种：胡杨、麻黄、灰胡杨、肉苁蓉、胀果甘草、黑果枸杞等</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监测内容：监测时间为每个监测年份的</w:t>
      </w:r>
      <w:r>
        <w:rPr>
          <w:rFonts w:hint="default"/>
          <w:snapToGrid w:val="0"/>
        </w:rPr>
        <w:t>6~8</w:t>
      </w:r>
      <w:r>
        <w:rPr>
          <w:rFonts w:hint="default"/>
          <w:snapToGrid w:val="0"/>
        </w:rPr>
        <w:t>月，对每个监测样方用</w:t>
      </w:r>
      <w:r>
        <w:rPr>
          <w:rFonts w:hint="default"/>
          <w:snapToGrid w:val="0"/>
        </w:rPr>
        <w:t>GPS</w:t>
      </w:r>
      <w:r>
        <w:rPr>
          <w:rFonts w:hint="default"/>
          <w:snapToGrid w:val="0"/>
        </w:rPr>
        <w:t>精确定位，记录样方所处位置、地形、坡向、坡度、坡位、土壤、母质、群落总盖度、高度、各层盖度、高度以及群落周边人为干扰情况等要素。记录样方中所有物种的种类、盖度、高度、生活力、物候等。多方位拍摄样方、标本、保护物种等影像资料。</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监测要求：重点监测保护物种受工程建设的影响程度、群落中物种数量的变化、生境的变化、群落结构的变化以及生态系统整体性变化，重点关注群落优</w:t>
      </w:r>
      <w:r>
        <w:rPr>
          <w:rFonts w:hint="default"/>
          <w:snapToGrid w:val="0"/>
        </w:rPr>
        <w:t>势种的变化趋势。</w:t>
      </w:r>
    </w:p>
    <w:p w:rsidR="00A46452" w:rsidRDefault="009A3928" w:rsidP="00182EED">
      <w:pPr>
        <w:pStyle w:val="0A"/>
        <w:shd w:val="clear" w:color="auto" w:fill="FFFFFF" w:themeFill="background1"/>
        <w:spacing w:line="360" w:lineRule="auto"/>
        <w:rPr>
          <w:rFonts w:hint="default"/>
          <w:snapToGrid w:val="0"/>
        </w:rPr>
      </w:pPr>
      <w:r>
        <w:rPr>
          <w:snapToGrid w:val="0"/>
        </w:rPr>
        <w:t>（</w:t>
      </w:r>
      <w:r>
        <w:rPr>
          <w:rFonts w:hint="default"/>
          <w:snapToGrid w:val="0"/>
        </w:rPr>
        <w:t>2</w:t>
      </w:r>
      <w:r>
        <w:rPr>
          <w:rFonts w:hint="default"/>
          <w:snapToGrid w:val="0"/>
        </w:rPr>
        <w:t>）</w:t>
      </w:r>
      <w:r>
        <w:rPr>
          <w:rFonts w:hint="default"/>
          <w:snapToGrid w:val="0"/>
        </w:rPr>
        <w:t>陆生脊椎动物监测</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监测时间：哺乳类和两栖爬行类在每个监测年份的春季和秋季各监测</w:t>
      </w:r>
      <w:r>
        <w:rPr>
          <w:rFonts w:hint="default"/>
          <w:snapToGrid w:val="0"/>
        </w:rPr>
        <w:t>1</w:t>
      </w:r>
      <w:r>
        <w:rPr>
          <w:rFonts w:hint="default"/>
          <w:snapToGrid w:val="0"/>
        </w:rPr>
        <w:t>次，鸟类在每个监测年份的春夏秋冬</w:t>
      </w:r>
      <w:r>
        <w:rPr>
          <w:rFonts w:hint="default"/>
          <w:snapToGrid w:val="0"/>
        </w:rPr>
        <w:t>4</w:t>
      </w:r>
      <w:r>
        <w:rPr>
          <w:rFonts w:hint="default"/>
          <w:snapToGrid w:val="0"/>
        </w:rPr>
        <w:t>个季节均做监测。</w:t>
      </w:r>
      <w:r>
        <w:rPr>
          <w:rFonts w:hint="default"/>
          <w:snapToGrid w:val="0"/>
        </w:rPr>
        <w:t xml:space="preserve"> </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监测点位：评价区陆生脊椎动物监测方法主要采用样线法，设置长度</w:t>
      </w:r>
      <w:r>
        <w:rPr>
          <w:rFonts w:hint="default"/>
          <w:snapToGrid w:val="0"/>
        </w:rPr>
        <w:t>1000~3000m</w:t>
      </w:r>
      <w:r>
        <w:rPr>
          <w:rFonts w:hint="default"/>
          <w:snapToGrid w:val="0"/>
        </w:rPr>
        <w:t>长度不等的样线</w:t>
      </w:r>
      <w:r>
        <w:rPr>
          <w:rFonts w:hint="default"/>
          <w:snapToGrid w:val="0"/>
        </w:rPr>
        <w:t>3</w:t>
      </w:r>
      <w:r>
        <w:rPr>
          <w:rFonts w:hint="default"/>
          <w:snapToGrid w:val="0"/>
        </w:rPr>
        <w:t>条，其中包括：</w:t>
      </w:r>
      <w:r>
        <w:rPr>
          <w:rFonts w:hint="default"/>
          <w:snapToGrid w:val="0"/>
        </w:rPr>
        <w:t>第三师图木舒克市国家二级公益林</w:t>
      </w:r>
      <w:r>
        <w:rPr>
          <w:rFonts w:hint="default"/>
          <w:snapToGrid w:val="0"/>
        </w:rPr>
        <w:t>、</w:t>
      </w:r>
      <w:r>
        <w:rPr>
          <w:rFonts w:hint="default"/>
          <w:snapToGrid w:val="0"/>
        </w:rPr>
        <w:t>喀什地区巴楚县国家二级公益林、阿克苏地区柯坪县地方公益林各</w:t>
      </w:r>
      <w:r>
        <w:rPr>
          <w:rFonts w:hint="default"/>
          <w:snapToGrid w:val="0"/>
        </w:rPr>
        <w:t>1</w:t>
      </w:r>
      <w:r>
        <w:rPr>
          <w:rFonts w:hint="default"/>
          <w:snapToGrid w:val="0"/>
        </w:rPr>
        <w:t>处。</w:t>
      </w:r>
    </w:p>
    <w:p w:rsidR="00A46452" w:rsidRDefault="009A3928" w:rsidP="00182EED">
      <w:pPr>
        <w:pStyle w:val="0A"/>
        <w:shd w:val="clear" w:color="auto" w:fill="FFFFFF" w:themeFill="background1"/>
        <w:spacing w:line="360" w:lineRule="auto"/>
        <w:rPr>
          <w:rFonts w:hint="default"/>
          <w:snapToGrid w:val="0"/>
        </w:rPr>
      </w:pPr>
      <w:r>
        <w:rPr>
          <w:snapToGrid w:val="0"/>
        </w:rPr>
        <w:t>重</w:t>
      </w:r>
      <w:r>
        <w:rPr>
          <w:rFonts w:hint="default"/>
          <w:snapToGrid w:val="0"/>
        </w:rPr>
        <w:t>要物种：如塔里木兔、赤狐、鹅喉羚、红隼、沙狐、苍鹰、鸢、黑鹳、蓝胸佛法僧等</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哺乳类</w:t>
      </w:r>
      <w:r>
        <w:rPr>
          <w:snapToGrid w:val="0"/>
        </w:rPr>
        <w:t>：</w:t>
      </w:r>
      <w:r>
        <w:rPr>
          <w:rFonts w:hint="default"/>
          <w:snapToGrid w:val="0"/>
        </w:rPr>
        <w:t>观察每条样线哺乳类栖息地生境类型；同时对样线内野生动物留下的各种痕迹，如动物足迹、动物粪便、卧迹、体毛、动物的擦痕和抓痕以及残留在灌木上的体毛、动物的洞穴及残留在周围的体毛等遗留物进行观察和记录。监测时段：每天</w:t>
      </w:r>
      <w:r>
        <w:rPr>
          <w:rFonts w:hint="default"/>
          <w:snapToGrid w:val="0"/>
        </w:rPr>
        <w:t>8:00~11:00</w:t>
      </w:r>
      <w:r>
        <w:rPr>
          <w:rFonts w:hint="default"/>
          <w:snapToGrid w:val="0"/>
        </w:rPr>
        <w:t>，</w:t>
      </w:r>
      <w:r>
        <w:rPr>
          <w:rFonts w:hint="default"/>
          <w:snapToGrid w:val="0"/>
        </w:rPr>
        <w:t>18:00~21:00</w:t>
      </w:r>
      <w:r>
        <w:rPr>
          <w:rFonts w:hint="default"/>
          <w:snapToGrid w:val="0"/>
        </w:rPr>
        <w:t>时。</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主要对重点保护动物进行监测，监测内容主要包括：种群变化动态、栖息地及觅食地等。</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鸟类</w:t>
      </w:r>
      <w:r>
        <w:rPr>
          <w:snapToGrid w:val="0"/>
        </w:rPr>
        <w:t>：</w:t>
      </w:r>
      <w:r>
        <w:rPr>
          <w:rFonts w:hint="default"/>
          <w:snapToGrid w:val="0"/>
        </w:rPr>
        <w:t>每条监测样线设置</w:t>
      </w:r>
      <w:r>
        <w:rPr>
          <w:rFonts w:hint="default"/>
          <w:snapToGrid w:val="0"/>
        </w:rPr>
        <w:t>2</w:t>
      </w:r>
      <w:r>
        <w:rPr>
          <w:rFonts w:hint="default"/>
          <w:snapToGrid w:val="0"/>
        </w:rPr>
        <w:t>个观测点取样，每个观察点记录</w:t>
      </w:r>
      <w:r>
        <w:rPr>
          <w:rFonts w:hint="default"/>
          <w:snapToGrid w:val="0"/>
        </w:rPr>
        <w:t>10</w:t>
      </w:r>
      <w:r>
        <w:rPr>
          <w:rFonts w:hint="default"/>
          <w:snapToGrid w:val="0"/>
        </w:rPr>
        <w:t>min</w:t>
      </w:r>
      <w:r>
        <w:rPr>
          <w:rFonts w:hint="default"/>
          <w:snapToGrid w:val="0"/>
        </w:rPr>
        <w:t>。准备调查工具望远镜、鸟类图鉴等。监测时段：每天</w:t>
      </w:r>
      <w:r>
        <w:rPr>
          <w:rFonts w:hint="default"/>
          <w:snapToGrid w:val="0"/>
        </w:rPr>
        <w:t>7:30~11:00</w:t>
      </w:r>
      <w:r>
        <w:rPr>
          <w:rFonts w:hint="default"/>
          <w:snapToGrid w:val="0"/>
        </w:rPr>
        <w:t>，</w:t>
      </w:r>
      <w:r>
        <w:rPr>
          <w:rFonts w:hint="default"/>
          <w:snapToGrid w:val="0"/>
        </w:rPr>
        <w:t>18:00~21:00</w:t>
      </w:r>
      <w:r>
        <w:rPr>
          <w:rFonts w:hint="default"/>
          <w:snapToGrid w:val="0"/>
        </w:rPr>
        <w:t>时。施工期重点监测</w:t>
      </w:r>
      <w:r>
        <w:rPr>
          <w:rFonts w:hint="default"/>
          <w:snapToGrid w:val="0"/>
        </w:rPr>
        <w:t>保护鸟类的种类、数量、栖息地和觅食地等，对活动区域采取一定的避让和减缓措施。对具有迁徙特性的鸟类也要重点监测。夏季监测繁殖鸟类的觅食活动区域，种群数量变化等信息和数据，冬季监测越冬鸟类数量和夜栖地变化等。</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两栖爬行类动物</w:t>
      </w:r>
      <w:r>
        <w:rPr>
          <w:snapToGrid w:val="0"/>
        </w:rPr>
        <w:t>：</w:t>
      </w:r>
      <w:r>
        <w:rPr>
          <w:rFonts w:hint="default"/>
          <w:snapToGrid w:val="0"/>
        </w:rPr>
        <w:t>监测时记录沿样线左右各</w:t>
      </w:r>
      <w:r>
        <w:rPr>
          <w:rFonts w:hint="default"/>
          <w:snapToGrid w:val="0"/>
        </w:rPr>
        <w:t>5m</w:t>
      </w:r>
      <w:r>
        <w:rPr>
          <w:rFonts w:hint="default"/>
          <w:snapToGrid w:val="0"/>
        </w:rPr>
        <w:t>、前方</w:t>
      </w:r>
      <w:r>
        <w:rPr>
          <w:rFonts w:hint="default"/>
          <w:snapToGrid w:val="0"/>
        </w:rPr>
        <w:t>5m</w:t>
      </w:r>
      <w:r>
        <w:rPr>
          <w:rFonts w:hint="default"/>
          <w:snapToGrid w:val="0"/>
        </w:rPr>
        <w:t>范围内见到的两栖爬行动物的种类和数量。监测时段：每天</w:t>
      </w:r>
      <w:r>
        <w:rPr>
          <w:rFonts w:hint="default"/>
          <w:snapToGrid w:val="0"/>
        </w:rPr>
        <w:t>8:00~11:00</w:t>
      </w:r>
      <w:r>
        <w:rPr>
          <w:rFonts w:hint="default"/>
          <w:snapToGrid w:val="0"/>
        </w:rPr>
        <w:t>，</w:t>
      </w:r>
      <w:r>
        <w:rPr>
          <w:rFonts w:hint="default"/>
          <w:snapToGrid w:val="0"/>
        </w:rPr>
        <w:t>20:00~22:00</w:t>
      </w:r>
      <w:r>
        <w:rPr>
          <w:rFonts w:hint="default"/>
          <w:snapToGrid w:val="0"/>
        </w:rPr>
        <w:t>。选择主要种类观察其种群变化动态、分布范围、栖息地状况，及其对环境的适应性等。</w:t>
      </w:r>
    </w:p>
    <w:p w:rsidR="00A46452" w:rsidRDefault="009A3928" w:rsidP="00182EED">
      <w:pPr>
        <w:pStyle w:val="0A"/>
        <w:shd w:val="clear" w:color="auto" w:fill="FFFFFF" w:themeFill="background1"/>
        <w:spacing w:line="360" w:lineRule="auto"/>
        <w:rPr>
          <w:rFonts w:hint="default"/>
          <w:snapToGrid w:val="0"/>
        </w:rPr>
      </w:pPr>
      <w:r>
        <w:rPr>
          <w:rFonts w:hint="default"/>
          <w:snapToGrid w:val="0"/>
        </w:rPr>
        <w:t>监测数据用于分析本工程施工期对影响评价区野生动物的影响，发现问题及时调整管理措</w:t>
      </w:r>
      <w:r>
        <w:rPr>
          <w:rFonts w:hint="default"/>
          <w:snapToGrid w:val="0"/>
        </w:rPr>
        <w:t>施。</w:t>
      </w:r>
    </w:p>
    <w:p w:rsidR="00A46452" w:rsidRDefault="009A3928" w:rsidP="00182EED">
      <w:pPr>
        <w:pStyle w:val="0A"/>
        <w:shd w:val="clear" w:color="auto" w:fill="FFFFFF" w:themeFill="background1"/>
        <w:spacing w:line="360" w:lineRule="auto"/>
        <w:rPr>
          <w:rFonts w:hint="default"/>
          <w:snapToGrid w:val="0"/>
        </w:rPr>
      </w:pPr>
      <w:r>
        <w:rPr>
          <w:snapToGrid w:val="0"/>
        </w:rPr>
        <w:t>（</w:t>
      </w:r>
      <w:r>
        <w:rPr>
          <w:snapToGrid w:val="0"/>
        </w:rPr>
        <w:t>3</w:t>
      </w:r>
      <w:r>
        <w:rPr>
          <w:snapToGrid w:val="0"/>
        </w:rPr>
        <w:t>）</w:t>
      </w:r>
      <w:r>
        <w:rPr>
          <w:rFonts w:hint="default"/>
          <w:snapToGrid w:val="0"/>
        </w:rPr>
        <w:t>水生生态监测</w:t>
      </w:r>
    </w:p>
    <w:p w:rsidR="00A46452" w:rsidRDefault="009A3928" w:rsidP="00182EED">
      <w:pPr>
        <w:pStyle w:val="0A"/>
        <w:shd w:val="clear" w:color="auto" w:fill="FFFFFF" w:themeFill="background1"/>
        <w:spacing w:line="360" w:lineRule="auto"/>
        <w:rPr>
          <w:rFonts w:hint="default"/>
        </w:rPr>
      </w:pPr>
      <w:r>
        <w:t>1</w:t>
      </w:r>
      <w:r>
        <w:t>）</w:t>
      </w:r>
      <w:r>
        <w:rPr>
          <w:rFonts w:hint="default"/>
        </w:rPr>
        <w:t>监测项目</w:t>
      </w:r>
      <w:r>
        <w:t>：</w:t>
      </w:r>
    </w:p>
    <w:p w:rsidR="00A46452" w:rsidRDefault="009A3928" w:rsidP="00182EED">
      <w:pPr>
        <w:pStyle w:val="0A"/>
        <w:shd w:val="clear" w:color="auto" w:fill="FFFFFF" w:themeFill="background1"/>
        <w:spacing w:line="360" w:lineRule="auto"/>
        <w:rPr>
          <w:rFonts w:hint="default"/>
        </w:rPr>
      </w:pPr>
      <w:r>
        <w:rPr>
          <w:rFonts w:hint="default"/>
        </w:rPr>
        <w:t>水生生物：浮游动植物、底栖生物；鱼类：包括鱼类种类、鱼类数量、鱼类栖息地及产卵场等。</w:t>
      </w:r>
    </w:p>
    <w:p w:rsidR="00A46452" w:rsidRDefault="009A3928" w:rsidP="00182EED">
      <w:pPr>
        <w:pStyle w:val="0A"/>
        <w:shd w:val="clear" w:color="auto" w:fill="FFFFFF" w:themeFill="background1"/>
        <w:spacing w:line="360" w:lineRule="auto"/>
        <w:rPr>
          <w:rFonts w:hint="default"/>
        </w:rPr>
      </w:pPr>
      <w:r>
        <w:rPr>
          <w:rFonts w:hint="default"/>
        </w:rPr>
        <w:t>2</w:t>
      </w:r>
      <w:r>
        <w:rPr>
          <w:rFonts w:hint="default"/>
        </w:rPr>
        <w:t>）监测点位</w:t>
      </w:r>
    </w:p>
    <w:p w:rsidR="00A46452" w:rsidRDefault="009A3928" w:rsidP="00182EED">
      <w:pPr>
        <w:pStyle w:val="0A"/>
        <w:shd w:val="clear" w:color="auto" w:fill="FFFFFF" w:themeFill="background1"/>
        <w:spacing w:line="360" w:lineRule="auto"/>
        <w:rPr>
          <w:rFonts w:hint="default"/>
        </w:rPr>
      </w:pPr>
      <w:r>
        <w:rPr>
          <w:rFonts w:hint="default"/>
        </w:rPr>
        <w:t>苏贝希沟</w:t>
      </w:r>
      <w:r>
        <w:rPr>
          <w:rFonts w:hint="default"/>
        </w:rPr>
        <w:t>-</w:t>
      </w:r>
      <w:r>
        <w:rPr>
          <w:rFonts w:hint="default"/>
        </w:rPr>
        <w:t>加依洛萨依河一号大桥</w:t>
      </w:r>
      <w:r>
        <w:rPr>
          <w:rFonts w:hint="default"/>
        </w:rPr>
        <w:t>、</w:t>
      </w:r>
      <w:r>
        <w:rPr>
          <w:rFonts w:hint="default"/>
        </w:rPr>
        <w:t>柯坪河大桥断面</w:t>
      </w:r>
    </w:p>
    <w:p w:rsidR="00A46452" w:rsidRDefault="009A3928" w:rsidP="00182EED">
      <w:pPr>
        <w:pStyle w:val="0A"/>
        <w:shd w:val="clear" w:color="auto" w:fill="FFFFFF" w:themeFill="background1"/>
        <w:spacing w:line="360" w:lineRule="auto"/>
        <w:rPr>
          <w:rFonts w:hint="default"/>
        </w:rPr>
      </w:pPr>
      <w:r>
        <w:rPr>
          <w:rFonts w:hint="default"/>
        </w:rPr>
        <w:t>3</w:t>
      </w:r>
      <w:r>
        <w:rPr>
          <w:rFonts w:hint="default"/>
        </w:rPr>
        <w:t>）监测频次</w:t>
      </w:r>
    </w:p>
    <w:p w:rsidR="00A46452" w:rsidRDefault="009A3928" w:rsidP="00182EED">
      <w:pPr>
        <w:pStyle w:val="0A"/>
        <w:shd w:val="clear" w:color="auto" w:fill="FFFFFF" w:themeFill="background1"/>
        <w:spacing w:line="360" w:lineRule="auto"/>
        <w:rPr>
          <w:rFonts w:hint="default"/>
        </w:rPr>
      </w:pPr>
      <w:r>
        <w:rPr>
          <w:rFonts w:hint="default"/>
        </w:rPr>
        <w:t>施工期每年监测</w:t>
      </w:r>
      <w:r>
        <w:rPr>
          <w:rFonts w:hint="default"/>
        </w:rPr>
        <w:t>2</w:t>
      </w:r>
      <w:r>
        <w:rPr>
          <w:rFonts w:hint="default"/>
        </w:rPr>
        <w:t>次，</w:t>
      </w:r>
      <w:r>
        <w:rPr>
          <w:rFonts w:hint="default"/>
        </w:rPr>
        <w:t>3</w:t>
      </w:r>
      <w:r>
        <w:rPr>
          <w:rFonts w:hint="default"/>
        </w:rPr>
        <w:t>～</w:t>
      </w:r>
      <w:r>
        <w:rPr>
          <w:rFonts w:hint="default"/>
        </w:rPr>
        <w:t>6</w:t>
      </w:r>
      <w:r>
        <w:rPr>
          <w:rFonts w:hint="default"/>
        </w:rPr>
        <w:t>月、</w:t>
      </w:r>
      <w:r>
        <w:rPr>
          <w:rFonts w:hint="default"/>
        </w:rPr>
        <w:t>9</w:t>
      </w:r>
      <w:r>
        <w:rPr>
          <w:rFonts w:hint="default"/>
        </w:rPr>
        <w:t>～</w:t>
      </w:r>
      <w:r>
        <w:rPr>
          <w:rFonts w:hint="default"/>
        </w:rPr>
        <w:t>10</w:t>
      </w:r>
      <w:r>
        <w:rPr>
          <w:rFonts w:hint="default"/>
        </w:rPr>
        <w:t>月分别进行</w:t>
      </w:r>
      <w:r>
        <w:rPr>
          <w:rFonts w:hint="default"/>
        </w:rPr>
        <w:t>1</w:t>
      </w:r>
      <w:r>
        <w:rPr>
          <w:rFonts w:hint="default"/>
        </w:rPr>
        <w:t>次。</w:t>
      </w:r>
    </w:p>
    <w:p w:rsidR="00A46452" w:rsidRDefault="009A3928" w:rsidP="00182EED">
      <w:pPr>
        <w:pStyle w:val="0A"/>
        <w:shd w:val="clear" w:color="auto" w:fill="FFFFFF" w:themeFill="background1"/>
        <w:spacing w:line="360" w:lineRule="auto"/>
        <w:rPr>
          <w:rFonts w:hint="default"/>
        </w:rPr>
      </w:pPr>
      <w:r>
        <w:rPr>
          <w:rFonts w:hint="default"/>
        </w:rPr>
        <w:t>4</w:t>
      </w:r>
      <w:r>
        <w:rPr>
          <w:rFonts w:hint="default"/>
        </w:rPr>
        <w:t>）监测要求</w:t>
      </w:r>
    </w:p>
    <w:p w:rsidR="00A46452" w:rsidRDefault="009A3928" w:rsidP="00182EED">
      <w:pPr>
        <w:pStyle w:val="0A"/>
        <w:shd w:val="clear" w:color="auto" w:fill="FFFFFF" w:themeFill="background1"/>
        <w:spacing w:line="360" w:lineRule="auto"/>
        <w:rPr>
          <w:rFonts w:hint="default"/>
        </w:rPr>
      </w:pPr>
      <w:r>
        <w:rPr>
          <w:rFonts w:hint="default"/>
        </w:rPr>
        <w:t>监测要求：详细记录每次采样的时间、水生生物和鱼类种类、数量、优势种，并定期分析变化趋势。</w:t>
      </w:r>
    </w:p>
    <w:p w:rsidR="00A46452" w:rsidRDefault="009A3928" w:rsidP="00182EED">
      <w:pPr>
        <w:pStyle w:val="42"/>
        <w:keepNext w:val="0"/>
        <w:keepLines w:val="0"/>
        <w:wordWrap w:val="0"/>
        <w:topLinePunct/>
        <w:adjustRightInd w:val="0"/>
        <w:snapToGrid w:val="0"/>
        <w:spacing w:beforeLines="50" w:before="165" w:afterLines="50" w:after="165" w:line="240" w:lineRule="auto"/>
        <w:rPr>
          <w:rFonts w:cs="Times New Roman" w:hint="default"/>
          <w:iCs/>
        </w:rPr>
      </w:pPr>
      <w:r>
        <w:rPr>
          <w:rFonts w:cs="Times New Roman" w:hint="default"/>
          <w:iCs/>
        </w:rPr>
        <w:t>10.2.3.1</w:t>
      </w:r>
      <w:r>
        <w:rPr>
          <w:rFonts w:cs="Times New Roman" w:hint="default"/>
          <w:iCs/>
        </w:rPr>
        <w:t>运行期环境监测计划</w:t>
      </w:r>
    </w:p>
    <w:p w:rsidR="00A46452" w:rsidRDefault="009A3928" w:rsidP="00182EED">
      <w:pPr>
        <w:pStyle w:val="0A"/>
        <w:wordWrap w:val="0"/>
        <w:topLinePunct/>
        <w:spacing w:line="360" w:lineRule="auto"/>
        <w:ind w:firstLine="482"/>
        <w:rPr>
          <w:rFonts w:hint="default"/>
          <w:b/>
          <w:bCs/>
          <w:lang w:val="zh-CN"/>
        </w:rPr>
      </w:pPr>
      <w:r>
        <w:rPr>
          <w:rFonts w:hint="default"/>
          <w:b/>
          <w:bCs/>
        </w:rPr>
        <w:t>1</w:t>
      </w:r>
      <w:r>
        <w:rPr>
          <w:rFonts w:hint="default"/>
          <w:b/>
          <w:bCs/>
        </w:rPr>
        <w:t>、</w:t>
      </w:r>
      <w:r>
        <w:rPr>
          <w:rFonts w:hint="default"/>
          <w:b/>
          <w:bCs/>
        </w:rPr>
        <w:t>废水</w:t>
      </w:r>
      <w:r>
        <w:rPr>
          <w:rFonts w:hint="default"/>
          <w:b/>
          <w:bCs/>
          <w:lang w:val="zh-CN"/>
        </w:rPr>
        <w:t>（污水）监测</w:t>
      </w:r>
    </w:p>
    <w:p w:rsidR="00A46452" w:rsidRDefault="009A3928">
      <w:pPr>
        <w:pStyle w:val="0A"/>
        <w:wordWrap w:val="0"/>
        <w:topLinePunct/>
        <w:spacing w:line="360" w:lineRule="auto"/>
        <w:rPr>
          <w:rFonts w:hint="default"/>
        </w:rPr>
      </w:pPr>
      <w:r>
        <w:rPr>
          <w:rFonts w:hint="default"/>
        </w:rPr>
        <w:t>（</w:t>
      </w:r>
      <w:r>
        <w:rPr>
          <w:rFonts w:hint="default"/>
        </w:rPr>
        <w:t>1</w:t>
      </w:r>
      <w:r>
        <w:rPr>
          <w:rFonts w:hint="default"/>
        </w:rPr>
        <w:t>）监测目的</w:t>
      </w:r>
    </w:p>
    <w:p w:rsidR="00A46452" w:rsidRDefault="009A3928">
      <w:pPr>
        <w:pStyle w:val="0A"/>
        <w:wordWrap w:val="0"/>
        <w:topLinePunct/>
        <w:spacing w:line="360" w:lineRule="auto"/>
        <w:rPr>
          <w:rFonts w:hint="default"/>
        </w:rPr>
      </w:pPr>
      <w:r>
        <w:rPr>
          <w:rFonts w:hint="default"/>
        </w:rPr>
        <w:t>了解工程施工期水污染源强和污废水处理设施的效果。</w:t>
      </w:r>
    </w:p>
    <w:p w:rsidR="00A46452" w:rsidRDefault="009A3928">
      <w:pPr>
        <w:pStyle w:val="0A"/>
        <w:wordWrap w:val="0"/>
        <w:topLinePunct/>
        <w:spacing w:line="360" w:lineRule="auto"/>
        <w:rPr>
          <w:rFonts w:hint="default"/>
        </w:rPr>
      </w:pPr>
      <w:r>
        <w:rPr>
          <w:rFonts w:hint="default"/>
        </w:rPr>
        <w:t>（</w:t>
      </w:r>
      <w:r>
        <w:rPr>
          <w:rFonts w:hint="default"/>
        </w:rPr>
        <w:t>2</w:t>
      </w:r>
      <w:r>
        <w:rPr>
          <w:rFonts w:hint="default"/>
        </w:rPr>
        <w:t>）监测断面、因子、频率及时间</w:t>
      </w:r>
    </w:p>
    <w:p w:rsidR="00A46452" w:rsidRDefault="009A3928">
      <w:pPr>
        <w:pStyle w:val="0A"/>
        <w:wordWrap w:val="0"/>
        <w:topLinePunct/>
        <w:spacing w:line="360" w:lineRule="auto"/>
        <w:rPr>
          <w:rFonts w:hint="default"/>
        </w:rPr>
      </w:pPr>
      <w:r>
        <w:rPr>
          <w:rFonts w:hint="default"/>
        </w:rPr>
        <w:t>结合主体工程布置，</w:t>
      </w:r>
      <w:r>
        <w:rPr>
          <w:rFonts w:hint="default"/>
        </w:rPr>
        <w:t>运行</w:t>
      </w:r>
      <w:r>
        <w:rPr>
          <w:rFonts w:hint="default"/>
        </w:rPr>
        <w:t>期</w:t>
      </w:r>
      <w:r>
        <w:rPr>
          <w:rFonts w:hint="default"/>
        </w:rPr>
        <w:t>服务区</w:t>
      </w:r>
      <w:r>
        <w:rPr>
          <w:rFonts w:hint="default"/>
        </w:rPr>
        <w:t>废水监测点</w:t>
      </w:r>
      <w:r>
        <w:rPr>
          <w:rFonts w:hint="default"/>
        </w:rPr>
        <w:t>1</w:t>
      </w:r>
      <w:r>
        <w:rPr>
          <w:rFonts w:hint="default"/>
        </w:rPr>
        <w:t>个，主要为施工废（污）水监测。水质监测断面、参数、频率及时间见表</w:t>
      </w:r>
      <w:r>
        <w:t>10</w:t>
      </w:r>
      <w:r>
        <w:rPr>
          <w:rFonts w:hint="default"/>
        </w:rPr>
        <w:t>.</w:t>
      </w:r>
      <w:r>
        <w:rPr>
          <w:rFonts w:hint="default"/>
        </w:rPr>
        <w:t>2-4</w:t>
      </w:r>
      <w:r>
        <w:rPr>
          <w:rFonts w:hint="default"/>
        </w:rPr>
        <w:t>。</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 xml:space="preserve">.2-4                  </w:t>
      </w:r>
      <w:r>
        <w:rPr>
          <w:rFonts w:eastAsia="黑体" w:cs="Times New Roman" w:hint="default"/>
        </w:rPr>
        <w:t>施工废（污）水监测技术要求一览表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78"/>
        <w:gridCol w:w="1773"/>
        <w:gridCol w:w="2603"/>
        <w:gridCol w:w="1616"/>
        <w:gridCol w:w="1835"/>
      </w:tblGrid>
      <w:tr w:rsidR="00A46452">
        <w:trPr>
          <w:trHeight w:val="214"/>
          <w:jc w:val="center"/>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序号</w:t>
            </w:r>
          </w:p>
        </w:tc>
        <w:tc>
          <w:tcPr>
            <w:tcW w:w="1042"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监测点</w:t>
            </w:r>
          </w:p>
        </w:tc>
        <w:tc>
          <w:tcPr>
            <w:tcW w:w="1529"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监测点位</w:t>
            </w:r>
          </w:p>
        </w:tc>
        <w:tc>
          <w:tcPr>
            <w:tcW w:w="950"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监测内容</w:t>
            </w:r>
          </w:p>
        </w:tc>
        <w:tc>
          <w:tcPr>
            <w:tcW w:w="1079"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监测时间与频率</w:t>
            </w:r>
          </w:p>
        </w:tc>
      </w:tr>
      <w:tr w:rsidR="00A46452">
        <w:trPr>
          <w:trHeight w:val="350"/>
          <w:jc w:val="center"/>
        </w:trPr>
        <w:tc>
          <w:tcPr>
            <w:tcW w:w="398"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1</w:t>
            </w:r>
          </w:p>
        </w:tc>
        <w:tc>
          <w:tcPr>
            <w:tcW w:w="1042"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bCs/>
                <w:sz w:val="18"/>
                <w:szCs w:val="18"/>
              </w:rPr>
              <w:t>服务区一体化污水处理设施进、出水口</w:t>
            </w:r>
          </w:p>
        </w:tc>
        <w:tc>
          <w:tcPr>
            <w:tcW w:w="1529" w:type="pct"/>
            <w:tcBorders>
              <w:tl2br w:val="nil"/>
              <w:tr2bl w:val="nil"/>
            </w:tcBorders>
            <w:vAlign w:val="center"/>
          </w:tcPr>
          <w:p w:rsidR="00A46452" w:rsidRDefault="009A3928">
            <w:pPr>
              <w:wordWrap w:val="0"/>
              <w:topLinePunct/>
              <w:spacing w:line="240" w:lineRule="exact"/>
              <w:ind w:firstLineChars="0" w:firstLine="0"/>
              <w:jc w:val="center"/>
              <w:rPr>
                <w:rFonts w:cs="Times New Roman"/>
                <w:sz w:val="18"/>
                <w:szCs w:val="18"/>
              </w:rPr>
            </w:pPr>
            <w:r>
              <w:rPr>
                <w:rFonts w:cs="Times New Roman"/>
                <w:sz w:val="18"/>
                <w:szCs w:val="18"/>
              </w:rPr>
              <w:t>在</w:t>
            </w:r>
            <w:r>
              <w:rPr>
                <w:rFonts w:cs="Times New Roman"/>
                <w:sz w:val="18"/>
                <w:szCs w:val="18"/>
              </w:rPr>
              <w:t>K31+900~K32+100</w:t>
            </w:r>
            <w:r>
              <w:rPr>
                <w:rFonts w:cs="Times New Roman"/>
                <w:sz w:val="18"/>
                <w:szCs w:val="18"/>
              </w:rPr>
              <w:t>服务区</w:t>
            </w:r>
          </w:p>
        </w:tc>
        <w:tc>
          <w:tcPr>
            <w:tcW w:w="950"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bCs/>
                <w:sz w:val="18"/>
                <w:szCs w:val="18"/>
              </w:rPr>
              <w:t>pH</w:t>
            </w:r>
            <w:r>
              <w:rPr>
                <w:rFonts w:cs="Times New Roman"/>
                <w:bCs/>
                <w:sz w:val="18"/>
                <w:szCs w:val="18"/>
              </w:rPr>
              <w:t>、</w:t>
            </w:r>
            <w:r>
              <w:rPr>
                <w:rFonts w:cs="Times New Roman"/>
                <w:bCs/>
                <w:sz w:val="18"/>
                <w:szCs w:val="18"/>
              </w:rPr>
              <w:t>COD</w:t>
            </w:r>
            <w:r>
              <w:rPr>
                <w:rFonts w:cs="Times New Roman"/>
                <w:bCs/>
                <w:sz w:val="18"/>
                <w:szCs w:val="18"/>
              </w:rPr>
              <w:t>、</w:t>
            </w:r>
            <w:r>
              <w:rPr>
                <w:rFonts w:cs="Times New Roman"/>
                <w:bCs/>
                <w:sz w:val="18"/>
                <w:szCs w:val="18"/>
              </w:rPr>
              <w:t>BOD</w:t>
            </w:r>
            <w:r>
              <w:rPr>
                <w:rFonts w:cs="Times New Roman"/>
                <w:bCs/>
                <w:sz w:val="18"/>
                <w:szCs w:val="18"/>
                <w:vertAlign w:val="subscript"/>
              </w:rPr>
              <w:t>5</w:t>
            </w:r>
            <w:r>
              <w:rPr>
                <w:rFonts w:cs="Times New Roman"/>
                <w:bCs/>
                <w:sz w:val="18"/>
                <w:szCs w:val="18"/>
              </w:rPr>
              <w:t>、</w:t>
            </w:r>
            <w:r>
              <w:rPr>
                <w:rFonts w:cs="Times New Roman"/>
                <w:bCs/>
                <w:sz w:val="18"/>
                <w:szCs w:val="18"/>
              </w:rPr>
              <w:t>SS</w:t>
            </w:r>
            <w:r>
              <w:rPr>
                <w:rFonts w:cs="Times New Roman"/>
                <w:bCs/>
                <w:sz w:val="18"/>
                <w:szCs w:val="18"/>
              </w:rPr>
              <w:t>、石油类</w:t>
            </w:r>
          </w:p>
        </w:tc>
        <w:tc>
          <w:tcPr>
            <w:tcW w:w="1079" w:type="pct"/>
            <w:tcBorders>
              <w:tl2br w:val="nil"/>
              <w:tr2bl w:val="nil"/>
            </w:tcBorders>
            <w:vAlign w:val="center"/>
          </w:tcPr>
          <w:p w:rsidR="00A46452" w:rsidRDefault="009A3928">
            <w:pPr>
              <w:wordWrap w:val="0"/>
              <w:topLinePunct/>
              <w:spacing w:line="240" w:lineRule="exact"/>
              <w:ind w:firstLineChars="0" w:firstLine="0"/>
              <w:rPr>
                <w:rFonts w:cs="Times New Roman"/>
                <w:sz w:val="18"/>
                <w:szCs w:val="18"/>
              </w:rPr>
            </w:pPr>
            <w:r>
              <w:rPr>
                <w:rFonts w:cs="Times New Roman"/>
                <w:sz w:val="18"/>
                <w:szCs w:val="18"/>
              </w:rPr>
              <w:t>监测频率为</w:t>
            </w:r>
            <w:r>
              <w:rPr>
                <w:rFonts w:cs="Times New Roman"/>
                <w:sz w:val="18"/>
                <w:szCs w:val="18"/>
              </w:rPr>
              <w:t>运行</w:t>
            </w:r>
            <w:r>
              <w:rPr>
                <w:rFonts w:cs="Times New Roman"/>
                <w:sz w:val="18"/>
                <w:szCs w:val="18"/>
              </w:rPr>
              <w:t>期每</w:t>
            </w:r>
            <w:r>
              <w:rPr>
                <w:rFonts w:cs="Times New Roman"/>
                <w:sz w:val="18"/>
                <w:szCs w:val="18"/>
              </w:rPr>
              <w:t>年</w:t>
            </w:r>
            <w:r>
              <w:rPr>
                <w:rFonts w:cs="Times New Roman"/>
                <w:sz w:val="18"/>
                <w:szCs w:val="18"/>
              </w:rPr>
              <w:t>监测</w:t>
            </w:r>
            <w:r>
              <w:rPr>
                <w:rFonts w:cs="Times New Roman"/>
                <w:sz w:val="18"/>
                <w:szCs w:val="18"/>
              </w:rPr>
              <w:t>1</w:t>
            </w:r>
            <w:r>
              <w:rPr>
                <w:rFonts w:cs="Times New Roman"/>
                <w:sz w:val="18"/>
                <w:szCs w:val="18"/>
              </w:rPr>
              <w:t>次</w:t>
            </w:r>
            <w:r>
              <w:rPr>
                <w:rFonts w:cs="Times New Roman"/>
                <w:sz w:val="18"/>
                <w:szCs w:val="18"/>
              </w:rPr>
              <w:t>，</w:t>
            </w:r>
            <w:r>
              <w:rPr>
                <w:rFonts w:cs="Times New Roman"/>
                <w:sz w:val="18"/>
                <w:szCs w:val="18"/>
              </w:rPr>
              <w:t>3d/</w:t>
            </w:r>
            <w:r>
              <w:rPr>
                <w:rFonts w:cs="Times New Roman"/>
                <w:sz w:val="18"/>
                <w:szCs w:val="18"/>
              </w:rPr>
              <w:t>次。</w:t>
            </w:r>
          </w:p>
        </w:tc>
      </w:tr>
    </w:tbl>
    <w:p w:rsidR="00A46452" w:rsidRDefault="009A3928" w:rsidP="00182EED">
      <w:pPr>
        <w:pStyle w:val="0A"/>
        <w:wordWrap w:val="0"/>
        <w:topLinePunct/>
        <w:spacing w:line="360" w:lineRule="auto"/>
        <w:rPr>
          <w:rFonts w:hint="default"/>
          <w:bCs/>
        </w:rPr>
      </w:pPr>
      <w:r>
        <w:rPr>
          <w:rFonts w:hint="default"/>
          <w:bCs/>
        </w:rPr>
        <w:t>（</w:t>
      </w:r>
      <w:r>
        <w:rPr>
          <w:rFonts w:hint="default"/>
          <w:bCs/>
        </w:rPr>
        <w:t>3</w:t>
      </w:r>
      <w:r>
        <w:rPr>
          <w:rFonts w:hint="default"/>
          <w:bCs/>
        </w:rPr>
        <w:t>）监测方法及标准</w:t>
      </w:r>
    </w:p>
    <w:p w:rsidR="00A46452" w:rsidRDefault="009A3928">
      <w:pPr>
        <w:pStyle w:val="0A"/>
        <w:wordWrap w:val="0"/>
        <w:topLinePunct/>
        <w:spacing w:line="360" w:lineRule="auto"/>
        <w:rPr>
          <w:rFonts w:hint="default"/>
        </w:rPr>
      </w:pPr>
      <w:r>
        <w:rPr>
          <w:rFonts w:hint="default"/>
        </w:rPr>
        <w:t>水样采集按照《污水监测技术规范》（</w:t>
      </w:r>
      <w:r>
        <w:rPr>
          <w:rFonts w:hint="default"/>
        </w:rPr>
        <w:t>HJ91.1-2019</w:t>
      </w:r>
      <w:r>
        <w:rPr>
          <w:rFonts w:hint="default"/>
        </w:rPr>
        <w:t>）规定执行，废污水排放执行新疆维吾尔自治区地方标准《农村生活污水处理排放标准》（</w:t>
      </w:r>
      <w:r>
        <w:rPr>
          <w:rFonts w:hint="default"/>
        </w:rPr>
        <w:t>DB654275-2019</w:t>
      </w:r>
      <w:r>
        <w:rPr>
          <w:rFonts w:hint="default"/>
        </w:rPr>
        <w:t>）表</w:t>
      </w:r>
      <w:r>
        <w:rPr>
          <w:rFonts w:hint="default"/>
        </w:rPr>
        <w:t>2</w:t>
      </w:r>
      <w:r>
        <w:rPr>
          <w:rFonts w:hint="default"/>
        </w:rPr>
        <w:t>中</w:t>
      </w:r>
      <w:r>
        <w:rPr>
          <w:rFonts w:hint="default"/>
        </w:rPr>
        <w:t>A</w:t>
      </w:r>
      <w:r>
        <w:rPr>
          <w:rFonts w:hint="default"/>
        </w:rPr>
        <w:t>级限值。</w:t>
      </w:r>
    </w:p>
    <w:p w:rsidR="00A46452" w:rsidRDefault="009A3928">
      <w:pPr>
        <w:tabs>
          <w:tab w:val="left" w:pos="2951"/>
        </w:tabs>
        <w:wordWrap w:val="0"/>
        <w:topLinePunct/>
        <w:ind w:firstLine="482"/>
        <w:rPr>
          <w:rFonts w:cs="Times New Roman"/>
          <w:b/>
          <w:bCs/>
          <w:szCs w:val="24"/>
        </w:rPr>
      </w:pPr>
      <w:r>
        <w:rPr>
          <w:rFonts w:cs="Times New Roman"/>
          <w:b/>
          <w:bCs/>
          <w:szCs w:val="24"/>
        </w:rPr>
        <w:t>2</w:t>
      </w:r>
      <w:r>
        <w:rPr>
          <w:rFonts w:cs="Times New Roman"/>
          <w:b/>
          <w:bCs/>
          <w:szCs w:val="24"/>
        </w:rPr>
        <w:t>、</w:t>
      </w:r>
      <w:r>
        <w:rPr>
          <w:rFonts w:cs="Times New Roman"/>
          <w:b/>
          <w:bCs/>
          <w:szCs w:val="24"/>
        </w:rPr>
        <w:t>河流水质监测</w:t>
      </w:r>
    </w:p>
    <w:p w:rsidR="00A46452" w:rsidRDefault="009A3928">
      <w:pPr>
        <w:tabs>
          <w:tab w:val="left" w:pos="2951"/>
        </w:tabs>
        <w:wordWrap w:val="0"/>
        <w:topLinePunct/>
        <w:ind w:firstLine="480"/>
        <w:rPr>
          <w:rFonts w:cs="Times New Roman"/>
          <w:szCs w:val="24"/>
        </w:rPr>
      </w:pPr>
      <w:r>
        <w:rPr>
          <w:rFonts w:cs="Times New Roman"/>
          <w:szCs w:val="24"/>
        </w:rPr>
        <w:t>（</w:t>
      </w:r>
      <w:r>
        <w:rPr>
          <w:rFonts w:cs="Times New Roman"/>
          <w:szCs w:val="24"/>
        </w:rPr>
        <w:t>1</w:t>
      </w:r>
      <w:r>
        <w:rPr>
          <w:rFonts w:cs="Times New Roman"/>
          <w:szCs w:val="24"/>
        </w:rPr>
        <w:t>）</w:t>
      </w:r>
      <w:r>
        <w:rPr>
          <w:rFonts w:cs="Times New Roman"/>
          <w:szCs w:val="24"/>
        </w:rPr>
        <w:t>监测点布设：为了解工程施工对河流水质的影响，</w:t>
      </w:r>
      <w:r>
        <w:rPr>
          <w:rFonts w:cs="Times New Roman"/>
          <w:kern w:val="0"/>
          <w:szCs w:val="24"/>
          <w:lang w:bidi="ar"/>
        </w:rPr>
        <w:t>五十团四干渠</w:t>
      </w:r>
      <w:r>
        <w:rPr>
          <w:rFonts w:cs="Times New Roman"/>
          <w:szCs w:val="24"/>
        </w:rPr>
        <w:t>、</w:t>
      </w:r>
      <w:r>
        <w:rPr>
          <w:rFonts w:cs="Times New Roman"/>
          <w:kern w:val="0"/>
          <w:szCs w:val="24"/>
          <w:lang w:bidi="ar"/>
        </w:rPr>
        <w:t>突来买提河</w:t>
      </w:r>
      <w:r>
        <w:rPr>
          <w:rFonts w:cs="Times New Roman"/>
          <w:szCs w:val="24"/>
        </w:rPr>
        <w:t>、</w:t>
      </w:r>
      <w:r>
        <w:rPr>
          <w:rFonts w:cs="Times New Roman"/>
          <w:kern w:val="0"/>
          <w:szCs w:val="24"/>
          <w:lang w:bidi="ar"/>
        </w:rPr>
        <w:t>六支干渠</w:t>
      </w:r>
      <w:r>
        <w:rPr>
          <w:rFonts w:cs="Times New Roman"/>
          <w:szCs w:val="24"/>
        </w:rPr>
        <w:t>、</w:t>
      </w:r>
      <w:r>
        <w:rPr>
          <w:rFonts w:cs="Times New Roman"/>
          <w:kern w:val="0"/>
          <w:szCs w:val="24"/>
          <w:lang w:bidi="ar"/>
        </w:rPr>
        <w:t>喀什噶尔河</w:t>
      </w:r>
      <w:r>
        <w:rPr>
          <w:rFonts w:cs="Times New Roman"/>
          <w:szCs w:val="24"/>
        </w:rPr>
        <w:t>、</w:t>
      </w:r>
      <w:r>
        <w:rPr>
          <w:rFonts w:cs="Times New Roman"/>
          <w:kern w:val="0"/>
          <w:szCs w:val="24"/>
          <w:lang w:bidi="ar"/>
        </w:rPr>
        <w:t>阿恰干渠二号</w:t>
      </w:r>
      <w:r>
        <w:rPr>
          <w:rFonts w:cs="Times New Roman"/>
          <w:szCs w:val="24"/>
        </w:rPr>
        <w:t>桥梁穿越</w:t>
      </w:r>
      <w:r>
        <w:rPr>
          <w:rFonts w:cs="Times New Roman"/>
          <w:szCs w:val="24"/>
        </w:rPr>
        <w:t>断面分别布设</w:t>
      </w:r>
      <w:r>
        <w:rPr>
          <w:rFonts w:cs="Times New Roman"/>
          <w:szCs w:val="24"/>
        </w:rPr>
        <w:t>1</w:t>
      </w:r>
      <w:r>
        <w:rPr>
          <w:rFonts w:cs="Times New Roman"/>
          <w:szCs w:val="24"/>
        </w:rPr>
        <w:t>个监测断面，对水质进行监测。</w:t>
      </w:r>
    </w:p>
    <w:p w:rsidR="00A46452" w:rsidRDefault="009A3928">
      <w:pPr>
        <w:tabs>
          <w:tab w:val="left" w:pos="2951"/>
        </w:tabs>
        <w:wordWrap w:val="0"/>
        <w:topLinePunct/>
        <w:ind w:firstLine="480"/>
        <w:rPr>
          <w:rFonts w:cs="Times New Roman"/>
          <w:szCs w:val="24"/>
        </w:rPr>
      </w:pPr>
      <w:r>
        <w:rPr>
          <w:rFonts w:cs="Times New Roman"/>
          <w:szCs w:val="24"/>
        </w:rPr>
        <w:t>（</w:t>
      </w:r>
      <w:r>
        <w:rPr>
          <w:rFonts w:cs="Times New Roman"/>
          <w:szCs w:val="24"/>
        </w:rPr>
        <w:t>2</w:t>
      </w:r>
      <w:r>
        <w:rPr>
          <w:rFonts w:cs="Times New Roman"/>
          <w:szCs w:val="24"/>
        </w:rPr>
        <w:t>）</w:t>
      </w:r>
      <w:r>
        <w:rPr>
          <w:rFonts w:cs="Times New Roman"/>
          <w:szCs w:val="24"/>
        </w:rPr>
        <w:t>监测技术要求：地表水监测项目、监测周期、监测时段及频次见表</w:t>
      </w:r>
      <w:r>
        <w:rPr>
          <w:rFonts w:cs="Times New Roman"/>
          <w:szCs w:val="24"/>
        </w:rPr>
        <w:t>8.2-5</w:t>
      </w:r>
      <w:r>
        <w:rPr>
          <w:rFonts w:cs="Times New Roman"/>
          <w:szCs w:val="24"/>
        </w:rPr>
        <w:t>。</w:t>
      </w:r>
    </w:p>
    <w:p w:rsidR="00A46452" w:rsidRDefault="009A3928">
      <w:pPr>
        <w:tabs>
          <w:tab w:val="left" w:pos="2951"/>
        </w:tabs>
        <w:wordWrap w:val="0"/>
        <w:topLinePunct/>
        <w:ind w:firstLine="480"/>
        <w:rPr>
          <w:rFonts w:cs="Times New Roman"/>
          <w:szCs w:val="24"/>
        </w:rPr>
      </w:pPr>
      <w:r>
        <w:rPr>
          <w:rFonts w:cs="Times New Roman"/>
          <w:szCs w:val="24"/>
        </w:rPr>
        <w:t>（</w:t>
      </w:r>
      <w:r>
        <w:rPr>
          <w:rFonts w:cs="Times New Roman"/>
          <w:szCs w:val="24"/>
        </w:rPr>
        <w:t>3</w:t>
      </w:r>
      <w:r>
        <w:rPr>
          <w:rFonts w:cs="Times New Roman"/>
          <w:szCs w:val="24"/>
        </w:rPr>
        <w:t>）</w:t>
      </w:r>
      <w:r>
        <w:rPr>
          <w:rFonts w:cs="Times New Roman"/>
          <w:szCs w:val="24"/>
        </w:rPr>
        <w:t>监测方法：水样采集按照《环境监测技术规范》的规定方法执行，样品分析按照《地表水环境质量标准》</w:t>
      </w:r>
      <w:r>
        <w:rPr>
          <w:rFonts w:cs="Times New Roman"/>
          <w:szCs w:val="24"/>
        </w:rPr>
        <w:t>(GB3838-2002)</w:t>
      </w:r>
      <w:r>
        <w:rPr>
          <w:rFonts w:cs="Times New Roman"/>
          <w:szCs w:val="24"/>
        </w:rPr>
        <w:t>规定及《环境监测技术规范》的选配方法执行。</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 xml:space="preserve">.2-5              </w:t>
      </w:r>
      <w:r>
        <w:rPr>
          <w:rFonts w:eastAsia="黑体" w:cs="Times New Roman" w:hint="default"/>
        </w:rPr>
        <w:t>运行期河流水质监测技术要求一览表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5"/>
        <w:gridCol w:w="2280"/>
        <w:gridCol w:w="2638"/>
        <w:gridCol w:w="2589"/>
      </w:tblGrid>
      <w:tr w:rsidR="00A46452">
        <w:trPr>
          <w:trHeight w:hRule="exact" w:val="620"/>
        </w:trPr>
        <w:tc>
          <w:tcPr>
            <w:tcW w:w="1005" w:type="dxa"/>
            <w:tcBorders>
              <w:tl2br w:val="nil"/>
              <w:tr2bl w:val="nil"/>
            </w:tcBorders>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监测点位编号</w:t>
            </w:r>
          </w:p>
        </w:tc>
        <w:tc>
          <w:tcPr>
            <w:tcW w:w="2280" w:type="dxa"/>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敏感点</w:t>
            </w:r>
            <w:r>
              <w:rPr>
                <w:rFonts w:cs="Times New Roman"/>
                <w:sz w:val="18"/>
                <w:szCs w:val="18"/>
              </w:rPr>
              <w:t>位置</w:t>
            </w:r>
          </w:p>
        </w:tc>
        <w:tc>
          <w:tcPr>
            <w:tcW w:w="2638" w:type="dxa"/>
            <w:tcBorders>
              <w:tl2br w:val="nil"/>
              <w:tr2bl w:val="nil"/>
            </w:tcBorders>
            <w:vAlign w:val="center"/>
          </w:tcPr>
          <w:p w:rsidR="00A46452" w:rsidRDefault="009A3928">
            <w:pPr>
              <w:pStyle w:val="TableParagraph"/>
              <w:wordWrap w:val="0"/>
              <w:topLinePunct/>
              <w:adjustRightInd w:val="0"/>
              <w:snapToGrid w:val="0"/>
              <w:spacing w:line="240" w:lineRule="auto"/>
              <w:ind w:firstLineChars="0" w:firstLine="0"/>
              <w:jc w:val="center"/>
              <w:rPr>
                <w:rFonts w:cs="Times New Roman"/>
                <w:sz w:val="18"/>
                <w:szCs w:val="18"/>
              </w:rPr>
            </w:pPr>
            <w:r>
              <w:rPr>
                <w:rFonts w:cs="Times New Roman"/>
                <w:sz w:val="18"/>
                <w:szCs w:val="18"/>
              </w:rPr>
              <w:t>监测项目</w:t>
            </w:r>
          </w:p>
        </w:tc>
        <w:tc>
          <w:tcPr>
            <w:tcW w:w="2589"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监测频次</w:t>
            </w:r>
          </w:p>
        </w:tc>
      </w:tr>
      <w:tr w:rsidR="00A46452">
        <w:trPr>
          <w:trHeight w:hRule="exact" w:val="340"/>
        </w:trPr>
        <w:tc>
          <w:tcPr>
            <w:tcW w:w="1005" w:type="dxa"/>
            <w:tcBorders>
              <w:tl2br w:val="nil"/>
              <w:tr2bl w:val="nil"/>
            </w:tcBorders>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HS-1</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五十团四干渠</w:t>
            </w:r>
          </w:p>
        </w:tc>
        <w:tc>
          <w:tcPr>
            <w:tcW w:w="2638" w:type="dxa"/>
            <w:vMerge w:val="restart"/>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sz w:val="18"/>
                <w:szCs w:val="18"/>
              </w:rPr>
              <w:t>水温、</w:t>
            </w:r>
            <w:r>
              <w:rPr>
                <w:rFonts w:cs="Times New Roman"/>
                <w:sz w:val="18"/>
                <w:szCs w:val="18"/>
              </w:rPr>
              <w:t>pH</w:t>
            </w:r>
            <w:r>
              <w:rPr>
                <w:rFonts w:cs="Times New Roman"/>
                <w:sz w:val="18"/>
                <w:szCs w:val="18"/>
              </w:rPr>
              <w:t>、溶解氧、高锰酸盐指数、化学需氧量、五日生化需氧量、氨氮、总氮、总磷、铜、锌、氟化物、砷、硒、汞、镉、铅、氰化物、六价铬、硫化物、石油类，共</w:t>
            </w:r>
            <w:r>
              <w:rPr>
                <w:rFonts w:cs="Times New Roman"/>
                <w:sz w:val="18"/>
                <w:szCs w:val="18"/>
              </w:rPr>
              <w:t>20</w:t>
            </w:r>
            <w:r>
              <w:rPr>
                <w:rFonts w:cs="Times New Roman"/>
                <w:sz w:val="18"/>
                <w:szCs w:val="18"/>
              </w:rPr>
              <w:t>项。</w:t>
            </w:r>
          </w:p>
        </w:tc>
        <w:tc>
          <w:tcPr>
            <w:tcW w:w="2589" w:type="dxa"/>
            <w:vMerge w:val="restart"/>
            <w:tcBorders>
              <w:tl2br w:val="nil"/>
              <w:tr2bl w:val="nil"/>
            </w:tcBorders>
            <w:shd w:val="clear" w:color="auto" w:fill="auto"/>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1</w:t>
            </w:r>
            <w:r>
              <w:rPr>
                <w:rFonts w:cs="Times New Roman"/>
                <w:sz w:val="18"/>
                <w:szCs w:val="18"/>
              </w:rPr>
              <w:t>次</w:t>
            </w:r>
            <w:r>
              <w:rPr>
                <w:rFonts w:cs="Times New Roman"/>
                <w:sz w:val="18"/>
                <w:szCs w:val="18"/>
              </w:rPr>
              <w:t>/</w:t>
            </w:r>
            <w:r>
              <w:rPr>
                <w:rFonts w:cs="Times New Roman"/>
                <w:sz w:val="18"/>
                <w:szCs w:val="18"/>
              </w:rPr>
              <w:t>年</w:t>
            </w:r>
            <w:r>
              <w:rPr>
                <w:rFonts w:cs="Times New Roman"/>
                <w:sz w:val="18"/>
                <w:szCs w:val="18"/>
              </w:rPr>
              <w:t>，</w:t>
            </w:r>
            <w:r>
              <w:rPr>
                <w:rFonts w:cs="Times New Roman"/>
                <w:sz w:val="18"/>
                <w:szCs w:val="18"/>
              </w:rPr>
              <w:t>1</w:t>
            </w:r>
            <w:r>
              <w:rPr>
                <w:rFonts w:cs="Times New Roman"/>
                <w:sz w:val="18"/>
                <w:szCs w:val="18"/>
              </w:rPr>
              <w:t>日</w:t>
            </w:r>
            <w:r>
              <w:rPr>
                <w:rFonts w:cs="Times New Roman"/>
                <w:sz w:val="18"/>
                <w:szCs w:val="18"/>
              </w:rPr>
              <w:t>/</w:t>
            </w:r>
            <w:r>
              <w:rPr>
                <w:rFonts w:cs="Times New Roman"/>
                <w:sz w:val="18"/>
                <w:szCs w:val="18"/>
              </w:rPr>
              <w:t>次</w:t>
            </w:r>
          </w:p>
        </w:tc>
      </w:tr>
      <w:tr w:rsidR="00A46452">
        <w:trPr>
          <w:trHeight w:hRule="exact" w:val="340"/>
        </w:trPr>
        <w:tc>
          <w:tcPr>
            <w:tcW w:w="1005" w:type="dxa"/>
            <w:tcBorders>
              <w:tl2br w:val="nil"/>
              <w:tr2bl w:val="nil"/>
            </w:tcBorders>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HS-2</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突来买提河</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r>
      <w:tr w:rsidR="00A46452">
        <w:trPr>
          <w:trHeight w:hRule="exact" w:val="341"/>
        </w:trPr>
        <w:tc>
          <w:tcPr>
            <w:tcW w:w="1005" w:type="dxa"/>
            <w:tcBorders>
              <w:tl2br w:val="nil"/>
              <w:tr2bl w:val="nil"/>
            </w:tcBorders>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HS-</w:t>
            </w:r>
            <w:r>
              <w:rPr>
                <w:rFonts w:cs="Times New Roman"/>
                <w:sz w:val="18"/>
                <w:szCs w:val="18"/>
              </w:rPr>
              <w:t>3</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六支干渠</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r>
      <w:tr w:rsidR="00A46452">
        <w:trPr>
          <w:trHeight w:hRule="exact" w:val="341"/>
        </w:trPr>
        <w:tc>
          <w:tcPr>
            <w:tcW w:w="1005"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textAlignment w:val="baseline"/>
              <w:rPr>
                <w:rFonts w:cs="Times New Roman"/>
                <w:kern w:val="0"/>
                <w:sz w:val="18"/>
                <w:szCs w:val="18"/>
                <w:lang w:bidi="ar"/>
              </w:rPr>
            </w:pPr>
            <w:r>
              <w:rPr>
                <w:rFonts w:cs="Times New Roman"/>
                <w:sz w:val="18"/>
                <w:szCs w:val="18"/>
              </w:rPr>
              <w:t>HS-</w:t>
            </w:r>
            <w:r>
              <w:rPr>
                <w:rFonts w:cs="Times New Roman"/>
                <w:sz w:val="18"/>
                <w:szCs w:val="18"/>
              </w:rPr>
              <w:t>4</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21"/>
              </w:rPr>
            </w:pPr>
            <w:r>
              <w:rPr>
                <w:rFonts w:cs="Times New Roman"/>
                <w:kern w:val="0"/>
                <w:sz w:val="18"/>
                <w:szCs w:val="18"/>
                <w:lang w:bidi="ar"/>
              </w:rPr>
              <w:t>喀什噶尔河</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21"/>
              </w:rPr>
            </w:pPr>
          </w:p>
        </w:tc>
      </w:tr>
      <w:tr w:rsidR="00A46452">
        <w:trPr>
          <w:trHeight w:hRule="exact" w:val="341"/>
        </w:trPr>
        <w:tc>
          <w:tcPr>
            <w:tcW w:w="1005"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textAlignment w:val="baseline"/>
              <w:rPr>
                <w:rFonts w:cs="Times New Roman"/>
                <w:sz w:val="18"/>
                <w:szCs w:val="18"/>
              </w:rPr>
            </w:pPr>
            <w:r>
              <w:rPr>
                <w:rFonts w:cs="Times New Roman"/>
                <w:sz w:val="18"/>
                <w:szCs w:val="18"/>
              </w:rPr>
              <w:t>HS-</w:t>
            </w:r>
            <w:r>
              <w:rPr>
                <w:rFonts w:cs="Times New Roman"/>
                <w:sz w:val="18"/>
                <w:szCs w:val="18"/>
              </w:rPr>
              <w:t>5</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阿恰干渠二号</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18"/>
                <w:szCs w:val="18"/>
                <w:lang w:bidi="ar"/>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18"/>
                <w:szCs w:val="18"/>
                <w:lang w:bidi="ar"/>
              </w:rPr>
            </w:pPr>
          </w:p>
        </w:tc>
      </w:tr>
      <w:tr w:rsidR="00A46452">
        <w:trPr>
          <w:trHeight w:hRule="exact" w:val="466"/>
        </w:trPr>
        <w:tc>
          <w:tcPr>
            <w:tcW w:w="1005"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textAlignment w:val="baseline"/>
              <w:rPr>
                <w:rFonts w:cs="Times New Roman"/>
                <w:kern w:val="0"/>
                <w:sz w:val="18"/>
                <w:szCs w:val="18"/>
                <w:lang w:bidi="ar"/>
              </w:rPr>
            </w:pPr>
            <w:r>
              <w:rPr>
                <w:rFonts w:cs="Times New Roman"/>
                <w:sz w:val="18"/>
                <w:szCs w:val="18"/>
              </w:rPr>
              <w:t>HS-</w:t>
            </w:r>
            <w:r>
              <w:rPr>
                <w:rFonts w:cs="Times New Roman"/>
                <w:sz w:val="18"/>
                <w:szCs w:val="18"/>
              </w:rPr>
              <w:t>6</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sz w:val="18"/>
                <w:szCs w:val="18"/>
              </w:rPr>
            </w:pPr>
            <w:r>
              <w:rPr>
                <w:rFonts w:cs="Times New Roman"/>
                <w:kern w:val="0"/>
                <w:sz w:val="18"/>
                <w:szCs w:val="18"/>
                <w:lang w:bidi="ar"/>
              </w:rPr>
              <w:t>苏贝希沟</w:t>
            </w:r>
            <w:r>
              <w:rPr>
                <w:rFonts w:cs="Times New Roman"/>
                <w:kern w:val="0"/>
                <w:sz w:val="18"/>
                <w:szCs w:val="18"/>
                <w:lang w:bidi="ar"/>
              </w:rPr>
              <w:t>-</w:t>
            </w:r>
            <w:r>
              <w:rPr>
                <w:rFonts w:cs="Times New Roman"/>
                <w:kern w:val="0"/>
                <w:sz w:val="18"/>
                <w:szCs w:val="18"/>
                <w:lang w:bidi="ar"/>
              </w:rPr>
              <w:t>加依洛萨依河</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 w:val="18"/>
                <w:szCs w:val="18"/>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sz w:val="18"/>
                <w:szCs w:val="18"/>
              </w:rPr>
            </w:pPr>
          </w:p>
        </w:tc>
      </w:tr>
      <w:tr w:rsidR="00A46452">
        <w:trPr>
          <w:trHeight w:hRule="exact" w:val="341"/>
        </w:trPr>
        <w:tc>
          <w:tcPr>
            <w:tcW w:w="1005" w:type="dxa"/>
            <w:tcBorders>
              <w:tl2br w:val="nil"/>
              <w:tr2bl w:val="nil"/>
            </w:tcBorders>
            <w:vAlign w:val="center"/>
          </w:tcPr>
          <w:p w:rsidR="00A46452" w:rsidRDefault="009A3928">
            <w:pPr>
              <w:wordWrap w:val="0"/>
              <w:topLinePunct/>
              <w:spacing w:line="240" w:lineRule="auto"/>
              <w:ind w:firstLineChars="0" w:firstLine="0"/>
              <w:jc w:val="center"/>
              <w:textAlignment w:val="baseline"/>
              <w:rPr>
                <w:rFonts w:cs="Times New Roman"/>
                <w:kern w:val="0"/>
                <w:sz w:val="18"/>
                <w:szCs w:val="18"/>
                <w:lang w:bidi="ar"/>
              </w:rPr>
            </w:pPr>
            <w:r>
              <w:rPr>
                <w:rFonts w:cs="Times New Roman"/>
                <w:sz w:val="18"/>
                <w:szCs w:val="18"/>
              </w:rPr>
              <w:t>HS-</w:t>
            </w:r>
            <w:r>
              <w:rPr>
                <w:rFonts w:cs="Times New Roman"/>
                <w:sz w:val="18"/>
                <w:szCs w:val="18"/>
              </w:rPr>
              <w:t>7</w:t>
            </w:r>
          </w:p>
        </w:tc>
        <w:tc>
          <w:tcPr>
            <w:tcW w:w="2280" w:type="dxa"/>
            <w:tcBorders>
              <w:tl2br w:val="nil"/>
              <w:tr2bl w:val="nil"/>
            </w:tcBorders>
            <w:vAlign w:val="center"/>
          </w:tcPr>
          <w:p w:rsidR="00A46452" w:rsidRDefault="009A3928">
            <w:pPr>
              <w:wordWrap w:val="0"/>
              <w:topLinePunct/>
              <w:adjustRightInd w:val="0"/>
              <w:snapToGrid w:val="0"/>
              <w:spacing w:line="240" w:lineRule="auto"/>
              <w:ind w:firstLineChars="0" w:firstLine="0"/>
              <w:jc w:val="center"/>
              <w:textAlignment w:val="center"/>
              <w:rPr>
                <w:rFonts w:cs="Times New Roman"/>
                <w:kern w:val="0"/>
                <w:sz w:val="18"/>
                <w:szCs w:val="18"/>
                <w:lang w:bidi="ar"/>
              </w:rPr>
            </w:pPr>
            <w:r>
              <w:rPr>
                <w:rFonts w:cs="Times New Roman"/>
                <w:kern w:val="0"/>
                <w:sz w:val="18"/>
                <w:szCs w:val="18"/>
                <w:lang w:bidi="ar"/>
              </w:rPr>
              <w:t>柯坪河</w:t>
            </w:r>
          </w:p>
        </w:tc>
        <w:tc>
          <w:tcPr>
            <w:tcW w:w="2638"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18"/>
                <w:szCs w:val="18"/>
                <w:lang w:bidi="ar"/>
              </w:rPr>
            </w:pPr>
          </w:p>
        </w:tc>
        <w:tc>
          <w:tcPr>
            <w:tcW w:w="2589" w:type="dxa"/>
            <w:vMerge/>
            <w:tcBorders>
              <w:tl2br w:val="nil"/>
              <w:tr2bl w:val="nil"/>
            </w:tcBorders>
            <w:vAlign w:val="center"/>
          </w:tcPr>
          <w:p w:rsidR="00A46452" w:rsidRDefault="00A46452">
            <w:pPr>
              <w:wordWrap w:val="0"/>
              <w:topLinePunct/>
              <w:adjustRightInd w:val="0"/>
              <w:snapToGrid w:val="0"/>
              <w:spacing w:line="240" w:lineRule="auto"/>
              <w:ind w:firstLineChars="0" w:firstLine="0"/>
              <w:jc w:val="center"/>
              <w:textAlignment w:val="center"/>
              <w:rPr>
                <w:rFonts w:cs="Times New Roman"/>
                <w:kern w:val="0"/>
                <w:sz w:val="18"/>
                <w:szCs w:val="18"/>
                <w:lang w:bidi="ar"/>
              </w:rPr>
            </w:pPr>
          </w:p>
        </w:tc>
      </w:tr>
    </w:tbl>
    <w:p w:rsidR="00A46452" w:rsidRDefault="009A3928">
      <w:pPr>
        <w:pStyle w:val="0A"/>
        <w:wordWrap w:val="0"/>
        <w:topLinePunct/>
        <w:spacing w:line="360" w:lineRule="auto"/>
        <w:ind w:firstLine="482"/>
        <w:rPr>
          <w:rFonts w:hint="default"/>
          <w:b/>
          <w:bCs/>
          <w:snapToGrid w:val="0"/>
        </w:rPr>
      </w:pPr>
      <w:r>
        <w:rPr>
          <w:rFonts w:hint="default"/>
          <w:b/>
          <w:bCs/>
          <w:snapToGrid w:val="0"/>
        </w:rPr>
        <w:t>3</w:t>
      </w:r>
      <w:r>
        <w:rPr>
          <w:rFonts w:hint="default"/>
          <w:b/>
          <w:bCs/>
          <w:snapToGrid w:val="0"/>
        </w:rPr>
        <w:t>、噪声监测</w:t>
      </w:r>
    </w:p>
    <w:p w:rsidR="00A46452" w:rsidRDefault="009A3928" w:rsidP="00182EED">
      <w:pPr>
        <w:pStyle w:val="0A"/>
        <w:wordWrap w:val="0"/>
        <w:topLinePunct/>
        <w:spacing w:line="360" w:lineRule="auto"/>
        <w:rPr>
          <w:rFonts w:hint="default"/>
          <w:snapToGrid w:val="0"/>
        </w:rPr>
      </w:pPr>
      <w:r>
        <w:rPr>
          <w:rFonts w:hint="default"/>
          <w:snapToGrid w:val="0"/>
        </w:rPr>
        <w:t>（</w:t>
      </w:r>
      <w:r>
        <w:rPr>
          <w:rFonts w:hint="default"/>
          <w:snapToGrid w:val="0"/>
        </w:rPr>
        <w:t>1</w:t>
      </w:r>
      <w:r>
        <w:rPr>
          <w:rFonts w:hint="default"/>
          <w:snapToGrid w:val="0"/>
        </w:rPr>
        <w:t>）监测目的</w:t>
      </w:r>
    </w:p>
    <w:p w:rsidR="00A46452" w:rsidRDefault="009A3928" w:rsidP="00182EED">
      <w:pPr>
        <w:pStyle w:val="0A"/>
        <w:wordWrap w:val="0"/>
        <w:topLinePunct/>
        <w:spacing w:line="360" w:lineRule="auto"/>
        <w:rPr>
          <w:rFonts w:hint="default"/>
          <w:snapToGrid w:val="0"/>
        </w:rPr>
      </w:pPr>
      <w:r>
        <w:rPr>
          <w:rFonts w:hint="default"/>
          <w:snapToGrid w:val="0"/>
        </w:rPr>
        <w:t>了解工程</w:t>
      </w:r>
      <w:r>
        <w:rPr>
          <w:rFonts w:hint="default"/>
          <w:snapToGrid w:val="0"/>
        </w:rPr>
        <w:t>运行</w:t>
      </w:r>
      <w:r>
        <w:rPr>
          <w:rFonts w:hint="default"/>
          <w:snapToGrid w:val="0"/>
        </w:rPr>
        <w:t>期噪声污染源强</w:t>
      </w:r>
      <w:r>
        <w:rPr>
          <w:rFonts w:hint="default"/>
          <w:snapToGrid w:val="0"/>
        </w:rPr>
        <w:t>及其对</w:t>
      </w:r>
      <w:r>
        <w:rPr>
          <w:rFonts w:hint="default"/>
          <w:snapToGrid w:val="0"/>
        </w:rPr>
        <w:t>声环境质量的实际影响。</w:t>
      </w:r>
    </w:p>
    <w:p w:rsidR="00A46452" w:rsidRDefault="009A3928" w:rsidP="00182EED">
      <w:pPr>
        <w:pStyle w:val="0A"/>
        <w:wordWrap w:val="0"/>
        <w:topLinePunct/>
        <w:spacing w:line="360" w:lineRule="auto"/>
        <w:rPr>
          <w:rFonts w:hint="default"/>
          <w:snapToGrid w:val="0"/>
        </w:rPr>
      </w:pPr>
      <w:r>
        <w:rPr>
          <w:rFonts w:hint="default"/>
          <w:snapToGrid w:val="0"/>
        </w:rPr>
        <w:t>（</w:t>
      </w:r>
      <w:r>
        <w:rPr>
          <w:rFonts w:hint="default"/>
          <w:snapToGrid w:val="0"/>
        </w:rPr>
        <w:t>2</w:t>
      </w:r>
      <w:r>
        <w:rPr>
          <w:rFonts w:hint="default"/>
          <w:snapToGrid w:val="0"/>
        </w:rPr>
        <w:t>）监测点位、因子、频率</w:t>
      </w:r>
    </w:p>
    <w:p w:rsidR="00A46452" w:rsidRDefault="009A3928" w:rsidP="00182EED">
      <w:pPr>
        <w:pStyle w:val="0A"/>
        <w:wordWrap w:val="0"/>
        <w:topLinePunct/>
        <w:spacing w:line="360" w:lineRule="auto"/>
        <w:rPr>
          <w:rFonts w:hint="default"/>
          <w:snapToGrid w:val="0"/>
        </w:rPr>
      </w:pPr>
      <w:r>
        <w:rPr>
          <w:rFonts w:hint="default"/>
          <w:snapToGrid w:val="0"/>
        </w:rPr>
        <w:t>为监控工程</w:t>
      </w:r>
      <w:r>
        <w:rPr>
          <w:rFonts w:hint="default"/>
          <w:snapToGrid w:val="0"/>
        </w:rPr>
        <w:t>运行期对</w:t>
      </w:r>
      <w:r>
        <w:rPr>
          <w:rFonts w:hint="default"/>
          <w:snapToGrid w:val="0"/>
        </w:rPr>
        <w:t>声环境质量的影响，选取</w:t>
      </w:r>
      <w:r>
        <w:rPr>
          <w:rFonts w:hint="default"/>
          <w:snapToGrid w:val="0"/>
        </w:rPr>
        <w:t>工程沿线敏感目标</w:t>
      </w:r>
      <w:r>
        <w:rPr>
          <w:rFonts w:hint="default"/>
          <w:snapToGrid w:val="0"/>
        </w:rPr>
        <w:t>作为代表进行布点，共选取</w:t>
      </w:r>
      <w:r>
        <w:rPr>
          <w:rFonts w:hint="default"/>
          <w:snapToGrid w:val="0"/>
        </w:rPr>
        <w:t>4</w:t>
      </w:r>
      <w:r>
        <w:rPr>
          <w:rFonts w:hint="default"/>
          <w:snapToGrid w:val="0"/>
        </w:rPr>
        <w:t>个点进行声环境监测。监测项目、监测周期、监测时段及频率见表</w:t>
      </w:r>
      <w:r>
        <w:rPr>
          <w:snapToGrid w:val="0"/>
        </w:rPr>
        <w:t>10</w:t>
      </w:r>
      <w:r>
        <w:rPr>
          <w:rFonts w:hint="default"/>
          <w:snapToGrid w:val="0"/>
        </w:rPr>
        <w:t>.</w:t>
      </w:r>
      <w:r>
        <w:rPr>
          <w:rFonts w:hint="default"/>
          <w:snapToGrid w:val="0"/>
        </w:rPr>
        <w:t>2-6</w:t>
      </w:r>
      <w:r>
        <w:rPr>
          <w:rFonts w:hint="default"/>
          <w:snapToGrid w:val="0"/>
        </w:rPr>
        <w:t>。</w:t>
      </w:r>
    </w:p>
    <w:p w:rsidR="00A46452" w:rsidRDefault="009A3928">
      <w:pPr>
        <w:pStyle w:val="a5"/>
        <w:tabs>
          <w:tab w:val="left" w:pos="2835"/>
        </w:tabs>
        <w:wordWrap w:val="0"/>
        <w:topLinePunct/>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 xml:space="preserve">.2-6                   </w:t>
      </w:r>
      <w:r>
        <w:rPr>
          <w:rFonts w:eastAsia="黑体" w:cs="Times New Roman" w:hint="default"/>
        </w:rPr>
        <w:t>施工期噪声监测计划一览表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4"/>
        <w:gridCol w:w="1588"/>
        <w:gridCol w:w="1991"/>
        <w:gridCol w:w="1670"/>
        <w:gridCol w:w="2477"/>
      </w:tblGrid>
      <w:tr w:rsidR="00A46452">
        <w:trPr>
          <w:trHeight w:val="340"/>
          <w:jc w:val="center"/>
        </w:trPr>
        <w:tc>
          <w:tcPr>
            <w:tcW w:w="784"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编号</w:t>
            </w:r>
          </w:p>
        </w:tc>
        <w:tc>
          <w:tcPr>
            <w:tcW w:w="1588"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监测点名称</w:t>
            </w:r>
          </w:p>
        </w:tc>
        <w:tc>
          <w:tcPr>
            <w:tcW w:w="1991"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桩号</w:t>
            </w:r>
          </w:p>
        </w:tc>
        <w:tc>
          <w:tcPr>
            <w:tcW w:w="1670" w:type="dxa"/>
            <w:tcBorders>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监测内容</w:t>
            </w:r>
          </w:p>
        </w:tc>
        <w:tc>
          <w:tcPr>
            <w:tcW w:w="2477" w:type="dxa"/>
            <w:tcBorders>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监测时间、频次</w:t>
            </w:r>
          </w:p>
        </w:tc>
      </w:tr>
      <w:tr w:rsidR="00A46452">
        <w:trPr>
          <w:trHeight w:val="340"/>
          <w:jc w:val="center"/>
        </w:trPr>
        <w:tc>
          <w:tcPr>
            <w:tcW w:w="784"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G1</w:t>
            </w:r>
          </w:p>
        </w:tc>
        <w:tc>
          <w:tcPr>
            <w:tcW w:w="1588" w:type="dxa"/>
            <w:tcBorders>
              <w:tl2br w:val="nil"/>
              <w:tr2bl w:val="nil"/>
            </w:tcBorders>
            <w:vAlign w:val="center"/>
          </w:tcPr>
          <w:p w:rsidR="00A46452" w:rsidRDefault="009A3928">
            <w:pPr>
              <w:wordWrap w:val="0"/>
              <w:topLinePunct/>
              <w:spacing w:line="240" w:lineRule="auto"/>
              <w:ind w:firstLineChars="0" w:firstLine="0"/>
              <w:jc w:val="center"/>
              <w:rPr>
                <w:rFonts w:cs="Times New Roman"/>
                <w:bCs/>
                <w:sz w:val="18"/>
                <w:szCs w:val="18"/>
              </w:rPr>
            </w:pPr>
            <w:r>
              <w:rPr>
                <w:rFonts w:cs="Times New Roman" w:hint="eastAsia"/>
                <w:bCs/>
                <w:sz w:val="18"/>
                <w:szCs w:val="18"/>
              </w:rPr>
              <w:t>幸福佳园一期</w:t>
            </w:r>
          </w:p>
        </w:tc>
        <w:tc>
          <w:tcPr>
            <w:tcW w:w="1991"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K</w:t>
            </w:r>
            <w:r>
              <w:rPr>
                <w:rFonts w:cs="Times New Roman"/>
                <w:sz w:val="18"/>
                <w:szCs w:val="18"/>
              </w:rPr>
              <w:t>105</w:t>
            </w:r>
            <w:r>
              <w:rPr>
                <w:rFonts w:cs="Times New Roman"/>
                <w:sz w:val="18"/>
                <w:szCs w:val="18"/>
              </w:rPr>
              <w:t>+</w:t>
            </w:r>
            <w:r>
              <w:rPr>
                <w:rFonts w:cs="Times New Roman"/>
                <w:sz w:val="18"/>
                <w:szCs w:val="18"/>
              </w:rPr>
              <w:t>020</w:t>
            </w:r>
            <w:r>
              <w:rPr>
                <w:rFonts w:cs="Times New Roman"/>
                <w:sz w:val="18"/>
                <w:szCs w:val="18"/>
              </w:rPr>
              <w:t>-K</w:t>
            </w:r>
            <w:r>
              <w:rPr>
                <w:rFonts w:cs="Times New Roman"/>
                <w:sz w:val="18"/>
                <w:szCs w:val="18"/>
              </w:rPr>
              <w:t>102</w:t>
            </w:r>
            <w:r>
              <w:rPr>
                <w:rFonts w:cs="Times New Roman"/>
                <w:sz w:val="18"/>
                <w:szCs w:val="18"/>
              </w:rPr>
              <w:t>+</w:t>
            </w:r>
            <w:r>
              <w:rPr>
                <w:rFonts w:cs="Times New Roman"/>
                <w:sz w:val="18"/>
                <w:szCs w:val="18"/>
              </w:rPr>
              <w:t>160</w:t>
            </w:r>
          </w:p>
        </w:tc>
        <w:tc>
          <w:tcPr>
            <w:tcW w:w="1670" w:type="dxa"/>
            <w:vMerge w:val="restart"/>
            <w:tcBorders>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声环境监测内容：等效连续</w:t>
            </w:r>
            <w:r>
              <w:rPr>
                <w:rFonts w:cs="Times New Roman"/>
                <w:sz w:val="18"/>
                <w:szCs w:val="18"/>
              </w:rPr>
              <w:t>A</w:t>
            </w:r>
            <w:r>
              <w:rPr>
                <w:rFonts w:cs="Times New Roman"/>
                <w:sz w:val="18"/>
                <w:szCs w:val="18"/>
              </w:rPr>
              <w:t>声级</w:t>
            </w:r>
          </w:p>
        </w:tc>
        <w:tc>
          <w:tcPr>
            <w:tcW w:w="2477" w:type="dxa"/>
            <w:vMerge w:val="restart"/>
            <w:tcBorders>
              <w:tl2br w:val="nil"/>
              <w:tr2bl w:val="nil"/>
            </w:tcBorders>
            <w:vAlign w:val="center"/>
          </w:tcPr>
          <w:p w:rsidR="00A46452" w:rsidRDefault="009A3928">
            <w:pPr>
              <w:wordWrap w:val="0"/>
              <w:topLinePunct/>
              <w:spacing w:line="240" w:lineRule="auto"/>
              <w:ind w:firstLineChars="0" w:firstLine="0"/>
              <w:rPr>
                <w:rFonts w:cs="Times New Roman"/>
                <w:sz w:val="18"/>
                <w:szCs w:val="18"/>
              </w:rPr>
            </w:pPr>
            <w:r>
              <w:rPr>
                <w:rFonts w:cs="Times New Roman"/>
                <w:sz w:val="18"/>
                <w:szCs w:val="18"/>
              </w:rPr>
              <w:t>声环境监测频次：</w:t>
            </w:r>
            <w:r>
              <w:rPr>
                <w:rFonts w:cs="Times New Roman"/>
                <w:sz w:val="18"/>
                <w:szCs w:val="18"/>
              </w:rPr>
              <w:t>1</w:t>
            </w:r>
            <w:r>
              <w:rPr>
                <w:rFonts w:cs="Times New Roman"/>
                <w:sz w:val="18"/>
                <w:szCs w:val="18"/>
              </w:rPr>
              <w:t>次</w:t>
            </w:r>
            <w:r>
              <w:rPr>
                <w:rFonts w:cs="Times New Roman"/>
                <w:sz w:val="18"/>
                <w:szCs w:val="18"/>
              </w:rPr>
              <w:t>/</w:t>
            </w:r>
            <w:r>
              <w:rPr>
                <w:rFonts w:cs="Times New Roman"/>
                <w:sz w:val="18"/>
                <w:szCs w:val="18"/>
              </w:rPr>
              <w:t>年</w:t>
            </w:r>
            <w:r>
              <w:rPr>
                <w:rFonts w:cs="Times New Roman"/>
                <w:sz w:val="18"/>
                <w:szCs w:val="18"/>
              </w:rPr>
              <w:t>。</w:t>
            </w:r>
            <w:r>
              <w:rPr>
                <w:rFonts w:cs="Times New Roman"/>
                <w:sz w:val="18"/>
                <w:szCs w:val="18"/>
              </w:rPr>
              <w:t>每次监测</w:t>
            </w:r>
            <w:r>
              <w:rPr>
                <w:rFonts w:cs="Times New Roman"/>
                <w:sz w:val="18"/>
                <w:szCs w:val="18"/>
              </w:rPr>
              <w:t>2d</w:t>
            </w:r>
            <w:r>
              <w:rPr>
                <w:rFonts w:cs="Times New Roman"/>
                <w:sz w:val="18"/>
                <w:szCs w:val="18"/>
              </w:rPr>
              <w:t>，昼夜各监测一次。</w:t>
            </w:r>
          </w:p>
        </w:tc>
      </w:tr>
      <w:tr w:rsidR="00A46452">
        <w:trPr>
          <w:trHeight w:val="340"/>
          <w:jc w:val="center"/>
        </w:trPr>
        <w:tc>
          <w:tcPr>
            <w:tcW w:w="784"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G2</w:t>
            </w:r>
          </w:p>
        </w:tc>
        <w:tc>
          <w:tcPr>
            <w:tcW w:w="1588"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bCs/>
                <w:sz w:val="18"/>
                <w:szCs w:val="18"/>
              </w:rPr>
              <w:t>柯坪湖州小学</w:t>
            </w:r>
          </w:p>
        </w:tc>
        <w:tc>
          <w:tcPr>
            <w:tcW w:w="1991"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K</w:t>
            </w:r>
            <w:r>
              <w:rPr>
                <w:rFonts w:cs="Times New Roman"/>
                <w:sz w:val="18"/>
                <w:szCs w:val="18"/>
              </w:rPr>
              <w:t>105</w:t>
            </w:r>
            <w:r>
              <w:rPr>
                <w:rFonts w:cs="Times New Roman"/>
                <w:sz w:val="18"/>
                <w:szCs w:val="18"/>
              </w:rPr>
              <w:t>+</w:t>
            </w:r>
            <w:r>
              <w:rPr>
                <w:rFonts w:cs="Times New Roman"/>
                <w:sz w:val="18"/>
                <w:szCs w:val="18"/>
              </w:rPr>
              <w:t>18</w:t>
            </w:r>
            <w:r>
              <w:rPr>
                <w:rFonts w:cs="Times New Roman"/>
                <w:sz w:val="18"/>
                <w:szCs w:val="18"/>
              </w:rPr>
              <w:t>0-K10</w:t>
            </w:r>
            <w:r>
              <w:rPr>
                <w:rFonts w:cs="Times New Roman"/>
                <w:sz w:val="18"/>
                <w:szCs w:val="18"/>
              </w:rPr>
              <w:t>8</w:t>
            </w:r>
            <w:r>
              <w:rPr>
                <w:rFonts w:cs="Times New Roman"/>
                <w:sz w:val="18"/>
                <w:szCs w:val="18"/>
              </w:rPr>
              <w:t>+</w:t>
            </w:r>
            <w:r>
              <w:rPr>
                <w:rFonts w:cs="Times New Roman"/>
                <w:sz w:val="18"/>
                <w:szCs w:val="18"/>
              </w:rPr>
              <w:t>320</w:t>
            </w:r>
          </w:p>
        </w:tc>
        <w:tc>
          <w:tcPr>
            <w:tcW w:w="1670" w:type="dxa"/>
            <w:vMerge/>
            <w:tcBorders>
              <w:tl2br w:val="nil"/>
              <w:tr2bl w:val="nil"/>
            </w:tcBorders>
            <w:vAlign w:val="center"/>
          </w:tcPr>
          <w:p w:rsidR="00A46452" w:rsidRDefault="00A46452">
            <w:pPr>
              <w:wordWrap w:val="0"/>
              <w:topLinePunct/>
              <w:spacing w:line="240" w:lineRule="auto"/>
              <w:ind w:firstLineChars="0" w:firstLine="0"/>
              <w:rPr>
                <w:rFonts w:cs="Times New Roman"/>
                <w:sz w:val="18"/>
                <w:szCs w:val="18"/>
              </w:rPr>
            </w:pPr>
          </w:p>
        </w:tc>
        <w:tc>
          <w:tcPr>
            <w:tcW w:w="2477" w:type="dxa"/>
            <w:vMerge/>
            <w:tcBorders>
              <w:tl2br w:val="nil"/>
              <w:tr2bl w:val="nil"/>
            </w:tcBorders>
            <w:vAlign w:val="center"/>
          </w:tcPr>
          <w:p w:rsidR="00A46452" w:rsidRDefault="00A46452">
            <w:pPr>
              <w:wordWrap w:val="0"/>
              <w:topLinePunct/>
              <w:spacing w:line="240" w:lineRule="auto"/>
              <w:ind w:firstLineChars="0" w:firstLine="0"/>
              <w:rPr>
                <w:rFonts w:cs="Times New Roman"/>
                <w:sz w:val="18"/>
                <w:szCs w:val="18"/>
              </w:rPr>
            </w:pPr>
          </w:p>
        </w:tc>
      </w:tr>
      <w:tr w:rsidR="00A46452">
        <w:trPr>
          <w:trHeight w:val="486"/>
          <w:jc w:val="center"/>
        </w:trPr>
        <w:tc>
          <w:tcPr>
            <w:tcW w:w="784" w:type="dxa"/>
            <w:tcBorders>
              <w:tl2br w:val="nil"/>
              <w:tr2bl w:val="nil"/>
            </w:tcBorders>
            <w:shd w:val="clear" w:color="auto" w:fill="auto"/>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G3</w:t>
            </w:r>
          </w:p>
        </w:tc>
        <w:tc>
          <w:tcPr>
            <w:tcW w:w="1588" w:type="dxa"/>
            <w:tcBorders>
              <w:tl2br w:val="nil"/>
              <w:tr2bl w:val="nil"/>
            </w:tcBorders>
            <w:vAlign w:val="center"/>
          </w:tcPr>
          <w:p w:rsidR="00A46452" w:rsidRDefault="009A3928">
            <w:pPr>
              <w:wordWrap w:val="0"/>
              <w:topLinePunct/>
              <w:spacing w:line="240" w:lineRule="auto"/>
              <w:ind w:firstLineChars="0" w:firstLine="0"/>
              <w:jc w:val="center"/>
              <w:rPr>
                <w:rFonts w:cs="Times New Roman"/>
                <w:bCs/>
                <w:sz w:val="18"/>
                <w:szCs w:val="18"/>
              </w:rPr>
            </w:pPr>
            <w:r>
              <w:rPr>
                <w:rFonts w:cs="Times New Roman"/>
                <w:bCs/>
                <w:sz w:val="18"/>
                <w:szCs w:val="18"/>
              </w:rPr>
              <w:t>玉尔其乡居民区</w:t>
            </w:r>
          </w:p>
        </w:tc>
        <w:tc>
          <w:tcPr>
            <w:tcW w:w="1991"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K1</w:t>
            </w:r>
            <w:r>
              <w:rPr>
                <w:rFonts w:cs="Times New Roman"/>
                <w:sz w:val="18"/>
                <w:szCs w:val="18"/>
              </w:rPr>
              <w:t>06</w:t>
            </w:r>
            <w:r>
              <w:rPr>
                <w:rFonts w:cs="Times New Roman"/>
                <w:sz w:val="18"/>
                <w:szCs w:val="18"/>
              </w:rPr>
              <w:t>+</w:t>
            </w:r>
            <w:r>
              <w:rPr>
                <w:rFonts w:cs="Times New Roman"/>
                <w:sz w:val="18"/>
                <w:szCs w:val="18"/>
              </w:rPr>
              <w:t>400</w:t>
            </w:r>
            <w:r>
              <w:rPr>
                <w:rFonts w:cs="Times New Roman"/>
                <w:sz w:val="18"/>
                <w:szCs w:val="18"/>
              </w:rPr>
              <w:t>-K1</w:t>
            </w:r>
            <w:r>
              <w:rPr>
                <w:rFonts w:cs="Times New Roman"/>
                <w:sz w:val="18"/>
                <w:szCs w:val="18"/>
              </w:rPr>
              <w:t>07</w:t>
            </w:r>
            <w:r>
              <w:rPr>
                <w:rFonts w:cs="Times New Roman"/>
                <w:sz w:val="18"/>
                <w:szCs w:val="18"/>
              </w:rPr>
              <w:t>+</w:t>
            </w:r>
            <w:r>
              <w:rPr>
                <w:rFonts w:cs="Times New Roman"/>
                <w:sz w:val="18"/>
                <w:szCs w:val="18"/>
              </w:rPr>
              <w:t>177</w:t>
            </w:r>
          </w:p>
        </w:tc>
        <w:tc>
          <w:tcPr>
            <w:tcW w:w="1670" w:type="dxa"/>
            <w:vMerge/>
            <w:tcBorders>
              <w:tl2br w:val="nil"/>
              <w:tr2bl w:val="nil"/>
            </w:tcBorders>
            <w:vAlign w:val="center"/>
          </w:tcPr>
          <w:p w:rsidR="00A46452" w:rsidRDefault="00A46452">
            <w:pPr>
              <w:wordWrap w:val="0"/>
              <w:topLinePunct/>
              <w:spacing w:line="240" w:lineRule="auto"/>
              <w:ind w:firstLineChars="0" w:firstLine="0"/>
              <w:rPr>
                <w:rFonts w:cs="Times New Roman"/>
                <w:sz w:val="18"/>
                <w:szCs w:val="18"/>
              </w:rPr>
            </w:pPr>
          </w:p>
        </w:tc>
        <w:tc>
          <w:tcPr>
            <w:tcW w:w="2477" w:type="dxa"/>
            <w:vMerge/>
            <w:tcBorders>
              <w:tl2br w:val="nil"/>
              <w:tr2bl w:val="nil"/>
            </w:tcBorders>
            <w:vAlign w:val="center"/>
          </w:tcPr>
          <w:p w:rsidR="00A46452" w:rsidRDefault="00A46452">
            <w:pPr>
              <w:wordWrap w:val="0"/>
              <w:topLinePunct/>
              <w:spacing w:line="240" w:lineRule="auto"/>
              <w:ind w:firstLineChars="0" w:firstLine="0"/>
              <w:rPr>
                <w:rFonts w:cs="Times New Roman"/>
                <w:sz w:val="18"/>
                <w:szCs w:val="18"/>
              </w:rPr>
            </w:pPr>
          </w:p>
        </w:tc>
      </w:tr>
      <w:tr w:rsidR="00A46452">
        <w:trPr>
          <w:trHeight w:val="340"/>
          <w:jc w:val="center"/>
        </w:trPr>
        <w:tc>
          <w:tcPr>
            <w:tcW w:w="784"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G</w:t>
            </w:r>
            <w:r>
              <w:rPr>
                <w:rFonts w:cs="Times New Roman"/>
                <w:sz w:val="18"/>
                <w:szCs w:val="18"/>
              </w:rPr>
              <w:t>4</w:t>
            </w:r>
          </w:p>
        </w:tc>
        <w:tc>
          <w:tcPr>
            <w:tcW w:w="1588" w:type="dxa"/>
            <w:tcBorders>
              <w:tl2br w:val="nil"/>
              <w:tr2bl w:val="nil"/>
            </w:tcBorders>
            <w:vAlign w:val="center"/>
          </w:tcPr>
          <w:p w:rsidR="00A46452" w:rsidRDefault="009A3928">
            <w:pPr>
              <w:wordWrap w:val="0"/>
              <w:topLinePunct/>
              <w:spacing w:line="240" w:lineRule="auto"/>
              <w:ind w:firstLineChars="0" w:firstLine="0"/>
              <w:jc w:val="center"/>
              <w:rPr>
                <w:rFonts w:eastAsia="TimesNewRomanPSMT" w:cs="Times New Roman"/>
                <w:sz w:val="18"/>
                <w:szCs w:val="18"/>
              </w:rPr>
            </w:pPr>
            <w:r>
              <w:rPr>
                <w:rFonts w:cs="Times New Roman"/>
                <w:sz w:val="18"/>
                <w:szCs w:val="18"/>
              </w:rPr>
              <w:t>服务区</w:t>
            </w:r>
          </w:p>
        </w:tc>
        <w:tc>
          <w:tcPr>
            <w:tcW w:w="1991" w:type="dxa"/>
            <w:tcBorders>
              <w:tl2br w:val="nil"/>
              <w:tr2bl w:val="nil"/>
            </w:tcBorders>
            <w:vAlign w:val="center"/>
          </w:tcPr>
          <w:p w:rsidR="00A46452" w:rsidRDefault="009A3928">
            <w:pPr>
              <w:wordWrap w:val="0"/>
              <w:topLinePunct/>
              <w:spacing w:line="240" w:lineRule="auto"/>
              <w:ind w:firstLineChars="0" w:firstLine="0"/>
              <w:jc w:val="center"/>
              <w:rPr>
                <w:rFonts w:cs="Times New Roman"/>
                <w:sz w:val="18"/>
                <w:szCs w:val="18"/>
              </w:rPr>
            </w:pPr>
            <w:r>
              <w:rPr>
                <w:rFonts w:cs="Times New Roman"/>
                <w:sz w:val="18"/>
                <w:szCs w:val="18"/>
              </w:rPr>
              <w:t>K31+900~K32+100</w:t>
            </w:r>
          </w:p>
        </w:tc>
        <w:tc>
          <w:tcPr>
            <w:tcW w:w="1670" w:type="dxa"/>
            <w:vMerge/>
            <w:tcBorders>
              <w:tl2br w:val="nil"/>
              <w:tr2bl w:val="nil"/>
            </w:tcBorders>
          </w:tcPr>
          <w:p w:rsidR="00A46452" w:rsidRDefault="00A46452">
            <w:pPr>
              <w:wordWrap w:val="0"/>
              <w:topLinePunct/>
              <w:spacing w:line="240" w:lineRule="auto"/>
              <w:ind w:firstLineChars="0" w:firstLine="0"/>
              <w:rPr>
                <w:rFonts w:cs="Times New Roman"/>
                <w:sz w:val="18"/>
                <w:szCs w:val="18"/>
              </w:rPr>
            </w:pPr>
          </w:p>
        </w:tc>
        <w:tc>
          <w:tcPr>
            <w:tcW w:w="2477" w:type="dxa"/>
            <w:vMerge/>
            <w:tcBorders>
              <w:tl2br w:val="nil"/>
              <w:tr2bl w:val="nil"/>
            </w:tcBorders>
            <w:vAlign w:val="center"/>
          </w:tcPr>
          <w:p w:rsidR="00A46452" w:rsidRDefault="00A46452">
            <w:pPr>
              <w:wordWrap w:val="0"/>
              <w:topLinePunct/>
              <w:spacing w:line="240" w:lineRule="auto"/>
              <w:ind w:firstLineChars="0" w:firstLine="0"/>
              <w:rPr>
                <w:rFonts w:cs="Times New Roman"/>
                <w:sz w:val="18"/>
                <w:szCs w:val="18"/>
              </w:rPr>
            </w:pPr>
          </w:p>
        </w:tc>
      </w:tr>
    </w:tbl>
    <w:p w:rsidR="00A46452" w:rsidRDefault="009A3928" w:rsidP="00182EED">
      <w:pPr>
        <w:pStyle w:val="0A"/>
        <w:wordWrap w:val="0"/>
        <w:topLinePunct/>
        <w:spacing w:line="360" w:lineRule="auto"/>
        <w:rPr>
          <w:rFonts w:hint="default"/>
          <w:snapToGrid w:val="0"/>
        </w:rPr>
      </w:pPr>
      <w:r>
        <w:rPr>
          <w:rFonts w:hint="default"/>
          <w:snapToGrid w:val="0"/>
        </w:rPr>
        <w:t>（</w:t>
      </w:r>
      <w:r>
        <w:rPr>
          <w:rFonts w:hint="default"/>
          <w:snapToGrid w:val="0"/>
        </w:rPr>
        <w:t>3</w:t>
      </w:r>
      <w:r>
        <w:rPr>
          <w:rFonts w:hint="default"/>
          <w:snapToGrid w:val="0"/>
        </w:rPr>
        <w:t>）监测方法</w:t>
      </w:r>
    </w:p>
    <w:p w:rsidR="00A46452" w:rsidRDefault="009A3928" w:rsidP="00182EED">
      <w:pPr>
        <w:pStyle w:val="0A"/>
        <w:wordWrap w:val="0"/>
        <w:topLinePunct/>
        <w:spacing w:line="360" w:lineRule="auto"/>
        <w:rPr>
          <w:rFonts w:hint="default"/>
          <w:snapToGrid w:val="0"/>
        </w:rPr>
      </w:pPr>
      <w:r>
        <w:rPr>
          <w:rFonts w:hint="default"/>
          <w:snapToGrid w:val="0"/>
        </w:rPr>
        <w:t>分别按照《环境监测技术规范》大气部分和噪声部分中规定的方法执行。</w:t>
      </w:r>
    </w:p>
    <w:p w:rsidR="00A46452" w:rsidRDefault="009A3928">
      <w:pPr>
        <w:pStyle w:val="0A"/>
        <w:shd w:val="clear" w:color="auto" w:fill="FFFFFF" w:themeFill="background1"/>
        <w:spacing w:line="360" w:lineRule="auto"/>
        <w:ind w:firstLine="482"/>
        <w:rPr>
          <w:rFonts w:hint="default"/>
          <w:b/>
          <w:bCs/>
        </w:rPr>
      </w:pPr>
      <w:r>
        <w:rPr>
          <w:rFonts w:hint="default"/>
          <w:b/>
          <w:bCs/>
        </w:rPr>
        <w:t>4</w:t>
      </w:r>
      <w:r>
        <w:rPr>
          <w:rFonts w:hint="default"/>
          <w:b/>
          <w:bCs/>
        </w:rPr>
        <w:t>、</w:t>
      </w:r>
      <w:r>
        <w:rPr>
          <w:rFonts w:hint="default"/>
          <w:b/>
          <w:bCs/>
        </w:rPr>
        <w:t>陆生生态环境监测</w:t>
      </w:r>
    </w:p>
    <w:p w:rsidR="00A46452" w:rsidRDefault="009A3928" w:rsidP="00182EED">
      <w:pPr>
        <w:pStyle w:val="0A"/>
        <w:shd w:val="clear" w:color="auto" w:fill="FFFFFF" w:themeFill="background1"/>
        <w:spacing w:line="360" w:lineRule="auto"/>
        <w:rPr>
          <w:rFonts w:hint="default"/>
        </w:rPr>
      </w:pPr>
      <w:r>
        <w:rPr>
          <w:rFonts w:hint="default"/>
        </w:rPr>
        <w:t>1</w:t>
      </w:r>
      <w:r>
        <w:rPr>
          <w:rFonts w:hint="default"/>
        </w:rPr>
        <w:t>）监测项目</w:t>
      </w:r>
    </w:p>
    <w:p w:rsidR="00A46452" w:rsidRDefault="009A3928" w:rsidP="00182EED">
      <w:pPr>
        <w:pStyle w:val="0A"/>
        <w:shd w:val="clear" w:color="auto" w:fill="FFFFFF" w:themeFill="background1"/>
        <w:spacing w:line="360" w:lineRule="auto"/>
        <w:rPr>
          <w:rFonts w:hint="default"/>
        </w:rPr>
      </w:pPr>
      <w:r>
        <w:rPr>
          <w:rFonts w:hint="default"/>
        </w:rPr>
        <w:t>（</w:t>
      </w:r>
      <w:r>
        <w:rPr>
          <w:rFonts w:hint="default"/>
        </w:rPr>
        <w:t>1</w:t>
      </w:r>
      <w:r>
        <w:rPr>
          <w:rFonts w:hint="default"/>
        </w:rPr>
        <w:t>）</w:t>
      </w:r>
      <w:r>
        <w:rPr>
          <w:rFonts w:hint="default"/>
        </w:rPr>
        <w:t>植被</w:t>
      </w:r>
    </w:p>
    <w:p w:rsidR="00A46452" w:rsidRDefault="009A3928" w:rsidP="00182EED">
      <w:pPr>
        <w:pStyle w:val="0A"/>
        <w:shd w:val="clear" w:color="auto" w:fill="FFFFFF" w:themeFill="background1"/>
        <w:spacing w:line="360" w:lineRule="auto"/>
        <w:rPr>
          <w:rFonts w:hint="default"/>
        </w:rPr>
      </w:pPr>
      <w:r>
        <w:rPr>
          <w:rFonts w:hint="default"/>
        </w:rPr>
        <w:t>对每个监测样方用</w:t>
      </w:r>
      <w:r>
        <w:rPr>
          <w:rFonts w:hint="default"/>
        </w:rPr>
        <w:t>GPS</w:t>
      </w:r>
      <w:r>
        <w:rPr>
          <w:rFonts w:hint="default"/>
        </w:rPr>
        <w:t>精确定位，记录样方所处位置、坡形、坡向、坡度、坡位、土壤、母质、群落总盖度、高度、各层盖度、高度以及群落周边人为干扰情况等要素。记录样方中所有物种的种类、盖度、高度、生活力、物候等。</w:t>
      </w:r>
    </w:p>
    <w:p w:rsidR="00A46452" w:rsidRDefault="009A3928" w:rsidP="00182EED">
      <w:pPr>
        <w:pStyle w:val="0A"/>
        <w:shd w:val="clear" w:color="auto" w:fill="FFFFFF" w:themeFill="background1"/>
        <w:spacing w:line="360" w:lineRule="auto"/>
        <w:rPr>
          <w:rFonts w:hint="default"/>
        </w:rPr>
      </w:pPr>
      <w:r>
        <w:rPr>
          <w:rFonts w:hint="default"/>
        </w:rPr>
        <w:t>运行期主要监测生境的变化、植被的变化以及生态系统整体性变化，重点关注群落优势种的变化趋势。</w:t>
      </w:r>
    </w:p>
    <w:p w:rsidR="00A46452" w:rsidRDefault="009A3928" w:rsidP="00182EED">
      <w:pPr>
        <w:pStyle w:val="0A"/>
        <w:shd w:val="clear" w:color="auto" w:fill="FFFFFF" w:themeFill="background1"/>
        <w:spacing w:line="360" w:lineRule="auto"/>
        <w:rPr>
          <w:rFonts w:hint="default"/>
        </w:rPr>
      </w:pPr>
      <w:r>
        <w:rPr>
          <w:rFonts w:hint="default"/>
        </w:rPr>
        <w:t>（</w:t>
      </w:r>
      <w:r>
        <w:rPr>
          <w:rFonts w:hint="default"/>
        </w:rPr>
        <w:t>2</w:t>
      </w:r>
      <w:r>
        <w:rPr>
          <w:rFonts w:hint="default"/>
        </w:rPr>
        <w:t>）</w:t>
      </w:r>
      <w:r>
        <w:rPr>
          <w:rFonts w:hint="default"/>
        </w:rPr>
        <w:t>动物</w:t>
      </w:r>
    </w:p>
    <w:p w:rsidR="00A46452" w:rsidRDefault="009A3928" w:rsidP="00182EED">
      <w:pPr>
        <w:pStyle w:val="0A"/>
        <w:shd w:val="clear" w:color="auto" w:fill="FFFFFF" w:themeFill="background1"/>
        <w:spacing w:line="360" w:lineRule="auto"/>
        <w:rPr>
          <w:rFonts w:hint="default"/>
        </w:rPr>
      </w:pPr>
      <w:r>
        <w:rPr>
          <w:rFonts w:hint="default"/>
        </w:rPr>
        <w:t>哺乳类：种群变化动态、栖息地及觅食地等；鸟类：鸟类的种类、数量、栖息地和觅食地等；两栖爬行类：种群变化动态、分布范围、栖息地状况，及其对环境的适应性等。</w:t>
      </w:r>
    </w:p>
    <w:p w:rsidR="00A46452" w:rsidRDefault="009A3928" w:rsidP="00182EED">
      <w:pPr>
        <w:pStyle w:val="0A"/>
        <w:shd w:val="clear" w:color="auto" w:fill="FFFFFF" w:themeFill="background1"/>
        <w:spacing w:line="360" w:lineRule="auto"/>
        <w:rPr>
          <w:rFonts w:hint="default"/>
        </w:rPr>
      </w:pPr>
      <w:r>
        <w:rPr>
          <w:rFonts w:hint="default"/>
        </w:rPr>
        <w:t>2</w:t>
      </w:r>
      <w:r>
        <w:rPr>
          <w:rFonts w:hint="default"/>
        </w:rPr>
        <w:t>）监测方法</w:t>
      </w:r>
    </w:p>
    <w:p w:rsidR="00A46452" w:rsidRDefault="009A3928" w:rsidP="00182EED">
      <w:pPr>
        <w:pStyle w:val="0A"/>
        <w:shd w:val="clear" w:color="auto" w:fill="FFFFFF" w:themeFill="background1"/>
        <w:spacing w:line="360" w:lineRule="auto"/>
        <w:rPr>
          <w:rFonts w:hint="default"/>
        </w:rPr>
      </w:pPr>
      <w:r>
        <w:rPr>
          <w:rFonts w:hint="default"/>
        </w:rPr>
        <w:t>植被：植被监测以样方法为主，</w:t>
      </w:r>
      <w:r>
        <w:rPr>
          <w:rFonts w:hint="default"/>
        </w:rPr>
        <w:t>天然乔</w:t>
      </w:r>
      <w:r>
        <w:rPr>
          <w:rFonts w:hint="default"/>
        </w:rPr>
        <w:t>木林样方为</w:t>
      </w:r>
      <w:r>
        <w:rPr>
          <w:rFonts w:hint="default"/>
        </w:rPr>
        <w:t>10m×10m</w:t>
      </w:r>
      <w:r>
        <w:rPr>
          <w:rFonts w:hint="default"/>
        </w:rPr>
        <w:t>；灌</w:t>
      </w:r>
      <w:r>
        <w:rPr>
          <w:rFonts w:hint="default"/>
        </w:rPr>
        <w:t>木样方</w:t>
      </w:r>
      <w:r>
        <w:rPr>
          <w:rFonts w:hint="default"/>
        </w:rPr>
        <w:t>为</w:t>
      </w:r>
      <w:r>
        <w:rPr>
          <w:rFonts w:hint="default"/>
        </w:rPr>
        <w:t>5m×5m</w:t>
      </w:r>
      <w:r>
        <w:rPr>
          <w:rFonts w:hint="default"/>
        </w:rPr>
        <w:t>；草</w:t>
      </w:r>
      <w:r>
        <w:rPr>
          <w:rFonts w:hint="default"/>
        </w:rPr>
        <w:t>本样方</w:t>
      </w:r>
      <w:r>
        <w:rPr>
          <w:rFonts w:hint="default"/>
        </w:rPr>
        <w:t>为</w:t>
      </w:r>
      <w:r>
        <w:rPr>
          <w:rFonts w:hint="default"/>
        </w:rPr>
        <w:t>1m×1m</w:t>
      </w:r>
      <w:r>
        <w:rPr>
          <w:rFonts w:hint="default"/>
        </w:rPr>
        <w:t>。</w:t>
      </w:r>
    </w:p>
    <w:p w:rsidR="00A46452" w:rsidRDefault="009A3928" w:rsidP="00182EED">
      <w:pPr>
        <w:pStyle w:val="0A"/>
        <w:shd w:val="clear" w:color="auto" w:fill="FFFFFF" w:themeFill="background1"/>
        <w:spacing w:line="360" w:lineRule="auto"/>
        <w:rPr>
          <w:rFonts w:hint="default"/>
        </w:rPr>
      </w:pPr>
      <w:r>
        <w:rPr>
          <w:rFonts w:hint="default"/>
        </w:rPr>
        <w:t>动物：动物监测方法主要采用样线法。</w:t>
      </w:r>
    </w:p>
    <w:p w:rsidR="00A46452" w:rsidRDefault="009A3928" w:rsidP="00182EED">
      <w:pPr>
        <w:pStyle w:val="0A"/>
        <w:shd w:val="clear" w:color="auto" w:fill="FFFFFF" w:themeFill="background1"/>
        <w:spacing w:line="360" w:lineRule="auto"/>
        <w:rPr>
          <w:rFonts w:hint="default"/>
        </w:rPr>
      </w:pPr>
      <w:r>
        <w:rPr>
          <w:rFonts w:hint="default"/>
        </w:rPr>
        <w:t>3</w:t>
      </w:r>
      <w:r>
        <w:rPr>
          <w:rFonts w:hint="default"/>
        </w:rPr>
        <w:t>）监测频次</w:t>
      </w:r>
    </w:p>
    <w:p w:rsidR="00A46452" w:rsidRDefault="009A3928" w:rsidP="00182EED">
      <w:pPr>
        <w:pStyle w:val="0A"/>
        <w:shd w:val="clear" w:color="auto" w:fill="FFFFFF" w:themeFill="background1"/>
        <w:spacing w:line="360" w:lineRule="auto"/>
        <w:rPr>
          <w:rFonts w:hint="default"/>
        </w:rPr>
      </w:pPr>
      <w:r>
        <w:rPr>
          <w:rFonts w:hint="default"/>
        </w:rPr>
        <w:t>工程运行期前</w:t>
      </w:r>
      <w:r>
        <w:rPr>
          <w:rFonts w:hint="default"/>
        </w:rPr>
        <w:t>5</w:t>
      </w:r>
      <w:r>
        <w:rPr>
          <w:rFonts w:hint="default"/>
        </w:rPr>
        <w:t>年每年监测一次。其中植被监测时间为每年</w:t>
      </w:r>
      <w:r>
        <w:rPr>
          <w:rFonts w:hint="default"/>
        </w:rPr>
        <w:t>4~6</w:t>
      </w:r>
      <w:r>
        <w:rPr>
          <w:rFonts w:hint="default"/>
        </w:rPr>
        <w:t>月，鸟类监测时间为每年</w:t>
      </w:r>
      <w:r>
        <w:rPr>
          <w:rFonts w:hint="default"/>
        </w:rPr>
        <w:t>1~3</w:t>
      </w:r>
      <w:r>
        <w:rPr>
          <w:rFonts w:hint="default"/>
        </w:rPr>
        <w:t>月，两栖爬行类和哺乳类监测时间为每年</w:t>
      </w:r>
      <w:r>
        <w:rPr>
          <w:rFonts w:hint="default"/>
        </w:rPr>
        <w:t>3~5</w:t>
      </w:r>
      <w:r>
        <w:rPr>
          <w:rFonts w:hint="default"/>
        </w:rPr>
        <w:t>月。</w:t>
      </w:r>
    </w:p>
    <w:p w:rsidR="00A46452" w:rsidRDefault="009A3928" w:rsidP="00182EED">
      <w:pPr>
        <w:pStyle w:val="0A"/>
        <w:shd w:val="clear" w:color="auto" w:fill="FFFFFF" w:themeFill="background1"/>
        <w:spacing w:line="360" w:lineRule="auto"/>
        <w:rPr>
          <w:rFonts w:hint="default"/>
        </w:rPr>
      </w:pPr>
      <w:r>
        <w:rPr>
          <w:rFonts w:hint="default"/>
        </w:rPr>
        <w:t>4</w:t>
      </w:r>
      <w:r>
        <w:rPr>
          <w:rFonts w:hint="default"/>
        </w:rPr>
        <w:t>）监测点位布设</w:t>
      </w:r>
    </w:p>
    <w:p w:rsidR="00A46452" w:rsidRDefault="009A3928" w:rsidP="00182EED">
      <w:pPr>
        <w:pStyle w:val="0A"/>
        <w:shd w:val="clear" w:color="auto" w:fill="FFFFFF" w:themeFill="background1"/>
        <w:spacing w:line="360" w:lineRule="auto"/>
        <w:ind w:firstLine="472"/>
        <w:rPr>
          <w:rFonts w:hint="default"/>
          <w:spacing w:val="-2"/>
        </w:rPr>
      </w:pPr>
      <w:r>
        <w:rPr>
          <w:rFonts w:hint="default"/>
          <w:spacing w:val="-2"/>
        </w:rPr>
        <w:t>植被：根据本次项目评价区</w:t>
      </w:r>
      <w:r>
        <w:rPr>
          <w:rFonts w:hint="default"/>
          <w:spacing w:val="-2"/>
        </w:rPr>
        <w:t>敏感点及</w:t>
      </w:r>
      <w:r>
        <w:rPr>
          <w:rFonts w:hint="default"/>
          <w:spacing w:val="-2"/>
        </w:rPr>
        <w:t>植被分布情况，初步布设监测样方</w:t>
      </w:r>
      <w:r>
        <w:rPr>
          <w:rFonts w:hint="default"/>
          <w:spacing w:val="-2"/>
        </w:rPr>
        <w:t>10</w:t>
      </w:r>
      <w:r>
        <w:rPr>
          <w:rFonts w:hint="default"/>
          <w:spacing w:val="-2"/>
        </w:rPr>
        <w:t>个</w:t>
      </w:r>
      <w:r>
        <w:rPr>
          <w:rFonts w:hint="default"/>
          <w:snapToGrid w:val="0"/>
          <w:spacing w:val="-2"/>
        </w:rPr>
        <w:t>。</w:t>
      </w:r>
    </w:p>
    <w:p w:rsidR="00A46452" w:rsidRDefault="009A3928" w:rsidP="00182EED">
      <w:pPr>
        <w:pStyle w:val="0A"/>
        <w:shd w:val="clear" w:color="auto" w:fill="FFFFFF" w:themeFill="background1"/>
        <w:spacing w:line="360" w:lineRule="auto"/>
        <w:rPr>
          <w:rFonts w:hint="default"/>
          <w:snapToGrid w:val="0"/>
        </w:rPr>
      </w:pPr>
      <w:r>
        <w:rPr>
          <w:rFonts w:hint="default"/>
        </w:rPr>
        <w:t>动物：设置监测样线</w:t>
      </w:r>
      <w:r>
        <w:rPr>
          <w:rFonts w:hint="default"/>
        </w:rPr>
        <w:t>8</w:t>
      </w:r>
      <w:r>
        <w:rPr>
          <w:rFonts w:hint="default"/>
        </w:rPr>
        <w:t>条</w:t>
      </w:r>
      <w:r>
        <w:rPr>
          <w:rFonts w:hint="default"/>
          <w:snapToGrid w:val="0"/>
        </w:rPr>
        <w:t>。</w:t>
      </w:r>
    </w:p>
    <w:p w:rsidR="00A46452" w:rsidRDefault="009A3928">
      <w:pPr>
        <w:pStyle w:val="0A"/>
        <w:shd w:val="clear" w:color="auto" w:fill="FFFFFF" w:themeFill="background1"/>
        <w:spacing w:line="360" w:lineRule="auto"/>
        <w:ind w:firstLine="482"/>
        <w:rPr>
          <w:rFonts w:hint="default"/>
          <w:b/>
          <w:bCs/>
        </w:rPr>
      </w:pPr>
      <w:r>
        <w:rPr>
          <w:rFonts w:hint="default"/>
          <w:b/>
          <w:bCs/>
        </w:rPr>
        <w:t>5</w:t>
      </w:r>
      <w:r>
        <w:rPr>
          <w:rFonts w:hint="default"/>
          <w:b/>
          <w:bCs/>
        </w:rPr>
        <w:t>、水生生态监测</w:t>
      </w:r>
    </w:p>
    <w:p w:rsidR="00A46452" w:rsidRDefault="009A3928">
      <w:pPr>
        <w:pStyle w:val="a5"/>
        <w:kinsoku w:val="0"/>
        <w:overflowPunct w:val="0"/>
        <w:spacing w:after="0"/>
        <w:ind w:firstLine="480"/>
        <w:rPr>
          <w:rFonts w:cs="Times New Roman" w:hint="default"/>
        </w:rPr>
      </w:pPr>
      <w:r>
        <w:rPr>
          <w:rFonts w:cs="Times New Roman" w:hint="default"/>
        </w:rPr>
        <w:t>监测内容包括：</w:t>
      </w:r>
      <w:r>
        <w:rPr>
          <w:rFonts w:cs="Times New Roman" w:hint="default"/>
        </w:rPr>
        <w:t>①</w:t>
      </w:r>
      <w:r>
        <w:rPr>
          <w:rFonts w:cs="Times New Roman" w:hint="default"/>
        </w:rPr>
        <w:t>水文要素；</w:t>
      </w:r>
      <w:r>
        <w:rPr>
          <w:rFonts w:cs="Times New Roman" w:hint="default"/>
        </w:rPr>
        <w:t>②</w:t>
      </w:r>
      <w:r>
        <w:rPr>
          <w:rFonts w:cs="Times New Roman" w:hint="default"/>
        </w:rPr>
        <w:t>水生生物监测：浮游动植物、底栖生物；</w:t>
      </w:r>
      <w:r>
        <w:rPr>
          <w:rFonts w:cs="Times New Roman" w:hint="default"/>
        </w:rPr>
        <w:t>③</w:t>
      </w:r>
      <w:r>
        <w:rPr>
          <w:rFonts w:cs="Times New Roman" w:hint="default"/>
        </w:rPr>
        <w:t>鱼类调查：包括鱼类种类、鱼类数量、鱼类栖息地及产卵场等</w:t>
      </w:r>
      <w:r>
        <w:rPr>
          <w:rFonts w:cs="Times New Roman" w:hint="default"/>
        </w:rPr>
        <w:t>；</w:t>
      </w:r>
      <w:r>
        <w:rPr>
          <w:rFonts w:cs="Times New Roman" w:hint="default"/>
        </w:rPr>
        <w:t>④</w:t>
      </w:r>
      <w:r>
        <w:rPr>
          <w:rFonts w:cs="Times New Roman" w:hint="default"/>
        </w:rPr>
        <w:t>鱼类种群动态及群落组成变化</w:t>
      </w:r>
      <w:r>
        <w:rPr>
          <w:rFonts w:cs="Times New Roman" w:hint="default"/>
        </w:rPr>
        <w:t>。</w:t>
      </w:r>
    </w:p>
    <w:p w:rsidR="00A46452" w:rsidRDefault="009A3928">
      <w:pPr>
        <w:pStyle w:val="a5"/>
        <w:kinsoku w:val="0"/>
        <w:overflowPunct w:val="0"/>
        <w:spacing w:after="0"/>
        <w:ind w:firstLine="480"/>
        <w:rPr>
          <w:rFonts w:cs="Times New Roman" w:hint="default"/>
        </w:rPr>
      </w:pPr>
      <w:r>
        <w:rPr>
          <w:rFonts w:cs="Times New Roman" w:hint="default"/>
        </w:rPr>
        <w:t>监测频次：运行期工程</w:t>
      </w:r>
      <w:r>
        <w:rPr>
          <w:rFonts w:cs="Times New Roman" w:hint="default"/>
        </w:rPr>
        <w:t>连续</w:t>
      </w:r>
      <w:r>
        <w:rPr>
          <w:rFonts w:cs="Times New Roman" w:hint="default"/>
        </w:rPr>
        <w:t>监测</w:t>
      </w:r>
      <w:r>
        <w:rPr>
          <w:rFonts w:cs="Times New Roman" w:hint="default"/>
        </w:rPr>
        <w:t>2</w:t>
      </w:r>
      <w:r>
        <w:rPr>
          <w:rFonts w:cs="Times New Roman" w:hint="default"/>
        </w:rPr>
        <w:t>年</w:t>
      </w:r>
      <w:r>
        <w:rPr>
          <w:rFonts w:cs="Times New Roman" w:hint="default"/>
        </w:rPr>
        <w:t>。</w:t>
      </w:r>
      <w:r>
        <w:rPr>
          <w:rFonts w:cs="Times New Roman" w:hint="default"/>
        </w:rPr>
        <w:t>每年</w:t>
      </w:r>
      <w:r>
        <w:rPr>
          <w:rFonts w:cs="Times New Roman" w:hint="default"/>
        </w:rPr>
        <w:t>5</w:t>
      </w:r>
      <w:r>
        <w:rPr>
          <w:rFonts w:cs="Times New Roman" w:hint="default"/>
        </w:rPr>
        <w:t>月和</w:t>
      </w:r>
      <w:r>
        <w:rPr>
          <w:rFonts w:cs="Times New Roman" w:hint="default"/>
        </w:rPr>
        <w:t>8</w:t>
      </w:r>
      <w:r>
        <w:rPr>
          <w:rFonts w:cs="Times New Roman" w:hint="default"/>
        </w:rPr>
        <w:t>月各</w:t>
      </w:r>
      <w:r>
        <w:rPr>
          <w:rFonts w:cs="Times New Roman" w:hint="default"/>
        </w:rPr>
        <w:t>1</w:t>
      </w:r>
      <w:r>
        <w:rPr>
          <w:rFonts w:cs="Times New Roman" w:hint="default"/>
        </w:rPr>
        <w:t>次。</w:t>
      </w:r>
    </w:p>
    <w:p w:rsidR="00A46452" w:rsidRDefault="009A3928">
      <w:pPr>
        <w:pStyle w:val="a5"/>
        <w:kinsoku w:val="0"/>
        <w:overflowPunct w:val="0"/>
        <w:spacing w:after="0"/>
        <w:ind w:firstLine="456"/>
        <w:rPr>
          <w:rFonts w:cs="Times New Roman" w:hint="default"/>
        </w:rPr>
      </w:pPr>
      <w:r>
        <w:rPr>
          <w:rFonts w:cs="Times New Roman" w:hint="default"/>
          <w:spacing w:val="-6"/>
        </w:rPr>
        <w:t>监测要求：详细记录每次采样的时间、水生生物和鱼类种类、数量、优势种，</w:t>
      </w:r>
      <w:r>
        <w:rPr>
          <w:rFonts w:cs="Times New Roman" w:hint="default"/>
        </w:rPr>
        <w:t>并分析变化趋势。</w:t>
      </w:r>
    </w:p>
    <w:p w:rsidR="00A46452" w:rsidRDefault="009A3928">
      <w:pPr>
        <w:pStyle w:val="a5"/>
        <w:tabs>
          <w:tab w:val="left" w:pos="2835"/>
        </w:tabs>
        <w:kinsoku w:val="0"/>
        <w:overflowPunct w:val="0"/>
        <w:spacing w:after="0" w:line="240" w:lineRule="auto"/>
        <w:ind w:firstLineChars="0" w:firstLine="0"/>
        <w:rPr>
          <w:rFonts w:eastAsia="黑体" w:cs="Times New Roman" w:hint="default"/>
        </w:rPr>
      </w:pPr>
      <w:r>
        <w:rPr>
          <w:rFonts w:eastAsia="黑体" w:cs="Times New Roman" w:hint="default"/>
        </w:rPr>
        <w:t>表</w:t>
      </w:r>
      <w:r>
        <w:rPr>
          <w:rFonts w:eastAsia="黑体" w:cs="Times New Roman"/>
        </w:rPr>
        <w:t>10</w:t>
      </w:r>
      <w:r>
        <w:rPr>
          <w:rFonts w:eastAsia="黑体" w:cs="Times New Roman" w:hint="default"/>
        </w:rPr>
        <w:t xml:space="preserve">.2-7                 </w:t>
      </w:r>
      <w:r>
        <w:rPr>
          <w:rFonts w:eastAsia="黑体" w:cs="Times New Roman" w:hint="default"/>
        </w:rPr>
        <w:t>运行期水生生态监测</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26"/>
        <w:gridCol w:w="1765"/>
        <w:gridCol w:w="1399"/>
        <w:gridCol w:w="2222"/>
      </w:tblGrid>
      <w:tr w:rsidR="00A46452">
        <w:trPr>
          <w:trHeight w:hRule="exact" w:val="247"/>
          <w:jc w:val="center"/>
        </w:trPr>
        <w:tc>
          <w:tcPr>
            <w:tcW w:w="1835"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监测点位</w:t>
            </w:r>
          </w:p>
        </w:tc>
        <w:tc>
          <w:tcPr>
            <w:tcW w:w="1037"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监测时间</w:t>
            </w:r>
          </w:p>
        </w:tc>
        <w:tc>
          <w:tcPr>
            <w:tcW w:w="822"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监测频次</w:t>
            </w:r>
          </w:p>
        </w:tc>
        <w:tc>
          <w:tcPr>
            <w:tcW w:w="1304"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监测内容</w:t>
            </w:r>
          </w:p>
        </w:tc>
      </w:tr>
      <w:tr w:rsidR="00A46452">
        <w:trPr>
          <w:trHeight w:hRule="exact" w:val="276"/>
          <w:jc w:val="center"/>
        </w:trPr>
        <w:tc>
          <w:tcPr>
            <w:tcW w:w="1835"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苏贝希沟</w:t>
            </w:r>
            <w:r>
              <w:rPr>
                <w:rFonts w:hint="default"/>
              </w:rPr>
              <w:t>-</w:t>
            </w:r>
            <w:r>
              <w:rPr>
                <w:rFonts w:hint="default"/>
              </w:rPr>
              <w:t>加依洛萨依沟大桥断面</w:t>
            </w:r>
          </w:p>
        </w:tc>
        <w:tc>
          <w:tcPr>
            <w:tcW w:w="1037" w:type="pct"/>
            <w:vMerge w:val="restar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运行期连续监测</w:t>
            </w:r>
            <w:r>
              <w:rPr>
                <w:rFonts w:hint="default"/>
              </w:rPr>
              <w:t>2</w:t>
            </w:r>
            <w:r>
              <w:rPr>
                <w:rFonts w:hint="default"/>
              </w:rPr>
              <w:t>年</w:t>
            </w:r>
          </w:p>
        </w:tc>
        <w:tc>
          <w:tcPr>
            <w:tcW w:w="822" w:type="pct"/>
            <w:vMerge w:val="restar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5</w:t>
            </w:r>
            <w:r>
              <w:rPr>
                <w:rFonts w:hint="default"/>
              </w:rPr>
              <w:t>月和</w:t>
            </w:r>
            <w:r>
              <w:rPr>
                <w:rFonts w:hint="default"/>
              </w:rPr>
              <w:t>8</w:t>
            </w:r>
            <w:r>
              <w:rPr>
                <w:rFonts w:hint="default"/>
              </w:rPr>
              <w:t>月各</w:t>
            </w:r>
            <w:r>
              <w:rPr>
                <w:rFonts w:hint="default"/>
              </w:rPr>
              <w:t>1</w:t>
            </w:r>
            <w:r>
              <w:rPr>
                <w:rFonts w:hint="default"/>
              </w:rPr>
              <w:t>次</w:t>
            </w:r>
          </w:p>
        </w:tc>
        <w:tc>
          <w:tcPr>
            <w:tcW w:w="1304" w:type="pct"/>
            <w:vMerge w:val="restar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水文要素；浮游植物、浮游动物、底栖动物、鱼类</w:t>
            </w:r>
          </w:p>
        </w:tc>
      </w:tr>
      <w:tr w:rsidR="00A46452">
        <w:trPr>
          <w:trHeight w:hRule="exact" w:val="314"/>
          <w:jc w:val="center"/>
        </w:trPr>
        <w:tc>
          <w:tcPr>
            <w:tcW w:w="1835"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rPr>
                <w:rFonts w:hint="default"/>
              </w:rPr>
              <w:t>柯坪河大桥断面</w:t>
            </w:r>
          </w:p>
        </w:tc>
        <w:tc>
          <w:tcPr>
            <w:tcW w:w="1037"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822"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1304"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r>
      <w:tr w:rsidR="00A46452">
        <w:trPr>
          <w:trHeight w:hRule="exact" w:val="368"/>
          <w:jc w:val="center"/>
        </w:trPr>
        <w:tc>
          <w:tcPr>
            <w:tcW w:w="1835"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bookmarkStart w:id="455" w:name="_Toc98413610"/>
            <w:bookmarkStart w:id="456" w:name="_Toc154077027"/>
            <w:bookmarkStart w:id="457" w:name="_Toc6872"/>
            <w:bookmarkStart w:id="458" w:name="_Toc14059"/>
            <w:r>
              <w:t>突来买提河中桥断面</w:t>
            </w:r>
          </w:p>
        </w:tc>
        <w:tc>
          <w:tcPr>
            <w:tcW w:w="1037"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822"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1304"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r>
      <w:tr w:rsidR="00A46452">
        <w:trPr>
          <w:trHeight w:hRule="exact" w:val="378"/>
          <w:jc w:val="center"/>
        </w:trPr>
        <w:tc>
          <w:tcPr>
            <w:tcW w:w="1835" w:type="pct"/>
            <w:tcBorders>
              <w:tl2br w:val="nil"/>
              <w:tr2bl w:val="nil"/>
            </w:tcBorders>
            <w:shd w:val="clear" w:color="auto" w:fill="auto"/>
            <w:vAlign w:val="center"/>
          </w:tcPr>
          <w:p w:rsidR="00A46452" w:rsidRDefault="009A3928">
            <w:pPr>
              <w:pStyle w:val="0A16"/>
              <w:shd w:val="clear" w:color="auto" w:fill="FFFFFF" w:themeFill="background1"/>
              <w:spacing w:line="240" w:lineRule="exact"/>
              <w:rPr>
                <w:rFonts w:hint="default"/>
              </w:rPr>
            </w:pPr>
            <w:r>
              <w:t>喀什噶尔河一号中桥</w:t>
            </w:r>
          </w:p>
        </w:tc>
        <w:tc>
          <w:tcPr>
            <w:tcW w:w="1037"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822"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c>
          <w:tcPr>
            <w:tcW w:w="1304" w:type="pct"/>
            <w:vMerge/>
            <w:tcBorders>
              <w:tl2br w:val="nil"/>
              <w:tr2bl w:val="nil"/>
            </w:tcBorders>
            <w:shd w:val="clear" w:color="auto" w:fill="auto"/>
            <w:vAlign w:val="center"/>
          </w:tcPr>
          <w:p w:rsidR="00A46452" w:rsidRDefault="00A46452">
            <w:pPr>
              <w:pStyle w:val="0A16"/>
              <w:shd w:val="clear" w:color="auto" w:fill="FFFFFF" w:themeFill="background1"/>
              <w:spacing w:line="240" w:lineRule="exact"/>
              <w:rPr>
                <w:rFonts w:hint="default"/>
              </w:rPr>
            </w:pPr>
          </w:p>
        </w:tc>
      </w:tr>
    </w:tbl>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r>
        <w:rPr>
          <w:rFonts w:cs="Times New Roman" w:hint="default"/>
          <w:sz w:val="30"/>
          <w:szCs w:val="30"/>
        </w:rPr>
        <w:t>10.3</w:t>
      </w:r>
      <w:r>
        <w:rPr>
          <w:rFonts w:cs="Times New Roman" w:hint="default"/>
          <w:sz w:val="30"/>
          <w:szCs w:val="30"/>
        </w:rPr>
        <w:t>项目竣工环保验收</w:t>
      </w:r>
      <w:bookmarkEnd w:id="455"/>
      <w:bookmarkEnd w:id="456"/>
      <w:bookmarkEnd w:id="457"/>
      <w:bookmarkEnd w:id="458"/>
    </w:p>
    <w:p w:rsidR="00A46452" w:rsidRDefault="009A3928">
      <w:pPr>
        <w:pStyle w:val="a5"/>
        <w:wordWrap w:val="0"/>
        <w:topLinePunct/>
        <w:spacing w:after="0"/>
        <w:ind w:firstLine="480"/>
        <w:rPr>
          <w:rFonts w:cs="Times New Roman" w:hint="default"/>
        </w:rPr>
      </w:pPr>
      <w:r>
        <w:rPr>
          <w:rFonts w:cs="Times New Roman" w:hint="default"/>
        </w:rPr>
        <w:t>根据《建设项目环境保护验收暂行办法》（国环规环评</w:t>
      </w:r>
      <w:r>
        <w:rPr>
          <w:rFonts w:cs="Times New Roman" w:hint="default"/>
        </w:rPr>
        <w:t>〔</w:t>
      </w:r>
      <w:r>
        <w:rPr>
          <w:rFonts w:cs="Times New Roman" w:hint="default"/>
        </w:rPr>
        <w:t>2017</w:t>
      </w:r>
      <w:r>
        <w:rPr>
          <w:rFonts w:cs="Times New Roman" w:hint="default"/>
        </w:rPr>
        <w:t>〕</w:t>
      </w:r>
      <w:r>
        <w:rPr>
          <w:rFonts w:cs="Times New Roman" w:hint="default"/>
        </w:rPr>
        <w:t>4</w:t>
      </w:r>
      <w:r>
        <w:rPr>
          <w:rFonts w:cs="Times New Roman" w:hint="default"/>
        </w:rPr>
        <w:t>号</w:t>
      </w:r>
      <w:r>
        <w:rPr>
          <w:rFonts w:cs="Times New Roman" w:hint="default"/>
        </w:rPr>
        <w:t>），建设单位是建设项目竣工环境保护验收的责任主体，应按照本办法规定的程序和标准，组织对配套建设的环境保护设施进行验收，编制验收报告，公开相关信息，接受社会监督，确保建设项目配套的环境保护设施与主体工程同时投产或使用，并对验收内容、结论和所公开的信息的真实性、准确性和完整性负责。</w:t>
      </w:r>
    </w:p>
    <w:p w:rsidR="00A46452" w:rsidRDefault="009A3928">
      <w:pPr>
        <w:pStyle w:val="a5"/>
        <w:wordWrap w:val="0"/>
        <w:topLinePunct/>
        <w:spacing w:after="0"/>
        <w:ind w:firstLine="480"/>
        <w:rPr>
          <w:rFonts w:cs="Times New Roman" w:hint="default"/>
          <w:snapToGrid w:val="0"/>
          <w:lang w:val="zh-CN"/>
        </w:rPr>
      </w:pPr>
      <w:r>
        <w:rPr>
          <w:rFonts w:cs="Times New Roman" w:hint="default"/>
          <w:snapToGrid w:val="0"/>
          <w:lang w:val="zh-CN"/>
        </w:rPr>
        <w:t>本项目竣工环保验收一览表</w:t>
      </w:r>
      <w:r>
        <w:rPr>
          <w:rFonts w:cs="Times New Roman"/>
          <w:snapToGrid w:val="0"/>
        </w:rPr>
        <w:t>见表</w:t>
      </w:r>
      <w:r>
        <w:rPr>
          <w:rFonts w:cs="Times New Roman"/>
          <w:snapToGrid w:val="0"/>
        </w:rPr>
        <w:t>10</w:t>
      </w:r>
      <w:r>
        <w:rPr>
          <w:rFonts w:cs="Times New Roman" w:hint="default"/>
          <w:snapToGrid w:val="0"/>
        </w:rPr>
        <w:t>.3</w:t>
      </w:r>
      <w:r>
        <w:rPr>
          <w:rFonts w:cs="Times New Roman" w:hint="default"/>
          <w:snapToGrid w:val="0"/>
          <w:lang w:val="zh-CN"/>
        </w:rPr>
        <w:t>-1</w:t>
      </w:r>
      <w:r>
        <w:rPr>
          <w:rFonts w:cs="Times New Roman" w:hint="default"/>
          <w:snapToGrid w:val="0"/>
          <w:lang w:val="zh-CN"/>
        </w:rPr>
        <w:t>。</w:t>
      </w:r>
    </w:p>
    <w:p w:rsidR="00A46452" w:rsidRDefault="009A3928">
      <w:pPr>
        <w:wordWrap w:val="0"/>
        <w:topLinePunct/>
        <w:spacing w:line="240" w:lineRule="auto"/>
        <w:ind w:firstLineChars="0" w:firstLine="0"/>
        <w:rPr>
          <w:rFonts w:eastAsia="黑体" w:cs="Times New Roman"/>
        </w:rPr>
      </w:pPr>
      <w:r>
        <w:rPr>
          <w:rFonts w:eastAsia="黑体" w:cs="Times New Roman"/>
        </w:rPr>
        <w:t>表</w:t>
      </w:r>
      <w:r>
        <w:rPr>
          <w:rFonts w:eastAsia="黑体" w:cs="Times New Roman" w:hint="eastAsia"/>
        </w:rPr>
        <w:t>10</w:t>
      </w:r>
      <w:r>
        <w:rPr>
          <w:rFonts w:eastAsia="黑体" w:cs="Times New Roman"/>
        </w:rPr>
        <w:t>.3</w:t>
      </w:r>
      <w:r>
        <w:rPr>
          <w:rFonts w:eastAsia="黑体" w:cs="Times New Roman"/>
        </w:rPr>
        <w:t xml:space="preserve">-1  </w:t>
      </w:r>
      <w:r>
        <w:rPr>
          <w:rFonts w:eastAsia="黑体" w:cs="Times New Roman"/>
        </w:rPr>
        <w:t xml:space="preserve">              </w:t>
      </w:r>
      <w:r>
        <w:rPr>
          <w:rFonts w:eastAsia="黑体" w:cs="Times New Roman"/>
        </w:rPr>
        <w:t>公路环保措施竣工验收一览表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97"/>
        <w:gridCol w:w="1616"/>
        <w:gridCol w:w="1751"/>
        <w:gridCol w:w="2265"/>
        <w:gridCol w:w="2486"/>
      </w:tblGrid>
      <w:tr w:rsidR="00A46452">
        <w:tc>
          <w:tcPr>
            <w:tcW w:w="233"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类别</w:t>
            </w:r>
          </w:p>
        </w:tc>
        <w:tc>
          <w:tcPr>
            <w:tcW w:w="949" w:type="pct"/>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敏感点</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站场</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治理设施</w:t>
            </w:r>
          </w:p>
        </w:tc>
        <w:tc>
          <w:tcPr>
            <w:tcW w:w="145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治理效果</w:t>
            </w:r>
          </w:p>
        </w:tc>
      </w:tr>
      <w:tr w:rsidR="00A46452">
        <w:trPr>
          <w:trHeight w:val="355"/>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声环境</w:t>
            </w:r>
          </w:p>
        </w:tc>
        <w:tc>
          <w:tcPr>
            <w:tcW w:w="949" w:type="pct"/>
            <w:vMerge w:val="restart"/>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宋体" w:hAnsi="Times New Roman" w:cs="Times New Roman" w:hint="eastAsia"/>
                <w:bCs/>
                <w:sz w:val="18"/>
                <w:szCs w:val="18"/>
              </w:rPr>
              <w:t>幸福佳园一期</w:t>
            </w:r>
            <w:r>
              <w:rPr>
                <w:rFonts w:ascii="Times New Roman" w:eastAsia="宋体" w:hAnsi="Times New Roman" w:cs="Times New Roman"/>
                <w:bCs/>
                <w:sz w:val="18"/>
                <w:szCs w:val="18"/>
              </w:rPr>
              <w:t>、玉尔其乡居民区</w:t>
            </w:r>
            <w:r>
              <w:rPr>
                <w:rFonts w:ascii="Times New Roman" w:eastAsiaTheme="minorEastAsia" w:hAnsi="Times New Roman" w:cs="Times New Roman"/>
                <w:sz w:val="18"/>
                <w:szCs w:val="18"/>
              </w:rPr>
              <w:t>等</w:t>
            </w:r>
            <w:r>
              <w:rPr>
                <w:rFonts w:ascii="Times New Roman" w:eastAsiaTheme="minorEastAsia" w:hAnsi="Times New Roman" w:cs="Times New Roman"/>
                <w:sz w:val="18"/>
                <w:szCs w:val="18"/>
              </w:rPr>
              <w:t>敏感点</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禁鸣标志，经过人口密度大的村庄等路段</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设置绿化带</w:t>
            </w:r>
          </w:p>
        </w:tc>
        <w:tc>
          <w:tcPr>
            <w:tcW w:w="1459"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保护声环境保护目标的声环境质量，达到《声环境质量标准》（</w:t>
            </w:r>
            <w:r>
              <w:rPr>
                <w:rFonts w:ascii="Times New Roman" w:eastAsiaTheme="minorEastAsia" w:hAnsi="Times New Roman" w:cs="Times New Roman"/>
                <w:sz w:val="18"/>
                <w:szCs w:val="18"/>
              </w:rPr>
              <w:t>GB3096-2008</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类标准</w:t>
            </w:r>
          </w:p>
        </w:tc>
      </w:tr>
      <w:tr w:rsidR="00A46452">
        <w:trPr>
          <w:trHeight w:val="221"/>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Merge/>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宋体" w:hAnsi="Times New Roman" w:cs="Times New Roman" w:hint="eastAsia"/>
                <w:bCs/>
                <w:sz w:val="18"/>
                <w:szCs w:val="18"/>
              </w:rPr>
              <w:t>幸福佳园一期</w:t>
            </w:r>
            <w:r>
              <w:rPr>
                <w:rFonts w:ascii="Times New Roman" w:eastAsiaTheme="minorEastAsia" w:hAnsi="Times New Roman" w:cs="Times New Roman"/>
                <w:sz w:val="18"/>
                <w:szCs w:val="18"/>
              </w:rPr>
              <w:t>设置声屏障。</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284"/>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Merge/>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跟踪监测</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147"/>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Merge/>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全线定期修缮公路，避免交通噪声非正常增加</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147"/>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沿线村庄，居民点</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在通过连队、村庄设置限速、禁鸣标志，加强交通管理，严格执行限速和禁止超载等交通规则，减少交通噪声扰民的问题。</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365"/>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水环境</w:t>
            </w:r>
          </w:p>
        </w:tc>
        <w:tc>
          <w:tcPr>
            <w:tcW w:w="949" w:type="pct"/>
            <w:vMerge w:val="restart"/>
            <w:shd w:val="clear" w:color="auto" w:fill="auto"/>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宋体" w:hAnsi="Times New Roman" w:cs="Times New Roman"/>
                <w:bCs/>
                <w:kern w:val="2"/>
                <w:sz w:val="18"/>
                <w:szCs w:val="18"/>
              </w:rPr>
            </w:pPr>
            <w:r>
              <w:rPr>
                <w:rFonts w:ascii="Times New Roman" w:eastAsiaTheme="minorEastAsia" w:hAnsi="Times New Roman" w:cs="Times New Roman"/>
                <w:sz w:val="18"/>
                <w:szCs w:val="18"/>
              </w:rPr>
              <w:t>喀什噶尔河、五十团四干渠</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苏贝希沟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加依洛萨依河、柯坪河</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突来买提河、六支干渠、阿恰干渠</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中干渠</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桥梁挖孔灌注桩产生泥浆水，设置沉</w:t>
            </w:r>
            <w:r>
              <w:rPr>
                <w:rFonts w:ascii="Times New Roman" w:eastAsiaTheme="minorEastAsia" w:hAnsi="Times New Roman" w:cs="Times New Roman"/>
                <w:sz w:val="18"/>
                <w:szCs w:val="18"/>
              </w:rPr>
              <w:t>淀</w:t>
            </w:r>
            <w:r>
              <w:rPr>
                <w:rFonts w:ascii="Times New Roman" w:eastAsiaTheme="minorEastAsia" w:hAnsi="Times New Roman" w:cs="Times New Roman"/>
                <w:sz w:val="18"/>
                <w:szCs w:val="18"/>
              </w:rPr>
              <w:t>池</w:t>
            </w:r>
          </w:p>
        </w:tc>
        <w:tc>
          <w:tcPr>
            <w:tcW w:w="1459" w:type="pc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生产废水不外排，有效保护水环境</w:t>
            </w:r>
          </w:p>
        </w:tc>
      </w:tr>
      <w:tr w:rsidR="00A46452">
        <w:trPr>
          <w:trHeight w:val="379"/>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Merge/>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沉淀池施工结束后拆除恢复原貌</w:t>
            </w:r>
          </w:p>
        </w:tc>
        <w:tc>
          <w:tcPr>
            <w:tcW w:w="1459" w:type="pc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场地恢复原貌</w:t>
            </w: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Merge/>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桥梁</w:t>
            </w:r>
            <w:r>
              <w:rPr>
                <w:rFonts w:ascii="Times New Roman" w:eastAsiaTheme="minorEastAsia" w:hAnsi="Times New Roman" w:cs="Times New Roman"/>
                <w:sz w:val="18"/>
                <w:szCs w:val="18"/>
              </w:rPr>
              <w:t>施工</w:t>
            </w:r>
            <w:r>
              <w:rPr>
                <w:rFonts w:ascii="Times New Roman" w:eastAsiaTheme="minorEastAsia" w:hAnsi="Times New Roman" w:cs="Times New Roman"/>
                <w:sz w:val="18"/>
                <w:szCs w:val="18"/>
              </w:rPr>
              <w:t>材料的围挡设置，远离河道、渠道堆放</w:t>
            </w:r>
          </w:p>
        </w:tc>
        <w:tc>
          <w:tcPr>
            <w:tcW w:w="1459" w:type="pc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防止随风起尘进入水体</w:t>
            </w:r>
          </w:p>
        </w:tc>
      </w:tr>
      <w:tr w:rsidR="00A46452">
        <w:trPr>
          <w:trHeight w:val="645"/>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施工营地</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一体化污水处理设施，处理后的废水用于荒漠植被绿化；</w:t>
            </w:r>
          </w:p>
        </w:tc>
        <w:tc>
          <w:tcPr>
            <w:tcW w:w="1459"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达到新疆维吾尔自治区地方标准《农村生活污水处理排放标准》（</w:t>
            </w:r>
            <w:r>
              <w:rPr>
                <w:rFonts w:ascii="Times New Roman" w:eastAsiaTheme="minorEastAsia" w:hAnsi="Times New Roman" w:cs="Times New Roman"/>
                <w:sz w:val="18"/>
                <w:szCs w:val="18"/>
              </w:rPr>
              <w:t>DB654275-2019</w:t>
            </w:r>
            <w:r>
              <w:rPr>
                <w:rFonts w:ascii="Times New Roman" w:eastAsiaTheme="minorEastAsia" w:hAnsi="Times New Roman" w:cs="Times New Roman"/>
                <w:sz w:val="18"/>
                <w:szCs w:val="18"/>
              </w:rPr>
              <w:t>）表</w:t>
            </w:r>
            <w:r>
              <w:rPr>
                <w:rFonts w:ascii="Times New Roman" w:eastAsiaTheme="minorEastAsia" w:hAnsi="Times New Roman" w:cs="Times New Roman"/>
                <w:sz w:val="18"/>
                <w:szCs w:val="18"/>
              </w:rPr>
              <w:t>2</w:t>
            </w:r>
            <w:r>
              <w:rPr>
                <w:rFonts w:ascii="Times New Roman" w:eastAsiaTheme="minorEastAsia" w:hAnsi="Times New Roman" w:cs="Times New Roman"/>
                <w:sz w:val="18"/>
                <w:szCs w:val="18"/>
              </w:rPr>
              <w:t>中</w:t>
            </w:r>
            <w:r>
              <w:rPr>
                <w:rFonts w:ascii="Times New Roman" w:eastAsiaTheme="minorEastAsia" w:hAnsi="Times New Roman" w:cs="Times New Roman"/>
                <w:sz w:val="18"/>
                <w:szCs w:val="18"/>
              </w:rPr>
              <w:t>B</w:t>
            </w:r>
            <w:r>
              <w:rPr>
                <w:rFonts w:ascii="Times New Roman" w:eastAsiaTheme="minorEastAsia" w:hAnsi="Times New Roman" w:cs="Times New Roman"/>
                <w:sz w:val="18"/>
                <w:szCs w:val="18"/>
              </w:rPr>
              <w:t>级限值，</w:t>
            </w:r>
            <w:r>
              <w:rPr>
                <w:rFonts w:ascii="Times New Roman" w:eastAsiaTheme="minorEastAsia" w:hAnsi="Times New Roman" w:cs="Times New Roman"/>
                <w:sz w:val="18"/>
                <w:szCs w:val="18"/>
              </w:rPr>
              <w:t>冬储夏灌</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循环利用，</w:t>
            </w:r>
            <w:r>
              <w:rPr>
                <w:rFonts w:ascii="Times New Roman" w:eastAsiaTheme="minorEastAsia" w:hAnsi="Times New Roman" w:cs="Times New Roman"/>
                <w:sz w:val="18"/>
                <w:szCs w:val="18"/>
              </w:rPr>
              <w:t>不进入地表水体</w:t>
            </w:r>
            <w:r>
              <w:rPr>
                <w:rFonts w:ascii="Times New Roman" w:eastAsiaTheme="minorEastAsia" w:hAnsi="Times New Roman" w:cs="Times New Roman"/>
                <w:sz w:val="18"/>
                <w:szCs w:val="18"/>
              </w:rPr>
              <w:t>。</w:t>
            </w: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施工场站</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预制场、拌合站</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机械冲洗等</w:t>
            </w:r>
            <w:r>
              <w:rPr>
                <w:rFonts w:ascii="Times New Roman" w:eastAsiaTheme="minorEastAsia" w:hAnsi="Times New Roman" w:cs="Times New Roman"/>
                <w:sz w:val="18"/>
                <w:szCs w:val="18"/>
              </w:rPr>
              <w:t>设置沉淀池</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隔油池</w:t>
            </w:r>
            <w:r>
              <w:rPr>
                <w:rFonts w:ascii="Times New Roman" w:eastAsiaTheme="minorEastAsia" w:hAnsi="Times New Roman" w:cs="Times New Roman"/>
                <w:sz w:val="18"/>
                <w:szCs w:val="18"/>
              </w:rPr>
              <w:t>收集施工</w:t>
            </w:r>
            <w:r>
              <w:rPr>
                <w:rFonts w:ascii="Times New Roman" w:eastAsiaTheme="minorEastAsia" w:hAnsi="Times New Roman" w:cs="Times New Roman"/>
                <w:sz w:val="18"/>
                <w:szCs w:val="18"/>
              </w:rPr>
              <w:t>生产</w:t>
            </w:r>
            <w:r>
              <w:rPr>
                <w:rFonts w:ascii="Times New Roman" w:eastAsiaTheme="minorEastAsia" w:hAnsi="Times New Roman" w:cs="Times New Roman"/>
                <w:sz w:val="18"/>
                <w:szCs w:val="18"/>
              </w:rPr>
              <w:t>废水，清液洒水降尘。</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497"/>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生态</w:t>
            </w:r>
            <w:r>
              <w:rPr>
                <w:rFonts w:ascii="Times New Roman" w:eastAsiaTheme="minorEastAsia" w:hAnsi="Times New Roman" w:cs="Times New Roman"/>
                <w:sz w:val="18"/>
                <w:szCs w:val="18"/>
              </w:rPr>
              <w:t>环境</w:t>
            </w: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弃土场</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风积沙料场的开挖深度占地面积及临时占地恢复，弃土场场地平整</w:t>
            </w:r>
            <w:r>
              <w:rPr>
                <w:rFonts w:ascii="Times New Roman" w:eastAsiaTheme="minorEastAsia" w:hAnsi="Times New Roman" w:cs="Times New Roman"/>
                <w:sz w:val="18"/>
                <w:szCs w:val="18"/>
              </w:rPr>
              <w:t>，取土场设置临时防尘密目网。</w:t>
            </w:r>
          </w:p>
        </w:tc>
        <w:tc>
          <w:tcPr>
            <w:tcW w:w="1459"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临时占地迹地恢复，平整，</w:t>
            </w:r>
            <w:r>
              <w:rPr>
                <w:rFonts w:ascii="Times New Roman" w:eastAsiaTheme="minorEastAsia" w:hAnsi="Times New Roman" w:cs="Times New Roman"/>
                <w:sz w:val="18"/>
                <w:szCs w:val="18"/>
              </w:rPr>
              <w:t>占补平衡</w:t>
            </w:r>
            <w:r>
              <w:rPr>
                <w:rFonts w:ascii="Times New Roman" w:eastAsiaTheme="minorEastAsia" w:hAnsi="Times New Roman" w:cs="Times New Roman"/>
                <w:sz w:val="18"/>
                <w:szCs w:val="18"/>
              </w:rPr>
              <w:t>达到</w:t>
            </w:r>
            <w:r>
              <w:rPr>
                <w:rFonts w:ascii="Times New Roman" w:eastAsiaTheme="minorEastAsia" w:hAnsi="Times New Roman" w:cs="Times New Roman"/>
                <w:sz w:val="18"/>
                <w:szCs w:val="18"/>
              </w:rPr>
              <w:t>水土流失</w:t>
            </w:r>
            <w:r>
              <w:rPr>
                <w:rFonts w:ascii="Times New Roman" w:eastAsiaTheme="minorEastAsia" w:hAnsi="Times New Roman" w:cs="Times New Roman"/>
                <w:sz w:val="18"/>
                <w:szCs w:val="18"/>
              </w:rPr>
              <w:t>防治目标</w:t>
            </w:r>
            <w:r>
              <w:rPr>
                <w:rFonts w:ascii="Times New Roman" w:eastAsiaTheme="minorEastAsia" w:hAnsi="Times New Roman" w:cs="Times New Roman"/>
                <w:sz w:val="18"/>
                <w:szCs w:val="18"/>
              </w:rPr>
              <w:t>。</w:t>
            </w: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施工站场</w:t>
            </w:r>
          </w:p>
        </w:tc>
        <w:tc>
          <w:tcPr>
            <w:tcW w:w="2357" w:type="pct"/>
            <w:gridSpan w:val="2"/>
            <w:vAlign w:val="center"/>
          </w:tcPr>
          <w:p w:rsidR="00A46452" w:rsidRDefault="009A3928">
            <w:pPr>
              <w:pStyle w:val="affff6"/>
              <w:wordWrap w:val="0"/>
              <w:overflowPunct/>
              <w:topLinePunct/>
              <w:snapToGrid w:val="0"/>
              <w:spacing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在施工完成后及时平整，自然恢复</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永久占地</w:t>
            </w:r>
          </w:p>
        </w:tc>
        <w:tc>
          <w:tcPr>
            <w:tcW w:w="2357" w:type="pct"/>
            <w:gridSpan w:val="2"/>
            <w:vAlign w:val="center"/>
          </w:tcPr>
          <w:p w:rsidR="00A46452" w:rsidRDefault="009A3928">
            <w:pPr>
              <w:pStyle w:val="affff6"/>
              <w:wordWrap w:val="0"/>
              <w:overflowPunct/>
              <w:topLinePunct/>
              <w:snapToGrid w:val="0"/>
              <w:spacing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占用林地、耕地、草地的质量数量</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施工便道</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施工便道占地，洒水降尘。施工结束后应尽量保留硬壳，防治扬尘、清理场地，覆土恢复迹地。</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vAlign w:val="center"/>
          </w:tcPr>
          <w:p w:rsidR="00A46452" w:rsidRDefault="009A3928">
            <w:pPr>
              <w:pStyle w:val="affff6"/>
              <w:wordWrap w:val="0"/>
              <w:overflowPunct/>
              <w:topLinePunct/>
              <w:snapToGrid w:val="0"/>
              <w:spacing w:before="0" w:after="0" w:line="240" w:lineRule="auto"/>
              <w:ind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防风防沙</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严禁超红线外作业；严禁随意碾压和踩踏施工区外的沙地的结皮；路基边坡及路基两侧覆土并对边坡播种草籽，对宜草宜林路段实施植树种草进行植被恢复；临时占地进行土地整治、表土回覆，坡面设置沙障，坡面及底部采用灌草结合的方式恢复植被</w:t>
            </w:r>
            <w:r>
              <w:rPr>
                <w:rFonts w:ascii="Times New Roman" w:eastAsiaTheme="minorEastAsia" w:hAnsi="Times New Roman" w:cs="Times New Roman"/>
                <w:sz w:val="18"/>
                <w:szCs w:val="18"/>
              </w:rPr>
              <w:t>。</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340"/>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大气</w:t>
            </w:r>
          </w:p>
        </w:tc>
        <w:tc>
          <w:tcPr>
            <w:tcW w:w="3306" w:type="pct"/>
            <w:gridSpan w:val="3"/>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公路施工中，砂石料、水泥等物料在</w:t>
            </w:r>
            <w:r>
              <w:rPr>
                <w:rFonts w:ascii="Times New Roman" w:eastAsiaTheme="minorEastAsia" w:hAnsi="Times New Roman" w:cs="Times New Roman"/>
                <w:sz w:val="18"/>
                <w:szCs w:val="18"/>
              </w:rPr>
              <w:t>拌合</w:t>
            </w:r>
            <w:r>
              <w:rPr>
                <w:rFonts w:ascii="Times New Roman" w:eastAsiaTheme="minorEastAsia" w:hAnsi="Times New Roman" w:cs="Times New Roman"/>
                <w:sz w:val="18"/>
                <w:szCs w:val="18"/>
              </w:rPr>
              <w:t>过程中易起尘。本项目中采用拌合站集中拌合的方式，包括沥青混凝土拌和、稳定土拌和、水泥混凝土拌和，拌合站物料传输、提升、筛分等工序都会有粉尘产生，拌合站使用先进的设备，物料传输采用全封闭式，粉尘排放点配备除尘器，只要保证除尘器正常使用，拌合站工</w:t>
            </w:r>
            <w:r>
              <w:rPr>
                <w:rFonts w:ascii="Times New Roman" w:eastAsiaTheme="minorEastAsia" w:hAnsi="Times New Roman" w:cs="Times New Roman"/>
                <w:sz w:val="18"/>
                <w:szCs w:val="18"/>
              </w:rPr>
              <w:t>艺排放的粉尘可以满足相应的排放标准</w:t>
            </w:r>
            <w:r>
              <w:rPr>
                <w:rFonts w:ascii="Times New Roman" w:eastAsiaTheme="minorEastAsia" w:hAnsi="Times New Roman" w:cs="Times New Roman"/>
                <w:sz w:val="18"/>
                <w:szCs w:val="18"/>
              </w:rPr>
              <w:t>。</w:t>
            </w:r>
          </w:p>
        </w:tc>
        <w:tc>
          <w:tcPr>
            <w:tcW w:w="1459"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《大气污染物综合排放标准》（</w:t>
            </w:r>
            <w:r>
              <w:rPr>
                <w:rFonts w:ascii="Times New Roman" w:eastAsiaTheme="minorEastAsia" w:hAnsi="Times New Roman" w:cs="Times New Roman"/>
                <w:sz w:val="18"/>
                <w:szCs w:val="18"/>
              </w:rPr>
              <w:t>GB16297-1996</w:t>
            </w:r>
            <w:r>
              <w:rPr>
                <w:rFonts w:ascii="Times New Roman" w:eastAsiaTheme="minorEastAsia" w:hAnsi="Times New Roman" w:cs="Times New Roman"/>
                <w:sz w:val="18"/>
                <w:szCs w:val="18"/>
              </w:rPr>
              <w:t>）的无组织监控浓度限值、《环境空气质量标准》（</w:t>
            </w:r>
            <w:r>
              <w:rPr>
                <w:rFonts w:ascii="Times New Roman" w:eastAsiaTheme="minorEastAsia" w:hAnsi="Times New Roman" w:cs="Times New Roman"/>
                <w:sz w:val="18"/>
                <w:szCs w:val="18"/>
              </w:rPr>
              <w:t>GB 3095-2012</w:t>
            </w:r>
            <w:r>
              <w:rPr>
                <w:rFonts w:ascii="Times New Roman" w:eastAsiaTheme="minorEastAsia" w:hAnsi="Times New Roman" w:cs="Times New Roman"/>
                <w:sz w:val="18"/>
                <w:szCs w:val="18"/>
              </w:rPr>
              <w:t>）二级标准。</w:t>
            </w:r>
          </w:p>
        </w:tc>
      </w:tr>
      <w:tr w:rsidR="00A46452">
        <w:trPr>
          <w:trHeight w:val="239"/>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苫布遮盖，运输车辆、临时堆土，防止扬尘、粉尘物料溢出</w:t>
            </w:r>
            <w:r>
              <w:rPr>
                <w:rFonts w:ascii="Times New Roman" w:eastAsiaTheme="minorEastAsia" w:hAnsi="Times New Roman" w:cs="Times New Roman"/>
                <w:sz w:val="18"/>
                <w:szCs w:val="18"/>
              </w:rPr>
              <w:t>。</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295"/>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拌和站</w:t>
            </w:r>
            <w:r>
              <w:rPr>
                <w:rFonts w:ascii="Times New Roman" w:eastAsiaTheme="minorEastAsia" w:hAnsi="Times New Roman" w:cs="Times New Roman"/>
                <w:sz w:val="18"/>
                <w:szCs w:val="18"/>
              </w:rPr>
              <w:t>除尘装置、沥青烟净化装置，减少粉尘及沥青烟排放</w:t>
            </w:r>
            <w:r>
              <w:rPr>
                <w:rFonts w:ascii="Times New Roman" w:eastAsiaTheme="minorEastAsia" w:hAnsi="Times New Roman" w:cs="Times New Roman"/>
                <w:sz w:val="18"/>
                <w:szCs w:val="18"/>
              </w:rPr>
              <w:t>。</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306"/>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扬尘污染防治措施：检查是否配备洒水车、路面清扫车。公路施工中，砂石料、水泥等物料在</w:t>
            </w:r>
            <w:r>
              <w:rPr>
                <w:rFonts w:ascii="Times New Roman" w:eastAsiaTheme="minorEastAsia" w:hAnsi="Times New Roman" w:cs="Times New Roman"/>
                <w:sz w:val="18"/>
                <w:szCs w:val="18"/>
              </w:rPr>
              <w:t>拌合</w:t>
            </w:r>
            <w:r>
              <w:rPr>
                <w:rFonts w:ascii="Times New Roman" w:eastAsiaTheme="minorEastAsia" w:hAnsi="Times New Roman" w:cs="Times New Roman"/>
                <w:sz w:val="18"/>
                <w:szCs w:val="18"/>
              </w:rPr>
              <w:t>过程中易起尘。本项目中采用拌合站集中拌合的方式，包括沥青混凝土拌和、稳定土拌和、水泥混凝土拌和，拌合站物料传输、提升、筛分等工序都会有粉尘产生，拌合站使用先进的设备，物料传输采用全封闭式，粉尘排放点配备除尘器，只要保证除尘器正常使用，拌合站工艺排放的粉尘可以满足相应的排放标准</w:t>
            </w:r>
            <w:r>
              <w:rPr>
                <w:rFonts w:ascii="Times New Roman" w:eastAsiaTheme="minorEastAsia" w:hAnsi="Times New Roman" w:cs="Times New Roman"/>
                <w:sz w:val="18"/>
                <w:szCs w:val="18"/>
              </w:rPr>
              <w:t>。</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249"/>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固废</w:t>
            </w:r>
          </w:p>
        </w:tc>
        <w:tc>
          <w:tcPr>
            <w:tcW w:w="3306" w:type="pct"/>
            <w:gridSpan w:val="3"/>
            <w:vAlign w:val="center"/>
          </w:tcPr>
          <w:p w:rsidR="00A46452" w:rsidRDefault="009A3928">
            <w:pPr>
              <w:pStyle w:val="affff6"/>
              <w:wordWrap w:val="0"/>
              <w:overflowPunct/>
              <w:topLinePunct/>
              <w:snapToGrid w:val="0"/>
              <w:spacing w:before="0" w:after="0" w:line="240" w:lineRule="auto"/>
              <w:ind w:firstLineChars="0" w:firstLine="0"/>
              <w:jc w:val="left"/>
              <w:rPr>
                <w:rFonts w:ascii="Times New Roman" w:eastAsiaTheme="minorEastAsia" w:hAnsi="Times New Roman" w:cs="Times New Roman"/>
                <w:sz w:val="18"/>
                <w:szCs w:val="18"/>
              </w:rPr>
            </w:pPr>
            <w:r>
              <w:rPr>
                <w:rFonts w:ascii="Times New Roman" w:eastAsiaTheme="minorEastAsia" w:hAnsi="Times New Roman" w:cs="Times New Roman"/>
                <w:sz w:val="18"/>
                <w:szCs w:val="18"/>
              </w:rPr>
              <w:t>施工生产生活区的垃圾收集清运</w:t>
            </w:r>
            <w:r>
              <w:rPr>
                <w:rFonts w:ascii="Times New Roman" w:eastAsiaTheme="minorEastAsia" w:hAnsi="Times New Roman" w:cs="Times New Roman"/>
                <w:sz w:val="18"/>
                <w:szCs w:val="18"/>
              </w:rPr>
              <w:t>。</w:t>
            </w:r>
          </w:p>
        </w:tc>
        <w:tc>
          <w:tcPr>
            <w:tcW w:w="1459"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《一般工业固体废物贮存和填埋污染控制标准》（</w:t>
            </w:r>
            <w:r>
              <w:rPr>
                <w:rFonts w:ascii="Times New Roman" w:eastAsiaTheme="minorEastAsia" w:hAnsi="Times New Roman" w:cs="Times New Roman"/>
                <w:sz w:val="18"/>
                <w:szCs w:val="18"/>
              </w:rPr>
              <w:t>GB18599-2020</w:t>
            </w:r>
            <w:r>
              <w:rPr>
                <w:rFonts w:ascii="Times New Roman" w:eastAsiaTheme="minorEastAsia" w:hAnsi="Times New Roman" w:cs="Times New Roman"/>
                <w:sz w:val="18"/>
                <w:szCs w:val="18"/>
              </w:rPr>
              <w:t>）、《生活垃圾填埋场污染控制标准》</w:t>
            </w:r>
            <w:r>
              <w:rPr>
                <w:rFonts w:ascii="Times New Roman" w:eastAsiaTheme="minorEastAsia" w:hAnsi="Times New Roman" w:cs="Times New Roman"/>
                <w:sz w:val="18"/>
                <w:szCs w:val="18"/>
              </w:rPr>
              <w:t>(GB16889-20</w:t>
            </w:r>
            <w:r>
              <w:rPr>
                <w:rFonts w:ascii="Times New Roman" w:eastAsiaTheme="minorEastAsia" w:hAnsi="Times New Roman" w:cs="Times New Roman"/>
                <w:sz w:val="18"/>
                <w:szCs w:val="18"/>
              </w:rPr>
              <w:t>24</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100%</w:t>
            </w:r>
            <w:r>
              <w:rPr>
                <w:rFonts w:ascii="Times New Roman" w:eastAsiaTheme="minorEastAsia" w:hAnsi="Times New Roman" w:cs="Times New Roman"/>
                <w:sz w:val="18"/>
                <w:szCs w:val="18"/>
              </w:rPr>
              <w:t>处理</w:t>
            </w:r>
          </w:p>
        </w:tc>
      </w:tr>
      <w:tr w:rsidR="00A46452">
        <w:trPr>
          <w:trHeight w:val="284"/>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vAlign w:val="center"/>
          </w:tcPr>
          <w:p w:rsidR="00A46452" w:rsidRDefault="009A3928">
            <w:pPr>
              <w:pStyle w:val="affff6"/>
              <w:wordWrap w:val="0"/>
              <w:overflowPunct/>
              <w:topLinePunct/>
              <w:snapToGrid w:val="0"/>
              <w:spacing w:before="0" w:after="0" w:line="240" w:lineRule="auto"/>
              <w:ind w:firstLineChars="0" w:firstLine="0"/>
              <w:jc w:val="left"/>
              <w:rPr>
                <w:rFonts w:ascii="Times New Roman" w:eastAsiaTheme="minorEastAsia" w:hAnsi="Times New Roman" w:cs="Times New Roman"/>
                <w:sz w:val="18"/>
                <w:szCs w:val="18"/>
              </w:rPr>
            </w:pPr>
            <w:r>
              <w:rPr>
                <w:rFonts w:ascii="Times New Roman" w:eastAsiaTheme="minorEastAsia" w:hAnsi="Times New Roman" w:cs="Times New Roman"/>
                <w:sz w:val="18"/>
                <w:szCs w:val="18"/>
              </w:rPr>
              <w:t>清运土石方至弃</w:t>
            </w:r>
            <w:r>
              <w:rPr>
                <w:rFonts w:ascii="Times New Roman" w:eastAsiaTheme="minorEastAsia" w:hAnsi="Times New Roman" w:cs="Times New Roman"/>
                <w:sz w:val="18"/>
                <w:szCs w:val="18"/>
              </w:rPr>
              <w:t>土</w:t>
            </w:r>
            <w:r>
              <w:rPr>
                <w:rFonts w:ascii="Times New Roman" w:eastAsiaTheme="minorEastAsia" w:hAnsi="Times New Roman" w:cs="Times New Roman"/>
                <w:sz w:val="18"/>
                <w:szCs w:val="18"/>
              </w:rPr>
              <w:t>场</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场地进行迹地恢复。</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375"/>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vAlign w:val="center"/>
          </w:tcPr>
          <w:p w:rsidR="00A46452" w:rsidRDefault="009A3928">
            <w:pPr>
              <w:pStyle w:val="affff6"/>
              <w:wordWrap w:val="0"/>
              <w:overflowPunct/>
              <w:topLinePunct/>
              <w:snapToGrid w:val="0"/>
              <w:spacing w:before="0" w:after="0" w:line="240" w:lineRule="auto"/>
              <w:ind w:firstLineChars="0" w:firstLine="0"/>
              <w:jc w:val="left"/>
              <w:rPr>
                <w:rFonts w:ascii="Times New Roman" w:eastAsiaTheme="minorEastAsia" w:hAnsi="Times New Roman" w:cs="Times New Roman"/>
                <w:sz w:val="18"/>
                <w:szCs w:val="18"/>
              </w:rPr>
            </w:pPr>
            <w:r>
              <w:rPr>
                <w:rFonts w:ascii="Times New Roman" w:eastAsiaTheme="minorEastAsia" w:hAnsi="Times New Roman" w:cs="Times New Roman"/>
                <w:sz w:val="18"/>
                <w:szCs w:val="18"/>
              </w:rPr>
              <w:t>清运拆迁垃圾至</w:t>
            </w:r>
            <w:r>
              <w:rPr>
                <w:rFonts w:ascii="Times New Roman" w:eastAsiaTheme="minorEastAsia" w:hAnsi="Times New Roman" w:cs="Times New Roman"/>
                <w:sz w:val="18"/>
                <w:szCs w:val="18"/>
              </w:rPr>
              <w:t>附近县市</w:t>
            </w:r>
            <w:r>
              <w:rPr>
                <w:rFonts w:ascii="Times New Roman" w:eastAsiaTheme="minorEastAsia" w:hAnsi="Times New Roman" w:cs="Times New Roman"/>
                <w:sz w:val="18"/>
                <w:szCs w:val="18"/>
              </w:rPr>
              <w:t>建筑垃圾填埋场</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261"/>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vAlign w:val="center"/>
          </w:tcPr>
          <w:p w:rsidR="00A46452" w:rsidRDefault="009A3928">
            <w:pPr>
              <w:pStyle w:val="affff6"/>
              <w:wordWrap w:val="0"/>
              <w:overflowPunct/>
              <w:topLinePunct/>
              <w:snapToGrid w:val="0"/>
              <w:spacing w:before="0" w:after="0" w:line="240" w:lineRule="auto"/>
              <w:ind w:firstLineChars="0" w:firstLine="0"/>
              <w:jc w:val="left"/>
              <w:rPr>
                <w:rFonts w:ascii="Times New Roman" w:eastAsiaTheme="minorEastAsia" w:hAnsi="Times New Roman" w:cs="Times New Roman"/>
                <w:sz w:val="18"/>
                <w:szCs w:val="18"/>
              </w:rPr>
            </w:pPr>
            <w:r>
              <w:rPr>
                <w:rFonts w:ascii="Times New Roman" w:eastAsiaTheme="minorEastAsia" w:hAnsi="Times New Roman" w:cs="Times New Roman"/>
                <w:sz w:val="18"/>
                <w:szCs w:val="18"/>
              </w:rPr>
              <w:t>运营期的辅助设施生活垃圾收集系统：垃圾桶、垃圾箱、垃圾车</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3306" w:type="pct"/>
            <w:gridSpan w:val="3"/>
            <w:vAlign w:val="center"/>
          </w:tcPr>
          <w:p w:rsidR="00A46452" w:rsidRDefault="009A3928">
            <w:pPr>
              <w:pStyle w:val="affff6"/>
              <w:wordWrap w:val="0"/>
              <w:overflowPunct/>
              <w:topLinePunct/>
              <w:snapToGrid w:val="0"/>
              <w:spacing w:before="0" w:after="0" w:line="240" w:lineRule="auto"/>
              <w:ind w:firstLineChars="0" w:firstLine="0"/>
              <w:jc w:val="left"/>
              <w:rPr>
                <w:rFonts w:ascii="Times New Roman" w:eastAsiaTheme="minorEastAsia" w:hAnsi="Times New Roman" w:cs="Times New Roman"/>
                <w:sz w:val="18"/>
                <w:szCs w:val="18"/>
              </w:rPr>
            </w:pPr>
            <w:r>
              <w:rPr>
                <w:rFonts w:ascii="Times New Roman" w:eastAsiaTheme="minorEastAsia" w:hAnsi="Times New Roman" w:cs="Times New Roman"/>
                <w:sz w:val="18"/>
                <w:szCs w:val="18"/>
              </w:rPr>
              <w:t>危险废物</w:t>
            </w:r>
            <w:r>
              <w:rPr>
                <w:rFonts w:ascii="Times New Roman" w:eastAsiaTheme="minorEastAsia" w:hAnsi="Times New Roman" w:cs="Times New Roman"/>
                <w:sz w:val="18"/>
                <w:szCs w:val="18"/>
              </w:rPr>
              <w:t>委托有资质单位处置</w:t>
            </w:r>
          </w:p>
        </w:tc>
        <w:tc>
          <w:tcPr>
            <w:tcW w:w="1459" w:type="pc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《危险废物贮存污染控制标准》（</w:t>
            </w:r>
            <w:r>
              <w:rPr>
                <w:rFonts w:ascii="Times New Roman" w:eastAsiaTheme="minorEastAsia" w:hAnsi="Times New Roman" w:cs="Times New Roman"/>
                <w:sz w:val="18"/>
                <w:szCs w:val="18"/>
              </w:rPr>
              <w:t>GB18597-2023</w:t>
            </w:r>
            <w:r>
              <w:rPr>
                <w:rFonts w:ascii="Times New Roman" w:eastAsiaTheme="minorEastAsia" w:hAnsi="Times New Roman" w:cs="Times New Roman"/>
                <w:sz w:val="18"/>
                <w:szCs w:val="18"/>
              </w:rPr>
              <w:t>）</w:t>
            </w:r>
          </w:p>
        </w:tc>
      </w:tr>
      <w:tr w:rsidR="00A46452">
        <w:trPr>
          <w:trHeight w:val="261"/>
        </w:trPr>
        <w:tc>
          <w:tcPr>
            <w:tcW w:w="233" w:type="pct"/>
            <w:vMerge w:val="restar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环境风险</w:t>
            </w:r>
          </w:p>
        </w:tc>
        <w:tc>
          <w:tcPr>
            <w:tcW w:w="949" w:type="pct"/>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制定应急预案</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防范公路危险品运输事故</w:t>
            </w:r>
          </w:p>
        </w:tc>
        <w:tc>
          <w:tcPr>
            <w:tcW w:w="1459" w:type="pct"/>
            <w:vMerge w:val="restart"/>
            <w:vAlign w:val="center"/>
          </w:tcPr>
          <w:p w:rsidR="00A46452" w:rsidRDefault="009A3928">
            <w:pPr>
              <w:pStyle w:val="affff6"/>
              <w:wordWrap w:val="0"/>
              <w:overflowPunct/>
              <w:topLinePunct/>
              <w:snapToGrid w:val="0"/>
              <w:spacing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尽可能降低风险事故的发生概率；万一发生时能及时有效地处理，尽量降低对周围水环境的污染</w:t>
            </w:r>
          </w:p>
        </w:tc>
      </w:tr>
      <w:tr w:rsidR="00A46452">
        <w:trPr>
          <w:trHeight w:val="272"/>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197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柯坪河大桥、五十团四干渠大桥、突来买提河中桥、喀什噶尔河中桥、苏贝希沟</w:t>
            </w:r>
            <w:r>
              <w:rPr>
                <w:rFonts w:ascii="Times New Roman" w:eastAsiaTheme="minorEastAsia" w:hAnsi="Times New Roman" w:cs="Times New Roman"/>
                <w:sz w:val="18"/>
                <w:szCs w:val="18"/>
              </w:rPr>
              <w:t>-</w:t>
            </w:r>
            <w:r>
              <w:rPr>
                <w:rFonts w:ascii="Times New Roman" w:eastAsiaTheme="minorEastAsia" w:hAnsi="Times New Roman" w:cs="Times New Roman"/>
                <w:sz w:val="18"/>
                <w:szCs w:val="18"/>
              </w:rPr>
              <w:t>加依洛萨依河大桥、喀什噶尔河中桥、阿恰中渠等大中桥。</w:t>
            </w:r>
          </w:p>
        </w:tc>
        <w:tc>
          <w:tcPr>
            <w:tcW w:w="1329" w:type="pct"/>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对于跨越河流</w:t>
            </w:r>
            <w:r>
              <w:rPr>
                <w:rFonts w:ascii="Times New Roman" w:eastAsiaTheme="minorEastAsia" w:hAnsi="Times New Roman" w:cs="Times New Roman"/>
                <w:sz w:val="18"/>
                <w:szCs w:val="18"/>
              </w:rPr>
              <w:t>大中型</w:t>
            </w:r>
            <w:r>
              <w:rPr>
                <w:rFonts w:ascii="Times New Roman" w:eastAsiaTheme="minorEastAsia" w:hAnsi="Times New Roman" w:cs="Times New Roman"/>
                <w:sz w:val="18"/>
                <w:szCs w:val="18"/>
              </w:rPr>
              <w:t>桥梁设置水泥防撞护栏，防撞护栏高度大于</w:t>
            </w:r>
            <w:r>
              <w:rPr>
                <w:rFonts w:ascii="Times New Roman" w:eastAsiaTheme="minorEastAsia" w:hAnsi="Times New Roman" w:cs="Times New Roman"/>
                <w:sz w:val="18"/>
                <w:szCs w:val="18"/>
              </w:rPr>
              <w:t xml:space="preserve">1m </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241"/>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警示牌</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桥头两侧设置警示标志，提示过往的车辆</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r w:rsidR="00A46452">
        <w:trPr>
          <w:trHeight w:val="333"/>
        </w:trPr>
        <w:tc>
          <w:tcPr>
            <w:tcW w:w="233"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c>
          <w:tcPr>
            <w:tcW w:w="949" w:type="pct"/>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应急物资</w:t>
            </w:r>
          </w:p>
        </w:tc>
        <w:tc>
          <w:tcPr>
            <w:tcW w:w="2357" w:type="pct"/>
            <w:gridSpan w:val="2"/>
            <w:vAlign w:val="center"/>
          </w:tcPr>
          <w:p w:rsidR="00A46452" w:rsidRDefault="009A3928">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r>
              <w:rPr>
                <w:rFonts w:ascii="Times New Roman" w:eastAsiaTheme="minorEastAsia" w:hAnsi="Times New Roman" w:cs="Times New Roman"/>
                <w:sz w:val="18"/>
                <w:szCs w:val="18"/>
              </w:rPr>
              <w:t>沿线附属设施内储备足够的应急物资，防范风险</w:t>
            </w:r>
          </w:p>
        </w:tc>
        <w:tc>
          <w:tcPr>
            <w:tcW w:w="1459" w:type="pct"/>
            <w:vMerge/>
            <w:vAlign w:val="center"/>
          </w:tcPr>
          <w:p w:rsidR="00A46452" w:rsidRDefault="00A46452">
            <w:pPr>
              <w:pStyle w:val="affff6"/>
              <w:wordWrap w:val="0"/>
              <w:overflowPunct/>
              <w:topLinePunct/>
              <w:snapToGrid w:val="0"/>
              <w:spacing w:before="0" w:after="0" w:line="240" w:lineRule="auto"/>
              <w:ind w:firstLineChars="0" w:firstLine="0"/>
              <w:rPr>
                <w:rFonts w:ascii="Times New Roman" w:eastAsiaTheme="minorEastAsia" w:hAnsi="Times New Roman" w:cs="Times New Roman"/>
                <w:sz w:val="18"/>
                <w:szCs w:val="18"/>
              </w:rPr>
            </w:pPr>
          </w:p>
        </w:tc>
      </w:tr>
    </w:tbl>
    <w:bookmarkEnd w:id="454"/>
    <w:p w:rsidR="00A46452" w:rsidRDefault="009A3928">
      <w:pPr>
        <w:wordWrap w:val="0"/>
        <w:topLinePunct/>
        <w:adjustRightInd w:val="0"/>
        <w:snapToGrid w:val="0"/>
        <w:ind w:firstLine="480"/>
        <w:rPr>
          <w:rFonts w:cs="Times New Roman"/>
          <w:szCs w:val="24"/>
        </w:rPr>
        <w:sectPr w:rsidR="00A46452">
          <w:pgSz w:w="11905" w:h="16838"/>
          <w:pgMar w:top="1383" w:right="1803" w:bottom="1383" w:left="1803" w:header="850" w:footer="680" w:gutter="0"/>
          <w:cols w:space="0"/>
          <w:docGrid w:type="lines" w:linePitch="331"/>
        </w:sectPr>
      </w:pPr>
      <w:r>
        <w:rPr>
          <w:rFonts w:cs="Times New Roman"/>
          <w:szCs w:val="22"/>
        </w:rPr>
        <w:t xml:space="preserve"> </w:t>
      </w:r>
      <w:bookmarkStart w:id="459" w:name="bookmark58"/>
      <w:bookmarkEnd w:id="459"/>
    </w:p>
    <w:p w:rsidR="00A46452" w:rsidRDefault="009A3928">
      <w:pPr>
        <w:pStyle w:val="1"/>
        <w:wordWrap w:val="0"/>
        <w:topLinePunct/>
        <w:adjustRightInd w:val="0"/>
        <w:snapToGrid w:val="0"/>
        <w:jc w:val="left"/>
        <w:rPr>
          <w:rFonts w:eastAsia="黑体" w:cs="Times New Roman" w:hint="default"/>
          <w:sz w:val="32"/>
          <w:szCs w:val="32"/>
        </w:rPr>
      </w:pPr>
      <w:bookmarkStart w:id="460" w:name="_Toc381606162"/>
      <w:bookmarkStart w:id="461" w:name="_Toc10965"/>
      <w:bookmarkStart w:id="462" w:name="_Toc4507878"/>
      <w:bookmarkStart w:id="463" w:name="_Toc316561776"/>
      <w:bookmarkStart w:id="464" w:name="_Toc316511215"/>
      <w:bookmarkStart w:id="465" w:name="_Toc187080732"/>
      <w:bookmarkStart w:id="466" w:name="_Toc199644189"/>
      <w:bookmarkStart w:id="467" w:name="_Toc192474210"/>
      <w:bookmarkStart w:id="468" w:name="_Toc219170963"/>
      <w:r>
        <w:rPr>
          <w:rFonts w:eastAsia="黑体" w:cs="Times New Roman" w:hint="default"/>
          <w:sz w:val="32"/>
          <w:szCs w:val="32"/>
        </w:rPr>
        <w:t>11</w:t>
      </w:r>
      <w:r>
        <w:rPr>
          <w:rFonts w:eastAsia="黑体" w:cs="Times New Roman" w:hint="default"/>
          <w:sz w:val="32"/>
          <w:szCs w:val="32"/>
        </w:rPr>
        <w:t>环境影响评价结论</w:t>
      </w:r>
      <w:bookmarkEnd w:id="460"/>
      <w:bookmarkEnd w:id="461"/>
      <w:bookmarkEnd w:id="462"/>
      <w:bookmarkEnd w:id="463"/>
      <w:bookmarkEnd w:id="464"/>
      <w:bookmarkEnd w:id="465"/>
      <w:bookmarkEnd w:id="466"/>
      <w:bookmarkEnd w:id="467"/>
      <w:bookmarkEnd w:id="468"/>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69" w:name="_Toc316561777"/>
      <w:bookmarkStart w:id="470" w:name="_Toc219170964"/>
      <w:bookmarkStart w:id="471" w:name="_Toc381606163"/>
      <w:bookmarkStart w:id="472" w:name="_Toc192474211"/>
      <w:bookmarkStart w:id="473" w:name="_Toc316511216"/>
      <w:bookmarkStart w:id="474" w:name="_Toc209665490"/>
      <w:bookmarkStart w:id="475" w:name="_Toc199644190"/>
      <w:bookmarkStart w:id="476" w:name="_Toc187080733"/>
      <w:bookmarkStart w:id="477" w:name="_Toc4507879"/>
      <w:bookmarkStart w:id="478" w:name="_Toc27974"/>
      <w:r>
        <w:rPr>
          <w:rFonts w:cs="Times New Roman" w:hint="default"/>
          <w:sz w:val="30"/>
          <w:szCs w:val="30"/>
        </w:rPr>
        <w:t>11.1</w:t>
      </w:r>
      <w:bookmarkEnd w:id="469"/>
      <w:bookmarkEnd w:id="470"/>
      <w:bookmarkEnd w:id="471"/>
      <w:bookmarkEnd w:id="472"/>
      <w:bookmarkEnd w:id="473"/>
      <w:bookmarkEnd w:id="474"/>
      <w:bookmarkEnd w:id="475"/>
      <w:r>
        <w:rPr>
          <w:rFonts w:cs="Times New Roman" w:hint="default"/>
          <w:sz w:val="30"/>
          <w:szCs w:val="30"/>
        </w:rPr>
        <w:t>项目概况</w:t>
      </w:r>
      <w:bookmarkEnd w:id="476"/>
      <w:bookmarkEnd w:id="477"/>
      <w:bookmarkEnd w:id="478"/>
    </w:p>
    <w:p w:rsidR="00A46452" w:rsidRDefault="009A3928" w:rsidP="00182EED">
      <w:pPr>
        <w:widowControl/>
        <w:ind w:firstLine="480"/>
        <w:rPr>
          <w:rFonts w:cs="Times New Roman"/>
          <w:kern w:val="0"/>
          <w:szCs w:val="24"/>
          <w:lang w:bidi="ar"/>
        </w:rPr>
      </w:pPr>
      <w:r>
        <w:rPr>
          <w:rFonts w:cs="Times New Roman"/>
          <w:szCs w:val="24"/>
        </w:rPr>
        <w:t>第三师图木舒克市</w:t>
      </w:r>
      <w:r>
        <w:rPr>
          <w:rFonts w:cs="Times New Roman"/>
          <w:szCs w:val="24"/>
        </w:rPr>
        <w:t>-</w:t>
      </w:r>
      <w:r>
        <w:rPr>
          <w:rFonts w:cs="Times New Roman"/>
          <w:szCs w:val="24"/>
        </w:rPr>
        <w:t>柯坪县</w:t>
      </w:r>
      <w:r>
        <w:rPr>
          <w:rFonts w:cs="Times New Roman"/>
          <w:szCs w:val="24"/>
        </w:rPr>
        <w:t>-</w:t>
      </w:r>
      <w:r>
        <w:rPr>
          <w:rFonts w:cs="Times New Roman"/>
          <w:szCs w:val="24"/>
        </w:rPr>
        <w:t>乌什县（图木舒克市</w:t>
      </w:r>
      <w:r>
        <w:rPr>
          <w:rFonts w:cs="Times New Roman"/>
          <w:szCs w:val="24"/>
        </w:rPr>
        <w:t>-</w:t>
      </w:r>
      <w:r>
        <w:rPr>
          <w:rFonts w:cs="Times New Roman"/>
          <w:szCs w:val="24"/>
        </w:rPr>
        <w:t>柯坪县段）公路位于第三师图木舒克市、途径</w:t>
      </w:r>
      <w:r>
        <w:rPr>
          <w:rFonts w:cs="Times New Roman"/>
          <w:szCs w:val="24"/>
        </w:rPr>
        <w:t>50</w:t>
      </w:r>
      <w:r>
        <w:rPr>
          <w:rFonts w:cs="Times New Roman"/>
          <w:szCs w:val="24"/>
        </w:rPr>
        <w:t>团、</w:t>
      </w:r>
      <w:r>
        <w:rPr>
          <w:rFonts w:cs="Times New Roman"/>
          <w:szCs w:val="24"/>
        </w:rPr>
        <w:t>53</w:t>
      </w:r>
      <w:r>
        <w:rPr>
          <w:rFonts w:cs="Times New Roman"/>
          <w:szCs w:val="24"/>
        </w:rPr>
        <w:t>团、阿恰勒镇、终点位于阿克苏地区柯坪县境内。项目起点位于</w:t>
      </w:r>
      <w:r>
        <w:rPr>
          <w:rFonts w:cs="Times New Roman"/>
          <w:kern w:val="0"/>
          <w:szCs w:val="24"/>
          <w:lang w:bidi="ar"/>
        </w:rPr>
        <w:t>图木舒克市唐王城机场南侧</w:t>
      </w:r>
      <w:r>
        <w:rPr>
          <w:rFonts w:cs="Times New Roman"/>
        </w:rPr>
        <w:t>（</w:t>
      </w:r>
      <w:r>
        <w:rPr>
          <w:rFonts w:cs="Times New Roman"/>
        </w:rPr>
        <w:t>东经</w:t>
      </w:r>
      <w:r>
        <w:rPr>
          <w:rFonts w:cs="Times New Roman"/>
        </w:rPr>
        <w:t>79°12'51.8342"</w:t>
      </w:r>
      <w:r>
        <w:rPr>
          <w:rFonts w:cs="Times New Roman"/>
        </w:rPr>
        <w:t>，</w:t>
      </w:r>
      <w:r>
        <w:rPr>
          <w:rFonts w:cs="Times New Roman"/>
        </w:rPr>
        <w:t>北纬</w:t>
      </w:r>
      <w:r>
        <w:rPr>
          <w:rFonts w:cs="Times New Roman"/>
        </w:rPr>
        <w:t>39°52'26.3241"</w:t>
      </w:r>
      <w:r>
        <w:rPr>
          <w:rFonts w:cs="Times New Roman"/>
        </w:rPr>
        <w:t>）</w:t>
      </w:r>
      <w:r>
        <w:rPr>
          <w:rFonts w:cs="Times New Roman"/>
          <w:kern w:val="0"/>
          <w:szCs w:val="24"/>
          <w:lang w:bidi="ar"/>
        </w:rPr>
        <w:t>，与机场大道终点相接，在机场大道终点向东，沿现状二级公路进行改扩建，后向北沿基本农田预留的廊道布线，途经</w:t>
      </w:r>
      <w:r>
        <w:rPr>
          <w:rFonts w:cs="Times New Roman"/>
          <w:kern w:val="0"/>
          <w:szCs w:val="24"/>
          <w:lang w:bidi="ar"/>
        </w:rPr>
        <w:t>50</w:t>
      </w:r>
      <w:r>
        <w:rPr>
          <w:rFonts w:cs="Times New Roman"/>
          <w:kern w:val="0"/>
          <w:szCs w:val="24"/>
          <w:lang w:bidi="ar"/>
        </w:rPr>
        <w:t>团东侧、</w:t>
      </w:r>
      <w:r>
        <w:rPr>
          <w:rFonts w:cs="Times New Roman"/>
          <w:kern w:val="0"/>
          <w:szCs w:val="24"/>
          <w:lang w:bidi="ar"/>
        </w:rPr>
        <w:t>53</w:t>
      </w:r>
      <w:r>
        <w:rPr>
          <w:rFonts w:cs="Times New Roman"/>
          <w:kern w:val="0"/>
          <w:szCs w:val="24"/>
          <w:lang w:bidi="ar"/>
        </w:rPr>
        <w:t>团西侧（</w:t>
      </w:r>
      <w:r>
        <w:rPr>
          <w:rFonts w:cs="Times New Roman"/>
          <w:kern w:val="0"/>
          <w:szCs w:val="24"/>
          <w:lang w:bidi="ar"/>
        </w:rPr>
        <w:t>G217</w:t>
      </w:r>
      <w:r>
        <w:rPr>
          <w:rFonts w:cs="Times New Roman"/>
          <w:kern w:val="0"/>
          <w:szCs w:val="24"/>
          <w:lang w:bidi="ar"/>
        </w:rPr>
        <w:t>）、阿恰勒镇（</w:t>
      </w:r>
      <w:r>
        <w:rPr>
          <w:rFonts w:cs="Times New Roman"/>
          <w:kern w:val="0"/>
          <w:szCs w:val="24"/>
          <w:lang w:bidi="ar"/>
        </w:rPr>
        <w:t>G3012</w:t>
      </w:r>
      <w:r>
        <w:rPr>
          <w:rFonts w:cs="Times New Roman"/>
          <w:kern w:val="0"/>
          <w:szCs w:val="24"/>
          <w:lang w:bidi="ar"/>
        </w:rPr>
        <w:t>），在阿恰勒镇向西沿原有</w:t>
      </w:r>
      <w:r>
        <w:rPr>
          <w:rFonts w:cs="Times New Roman"/>
          <w:kern w:val="0"/>
          <w:szCs w:val="24"/>
          <w:lang w:bidi="ar"/>
        </w:rPr>
        <w:t>S308</w:t>
      </w:r>
      <w:r>
        <w:rPr>
          <w:rFonts w:cs="Times New Roman"/>
          <w:kern w:val="0"/>
          <w:szCs w:val="24"/>
          <w:lang w:bidi="ar"/>
        </w:rPr>
        <w:t>线北侧布线，终点位于柯坪县玉尔其乡</w:t>
      </w:r>
      <w:r>
        <w:rPr>
          <w:rFonts w:cs="Times New Roman"/>
          <w:kern w:val="0"/>
          <w:szCs w:val="24"/>
          <w:lang w:bidi="ar"/>
        </w:rPr>
        <w:t>，</w:t>
      </w:r>
      <w:r>
        <w:rPr>
          <w:rFonts w:cs="Times New Roman"/>
          <w:kern w:val="0"/>
          <w:szCs w:val="24"/>
          <w:lang w:bidi="ar"/>
        </w:rPr>
        <w:t>接玉尔其乡主干道</w:t>
      </w:r>
      <w:r>
        <w:rPr>
          <w:rFonts w:cs="Times New Roman"/>
        </w:rPr>
        <w:t>（</w:t>
      </w:r>
      <w:r>
        <w:rPr>
          <w:rFonts w:cs="Times New Roman"/>
        </w:rPr>
        <w:t>东经</w:t>
      </w:r>
      <w:r>
        <w:rPr>
          <w:rFonts w:cs="Times New Roman"/>
        </w:rPr>
        <w:t>79°03'21.5014"</w:t>
      </w:r>
      <w:r>
        <w:rPr>
          <w:rFonts w:cs="Times New Roman"/>
        </w:rPr>
        <w:t>，北纬</w:t>
      </w:r>
      <w:r>
        <w:rPr>
          <w:rFonts w:cs="Times New Roman"/>
        </w:rPr>
        <w:t>40°31'21.4350"</w:t>
      </w:r>
      <w:r>
        <w:rPr>
          <w:rFonts w:cs="Times New Roman"/>
        </w:rPr>
        <w:t>）</w:t>
      </w:r>
      <w:r>
        <w:rPr>
          <w:rFonts w:cs="Times New Roman"/>
          <w:kern w:val="0"/>
          <w:szCs w:val="24"/>
          <w:lang w:bidi="ar"/>
        </w:rPr>
        <w:t>。</w:t>
      </w:r>
      <w:r>
        <w:rPr>
          <w:rFonts w:cs="Times New Roman"/>
          <w:kern w:val="0"/>
          <w:szCs w:val="24"/>
          <w:lang w:bidi="ar"/>
        </w:rPr>
        <w:t>本项目</w:t>
      </w:r>
      <w:r>
        <w:rPr>
          <w:rFonts w:cs="Times New Roman"/>
          <w:kern w:val="0"/>
          <w:szCs w:val="24"/>
          <w:lang w:bidi="ar"/>
        </w:rPr>
        <w:t>里程长度</w:t>
      </w:r>
      <w:r>
        <w:rPr>
          <w:rFonts w:cs="Times New Roman"/>
          <w:kern w:val="0"/>
          <w:szCs w:val="24"/>
          <w:lang w:bidi="ar"/>
        </w:rPr>
        <w:t>107.177</w:t>
      </w:r>
      <w:r>
        <w:rPr>
          <w:rFonts w:cs="Times New Roman"/>
          <w:kern w:val="0"/>
          <w:szCs w:val="24"/>
          <w:lang w:bidi="ar"/>
        </w:rPr>
        <w:t>公里</w:t>
      </w:r>
      <w:r>
        <w:rPr>
          <w:rFonts w:cs="Times New Roman"/>
          <w:kern w:val="0"/>
          <w:szCs w:val="24"/>
          <w:lang w:bidi="ar"/>
        </w:rPr>
        <w:t>，采用二级公路标准建设，</w:t>
      </w:r>
      <w:r>
        <w:rPr>
          <w:rFonts w:eastAsiaTheme="minorEastAsia" w:cs="Times New Roman"/>
          <w:szCs w:val="24"/>
        </w:rPr>
        <w:t>设计车速</w:t>
      </w:r>
      <w:r>
        <w:rPr>
          <w:rFonts w:eastAsiaTheme="minorEastAsia" w:cs="Times New Roman"/>
          <w:szCs w:val="24"/>
        </w:rPr>
        <w:t>80km/h</w:t>
      </w:r>
      <w:r>
        <w:rPr>
          <w:rFonts w:eastAsiaTheme="minorEastAsia" w:cs="Times New Roman"/>
          <w:szCs w:val="24"/>
        </w:rPr>
        <w:t>、</w:t>
      </w:r>
      <w:r>
        <w:rPr>
          <w:rFonts w:eastAsiaTheme="minorEastAsia" w:cs="Times New Roman"/>
          <w:szCs w:val="24"/>
        </w:rPr>
        <w:t>60km/h</w:t>
      </w:r>
      <w:r>
        <w:rPr>
          <w:rFonts w:eastAsiaTheme="minorEastAsia" w:cs="Times New Roman"/>
          <w:szCs w:val="24"/>
        </w:rPr>
        <w:t>。</w:t>
      </w:r>
      <w:r>
        <w:rPr>
          <w:rFonts w:eastAsiaTheme="minorEastAsia" w:cs="Times New Roman"/>
          <w:szCs w:val="24"/>
        </w:rPr>
        <w:t>工程投资总估算</w:t>
      </w:r>
      <w:r>
        <w:rPr>
          <w:rFonts w:cs="Times New Roman"/>
          <w:snapToGrid w:val="0"/>
          <w:szCs w:val="24"/>
          <w:lang w:val="zh-CN"/>
        </w:rPr>
        <w:t>总投资为</w:t>
      </w:r>
      <w:r>
        <w:rPr>
          <w:rFonts w:cs="Times New Roman"/>
          <w:kern w:val="0"/>
          <w:szCs w:val="24"/>
          <w:lang w:bidi="ar"/>
        </w:rPr>
        <w:t>117219</w:t>
      </w:r>
      <w:r>
        <w:rPr>
          <w:rFonts w:cs="Times New Roman"/>
          <w:kern w:val="0"/>
          <w:szCs w:val="24"/>
          <w:lang w:bidi="ar"/>
        </w:rPr>
        <w:t>万元，平均每公里造价</w:t>
      </w:r>
      <w:r>
        <w:rPr>
          <w:rFonts w:cs="Times New Roman"/>
          <w:kern w:val="0"/>
          <w:szCs w:val="24"/>
          <w:lang w:bidi="ar"/>
        </w:rPr>
        <w:t xml:space="preserve"> 1092</w:t>
      </w:r>
      <w:r>
        <w:rPr>
          <w:rFonts w:cs="Times New Roman"/>
          <w:kern w:val="0"/>
          <w:szCs w:val="24"/>
          <w:lang w:bidi="ar"/>
        </w:rPr>
        <w:t>万元。计划于</w:t>
      </w:r>
      <w:r>
        <w:rPr>
          <w:rFonts w:cs="Times New Roman"/>
          <w:kern w:val="0"/>
          <w:szCs w:val="24"/>
          <w:lang w:bidi="ar"/>
        </w:rPr>
        <w:t>2025</w:t>
      </w:r>
      <w:r>
        <w:rPr>
          <w:rFonts w:cs="Times New Roman"/>
          <w:kern w:val="0"/>
          <w:szCs w:val="24"/>
          <w:lang w:bidi="ar"/>
        </w:rPr>
        <w:t>年</w:t>
      </w:r>
      <w:r>
        <w:rPr>
          <w:rFonts w:cs="Times New Roman"/>
          <w:kern w:val="0"/>
          <w:szCs w:val="24"/>
          <w:lang w:bidi="ar"/>
        </w:rPr>
        <w:t>7</w:t>
      </w:r>
      <w:r>
        <w:rPr>
          <w:rFonts w:cs="Times New Roman"/>
          <w:kern w:val="0"/>
          <w:szCs w:val="24"/>
          <w:lang w:bidi="ar"/>
        </w:rPr>
        <w:t>月开工建设，</w:t>
      </w:r>
      <w:r>
        <w:rPr>
          <w:rFonts w:cs="Times New Roman"/>
          <w:kern w:val="0"/>
          <w:szCs w:val="24"/>
          <w:lang w:bidi="ar"/>
        </w:rPr>
        <w:t>20</w:t>
      </w:r>
      <w:r>
        <w:rPr>
          <w:rFonts w:cs="Times New Roman"/>
          <w:kern w:val="0"/>
          <w:szCs w:val="24"/>
          <w:lang w:bidi="ar"/>
        </w:rPr>
        <w:t>27</w:t>
      </w:r>
      <w:r>
        <w:rPr>
          <w:rFonts w:cs="Times New Roman"/>
          <w:kern w:val="0"/>
          <w:szCs w:val="24"/>
          <w:lang w:bidi="ar"/>
        </w:rPr>
        <w:t>年</w:t>
      </w:r>
      <w:r>
        <w:rPr>
          <w:rFonts w:cs="Times New Roman"/>
          <w:kern w:val="0"/>
          <w:szCs w:val="24"/>
          <w:lang w:bidi="ar"/>
        </w:rPr>
        <w:t>6</w:t>
      </w:r>
      <w:r>
        <w:rPr>
          <w:rFonts w:cs="Times New Roman"/>
          <w:kern w:val="0"/>
          <w:szCs w:val="24"/>
          <w:lang w:bidi="ar"/>
        </w:rPr>
        <w:t>月完成建设，工期</w:t>
      </w:r>
      <w:r>
        <w:rPr>
          <w:rFonts w:cs="Times New Roman"/>
          <w:kern w:val="0"/>
          <w:szCs w:val="24"/>
          <w:lang w:bidi="ar"/>
        </w:rPr>
        <w:t>2</w:t>
      </w:r>
      <w:r>
        <w:rPr>
          <w:rFonts w:cs="Times New Roman"/>
          <w:kern w:val="0"/>
          <w:szCs w:val="24"/>
          <w:lang w:bidi="ar"/>
        </w:rPr>
        <w:t>年。</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79" w:name="_Toc16279"/>
      <w:bookmarkStart w:id="480" w:name="_Toc187080734"/>
      <w:r>
        <w:rPr>
          <w:rFonts w:cs="Times New Roman" w:hint="default"/>
          <w:sz w:val="30"/>
          <w:szCs w:val="30"/>
        </w:rPr>
        <w:t>11.2</w:t>
      </w:r>
      <w:r>
        <w:rPr>
          <w:rFonts w:cs="Times New Roman" w:hint="default"/>
          <w:sz w:val="30"/>
          <w:szCs w:val="30"/>
        </w:rPr>
        <w:t>环境现状</w:t>
      </w:r>
      <w:bookmarkEnd w:id="479"/>
      <w:bookmarkEnd w:id="480"/>
    </w:p>
    <w:p w:rsidR="00A46452" w:rsidRDefault="009A3928">
      <w:pPr>
        <w:pStyle w:val="31"/>
        <w:keepNext w:val="0"/>
        <w:keepLines w:val="0"/>
        <w:wordWrap w:val="0"/>
        <w:topLinePunct/>
        <w:adjustRightInd w:val="0"/>
        <w:snapToGrid w:val="0"/>
        <w:spacing w:before="120" w:after="120" w:line="240" w:lineRule="auto"/>
        <w:rPr>
          <w:rFonts w:cs="Times New Roman" w:hint="default"/>
          <w:sz w:val="28"/>
          <w:szCs w:val="28"/>
        </w:rPr>
      </w:pPr>
      <w:r>
        <w:rPr>
          <w:rFonts w:cs="Times New Roman" w:hint="default"/>
          <w:sz w:val="28"/>
          <w:szCs w:val="28"/>
        </w:rPr>
        <w:t>11.2.1</w:t>
      </w:r>
      <w:r>
        <w:rPr>
          <w:rFonts w:cs="Times New Roman" w:hint="default"/>
          <w:sz w:val="28"/>
          <w:szCs w:val="28"/>
        </w:rPr>
        <w:t>生态环境现状</w:t>
      </w:r>
    </w:p>
    <w:p w:rsidR="00A46452" w:rsidRDefault="009A3928">
      <w:pPr>
        <w:pStyle w:val="5a"/>
        <w:wordWrap w:val="0"/>
        <w:topLinePunct/>
        <w:adjustRightInd w:val="0"/>
        <w:snapToGrid w:val="0"/>
        <w:spacing w:line="360" w:lineRule="auto"/>
        <w:rPr>
          <w:rFonts w:ascii="Times New Roman" w:hAnsi="Times New Roman" w:cs="Times New Roman" w:hint="default"/>
          <w:color w:val="auto"/>
          <w:kern w:val="0"/>
          <w:lang w:bidi="ar"/>
        </w:rPr>
      </w:pPr>
      <w:r>
        <w:rPr>
          <w:rFonts w:ascii="Times New Roman" w:hAnsi="Times New Roman" w:cs="Times New Roman" w:hint="default"/>
          <w:snapToGrid w:val="0"/>
          <w:color w:val="auto"/>
        </w:rPr>
        <w:t>1.</w:t>
      </w:r>
      <w:r>
        <w:rPr>
          <w:rFonts w:ascii="Times New Roman" w:hAnsi="Times New Roman" w:cs="Times New Roman" w:hint="default"/>
          <w:color w:val="auto"/>
          <w:kern w:val="0"/>
          <w:lang w:bidi="ar"/>
        </w:rPr>
        <w:t>永久占地共</w:t>
      </w:r>
      <w:r>
        <w:rPr>
          <w:rFonts w:ascii="Times New Roman" w:hAnsi="Times New Roman" w:cs="Times New Roman" w:hint="default"/>
          <w:color w:val="auto"/>
          <w:kern w:val="0"/>
          <w:lang w:bidi="ar"/>
        </w:rPr>
        <w:t>300.80hm²</w:t>
      </w:r>
      <w:r>
        <w:rPr>
          <w:rFonts w:ascii="Times New Roman" w:hAnsi="Times New Roman" w:cs="Times New Roman" w:hint="default"/>
          <w:color w:val="auto"/>
          <w:kern w:val="0"/>
          <w:lang w:bidi="ar"/>
        </w:rPr>
        <w:t>，原有公路占地</w:t>
      </w:r>
      <w:r>
        <w:rPr>
          <w:rFonts w:ascii="Times New Roman" w:hAnsi="Times New Roman" w:cs="Times New Roman" w:hint="default"/>
          <w:color w:val="auto"/>
          <w:kern w:val="0"/>
          <w:lang w:bidi="ar"/>
        </w:rPr>
        <w:t>21.10hm²</w:t>
      </w:r>
      <w:r>
        <w:rPr>
          <w:rFonts w:ascii="Times New Roman" w:hAnsi="Times New Roman" w:cs="Times New Roman" w:hint="default"/>
          <w:color w:val="auto"/>
          <w:kern w:val="0"/>
          <w:lang w:bidi="ar"/>
        </w:rPr>
        <w:t>、荒地</w:t>
      </w:r>
      <w:r>
        <w:rPr>
          <w:rFonts w:ascii="Times New Roman" w:hAnsi="Times New Roman" w:cs="Times New Roman" w:hint="default"/>
          <w:color w:val="auto"/>
          <w:kern w:val="0"/>
          <w:lang w:bidi="ar"/>
        </w:rPr>
        <w:t>2.98hm²</w:t>
      </w:r>
      <w:r>
        <w:rPr>
          <w:rFonts w:ascii="Times New Roman" w:hAnsi="Times New Roman" w:cs="Times New Roman" w:hint="default"/>
          <w:color w:val="auto"/>
          <w:kern w:val="0"/>
          <w:lang w:bidi="ar"/>
        </w:rPr>
        <w:t>、耕地</w:t>
      </w:r>
      <w:r>
        <w:rPr>
          <w:rFonts w:ascii="Times New Roman" w:hAnsi="Times New Roman" w:cs="Times New Roman" w:hint="default"/>
          <w:color w:val="auto"/>
          <w:kern w:val="0"/>
          <w:lang w:bidi="ar"/>
        </w:rPr>
        <w:t>34.27hm²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草地</w:t>
      </w:r>
      <w:r>
        <w:rPr>
          <w:rFonts w:ascii="Times New Roman" w:hAnsi="Times New Roman" w:cs="Times New Roman" w:hint="default"/>
          <w:color w:val="auto"/>
          <w:kern w:val="0"/>
          <w:lang w:bidi="ar"/>
        </w:rPr>
        <w:t>97.91hm²</w:t>
      </w:r>
      <w:r>
        <w:rPr>
          <w:rFonts w:ascii="Times New Roman" w:hAnsi="Times New Roman" w:cs="Times New Roman" w:hint="default"/>
          <w:color w:val="auto"/>
          <w:kern w:val="0"/>
          <w:lang w:bidi="ar"/>
        </w:rPr>
        <w:t>、建设用地</w:t>
      </w:r>
      <w:r>
        <w:rPr>
          <w:rFonts w:ascii="Times New Roman" w:hAnsi="Times New Roman" w:cs="Times New Roman" w:hint="default"/>
          <w:color w:val="auto"/>
          <w:kern w:val="0"/>
          <w:lang w:bidi="ar"/>
        </w:rPr>
        <w:t>5.11hm²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林地</w:t>
      </w:r>
      <w:r>
        <w:rPr>
          <w:rFonts w:ascii="Times New Roman" w:hAnsi="Times New Roman" w:cs="Times New Roman" w:hint="default"/>
          <w:color w:val="auto"/>
          <w:kern w:val="0"/>
          <w:lang w:bidi="ar"/>
        </w:rPr>
        <w:t>139.15hm²</w:t>
      </w:r>
      <w:r>
        <w:rPr>
          <w:rFonts w:ascii="Times New Roman" w:hAnsi="Times New Roman" w:cs="Times New Roman" w:hint="default"/>
          <w:color w:val="auto"/>
          <w:kern w:val="0"/>
          <w:lang w:bidi="ar"/>
        </w:rPr>
        <w:t>、居民地</w:t>
      </w:r>
      <w:r>
        <w:rPr>
          <w:rFonts w:ascii="Times New Roman" w:hAnsi="Times New Roman" w:cs="Times New Roman" w:hint="default"/>
          <w:color w:val="auto"/>
          <w:kern w:val="0"/>
          <w:lang w:bidi="ar"/>
        </w:rPr>
        <w:t>0.28hm²</w:t>
      </w:r>
      <w:r>
        <w:rPr>
          <w:rFonts w:ascii="Times New Roman" w:hAnsi="Times New Roman" w:cs="Times New Roman" w:hint="default"/>
          <w:color w:val="auto"/>
          <w:kern w:val="0"/>
          <w:lang w:bidi="ar"/>
        </w:rPr>
        <w:t>，沿线未占用基本农田。</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hAnsi="Times New Roman" w:cs="Times New Roman" w:hint="default"/>
          <w:color w:val="auto"/>
        </w:rPr>
        <w:t>2.</w:t>
      </w:r>
      <w:r>
        <w:rPr>
          <w:rFonts w:ascii="Times New Roman" w:hAnsi="Times New Roman" w:cs="Times New Roman" w:hint="default"/>
          <w:color w:val="auto"/>
        </w:rPr>
        <w:t>根据《新疆生态功能区划》，</w:t>
      </w:r>
      <w:r>
        <w:rPr>
          <w:rFonts w:ascii="Times New Roman" w:hAnsi="Times New Roman" w:cs="Times New Roman" w:hint="default"/>
          <w:color w:val="auto"/>
        </w:rPr>
        <w:t>拟建公路穿越区域喀什地区巴楚县、阿克苏地区柯坪县</w:t>
      </w:r>
      <w:r>
        <w:rPr>
          <w:rFonts w:ascii="Times New Roman" w:hAnsi="Times New Roman" w:cs="Times New Roman" w:hint="default"/>
          <w:color w:val="auto"/>
        </w:rPr>
        <w:t>属于塔里木盆地暖温极干旱沙漠、戈壁及绿洲农业生态区</w:t>
      </w:r>
      <w:r>
        <w:rPr>
          <w:rFonts w:ascii="Times New Roman" w:hAnsi="Times New Roman" w:cs="Times New Roman" w:hint="default"/>
          <w:color w:val="auto"/>
        </w:rPr>
        <w:t>。</w:t>
      </w:r>
      <w:r>
        <w:rPr>
          <w:rFonts w:ascii="Times New Roman" w:hAnsi="Times New Roman" w:cs="Times New Roman" w:hint="default"/>
          <w:color w:val="auto"/>
        </w:rPr>
        <w:t>根据《新疆生产建设兵团生态功能区划》，</w:t>
      </w:r>
      <w:r>
        <w:rPr>
          <w:rFonts w:ascii="Times New Roman" w:hAnsi="Times New Roman" w:cs="Times New Roman" w:hint="default"/>
          <w:color w:val="auto"/>
        </w:rPr>
        <w:t>拟建公路穿越区域第三师图木舒克市</w:t>
      </w:r>
      <w:r>
        <w:rPr>
          <w:rFonts w:ascii="Times New Roman" w:hAnsi="Times New Roman" w:cs="Times New Roman" w:hint="default"/>
          <w:color w:val="auto"/>
        </w:rPr>
        <w:t>位于塔里木盆地暖温荒漠及绿洲农业生态区</w:t>
      </w:r>
      <w:r>
        <w:rPr>
          <w:rFonts w:ascii="Times New Roman" w:hAnsi="Times New Roman" w:cs="Times New Roman" w:hint="default"/>
          <w:color w:val="auto"/>
        </w:rPr>
        <w:t>。</w:t>
      </w:r>
      <w:r>
        <w:rPr>
          <w:rFonts w:ascii="Times New Roman" w:eastAsiaTheme="minorEastAsia" w:hAnsi="Times New Roman" w:cs="Times New Roman" w:hint="default"/>
          <w:color w:val="auto"/>
        </w:rPr>
        <w:t>拟建公路沿线植被除栽培植被外，天然植被主要由新疆杨、胡杨</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苹果</w:t>
      </w:r>
      <w:r>
        <w:rPr>
          <w:rFonts w:ascii="Times New Roman" w:eastAsiaTheme="minorEastAsia" w:hAnsi="Times New Roman" w:cs="Times New Roman" w:hint="default"/>
          <w:color w:val="auto"/>
        </w:rPr>
        <w:t>树</w:t>
      </w:r>
      <w:r>
        <w:rPr>
          <w:rFonts w:ascii="Times New Roman" w:eastAsiaTheme="minorEastAsia" w:hAnsi="Times New Roman" w:cs="Times New Roman" w:hint="default"/>
          <w:color w:val="auto"/>
        </w:rPr>
        <w:t>、桑树</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多枝柽柳</w:t>
      </w:r>
      <w:r>
        <w:rPr>
          <w:rFonts w:ascii="Times New Roman" w:eastAsiaTheme="minorEastAsia" w:hAnsi="Times New Roman" w:cs="Times New Roman" w:hint="default"/>
          <w:color w:val="auto"/>
        </w:rPr>
        <w:t>构成的</w:t>
      </w:r>
      <w:r>
        <w:rPr>
          <w:rFonts w:ascii="Times New Roman" w:eastAsiaTheme="minorEastAsia" w:hAnsi="Times New Roman" w:cs="Times New Roman" w:hint="default"/>
          <w:color w:val="auto"/>
        </w:rPr>
        <w:t>天然乔木林和以多枝柽柳、沙棘、骆驼刺等天然灌丛构成</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伴生植被有</w:t>
      </w:r>
      <w:r>
        <w:rPr>
          <w:rFonts w:ascii="Times New Roman" w:hAnsi="Times New Roman" w:cs="Times New Roman" w:hint="default"/>
          <w:snapToGrid w:val="0"/>
          <w:color w:val="auto"/>
          <w:lang w:val="zh-CN"/>
        </w:rPr>
        <w:t>苦豆子、</w:t>
      </w:r>
      <w:r>
        <w:rPr>
          <w:rFonts w:ascii="Times New Roman" w:hAnsi="Times New Roman" w:cs="Times New Roman" w:hint="default"/>
          <w:snapToGrid w:val="0"/>
          <w:color w:val="auto"/>
        </w:rPr>
        <w:t>骆驼刺、</w:t>
      </w:r>
      <w:r>
        <w:rPr>
          <w:rFonts w:ascii="Times New Roman" w:hAnsi="Times New Roman" w:cs="Times New Roman" w:hint="default"/>
          <w:snapToGrid w:val="0"/>
          <w:color w:val="auto"/>
          <w:lang w:val="zh-CN"/>
        </w:rPr>
        <w:t>盐爪爪、盐穗木、碱蓬、芦苇</w:t>
      </w:r>
      <w:r>
        <w:rPr>
          <w:rFonts w:ascii="Times New Roman" w:hAnsi="Times New Roman" w:cs="Times New Roman" w:hint="default"/>
          <w:snapToGrid w:val="0"/>
          <w:color w:val="auto"/>
        </w:rPr>
        <w:t>等</w:t>
      </w:r>
      <w:r>
        <w:rPr>
          <w:rFonts w:ascii="Times New Roman" w:eastAsiaTheme="minorEastAsia" w:hAnsi="Times New Roman" w:cs="Times New Roman" w:hint="default"/>
          <w:color w:val="auto"/>
        </w:rPr>
        <w:t>；这些植物群落在整个评价范围广泛分布，均非保护区特有群落类型。</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hAnsi="Times New Roman" w:cs="Times New Roman" w:hint="default"/>
          <w:color w:val="auto"/>
        </w:rPr>
        <w:t>3.</w:t>
      </w:r>
      <w:r>
        <w:rPr>
          <w:rFonts w:ascii="Times New Roman" w:hAnsi="Times New Roman" w:cs="Times New Roman" w:hint="default"/>
          <w:color w:val="auto"/>
        </w:rPr>
        <w:t>项目区塔里木盆地北侧，野生动物地理区划上属古北界、中亚亚界、蒙新区、西部荒漠亚区、塔里木盆地小区。</w:t>
      </w:r>
      <w:r>
        <w:rPr>
          <w:rFonts w:ascii="Times New Roman" w:eastAsiaTheme="minorEastAsia" w:hAnsi="Times New Roman" w:cs="Times New Roman" w:hint="default"/>
          <w:color w:val="auto"/>
          <w:lang w:bidi="ar"/>
        </w:rPr>
        <w:t>评价范围内野生动物以鸟类和兽类为主体，其中有国家二级保护动物</w:t>
      </w:r>
      <w:r>
        <w:rPr>
          <w:rFonts w:ascii="Times New Roman" w:eastAsiaTheme="minorEastAsia" w:hAnsi="Times New Roman" w:cs="Times New Roman" w:hint="default"/>
          <w:color w:val="auto"/>
          <w:lang w:bidi="ar"/>
        </w:rPr>
        <w:t>8</w:t>
      </w:r>
      <w:r>
        <w:rPr>
          <w:rFonts w:ascii="Times New Roman" w:eastAsiaTheme="minorEastAsia" w:hAnsi="Times New Roman" w:cs="Times New Roman" w:hint="default"/>
          <w:color w:val="auto"/>
          <w:lang w:bidi="ar"/>
        </w:rPr>
        <w:t>种，</w:t>
      </w:r>
      <w:r>
        <w:rPr>
          <w:rFonts w:ascii="Times New Roman" w:hAnsi="Times New Roman" w:cs="Times New Roman" w:hint="default"/>
          <w:snapToGrid w:val="0"/>
          <w:color w:val="auto"/>
        </w:rPr>
        <w:t>塔里木兔、</w:t>
      </w:r>
      <w:r>
        <w:rPr>
          <w:rFonts w:ascii="Times New Roman" w:hAnsi="Times New Roman" w:cs="Times New Roman" w:hint="default"/>
          <w:snapToGrid w:val="0"/>
          <w:color w:val="auto"/>
          <w:lang w:val="zh-CN"/>
        </w:rPr>
        <w:t>鹅喉羚、鸢、苍鹰、红隼、沙狐、赤狐、黑鹳；</w:t>
      </w:r>
      <w:r>
        <w:rPr>
          <w:rFonts w:ascii="Times New Roman" w:hAnsi="Times New Roman" w:cs="Times New Roman" w:hint="default"/>
          <w:snapToGrid w:val="0"/>
          <w:color w:val="auto"/>
        </w:rPr>
        <w:t>自治区二级</w:t>
      </w:r>
      <w:r>
        <w:rPr>
          <w:rFonts w:ascii="Times New Roman" w:hAnsi="Times New Roman" w:cs="Times New Roman" w:hint="default"/>
          <w:snapToGrid w:val="0"/>
          <w:color w:val="auto"/>
        </w:rPr>
        <w:t>1</w:t>
      </w:r>
      <w:r>
        <w:rPr>
          <w:rFonts w:ascii="Times New Roman" w:hAnsi="Times New Roman" w:cs="Times New Roman" w:hint="default"/>
          <w:snapToGrid w:val="0"/>
          <w:color w:val="auto"/>
        </w:rPr>
        <w:t>种，即</w:t>
      </w:r>
      <w:r>
        <w:rPr>
          <w:rFonts w:ascii="Times New Roman" w:hAnsi="Times New Roman" w:cs="Times New Roman" w:hint="default"/>
          <w:snapToGrid w:val="0"/>
          <w:color w:val="auto"/>
          <w:lang w:val="zh-CN"/>
        </w:rPr>
        <w:t>蓝胸佛法僧。</w:t>
      </w:r>
      <w:r>
        <w:rPr>
          <w:rFonts w:ascii="Times New Roman" w:hAnsi="Times New Roman" w:cs="Times New Roman" w:hint="default"/>
          <w:snapToGrid w:val="0"/>
          <w:color w:val="auto"/>
        </w:rPr>
        <w:t>其</w:t>
      </w:r>
      <w:r>
        <w:rPr>
          <w:rFonts w:ascii="Times New Roman" w:eastAsiaTheme="minorEastAsia" w:hAnsi="Times New Roman" w:cs="Times New Roman" w:hint="default"/>
          <w:color w:val="auto"/>
        </w:rPr>
        <w:t>中塔里木兔为新疆塔里木盆地特有的物种。由于本项目占地为线状和小块状，面积很小，项目建设期及运营期仅会引起各类生物群落类型、面积、分布、结构和格局的细微变化，对项目所在区域动物类群形成短时间的干扰，不会影响各类生物的生存和繁衍，对生物群落类型及其特有性的影响较小。</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4.</w:t>
      </w:r>
      <w:r>
        <w:rPr>
          <w:rFonts w:ascii="Times New Roman" w:eastAsiaTheme="minorEastAsia" w:hAnsi="Times New Roman" w:cs="Times New Roman" w:hint="default"/>
          <w:color w:val="auto"/>
        </w:rPr>
        <w:t>拟建公路沿线是水力侵蚀和风力侵蚀为主的地区，项目建设将在一定程度上加剧戈壁荒漠生态系统的脆弱度和不稳定性，尤其是施工期施工机械和车辆的无序行驶对荒漠植被的破坏和砾幕层的扰动。随着公路完工，公路防风沙工程的实施与发挥效应，对沙地植被的破坏和扰动影响将逐步减轻和消除。本项目建设不会加重项目区域土地沙化程度。</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5.</w:t>
      </w:r>
      <w:r>
        <w:rPr>
          <w:rFonts w:ascii="Times New Roman" w:eastAsiaTheme="minorEastAsia" w:hAnsi="Times New Roman" w:cs="Times New Roman" w:hint="default"/>
          <w:color w:val="auto"/>
        </w:rPr>
        <w:t>工程建设可能导致的生物量损失总量为</w:t>
      </w:r>
      <w:r>
        <w:rPr>
          <w:rFonts w:ascii="Times New Roman" w:eastAsiaTheme="minorEastAsia" w:hAnsi="Times New Roman" w:cs="Times New Roman" w:hint="default"/>
          <w:color w:val="auto"/>
        </w:rPr>
        <w:t>7276.80</w:t>
      </w:r>
      <w:r>
        <w:rPr>
          <w:rFonts w:ascii="Times New Roman" w:eastAsiaTheme="minorEastAsia" w:hAnsi="Times New Roman" w:cs="Times New Roman" w:hint="default"/>
          <w:color w:val="auto"/>
        </w:rPr>
        <w:t>t</w:t>
      </w:r>
      <w:r>
        <w:rPr>
          <w:rFonts w:ascii="Times New Roman" w:eastAsiaTheme="minorEastAsia" w:hAnsi="Times New Roman" w:cs="Times New Roman"/>
          <w:color w:val="auto"/>
        </w:rPr>
        <w:t>，</w:t>
      </w:r>
      <w:r>
        <w:rPr>
          <w:rFonts w:ascii="Times New Roman" w:eastAsiaTheme="minorEastAsia" w:hAnsi="Times New Roman" w:cs="Times New Roman" w:hint="default"/>
          <w:color w:val="auto"/>
        </w:rPr>
        <w:t>可能导致生物量损失的生态系统类型中，以森林生态系统</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农田生态系统、草地</w:t>
      </w:r>
      <w:r>
        <w:rPr>
          <w:rFonts w:ascii="Times New Roman" w:eastAsiaTheme="minorEastAsia" w:hAnsi="Times New Roman" w:cs="Times New Roman" w:hint="default"/>
          <w:color w:val="auto"/>
        </w:rPr>
        <w:t>生态系统为主。</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6.</w:t>
      </w:r>
      <w:r>
        <w:rPr>
          <w:rFonts w:ascii="Times New Roman" w:eastAsiaTheme="minorEastAsia" w:hAnsi="Times New Roman" w:cs="Times New Roman" w:hint="default"/>
          <w:color w:val="auto"/>
        </w:rPr>
        <w:t>拟建公路本工程挖方共计</w:t>
      </w:r>
      <w:r>
        <w:rPr>
          <w:rFonts w:ascii="Times New Roman" w:eastAsiaTheme="minorEastAsia" w:hAnsi="Times New Roman" w:cs="Times New Roman" w:hint="default"/>
          <w:color w:val="auto"/>
        </w:rPr>
        <w:t>293665m³</w:t>
      </w:r>
      <w:r>
        <w:rPr>
          <w:rFonts w:ascii="Times New Roman" w:eastAsiaTheme="minorEastAsia" w:hAnsi="Times New Roman" w:cs="Times New Roman" w:hint="default"/>
          <w:color w:val="auto"/>
        </w:rPr>
        <w:t>，填方共计</w:t>
      </w:r>
      <w:r>
        <w:rPr>
          <w:rFonts w:ascii="Times New Roman" w:eastAsiaTheme="minorEastAsia" w:hAnsi="Times New Roman" w:cs="Times New Roman" w:hint="default"/>
          <w:color w:val="auto"/>
        </w:rPr>
        <w:t>2437151m³</w:t>
      </w:r>
      <w:r>
        <w:rPr>
          <w:rFonts w:ascii="Times New Roman" w:eastAsiaTheme="minorEastAsia" w:hAnsi="Times New Roman" w:cs="Times New Roman" w:hint="default"/>
          <w:color w:val="auto"/>
        </w:rPr>
        <w:t>，弃方共计</w:t>
      </w:r>
      <w:r>
        <w:rPr>
          <w:rFonts w:ascii="Times New Roman" w:eastAsiaTheme="minorEastAsia" w:hAnsi="Times New Roman" w:cs="Times New Roman" w:hint="default"/>
          <w:color w:val="auto"/>
        </w:rPr>
        <w:t>293665m³</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拟建公路临时工程包括取土场</w:t>
      </w:r>
      <w:r>
        <w:rPr>
          <w:rFonts w:ascii="Times New Roman" w:eastAsiaTheme="minorEastAsia" w:hAnsi="Times New Roman" w:cs="Times New Roman" w:hint="default"/>
          <w:color w:val="auto"/>
        </w:rPr>
        <w:t>3</w:t>
      </w:r>
      <w:r>
        <w:rPr>
          <w:rFonts w:ascii="Times New Roman" w:eastAsiaTheme="minorEastAsia" w:hAnsi="Times New Roman" w:cs="Times New Roman" w:hint="default"/>
          <w:color w:val="auto"/>
        </w:rPr>
        <w:t>处、弃土场</w:t>
      </w:r>
      <w:r>
        <w:rPr>
          <w:rFonts w:ascii="Times New Roman" w:eastAsiaTheme="minorEastAsia" w:hAnsi="Times New Roman" w:cs="Times New Roman" w:hint="default"/>
          <w:color w:val="auto"/>
        </w:rPr>
        <w:t>2</w:t>
      </w:r>
      <w:r>
        <w:rPr>
          <w:rFonts w:ascii="Times New Roman" w:eastAsiaTheme="minorEastAsia" w:hAnsi="Times New Roman" w:cs="Times New Roman" w:hint="default"/>
          <w:color w:val="auto"/>
        </w:rPr>
        <w:t>处、施工生产生活区</w:t>
      </w:r>
      <w:r>
        <w:rPr>
          <w:rFonts w:ascii="Times New Roman" w:eastAsiaTheme="minorEastAsia" w:hAnsi="Times New Roman" w:cs="Times New Roman" w:hint="default"/>
          <w:color w:val="auto"/>
        </w:rPr>
        <w:t>3</w:t>
      </w:r>
      <w:r>
        <w:rPr>
          <w:rFonts w:ascii="Times New Roman" w:eastAsiaTheme="minorEastAsia" w:hAnsi="Times New Roman" w:cs="Times New Roman" w:hint="default"/>
          <w:color w:val="auto"/>
        </w:rPr>
        <w:t>处。拟建公路取弃土场选址合理，施工完毕后进行场地平整及植被恢复。</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7.</w:t>
      </w:r>
      <w:r>
        <w:rPr>
          <w:rFonts w:ascii="Times New Roman" w:eastAsiaTheme="minorEastAsia" w:hAnsi="Times New Roman" w:cs="Times New Roman" w:hint="default"/>
          <w:color w:val="auto"/>
        </w:rPr>
        <w:t>拟建公路</w:t>
      </w:r>
      <w:r>
        <w:rPr>
          <w:rFonts w:ascii="Times New Roman" w:eastAsiaTheme="minorEastAsia" w:hAnsi="Times New Roman" w:cs="Times New Roman" w:hint="default"/>
          <w:color w:val="auto"/>
        </w:rPr>
        <w:t>K3+280~K3+520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K4+440~K4+620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K22+460~K24+680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K26+780~K32+240</w:t>
      </w:r>
      <w:r>
        <w:rPr>
          <w:rFonts w:ascii="Times New Roman" w:eastAsiaTheme="minorEastAsia" w:hAnsi="Times New Roman" w:cs="Times New Roman" w:hint="default"/>
          <w:color w:val="auto"/>
        </w:rPr>
        <w:t>段（第三师图木舒克市境内），</w:t>
      </w:r>
      <w:r>
        <w:rPr>
          <w:rFonts w:ascii="Times New Roman" w:eastAsiaTheme="minorEastAsia" w:hAnsi="Times New Roman" w:cs="Times New Roman" w:hint="default"/>
          <w:color w:val="auto"/>
        </w:rPr>
        <w:t>K42+980~K45+540</w:t>
      </w:r>
      <w:r>
        <w:rPr>
          <w:rFonts w:ascii="Times New Roman" w:eastAsiaTheme="minorEastAsia" w:hAnsi="Times New Roman" w:cs="Times New Roman" w:hint="default"/>
          <w:color w:val="auto"/>
        </w:rPr>
        <w:t>（喀什地区巴楚县境内）占用国家二级公益林</w:t>
      </w:r>
      <w:r>
        <w:rPr>
          <w:rFonts w:ascii="Times New Roman" w:eastAsiaTheme="minorEastAsia" w:hAnsi="Times New Roman" w:cs="Times New Roman" w:hint="default"/>
          <w:color w:val="auto"/>
        </w:rPr>
        <w:t>。拟建公路</w:t>
      </w:r>
      <w:r>
        <w:rPr>
          <w:rFonts w:ascii="Times New Roman" w:eastAsiaTheme="minorEastAsia" w:hAnsi="Times New Roman" w:cs="Times New Roman" w:hint="default"/>
          <w:color w:val="auto"/>
        </w:rPr>
        <w:t>选择林木稀疏区域穿越</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对</w:t>
      </w:r>
      <w:r>
        <w:rPr>
          <w:rFonts w:ascii="Times New Roman" w:eastAsiaTheme="minorEastAsia" w:hAnsi="Times New Roman" w:cs="Times New Roman" w:hint="default"/>
          <w:color w:val="auto"/>
        </w:rPr>
        <w:t>整体公益林</w:t>
      </w:r>
      <w:r>
        <w:rPr>
          <w:rFonts w:ascii="Times New Roman" w:eastAsiaTheme="minorEastAsia" w:hAnsi="Times New Roman" w:cs="Times New Roman" w:hint="default"/>
          <w:color w:val="auto"/>
        </w:rPr>
        <w:t>影响较小。</w:t>
      </w:r>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11.</w:t>
      </w:r>
      <w:r>
        <w:rPr>
          <w:rFonts w:cs="Times New Roman"/>
          <w:b/>
          <w:sz w:val="28"/>
          <w:szCs w:val="28"/>
        </w:rPr>
        <w:t>2</w:t>
      </w:r>
      <w:r>
        <w:rPr>
          <w:rFonts w:cs="Times New Roman"/>
          <w:b/>
          <w:sz w:val="28"/>
          <w:szCs w:val="28"/>
        </w:rPr>
        <w:t>.2</w:t>
      </w:r>
      <w:r>
        <w:rPr>
          <w:rFonts w:cs="Times New Roman"/>
          <w:b/>
          <w:sz w:val="28"/>
          <w:szCs w:val="28"/>
        </w:rPr>
        <w:t>地表水环境</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本项目跨越的河流主要有</w:t>
      </w:r>
      <w:r>
        <w:rPr>
          <w:rFonts w:ascii="Times New Roman" w:eastAsiaTheme="minorEastAsia" w:hAnsi="Times New Roman" w:cs="Times New Roman" w:hint="default"/>
          <w:color w:val="auto"/>
        </w:rPr>
        <w:t>跨越喀什噶尔河、柯坪河、苏贝希沟</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沟</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加依洛萨依河等</w:t>
      </w:r>
      <w:r>
        <w:rPr>
          <w:rFonts w:ascii="Times New Roman" w:eastAsiaTheme="minorEastAsia" w:hAnsi="Times New Roman" w:cs="Times New Roman" w:hint="default"/>
          <w:color w:val="auto"/>
        </w:rPr>
        <w:t>。地表水水质监测表明，沿线水体满足《地表水环境质量标准》</w:t>
      </w:r>
      <w:r>
        <w:rPr>
          <w:rFonts w:ascii="Times New Roman" w:eastAsiaTheme="minorEastAsia" w:hAnsi="Times New Roman" w:cs="Times New Roman" w:hint="default"/>
          <w:color w:val="auto"/>
        </w:rPr>
        <w:t>(GB3838-2002)</w:t>
      </w:r>
      <w:r>
        <w:rPr>
          <w:rFonts w:ascii="Times New Roman" w:eastAsiaTheme="minorEastAsia" w:hAnsi="Times New Roman" w:cs="Times New Roman" w:hint="default"/>
          <w:color w:val="auto"/>
        </w:rPr>
        <w:t>相应</w:t>
      </w:r>
      <w:r>
        <w:rPr>
          <w:rFonts w:ascii="Times New Roman" w:eastAsiaTheme="minorEastAsia" w:hAnsi="Times New Roman" w:cs="Times New Roman" w:hint="default"/>
          <w:color w:val="auto"/>
        </w:rPr>
        <w:t>Ⅲ</w:t>
      </w:r>
      <w:r>
        <w:rPr>
          <w:rFonts w:ascii="Times New Roman" w:eastAsiaTheme="minorEastAsia" w:hAnsi="Times New Roman" w:cs="Times New Roman" w:hint="default"/>
          <w:color w:val="auto"/>
        </w:rPr>
        <w:t>类标准要求。</w:t>
      </w:r>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w:t>
      </w:r>
      <w:r>
        <w:rPr>
          <w:rFonts w:cs="Times New Roman"/>
          <w:b/>
          <w:sz w:val="28"/>
          <w:szCs w:val="28"/>
        </w:rPr>
        <w:t>2</w:t>
      </w:r>
      <w:r>
        <w:rPr>
          <w:rFonts w:cs="Times New Roman"/>
          <w:b/>
          <w:sz w:val="28"/>
          <w:szCs w:val="28"/>
        </w:rPr>
        <w:t>.</w:t>
      </w:r>
      <w:r>
        <w:rPr>
          <w:rFonts w:cs="Times New Roman"/>
          <w:b/>
          <w:sz w:val="28"/>
          <w:szCs w:val="28"/>
        </w:rPr>
        <w:t>3</w:t>
      </w:r>
      <w:r>
        <w:rPr>
          <w:rFonts w:cs="Times New Roman"/>
          <w:b/>
          <w:sz w:val="28"/>
          <w:szCs w:val="28"/>
        </w:rPr>
        <w:t>声环境</w:t>
      </w:r>
    </w:p>
    <w:p w:rsidR="00A46452" w:rsidRDefault="009A3928">
      <w:pPr>
        <w:spacing w:line="300" w:lineRule="auto"/>
        <w:ind w:firstLine="480"/>
        <w:rPr>
          <w:rFonts w:eastAsiaTheme="minorEastAsia" w:cs="Times New Roman"/>
        </w:rPr>
      </w:pPr>
      <w:bookmarkStart w:id="481" w:name="OLE_LINK76"/>
      <w:r>
        <w:rPr>
          <w:rFonts w:eastAsiaTheme="minorEastAsia" w:cs="Times New Roman"/>
        </w:rPr>
        <w:t>拟建公路所经区域多为空旷区域和</w:t>
      </w:r>
      <w:r>
        <w:rPr>
          <w:rFonts w:eastAsiaTheme="minorEastAsia" w:cs="Times New Roman"/>
        </w:rPr>
        <w:t>城镇</w:t>
      </w:r>
      <w:r>
        <w:rPr>
          <w:rFonts w:eastAsiaTheme="minorEastAsia" w:cs="Times New Roman"/>
        </w:rPr>
        <w:t>居住点，沿线主要噪声源为现有干线公路的交通噪声和社会生活噪声。拟建公路</w:t>
      </w:r>
      <w:r>
        <w:rPr>
          <w:rFonts w:eastAsiaTheme="minorEastAsia" w:cs="Times New Roman"/>
          <w:szCs w:val="20"/>
        </w:rPr>
        <w:t>沿线布设的</w:t>
      </w:r>
      <w:r>
        <w:rPr>
          <w:rFonts w:eastAsiaTheme="minorEastAsia" w:cs="Times New Roman"/>
          <w:szCs w:val="20"/>
        </w:rPr>
        <w:t>4</w:t>
      </w:r>
      <w:r>
        <w:rPr>
          <w:rFonts w:eastAsiaTheme="minorEastAsia" w:cs="Times New Roman"/>
          <w:szCs w:val="20"/>
        </w:rPr>
        <w:t>处环境噪声监测点中：</w:t>
      </w:r>
      <w:r>
        <w:rPr>
          <w:rFonts w:eastAsiaTheme="minorEastAsia" w:cs="Times New Roman"/>
          <w:szCs w:val="20"/>
        </w:rPr>
        <w:t>昼间</w:t>
      </w:r>
      <w:r>
        <w:rPr>
          <w:rFonts w:eastAsiaTheme="minorEastAsia" w:cs="Times New Roman"/>
          <w:szCs w:val="20"/>
        </w:rPr>
        <w:t>夜间</w:t>
      </w:r>
      <w:r>
        <w:rPr>
          <w:rFonts w:eastAsiaTheme="minorEastAsia" w:cs="Times New Roman"/>
          <w:szCs w:val="20"/>
        </w:rPr>
        <w:t>均未</w:t>
      </w:r>
      <w:r>
        <w:rPr>
          <w:rFonts w:eastAsiaTheme="minorEastAsia" w:cs="Times New Roman"/>
          <w:szCs w:val="20"/>
        </w:rPr>
        <w:t>超标，昼间和夜间</w:t>
      </w:r>
      <w:r>
        <w:rPr>
          <w:rFonts w:eastAsiaTheme="minorEastAsia" w:cs="Times New Roman"/>
        </w:rPr>
        <w:t>环境噪声均满足《声环境质量标准》</w:t>
      </w:r>
      <w:r>
        <w:rPr>
          <w:rFonts w:eastAsiaTheme="minorEastAsia" w:cs="Times New Roman"/>
        </w:rPr>
        <w:t>(GB3096-2008)Ⅱ</w:t>
      </w:r>
      <w:r>
        <w:rPr>
          <w:rFonts w:eastAsiaTheme="minorEastAsia" w:cs="Times New Roman"/>
        </w:rPr>
        <w:t>类标准要求。</w:t>
      </w:r>
    </w:p>
    <w:bookmarkEnd w:id="481"/>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.2.</w:t>
      </w:r>
      <w:r>
        <w:rPr>
          <w:rFonts w:cs="Times New Roman"/>
          <w:b/>
          <w:sz w:val="28"/>
          <w:szCs w:val="28"/>
        </w:rPr>
        <w:t>4</w:t>
      </w:r>
      <w:r>
        <w:rPr>
          <w:rFonts w:cs="Times New Roman"/>
          <w:b/>
          <w:sz w:val="28"/>
          <w:szCs w:val="28"/>
        </w:rPr>
        <w:t>大气环境</w:t>
      </w:r>
    </w:p>
    <w:p w:rsidR="00A46452" w:rsidRDefault="009A3928">
      <w:pPr>
        <w:wordWrap w:val="0"/>
        <w:topLinePunct/>
        <w:adjustRightInd w:val="0"/>
        <w:snapToGrid w:val="0"/>
        <w:ind w:firstLine="480"/>
        <w:rPr>
          <w:rFonts w:cs="Times New Roman"/>
          <w:snapToGrid w:val="0"/>
          <w:szCs w:val="24"/>
          <w:lang w:val="zh-CN"/>
        </w:rPr>
      </w:pPr>
      <w:r>
        <w:rPr>
          <w:rFonts w:cs="Times New Roman"/>
          <w:snapToGrid w:val="0"/>
          <w:szCs w:val="24"/>
          <w:lang w:val="zh-CN"/>
        </w:rPr>
        <w:t>拟建公路所经</w:t>
      </w:r>
      <w:r>
        <w:rPr>
          <w:rFonts w:cs="Times New Roman" w:hint="eastAsia"/>
          <w:snapToGrid w:val="0"/>
          <w:szCs w:val="24"/>
        </w:rPr>
        <w:t>区域</w:t>
      </w:r>
      <w:r>
        <w:rPr>
          <w:rFonts w:cs="Times New Roman"/>
          <w:snapToGrid w:val="0"/>
          <w:szCs w:val="24"/>
          <w:lang w:val="zh-CN"/>
        </w:rPr>
        <w:t>PM</w:t>
      </w:r>
      <w:r>
        <w:rPr>
          <w:rFonts w:cs="Times New Roman"/>
          <w:snapToGrid w:val="0"/>
          <w:szCs w:val="24"/>
          <w:vertAlign w:val="subscript"/>
          <w:lang w:val="zh-CN"/>
        </w:rPr>
        <w:t>10</w:t>
      </w:r>
      <w:r>
        <w:rPr>
          <w:rFonts w:cs="Times New Roman"/>
          <w:snapToGrid w:val="0"/>
          <w:szCs w:val="24"/>
          <w:lang w:val="zh-CN"/>
        </w:rPr>
        <w:t>和</w:t>
      </w:r>
      <w:r>
        <w:rPr>
          <w:rFonts w:cs="Times New Roman"/>
          <w:snapToGrid w:val="0"/>
          <w:szCs w:val="24"/>
          <w:lang w:val="zh-CN"/>
        </w:rPr>
        <w:t>PM</w:t>
      </w:r>
      <w:r>
        <w:rPr>
          <w:rFonts w:cs="Times New Roman"/>
          <w:snapToGrid w:val="0"/>
          <w:szCs w:val="24"/>
          <w:vertAlign w:val="subscript"/>
          <w:lang w:val="zh-CN"/>
        </w:rPr>
        <w:t>2.5</w:t>
      </w:r>
      <w:r>
        <w:rPr>
          <w:rFonts w:cs="Times New Roman"/>
          <w:snapToGrid w:val="0"/>
          <w:szCs w:val="24"/>
          <w:lang w:val="zh-CN"/>
        </w:rPr>
        <w:t>年平均浓度均超过《环境空气质量标准》（</w:t>
      </w:r>
      <w:r>
        <w:rPr>
          <w:rFonts w:cs="Times New Roman"/>
          <w:snapToGrid w:val="0"/>
          <w:szCs w:val="24"/>
          <w:lang w:val="zh-CN"/>
        </w:rPr>
        <w:t>GB3095-2012</w:t>
      </w:r>
      <w:r>
        <w:rPr>
          <w:rFonts w:cs="Times New Roman"/>
          <w:snapToGrid w:val="0"/>
          <w:szCs w:val="24"/>
          <w:lang w:val="zh-CN"/>
        </w:rPr>
        <w:t>）及修改清单中二级标准要求，项目区属于环境空气质量不达标区。</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82" w:name="_Toc1629"/>
      <w:bookmarkStart w:id="483" w:name="_Toc24366"/>
      <w:r>
        <w:rPr>
          <w:rFonts w:cs="Times New Roman" w:hint="default"/>
          <w:sz w:val="30"/>
          <w:szCs w:val="30"/>
        </w:rPr>
        <w:t>11.3</w:t>
      </w:r>
      <w:r>
        <w:rPr>
          <w:rFonts w:cs="Times New Roman" w:hint="default"/>
          <w:sz w:val="30"/>
          <w:szCs w:val="30"/>
        </w:rPr>
        <w:t>主要环境影响和保护措施</w:t>
      </w:r>
      <w:bookmarkEnd w:id="482"/>
      <w:bookmarkEnd w:id="483"/>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.3.1</w:t>
      </w:r>
      <w:r>
        <w:rPr>
          <w:rFonts w:cs="Times New Roman"/>
          <w:b/>
          <w:sz w:val="28"/>
          <w:szCs w:val="28"/>
        </w:rPr>
        <w:t>生态</w:t>
      </w:r>
      <w:r>
        <w:rPr>
          <w:rFonts w:cs="Times New Roman"/>
          <w:b/>
          <w:sz w:val="28"/>
          <w:szCs w:val="28"/>
        </w:rPr>
        <w:t>环境</w:t>
      </w:r>
    </w:p>
    <w:p w:rsidR="00A46452" w:rsidRDefault="009A3928">
      <w:pPr>
        <w:pStyle w:val="5a"/>
        <w:wordWrap w:val="0"/>
        <w:topLinePunct/>
        <w:adjustRightInd w:val="0"/>
        <w:snapToGrid w:val="0"/>
        <w:spacing w:line="360" w:lineRule="auto"/>
        <w:rPr>
          <w:rFonts w:ascii="Times New Roman" w:hAnsi="Times New Roman" w:cs="Times New Roman" w:hint="default"/>
          <w:color w:val="auto"/>
          <w:kern w:val="0"/>
          <w:lang w:bidi="ar"/>
        </w:rPr>
      </w:pPr>
      <w:r>
        <w:rPr>
          <w:rFonts w:ascii="Times New Roman" w:hAnsi="Times New Roman" w:cs="Times New Roman" w:hint="default"/>
          <w:snapToGrid w:val="0"/>
          <w:color w:val="auto"/>
        </w:rPr>
        <w:t>1.</w:t>
      </w:r>
      <w:r>
        <w:rPr>
          <w:rFonts w:ascii="Times New Roman" w:hAnsi="Times New Roman" w:cs="Times New Roman" w:hint="default"/>
          <w:color w:val="auto"/>
          <w:kern w:val="0"/>
          <w:lang w:bidi="ar"/>
        </w:rPr>
        <w:t>永久占地共</w:t>
      </w:r>
      <w:r>
        <w:rPr>
          <w:rFonts w:ascii="Times New Roman" w:hAnsi="Times New Roman" w:cs="Times New Roman" w:hint="default"/>
          <w:color w:val="auto"/>
          <w:kern w:val="0"/>
          <w:lang w:bidi="ar"/>
        </w:rPr>
        <w:t>300.80hm²</w:t>
      </w:r>
      <w:r>
        <w:rPr>
          <w:rFonts w:ascii="Times New Roman" w:hAnsi="Times New Roman" w:cs="Times New Roman" w:hint="default"/>
          <w:color w:val="auto"/>
          <w:kern w:val="0"/>
          <w:lang w:bidi="ar"/>
        </w:rPr>
        <w:t>，原有公路占地</w:t>
      </w:r>
      <w:r>
        <w:rPr>
          <w:rFonts w:ascii="Times New Roman" w:hAnsi="Times New Roman" w:cs="Times New Roman" w:hint="default"/>
          <w:color w:val="auto"/>
          <w:kern w:val="0"/>
          <w:lang w:bidi="ar"/>
        </w:rPr>
        <w:t>21.10hm²</w:t>
      </w:r>
      <w:r>
        <w:rPr>
          <w:rFonts w:ascii="Times New Roman" w:hAnsi="Times New Roman" w:cs="Times New Roman" w:hint="default"/>
          <w:color w:val="auto"/>
          <w:kern w:val="0"/>
          <w:lang w:bidi="ar"/>
        </w:rPr>
        <w:t>、荒地</w:t>
      </w:r>
      <w:r>
        <w:rPr>
          <w:rFonts w:ascii="Times New Roman" w:hAnsi="Times New Roman" w:cs="Times New Roman" w:hint="default"/>
          <w:color w:val="auto"/>
          <w:kern w:val="0"/>
          <w:lang w:bidi="ar"/>
        </w:rPr>
        <w:t>2.98hm²</w:t>
      </w:r>
      <w:r>
        <w:rPr>
          <w:rFonts w:ascii="Times New Roman" w:hAnsi="Times New Roman" w:cs="Times New Roman" w:hint="default"/>
          <w:color w:val="auto"/>
          <w:kern w:val="0"/>
          <w:lang w:bidi="ar"/>
        </w:rPr>
        <w:t>、耕地</w:t>
      </w:r>
      <w:r>
        <w:rPr>
          <w:rFonts w:ascii="Times New Roman" w:hAnsi="Times New Roman" w:cs="Times New Roman" w:hint="default"/>
          <w:color w:val="auto"/>
          <w:kern w:val="0"/>
          <w:lang w:bidi="ar"/>
        </w:rPr>
        <w:t>34.27hm²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草地</w:t>
      </w:r>
      <w:r>
        <w:rPr>
          <w:rFonts w:ascii="Times New Roman" w:hAnsi="Times New Roman" w:cs="Times New Roman" w:hint="default"/>
          <w:color w:val="auto"/>
          <w:kern w:val="0"/>
          <w:lang w:bidi="ar"/>
        </w:rPr>
        <w:t>97.91hm²</w:t>
      </w:r>
      <w:r>
        <w:rPr>
          <w:rFonts w:ascii="Times New Roman" w:hAnsi="Times New Roman" w:cs="Times New Roman" w:hint="default"/>
          <w:color w:val="auto"/>
          <w:kern w:val="0"/>
          <w:lang w:bidi="ar"/>
        </w:rPr>
        <w:t>、建设用地</w:t>
      </w:r>
      <w:r>
        <w:rPr>
          <w:rFonts w:ascii="Times New Roman" w:hAnsi="Times New Roman" w:cs="Times New Roman" w:hint="default"/>
          <w:color w:val="auto"/>
          <w:kern w:val="0"/>
          <w:lang w:bidi="ar"/>
        </w:rPr>
        <w:t>5.11hm²</w:t>
      </w:r>
      <w:r>
        <w:rPr>
          <w:rFonts w:ascii="Times New Roman" w:hAnsi="Times New Roman" w:cs="Times New Roman" w:hint="default"/>
          <w:color w:val="auto"/>
          <w:kern w:val="0"/>
          <w:lang w:bidi="ar"/>
        </w:rPr>
        <w:t>、</w:t>
      </w:r>
      <w:r>
        <w:rPr>
          <w:rFonts w:ascii="Times New Roman" w:hAnsi="Times New Roman" w:cs="Times New Roman" w:hint="default"/>
          <w:color w:val="auto"/>
          <w:kern w:val="0"/>
          <w:lang w:bidi="ar"/>
        </w:rPr>
        <w:t>林地</w:t>
      </w:r>
      <w:r>
        <w:rPr>
          <w:rFonts w:ascii="Times New Roman" w:hAnsi="Times New Roman" w:cs="Times New Roman" w:hint="default"/>
          <w:color w:val="auto"/>
          <w:kern w:val="0"/>
          <w:lang w:bidi="ar"/>
        </w:rPr>
        <w:t>139.15hm²</w:t>
      </w:r>
      <w:r>
        <w:rPr>
          <w:rFonts w:ascii="Times New Roman" w:hAnsi="Times New Roman" w:cs="Times New Roman" w:hint="default"/>
          <w:color w:val="auto"/>
          <w:kern w:val="0"/>
          <w:lang w:bidi="ar"/>
        </w:rPr>
        <w:t>、居民地</w:t>
      </w:r>
      <w:r>
        <w:rPr>
          <w:rFonts w:ascii="Times New Roman" w:hAnsi="Times New Roman" w:cs="Times New Roman" w:hint="default"/>
          <w:color w:val="auto"/>
          <w:kern w:val="0"/>
          <w:lang w:bidi="ar"/>
        </w:rPr>
        <w:t>0.28hm²</w:t>
      </w:r>
      <w:r>
        <w:rPr>
          <w:rFonts w:ascii="Times New Roman" w:hAnsi="Times New Roman" w:cs="Times New Roman" w:hint="default"/>
          <w:color w:val="auto"/>
          <w:kern w:val="0"/>
          <w:lang w:bidi="ar"/>
        </w:rPr>
        <w:t>，沿线未占用基本农田。</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hAnsi="Times New Roman" w:cs="Times New Roman" w:hint="default"/>
          <w:color w:val="auto"/>
        </w:rPr>
        <w:t>2.</w:t>
      </w:r>
      <w:r>
        <w:rPr>
          <w:rFonts w:ascii="Times New Roman" w:hAnsi="Times New Roman" w:cs="Times New Roman" w:hint="default"/>
          <w:color w:val="auto"/>
        </w:rPr>
        <w:t>根据《新疆生态功能区划》，</w:t>
      </w:r>
      <w:r>
        <w:rPr>
          <w:rFonts w:ascii="Times New Roman" w:hAnsi="Times New Roman" w:cs="Times New Roman" w:hint="default"/>
          <w:color w:val="auto"/>
        </w:rPr>
        <w:t>拟建公路穿越区域喀什地区巴楚县、阿克苏地区柯坪县</w:t>
      </w:r>
      <w:r>
        <w:rPr>
          <w:rFonts w:ascii="Times New Roman" w:hAnsi="Times New Roman" w:cs="Times New Roman" w:hint="default"/>
          <w:color w:val="auto"/>
        </w:rPr>
        <w:t>属于塔里木盆地暖温极干旱沙漠、戈壁及绿洲农业生态区</w:t>
      </w:r>
      <w:r>
        <w:rPr>
          <w:rFonts w:ascii="Times New Roman" w:hAnsi="Times New Roman" w:cs="Times New Roman" w:hint="default"/>
          <w:color w:val="auto"/>
        </w:rPr>
        <w:t>。</w:t>
      </w:r>
      <w:r>
        <w:rPr>
          <w:rFonts w:ascii="Times New Roman" w:hAnsi="Times New Roman" w:cs="Times New Roman" w:hint="default"/>
          <w:color w:val="auto"/>
        </w:rPr>
        <w:t>根据《新疆生产建设兵团生态功能区划》，</w:t>
      </w:r>
      <w:r>
        <w:rPr>
          <w:rFonts w:ascii="Times New Roman" w:hAnsi="Times New Roman" w:cs="Times New Roman" w:hint="default"/>
          <w:color w:val="auto"/>
        </w:rPr>
        <w:t>拟建公路穿越区域第三师图木舒克市</w:t>
      </w:r>
      <w:r>
        <w:rPr>
          <w:rFonts w:ascii="Times New Roman" w:hAnsi="Times New Roman" w:cs="Times New Roman" w:hint="default"/>
          <w:color w:val="auto"/>
        </w:rPr>
        <w:t>位于塔里木盆地暖温荒漠及绿洲农业生态区</w:t>
      </w:r>
      <w:r>
        <w:rPr>
          <w:rFonts w:ascii="Times New Roman" w:hAnsi="Times New Roman" w:cs="Times New Roman" w:hint="default"/>
          <w:color w:val="auto"/>
        </w:rPr>
        <w:t>。</w:t>
      </w:r>
      <w:r>
        <w:rPr>
          <w:rFonts w:ascii="Times New Roman" w:eastAsiaTheme="minorEastAsia" w:hAnsi="Times New Roman" w:cs="Times New Roman" w:hint="default"/>
          <w:color w:val="auto"/>
        </w:rPr>
        <w:t>拟建公路沿线植被除栽培植被外，天然植被主要由新疆杨、胡杨</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苹果</w:t>
      </w:r>
      <w:r>
        <w:rPr>
          <w:rFonts w:ascii="Times New Roman" w:eastAsiaTheme="minorEastAsia" w:hAnsi="Times New Roman" w:cs="Times New Roman" w:hint="default"/>
          <w:color w:val="auto"/>
        </w:rPr>
        <w:t>树</w:t>
      </w:r>
      <w:r>
        <w:rPr>
          <w:rFonts w:ascii="Times New Roman" w:eastAsiaTheme="minorEastAsia" w:hAnsi="Times New Roman" w:cs="Times New Roman" w:hint="default"/>
          <w:color w:val="auto"/>
        </w:rPr>
        <w:t>、桑树</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多枝柽柳</w:t>
      </w:r>
      <w:r>
        <w:rPr>
          <w:rFonts w:ascii="Times New Roman" w:eastAsiaTheme="minorEastAsia" w:hAnsi="Times New Roman" w:cs="Times New Roman" w:hint="default"/>
          <w:color w:val="auto"/>
        </w:rPr>
        <w:t>构成的</w:t>
      </w:r>
      <w:r>
        <w:rPr>
          <w:rFonts w:ascii="Times New Roman" w:eastAsiaTheme="minorEastAsia" w:hAnsi="Times New Roman" w:cs="Times New Roman" w:hint="default"/>
          <w:color w:val="auto"/>
        </w:rPr>
        <w:t>天然乔木林和以多枝柽柳、沙棘、骆驼刺等天然灌丛构成</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伴生植被有</w:t>
      </w:r>
      <w:r>
        <w:rPr>
          <w:rFonts w:ascii="Times New Roman" w:hAnsi="Times New Roman" w:cs="Times New Roman" w:hint="default"/>
          <w:snapToGrid w:val="0"/>
          <w:color w:val="auto"/>
          <w:lang w:val="zh-CN"/>
        </w:rPr>
        <w:t>苦豆子、</w:t>
      </w:r>
      <w:r>
        <w:rPr>
          <w:rFonts w:ascii="Times New Roman" w:hAnsi="Times New Roman" w:cs="Times New Roman" w:hint="default"/>
          <w:snapToGrid w:val="0"/>
          <w:color w:val="auto"/>
        </w:rPr>
        <w:t>骆驼刺、</w:t>
      </w:r>
      <w:r>
        <w:rPr>
          <w:rFonts w:ascii="Times New Roman" w:hAnsi="Times New Roman" w:cs="Times New Roman" w:hint="default"/>
          <w:snapToGrid w:val="0"/>
          <w:color w:val="auto"/>
          <w:lang w:val="zh-CN"/>
        </w:rPr>
        <w:t>盐爪爪、盐穗木、碱蓬、芦苇</w:t>
      </w:r>
      <w:r>
        <w:rPr>
          <w:rFonts w:ascii="Times New Roman" w:hAnsi="Times New Roman" w:cs="Times New Roman" w:hint="default"/>
          <w:snapToGrid w:val="0"/>
          <w:color w:val="auto"/>
        </w:rPr>
        <w:t>等</w:t>
      </w:r>
      <w:r>
        <w:rPr>
          <w:rFonts w:ascii="Times New Roman" w:eastAsiaTheme="minorEastAsia" w:hAnsi="Times New Roman" w:cs="Times New Roman" w:hint="default"/>
          <w:color w:val="auto"/>
        </w:rPr>
        <w:t>；这些植物群落在整个评价范围广泛分布，均非保护区特有群落类型。</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hAnsi="Times New Roman" w:cs="Times New Roman" w:hint="default"/>
          <w:color w:val="auto"/>
        </w:rPr>
        <w:t>3.</w:t>
      </w:r>
      <w:r>
        <w:rPr>
          <w:rFonts w:ascii="Times New Roman" w:hAnsi="Times New Roman" w:cs="Times New Roman" w:hint="default"/>
          <w:color w:val="auto"/>
        </w:rPr>
        <w:t>项目区塔里木盆地北侧，野生动物地理区划上属古北界、中亚亚界、蒙新区、西部荒漠亚区、塔里木盆地小区。</w:t>
      </w:r>
      <w:r>
        <w:rPr>
          <w:rFonts w:ascii="Times New Roman" w:eastAsiaTheme="minorEastAsia" w:hAnsi="Times New Roman" w:cs="Times New Roman" w:hint="default"/>
          <w:color w:val="auto"/>
          <w:lang w:bidi="ar"/>
        </w:rPr>
        <w:t>评价范围内野生动物以鸟类和兽类为主体，其中有国家二级保护动物</w:t>
      </w:r>
      <w:r>
        <w:rPr>
          <w:rFonts w:ascii="Times New Roman" w:eastAsiaTheme="minorEastAsia" w:hAnsi="Times New Roman" w:cs="Times New Roman" w:hint="default"/>
          <w:color w:val="auto"/>
          <w:lang w:bidi="ar"/>
        </w:rPr>
        <w:t>8</w:t>
      </w:r>
      <w:r>
        <w:rPr>
          <w:rFonts w:ascii="Times New Roman" w:eastAsiaTheme="minorEastAsia" w:hAnsi="Times New Roman" w:cs="Times New Roman" w:hint="default"/>
          <w:color w:val="auto"/>
          <w:lang w:bidi="ar"/>
        </w:rPr>
        <w:t>种，</w:t>
      </w:r>
      <w:r>
        <w:rPr>
          <w:rFonts w:ascii="Times New Roman" w:hAnsi="Times New Roman" w:cs="Times New Roman" w:hint="default"/>
          <w:snapToGrid w:val="0"/>
          <w:color w:val="auto"/>
        </w:rPr>
        <w:t>塔里木兔、</w:t>
      </w:r>
      <w:r>
        <w:rPr>
          <w:rFonts w:ascii="Times New Roman" w:hAnsi="Times New Roman" w:cs="Times New Roman" w:hint="default"/>
          <w:snapToGrid w:val="0"/>
          <w:color w:val="auto"/>
          <w:lang w:val="zh-CN"/>
        </w:rPr>
        <w:t>鹅喉羚、鸢、苍鹰、红隼、沙狐、赤狐、黑鹳；</w:t>
      </w:r>
      <w:r>
        <w:rPr>
          <w:rFonts w:ascii="Times New Roman" w:hAnsi="Times New Roman" w:cs="Times New Roman" w:hint="default"/>
          <w:snapToGrid w:val="0"/>
          <w:color w:val="auto"/>
        </w:rPr>
        <w:t>自治区二级</w:t>
      </w:r>
      <w:r>
        <w:rPr>
          <w:rFonts w:ascii="Times New Roman" w:hAnsi="Times New Roman" w:cs="Times New Roman" w:hint="default"/>
          <w:snapToGrid w:val="0"/>
          <w:color w:val="auto"/>
        </w:rPr>
        <w:t>1</w:t>
      </w:r>
      <w:r>
        <w:rPr>
          <w:rFonts w:ascii="Times New Roman" w:hAnsi="Times New Roman" w:cs="Times New Roman" w:hint="default"/>
          <w:snapToGrid w:val="0"/>
          <w:color w:val="auto"/>
        </w:rPr>
        <w:t>种，即</w:t>
      </w:r>
      <w:r>
        <w:rPr>
          <w:rFonts w:ascii="Times New Roman" w:hAnsi="Times New Roman" w:cs="Times New Roman" w:hint="default"/>
          <w:snapToGrid w:val="0"/>
          <w:color w:val="auto"/>
          <w:lang w:val="zh-CN"/>
        </w:rPr>
        <w:t>蓝胸佛法僧。</w:t>
      </w:r>
      <w:r>
        <w:rPr>
          <w:rFonts w:ascii="Times New Roman" w:hAnsi="Times New Roman" w:cs="Times New Roman" w:hint="default"/>
          <w:snapToGrid w:val="0"/>
          <w:color w:val="auto"/>
        </w:rPr>
        <w:t>其</w:t>
      </w:r>
      <w:r>
        <w:rPr>
          <w:rFonts w:ascii="Times New Roman" w:eastAsiaTheme="minorEastAsia" w:hAnsi="Times New Roman" w:cs="Times New Roman" w:hint="default"/>
          <w:color w:val="auto"/>
        </w:rPr>
        <w:t>中塔里木兔为新疆塔里木盆地特有的物种。由于本项目占地为线状和小块状，面积很小，项目建设期及运营期仅会引起各类生物群落类型、面积、分布、结构和格局的细微变化，对项目所在区域动物类群形成短时间的干扰，不会影响各类生物的生存和繁衍，对生物群落类型及其特有性的影响较小。</w:t>
      </w:r>
    </w:p>
    <w:p w:rsidR="00A46452" w:rsidRDefault="009A3928">
      <w:pPr>
        <w:snapToGrid w:val="0"/>
        <w:ind w:firstLine="480"/>
        <w:rPr>
          <w:rFonts w:eastAsiaTheme="minorEastAsia" w:cs="Times New Roman"/>
          <w:szCs w:val="24"/>
        </w:rPr>
      </w:pPr>
      <w:r>
        <w:rPr>
          <w:rFonts w:eastAsiaTheme="minorEastAsia" w:cs="Times New Roman"/>
          <w:szCs w:val="24"/>
        </w:rPr>
        <w:t>4.</w:t>
      </w:r>
      <w:r>
        <w:rPr>
          <w:rFonts w:eastAsiaTheme="minorEastAsia" w:cs="Times New Roman"/>
          <w:szCs w:val="24"/>
        </w:rPr>
        <w:t>拟建公路沿线是水力侵蚀和风力侵蚀为主的地区，项目建设将在一定程度上加剧戈壁荒漠生态系统的脆弱度和不稳定性，尤其是施工期施工机械和车辆的无序行驶对荒漠植被的破坏和砾幕层的扰动。随着公路完工，公路防风沙工程的实施与发挥效应，对沙地植被的破坏和扰动影响将逐步减轻和消除。本项目建设不会加重项目区域土地沙化程度。</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5.</w:t>
      </w:r>
      <w:r>
        <w:rPr>
          <w:rFonts w:ascii="Times New Roman" w:eastAsiaTheme="minorEastAsia" w:hAnsi="Times New Roman" w:cs="Times New Roman" w:hint="default"/>
          <w:color w:val="auto"/>
        </w:rPr>
        <w:t>工程建设可能导致的生物量损失总量为</w:t>
      </w:r>
      <w:r>
        <w:rPr>
          <w:rFonts w:ascii="Times New Roman" w:eastAsiaTheme="minorEastAsia" w:hAnsi="Times New Roman" w:cs="Times New Roman" w:hint="default"/>
          <w:color w:val="auto"/>
        </w:rPr>
        <w:t>7276.80</w:t>
      </w:r>
      <w:r>
        <w:rPr>
          <w:rFonts w:ascii="Times New Roman" w:eastAsiaTheme="minorEastAsia" w:hAnsi="Times New Roman" w:cs="Times New Roman" w:hint="default"/>
          <w:color w:val="auto"/>
        </w:rPr>
        <w:t>t</w:t>
      </w:r>
      <w:r>
        <w:rPr>
          <w:rFonts w:ascii="Times New Roman" w:eastAsiaTheme="minorEastAsia" w:hAnsi="Times New Roman" w:cs="Times New Roman"/>
          <w:color w:val="auto"/>
        </w:rPr>
        <w:t>，</w:t>
      </w:r>
      <w:r>
        <w:rPr>
          <w:rFonts w:ascii="Times New Roman" w:eastAsiaTheme="minorEastAsia" w:hAnsi="Times New Roman" w:cs="Times New Roman" w:hint="default"/>
          <w:color w:val="auto"/>
        </w:rPr>
        <w:t>可能导致生物量损失的生态系统类型中，以森林生态系统</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农田生态系统、草地</w:t>
      </w:r>
      <w:r>
        <w:rPr>
          <w:rFonts w:ascii="Times New Roman" w:eastAsiaTheme="minorEastAsia" w:hAnsi="Times New Roman" w:cs="Times New Roman" w:hint="default"/>
          <w:color w:val="auto"/>
        </w:rPr>
        <w:t>生态系统为主。</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6.</w:t>
      </w:r>
      <w:r>
        <w:rPr>
          <w:rFonts w:ascii="Times New Roman" w:eastAsiaTheme="minorEastAsia" w:hAnsi="Times New Roman" w:cs="Times New Roman" w:hint="default"/>
          <w:color w:val="auto"/>
        </w:rPr>
        <w:t>拟建公路本工程挖方共计</w:t>
      </w:r>
      <w:r>
        <w:rPr>
          <w:rFonts w:ascii="Times New Roman" w:eastAsiaTheme="minorEastAsia" w:hAnsi="Times New Roman" w:cs="Times New Roman" w:hint="default"/>
          <w:color w:val="auto"/>
        </w:rPr>
        <w:t>293665m³</w:t>
      </w:r>
      <w:r>
        <w:rPr>
          <w:rFonts w:ascii="Times New Roman" w:eastAsiaTheme="minorEastAsia" w:hAnsi="Times New Roman" w:cs="Times New Roman" w:hint="default"/>
          <w:color w:val="auto"/>
        </w:rPr>
        <w:t>，填方共计</w:t>
      </w:r>
      <w:r>
        <w:rPr>
          <w:rFonts w:ascii="Times New Roman" w:eastAsiaTheme="minorEastAsia" w:hAnsi="Times New Roman" w:cs="Times New Roman" w:hint="default"/>
          <w:color w:val="auto"/>
        </w:rPr>
        <w:t>2437</w:t>
      </w:r>
      <w:r>
        <w:rPr>
          <w:rFonts w:ascii="Times New Roman" w:eastAsiaTheme="minorEastAsia" w:hAnsi="Times New Roman" w:cs="Times New Roman" w:hint="default"/>
          <w:color w:val="auto"/>
        </w:rPr>
        <w:t>151m³</w:t>
      </w:r>
      <w:r>
        <w:rPr>
          <w:rFonts w:ascii="Times New Roman" w:eastAsiaTheme="minorEastAsia" w:hAnsi="Times New Roman" w:cs="Times New Roman" w:hint="default"/>
          <w:color w:val="auto"/>
        </w:rPr>
        <w:t>，弃方共计</w:t>
      </w:r>
      <w:r>
        <w:rPr>
          <w:rFonts w:ascii="Times New Roman" w:eastAsiaTheme="minorEastAsia" w:hAnsi="Times New Roman" w:cs="Times New Roman" w:hint="default"/>
          <w:color w:val="auto"/>
        </w:rPr>
        <w:t>293665m³</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拟建公路临时工程包括取土场</w:t>
      </w:r>
      <w:r>
        <w:rPr>
          <w:rFonts w:ascii="Times New Roman" w:eastAsiaTheme="minorEastAsia" w:hAnsi="Times New Roman" w:cs="Times New Roman" w:hint="default"/>
          <w:color w:val="auto"/>
        </w:rPr>
        <w:t>3</w:t>
      </w:r>
      <w:r>
        <w:rPr>
          <w:rFonts w:ascii="Times New Roman" w:eastAsiaTheme="minorEastAsia" w:hAnsi="Times New Roman" w:cs="Times New Roman" w:hint="default"/>
          <w:color w:val="auto"/>
        </w:rPr>
        <w:t>处、弃土场</w:t>
      </w:r>
      <w:r>
        <w:rPr>
          <w:rFonts w:ascii="Times New Roman" w:eastAsiaTheme="minorEastAsia" w:hAnsi="Times New Roman" w:cs="Times New Roman" w:hint="default"/>
          <w:color w:val="auto"/>
        </w:rPr>
        <w:t>2</w:t>
      </w:r>
      <w:r>
        <w:rPr>
          <w:rFonts w:ascii="Times New Roman" w:eastAsiaTheme="minorEastAsia" w:hAnsi="Times New Roman" w:cs="Times New Roman" w:hint="default"/>
          <w:color w:val="auto"/>
        </w:rPr>
        <w:t>处、施工生产生活区</w:t>
      </w:r>
      <w:r>
        <w:rPr>
          <w:rFonts w:ascii="Times New Roman" w:eastAsiaTheme="minorEastAsia" w:hAnsi="Times New Roman" w:cs="Times New Roman" w:hint="default"/>
          <w:color w:val="auto"/>
        </w:rPr>
        <w:t>3</w:t>
      </w:r>
      <w:r>
        <w:rPr>
          <w:rFonts w:ascii="Times New Roman" w:eastAsiaTheme="minorEastAsia" w:hAnsi="Times New Roman" w:cs="Times New Roman" w:hint="default"/>
          <w:color w:val="auto"/>
        </w:rPr>
        <w:t>处。拟建公路取弃土场选址合理，施工完毕后进行场地平整及植被恢复。</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7.</w:t>
      </w:r>
      <w:r>
        <w:rPr>
          <w:rFonts w:ascii="Times New Roman" w:eastAsiaTheme="minorEastAsia" w:hAnsi="Times New Roman" w:cs="Times New Roman" w:hint="default"/>
          <w:color w:val="auto"/>
        </w:rPr>
        <w:t>拟建公路</w:t>
      </w:r>
      <w:r>
        <w:rPr>
          <w:rFonts w:ascii="Times New Roman" w:eastAsiaTheme="minorEastAsia" w:hAnsi="Times New Roman" w:cs="Times New Roman" w:hint="default"/>
          <w:color w:val="auto"/>
        </w:rPr>
        <w:t>K3+280~K3+520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K4+440~K4+620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K22+460~K24+680</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K26+780~K32+240</w:t>
      </w:r>
      <w:r>
        <w:rPr>
          <w:rFonts w:ascii="Times New Roman" w:eastAsiaTheme="minorEastAsia" w:hAnsi="Times New Roman" w:cs="Times New Roman" w:hint="default"/>
          <w:color w:val="auto"/>
        </w:rPr>
        <w:t>段（第三师图木舒克市境内），</w:t>
      </w:r>
      <w:r>
        <w:rPr>
          <w:rFonts w:ascii="Times New Roman" w:eastAsiaTheme="minorEastAsia" w:hAnsi="Times New Roman" w:cs="Times New Roman" w:hint="default"/>
          <w:color w:val="auto"/>
        </w:rPr>
        <w:t>K42+980~K45+540</w:t>
      </w:r>
      <w:r>
        <w:rPr>
          <w:rFonts w:ascii="Times New Roman" w:eastAsiaTheme="minorEastAsia" w:hAnsi="Times New Roman" w:cs="Times New Roman" w:hint="default"/>
          <w:color w:val="auto"/>
        </w:rPr>
        <w:t>（喀什地区巴楚县境内）占用国家二级公益林</w:t>
      </w:r>
      <w:r>
        <w:rPr>
          <w:rFonts w:ascii="Times New Roman" w:eastAsiaTheme="minorEastAsia" w:hAnsi="Times New Roman" w:cs="Times New Roman" w:hint="default"/>
          <w:color w:val="auto"/>
        </w:rPr>
        <w:t>。拟建公路</w:t>
      </w:r>
      <w:r>
        <w:rPr>
          <w:rFonts w:ascii="Times New Roman" w:eastAsiaTheme="minorEastAsia" w:hAnsi="Times New Roman" w:cs="Times New Roman" w:hint="default"/>
          <w:color w:val="auto"/>
        </w:rPr>
        <w:t>选择林木稀疏区域穿越</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对</w:t>
      </w:r>
      <w:r>
        <w:rPr>
          <w:rFonts w:ascii="Times New Roman" w:eastAsiaTheme="minorEastAsia" w:hAnsi="Times New Roman" w:cs="Times New Roman" w:hint="default"/>
          <w:color w:val="auto"/>
        </w:rPr>
        <w:t>整体公益林</w:t>
      </w:r>
      <w:r>
        <w:rPr>
          <w:rFonts w:ascii="Times New Roman" w:eastAsiaTheme="minorEastAsia" w:hAnsi="Times New Roman" w:cs="Times New Roman" w:hint="default"/>
          <w:color w:val="auto"/>
        </w:rPr>
        <w:t>影响较小。</w:t>
      </w:r>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.3.2</w:t>
      </w:r>
      <w:r>
        <w:rPr>
          <w:rFonts w:cs="Times New Roman"/>
          <w:b/>
          <w:sz w:val="28"/>
          <w:szCs w:val="28"/>
        </w:rPr>
        <w:t>地表水环境</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1.</w:t>
      </w:r>
      <w:r>
        <w:rPr>
          <w:rFonts w:ascii="Times New Roman" w:eastAsiaTheme="minorEastAsia" w:hAnsi="Times New Roman" w:cs="Times New Roman" w:hint="default"/>
          <w:color w:val="auto"/>
        </w:rPr>
        <w:t>拟建公路施工期对沿线地表水体的影响包括建筑材料运输与堆放、预制场及拌合站生产废水排放、路基路面施工、跨河桥梁施工、隧道施工以及施工营地生活污水对水体的影响等。</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2.</w:t>
      </w:r>
      <w:r>
        <w:rPr>
          <w:rFonts w:ascii="Times New Roman" w:eastAsiaTheme="minorEastAsia" w:hAnsi="Times New Roman" w:cs="Times New Roman" w:hint="default"/>
          <w:color w:val="auto"/>
        </w:rPr>
        <w:t>拟建公路施工生产生活区施工废水经隔油沉淀池处理后，回用于施工用水、施工场地及施工便道洒水降尘，不得排入沿线敏感水体；生活污水经</w:t>
      </w:r>
      <w:r>
        <w:rPr>
          <w:rFonts w:ascii="Times New Roman" w:eastAsiaTheme="minorEastAsia" w:hAnsi="Times New Roman" w:cs="Times New Roman" w:hint="default"/>
          <w:color w:val="auto"/>
        </w:rPr>
        <w:t>一体化污水处理设施</w:t>
      </w:r>
      <w:r>
        <w:rPr>
          <w:rFonts w:ascii="Times New Roman" w:eastAsiaTheme="minorEastAsia" w:hAnsi="Times New Roman" w:cs="Times New Roman" w:hint="default"/>
          <w:color w:val="auto"/>
        </w:rPr>
        <w:t>处理</w:t>
      </w:r>
      <w:r>
        <w:rPr>
          <w:rFonts w:ascii="Times New Roman" w:eastAsiaTheme="minorEastAsia" w:hAnsi="Times New Roman" w:cs="Times New Roman" w:hint="default"/>
          <w:color w:val="auto"/>
        </w:rPr>
        <w:t>达标</w:t>
      </w:r>
      <w:r>
        <w:rPr>
          <w:rFonts w:ascii="Times New Roman" w:eastAsiaTheme="minorEastAsia" w:hAnsi="Times New Roman" w:cs="Times New Roman" w:hint="default"/>
          <w:color w:val="auto"/>
        </w:rPr>
        <w:t>后</w:t>
      </w:r>
      <w:r>
        <w:rPr>
          <w:rFonts w:ascii="Times New Roman" w:eastAsiaTheme="minorEastAsia" w:hAnsi="Times New Roman" w:cs="Times New Roman" w:hint="default"/>
          <w:color w:val="auto"/>
        </w:rPr>
        <w:t>荒漠绿化灌溉</w:t>
      </w:r>
      <w:r>
        <w:rPr>
          <w:rFonts w:ascii="Times New Roman" w:eastAsiaTheme="minorEastAsia" w:hAnsi="Times New Roman" w:cs="Times New Roman" w:hint="default"/>
          <w:color w:val="auto"/>
        </w:rPr>
        <w:t>。</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3.</w:t>
      </w:r>
      <w:r>
        <w:rPr>
          <w:rFonts w:ascii="Times New Roman" w:eastAsiaTheme="minorEastAsia" w:hAnsi="Times New Roman" w:cs="Times New Roman" w:hint="default"/>
          <w:color w:val="auto"/>
        </w:rPr>
        <w:t>禁止向沿线河流水体倾倒、排放各种生活污水和垃圾，禁止在河流沿岸堆放生活垃圾和建筑垃圾。生活垃圾装入垃圾桶集中收集，定期清运至环境敏感区外地方垃圾处理场；施工废料、建筑垃圾</w:t>
      </w:r>
      <w:r>
        <w:rPr>
          <w:rFonts w:ascii="Times New Roman" w:eastAsiaTheme="minorEastAsia" w:hAnsi="Times New Roman" w:cs="Times New Roman" w:hint="default"/>
          <w:color w:val="auto"/>
        </w:rPr>
        <w:t>集中收集后，清运至弃渣场。</w:t>
      </w:r>
    </w:p>
    <w:p w:rsidR="00A46452" w:rsidRDefault="009A3928">
      <w:pPr>
        <w:pStyle w:val="5a"/>
        <w:wordWrap w:val="0"/>
        <w:topLinePunct/>
        <w:adjustRightInd w:val="0"/>
        <w:snapToGrid w:val="0"/>
        <w:spacing w:line="360" w:lineRule="auto"/>
        <w:rPr>
          <w:rFonts w:ascii="Times New Roman" w:eastAsiaTheme="minorEastAsia" w:hAnsi="Times New Roman" w:cs="Times New Roman" w:hint="default"/>
          <w:color w:val="auto"/>
        </w:rPr>
      </w:pPr>
      <w:r>
        <w:rPr>
          <w:rFonts w:ascii="Times New Roman" w:eastAsiaTheme="minorEastAsia" w:hAnsi="Times New Roman" w:cs="Times New Roman" w:hint="default"/>
          <w:color w:val="auto"/>
        </w:rPr>
        <w:t>4.</w:t>
      </w:r>
      <w:r>
        <w:rPr>
          <w:rFonts w:ascii="Times New Roman" w:eastAsiaTheme="minorEastAsia" w:hAnsi="Times New Roman" w:cs="Times New Roman" w:hint="default"/>
          <w:color w:val="auto"/>
        </w:rPr>
        <w:t>拟建公路服务设施生活污水采用生化污水处理设施处理，达到《农村生活污水处理排放标准》（</w:t>
      </w:r>
      <w:r>
        <w:rPr>
          <w:rFonts w:ascii="Times New Roman" w:eastAsiaTheme="minorEastAsia" w:hAnsi="Times New Roman" w:cs="Times New Roman" w:hint="default"/>
          <w:color w:val="auto"/>
        </w:rPr>
        <w:t>DB</w:t>
      </w:r>
      <w:r>
        <w:rPr>
          <w:rFonts w:ascii="Times New Roman" w:eastAsiaTheme="minorEastAsia" w:hAnsi="Times New Roman" w:cs="Times New Roman" w:hint="default"/>
          <w:color w:val="auto"/>
        </w:rPr>
        <w:t xml:space="preserve"> </w:t>
      </w:r>
      <w:r>
        <w:rPr>
          <w:rFonts w:ascii="Times New Roman" w:eastAsiaTheme="minorEastAsia" w:hAnsi="Times New Roman" w:cs="Times New Roman" w:hint="default"/>
          <w:color w:val="auto"/>
        </w:rPr>
        <w:t>654275-2019</w:t>
      </w:r>
      <w:r>
        <w:rPr>
          <w:rFonts w:ascii="Times New Roman" w:eastAsiaTheme="minorEastAsia" w:hAnsi="Times New Roman" w:cs="Times New Roman" w:hint="default"/>
          <w:color w:val="auto"/>
        </w:rPr>
        <w:t>）</w:t>
      </w:r>
      <w:r>
        <w:rPr>
          <w:rFonts w:ascii="Times New Roman" w:eastAsiaTheme="minorEastAsia" w:hAnsi="Times New Roman" w:cs="Times New Roman" w:hint="default"/>
          <w:color w:val="auto"/>
        </w:rPr>
        <w:t>A</w:t>
      </w:r>
      <w:r>
        <w:rPr>
          <w:rFonts w:ascii="Times New Roman" w:eastAsiaTheme="minorEastAsia" w:hAnsi="Times New Roman" w:cs="Times New Roman" w:hint="default"/>
          <w:color w:val="auto"/>
        </w:rPr>
        <w:t>级标准后用于场地绿化，夏灌冬储不外排。</w:t>
      </w:r>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.3.</w:t>
      </w:r>
      <w:r>
        <w:rPr>
          <w:rFonts w:cs="Times New Roman"/>
          <w:b/>
          <w:sz w:val="28"/>
          <w:szCs w:val="28"/>
        </w:rPr>
        <w:t>3</w:t>
      </w:r>
      <w:r>
        <w:rPr>
          <w:rFonts w:cs="Times New Roman"/>
          <w:b/>
          <w:sz w:val="28"/>
          <w:szCs w:val="28"/>
        </w:rPr>
        <w:t>声环境</w:t>
      </w:r>
    </w:p>
    <w:p w:rsidR="00A46452" w:rsidRDefault="009A3928" w:rsidP="00182EED">
      <w:pPr>
        <w:spacing w:line="300" w:lineRule="auto"/>
        <w:ind w:firstLine="480"/>
        <w:rPr>
          <w:rFonts w:eastAsiaTheme="minorEastAsia" w:cs="Times New Roman"/>
          <w:szCs w:val="24"/>
        </w:rPr>
      </w:pPr>
      <w:bookmarkStart w:id="484" w:name="OLE_LINK78"/>
      <w:r>
        <w:rPr>
          <w:rFonts w:eastAsiaTheme="minorEastAsia" w:cs="Times New Roman"/>
          <w:szCs w:val="24"/>
        </w:rPr>
        <w:t>1</w:t>
      </w:r>
      <w:r>
        <w:rPr>
          <w:rFonts w:eastAsiaTheme="minorEastAsia" w:cs="Times New Roman"/>
          <w:szCs w:val="24"/>
        </w:rPr>
        <w:t>.</w:t>
      </w:r>
      <w:r>
        <w:rPr>
          <w:rFonts w:eastAsiaTheme="minorEastAsia" w:cs="Times New Roman"/>
          <w:szCs w:val="24"/>
        </w:rPr>
        <w:t>按</w:t>
      </w:r>
      <w:r>
        <w:rPr>
          <w:rFonts w:eastAsiaTheme="minorEastAsia" w:cs="Times New Roman"/>
          <w:szCs w:val="24"/>
        </w:rPr>
        <w:t>4a</w:t>
      </w:r>
      <w:r>
        <w:rPr>
          <w:rFonts w:eastAsiaTheme="minorEastAsia" w:cs="Times New Roman"/>
          <w:szCs w:val="24"/>
        </w:rPr>
        <w:t>类标准，昼间</w:t>
      </w:r>
      <w:r>
        <w:rPr>
          <w:rFonts w:eastAsiaTheme="minorEastAsia" w:cs="Times New Roman"/>
          <w:szCs w:val="24"/>
        </w:rPr>
        <w:t>及夜间</w:t>
      </w:r>
      <w:r>
        <w:rPr>
          <w:rFonts w:eastAsiaTheme="minorEastAsia" w:cs="Times New Roman"/>
          <w:szCs w:val="24"/>
        </w:rPr>
        <w:t>运营近、中、远期昼间达标距离均为距路中心线</w:t>
      </w:r>
      <w:r>
        <w:rPr>
          <w:rFonts w:eastAsiaTheme="minorEastAsia" w:cs="Times New Roman"/>
          <w:szCs w:val="24"/>
        </w:rPr>
        <w:t>&lt;20m</w:t>
      </w:r>
      <w:r>
        <w:rPr>
          <w:rFonts w:eastAsiaTheme="minorEastAsia" w:cs="Times New Roman"/>
          <w:szCs w:val="24"/>
        </w:rPr>
        <w:t>。</w:t>
      </w:r>
    </w:p>
    <w:p w:rsidR="00A46452" w:rsidRDefault="009A3928" w:rsidP="00182EED">
      <w:pPr>
        <w:spacing w:line="300" w:lineRule="auto"/>
        <w:ind w:firstLine="480"/>
        <w:rPr>
          <w:rFonts w:eastAsiaTheme="minorEastAsia" w:cs="Times New Roman"/>
          <w:szCs w:val="24"/>
        </w:rPr>
      </w:pPr>
      <w:r>
        <w:rPr>
          <w:rFonts w:eastAsiaTheme="minorEastAsia" w:cs="Times New Roman"/>
          <w:szCs w:val="24"/>
        </w:rPr>
        <w:t>2</w:t>
      </w:r>
      <w:r>
        <w:rPr>
          <w:rFonts w:eastAsiaTheme="minorEastAsia" w:cs="Times New Roman"/>
          <w:szCs w:val="24"/>
        </w:rPr>
        <w:t>.</w:t>
      </w:r>
      <w:r>
        <w:rPr>
          <w:rFonts w:eastAsiaTheme="minorEastAsia" w:cs="Times New Roman"/>
          <w:szCs w:val="24"/>
        </w:rPr>
        <w:t>按</w:t>
      </w:r>
      <w:r>
        <w:rPr>
          <w:rFonts w:eastAsiaTheme="minorEastAsia" w:cs="Times New Roman"/>
          <w:szCs w:val="24"/>
        </w:rPr>
        <w:t>2</w:t>
      </w:r>
      <w:r>
        <w:rPr>
          <w:rFonts w:eastAsiaTheme="minorEastAsia" w:cs="Times New Roman"/>
          <w:szCs w:val="24"/>
        </w:rPr>
        <w:t>类标准，运营近、中、远期昼间</w:t>
      </w:r>
      <w:r>
        <w:rPr>
          <w:rFonts w:eastAsiaTheme="minorEastAsia" w:cs="Times New Roman"/>
          <w:szCs w:val="24"/>
        </w:rPr>
        <w:t>及夜间</w:t>
      </w:r>
      <w:r>
        <w:rPr>
          <w:rFonts w:eastAsiaTheme="minorEastAsia" w:cs="Times New Roman"/>
          <w:szCs w:val="24"/>
        </w:rPr>
        <w:t>达标距离分别为距路中心线</w:t>
      </w:r>
      <w:r>
        <w:rPr>
          <w:rFonts w:eastAsiaTheme="minorEastAsia" w:cs="Times New Roman"/>
          <w:szCs w:val="24"/>
        </w:rPr>
        <w:t>&lt;20m</w:t>
      </w:r>
      <w:r>
        <w:rPr>
          <w:rFonts w:eastAsiaTheme="minorEastAsia" w:cs="Times New Roman"/>
          <w:szCs w:val="24"/>
        </w:rPr>
        <w:t>。</w:t>
      </w:r>
    </w:p>
    <w:p w:rsidR="00A46452" w:rsidRDefault="009A3928" w:rsidP="00182EED">
      <w:pPr>
        <w:spacing w:line="300" w:lineRule="auto"/>
        <w:ind w:firstLine="480"/>
        <w:rPr>
          <w:rFonts w:eastAsiaTheme="minorEastAsia" w:cs="Times New Roman"/>
          <w:szCs w:val="24"/>
        </w:rPr>
      </w:pPr>
      <w:r>
        <w:rPr>
          <w:rFonts w:eastAsiaTheme="minorEastAsia" w:cs="Times New Roman"/>
          <w:szCs w:val="24"/>
        </w:rPr>
        <w:t>3</w:t>
      </w:r>
      <w:r>
        <w:rPr>
          <w:rFonts w:eastAsiaTheme="minorEastAsia" w:cs="Times New Roman"/>
          <w:szCs w:val="24"/>
        </w:rPr>
        <w:t>.</w:t>
      </w:r>
      <w:bookmarkStart w:id="485" w:name="OLE_LINK27"/>
      <w:r>
        <w:rPr>
          <w:rFonts w:eastAsiaTheme="minorEastAsia" w:cs="Times New Roman"/>
          <w:szCs w:val="24"/>
        </w:rPr>
        <w:t>拟建公路</w:t>
      </w:r>
      <w:bookmarkEnd w:id="485"/>
      <w:r>
        <w:rPr>
          <w:rFonts w:eastAsiaTheme="minorEastAsia" w:cs="Times New Roman"/>
          <w:szCs w:val="24"/>
        </w:rPr>
        <w:t>沿线</w:t>
      </w:r>
      <w:r>
        <w:rPr>
          <w:rFonts w:eastAsiaTheme="minorEastAsia" w:cs="Times New Roman"/>
          <w:szCs w:val="24"/>
        </w:rPr>
        <w:t>4</w:t>
      </w:r>
      <w:r>
        <w:rPr>
          <w:rFonts w:eastAsiaTheme="minorEastAsia" w:cs="Times New Roman"/>
          <w:szCs w:val="24"/>
        </w:rPr>
        <w:t>处敏感点中，近期昼间无超标，夜间</w:t>
      </w:r>
      <w:r>
        <w:rPr>
          <w:rFonts w:eastAsiaTheme="minorEastAsia" w:cs="Times New Roman"/>
          <w:szCs w:val="24"/>
        </w:rPr>
        <w:t>1</w:t>
      </w:r>
      <w:r>
        <w:rPr>
          <w:rFonts w:eastAsiaTheme="minorEastAsia" w:cs="Times New Roman"/>
          <w:szCs w:val="24"/>
        </w:rPr>
        <w:t>处（为</w:t>
      </w:r>
      <w:r>
        <w:rPr>
          <w:rFonts w:eastAsiaTheme="minorEastAsia" w:cs="Times New Roman" w:hint="eastAsia"/>
          <w:szCs w:val="24"/>
        </w:rPr>
        <w:t>幸福佳园一期</w:t>
      </w:r>
      <w:r>
        <w:rPr>
          <w:rFonts w:eastAsiaTheme="minorEastAsia" w:cs="Times New Roman"/>
          <w:szCs w:val="24"/>
        </w:rPr>
        <w:t>的</w:t>
      </w:r>
      <w:r>
        <w:rPr>
          <w:rFonts w:eastAsiaTheme="minorEastAsia" w:cs="Times New Roman"/>
          <w:szCs w:val="24"/>
        </w:rPr>
        <w:t>3</w:t>
      </w:r>
      <w:r>
        <w:rPr>
          <w:rFonts w:eastAsiaTheme="minorEastAsia" w:cs="Times New Roman"/>
          <w:szCs w:val="24"/>
        </w:rPr>
        <w:t>层及</w:t>
      </w:r>
      <w:r>
        <w:rPr>
          <w:rFonts w:eastAsiaTheme="minorEastAsia" w:cs="Times New Roman"/>
          <w:szCs w:val="24"/>
        </w:rPr>
        <w:t>5</w:t>
      </w:r>
      <w:r>
        <w:rPr>
          <w:rFonts w:eastAsiaTheme="minorEastAsia" w:cs="Times New Roman"/>
          <w:szCs w:val="24"/>
        </w:rPr>
        <w:t>层）超标，</w:t>
      </w:r>
      <w:r>
        <w:rPr>
          <w:rFonts w:eastAsiaTheme="minorEastAsia" w:cs="Times New Roman"/>
          <w:szCs w:val="24"/>
        </w:rPr>
        <w:t>超标量为</w:t>
      </w:r>
      <w:r>
        <w:rPr>
          <w:rFonts w:eastAsiaTheme="minorEastAsia" w:cs="Times New Roman"/>
          <w:szCs w:val="24"/>
        </w:rPr>
        <w:t>0.34dB</w:t>
      </w:r>
      <w:r>
        <w:rPr>
          <w:rFonts w:eastAsiaTheme="minorEastAsia" w:cs="Times New Roman"/>
          <w:szCs w:val="24"/>
        </w:rPr>
        <w:t>（</w:t>
      </w:r>
      <w:r>
        <w:rPr>
          <w:rFonts w:eastAsiaTheme="minorEastAsia" w:cs="Times New Roman"/>
          <w:szCs w:val="24"/>
        </w:rPr>
        <w:t>A</w:t>
      </w:r>
      <w:r>
        <w:rPr>
          <w:rFonts w:eastAsiaTheme="minorEastAsia" w:cs="Times New Roman"/>
          <w:szCs w:val="24"/>
        </w:rPr>
        <w:t>）、</w:t>
      </w:r>
      <w:r>
        <w:rPr>
          <w:rFonts w:eastAsiaTheme="minorEastAsia" w:cs="Times New Roman"/>
          <w:szCs w:val="24"/>
        </w:rPr>
        <w:t>3.99dB</w:t>
      </w:r>
      <w:r>
        <w:rPr>
          <w:rFonts w:eastAsiaTheme="minorEastAsia" w:cs="Times New Roman"/>
          <w:szCs w:val="24"/>
        </w:rPr>
        <w:t>（</w:t>
      </w:r>
      <w:r>
        <w:rPr>
          <w:rFonts w:eastAsiaTheme="minorEastAsia" w:cs="Times New Roman"/>
          <w:szCs w:val="24"/>
        </w:rPr>
        <w:t>A</w:t>
      </w:r>
      <w:r>
        <w:rPr>
          <w:rFonts w:eastAsiaTheme="minorEastAsia" w:cs="Times New Roman"/>
          <w:szCs w:val="24"/>
        </w:rPr>
        <w:t>）</w:t>
      </w:r>
      <w:r>
        <w:rPr>
          <w:rFonts w:eastAsiaTheme="minorEastAsia" w:cs="Times New Roman"/>
          <w:szCs w:val="24"/>
        </w:rPr>
        <w:t>；中期</w:t>
      </w:r>
      <w:r>
        <w:rPr>
          <w:rFonts w:eastAsiaTheme="minorEastAsia" w:cs="Times New Roman"/>
          <w:szCs w:val="24"/>
        </w:rPr>
        <w:t>昼间</w:t>
      </w:r>
      <w:r>
        <w:rPr>
          <w:rFonts w:eastAsiaTheme="minorEastAsia" w:cs="Times New Roman"/>
          <w:szCs w:val="24"/>
        </w:rPr>
        <w:t>无超标，夜间有</w:t>
      </w:r>
      <w:r>
        <w:rPr>
          <w:rFonts w:eastAsiaTheme="minorEastAsia" w:cs="Times New Roman"/>
          <w:szCs w:val="24"/>
        </w:rPr>
        <w:t>1</w:t>
      </w:r>
      <w:r>
        <w:rPr>
          <w:rFonts w:eastAsiaTheme="minorEastAsia" w:cs="Times New Roman"/>
          <w:szCs w:val="24"/>
        </w:rPr>
        <w:t>处超标</w:t>
      </w:r>
      <w:r>
        <w:rPr>
          <w:rFonts w:eastAsiaTheme="minorEastAsia" w:cs="Times New Roman"/>
          <w:szCs w:val="24"/>
        </w:rPr>
        <w:t>（</w:t>
      </w:r>
      <w:r>
        <w:rPr>
          <w:rFonts w:eastAsiaTheme="minorEastAsia" w:cs="Times New Roman"/>
          <w:szCs w:val="24"/>
        </w:rPr>
        <w:t>为幸福佳园一期的</w:t>
      </w:r>
      <w:r>
        <w:rPr>
          <w:rFonts w:eastAsiaTheme="minorEastAsia" w:cs="Times New Roman"/>
          <w:szCs w:val="24"/>
        </w:rPr>
        <w:t>1</w:t>
      </w:r>
      <w:r>
        <w:rPr>
          <w:rFonts w:eastAsiaTheme="minorEastAsia" w:cs="Times New Roman"/>
          <w:szCs w:val="24"/>
        </w:rPr>
        <w:t>层、</w:t>
      </w:r>
      <w:r>
        <w:rPr>
          <w:rFonts w:eastAsiaTheme="minorEastAsia" w:cs="Times New Roman"/>
          <w:szCs w:val="24"/>
        </w:rPr>
        <w:t>3</w:t>
      </w:r>
      <w:r>
        <w:rPr>
          <w:rFonts w:eastAsiaTheme="minorEastAsia" w:cs="Times New Roman"/>
          <w:szCs w:val="24"/>
        </w:rPr>
        <w:t>层及</w:t>
      </w:r>
      <w:r>
        <w:rPr>
          <w:rFonts w:eastAsiaTheme="minorEastAsia" w:cs="Times New Roman"/>
          <w:szCs w:val="24"/>
        </w:rPr>
        <w:t>5</w:t>
      </w:r>
      <w:r>
        <w:rPr>
          <w:rFonts w:eastAsiaTheme="minorEastAsia" w:cs="Times New Roman"/>
          <w:szCs w:val="24"/>
        </w:rPr>
        <w:t>层</w:t>
      </w:r>
      <w:r>
        <w:rPr>
          <w:rFonts w:eastAsiaTheme="minorEastAsia" w:cs="Times New Roman"/>
          <w:szCs w:val="24"/>
        </w:rPr>
        <w:t>）</w:t>
      </w:r>
      <w:r>
        <w:rPr>
          <w:rFonts w:eastAsiaTheme="minorEastAsia" w:cs="Times New Roman"/>
          <w:szCs w:val="24"/>
        </w:rPr>
        <w:t>，超标量为</w:t>
      </w:r>
      <w:r>
        <w:rPr>
          <w:rFonts w:eastAsiaTheme="minorEastAsia" w:cs="Times New Roman"/>
          <w:szCs w:val="24"/>
        </w:rPr>
        <w:t>0.26dB</w:t>
      </w:r>
      <w:r>
        <w:rPr>
          <w:rFonts w:eastAsiaTheme="minorEastAsia" w:cs="Times New Roman"/>
          <w:szCs w:val="24"/>
        </w:rPr>
        <w:t>（</w:t>
      </w:r>
      <w:r>
        <w:rPr>
          <w:rFonts w:eastAsiaTheme="minorEastAsia" w:cs="Times New Roman"/>
          <w:szCs w:val="24"/>
        </w:rPr>
        <w:t>A</w:t>
      </w:r>
      <w:r>
        <w:rPr>
          <w:rFonts w:eastAsiaTheme="minorEastAsia" w:cs="Times New Roman"/>
          <w:szCs w:val="24"/>
        </w:rPr>
        <w:t>）</w:t>
      </w:r>
      <w:r>
        <w:rPr>
          <w:rFonts w:eastAsiaTheme="minorEastAsia" w:cs="Times New Roman"/>
          <w:szCs w:val="24"/>
        </w:rPr>
        <w:t>-</w:t>
      </w:r>
      <w:r>
        <w:rPr>
          <w:rFonts w:eastAsiaTheme="minorEastAsia" w:cs="Times New Roman"/>
          <w:szCs w:val="24"/>
        </w:rPr>
        <w:t>5.22dB</w:t>
      </w:r>
      <w:r>
        <w:rPr>
          <w:rFonts w:eastAsiaTheme="minorEastAsia" w:cs="Times New Roman"/>
          <w:szCs w:val="24"/>
        </w:rPr>
        <w:t>（</w:t>
      </w:r>
      <w:r>
        <w:rPr>
          <w:rFonts w:eastAsiaTheme="minorEastAsia" w:cs="Times New Roman"/>
          <w:szCs w:val="24"/>
        </w:rPr>
        <w:t>A</w:t>
      </w:r>
      <w:r>
        <w:rPr>
          <w:rFonts w:eastAsiaTheme="minorEastAsia" w:cs="Times New Roman"/>
          <w:szCs w:val="24"/>
        </w:rPr>
        <w:t>）；远期昼间</w:t>
      </w:r>
      <w:r>
        <w:rPr>
          <w:rFonts w:eastAsiaTheme="minorEastAsia" w:cs="Times New Roman"/>
          <w:szCs w:val="24"/>
        </w:rPr>
        <w:t>无超标</w:t>
      </w:r>
      <w:r>
        <w:rPr>
          <w:rFonts w:eastAsiaTheme="minorEastAsia" w:cs="Times New Roman"/>
          <w:szCs w:val="24"/>
        </w:rPr>
        <w:t>，夜间有</w:t>
      </w:r>
      <w:r>
        <w:rPr>
          <w:rFonts w:eastAsiaTheme="minorEastAsia" w:cs="Times New Roman"/>
          <w:szCs w:val="24"/>
        </w:rPr>
        <w:t>1</w:t>
      </w:r>
      <w:r>
        <w:rPr>
          <w:rFonts w:eastAsiaTheme="minorEastAsia" w:cs="Times New Roman"/>
          <w:szCs w:val="24"/>
        </w:rPr>
        <w:t>处超标</w:t>
      </w:r>
      <w:r>
        <w:rPr>
          <w:rFonts w:eastAsiaTheme="minorEastAsia" w:cs="Times New Roman"/>
          <w:szCs w:val="24"/>
        </w:rPr>
        <w:t>（</w:t>
      </w:r>
      <w:r>
        <w:rPr>
          <w:rFonts w:eastAsiaTheme="minorEastAsia" w:cs="Times New Roman"/>
          <w:szCs w:val="24"/>
        </w:rPr>
        <w:t>为幸福佳园一期的</w:t>
      </w:r>
      <w:r>
        <w:rPr>
          <w:rFonts w:eastAsiaTheme="minorEastAsia" w:cs="Times New Roman"/>
          <w:szCs w:val="24"/>
        </w:rPr>
        <w:t>1</w:t>
      </w:r>
      <w:r>
        <w:rPr>
          <w:rFonts w:eastAsiaTheme="minorEastAsia" w:cs="Times New Roman"/>
          <w:szCs w:val="24"/>
        </w:rPr>
        <w:t>层、</w:t>
      </w:r>
      <w:r>
        <w:rPr>
          <w:rFonts w:eastAsiaTheme="minorEastAsia" w:cs="Times New Roman"/>
          <w:szCs w:val="24"/>
        </w:rPr>
        <w:t>3</w:t>
      </w:r>
      <w:r>
        <w:rPr>
          <w:rFonts w:eastAsiaTheme="minorEastAsia" w:cs="Times New Roman"/>
          <w:szCs w:val="24"/>
        </w:rPr>
        <w:t>层及</w:t>
      </w:r>
      <w:r>
        <w:rPr>
          <w:rFonts w:eastAsiaTheme="minorEastAsia" w:cs="Times New Roman"/>
          <w:szCs w:val="24"/>
        </w:rPr>
        <w:t>5</w:t>
      </w:r>
      <w:r>
        <w:rPr>
          <w:rFonts w:eastAsiaTheme="minorEastAsia" w:cs="Times New Roman"/>
          <w:szCs w:val="24"/>
        </w:rPr>
        <w:t>层</w:t>
      </w:r>
      <w:r>
        <w:rPr>
          <w:rFonts w:eastAsiaTheme="minorEastAsia" w:cs="Times New Roman"/>
          <w:szCs w:val="24"/>
        </w:rPr>
        <w:t>）</w:t>
      </w:r>
      <w:r>
        <w:rPr>
          <w:rFonts w:eastAsiaTheme="minorEastAsia" w:cs="Times New Roman"/>
          <w:szCs w:val="24"/>
        </w:rPr>
        <w:t>，超标量为</w:t>
      </w:r>
      <w:r>
        <w:rPr>
          <w:rFonts w:eastAsiaTheme="minorEastAsia" w:cs="Times New Roman"/>
          <w:szCs w:val="24"/>
        </w:rPr>
        <w:t>1.63</w:t>
      </w:r>
      <w:r>
        <w:rPr>
          <w:rFonts w:eastAsiaTheme="minorEastAsia" w:cs="Times New Roman"/>
          <w:szCs w:val="24"/>
        </w:rPr>
        <w:t>dB</w:t>
      </w:r>
      <w:r>
        <w:rPr>
          <w:rFonts w:eastAsiaTheme="minorEastAsia" w:cs="Times New Roman"/>
          <w:szCs w:val="24"/>
        </w:rPr>
        <w:t>（</w:t>
      </w:r>
      <w:r>
        <w:rPr>
          <w:rFonts w:eastAsiaTheme="minorEastAsia" w:cs="Times New Roman"/>
          <w:szCs w:val="24"/>
        </w:rPr>
        <w:t>A</w:t>
      </w:r>
      <w:r>
        <w:rPr>
          <w:rFonts w:eastAsiaTheme="minorEastAsia" w:cs="Times New Roman"/>
          <w:szCs w:val="24"/>
        </w:rPr>
        <w:t>）</w:t>
      </w:r>
      <w:r>
        <w:rPr>
          <w:rFonts w:eastAsiaTheme="minorEastAsia" w:cs="Times New Roman"/>
          <w:szCs w:val="24"/>
        </w:rPr>
        <w:t>-</w:t>
      </w:r>
      <w:r>
        <w:rPr>
          <w:rFonts w:eastAsiaTheme="minorEastAsia" w:cs="Times New Roman"/>
          <w:szCs w:val="24"/>
        </w:rPr>
        <w:t>6.80</w:t>
      </w:r>
      <w:r>
        <w:rPr>
          <w:rFonts w:eastAsiaTheme="minorEastAsia" w:cs="Times New Roman"/>
          <w:szCs w:val="24"/>
        </w:rPr>
        <w:t>dB</w:t>
      </w:r>
      <w:r>
        <w:rPr>
          <w:rFonts w:eastAsiaTheme="minorEastAsia" w:cs="Times New Roman"/>
          <w:szCs w:val="24"/>
        </w:rPr>
        <w:t>（</w:t>
      </w:r>
      <w:r>
        <w:rPr>
          <w:rFonts w:eastAsiaTheme="minorEastAsia" w:cs="Times New Roman"/>
          <w:szCs w:val="24"/>
        </w:rPr>
        <w:t>A</w:t>
      </w:r>
      <w:r>
        <w:rPr>
          <w:rFonts w:eastAsiaTheme="minorEastAsia" w:cs="Times New Roman"/>
          <w:szCs w:val="24"/>
        </w:rPr>
        <w:t>）。</w:t>
      </w:r>
    </w:p>
    <w:p w:rsidR="00A46452" w:rsidRDefault="009A3928" w:rsidP="00182EED">
      <w:pPr>
        <w:spacing w:line="300" w:lineRule="auto"/>
        <w:ind w:firstLine="480"/>
        <w:rPr>
          <w:rFonts w:eastAsiaTheme="minorEastAsia" w:cs="Times New Roman"/>
          <w:szCs w:val="24"/>
        </w:rPr>
      </w:pPr>
      <w:r>
        <w:rPr>
          <w:rFonts w:eastAsiaTheme="minorEastAsia" w:cs="Times New Roman"/>
          <w:szCs w:val="24"/>
        </w:rPr>
        <w:t>4.</w:t>
      </w:r>
      <w:r>
        <w:rPr>
          <w:rFonts w:eastAsiaTheme="minorEastAsia" w:cs="Times New Roman"/>
          <w:szCs w:val="24"/>
        </w:rPr>
        <w:t>拟建公路沿线降噪措施包括：限速标识牌、声屏障等。</w:t>
      </w:r>
    </w:p>
    <w:bookmarkEnd w:id="484"/>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.3.</w:t>
      </w:r>
      <w:r>
        <w:rPr>
          <w:rFonts w:cs="Times New Roman"/>
          <w:b/>
          <w:sz w:val="28"/>
          <w:szCs w:val="28"/>
        </w:rPr>
        <w:t>4</w:t>
      </w:r>
      <w:r>
        <w:rPr>
          <w:rFonts w:cs="Times New Roman"/>
          <w:b/>
          <w:sz w:val="28"/>
          <w:szCs w:val="28"/>
        </w:rPr>
        <w:t>大气环境</w:t>
      </w:r>
    </w:p>
    <w:p w:rsidR="00A46452" w:rsidRDefault="009A3928" w:rsidP="00182EED">
      <w:pPr>
        <w:ind w:firstLine="480"/>
        <w:rPr>
          <w:rFonts w:eastAsiaTheme="minorEastAsia" w:cs="Times New Roman"/>
          <w:szCs w:val="24"/>
        </w:rPr>
      </w:pPr>
      <w:r>
        <w:rPr>
          <w:rFonts w:eastAsiaTheme="minorEastAsia" w:cs="Times New Roman"/>
          <w:szCs w:val="24"/>
        </w:rPr>
        <w:t>1.</w:t>
      </w:r>
      <w:r>
        <w:rPr>
          <w:rFonts w:eastAsiaTheme="minorEastAsia" w:cs="Times New Roman"/>
          <w:szCs w:val="24"/>
        </w:rPr>
        <w:t>施工期的主要污染物为粉尘、扬尘和沥青烟，它们将对沿线环境空气质量产生一定的不利影响，但影响范围不大，而且主要是短期影响。建议采取经常洒水、合理确定</w:t>
      </w:r>
      <w:r>
        <w:rPr>
          <w:rFonts w:eastAsiaTheme="minorEastAsia" w:cs="Times New Roman" w:hint="eastAsia"/>
          <w:szCs w:val="24"/>
        </w:rPr>
        <w:t>拌合</w:t>
      </w:r>
      <w:r>
        <w:rPr>
          <w:rFonts w:eastAsiaTheme="minorEastAsia" w:cs="Times New Roman"/>
          <w:szCs w:val="24"/>
        </w:rPr>
        <w:t>场站的位置等适当的防护措施，以缓解工程施工对沿线环境空气质量的影响。</w:t>
      </w:r>
    </w:p>
    <w:p w:rsidR="00A46452" w:rsidRDefault="009A3928" w:rsidP="00182EED">
      <w:pPr>
        <w:ind w:firstLine="480"/>
        <w:rPr>
          <w:rFonts w:eastAsiaTheme="minorEastAsia" w:cs="Times New Roman"/>
          <w:szCs w:val="24"/>
        </w:rPr>
      </w:pPr>
      <w:r>
        <w:rPr>
          <w:rFonts w:eastAsiaTheme="minorEastAsia" w:cs="Times New Roman"/>
          <w:szCs w:val="24"/>
        </w:rPr>
        <w:t>2.</w:t>
      </w:r>
      <w:r>
        <w:rPr>
          <w:rFonts w:eastAsiaTheme="minorEastAsia" w:cs="Times New Roman"/>
          <w:szCs w:val="24"/>
        </w:rPr>
        <w:t>拟建公路服务区、治超站等服务设施依托</w:t>
      </w:r>
      <w:r>
        <w:rPr>
          <w:rFonts w:eastAsiaTheme="minorEastAsia" w:cs="Times New Roman"/>
          <w:szCs w:val="24"/>
        </w:rPr>
        <w:t>53</w:t>
      </w:r>
      <w:r>
        <w:rPr>
          <w:rFonts w:eastAsiaTheme="minorEastAsia" w:cs="Times New Roman"/>
          <w:szCs w:val="24"/>
        </w:rPr>
        <w:t>团集中供暖，饮水、洗澡等生活用水采用电热水器，对周围环境空气质量基本无影响。</w:t>
      </w:r>
    </w:p>
    <w:p w:rsidR="00A46452" w:rsidRDefault="009A3928" w:rsidP="00182EED">
      <w:pPr>
        <w:ind w:firstLine="480"/>
        <w:rPr>
          <w:rFonts w:eastAsiaTheme="minorEastAsia" w:cs="Times New Roman"/>
          <w:szCs w:val="24"/>
        </w:rPr>
      </w:pPr>
      <w:r>
        <w:rPr>
          <w:rFonts w:eastAsiaTheme="minorEastAsia" w:cs="Times New Roman"/>
          <w:szCs w:val="24"/>
        </w:rPr>
        <w:t>3.</w:t>
      </w:r>
      <w:r>
        <w:rPr>
          <w:rFonts w:eastAsiaTheme="minorEastAsia" w:cs="Times New Roman"/>
          <w:szCs w:val="24"/>
        </w:rPr>
        <w:t>拟建公路服务区、治超站等沿线设施餐厅加装油烟净化设施，排放废气的管道应有一定的高度，以利废气扩散。同时，排气筒出口朝向应避开易受影响的建筑物。</w:t>
      </w:r>
    </w:p>
    <w:p w:rsidR="00A46452" w:rsidRDefault="009A3928">
      <w:pPr>
        <w:keepNext/>
        <w:keepLines/>
        <w:spacing w:before="120" w:after="120" w:line="300" w:lineRule="auto"/>
        <w:ind w:firstLineChars="0" w:firstLine="0"/>
        <w:jc w:val="left"/>
        <w:outlineLvl w:val="2"/>
        <w:rPr>
          <w:rFonts w:cs="Times New Roman"/>
          <w:b/>
          <w:sz w:val="28"/>
          <w:szCs w:val="28"/>
        </w:rPr>
      </w:pPr>
      <w:r>
        <w:rPr>
          <w:rFonts w:cs="Times New Roman"/>
          <w:b/>
          <w:sz w:val="28"/>
          <w:szCs w:val="28"/>
        </w:rPr>
        <w:t>1</w:t>
      </w:r>
      <w:r>
        <w:rPr>
          <w:rFonts w:cs="Times New Roman"/>
          <w:b/>
          <w:sz w:val="28"/>
          <w:szCs w:val="28"/>
        </w:rPr>
        <w:t>1</w:t>
      </w:r>
      <w:r>
        <w:rPr>
          <w:rFonts w:cs="Times New Roman"/>
          <w:b/>
          <w:sz w:val="28"/>
          <w:szCs w:val="28"/>
        </w:rPr>
        <w:t>.3.</w:t>
      </w:r>
      <w:r>
        <w:rPr>
          <w:rFonts w:cs="Times New Roman"/>
          <w:b/>
          <w:sz w:val="28"/>
          <w:szCs w:val="28"/>
        </w:rPr>
        <w:t>5</w:t>
      </w:r>
      <w:r>
        <w:rPr>
          <w:rFonts w:cs="Times New Roman"/>
          <w:b/>
          <w:sz w:val="28"/>
          <w:szCs w:val="28"/>
        </w:rPr>
        <w:t>固体废物</w:t>
      </w:r>
    </w:p>
    <w:p w:rsidR="00A46452" w:rsidRDefault="009A3928" w:rsidP="00182EED">
      <w:pPr>
        <w:ind w:firstLine="480"/>
        <w:rPr>
          <w:rFonts w:eastAsiaTheme="minorEastAsia" w:cs="Times New Roman"/>
        </w:rPr>
      </w:pPr>
      <w:r>
        <w:rPr>
          <w:rFonts w:eastAsiaTheme="minorEastAsia" w:cs="Times New Roman"/>
        </w:rPr>
        <w:t>施工期固体废物主要包括两部分，一部分来自路基铺设时产生的弃土、弃石，分布在沿线两侧，主要集中在公路深挖路段；另一部分来自施工区的垃圾，包括废弃的建材、</w:t>
      </w:r>
      <w:r>
        <w:rPr>
          <w:rFonts w:eastAsiaTheme="minorEastAsia" w:cs="Times New Roman"/>
        </w:rPr>
        <w:t>包装材料、生活垃圾等，其主要成分为废塑料、砂土、有机物、玻璃等，这些固体废物往往存在于施工场地等临时占地，以及立交、桥梁等构筑物附近。通过加强施工管理及施工结束后的及时清运、处置，可以减少和防止这类影响。</w:t>
      </w:r>
    </w:p>
    <w:p w:rsidR="00A46452" w:rsidRDefault="009A3928" w:rsidP="00182EED">
      <w:pPr>
        <w:ind w:firstLine="480"/>
        <w:rPr>
          <w:rFonts w:eastAsiaTheme="minorEastAsia" w:cs="Times New Roman"/>
        </w:rPr>
      </w:pPr>
      <w:r>
        <w:rPr>
          <w:rFonts w:eastAsiaTheme="minorEastAsia" w:cs="Times New Roman"/>
        </w:rPr>
        <w:t>运营期间，固体废物主要来自服务设施工作和管理人员生活垃圾，相对于施工期来说对环境的影响较小。公路运营期间，应做好公路服务区、管理中心等服务设施生活垃圾的收集、堆放和清运工作，防止随意堆置或丢弃，影响环境卫生。</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86" w:name="_Toc4908"/>
      <w:bookmarkStart w:id="487" w:name="_Toc21115"/>
      <w:bookmarkStart w:id="488" w:name="_Toc93338265"/>
      <w:r>
        <w:rPr>
          <w:rFonts w:cs="Times New Roman" w:hint="default"/>
          <w:sz w:val="30"/>
          <w:szCs w:val="30"/>
        </w:rPr>
        <w:t>11.4</w:t>
      </w:r>
      <w:r>
        <w:rPr>
          <w:rFonts w:cs="Times New Roman" w:hint="default"/>
          <w:sz w:val="30"/>
          <w:szCs w:val="30"/>
        </w:rPr>
        <w:t>环境风险</w:t>
      </w:r>
      <w:bookmarkEnd w:id="486"/>
      <w:bookmarkEnd w:id="487"/>
    </w:p>
    <w:p w:rsidR="00A46452" w:rsidRDefault="009A3928" w:rsidP="00182EED">
      <w:pPr>
        <w:ind w:firstLine="480"/>
        <w:rPr>
          <w:rFonts w:eastAsiaTheme="minorEastAsia" w:cs="Times New Roman"/>
        </w:rPr>
      </w:pPr>
      <w:r>
        <w:rPr>
          <w:rFonts w:eastAsiaTheme="minorEastAsia" w:cs="Times New Roman"/>
        </w:rPr>
        <w:t>1.</w:t>
      </w:r>
      <w:r>
        <w:rPr>
          <w:rFonts w:eastAsiaTheme="minorEastAsia" w:cs="Times New Roman"/>
        </w:rPr>
        <w:t>由于危险货物运输车辆发生交通事故的概率不为零，所以不能排除重大交通事故等意</w:t>
      </w:r>
      <w:r>
        <w:rPr>
          <w:rFonts w:eastAsiaTheme="minorEastAsia" w:cs="Times New Roman"/>
        </w:rPr>
        <w:t>外事件的发生，因此要求公路管理部门应根据《危险化学品安全管理条例》的规定，加强对进入公路的危险品运输车辆的检查、管理，并制定有效的事故应急计划和环境风险防范措施，通过加强管理和采取措施，使污染风险降为最低。</w:t>
      </w:r>
    </w:p>
    <w:p w:rsidR="00A46452" w:rsidRDefault="009A3928" w:rsidP="00182EED">
      <w:pPr>
        <w:ind w:firstLine="480"/>
        <w:rPr>
          <w:rFonts w:eastAsiaTheme="minorEastAsia" w:cs="Times New Roman"/>
        </w:rPr>
      </w:pPr>
      <w:r>
        <w:rPr>
          <w:rFonts w:eastAsiaTheme="minorEastAsia" w:cs="Times New Roman"/>
        </w:rPr>
        <w:t>2</w:t>
      </w:r>
      <w:r>
        <w:rPr>
          <w:rFonts w:eastAsiaTheme="minorEastAsia" w:cs="Times New Roman"/>
        </w:rPr>
        <w:t>.</w:t>
      </w:r>
      <w:bookmarkStart w:id="489" w:name="_Hlk125675434"/>
      <w:r>
        <w:rPr>
          <w:rFonts w:eastAsiaTheme="minorEastAsia" w:cs="Times New Roman"/>
        </w:rPr>
        <w:t>拟建公路</w:t>
      </w:r>
      <w:r>
        <w:rPr>
          <w:rFonts w:eastAsiaTheme="minorEastAsia" w:cs="Times New Roman" w:hint="eastAsia"/>
        </w:rPr>
        <w:t>主要涉及</w:t>
      </w:r>
      <w:r>
        <w:rPr>
          <w:rFonts w:eastAsiaTheme="minorEastAsia" w:cs="Times New Roman"/>
        </w:rPr>
        <w:t>跨越</w:t>
      </w:r>
      <w:r>
        <w:rPr>
          <w:rFonts w:eastAsia="微软雅黑" w:cs="Times New Roman"/>
        </w:rPr>
        <w:t>Ⅲ</w:t>
      </w:r>
      <w:r>
        <w:rPr>
          <w:rFonts w:eastAsiaTheme="minorEastAsia" w:cs="Times New Roman"/>
        </w:rPr>
        <w:t>类水体的桥梁，强化防撞护栏，设置警示标志。</w:t>
      </w:r>
      <w:bookmarkEnd w:id="489"/>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90" w:name="_Toc7275"/>
      <w:bookmarkStart w:id="491" w:name="_Toc329"/>
      <w:r>
        <w:rPr>
          <w:rFonts w:cs="Times New Roman" w:hint="default"/>
          <w:sz w:val="30"/>
          <w:szCs w:val="30"/>
        </w:rPr>
        <w:t>11.5</w:t>
      </w:r>
      <w:r>
        <w:rPr>
          <w:rFonts w:cs="Times New Roman" w:hint="default"/>
          <w:sz w:val="30"/>
          <w:szCs w:val="30"/>
        </w:rPr>
        <w:t>公众参与</w:t>
      </w:r>
      <w:bookmarkEnd w:id="488"/>
      <w:bookmarkEnd w:id="490"/>
      <w:bookmarkEnd w:id="491"/>
    </w:p>
    <w:p w:rsidR="00A46452" w:rsidRDefault="009A3928">
      <w:pPr>
        <w:wordWrap w:val="0"/>
        <w:topLinePunct/>
        <w:adjustRightInd w:val="0"/>
        <w:snapToGrid w:val="0"/>
        <w:ind w:firstLine="480"/>
        <w:rPr>
          <w:rFonts w:eastAsiaTheme="minorEastAsia" w:cs="Times New Roman"/>
          <w:szCs w:val="24"/>
        </w:rPr>
      </w:pPr>
      <w:r>
        <w:rPr>
          <w:rFonts w:cs="Times New Roman"/>
          <w:snapToGrid w:val="0"/>
          <w:szCs w:val="24"/>
        </w:rPr>
        <w:t>本项目公众参与采用</w:t>
      </w:r>
      <w:r>
        <w:rPr>
          <w:rFonts w:cs="Times New Roman" w:hint="eastAsia"/>
          <w:snapToGrid w:val="0"/>
          <w:szCs w:val="24"/>
        </w:rPr>
        <w:t>网</w:t>
      </w:r>
      <w:r>
        <w:rPr>
          <w:rFonts w:cs="Times New Roman"/>
          <w:snapToGrid w:val="0"/>
          <w:szCs w:val="24"/>
        </w:rPr>
        <w:t>络公示、张贴公告及报纸公示的方式进行。项目建设单位新疆生产建设兵团第</w:t>
      </w:r>
      <w:r>
        <w:rPr>
          <w:rFonts w:cs="Times New Roman"/>
          <w:snapToGrid w:val="0"/>
          <w:szCs w:val="24"/>
        </w:rPr>
        <w:t>三</w:t>
      </w:r>
      <w:r>
        <w:rPr>
          <w:rFonts w:cs="Times New Roman"/>
          <w:snapToGrid w:val="0"/>
          <w:szCs w:val="24"/>
        </w:rPr>
        <w:t>师</w:t>
      </w:r>
      <w:r>
        <w:rPr>
          <w:rFonts w:cs="Times New Roman"/>
          <w:snapToGrid w:val="0"/>
          <w:szCs w:val="24"/>
        </w:rPr>
        <w:t>图木舒克市公路建设项目管理处</w:t>
      </w:r>
      <w:r>
        <w:rPr>
          <w:rFonts w:cs="Times New Roman"/>
          <w:snapToGrid w:val="0"/>
          <w:szCs w:val="24"/>
        </w:rPr>
        <w:t>于</w:t>
      </w:r>
      <w:r>
        <w:rPr>
          <w:rFonts w:cs="Times New Roman"/>
          <w:snapToGrid w:val="0"/>
          <w:szCs w:val="24"/>
        </w:rPr>
        <w:t>202</w:t>
      </w:r>
      <w:r>
        <w:rPr>
          <w:rFonts w:cs="Times New Roman"/>
          <w:snapToGrid w:val="0"/>
          <w:szCs w:val="24"/>
        </w:rPr>
        <w:t>5</w:t>
      </w:r>
      <w:r>
        <w:rPr>
          <w:rFonts w:cs="Times New Roman"/>
          <w:snapToGrid w:val="0"/>
          <w:szCs w:val="24"/>
        </w:rPr>
        <w:t>年</w:t>
      </w:r>
      <w:r>
        <w:rPr>
          <w:rFonts w:cs="Times New Roman"/>
          <w:snapToGrid w:val="0"/>
          <w:szCs w:val="24"/>
        </w:rPr>
        <w:t>1</w:t>
      </w:r>
      <w:r>
        <w:rPr>
          <w:rFonts w:cs="Times New Roman"/>
          <w:snapToGrid w:val="0"/>
          <w:szCs w:val="24"/>
        </w:rPr>
        <w:t>月</w:t>
      </w:r>
      <w:r>
        <w:rPr>
          <w:rFonts w:cs="Times New Roman"/>
          <w:snapToGrid w:val="0"/>
          <w:szCs w:val="24"/>
        </w:rPr>
        <w:t>10</w:t>
      </w:r>
      <w:r>
        <w:rPr>
          <w:rFonts w:cs="Times New Roman"/>
          <w:snapToGrid w:val="0"/>
          <w:szCs w:val="24"/>
        </w:rPr>
        <w:t>日在</w:t>
      </w:r>
      <w:r>
        <w:rPr>
          <w:rFonts w:cs="Times New Roman"/>
          <w:snapToGrid w:val="0"/>
          <w:szCs w:val="24"/>
        </w:rPr>
        <w:t>环评云助手</w:t>
      </w:r>
      <w:r>
        <w:rPr>
          <w:rFonts w:cs="Times New Roman"/>
          <w:snapToGrid w:val="0"/>
          <w:szCs w:val="24"/>
        </w:rPr>
        <w:t>（</w:t>
      </w:r>
      <w:r>
        <w:rPr>
          <w:rFonts w:cs="Times New Roman"/>
          <w:szCs w:val="24"/>
        </w:rPr>
        <w:t>https://www.eiacloud.com/hpyzs/center?uri=/center/personalCenter</w:t>
      </w:r>
      <w:r>
        <w:rPr>
          <w:rFonts w:cs="Times New Roman"/>
          <w:snapToGrid w:val="0"/>
          <w:szCs w:val="24"/>
        </w:rPr>
        <w:t>）进行网络第一次公示。公示内容包括工程项目名称、建设单位、建设性质、建设内容和规模等。项目于</w:t>
      </w:r>
      <w:r>
        <w:rPr>
          <w:rFonts w:cs="Times New Roman"/>
          <w:snapToGrid w:val="0"/>
          <w:szCs w:val="24"/>
        </w:rPr>
        <w:t>202</w:t>
      </w:r>
      <w:r>
        <w:rPr>
          <w:rFonts w:cs="Times New Roman"/>
          <w:snapToGrid w:val="0"/>
          <w:szCs w:val="24"/>
        </w:rPr>
        <w:t>5</w:t>
      </w:r>
      <w:r>
        <w:rPr>
          <w:rFonts w:cs="Times New Roman"/>
          <w:snapToGrid w:val="0"/>
          <w:szCs w:val="24"/>
        </w:rPr>
        <w:t>年</w:t>
      </w:r>
      <w:r>
        <w:rPr>
          <w:rFonts w:cs="Times New Roman"/>
          <w:snapToGrid w:val="0"/>
          <w:szCs w:val="24"/>
        </w:rPr>
        <w:t>4</w:t>
      </w:r>
      <w:r>
        <w:rPr>
          <w:rFonts w:cs="Times New Roman"/>
          <w:snapToGrid w:val="0"/>
          <w:szCs w:val="24"/>
        </w:rPr>
        <w:t>月</w:t>
      </w:r>
      <w:r>
        <w:rPr>
          <w:rFonts w:cs="Times New Roman"/>
          <w:snapToGrid w:val="0"/>
          <w:szCs w:val="24"/>
        </w:rPr>
        <w:t>2</w:t>
      </w:r>
      <w:r>
        <w:rPr>
          <w:rFonts w:cs="Times New Roman"/>
          <w:snapToGrid w:val="0"/>
          <w:szCs w:val="24"/>
        </w:rPr>
        <w:t>日在第</w:t>
      </w:r>
      <w:r>
        <w:rPr>
          <w:rFonts w:cs="Times New Roman"/>
          <w:snapToGrid w:val="0"/>
          <w:szCs w:val="24"/>
        </w:rPr>
        <w:t>三</w:t>
      </w:r>
      <w:r>
        <w:rPr>
          <w:rFonts w:cs="Times New Roman"/>
          <w:snapToGrid w:val="0"/>
          <w:szCs w:val="24"/>
        </w:rPr>
        <w:t>师</w:t>
      </w:r>
      <w:r>
        <w:rPr>
          <w:rFonts w:cs="Times New Roman"/>
          <w:snapToGrid w:val="0"/>
          <w:szCs w:val="24"/>
        </w:rPr>
        <w:t>图木舒克</w:t>
      </w:r>
      <w:r>
        <w:rPr>
          <w:rFonts w:cs="Times New Roman"/>
          <w:snapToGrid w:val="0"/>
          <w:szCs w:val="24"/>
        </w:rPr>
        <w:t>人民政府网站（</w:t>
      </w:r>
      <w:r>
        <w:rPr>
          <w:rFonts w:cs="Times New Roman"/>
          <w:szCs w:val="24"/>
        </w:rPr>
        <w:t>https://www.xjbtnss.gov.cn/xwzx/tzgg/202504/t20250402_59304.html</w:t>
      </w:r>
      <w:r>
        <w:rPr>
          <w:rFonts w:cs="Times New Roman"/>
          <w:snapToGrid w:val="0"/>
          <w:szCs w:val="24"/>
        </w:rPr>
        <w:t>）进行网络第二次公示。公示内容包括工程概况、建设项目对环境可能造成的环境影响概述、预防或减轻不良环境影响的对策和措施、环境影响报告提出的环境影响评价结论的要点、公众参与工作方案、征求公众意见的范围和主要事项等。在征求意见稿公示期间又分别于</w:t>
      </w:r>
      <w:r>
        <w:rPr>
          <w:rFonts w:cs="Times New Roman"/>
          <w:snapToGrid w:val="0"/>
          <w:szCs w:val="24"/>
        </w:rPr>
        <w:t>202</w:t>
      </w:r>
      <w:r>
        <w:rPr>
          <w:rFonts w:cs="Times New Roman"/>
          <w:snapToGrid w:val="0"/>
          <w:szCs w:val="24"/>
        </w:rPr>
        <w:t>5</w:t>
      </w:r>
      <w:r>
        <w:rPr>
          <w:rFonts w:cs="Times New Roman"/>
          <w:snapToGrid w:val="0"/>
          <w:szCs w:val="24"/>
        </w:rPr>
        <w:t>年</w:t>
      </w:r>
      <w:r>
        <w:rPr>
          <w:rFonts w:cs="Times New Roman"/>
          <w:snapToGrid w:val="0"/>
          <w:szCs w:val="24"/>
        </w:rPr>
        <w:t>4</w:t>
      </w:r>
      <w:r>
        <w:rPr>
          <w:rFonts w:cs="Times New Roman"/>
          <w:snapToGrid w:val="0"/>
          <w:szCs w:val="24"/>
        </w:rPr>
        <w:t>月</w:t>
      </w:r>
      <w:r>
        <w:rPr>
          <w:rFonts w:cs="Times New Roman"/>
          <w:snapToGrid w:val="0"/>
          <w:szCs w:val="24"/>
        </w:rPr>
        <w:t>7</w:t>
      </w:r>
      <w:r>
        <w:rPr>
          <w:rFonts w:cs="Times New Roman"/>
          <w:snapToGrid w:val="0"/>
          <w:szCs w:val="24"/>
        </w:rPr>
        <w:t>日和</w:t>
      </w:r>
      <w:r>
        <w:rPr>
          <w:rFonts w:cs="Times New Roman"/>
          <w:snapToGrid w:val="0"/>
          <w:szCs w:val="24"/>
        </w:rPr>
        <w:t>4</w:t>
      </w:r>
      <w:r>
        <w:rPr>
          <w:rFonts w:cs="Times New Roman"/>
          <w:snapToGrid w:val="0"/>
          <w:szCs w:val="24"/>
        </w:rPr>
        <w:t>月</w:t>
      </w:r>
      <w:r>
        <w:rPr>
          <w:rFonts w:cs="Times New Roman"/>
          <w:snapToGrid w:val="0"/>
          <w:szCs w:val="24"/>
        </w:rPr>
        <w:t>11</w:t>
      </w:r>
      <w:r>
        <w:rPr>
          <w:rFonts w:cs="Times New Roman"/>
          <w:snapToGrid w:val="0"/>
          <w:szCs w:val="24"/>
        </w:rPr>
        <w:t>日在</w:t>
      </w:r>
      <w:r>
        <w:rPr>
          <w:rFonts w:cs="Times New Roman"/>
          <w:snapToGrid w:val="0"/>
          <w:szCs w:val="24"/>
        </w:rPr>
        <w:t>叶尔羌</w:t>
      </w:r>
      <w:r>
        <w:rPr>
          <w:rFonts w:cs="Times New Roman"/>
          <w:snapToGrid w:val="0"/>
          <w:szCs w:val="24"/>
        </w:rPr>
        <w:t>日报上进行了报纸公示</w:t>
      </w:r>
      <w:r>
        <w:rPr>
          <w:rFonts w:cs="Times New Roman"/>
          <w:snapToGrid w:val="0"/>
          <w:szCs w:val="24"/>
        </w:rPr>
        <w:t>，</w:t>
      </w:r>
      <w:r>
        <w:rPr>
          <w:rFonts w:cs="Times New Roman"/>
          <w:snapToGrid w:val="0"/>
          <w:szCs w:val="24"/>
        </w:rPr>
        <w:t>并</w:t>
      </w:r>
      <w:r>
        <w:rPr>
          <w:rFonts w:cs="Times New Roman"/>
          <w:snapToGrid w:val="0"/>
          <w:szCs w:val="24"/>
        </w:rPr>
        <w:t>张贴本项目环评公众参与公告。</w:t>
      </w:r>
      <w:r>
        <w:rPr>
          <w:rFonts w:eastAsiaTheme="minorEastAsia" w:cs="Times New Roman"/>
          <w:szCs w:val="24"/>
        </w:rPr>
        <w:t>公众参与期间，未收到公众意见。</w:t>
      </w:r>
    </w:p>
    <w:p w:rsidR="00A46452" w:rsidRDefault="009A3928" w:rsidP="00182EED">
      <w:pPr>
        <w:pStyle w:val="21"/>
        <w:keepNext w:val="0"/>
        <w:keepLines w:val="0"/>
        <w:wordWrap w:val="0"/>
        <w:topLinePunct/>
        <w:adjustRightInd w:val="0"/>
        <w:snapToGrid w:val="0"/>
        <w:spacing w:beforeLines="50" w:before="165" w:afterLines="50" w:after="165"/>
        <w:rPr>
          <w:rFonts w:cs="Times New Roman" w:hint="default"/>
          <w:sz w:val="30"/>
          <w:szCs w:val="30"/>
        </w:rPr>
      </w:pPr>
      <w:bookmarkStart w:id="492" w:name="_Toc29983"/>
      <w:bookmarkStart w:id="493" w:name="_Toc7659"/>
      <w:r>
        <w:rPr>
          <w:rFonts w:cs="Times New Roman" w:hint="default"/>
          <w:sz w:val="30"/>
          <w:szCs w:val="30"/>
        </w:rPr>
        <w:t xml:space="preserve">11.6 </w:t>
      </w:r>
      <w:r>
        <w:rPr>
          <w:rFonts w:cs="Times New Roman" w:hint="default"/>
          <w:sz w:val="30"/>
          <w:szCs w:val="30"/>
        </w:rPr>
        <w:t>环保投资</w:t>
      </w:r>
      <w:bookmarkEnd w:id="492"/>
      <w:bookmarkEnd w:id="493"/>
    </w:p>
    <w:p w:rsidR="00A46452" w:rsidRDefault="009A3928" w:rsidP="00182EED">
      <w:pPr>
        <w:ind w:firstLine="480"/>
        <w:rPr>
          <w:rFonts w:cs="Times New Roman"/>
        </w:rPr>
      </w:pPr>
      <w:bookmarkStart w:id="494" w:name="_Toc17246"/>
      <w:r>
        <w:rPr>
          <w:rFonts w:cs="Times New Roman"/>
          <w:lang w:val="zh-CN"/>
        </w:rPr>
        <w:t>本工程总投资为</w:t>
      </w:r>
      <w:r>
        <w:rPr>
          <w:rFonts w:cs="Times New Roman"/>
        </w:rPr>
        <w:t>117219</w:t>
      </w:r>
      <w:r>
        <w:rPr>
          <w:rFonts w:cs="Times New Roman"/>
        </w:rPr>
        <w:t>万元，</w:t>
      </w:r>
      <w:r>
        <w:rPr>
          <w:rFonts w:cs="Times New Roman"/>
          <w:lang w:val="zh-CN"/>
        </w:rPr>
        <w:t>环保投资</w:t>
      </w:r>
      <w:r>
        <w:rPr>
          <w:rFonts w:cs="Times New Roman" w:hint="eastAsia"/>
        </w:rPr>
        <w:t>720</w:t>
      </w:r>
      <w:r>
        <w:rPr>
          <w:rFonts w:cs="Times New Roman"/>
          <w:lang w:val="zh-CN"/>
        </w:rPr>
        <w:t>万元，占工程全部投资的</w:t>
      </w:r>
      <w:r>
        <w:rPr>
          <w:rFonts w:cs="Times New Roman"/>
          <w:lang w:val="zh-CN"/>
        </w:rPr>
        <w:t>0.</w:t>
      </w:r>
      <w:r>
        <w:rPr>
          <w:rFonts w:cs="Times New Roman" w:hint="eastAsia"/>
        </w:rPr>
        <w:t>61</w:t>
      </w:r>
      <w:r>
        <w:rPr>
          <w:rFonts w:cs="Times New Roman"/>
          <w:lang w:val="zh-CN"/>
        </w:rPr>
        <w:t>%</w:t>
      </w:r>
      <w:r>
        <w:rPr>
          <w:rFonts w:cs="Times New Roman"/>
          <w:lang w:val="zh-CN"/>
        </w:rPr>
        <w:t>，</w:t>
      </w:r>
      <w:r>
        <w:rPr>
          <w:rFonts w:cs="Times New Roman"/>
          <w:b/>
          <w:sz w:val="30"/>
          <w:szCs w:val="30"/>
        </w:rPr>
        <w:t xml:space="preserve">11.7 </w:t>
      </w:r>
      <w:r>
        <w:rPr>
          <w:rFonts w:cs="Times New Roman"/>
          <w:b/>
          <w:sz w:val="30"/>
          <w:szCs w:val="30"/>
        </w:rPr>
        <w:t>综合结论</w:t>
      </w:r>
      <w:bookmarkEnd w:id="494"/>
    </w:p>
    <w:p w:rsidR="00A46452" w:rsidRDefault="009A3928">
      <w:pPr>
        <w:wordWrap w:val="0"/>
        <w:topLinePunct/>
        <w:adjustRightInd w:val="0"/>
        <w:snapToGrid w:val="0"/>
        <w:ind w:firstLine="480"/>
        <w:rPr>
          <w:rFonts w:cs="Times New Roman"/>
          <w:snapToGrid w:val="0"/>
          <w:szCs w:val="24"/>
        </w:rPr>
      </w:pPr>
      <w:r>
        <w:rPr>
          <w:rFonts w:cs="Times New Roman"/>
        </w:rPr>
        <w:t>第三师图木舒克市</w:t>
      </w:r>
      <w:r>
        <w:rPr>
          <w:rFonts w:cs="Times New Roman"/>
        </w:rPr>
        <w:t>-</w:t>
      </w:r>
      <w:r>
        <w:rPr>
          <w:rFonts w:cs="Times New Roman"/>
        </w:rPr>
        <w:t>柯坪县</w:t>
      </w:r>
      <w:r>
        <w:rPr>
          <w:rFonts w:cs="Times New Roman"/>
        </w:rPr>
        <w:t>-</w:t>
      </w:r>
      <w:r>
        <w:rPr>
          <w:rFonts w:cs="Times New Roman"/>
        </w:rPr>
        <w:t>乌什县（图木舒克</w:t>
      </w:r>
      <w:r>
        <w:rPr>
          <w:rFonts w:cs="Times New Roman"/>
        </w:rPr>
        <w:t>-</w:t>
      </w:r>
      <w:r>
        <w:rPr>
          <w:rFonts w:cs="Times New Roman"/>
        </w:rPr>
        <w:t>柯坪段）公路</w:t>
      </w:r>
      <w:r>
        <w:rPr>
          <w:rFonts w:cs="Times New Roman"/>
        </w:rPr>
        <w:t>是兵团省道网规划</w:t>
      </w:r>
      <w:r>
        <w:rPr>
          <w:rFonts w:cs="Times New Roman"/>
        </w:rPr>
        <w:t>S308</w:t>
      </w:r>
      <w:r>
        <w:rPr>
          <w:rFonts w:cs="Times New Roman"/>
        </w:rPr>
        <w:t>线的重要组成部分</w:t>
      </w:r>
      <w:r>
        <w:rPr>
          <w:rFonts w:cs="Times New Roman"/>
        </w:rPr>
        <w:t>，</w:t>
      </w:r>
      <w:r>
        <w:rPr>
          <w:rFonts w:cs="Times New Roman"/>
        </w:rPr>
        <w:t>也是南疆南北大通道：别迭里口岸</w:t>
      </w:r>
      <w:r>
        <w:rPr>
          <w:rFonts w:cs="Times New Roman"/>
        </w:rPr>
        <w:t>-</w:t>
      </w:r>
      <w:r>
        <w:rPr>
          <w:rFonts w:cs="Times New Roman"/>
        </w:rPr>
        <w:t>乌什县（</w:t>
      </w:r>
      <w:r>
        <w:rPr>
          <w:rFonts w:cs="Times New Roman"/>
        </w:rPr>
        <w:t>G219</w:t>
      </w:r>
      <w:r>
        <w:rPr>
          <w:rFonts w:cs="Times New Roman"/>
        </w:rPr>
        <w:t>）</w:t>
      </w:r>
      <w:r>
        <w:rPr>
          <w:rFonts w:cs="Times New Roman"/>
        </w:rPr>
        <w:t>-</w:t>
      </w:r>
      <w:r>
        <w:rPr>
          <w:rFonts w:cs="Times New Roman"/>
        </w:rPr>
        <w:t>阿克苏地区柯坪县（</w:t>
      </w:r>
      <w:r>
        <w:rPr>
          <w:rFonts w:cs="Times New Roman"/>
        </w:rPr>
        <w:t>G3012</w:t>
      </w:r>
      <w:r>
        <w:rPr>
          <w:rFonts w:cs="Times New Roman"/>
        </w:rPr>
        <w:t>、</w:t>
      </w:r>
      <w:r>
        <w:rPr>
          <w:rFonts w:cs="Times New Roman"/>
        </w:rPr>
        <w:t>G314</w:t>
      </w:r>
      <w:r>
        <w:rPr>
          <w:rFonts w:cs="Times New Roman"/>
        </w:rPr>
        <w:t>）</w:t>
      </w:r>
      <w:r>
        <w:rPr>
          <w:rFonts w:cs="Times New Roman"/>
        </w:rPr>
        <w:t>-</w:t>
      </w:r>
      <w:r>
        <w:rPr>
          <w:rFonts w:cs="Times New Roman"/>
        </w:rPr>
        <w:t>第三师图木舒克市（</w:t>
      </w:r>
      <w:r>
        <w:rPr>
          <w:rFonts w:cs="Times New Roman"/>
        </w:rPr>
        <w:t>G217</w:t>
      </w:r>
      <w:r>
        <w:rPr>
          <w:rFonts w:cs="Times New Roman"/>
        </w:rPr>
        <w:t>）</w:t>
      </w:r>
      <w:r>
        <w:rPr>
          <w:rFonts w:cs="Times New Roman"/>
        </w:rPr>
        <w:t>-</w:t>
      </w:r>
      <w:r>
        <w:rPr>
          <w:rFonts w:cs="Times New Roman"/>
        </w:rPr>
        <w:t>第十四师昆玉市、</w:t>
      </w:r>
      <w:r>
        <w:rPr>
          <w:rFonts w:cs="Times New Roman"/>
        </w:rPr>
        <w:t>224</w:t>
      </w:r>
      <w:r>
        <w:rPr>
          <w:rFonts w:cs="Times New Roman"/>
        </w:rPr>
        <w:t>团（</w:t>
      </w:r>
      <w:r>
        <w:rPr>
          <w:rFonts w:cs="Times New Roman"/>
        </w:rPr>
        <w:t>G315</w:t>
      </w:r>
      <w:r>
        <w:rPr>
          <w:rFonts w:cs="Times New Roman"/>
        </w:rPr>
        <w:t>、</w:t>
      </w:r>
      <w:r>
        <w:rPr>
          <w:rFonts w:cs="Times New Roman"/>
        </w:rPr>
        <w:t>G3012</w:t>
      </w:r>
      <w:r>
        <w:rPr>
          <w:rFonts w:cs="Times New Roman"/>
        </w:rPr>
        <w:t>）的重要组成部分。</w:t>
      </w:r>
      <w:r>
        <w:rPr>
          <w:rFonts w:cs="Times New Roman"/>
          <w:snapToGrid w:val="0"/>
          <w:szCs w:val="24"/>
        </w:rPr>
        <w:t>项目实施后，将完善兵团南疆区域交通路网建设，改善区域交通状况、提高项目沿线居民出行条件、加快城镇一体化建设、带动附近团场经济发展、逐步缩小城镇差距，对维护新疆和兵团社会稳定和长治久安，具有一定的经济效益和社会效益。</w:t>
      </w:r>
    </w:p>
    <w:p w:rsidR="00A46452" w:rsidRDefault="009A3928">
      <w:pPr>
        <w:wordWrap w:val="0"/>
        <w:topLinePunct/>
        <w:adjustRightInd w:val="0"/>
        <w:snapToGrid w:val="0"/>
        <w:ind w:firstLine="480"/>
        <w:rPr>
          <w:rFonts w:cs="Times New Roman"/>
        </w:rPr>
      </w:pPr>
      <w:r>
        <w:rPr>
          <w:rFonts w:cs="Times New Roman"/>
        </w:rPr>
        <w:t>项目建设符</w:t>
      </w:r>
      <w:r>
        <w:rPr>
          <w:rFonts w:cs="Times New Roman"/>
        </w:rPr>
        <w:t>合国家产业政策、国家公路网规划、新疆维吾尔自治区公路网规划及沿线城镇规划，符合</w:t>
      </w:r>
      <w:r>
        <w:rPr>
          <w:rFonts w:cs="Times New Roman"/>
        </w:rPr>
        <w:t>“</w:t>
      </w:r>
      <w:r>
        <w:rPr>
          <w:rFonts w:cs="Times New Roman"/>
        </w:rPr>
        <w:t>三线一单</w:t>
      </w:r>
      <w:r>
        <w:rPr>
          <w:rFonts w:cs="Times New Roman"/>
        </w:rPr>
        <w:t>”</w:t>
      </w:r>
      <w:r>
        <w:rPr>
          <w:rFonts w:cs="Times New Roman"/>
        </w:rPr>
        <w:t>及生态环境分区管控要求，其建设和运营将会对沿线地区的生态环境、水环境、声环境以及沿线居民生活质量产生一定的不利影响，但认真落实本报告所提出的减缓措施，真正落实环保措施与主体工程建设的</w:t>
      </w:r>
      <w:r>
        <w:rPr>
          <w:rFonts w:cs="Times New Roman"/>
        </w:rPr>
        <w:t>“</w:t>
      </w:r>
      <w:r>
        <w:rPr>
          <w:rFonts w:cs="Times New Roman"/>
        </w:rPr>
        <w:t>三同时</w:t>
      </w:r>
      <w:r>
        <w:rPr>
          <w:rFonts w:cs="Times New Roman"/>
        </w:rPr>
        <w:t>”</w:t>
      </w:r>
      <w:r>
        <w:rPr>
          <w:rFonts w:cs="Times New Roman"/>
        </w:rPr>
        <w:t>制度，所产生的负面影响可以得到有效控制，并能为环境所接受。因此，从环境保护角度分析，拟建公路建设是可行的。</w:t>
      </w:r>
    </w:p>
    <w:p w:rsidR="00A46452" w:rsidRDefault="00A46452">
      <w:pPr>
        <w:pStyle w:val="5a"/>
        <w:wordWrap w:val="0"/>
        <w:topLinePunct/>
        <w:adjustRightInd w:val="0"/>
        <w:snapToGrid w:val="0"/>
        <w:spacing w:line="360" w:lineRule="auto"/>
        <w:rPr>
          <w:rFonts w:ascii="Times New Roman" w:eastAsiaTheme="minorEastAsia" w:hAnsi="Times New Roman" w:cs="Times New Roman" w:hint="default"/>
          <w:color w:val="auto"/>
        </w:rPr>
      </w:pPr>
    </w:p>
    <w:sectPr w:rsidR="00A46452">
      <w:pgSz w:w="11905" w:h="16838"/>
      <w:pgMar w:top="1440" w:right="1803" w:bottom="1440" w:left="1803" w:header="850" w:footer="680" w:gutter="0"/>
      <w:cols w:space="0"/>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928" w:rsidRDefault="009A3928">
      <w:pPr>
        <w:spacing w:line="240" w:lineRule="auto"/>
        <w:ind w:firstLine="480"/>
      </w:pPr>
    </w:p>
  </w:endnote>
  <w:endnote w:type="continuationSeparator" w:id="0">
    <w:p w:rsidR="009A3928" w:rsidRDefault="009A3928">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38CF7CFA" w:usb2="00000016" w:usb3="00000000" w:csb0="0004000F" w:csb1="00000000"/>
  </w:font>
  <w:font w:name="方正大标宋简体">
    <w:altName w:val="宋体"/>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楷体_GB2312">
    <w:charset w:val="86"/>
    <w:family w:val="modern"/>
    <w:pitch w:val="default"/>
    <w:sig w:usb0="00000001" w:usb1="080E0000" w:usb2="0000000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Futura Bk BT">
    <w:altName w:val="Lucida Sans Unicode"/>
    <w:charset w:val="00"/>
    <w:family w:val="swiss"/>
    <w:pitch w:val="default"/>
    <w:sig w:usb0="00000000" w:usb1="00000000" w:usb2="00000000" w:usb3="00000000" w:csb0="00000001" w:csb1="00000000"/>
  </w:font>
  <w:font w:name="仿宋体">
    <w:altName w:val="宋体"/>
    <w:charset w:val="86"/>
    <w:family w:val="roman"/>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Technic">
    <w:charset w:val="02"/>
    <w:family w:val="auto"/>
    <w:pitch w:val="default"/>
  </w:font>
  <w:font w:name="Verdana">
    <w:panose1 w:val="020B0604030504040204"/>
    <w:charset w:val="00"/>
    <w:family w:val="swiss"/>
    <w:pitch w:val="variable"/>
    <w:sig w:usb0="A10006FF" w:usb1="4000205B" w:usb2="00000010" w:usb3="00000000" w:csb0="0000019F" w:csb1="00000000"/>
  </w:font>
  <w:font w:name="方正仿宋简体">
    <w:altName w:val="微软雅黑"/>
    <w:charset w:val="86"/>
    <w:family w:val="script"/>
    <w:pitch w:val="default"/>
    <w:sig w:usb0="00000000" w:usb1="0000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2020603050405020304"/>
    <w:charset w:val="00"/>
    <w:family w:val="roman"/>
    <w:pitch w:val="default"/>
    <w:sig w:usb0="00000000" w:usb1="00000000" w:usb2="00000000" w:usb3="00000000" w:csb0="00000001" w:csb1="00000000"/>
  </w:font>
  <w:font w:name="方正魏碑简体">
    <w:altName w:val="宋体"/>
    <w:charset w:val="86"/>
    <w:family w:val="auto"/>
    <w:pitch w:val="default"/>
    <w:sig w:usb0="00000000" w:usb1="00000000" w:usb2="00000000" w:usb3="00000000" w:csb0="00040000" w:csb1="00000000"/>
  </w:font>
  <w:font w:name="Bookman Old Style">
    <w:panose1 w:val="02050604050505020204"/>
    <w:charset w:val="00"/>
    <w:family w:val="roman"/>
    <w:pitch w:val="variable"/>
    <w:sig w:usb0="00000287" w:usb1="00000000" w:usb2="00000000" w:usb3="00000000" w:csb0="0000009F" w:csb1="00000000"/>
  </w:font>
  <w:font w:name="汉鼎简书宋">
    <w:altName w:val="宋体"/>
    <w:charset w:val="86"/>
    <w:family w:val="modern"/>
    <w:pitch w:val="default"/>
    <w:sig w:usb0="00000000" w:usb1="00000000" w:usb2="00000000" w:usb3="00000000" w:csb0="00040000" w:csb1="00000000"/>
  </w:font>
  <w:font w:name="华康宋体W5(P)">
    <w:altName w:val="宋体"/>
    <w:charset w:val="86"/>
    <w:family w:val="roman"/>
    <w:pitch w:val="default"/>
    <w:sig w:usb0="00000000" w:usb1="00000000" w:usb2="0000000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ymusic">
    <w:charset w:val="00"/>
    <w:family w:val="auto"/>
    <w:pitch w:val="default"/>
    <w:sig w:usb0="00000001" w:usb1="00000000" w:usb2="00000000" w:usb3="00000000" w:csb0="000001FF" w:csb1="00000000"/>
  </w:font>
  <w:font w:name="?l?r –?’?">
    <w:altName w:val="宋体"/>
    <w:charset w:val="86"/>
    <w:family w:val="roman"/>
    <w:pitch w:val="default"/>
    <w:sig w:usb0="00000000" w:usb1="00000000" w:usb2="00000000" w:usb3="00000000" w:csb0="00040000" w:csb1="00000000"/>
  </w:font>
  <w:font w:name="??">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创艺简楷体">
    <w:altName w:val="黑体"/>
    <w:charset w:val="86"/>
    <w:family w:val="auto"/>
    <w:pitch w:val="default"/>
    <w:sig w:usb0="00000000" w:usb1="00000000" w:usb2="00000000" w:usb3="00000000" w:csb0="00040000" w:csb1="00000000"/>
  </w:font>
  <w:font w:name="Microsoft JhengHei">
    <w:panose1 w:val="020B0604030504040204"/>
    <w:charset w:val="88"/>
    <w:family w:val="swiss"/>
    <w:pitch w:val="variable"/>
    <w:sig w:usb0="00000087" w:usb1="288F4000" w:usb2="00000016" w:usb3="00000000" w:csb0="00100009" w:csb1="00000000"/>
  </w:font>
  <w:font w:name="汉鼎简魏碑">
    <w:altName w:val="宋体"/>
    <w:charset w:val="86"/>
    <w:family w:val="modern"/>
    <w:pitch w:val="default"/>
    <w:sig w:usb0="00000000" w:usb1="00000000" w:usb2="00000000" w:usb3="00000000" w:csb0="00040000" w:csb1="00000000"/>
  </w:font>
  <w:font w:name="Microsoft YaHei UI">
    <w:charset w:val="86"/>
    <w:family w:val="swiss"/>
    <w:pitch w:val="default"/>
    <w:sig w:usb0="80000287" w:usb1="2ACF3C50" w:usb2="00000016" w:usb3="00000000" w:csb0="0004001F" w:csb1="00000000"/>
  </w:font>
  <w:font w:name="OpenSymbol">
    <w:altName w:val="Yu Gothic"/>
    <w:charset w:val="80"/>
    <w:family w:val="auto"/>
    <w:pitch w:val="default"/>
    <w:sig w:usb0="00000000" w:usb1="00000000" w:usb2="00000000" w:usb3="00000000" w:csb0="00020000" w:csb1="00000000"/>
  </w:font>
  <w:font w:name="等线 Light">
    <w:charset w:val="86"/>
    <w:family w:val="auto"/>
    <w:pitch w:val="default"/>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afa"/>
      <w:ind w:firstLine="360"/>
      <w:rPr>
        <w:rFonts w:hint="default"/>
      </w:rP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8" o:spid="_x0000_s1026"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PYwIAAA4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QRoD2MCAAAOBQAADgAAAAAAAAAAAAAAAAAuAgAAZHJzL2Uyb0RvYy54&#10;bWxQSwECLQAUAAYACAAAACEAcarRudcAAAAFAQAADwAAAAAAAAAAAAAAAAC9BAAAZHJzL2Rvd25y&#10;ZXYueG1sUEsFBgAAAAAEAAQA8wAAAMEFAAAAAA==&#10;" filled="f" stroked="f" strokeweight=".5pt">
              <v:textbox style="mso-fit-shape-to-text:t" inset="0,0,0,0">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1</w:t>
                    </w:r>
                    <w: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1f"/>
      <w:pBdr>
        <w:top w:val="thinThickSmallGap" w:sz="24" w:space="1" w:color="622423"/>
      </w:pBdr>
      <w:tabs>
        <w:tab w:val="clear" w:pos="4153"/>
        <w:tab w:val="clear" w:pos="8306"/>
        <w:tab w:val="right" w:pos="8958"/>
      </w:tabs>
      <w:ind w:firstLine="360"/>
      <w:rPr>
        <w:rFonts w:ascii="华文行楷" w:eastAsia="华文行楷" w:hint="default"/>
      </w:rPr>
    </w:pPr>
    <w:r>
      <w:rPr>
        <w:rFonts w:ascii="华文行楷" w:eastAsia="华文行楷"/>
      </w:rPr>
      <w:t>新疆兵团勘测设计院集团股份有限公司编制</w:t>
    </w:r>
  </w:p>
  <w:p w:rsidR="00A46452" w:rsidRDefault="009A3928" w:rsidP="00182EED">
    <w:pPr>
      <w:pStyle w:val="1f"/>
      <w:ind w:firstLine="360"/>
      <w:jc w:val="center"/>
      <w:rPr>
        <w:rFonts w:hint="default"/>
      </w:rP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1f"/>
                            <w:ind w:firstLine="360"/>
                            <w:jc w:val="center"/>
                            <w:rPr>
                              <w:rFonts w:hint="default"/>
                            </w:rPr>
                          </w:pPr>
                          <w:r>
                            <w:rPr>
                              <w:rFonts w:hint="default"/>
                            </w:rPr>
                            <w:fldChar w:fldCharType="begin"/>
                          </w:r>
                          <w:r>
                            <w:rPr>
                              <w:rFonts w:hint="default"/>
                            </w:rPr>
                            <w:instrText>PAGE   \* MERGEFORMAT</w:instrText>
                          </w:r>
                          <w:r>
                            <w:rPr>
                              <w:rFonts w:hint="default"/>
                            </w:rPr>
                            <w:fldChar w:fldCharType="separate"/>
                          </w:r>
                          <w:r>
                            <w:rPr>
                              <w:rFonts w:hint="default"/>
                              <w:lang w:val="zh-CN"/>
                            </w:rPr>
                            <w:t>212</w:t>
                          </w:r>
                          <w:r>
                            <w:rPr>
                              <w:rFonts w:hint="default"/>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3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C9LOXZQIAABQFAAAOAAAAAAAAAAAAAAAAAC4CAABkcnMvZTJvRG9j&#10;LnhtbFBLAQItABQABgAIAAAAIQBxqtG51wAAAAUBAAAPAAAAAAAAAAAAAAAAAL8EAABkcnMvZG93&#10;bnJldi54bWxQSwUGAAAAAAQABADzAAAAwwUAAAAA&#10;" filled="f" stroked="f" strokeweight=".5pt">
              <v:textbox style="mso-fit-shape-to-text:t" inset="0,0,0,0">
                <w:txbxContent>
                  <w:p w:rsidR="00A46452" w:rsidRDefault="009A3928" w:rsidP="00182EED">
                    <w:pPr>
                      <w:pStyle w:val="1f"/>
                      <w:ind w:firstLine="360"/>
                      <w:jc w:val="center"/>
                      <w:rPr>
                        <w:rFonts w:hint="default"/>
                      </w:rPr>
                    </w:pPr>
                    <w:r>
                      <w:rPr>
                        <w:rFonts w:hint="default"/>
                      </w:rPr>
                      <w:fldChar w:fldCharType="begin"/>
                    </w:r>
                    <w:r>
                      <w:rPr>
                        <w:rFonts w:hint="default"/>
                      </w:rPr>
                      <w:instrText>PAGE   \* MERGEFORMAT</w:instrText>
                    </w:r>
                    <w:r>
                      <w:rPr>
                        <w:rFonts w:hint="default"/>
                      </w:rPr>
                      <w:fldChar w:fldCharType="separate"/>
                    </w:r>
                    <w:r>
                      <w:rPr>
                        <w:rFonts w:hint="default"/>
                        <w:lang w:val="zh-CN"/>
                      </w:rPr>
                      <w:t>212</w:t>
                    </w:r>
                    <w:r>
                      <w:rPr>
                        <w:rFonts w:hint="default"/>
                        <w:lang w:val="zh-CN"/>
                      </w:rPr>
                      <w:fldChar w:fldCharType="end"/>
                    </w:r>
                  </w:p>
                </w:txbxContent>
              </v:textbox>
              <w10:wrap anchorx="margin"/>
            </v:shape>
          </w:pict>
        </mc:Fallback>
      </mc:AlternateContent>
    </w:r>
  </w:p>
  <w:p w:rsidR="00A46452" w:rsidRDefault="00A46452" w:rsidP="00182EED">
    <w:pPr>
      <w:pStyle w:val="12"/>
      <w:kinsoku w:val="0"/>
      <w:overflowPunct w:val="0"/>
      <w:spacing w:line="14" w:lineRule="auto"/>
      <w:ind w:firstLine="400"/>
      <w:rPr>
        <w:rFonts w:hint="default"/>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Bdr>
        <w:bottom w:val="thickThinSmallGap" w:sz="12" w:space="0" w:color="800000"/>
      </w:pBdr>
      <w:wordWrap w:val="0"/>
      <w:topLinePunct/>
      <w:adjustRightInd w:val="0"/>
      <w:snapToGrid w:val="0"/>
      <w:spacing w:line="240" w:lineRule="auto"/>
      <w:ind w:firstLineChars="0" w:firstLine="0"/>
      <w:jc w:val="left"/>
      <w:rPr>
        <w:rFonts w:ascii="华文行楷" w:eastAsia="华文行楷" w:hAnsi="华文行楷" w:cs="华文行楷"/>
        <w:sz w:val="18"/>
        <w:szCs w:val="18"/>
      </w:rPr>
    </w:pPr>
    <w:r>
      <w:rPr>
        <w:noProof/>
        <w:sz w:val="21"/>
      </w:rPr>
      <mc:AlternateContent>
        <mc:Choice Requires="wps">
          <w:drawing>
            <wp:anchor distT="0" distB="0" distL="114300" distR="114300" simplePos="0" relativeHeight="251674624" behindDoc="0" locked="0" layoutInCell="1" allowOverlap="1">
              <wp:simplePos x="0" y="0"/>
              <wp:positionH relativeFrom="margin">
                <wp:posOffset>2512695</wp:posOffset>
              </wp:positionH>
              <wp:positionV relativeFrom="paragraph">
                <wp:posOffset>215265</wp:posOffset>
              </wp:positionV>
              <wp:extent cx="406400" cy="216535"/>
              <wp:effectExtent l="0" t="0" r="0" b="0"/>
              <wp:wrapNone/>
              <wp:docPr id="97" name="文本框 97"/>
              <wp:cNvGraphicFramePr/>
              <a:graphic xmlns:a="http://schemas.openxmlformats.org/drawingml/2006/main">
                <a:graphicData uri="http://schemas.microsoft.com/office/word/2010/wordprocessingShape">
                  <wps:wsp>
                    <wps:cNvSpPr txBox="1"/>
                    <wps:spPr>
                      <a:xfrm flipH="1" flipV="1">
                        <a:off x="0" y="0"/>
                        <a:ext cx="406400" cy="216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III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7" o:spid="_x0000_s1027" type="#_x0000_t202" style="position:absolute;margin-left:197.85pt;margin-top:16.95pt;width:32pt;height:17.05pt;flip:x y;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" filled="f" stroked="f" strokeweight=".5pt">
              <v:textbox inset="0,0,0,0">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III</w:t>
                    </w:r>
                    <w:r>
                      <w:fldChar w:fldCharType="end"/>
                    </w:r>
                  </w:p>
                </w:txbxContent>
              </v:textbox>
              <w10:wrap anchorx="margin"/>
            </v:shape>
          </w:pict>
        </mc:Fallback>
      </mc:AlternateContent>
    </w:r>
    <w:r>
      <w:rPr>
        <w:rFonts w:ascii="华文行楷" w:eastAsia="华文行楷" w:hAnsi="华文行楷" w:cs="华文行楷" w:hint="eastAsia"/>
        <w:sz w:val="18"/>
        <w:szCs w:val="18"/>
      </w:rPr>
      <w:t>新疆兵团勘测设计院集团股份有限公司编制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A46452">
    <w:pPr>
      <w:pBdr>
        <w:bottom w:val="thickThinSmallGap" w:sz="12" w:space="0" w:color="800000"/>
      </w:pBdr>
      <w:wordWrap w:val="0"/>
      <w:topLinePunct/>
      <w:adjustRightInd w:val="0"/>
      <w:snapToGrid w:val="0"/>
      <w:spacing w:line="240" w:lineRule="auto"/>
      <w:ind w:firstLineChars="0" w:firstLine="0"/>
      <w:jc w:val="left"/>
      <w:rPr>
        <w:rFonts w:asciiTheme="minorEastAsia" w:eastAsiaTheme="minorEastAsia" w:hAnsiTheme="minorEastAsia" w:cstheme="minorEastAsia"/>
        <w:bCs/>
        <w:sz w:val="21"/>
      </w:rPr>
    </w:pPr>
  </w:p>
  <w:p w:rsidR="00A46452" w:rsidRDefault="009A3928" w:rsidP="00182EED">
    <w:pPr>
      <w:pStyle w:val="afa"/>
      <w:tabs>
        <w:tab w:val="clear" w:pos="4153"/>
        <w:tab w:val="center" w:pos="4156"/>
      </w:tabs>
      <w:ind w:firstLine="420"/>
      <w:rPr>
        <w:rFonts w:ascii="华文行楷" w:eastAsia="华文行楷" w:hAnsi="华文行楷" w:cs="华文行楷" w:hint="default"/>
      </w:rPr>
    </w:pPr>
    <w:r>
      <w:rPr>
        <w:noProof/>
        <w:sz w:val="21"/>
      </w:rPr>
      <mc:AlternateContent>
        <mc:Choice Requires="wps">
          <w:drawing>
            <wp:anchor distT="0" distB="0" distL="114300" distR="114300" simplePos="0" relativeHeight="251673600" behindDoc="0" locked="0" layoutInCell="1" allowOverlap="1">
              <wp:simplePos x="0" y="0"/>
              <wp:positionH relativeFrom="margin">
                <wp:posOffset>2448560</wp:posOffset>
              </wp:positionH>
              <wp:positionV relativeFrom="paragraph">
                <wp:posOffset>251460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8" o:spid="_x0000_s1028" type="#_x0000_t202" style="position:absolute;left:0;text-align:left;margin-left:192.8pt;margin-top:19.8pt;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49ZQIAABMFAAAOAAAAZHJzL2Uyb0RvYy54bWysVE1uEzEU3iNxB8t7OmkQVYg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" filled="f" stroked="f" strokeweight=".5pt">
              <v:textbox style="mso-fit-shape-to-text:t" inset="0,0,0,0">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5</w:t>
                    </w:r>
                    <w:r>
                      <w:fldChar w:fldCharType="end"/>
                    </w:r>
                  </w:p>
                </w:txbxContent>
              </v:textbox>
              <w10:wrap anchorx="margin"/>
            </v:shape>
          </w:pict>
        </mc:Fallback>
      </mc:AlternateContent>
    </w:r>
    <w:r>
      <w:rPr>
        <w:rFonts w:ascii="华文行楷" w:eastAsia="华文行楷" w:hAnsi="华文行楷" w:cs="华文行楷"/>
      </w:rPr>
      <w:t>新疆兵团勘测设计院集团股份有限公司编制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6773"/>
    </w:sdtPr>
    <w:sdtEndPr/>
    <w:sdtContent>
      <w:p w:rsidR="00A46452" w:rsidRDefault="009A3928">
        <w:pPr>
          <w:pStyle w:val="afa"/>
          <w:pBdr>
            <w:top w:val="thinThickSmallGap" w:sz="24" w:space="1" w:color="622423"/>
          </w:pBdr>
          <w:tabs>
            <w:tab w:val="clear" w:pos="4153"/>
            <w:tab w:val="clear" w:pos="8306"/>
            <w:tab w:val="right" w:pos="8958"/>
          </w:tabs>
          <w:ind w:firstLine="360"/>
          <w:rPr>
            <w:rFonts w:hint="default"/>
          </w:rPr>
        </w:pPr>
        <w:r>
          <w:rPr>
            <w:rFonts w:ascii="华文行楷" w:eastAsia="华文行楷"/>
          </w:rPr>
          <w:t>新疆兵团勘测设计院集团股份有限公司编制</w:t>
        </w:r>
      </w:p>
    </w:sdtContent>
  </w:sdt>
  <w:p w:rsidR="00A46452" w:rsidRDefault="009A3928" w:rsidP="00182EED">
    <w:pPr>
      <w:pStyle w:val="afa"/>
      <w:pBdr>
        <w:top w:val="thinThickSmallGap" w:sz="24" w:space="1" w:color="622423"/>
      </w:pBdr>
      <w:tabs>
        <w:tab w:val="clear" w:pos="4153"/>
        <w:tab w:val="clear" w:pos="8306"/>
        <w:tab w:val="right" w:pos="8958"/>
      </w:tabs>
      <w:ind w:firstLine="360"/>
      <w:rPr>
        <w:rFonts w:hint="default"/>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29"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3R2XRGYCAAATBQAADgAAAAAAAAAAAAAAAAAuAgAAZHJzL2Uyb0Rv&#10;Yy54bWxQSwECLQAUAAYACAAAACEAcarRudcAAAAFAQAADwAAAAAAAAAAAAAAAADABAAAZHJzL2Rv&#10;d25yZXYueG1sUEsFBgAAAAAEAAQA8wAAAMQFAAAAAA==&#10;" filled="f" stroked="f" strokeweight=".5pt">
              <v:textbox style="mso-fit-shape-to-text:t" inset="0,0,0,0">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rsidR="00182EED">
                      <w:rPr>
                        <w:rFonts w:hint="default"/>
                        <w:noProof/>
                      </w:rPr>
                      <w:t>7</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Style w:val="afa"/>
      <w:pBdr>
        <w:top w:val="thinThickSmallGap" w:sz="24" w:space="1" w:color="622423"/>
      </w:pBdr>
      <w:tabs>
        <w:tab w:val="clear" w:pos="4153"/>
        <w:tab w:val="clear" w:pos="8306"/>
        <w:tab w:val="right" w:pos="8958"/>
      </w:tabs>
      <w:ind w:firstLine="360"/>
      <w:rPr>
        <w:rFonts w:hint="default"/>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480"/>
                            <w:rPr>
                              <w:rFonts w:hint="default"/>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31</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9" o:spid="_x0000_s1030"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u9r2UZQIAABMFAAAOAAAAAAAAAAAAAAAAAC4CAABkcnMvZTJvRG9j&#10;LnhtbFBLAQItABQABgAIAAAAIQBxqtG51wAAAAUBAAAPAAAAAAAAAAAAAAAAAL8EAABkcnMvZG93&#10;bnJldi54bWxQSwUGAAAAAAQABADzAAAAwwUAAAAA&#10;" filled="f" stroked="f" strokeweight=".5pt">
              <v:textbox style="mso-fit-shape-to-text:t" inset="0,0,0,0">
                <w:txbxContent>
                  <w:p w:rsidR="00A46452" w:rsidRDefault="009A3928" w:rsidP="00182EED">
                    <w:pPr>
                      <w:pStyle w:val="afa"/>
                      <w:ind w:firstLine="480"/>
                      <w:rPr>
                        <w:rFonts w:hint="default"/>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31</w:t>
                    </w:r>
                    <w:r>
                      <w:rPr>
                        <w:sz w:val="24"/>
                        <w:szCs w:val="24"/>
                      </w:rPr>
                      <w:fldChar w:fldCharType="end"/>
                    </w:r>
                  </w:p>
                </w:txbxContent>
              </v:textbox>
              <w10:wrap anchorx="margin"/>
            </v:shape>
          </w:pict>
        </mc:Fallback>
      </mc:AlternateContent>
    </w:r>
    <w:sdt>
      <w:sdtPr>
        <w:id w:val="147462662"/>
      </w:sdtPr>
      <w:sdtEndPr/>
      <w:sdtContent>
        <w:r>
          <w:rPr>
            <w:rFonts w:ascii="华文行楷" w:eastAsia="华文行楷"/>
          </w:rPr>
          <w:t>新疆兵团勘测设计院集团股份有限公司编制</w:t>
        </w:r>
      </w:sdtContent>
    </w:sdt>
  </w:p>
  <w:p w:rsidR="00A46452" w:rsidRDefault="00A46452" w:rsidP="00182EED">
    <w:pPr>
      <w:pStyle w:val="afa"/>
      <w:ind w:firstLine="360"/>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afa"/>
      <w:pBdr>
        <w:top w:val="thinThickSmallGap" w:sz="24" w:space="0" w:color="622423"/>
      </w:pBdr>
      <w:tabs>
        <w:tab w:val="clear" w:pos="4153"/>
        <w:tab w:val="clear" w:pos="8306"/>
        <w:tab w:val="right" w:pos="8958"/>
      </w:tabs>
      <w:ind w:firstLine="360"/>
      <w:rPr>
        <w:rFonts w:ascii="华文行楷" w:eastAsia="华文行楷" w:hint="default"/>
      </w:rP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A46452" w:rsidP="00182EED">
                          <w:pPr>
                            <w:pStyle w:val="afa"/>
                            <w:ind w:firstLine="360"/>
                            <w:rPr>
                              <w:rFonts w:hint="default"/>
                            </w:rPr>
                          </w:pPr>
                        </w:p>
                        <w:p w:rsidR="00A46452" w:rsidRDefault="009A3928" w:rsidP="00182EED">
                          <w:pPr>
                            <w:pStyle w:val="afa"/>
                            <w:ind w:firstLine="360"/>
                            <w:rPr>
                              <w:rStyle w:val="affb"/>
                              <w:rFonts w:hint="default"/>
                            </w:rPr>
                          </w:pPr>
                          <w:r>
                            <w:fldChar w:fldCharType="begin"/>
                          </w:r>
                          <w:r>
                            <w:rPr>
                              <w:rStyle w:val="affb"/>
                            </w:rPr>
                            <w:instrText xml:space="preserve">PAGE  </w:instrText>
                          </w:r>
                          <w:r>
                            <w:fldChar w:fldCharType="separate"/>
                          </w:r>
                          <w:r>
                            <w:rPr>
                              <w:rStyle w:val="affb"/>
                            </w:rP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31"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k7ZwIAABMFAAAOAAAAZHJzL2Uyb0RvYy54bWysVMFuEzEQvSPxD5bvdNOil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a58wJix7df/92f/fz/sdXhjsQ1Pk4g921h2XqX1OPRo/3EZe57l4Hm7+oiEEPqjc7&#10;elWfmMxO04PpdAKVhG78AX714O5DTG8UWZaFmgf0r9Aq1hcxDaajSY7m6Lw1pvTQONbV/Ojl4aQ4&#10;7DQANw4xchFDskVKG6MygnHvlUb9Jed8USZPnZrA1gIzI6RULpVyCxKss5VG2Kc4bu2zqypT+RTn&#10;nUeJTC7tnG3rKJR6H6XdfB5T1oP9yMBQd6Yg9cu+NP5w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5mGTtnAgAAEwUAAA4AAAAAAAAAAAAAAAAALgIAAGRycy9lMm9E&#10;b2MueG1sUEsBAi0AFAAGAAgAAAAhAHGq0bnXAAAABQEAAA8AAAAAAAAAAAAAAAAAwQQAAGRycy9k&#10;b3ducmV2LnhtbFBLBQYAAAAABAAEAPMAAADFBQAAAAA=&#10;" filled="f" stroked="f" strokeweight=".5pt">
              <v:textbox style="mso-fit-shape-to-text:t" inset="0,0,0,0">
                <w:txbxContent>
                  <w:p w:rsidR="00A46452" w:rsidRDefault="00A46452" w:rsidP="00182EED">
                    <w:pPr>
                      <w:pStyle w:val="afa"/>
                      <w:ind w:firstLine="360"/>
                      <w:rPr>
                        <w:rFonts w:hint="default"/>
                      </w:rPr>
                    </w:pPr>
                  </w:p>
                  <w:p w:rsidR="00A46452" w:rsidRDefault="009A3928" w:rsidP="00182EED">
                    <w:pPr>
                      <w:pStyle w:val="afa"/>
                      <w:ind w:firstLine="360"/>
                      <w:rPr>
                        <w:rStyle w:val="affb"/>
                        <w:rFonts w:hint="default"/>
                      </w:rPr>
                    </w:pPr>
                    <w:r>
                      <w:fldChar w:fldCharType="begin"/>
                    </w:r>
                    <w:r>
                      <w:rPr>
                        <w:rStyle w:val="affb"/>
                      </w:rPr>
                      <w:instrText xml:space="preserve">PAGE  </w:instrText>
                    </w:r>
                    <w:r>
                      <w:fldChar w:fldCharType="separate"/>
                    </w:r>
                    <w:r>
                      <w:rPr>
                        <w:rStyle w:val="affb"/>
                      </w:rPr>
                      <w:t>123</w:t>
                    </w:r>
                    <w:r>
                      <w:fldChar w:fldCharType="end"/>
                    </w:r>
                  </w:p>
                </w:txbxContent>
              </v:textbox>
              <w10:wrap anchorx="margin"/>
            </v:shape>
          </w:pict>
        </mc:Fallback>
      </mc:AlternateContent>
    </w:r>
    <w:r>
      <w:rPr>
        <w:rFonts w:ascii="华文行楷" w:eastAsia="华文行楷"/>
      </w:rPr>
      <w:t>新疆兵团勘测设计院集团股份有限公司编制</w:t>
    </w:r>
  </w:p>
  <w:p w:rsidR="00A46452" w:rsidRDefault="00A46452" w:rsidP="00182EED">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afa"/>
      <w:pBdr>
        <w:top w:val="thinThickSmallGap" w:sz="24" w:space="0" w:color="622423"/>
      </w:pBdr>
      <w:tabs>
        <w:tab w:val="clear" w:pos="4153"/>
        <w:tab w:val="clear" w:pos="8306"/>
        <w:tab w:val="right" w:pos="8958"/>
      </w:tabs>
      <w:ind w:firstLine="360"/>
      <w:rPr>
        <w:rFonts w:ascii="华文行楷" w:eastAsia="华文行楷" w:hint="default"/>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A46452" w:rsidP="00182EED">
                          <w:pPr>
                            <w:pStyle w:val="afa"/>
                            <w:ind w:firstLine="360"/>
                            <w:rPr>
                              <w:rFonts w:hint="default"/>
                            </w:rPr>
                          </w:pPr>
                        </w:p>
                        <w:p w:rsidR="00A46452" w:rsidRDefault="009A3928" w:rsidP="00182EED">
                          <w:pPr>
                            <w:pStyle w:val="afa"/>
                            <w:ind w:firstLine="360"/>
                            <w:rPr>
                              <w:rStyle w:val="affb"/>
                              <w:rFonts w:hint="default"/>
                            </w:rPr>
                          </w:pPr>
                          <w:r>
                            <w:fldChar w:fldCharType="begin"/>
                          </w:r>
                          <w:r>
                            <w:rPr>
                              <w:rStyle w:val="affb"/>
                            </w:rPr>
                            <w:instrText xml:space="preserve">PAGE  </w:instrText>
                          </w:r>
                          <w:r>
                            <w:fldChar w:fldCharType="separate"/>
                          </w:r>
                          <w:r>
                            <w:rPr>
                              <w:rStyle w:val="affb"/>
                            </w:rP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j5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PLDj5ZQIAABMFAAAOAAAAAAAAAAAAAAAAAC4CAABkcnMvZTJvRG9j&#10;LnhtbFBLAQItABQABgAIAAAAIQBxqtG51wAAAAUBAAAPAAAAAAAAAAAAAAAAAL8EAABkcnMvZG93&#10;bnJldi54bWxQSwUGAAAAAAQABADzAAAAwwUAAAAA&#10;" filled="f" stroked="f" strokeweight=".5pt">
              <v:textbox style="mso-fit-shape-to-text:t" inset="0,0,0,0">
                <w:txbxContent>
                  <w:p w:rsidR="00A46452" w:rsidRDefault="00A46452" w:rsidP="00182EED">
                    <w:pPr>
                      <w:pStyle w:val="afa"/>
                      <w:ind w:firstLine="360"/>
                      <w:rPr>
                        <w:rFonts w:hint="default"/>
                      </w:rPr>
                    </w:pPr>
                  </w:p>
                  <w:p w:rsidR="00A46452" w:rsidRDefault="009A3928" w:rsidP="00182EED">
                    <w:pPr>
                      <w:pStyle w:val="afa"/>
                      <w:ind w:firstLine="360"/>
                      <w:rPr>
                        <w:rStyle w:val="affb"/>
                        <w:rFonts w:hint="default"/>
                      </w:rPr>
                    </w:pPr>
                    <w:r>
                      <w:fldChar w:fldCharType="begin"/>
                    </w:r>
                    <w:r>
                      <w:rPr>
                        <w:rStyle w:val="affb"/>
                      </w:rPr>
                      <w:instrText xml:space="preserve">PAGE  </w:instrText>
                    </w:r>
                    <w:r>
                      <w:fldChar w:fldCharType="separate"/>
                    </w:r>
                    <w:r>
                      <w:rPr>
                        <w:rStyle w:val="affb"/>
                      </w:rPr>
                      <w:t>123</w:t>
                    </w:r>
                    <w:r>
                      <w:fldChar w:fldCharType="end"/>
                    </w:r>
                  </w:p>
                </w:txbxContent>
              </v:textbox>
              <w10:wrap anchorx="margin"/>
            </v:shape>
          </w:pict>
        </mc:Fallback>
      </mc:AlternateContent>
    </w:r>
    <w:r>
      <w:rPr>
        <w:rFonts w:ascii="华文行楷" w:eastAsia="华文行楷"/>
      </w:rPr>
      <w:t>新疆兵团勘测设计院集团股份有限公司编制</w:t>
    </w:r>
  </w:p>
  <w:p w:rsidR="00A46452" w:rsidRDefault="00A46452" w:rsidP="00182EED">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afa"/>
      <w:pBdr>
        <w:top w:val="thinThickSmallGap" w:sz="24" w:space="0" w:color="622423"/>
      </w:pBdr>
      <w:tabs>
        <w:tab w:val="clear" w:pos="4153"/>
        <w:tab w:val="clear" w:pos="8306"/>
        <w:tab w:val="right" w:pos="8958"/>
      </w:tabs>
      <w:ind w:firstLine="360"/>
      <w:rPr>
        <w:rFonts w:ascii="华文行楷" w:eastAsia="华文行楷" w:hint="default"/>
      </w:rPr>
    </w:pPr>
    <w:r>
      <w:rPr>
        <w:rFonts w:ascii="华文行楷" w:eastAsia="华文行楷"/>
      </w:rPr>
      <w:t>新疆兵团勘测设计院集团股份有限公司编制</w:t>
    </w:r>
  </w:p>
  <w:p w:rsidR="00A46452" w:rsidRDefault="009A3928" w:rsidP="00182EED">
    <w:pPr>
      <w:pStyle w:val="afa"/>
      <w:ind w:firstLine="360"/>
      <w:rPr>
        <w:rFonts w:hint="default"/>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33"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o3ZQIAABMFAAAOAAAAZHJzL2Uyb0RvYy54bWysVE1uEzEU3iNxB8t7OmmBEkW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fh1o3ZQIAABMFAAAOAAAAAAAAAAAAAAAAAC4CAABkcnMvZTJvRG9j&#10;LnhtbFBLAQItABQABgAIAAAAIQBxqtG51wAAAAUBAAAPAAAAAAAAAAAAAAAAAL8EAABkcnMvZG93&#10;bnJldi54bWxQSwUGAAAAAAQABADzAAAAwwUAAAAA&#10;" filled="f" stroked="f" strokeweight=".5pt">
              <v:textbox style="mso-fit-shape-to-text:t" inset="0,0,0,0">
                <w:txbxContent>
                  <w:p w:rsidR="00A46452" w:rsidRDefault="009A3928" w:rsidP="00182EED">
                    <w:pPr>
                      <w:pStyle w:val="afa"/>
                      <w:ind w:firstLine="360"/>
                      <w:rPr>
                        <w:rFonts w:hint="default"/>
                      </w:rPr>
                    </w:pPr>
                    <w:r>
                      <w:fldChar w:fldCharType="begin"/>
                    </w:r>
                    <w:r>
                      <w:instrText xml:space="preserve"> PAGE  \* MERGEFORMAT </w:instrText>
                    </w:r>
                    <w:r>
                      <w:fldChar w:fldCharType="separate"/>
                    </w:r>
                    <w:r>
                      <w:t>84</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12"/>
      <w:kinsoku w:val="0"/>
      <w:overflowPunct w:val="0"/>
      <w:spacing w:line="14" w:lineRule="auto"/>
      <w:ind w:firstLine="480"/>
      <w:rPr>
        <w:rFonts w:hint="default"/>
        <w:sz w:val="20"/>
        <w:szCs w:val="20"/>
      </w:rPr>
    </w:pPr>
    <w:r>
      <w:rPr>
        <w:rFonts w:hint="default"/>
        <w:noProof/>
      </w:rPr>
      <mc:AlternateContent>
        <mc:Choice Requires="wps">
          <w:drawing>
            <wp:anchor distT="0" distB="0" distL="114300" distR="114300" simplePos="0" relativeHeight="251664384" behindDoc="1" locked="0" layoutInCell="0" allowOverlap="1">
              <wp:simplePos x="0" y="0"/>
              <wp:positionH relativeFrom="page">
                <wp:posOffset>3782060</wp:posOffset>
              </wp:positionH>
              <wp:positionV relativeFrom="page">
                <wp:posOffset>9931400</wp:posOffset>
              </wp:positionV>
              <wp:extent cx="222250" cy="139700"/>
              <wp:effectExtent l="0" t="0" r="0" b="0"/>
              <wp:wrapNone/>
              <wp:docPr id="62" name="文本框 11"/>
              <wp:cNvGraphicFramePr/>
              <a:graphic xmlns:a="http://schemas.openxmlformats.org/drawingml/2006/main">
                <a:graphicData uri="http://schemas.microsoft.com/office/word/2010/wordprocessingShape">
                  <wps:wsp>
                    <wps:cNvSpPr txBox="1"/>
                    <wps:spPr>
                      <a:xfrm>
                        <a:off x="0" y="0"/>
                        <a:ext cx="222250" cy="139700"/>
                      </a:xfrm>
                      <a:prstGeom prst="rect">
                        <a:avLst/>
                      </a:prstGeom>
                      <a:noFill/>
                      <a:ln>
                        <a:noFill/>
                      </a:ln>
                    </wps:spPr>
                    <wps:txbx>
                      <w:txbxContent>
                        <w:p w:rsidR="00A46452" w:rsidRDefault="009A3928" w:rsidP="00182EED">
                          <w:pPr>
                            <w:pStyle w:val="12"/>
                            <w:kinsoku w:val="0"/>
                            <w:overflowPunct w:val="0"/>
                            <w:spacing w:line="204" w:lineRule="exact"/>
                            <w:ind w:left="40" w:firstLine="360"/>
                            <w:rPr>
                              <w:rFonts w:hint="default"/>
                              <w:sz w:val="18"/>
                              <w:szCs w:val="18"/>
                            </w:rPr>
                          </w:pPr>
                          <w:r>
                            <w:rPr>
                              <w:rFonts w:hint="default"/>
                              <w:sz w:val="18"/>
                              <w:szCs w:val="18"/>
                            </w:rPr>
                            <w:fldChar w:fldCharType="begin"/>
                          </w:r>
                          <w:r>
                            <w:rPr>
                              <w:rFonts w:hint="default"/>
                              <w:sz w:val="18"/>
                              <w:szCs w:val="18"/>
                            </w:rPr>
                            <w:instrText xml:space="preserve"> PAGE </w:instrText>
                          </w:r>
                          <w:r>
                            <w:rPr>
                              <w:rFonts w:hint="default"/>
                              <w:sz w:val="18"/>
                              <w:szCs w:val="18"/>
                            </w:rPr>
                            <w:fldChar w:fldCharType="separate"/>
                          </w:r>
                          <w:r>
                            <w:rPr>
                              <w:rFonts w:hint="default"/>
                              <w:sz w:val="18"/>
                              <w:szCs w:val="18"/>
                            </w:rPr>
                            <w:t>148</w:t>
                          </w:r>
                          <w:r>
                            <w:rPr>
                              <w:rFonts w:hint="default"/>
                              <w:sz w:val="18"/>
                              <w:szCs w:val="18"/>
                            </w:rPr>
                            <w:fldChar w:fldCharType="end"/>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1" o:spid="_x0000_s1035" type="#_x0000_t202" style="position:absolute;left:0;text-align:left;margin-left:297.8pt;margin-top:782pt;width:17.5pt;height:11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" o:allowincell="f" filled="f" stroked="f">
              <v:textbox inset="0,0,0,0">
                <w:txbxContent>
                  <w:p w:rsidR="00A46452" w:rsidRDefault="009A3928" w:rsidP="00182EED">
                    <w:pPr>
                      <w:pStyle w:val="12"/>
                      <w:kinsoku w:val="0"/>
                      <w:overflowPunct w:val="0"/>
                      <w:spacing w:line="204" w:lineRule="exact"/>
                      <w:ind w:left="40" w:firstLine="360"/>
                      <w:rPr>
                        <w:rFonts w:hint="default"/>
                        <w:sz w:val="18"/>
                        <w:szCs w:val="18"/>
                      </w:rPr>
                    </w:pPr>
                    <w:r>
                      <w:rPr>
                        <w:rFonts w:hint="default"/>
                        <w:sz w:val="18"/>
                        <w:szCs w:val="18"/>
                      </w:rPr>
                      <w:fldChar w:fldCharType="begin"/>
                    </w:r>
                    <w:r>
                      <w:rPr>
                        <w:rFonts w:hint="default"/>
                        <w:sz w:val="18"/>
                        <w:szCs w:val="18"/>
                      </w:rPr>
                      <w:instrText xml:space="preserve"> PAGE </w:instrText>
                    </w:r>
                    <w:r>
                      <w:rPr>
                        <w:rFonts w:hint="default"/>
                        <w:sz w:val="18"/>
                        <w:szCs w:val="18"/>
                      </w:rPr>
                      <w:fldChar w:fldCharType="separate"/>
                    </w:r>
                    <w:r>
                      <w:rPr>
                        <w:rFonts w:hint="default"/>
                        <w:sz w:val="18"/>
                        <w:szCs w:val="18"/>
                      </w:rPr>
                      <w:t>148</w:t>
                    </w:r>
                    <w:r>
                      <w:rPr>
                        <w:rFonts w:hint="default"/>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928" w:rsidRDefault="009A3928">
      <w:pPr>
        <w:ind w:firstLine="480"/>
      </w:pPr>
    </w:p>
  </w:footnote>
  <w:footnote w:type="continuationSeparator" w:id="0">
    <w:p w:rsidR="009A3928" w:rsidRDefault="009A392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Style w:val="afc"/>
      <w:pBdr>
        <w:bottom w:val="thinThickSmallGap" w:sz="12" w:space="1" w:color="800000"/>
      </w:pBdr>
      <w:tabs>
        <w:tab w:val="clear" w:pos="8306"/>
        <w:tab w:val="left" w:pos="6153"/>
        <w:tab w:val="left" w:pos="6813"/>
      </w:tabs>
      <w:spacing w:line="240" w:lineRule="auto"/>
      <w:ind w:firstLineChars="0" w:firstLine="0"/>
      <w:rPr>
        <w:rFonts w:hint="default"/>
      </w:rPr>
    </w:pPr>
    <w:r>
      <w:rPr>
        <w:sz w:val="21"/>
        <w:szCs w:val="21"/>
      </w:rPr>
      <w:t>第三师图木舒克市－柯坪县－乌什县公路（图木舒克</w:t>
    </w:r>
    <w:r>
      <w:rPr>
        <w:sz w:val="21"/>
        <w:szCs w:val="21"/>
      </w:rPr>
      <w:t>-</w:t>
    </w:r>
    <w:r>
      <w:rPr>
        <w:sz w:val="21"/>
        <w:szCs w:val="21"/>
      </w:rPr>
      <w:t>柯坪段）</w:t>
    </w:r>
    <w:r>
      <w:rPr>
        <w:sz w:val="21"/>
        <w:szCs w:val="21"/>
      </w:rPr>
      <w:t>项目</w:t>
    </w:r>
    <w:r>
      <w:rPr>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A46452" w:rsidP="00182EED">
    <w:pPr>
      <w:pStyle w:val="afc"/>
      <w:pBdr>
        <w:bottom w:val="none" w:sz="0" w:space="1" w:color="auto"/>
      </w:pBdr>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A46452">
    <w:pPr>
      <w:wordWrap w:val="0"/>
      <w:topLinePunct/>
      <w:adjustRightInd w:val="0"/>
      <w:snapToGrid w:val="0"/>
      <w:spacing w:line="240" w:lineRule="auto"/>
      <w:ind w:firstLineChars="0" w:firstLine="0"/>
      <w:jc w:val="center"/>
      <w:rPr>
        <w:rFonts w:asciiTheme="minorEastAsia" w:eastAsiaTheme="minorEastAsia" w:hAnsiTheme="minorEastAsia" w:cstheme="minorEastAsia"/>
        <w:bCs/>
        <w:color w:val="000000" w:themeColor="text1"/>
        <w:w w:val="98"/>
        <w:sz w:val="20"/>
        <w:szCs w:val="20"/>
      </w:rPr>
    </w:pPr>
  </w:p>
  <w:p w:rsidR="00A46452" w:rsidRDefault="009A3928">
    <w:pPr>
      <w:pBdr>
        <w:bottom w:val="thickThinSmallGap" w:sz="12" w:space="0" w:color="580000"/>
      </w:pBdr>
      <w:wordWrap w:val="0"/>
      <w:topLinePunct/>
      <w:adjustRightInd w:val="0"/>
      <w:snapToGrid w:val="0"/>
      <w:spacing w:line="240" w:lineRule="auto"/>
      <w:ind w:firstLineChars="0" w:firstLine="0"/>
      <w:jc w:val="center"/>
      <w:rPr>
        <w:rFonts w:asciiTheme="minorEastAsia" w:eastAsiaTheme="minorEastAsia" w:hAnsiTheme="minorEastAsia" w:cstheme="minorEastAsia"/>
        <w:bCs/>
        <w:w w:val="98"/>
        <w:sz w:val="21"/>
      </w:rPr>
    </w:pPr>
    <w:r>
      <w:rPr>
        <w:rFonts w:asciiTheme="minorEastAsia" w:eastAsiaTheme="minorEastAsia" w:hAnsiTheme="minorEastAsia" w:cstheme="minorEastAsia" w:hint="eastAsia"/>
        <w:bCs/>
        <w:color w:val="000000" w:themeColor="text1"/>
        <w:w w:val="98"/>
        <w:sz w:val="21"/>
      </w:rPr>
      <w:t>第三师图木舒克市</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柯坪县</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乌什县公路（图木舒克</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柯坪段）</w:t>
    </w:r>
    <w:r>
      <w:rPr>
        <w:rFonts w:asciiTheme="minorEastAsia" w:eastAsiaTheme="minorEastAsia" w:hAnsiTheme="minorEastAsia" w:cstheme="minorEastAsia" w:hint="eastAsia"/>
        <w:bCs/>
        <w:color w:val="000000" w:themeColor="text1"/>
        <w:w w:val="98"/>
        <w:sz w:val="21"/>
      </w:rPr>
      <w:t>项目</w:t>
    </w:r>
    <w:r>
      <w:rPr>
        <w:rFonts w:asciiTheme="minorEastAsia" w:eastAsiaTheme="minorEastAsia" w:hAnsiTheme="minorEastAsia" w:cstheme="minorEastAsia" w:hint="eastAsia"/>
        <w:bCs/>
        <w:color w:val="000000" w:themeColor="text1"/>
        <w:spacing w:val="52"/>
        <w:w w:val="98"/>
        <w:sz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Style w:val="afc"/>
      <w:pBdr>
        <w:bottom w:val="thinThickSmallGap" w:sz="12" w:space="1" w:color="993300"/>
      </w:pBdr>
      <w:spacing w:line="240" w:lineRule="auto"/>
      <w:ind w:firstLineChars="0" w:firstLine="0"/>
      <w:rPr>
        <w:rFonts w:hint="default"/>
      </w:rPr>
    </w:pPr>
    <w:r>
      <w:rPr>
        <w:rFonts w:asciiTheme="minorEastAsia" w:eastAsiaTheme="minorEastAsia" w:hAnsiTheme="minorEastAsia" w:cstheme="minorEastAsia"/>
        <w:bCs/>
        <w:color w:val="000000" w:themeColor="text1"/>
        <w:w w:val="98"/>
        <w:sz w:val="21"/>
        <w:szCs w:val="21"/>
      </w:rPr>
      <w:t>第三师图木舒克市</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柯坪县</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乌什县公路（图木舒克</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柯坪段）工程</w:t>
    </w:r>
    <w:r>
      <w:rPr>
        <w:rFonts w:asciiTheme="minorEastAsia" w:eastAsiaTheme="minorEastAsia" w:hAnsiTheme="minorEastAsia" w:cstheme="minorEastAsia"/>
        <w:bCs/>
        <w:color w:val="000000" w:themeColor="text1"/>
        <w:spacing w:val="52"/>
        <w:w w:val="98"/>
        <w:sz w:val="21"/>
        <w:szCs w:val="21"/>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Style w:val="afc"/>
      <w:pBdr>
        <w:bottom w:val="thinThickSmallGap" w:sz="12" w:space="1" w:color="760000"/>
      </w:pBdr>
      <w:spacing w:line="240" w:lineRule="auto"/>
      <w:ind w:firstLineChars="0" w:firstLine="0"/>
      <w:rPr>
        <w:rFonts w:hint="default"/>
      </w:rPr>
    </w:pPr>
    <w:r>
      <w:rPr>
        <w:rFonts w:asciiTheme="minorEastAsia" w:eastAsiaTheme="minorEastAsia" w:hAnsiTheme="minorEastAsia" w:cstheme="minorEastAsia"/>
        <w:bCs/>
        <w:color w:val="000000" w:themeColor="text1"/>
        <w:w w:val="98"/>
        <w:sz w:val="21"/>
        <w:szCs w:val="21"/>
      </w:rPr>
      <w:t>第三师图木舒克市</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柯坪县</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乌什县公路（图木舒克</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柯坪段）工程</w:t>
    </w:r>
    <w:r>
      <w:rPr>
        <w:rFonts w:asciiTheme="minorEastAsia" w:eastAsiaTheme="minorEastAsia" w:hAnsiTheme="minorEastAsia" w:cstheme="minorEastAsia"/>
        <w:bCs/>
        <w:color w:val="000000" w:themeColor="text1"/>
        <w:spacing w:val="52"/>
        <w:w w:val="98"/>
        <w:sz w:val="21"/>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Style w:val="afc"/>
      <w:pBdr>
        <w:bottom w:val="thinThickSmallGap" w:sz="12" w:space="1" w:color="760000"/>
      </w:pBdr>
      <w:spacing w:line="240" w:lineRule="auto"/>
      <w:ind w:firstLineChars="0" w:firstLine="0"/>
      <w:rPr>
        <w:rFonts w:hint="default"/>
      </w:rPr>
    </w:pPr>
    <w:r>
      <w:rPr>
        <w:rFonts w:asciiTheme="minorEastAsia" w:eastAsiaTheme="minorEastAsia" w:hAnsiTheme="minorEastAsia" w:cstheme="minorEastAsia"/>
        <w:bCs/>
        <w:color w:val="000000" w:themeColor="text1"/>
        <w:w w:val="98"/>
        <w:sz w:val="21"/>
        <w:szCs w:val="21"/>
      </w:rPr>
      <w:t>第三师图木舒克市</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柯坪县</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乌什县公路（图木舒克</w:t>
    </w:r>
    <w:r>
      <w:rPr>
        <w:rFonts w:asciiTheme="minorEastAsia" w:eastAsiaTheme="minorEastAsia" w:hAnsiTheme="minorEastAsia" w:cstheme="minorEastAsia"/>
        <w:bCs/>
        <w:color w:val="000000" w:themeColor="text1"/>
        <w:w w:val="98"/>
        <w:sz w:val="21"/>
        <w:szCs w:val="21"/>
      </w:rPr>
      <w:t>-</w:t>
    </w:r>
    <w:r>
      <w:rPr>
        <w:rFonts w:asciiTheme="minorEastAsia" w:eastAsiaTheme="minorEastAsia" w:hAnsiTheme="minorEastAsia" w:cstheme="minorEastAsia"/>
        <w:bCs/>
        <w:color w:val="000000" w:themeColor="text1"/>
        <w:w w:val="98"/>
        <w:sz w:val="21"/>
        <w:szCs w:val="21"/>
      </w:rPr>
      <w:t>柯坪段）工程</w:t>
    </w:r>
    <w:r>
      <w:rPr>
        <w:rFonts w:asciiTheme="minorEastAsia" w:eastAsiaTheme="minorEastAsia" w:hAnsiTheme="minorEastAsia" w:cstheme="minorEastAsia"/>
        <w:bCs/>
        <w:color w:val="000000" w:themeColor="text1"/>
        <w:spacing w:val="52"/>
        <w:w w:val="98"/>
        <w:sz w:val="21"/>
        <w:szCs w:val="21"/>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pPr>
      <w:pBdr>
        <w:bottom w:val="thickThinMediumGap" w:sz="18" w:space="0" w:color="700000"/>
      </w:pBdr>
      <w:spacing w:line="240" w:lineRule="auto"/>
      <w:ind w:firstLineChars="0" w:firstLine="0"/>
    </w:pPr>
    <w:r>
      <w:rPr>
        <w:rFonts w:asciiTheme="minorEastAsia" w:eastAsiaTheme="minorEastAsia" w:hAnsiTheme="minorEastAsia" w:cstheme="minorEastAsia" w:hint="eastAsia"/>
        <w:bCs/>
        <w:color w:val="000000" w:themeColor="text1"/>
        <w:w w:val="98"/>
        <w:sz w:val="21"/>
      </w:rPr>
      <w:t>第三师图木舒克市</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柯坪县</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乌什县公路（图木舒克</w:t>
    </w:r>
    <w:r>
      <w:rPr>
        <w:rFonts w:asciiTheme="minorEastAsia" w:eastAsiaTheme="minorEastAsia" w:hAnsiTheme="minorEastAsia" w:cstheme="minorEastAsia" w:hint="eastAsia"/>
        <w:bCs/>
        <w:color w:val="000000" w:themeColor="text1"/>
        <w:w w:val="98"/>
        <w:sz w:val="21"/>
      </w:rPr>
      <w:t>-</w:t>
    </w:r>
    <w:r>
      <w:rPr>
        <w:rFonts w:asciiTheme="minorEastAsia" w:eastAsiaTheme="minorEastAsia" w:hAnsiTheme="minorEastAsia" w:cstheme="minorEastAsia" w:hint="eastAsia"/>
        <w:bCs/>
        <w:color w:val="000000" w:themeColor="text1"/>
        <w:w w:val="98"/>
        <w:sz w:val="21"/>
      </w:rPr>
      <w:t>柯坪段）工程</w:t>
    </w:r>
    <w:r>
      <w:rPr>
        <w:rFonts w:asciiTheme="minorEastAsia" w:eastAsiaTheme="minorEastAsia" w:hAnsiTheme="minorEastAsia" w:cstheme="minorEastAsia" w:hint="eastAsia"/>
        <w:bCs/>
        <w:color w:val="000000" w:themeColor="text1"/>
        <w:spacing w:val="52"/>
        <w:w w:val="98"/>
        <w:sz w:val="21"/>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52" w:rsidRDefault="009A3928" w:rsidP="00182EED">
    <w:pPr>
      <w:pStyle w:val="12"/>
      <w:kinsoku w:val="0"/>
      <w:overflowPunct w:val="0"/>
      <w:spacing w:line="14" w:lineRule="auto"/>
      <w:ind w:firstLine="480"/>
      <w:rPr>
        <w:rFonts w:hint="default"/>
        <w:sz w:val="20"/>
        <w:szCs w:val="20"/>
      </w:rPr>
    </w:pPr>
    <w:r>
      <w:rPr>
        <w:rFonts w:hint="default"/>
        <w:noProof/>
      </w:rPr>
      <mc:AlternateContent>
        <mc:Choice Requires="wps">
          <w:drawing>
            <wp:anchor distT="0" distB="0" distL="114300" distR="114300" simplePos="0" relativeHeight="251662336" behindDoc="1" locked="0" layoutInCell="0" allowOverlap="1">
              <wp:simplePos x="0" y="0"/>
              <wp:positionH relativeFrom="page">
                <wp:posOffset>1140460</wp:posOffset>
              </wp:positionH>
              <wp:positionV relativeFrom="page">
                <wp:posOffset>692785</wp:posOffset>
              </wp:positionV>
              <wp:extent cx="5278120" cy="0"/>
              <wp:effectExtent l="0" t="4445" r="0" b="5080"/>
              <wp:wrapNone/>
              <wp:docPr id="58" name="任意多边形 14"/>
              <wp:cNvGraphicFramePr/>
              <a:graphic xmlns:a="http://schemas.openxmlformats.org/drawingml/2006/main">
                <a:graphicData uri="http://schemas.microsoft.com/office/word/2010/wordprocessingShape">
                  <wps:wsp>
                    <wps:cNvSpPr/>
                    <wps:spPr>
                      <a:xfrm>
                        <a:off x="0" y="0"/>
                        <a:ext cx="5278120" cy="0"/>
                      </a:xfrm>
                      <a:custGeom>
                        <a:avLst/>
                        <a:gdLst/>
                        <a:ahLst/>
                        <a:cxnLst>
                          <a:cxn ang="0">
                            <a:pos x="0" y="0"/>
                          </a:cxn>
                          <a:cxn ang="0">
                            <a:pos x="5278120" y="0"/>
                          </a:cxn>
                        </a:cxnLst>
                        <a:rect l="0" t="0" r="0" b="0"/>
                        <a:pathLst>
                          <a:path w="8313" h="20">
                            <a:moveTo>
                              <a:pt x="0" y="0"/>
                            </a:moveTo>
                            <a:lnTo>
                              <a:pt x="8313" y="0"/>
                            </a:lnTo>
                          </a:path>
                        </a:pathLst>
                      </a:custGeom>
                      <a:noFill/>
                      <a:ln w="9144" cap="flat" cmpd="sng">
                        <a:solidFill>
                          <a:srgbClr val="000000">
                            <a:alpha val="100000"/>
                          </a:srgbClr>
                        </a:solidFill>
                        <a:prstDash val="solid"/>
                        <a:round/>
                        <a:headEnd type="none" w="med" len="med"/>
                        <a:tailEnd type="none" w="med" len="med"/>
                      </a:ln>
                    </wps:spPr>
                    <wps:bodyPr vert="horz" wrap="square" lIns="91440" tIns="45720" rIns="91440" bIns="45720" anchor="t" anchorCtr="0" upright="1"/>
                  </wps:wsp>
                </a:graphicData>
              </a:graphic>
            </wp:anchor>
          </w:drawing>
        </mc:Choice>
        <mc:Fallback xmlns:wpsCustomData="http://www.wps.cn/officeDocument/2013/wpsCustomData" xmlns:w15="http://schemas.microsoft.com/office/word/2012/wordml">
          <w:pict>
            <v:shape id="任意多边形 14" o:spid="_x0000_s1026" o:spt="100" style="position:absolute;left:0pt;margin-left:89.8pt;margin-top:54.55pt;height:0pt;width:415.6pt;mso-position-horizontal-relative:page;mso-position-vertical-relative:page;z-index:-251654144;mso-width-relative:page;mso-height-relative:page;" filled="f" stroked="t" coordsize="8313,20" o:allowincell="f" o:gfxdata="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xJ5FbVAAAA&#10;DAEAAA8AAAAAAAAAAQAgAAAAIgAAAGRycy9kb3ducmV2LnhtbFBLAQIUABQAAAAIAIdO4kB29io1&#10;kgIAAIQFAAAOAAAAAAAAAAEAIAAAACQBAABkcnMvZTJvRG9jLnhtbFBLBQYAAAAABgAGAFkBAAAo&#10;BgAAAAA=&#10;" path="m0,0l8313,0e">
              <v:path o:connectlocs="0,0;5278120,0" o:connectangles="0,0"/>
              <v:fill on="f" focussize="0,0"/>
              <v:stroke weight="0.72pt" color="#000000" joinstyle="round"/>
              <v:imagedata o:title=""/>
              <o:lock v:ext="edit" aspectratio="f"/>
            </v:shape>
          </w:pict>
        </mc:Fallback>
      </mc:AlternateContent>
    </w:r>
    <w:r>
      <w:rPr>
        <w:rFonts w:hint="default"/>
        <w:noProof/>
      </w:rPr>
      <mc:AlternateContent>
        <mc:Choice Requires="wps">
          <w:drawing>
            <wp:anchor distT="0" distB="0" distL="114300" distR="114300" simplePos="0" relativeHeight="251663360" behindDoc="1" locked="0" layoutInCell="0" allowOverlap="1">
              <wp:simplePos x="0" y="0"/>
              <wp:positionH relativeFrom="page">
                <wp:posOffset>1716405</wp:posOffset>
              </wp:positionH>
              <wp:positionV relativeFrom="page">
                <wp:posOffset>544195</wp:posOffset>
              </wp:positionV>
              <wp:extent cx="4127500" cy="145415"/>
              <wp:effectExtent l="0" t="0" r="0" b="0"/>
              <wp:wrapNone/>
              <wp:docPr id="66" name="文本框 13"/>
              <wp:cNvGraphicFramePr/>
              <a:graphic xmlns:a="http://schemas.openxmlformats.org/drawingml/2006/main">
                <a:graphicData uri="http://schemas.microsoft.com/office/word/2010/wordprocessingShape">
                  <wps:wsp>
                    <wps:cNvSpPr txBox="1"/>
                    <wps:spPr>
                      <a:xfrm>
                        <a:off x="0" y="0"/>
                        <a:ext cx="4127500" cy="145415"/>
                      </a:xfrm>
                      <a:prstGeom prst="rect">
                        <a:avLst/>
                      </a:prstGeom>
                      <a:noFill/>
                      <a:ln>
                        <a:noFill/>
                      </a:ln>
                    </wps:spPr>
                    <wps:txbx>
                      <w:txbxContent>
                        <w:p w:rsidR="00A46452" w:rsidRDefault="009A3928" w:rsidP="00182EED">
                          <w:pPr>
                            <w:pStyle w:val="12"/>
                            <w:kinsoku w:val="0"/>
                            <w:overflowPunct w:val="0"/>
                            <w:spacing w:line="214" w:lineRule="exact"/>
                            <w:ind w:left="20" w:firstLine="360"/>
                            <w:rPr>
                              <w:rFonts w:ascii="楷体" w:eastAsia="楷体" w:cs="楷体" w:hint="default"/>
                              <w:sz w:val="18"/>
                              <w:szCs w:val="18"/>
                            </w:rPr>
                          </w:pPr>
                          <w:r>
                            <w:rPr>
                              <w:rFonts w:ascii="楷体" w:eastAsia="楷体" w:cs="楷体"/>
                              <w:sz w:val="18"/>
                              <w:szCs w:val="18"/>
                            </w:rPr>
                            <w:t>连霍国家高速公路吐鲁番</w:t>
                          </w:r>
                          <w:r>
                            <w:rPr>
                              <w:rFonts w:eastAsia="楷体" w:hint="default"/>
                              <w:spacing w:val="-2"/>
                              <w:sz w:val="18"/>
                              <w:szCs w:val="18"/>
                            </w:rPr>
                            <w:t>-</w:t>
                          </w:r>
                          <w:r>
                            <w:rPr>
                              <w:rFonts w:ascii="楷体" w:eastAsia="楷体" w:cs="楷体"/>
                              <w:sz w:val="18"/>
                              <w:szCs w:val="18"/>
                            </w:rPr>
                            <w:t>和田联络线</w:t>
                          </w:r>
                          <w:r>
                            <w:rPr>
                              <w:rFonts w:eastAsia="楷体" w:hint="default"/>
                              <w:spacing w:val="-1"/>
                              <w:sz w:val="18"/>
                              <w:szCs w:val="18"/>
                            </w:rPr>
                            <w:t>G301</w:t>
                          </w:r>
                          <w:r>
                            <w:rPr>
                              <w:rFonts w:eastAsia="楷体" w:hint="default"/>
                              <w:sz w:val="18"/>
                              <w:szCs w:val="18"/>
                            </w:rPr>
                            <w:t xml:space="preserve">2 </w:t>
                          </w:r>
                          <w:r>
                            <w:rPr>
                              <w:rFonts w:ascii="楷体" w:eastAsia="楷体" w:cs="楷体"/>
                              <w:sz w:val="18"/>
                              <w:szCs w:val="18"/>
                            </w:rPr>
                            <w:t>喀什</w:t>
                          </w:r>
                          <w:r>
                            <w:rPr>
                              <w:rFonts w:eastAsia="楷体" w:hint="default"/>
                              <w:sz w:val="18"/>
                              <w:szCs w:val="18"/>
                            </w:rPr>
                            <w:t>-</w:t>
                          </w:r>
                          <w:r>
                            <w:rPr>
                              <w:rFonts w:ascii="楷体" w:eastAsia="楷体" w:cs="楷体"/>
                              <w:sz w:val="18"/>
                              <w:szCs w:val="18"/>
                            </w:rPr>
                            <w:t>疏勒段变更工程环境影响报告书</w:t>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3" o:spid="_x0000_s1034" type="#_x0000_t202" style="position:absolute;left:0;text-align:left;margin-left:135.15pt;margin-top:42.85pt;width:325pt;height:11.4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" o:allowincell="f" filled="f" stroked="f">
              <v:textbox inset="0,0,0,0">
                <w:txbxContent>
                  <w:p w:rsidR="00A46452" w:rsidRDefault="009A3928" w:rsidP="00182EED">
                    <w:pPr>
                      <w:pStyle w:val="12"/>
                      <w:kinsoku w:val="0"/>
                      <w:overflowPunct w:val="0"/>
                      <w:spacing w:line="214" w:lineRule="exact"/>
                      <w:ind w:left="20" w:firstLine="360"/>
                      <w:rPr>
                        <w:rFonts w:ascii="楷体" w:eastAsia="楷体" w:cs="楷体" w:hint="default"/>
                        <w:sz w:val="18"/>
                        <w:szCs w:val="18"/>
                      </w:rPr>
                    </w:pPr>
                    <w:r>
                      <w:rPr>
                        <w:rFonts w:ascii="楷体" w:eastAsia="楷体" w:cs="楷体"/>
                        <w:sz w:val="18"/>
                        <w:szCs w:val="18"/>
                      </w:rPr>
                      <w:t>连霍国家高速公路吐鲁番</w:t>
                    </w:r>
                    <w:r>
                      <w:rPr>
                        <w:rFonts w:eastAsia="楷体" w:hint="default"/>
                        <w:spacing w:val="-2"/>
                        <w:sz w:val="18"/>
                        <w:szCs w:val="18"/>
                      </w:rPr>
                      <w:t>-</w:t>
                    </w:r>
                    <w:r>
                      <w:rPr>
                        <w:rFonts w:ascii="楷体" w:eastAsia="楷体" w:cs="楷体"/>
                        <w:sz w:val="18"/>
                        <w:szCs w:val="18"/>
                      </w:rPr>
                      <w:t>和田联络线</w:t>
                    </w:r>
                    <w:r>
                      <w:rPr>
                        <w:rFonts w:eastAsia="楷体" w:hint="default"/>
                        <w:spacing w:val="-1"/>
                        <w:sz w:val="18"/>
                        <w:szCs w:val="18"/>
                      </w:rPr>
                      <w:t>G301</w:t>
                    </w:r>
                    <w:r>
                      <w:rPr>
                        <w:rFonts w:eastAsia="楷体" w:hint="default"/>
                        <w:sz w:val="18"/>
                        <w:szCs w:val="18"/>
                      </w:rPr>
                      <w:t xml:space="preserve">2 </w:t>
                    </w:r>
                    <w:r>
                      <w:rPr>
                        <w:rFonts w:ascii="楷体" w:eastAsia="楷体" w:cs="楷体"/>
                        <w:sz w:val="18"/>
                        <w:szCs w:val="18"/>
                      </w:rPr>
                      <w:t>喀什</w:t>
                    </w:r>
                    <w:r>
                      <w:rPr>
                        <w:rFonts w:eastAsia="楷体" w:hint="default"/>
                        <w:sz w:val="18"/>
                        <w:szCs w:val="18"/>
                      </w:rPr>
                      <w:t>-</w:t>
                    </w:r>
                    <w:r>
                      <w:rPr>
                        <w:rFonts w:ascii="楷体" w:eastAsia="楷体" w:cs="楷体"/>
                        <w:sz w:val="18"/>
                        <w:szCs w:val="18"/>
                      </w:rPr>
                      <w:t>疏勒段变更工程环境影响报告书</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83274"/>
    <w:multiLevelType w:val="multilevel"/>
    <w:tmpl w:val="82883274"/>
    <w:lvl w:ilvl="0">
      <w:start w:val="2"/>
      <w:numFmt w:val="decimal"/>
      <w:suff w:val="nothing"/>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A9F30C3E"/>
    <w:multiLevelType w:val="singleLevel"/>
    <w:tmpl w:val="A9F30C3E"/>
    <w:lvl w:ilvl="0">
      <w:start w:val="2"/>
      <w:numFmt w:val="decimal"/>
      <w:suff w:val="nothing"/>
      <w:lvlText w:val="（%1）"/>
      <w:lvlJc w:val="left"/>
    </w:lvl>
  </w:abstractNum>
  <w:abstractNum w:abstractNumId="2">
    <w:nsid w:val="B4565AEE"/>
    <w:multiLevelType w:val="singleLevel"/>
    <w:tmpl w:val="B4565AEE"/>
    <w:lvl w:ilvl="0">
      <w:start w:val="1"/>
      <w:numFmt w:val="decimal"/>
      <w:pStyle w:val="a"/>
      <w:lvlText w:val="%1."/>
      <w:lvlJc w:val="left"/>
      <w:pPr>
        <w:tabs>
          <w:tab w:val="left" w:pos="360"/>
        </w:tabs>
        <w:ind w:left="360" w:hanging="360"/>
      </w:pPr>
    </w:lvl>
  </w:abstractNum>
  <w:abstractNum w:abstractNumId="3">
    <w:nsid w:val="C177AE9B"/>
    <w:multiLevelType w:val="singleLevel"/>
    <w:tmpl w:val="C177AE9B"/>
    <w:lvl w:ilvl="0">
      <w:start w:val="1"/>
      <w:numFmt w:val="decimal"/>
      <w:pStyle w:val="3"/>
      <w:lvlText w:val="%1."/>
      <w:lvlJc w:val="left"/>
      <w:pPr>
        <w:tabs>
          <w:tab w:val="left" w:pos="1200"/>
        </w:tabs>
        <w:ind w:left="1200" w:hanging="360"/>
      </w:pPr>
    </w:lvl>
  </w:abstractNum>
  <w:abstractNum w:abstractNumId="4">
    <w:nsid w:val="C753B6A4"/>
    <w:multiLevelType w:val="singleLevel"/>
    <w:tmpl w:val="C753B6A4"/>
    <w:lvl w:ilvl="0">
      <w:start w:val="1"/>
      <w:numFmt w:val="bullet"/>
      <w:pStyle w:val="2"/>
      <w:lvlText w:val=""/>
      <w:lvlJc w:val="left"/>
      <w:pPr>
        <w:tabs>
          <w:tab w:val="left" w:pos="780"/>
        </w:tabs>
        <w:ind w:left="780" w:hanging="360"/>
      </w:pPr>
      <w:rPr>
        <w:rFonts w:ascii="Wingdings" w:hAnsi="Wingdings" w:hint="default"/>
      </w:rPr>
    </w:lvl>
  </w:abstractNum>
  <w:abstractNum w:abstractNumId="5">
    <w:nsid w:val="C9C35B08"/>
    <w:multiLevelType w:val="singleLevel"/>
    <w:tmpl w:val="C9C35B08"/>
    <w:lvl w:ilvl="0">
      <w:start w:val="1"/>
      <w:numFmt w:val="decimal"/>
      <w:pStyle w:val="5"/>
      <w:lvlText w:val="%1."/>
      <w:lvlJc w:val="left"/>
      <w:pPr>
        <w:tabs>
          <w:tab w:val="left" w:pos="2040"/>
        </w:tabs>
        <w:ind w:left="2040" w:hanging="360"/>
      </w:pPr>
    </w:lvl>
  </w:abstractNum>
  <w:abstractNum w:abstractNumId="6">
    <w:nsid w:val="DF78E9C6"/>
    <w:multiLevelType w:val="multilevel"/>
    <w:tmpl w:val="DF78E9C6"/>
    <w:lvl w:ilvl="0">
      <w:start w:val="1"/>
      <w:numFmt w:val="decimal"/>
      <w:suff w:val="nothing"/>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E4176B7B"/>
    <w:multiLevelType w:val="singleLevel"/>
    <w:tmpl w:val="E4176B7B"/>
    <w:lvl w:ilvl="0">
      <w:start w:val="1"/>
      <w:numFmt w:val="bullet"/>
      <w:pStyle w:val="4"/>
      <w:lvlText w:val=""/>
      <w:lvlJc w:val="left"/>
      <w:pPr>
        <w:tabs>
          <w:tab w:val="left" w:pos="1620"/>
        </w:tabs>
        <w:ind w:left="1620" w:hanging="360"/>
      </w:pPr>
      <w:rPr>
        <w:rFonts w:ascii="Wingdings" w:hAnsi="Wingdings" w:hint="default"/>
      </w:rPr>
    </w:lvl>
  </w:abstractNum>
  <w:abstractNum w:abstractNumId="8">
    <w:nsid w:val="02E6188A"/>
    <w:multiLevelType w:val="singleLevel"/>
    <w:tmpl w:val="02E6188A"/>
    <w:lvl w:ilvl="0">
      <w:start w:val="1"/>
      <w:numFmt w:val="decimal"/>
      <w:pStyle w:val="40"/>
      <w:lvlText w:val="%1."/>
      <w:lvlJc w:val="left"/>
      <w:pPr>
        <w:tabs>
          <w:tab w:val="left" w:pos="1620"/>
        </w:tabs>
        <w:ind w:left="1620" w:hanging="360"/>
      </w:pPr>
    </w:lvl>
  </w:abstractNum>
  <w:abstractNum w:abstractNumId="9">
    <w:nsid w:val="197943DA"/>
    <w:multiLevelType w:val="singleLevel"/>
    <w:tmpl w:val="197943DA"/>
    <w:lvl w:ilvl="0">
      <w:start w:val="1"/>
      <w:numFmt w:val="bullet"/>
      <w:pStyle w:val="50"/>
      <w:lvlText w:val=""/>
      <w:lvlJc w:val="left"/>
      <w:pPr>
        <w:tabs>
          <w:tab w:val="left" w:pos="2040"/>
        </w:tabs>
        <w:ind w:left="2040" w:hanging="360"/>
      </w:pPr>
      <w:rPr>
        <w:rFonts w:ascii="Wingdings" w:hAnsi="Wingdings" w:hint="default"/>
      </w:rPr>
    </w:lvl>
  </w:abstractNum>
  <w:abstractNum w:abstractNumId="10">
    <w:nsid w:val="2255D361"/>
    <w:multiLevelType w:val="singleLevel"/>
    <w:tmpl w:val="2255D361"/>
    <w:lvl w:ilvl="0">
      <w:start w:val="1"/>
      <w:numFmt w:val="decimal"/>
      <w:pStyle w:val="20"/>
      <w:lvlText w:val="%1."/>
      <w:lvlJc w:val="left"/>
      <w:pPr>
        <w:tabs>
          <w:tab w:val="left" w:pos="780"/>
        </w:tabs>
        <w:ind w:left="780" w:hanging="360"/>
      </w:pPr>
    </w:lvl>
  </w:abstractNum>
  <w:abstractNum w:abstractNumId="11">
    <w:nsid w:val="228D2686"/>
    <w:multiLevelType w:val="multilevel"/>
    <w:tmpl w:val="228D2686"/>
    <w:lvl w:ilvl="0">
      <w:start w:val="5"/>
      <w:numFmt w:val="decimal"/>
      <w:pStyle w:val="a0"/>
      <w:lvlText w:val="%1."/>
      <w:lvlJc w:val="left"/>
      <w:rPr>
        <w:rFonts w:ascii="宋体" w:hAnsi="宋体" w:hint="default"/>
        <w:color w:val="292D28"/>
        <w:u w:val="none" w:color="292D28"/>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3DB57900"/>
    <w:multiLevelType w:val="multilevel"/>
    <w:tmpl w:val="3DB57900"/>
    <w:lvl w:ilvl="0">
      <w:start w:val="1"/>
      <w:numFmt w:val="decimal"/>
      <w:isLgl/>
      <w:suff w:val="space"/>
      <w:lvlText w:val="%1"/>
      <w:lvlJc w:val="left"/>
      <w:pPr>
        <w:ind w:left="0" w:firstLine="0"/>
      </w:pPr>
      <w:rPr>
        <w:rFonts w:eastAsia="黑体" w:hint="default"/>
        <w:sz w:val="32"/>
        <w:szCs w:val="32"/>
        <w:u w:val="none"/>
      </w:rPr>
    </w:lvl>
    <w:lvl w:ilvl="1">
      <w:start w:val="1"/>
      <w:numFmt w:val="decimal"/>
      <w:isLgl/>
      <w:suff w:val="space"/>
      <w:lvlText w:val="%1.%2"/>
      <w:lvlJc w:val="left"/>
      <w:pPr>
        <w:ind w:left="0" w:firstLine="0"/>
      </w:pPr>
      <w:rPr>
        <w:rFonts w:eastAsia="黑体" w:hint="default"/>
        <w:sz w:val="28"/>
        <w:szCs w:val="28"/>
        <w:u w:val="none"/>
      </w:rPr>
    </w:lvl>
    <w:lvl w:ilvl="2">
      <w:start w:val="1"/>
      <w:numFmt w:val="decimal"/>
      <w:pStyle w:val="41"/>
      <w:isLgl/>
      <w:suff w:val="space"/>
      <w:lvlText w:val="%1.%2.%3"/>
      <w:lvlJc w:val="left"/>
      <w:pPr>
        <w:ind w:left="0" w:firstLine="0"/>
      </w:pPr>
      <w:rPr>
        <w:rFonts w:eastAsia="黑体" w:hint="default"/>
        <w:u w:val="none"/>
      </w:rPr>
    </w:lvl>
    <w:lvl w:ilvl="3">
      <w:start w:val="1"/>
      <w:numFmt w:val="decimal"/>
      <w:isLgl/>
      <w:suff w:val="space"/>
      <w:lvlText w:val="%1.%2.%3.%4"/>
      <w:lvlJc w:val="left"/>
      <w:pPr>
        <w:ind w:left="0" w:firstLine="0"/>
      </w:pPr>
      <w:rPr>
        <w:rFonts w:eastAsia="黑体" w:hint="default"/>
        <w:u w:val="none"/>
      </w:rPr>
    </w:lvl>
    <w:lvl w:ilvl="4">
      <w:start w:val="1"/>
      <w:numFmt w:val="decimal"/>
      <w:lvlText w:val="%1.%2.%3.%4.%5."/>
      <w:lvlJc w:val="left"/>
      <w:pPr>
        <w:tabs>
          <w:tab w:val="left" w:pos="992"/>
        </w:tabs>
        <w:ind w:left="992" w:hanging="992"/>
      </w:pPr>
      <w:rPr>
        <w:rFonts w:hint="default"/>
        <w:u w:val="none"/>
      </w:rPr>
    </w:lvl>
    <w:lvl w:ilvl="5">
      <w:start w:val="1"/>
      <w:numFmt w:val="decimal"/>
      <w:lvlText w:val="%1.%2.%3.%4.%5.%6."/>
      <w:lvlJc w:val="left"/>
      <w:pPr>
        <w:tabs>
          <w:tab w:val="left" w:pos="1134"/>
        </w:tabs>
        <w:ind w:left="1134" w:hanging="1134"/>
      </w:pPr>
      <w:rPr>
        <w:rFonts w:hint="default"/>
        <w:u w:val="none"/>
      </w:rPr>
    </w:lvl>
    <w:lvl w:ilvl="6">
      <w:start w:val="1"/>
      <w:numFmt w:val="decimal"/>
      <w:lvlText w:val="%1.%2.%3.%4.%5.%6.%7."/>
      <w:lvlJc w:val="left"/>
      <w:pPr>
        <w:tabs>
          <w:tab w:val="left" w:pos="1276"/>
        </w:tabs>
        <w:ind w:left="1276" w:hanging="1276"/>
      </w:pPr>
      <w:rPr>
        <w:rFonts w:hint="default"/>
        <w:u w:val="none"/>
      </w:rPr>
    </w:lvl>
    <w:lvl w:ilvl="7">
      <w:start w:val="1"/>
      <w:numFmt w:val="decimal"/>
      <w:lvlText w:val="%1.%2.%3.%4.%5.%6.%7.%8."/>
      <w:lvlJc w:val="left"/>
      <w:pPr>
        <w:tabs>
          <w:tab w:val="left" w:pos="1418"/>
        </w:tabs>
        <w:ind w:left="1418" w:hanging="1418"/>
      </w:pPr>
      <w:rPr>
        <w:rFonts w:hint="default"/>
        <w:u w:val="none"/>
      </w:rPr>
    </w:lvl>
    <w:lvl w:ilvl="8">
      <w:start w:val="1"/>
      <w:numFmt w:val="decimal"/>
      <w:lvlText w:val="%1.%2.%3.%4.%5.%6.%7.%8.%9."/>
      <w:lvlJc w:val="left"/>
      <w:pPr>
        <w:tabs>
          <w:tab w:val="left" w:pos="1559"/>
        </w:tabs>
        <w:ind w:left="1559" w:hanging="1559"/>
      </w:pPr>
      <w:rPr>
        <w:rFonts w:hint="default"/>
        <w:u w:val="none"/>
      </w:rPr>
    </w:lvl>
  </w:abstractNum>
  <w:abstractNum w:abstractNumId="13">
    <w:nsid w:val="4A9FD8C9"/>
    <w:multiLevelType w:val="singleLevel"/>
    <w:tmpl w:val="4A9FD8C9"/>
    <w:lvl w:ilvl="0">
      <w:start w:val="1"/>
      <w:numFmt w:val="bullet"/>
      <w:pStyle w:val="30"/>
      <w:lvlText w:val=""/>
      <w:lvlJc w:val="left"/>
      <w:pPr>
        <w:tabs>
          <w:tab w:val="left" w:pos="1200"/>
        </w:tabs>
        <w:ind w:left="1200" w:hanging="360"/>
      </w:pPr>
      <w:rPr>
        <w:rFonts w:ascii="Wingdings" w:hAnsi="Wingdings" w:hint="default"/>
      </w:rPr>
    </w:lvl>
  </w:abstractNum>
  <w:abstractNum w:abstractNumId="14">
    <w:nsid w:val="5DD87BAD"/>
    <w:multiLevelType w:val="multilevel"/>
    <w:tmpl w:val="5DD87BAD"/>
    <w:lvl w:ilvl="0">
      <w:start w:val="1"/>
      <w:numFmt w:val="decimal"/>
      <w:lvlText w:val="（%1）"/>
      <w:lvlJc w:val="left"/>
      <w:pPr>
        <w:tabs>
          <w:tab w:val="left" w:pos="720"/>
        </w:tabs>
        <w:ind w:left="720" w:hanging="720"/>
      </w:pPr>
      <w:rPr>
        <w:rFonts w:hint="default"/>
        <w:u w:val="none"/>
      </w:rPr>
    </w:lvl>
    <w:lvl w:ilvl="1">
      <w:start w:val="1"/>
      <w:numFmt w:val="bullet"/>
      <w:pStyle w:val="a1"/>
      <w:lvlText w:val=""/>
      <w:lvlJc w:val="left"/>
      <w:pPr>
        <w:tabs>
          <w:tab w:val="left" w:pos="1322"/>
        </w:tabs>
        <w:ind w:left="1322" w:hanging="420"/>
      </w:pPr>
      <w:rPr>
        <w:rFonts w:ascii="Wingdings" w:hAnsi="Wingdings" w:hint="default"/>
        <w:u w:val="none"/>
      </w:rPr>
    </w:lvl>
    <w:lvl w:ilvl="2">
      <w:start w:val="1"/>
      <w:numFmt w:val="decimal"/>
      <w:lvlText w:val="%3）"/>
      <w:lvlJc w:val="left"/>
      <w:pPr>
        <w:ind w:left="1200" w:hanging="360"/>
      </w:pPr>
      <w:rPr>
        <w:rFonts w:hint="default"/>
        <w:u w:val="none"/>
      </w:rPr>
    </w:lvl>
    <w:lvl w:ilvl="3">
      <w:start w:val="1"/>
      <w:numFmt w:val="decimal"/>
      <w:lvlText w:val="%4."/>
      <w:lvlJc w:val="left"/>
      <w:pPr>
        <w:tabs>
          <w:tab w:val="left" w:pos="2880"/>
        </w:tabs>
        <w:ind w:left="2880" w:hanging="360"/>
      </w:pPr>
      <w:rPr>
        <w:rFonts w:hint="default"/>
        <w:u w:val="none"/>
      </w:rPr>
    </w:lvl>
    <w:lvl w:ilvl="4">
      <w:start w:val="1"/>
      <w:numFmt w:val="decimal"/>
      <w:pStyle w:val="51"/>
      <w:lvlText w:val="%5."/>
      <w:lvlJc w:val="left"/>
      <w:pPr>
        <w:tabs>
          <w:tab w:val="left" w:pos="3600"/>
        </w:tabs>
        <w:ind w:left="3600" w:hanging="360"/>
      </w:pPr>
      <w:rPr>
        <w:rFonts w:hint="default"/>
        <w:u w:val="none"/>
      </w:rPr>
    </w:lvl>
    <w:lvl w:ilvl="5">
      <w:start w:val="1"/>
      <w:numFmt w:val="decimal"/>
      <w:pStyle w:val="61"/>
      <w:lvlText w:val="%6."/>
      <w:lvlJc w:val="left"/>
      <w:pPr>
        <w:tabs>
          <w:tab w:val="left" w:pos="4320"/>
        </w:tabs>
        <w:ind w:left="4320" w:hanging="360"/>
      </w:pPr>
      <w:rPr>
        <w:rFonts w:hint="default"/>
        <w:u w:val="none"/>
      </w:rPr>
    </w:lvl>
    <w:lvl w:ilvl="6">
      <w:start w:val="1"/>
      <w:numFmt w:val="decimal"/>
      <w:pStyle w:val="71"/>
      <w:lvlText w:val="%7."/>
      <w:lvlJc w:val="left"/>
      <w:pPr>
        <w:tabs>
          <w:tab w:val="left" w:pos="5040"/>
        </w:tabs>
        <w:ind w:left="5040" w:hanging="360"/>
      </w:pPr>
      <w:rPr>
        <w:rFonts w:hint="default"/>
        <w:u w:val="none"/>
      </w:rPr>
    </w:lvl>
    <w:lvl w:ilvl="7">
      <w:start w:val="1"/>
      <w:numFmt w:val="decimal"/>
      <w:pStyle w:val="81"/>
      <w:lvlText w:val="%8."/>
      <w:lvlJc w:val="left"/>
      <w:pPr>
        <w:tabs>
          <w:tab w:val="left" w:pos="5760"/>
        </w:tabs>
        <w:ind w:left="5760" w:hanging="360"/>
      </w:pPr>
      <w:rPr>
        <w:rFonts w:hint="default"/>
        <w:u w:val="none"/>
      </w:rPr>
    </w:lvl>
    <w:lvl w:ilvl="8">
      <w:start w:val="1"/>
      <w:numFmt w:val="decimal"/>
      <w:pStyle w:val="91"/>
      <w:lvlText w:val="%9."/>
      <w:lvlJc w:val="left"/>
      <w:pPr>
        <w:tabs>
          <w:tab w:val="left" w:pos="6480"/>
        </w:tabs>
        <w:ind w:left="6480" w:hanging="360"/>
      </w:pPr>
      <w:rPr>
        <w:rFonts w:hint="default"/>
        <w:u w:val="none"/>
      </w:rPr>
    </w:lvl>
  </w:abstractNum>
  <w:abstractNum w:abstractNumId="15">
    <w:nsid w:val="61FE8286"/>
    <w:multiLevelType w:val="singleLevel"/>
    <w:tmpl w:val="61FE8286"/>
    <w:lvl w:ilvl="0">
      <w:start w:val="1"/>
      <w:numFmt w:val="bullet"/>
      <w:pStyle w:val="a2"/>
      <w:lvlText w:val=""/>
      <w:lvlJc w:val="left"/>
      <w:pPr>
        <w:tabs>
          <w:tab w:val="left" w:pos="360"/>
        </w:tabs>
        <w:ind w:left="360" w:hanging="360"/>
      </w:pPr>
      <w:rPr>
        <w:rFonts w:ascii="Wingdings" w:hAnsi="Wingdings" w:hint="default"/>
      </w:rPr>
    </w:lvl>
  </w:abstractNum>
  <w:num w:numId="1">
    <w:abstractNumId w:val="10"/>
  </w:num>
  <w:num w:numId="2">
    <w:abstractNumId w:val="7"/>
  </w:num>
  <w:num w:numId="3">
    <w:abstractNumId w:val="2"/>
  </w:num>
  <w:num w:numId="4">
    <w:abstractNumId w:val="15"/>
  </w:num>
  <w:num w:numId="5">
    <w:abstractNumId w:val="13"/>
  </w:num>
  <w:num w:numId="6">
    <w:abstractNumId w:val="3"/>
  </w:num>
  <w:num w:numId="7">
    <w:abstractNumId w:val="4"/>
  </w:num>
  <w:num w:numId="8">
    <w:abstractNumId w:val="9"/>
  </w:num>
  <w:num w:numId="9">
    <w:abstractNumId w:val="8"/>
  </w:num>
  <w:num w:numId="10">
    <w:abstractNumId w:val="5"/>
  </w:num>
  <w:num w:numId="11">
    <w:abstractNumId w:val="14"/>
  </w:num>
  <w:num w:numId="12">
    <w:abstractNumId w:val="12"/>
  </w:num>
  <w:num w:numId="13">
    <w:abstractNumId w:val="11"/>
  </w:num>
  <w:num w:numId="14">
    <w:abstractNumId w:val="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VerticalSpacing w:val="16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kMjBjOWQxYjkzMDlkZjU5OTRjYjc5YWM1OTNjMjQifQ=="/>
    <w:docVar w:name="KSO_WPS_MARK_KEY" w:val="1084f4ed-d0c7-474a-b04c-2a69305e5ec4"/>
  </w:docVars>
  <w:rsids>
    <w:rsidRoot w:val="00172A27"/>
    <w:rsid w:val="0000008C"/>
    <w:rsid w:val="000001D6"/>
    <w:rsid w:val="0000178B"/>
    <w:rsid w:val="00001C85"/>
    <w:rsid w:val="00002A4C"/>
    <w:rsid w:val="00002A5B"/>
    <w:rsid w:val="00002D8A"/>
    <w:rsid w:val="000034FD"/>
    <w:rsid w:val="00003AE6"/>
    <w:rsid w:val="000041ED"/>
    <w:rsid w:val="00004B45"/>
    <w:rsid w:val="00004F8B"/>
    <w:rsid w:val="00004FAF"/>
    <w:rsid w:val="00005054"/>
    <w:rsid w:val="0000509A"/>
    <w:rsid w:val="000052AB"/>
    <w:rsid w:val="0000530F"/>
    <w:rsid w:val="00005613"/>
    <w:rsid w:val="00005935"/>
    <w:rsid w:val="00006296"/>
    <w:rsid w:val="00006314"/>
    <w:rsid w:val="00006654"/>
    <w:rsid w:val="00007DD5"/>
    <w:rsid w:val="000101AB"/>
    <w:rsid w:val="000103D6"/>
    <w:rsid w:val="00010540"/>
    <w:rsid w:val="00011AF3"/>
    <w:rsid w:val="00011BEF"/>
    <w:rsid w:val="00011DC3"/>
    <w:rsid w:val="000126DC"/>
    <w:rsid w:val="00014C9D"/>
    <w:rsid w:val="00014D97"/>
    <w:rsid w:val="0001588B"/>
    <w:rsid w:val="000158ED"/>
    <w:rsid w:val="000170C7"/>
    <w:rsid w:val="000176A5"/>
    <w:rsid w:val="00017725"/>
    <w:rsid w:val="00017760"/>
    <w:rsid w:val="00022307"/>
    <w:rsid w:val="00022595"/>
    <w:rsid w:val="000239F1"/>
    <w:rsid w:val="00023B47"/>
    <w:rsid w:val="00023D2E"/>
    <w:rsid w:val="000244C4"/>
    <w:rsid w:val="000252BD"/>
    <w:rsid w:val="00026AA4"/>
    <w:rsid w:val="000277D3"/>
    <w:rsid w:val="00027E42"/>
    <w:rsid w:val="000301B1"/>
    <w:rsid w:val="00030AA0"/>
    <w:rsid w:val="00030AF0"/>
    <w:rsid w:val="00030CE4"/>
    <w:rsid w:val="00030E99"/>
    <w:rsid w:val="00030FF9"/>
    <w:rsid w:val="00031FD1"/>
    <w:rsid w:val="00032186"/>
    <w:rsid w:val="000321ED"/>
    <w:rsid w:val="00032349"/>
    <w:rsid w:val="000334DB"/>
    <w:rsid w:val="00033712"/>
    <w:rsid w:val="00034B47"/>
    <w:rsid w:val="00034EA1"/>
    <w:rsid w:val="00035A52"/>
    <w:rsid w:val="000364D8"/>
    <w:rsid w:val="00036939"/>
    <w:rsid w:val="00037255"/>
    <w:rsid w:val="00037709"/>
    <w:rsid w:val="00037831"/>
    <w:rsid w:val="00037BC4"/>
    <w:rsid w:val="000408BA"/>
    <w:rsid w:val="0004094E"/>
    <w:rsid w:val="0004266D"/>
    <w:rsid w:val="00042B1E"/>
    <w:rsid w:val="00042EF6"/>
    <w:rsid w:val="00042F1E"/>
    <w:rsid w:val="00043233"/>
    <w:rsid w:val="000448FF"/>
    <w:rsid w:val="00044B4A"/>
    <w:rsid w:val="00045393"/>
    <w:rsid w:val="00045DAD"/>
    <w:rsid w:val="00046F12"/>
    <w:rsid w:val="00047312"/>
    <w:rsid w:val="00047D09"/>
    <w:rsid w:val="000501C0"/>
    <w:rsid w:val="0005048E"/>
    <w:rsid w:val="00050CE4"/>
    <w:rsid w:val="00051778"/>
    <w:rsid w:val="00052089"/>
    <w:rsid w:val="00052F79"/>
    <w:rsid w:val="00053FC6"/>
    <w:rsid w:val="000546B4"/>
    <w:rsid w:val="000558BD"/>
    <w:rsid w:val="000559FA"/>
    <w:rsid w:val="00055A7F"/>
    <w:rsid w:val="0005659A"/>
    <w:rsid w:val="00056C47"/>
    <w:rsid w:val="00056F1C"/>
    <w:rsid w:val="00057448"/>
    <w:rsid w:val="000578C4"/>
    <w:rsid w:val="00061A5A"/>
    <w:rsid w:val="000622F4"/>
    <w:rsid w:val="000623A1"/>
    <w:rsid w:val="00062999"/>
    <w:rsid w:val="00063444"/>
    <w:rsid w:val="000637C0"/>
    <w:rsid w:val="00064BA0"/>
    <w:rsid w:val="0006598C"/>
    <w:rsid w:val="00066536"/>
    <w:rsid w:val="00066E81"/>
    <w:rsid w:val="000670FC"/>
    <w:rsid w:val="0006781E"/>
    <w:rsid w:val="00067895"/>
    <w:rsid w:val="000679D8"/>
    <w:rsid w:val="00070E84"/>
    <w:rsid w:val="00072687"/>
    <w:rsid w:val="00073F76"/>
    <w:rsid w:val="00074782"/>
    <w:rsid w:val="00074A17"/>
    <w:rsid w:val="000756EA"/>
    <w:rsid w:val="00077473"/>
    <w:rsid w:val="00077481"/>
    <w:rsid w:val="000779EC"/>
    <w:rsid w:val="00077BEB"/>
    <w:rsid w:val="00077C59"/>
    <w:rsid w:val="00077E24"/>
    <w:rsid w:val="000847FB"/>
    <w:rsid w:val="00086151"/>
    <w:rsid w:val="00086768"/>
    <w:rsid w:val="00087332"/>
    <w:rsid w:val="00090634"/>
    <w:rsid w:val="000906FE"/>
    <w:rsid w:val="000915D8"/>
    <w:rsid w:val="00091F67"/>
    <w:rsid w:val="000920D7"/>
    <w:rsid w:val="0009251E"/>
    <w:rsid w:val="000926BE"/>
    <w:rsid w:val="000945D8"/>
    <w:rsid w:val="0009556D"/>
    <w:rsid w:val="00095D70"/>
    <w:rsid w:val="000960F9"/>
    <w:rsid w:val="00096851"/>
    <w:rsid w:val="00096CBD"/>
    <w:rsid w:val="000970D9"/>
    <w:rsid w:val="000A005E"/>
    <w:rsid w:val="000A0627"/>
    <w:rsid w:val="000A130C"/>
    <w:rsid w:val="000A21B2"/>
    <w:rsid w:val="000A2411"/>
    <w:rsid w:val="000A2CAC"/>
    <w:rsid w:val="000A30AD"/>
    <w:rsid w:val="000A3C24"/>
    <w:rsid w:val="000A3CF0"/>
    <w:rsid w:val="000A41C3"/>
    <w:rsid w:val="000A4329"/>
    <w:rsid w:val="000A4E5F"/>
    <w:rsid w:val="000A5178"/>
    <w:rsid w:val="000A5BCB"/>
    <w:rsid w:val="000A5D56"/>
    <w:rsid w:val="000A5E87"/>
    <w:rsid w:val="000A645B"/>
    <w:rsid w:val="000A646E"/>
    <w:rsid w:val="000A6F87"/>
    <w:rsid w:val="000A74F6"/>
    <w:rsid w:val="000B0BC6"/>
    <w:rsid w:val="000B1DFD"/>
    <w:rsid w:val="000B3AE9"/>
    <w:rsid w:val="000B3EFF"/>
    <w:rsid w:val="000B5D9D"/>
    <w:rsid w:val="000B7465"/>
    <w:rsid w:val="000B77CE"/>
    <w:rsid w:val="000C07FD"/>
    <w:rsid w:val="000C08FC"/>
    <w:rsid w:val="000C1CB3"/>
    <w:rsid w:val="000C22FC"/>
    <w:rsid w:val="000C24A7"/>
    <w:rsid w:val="000C2705"/>
    <w:rsid w:val="000C2AE3"/>
    <w:rsid w:val="000C35D3"/>
    <w:rsid w:val="000C3CA0"/>
    <w:rsid w:val="000C4AE6"/>
    <w:rsid w:val="000C53EF"/>
    <w:rsid w:val="000C5690"/>
    <w:rsid w:val="000C5E1B"/>
    <w:rsid w:val="000C609F"/>
    <w:rsid w:val="000C6E68"/>
    <w:rsid w:val="000C71E1"/>
    <w:rsid w:val="000C781E"/>
    <w:rsid w:val="000C7D1A"/>
    <w:rsid w:val="000D0038"/>
    <w:rsid w:val="000D0145"/>
    <w:rsid w:val="000D0549"/>
    <w:rsid w:val="000D0C20"/>
    <w:rsid w:val="000D0D16"/>
    <w:rsid w:val="000D0FFC"/>
    <w:rsid w:val="000D225D"/>
    <w:rsid w:val="000D22CD"/>
    <w:rsid w:val="000D24C8"/>
    <w:rsid w:val="000D3590"/>
    <w:rsid w:val="000D44C4"/>
    <w:rsid w:val="000D4C2E"/>
    <w:rsid w:val="000D55B0"/>
    <w:rsid w:val="000D5D76"/>
    <w:rsid w:val="000D629A"/>
    <w:rsid w:val="000D6618"/>
    <w:rsid w:val="000D674B"/>
    <w:rsid w:val="000D6F7C"/>
    <w:rsid w:val="000D79EC"/>
    <w:rsid w:val="000D7B38"/>
    <w:rsid w:val="000E0AFA"/>
    <w:rsid w:val="000E159C"/>
    <w:rsid w:val="000E1F8B"/>
    <w:rsid w:val="000E21B3"/>
    <w:rsid w:val="000E28AF"/>
    <w:rsid w:val="000E29E0"/>
    <w:rsid w:val="000E2E30"/>
    <w:rsid w:val="000E2F9E"/>
    <w:rsid w:val="000E30E4"/>
    <w:rsid w:val="000E36DE"/>
    <w:rsid w:val="000E39C8"/>
    <w:rsid w:val="000E4385"/>
    <w:rsid w:val="000E49B3"/>
    <w:rsid w:val="000E4BCD"/>
    <w:rsid w:val="000E4CCF"/>
    <w:rsid w:val="000E542F"/>
    <w:rsid w:val="000E5593"/>
    <w:rsid w:val="000E5B0D"/>
    <w:rsid w:val="000E5B25"/>
    <w:rsid w:val="000E5E59"/>
    <w:rsid w:val="000E6091"/>
    <w:rsid w:val="000E7B5A"/>
    <w:rsid w:val="000E7BC0"/>
    <w:rsid w:val="000E7EDF"/>
    <w:rsid w:val="000F02BE"/>
    <w:rsid w:val="000F0DB5"/>
    <w:rsid w:val="000F12DA"/>
    <w:rsid w:val="000F12EB"/>
    <w:rsid w:val="000F1875"/>
    <w:rsid w:val="000F1FC5"/>
    <w:rsid w:val="000F26FA"/>
    <w:rsid w:val="000F280B"/>
    <w:rsid w:val="000F2C10"/>
    <w:rsid w:val="000F3390"/>
    <w:rsid w:val="000F382B"/>
    <w:rsid w:val="000F5A9D"/>
    <w:rsid w:val="000F5F81"/>
    <w:rsid w:val="000F6D40"/>
    <w:rsid w:val="000F796E"/>
    <w:rsid w:val="000F7C01"/>
    <w:rsid w:val="000F7C44"/>
    <w:rsid w:val="000F7EA4"/>
    <w:rsid w:val="00100332"/>
    <w:rsid w:val="00101079"/>
    <w:rsid w:val="00101B65"/>
    <w:rsid w:val="001022D8"/>
    <w:rsid w:val="001031DE"/>
    <w:rsid w:val="0010367F"/>
    <w:rsid w:val="00106167"/>
    <w:rsid w:val="00106655"/>
    <w:rsid w:val="001071E7"/>
    <w:rsid w:val="001077C7"/>
    <w:rsid w:val="00107FAC"/>
    <w:rsid w:val="001106AA"/>
    <w:rsid w:val="00110A9F"/>
    <w:rsid w:val="00111136"/>
    <w:rsid w:val="0011155F"/>
    <w:rsid w:val="00111E70"/>
    <w:rsid w:val="00112284"/>
    <w:rsid w:val="0011278E"/>
    <w:rsid w:val="0011299B"/>
    <w:rsid w:val="0011362E"/>
    <w:rsid w:val="00114C27"/>
    <w:rsid w:val="00114F7D"/>
    <w:rsid w:val="00115468"/>
    <w:rsid w:val="00115F2B"/>
    <w:rsid w:val="00116B11"/>
    <w:rsid w:val="0011714C"/>
    <w:rsid w:val="00117926"/>
    <w:rsid w:val="00117D84"/>
    <w:rsid w:val="0012008E"/>
    <w:rsid w:val="00120723"/>
    <w:rsid w:val="001209B4"/>
    <w:rsid w:val="00121679"/>
    <w:rsid w:val="00121EE1"/>
    <w:rsid w:val="00122687"/>
    <w:rsid w:val="00122972"/>
    <w:rsid w:val="001243BD"/>
    <w:rsid w:val="00124A53"/>
    <w:rsid w:val="00124AE9"/>
    <w:rsid w:val="00124B11"/>
    <w:rsid w:val="0012559B"/>
    <w:rsid w:val="00127348"/>
    <w:rsid w:val="001274ED"/>
    <w:rsid w:val="00127B6D"/>
    <w:rsid w:val="00130504"/>
    <w:rsid w:val="00130AC3"/>
    <w:rsid w:val="00130F95"/>
    <w:rsid w:val="00131A22"/>
    <w:rsid w:val="0013226B"/>
    <w:rsid w:val="00132AA3"/>
    <w:rsid w:val="00132F25"/>
    <w:rsid w:val="00133C06"/>
    <w:rsid w:val="0013459E"/>
    <w:rsid w:val="0013477F"/>
    <w:rsid w:val="00134C70"/>
    <w:rsid w:val="00135619"/>
    <w:rsid w:val="00136A69"/>
    <w:rsid w:val="00136B95"/>
    <w:rsid w:val="00136F93"/>
    <w:rsid w:val="00137723"/>
    <w:rsid w:val="001402BC"/>
    <w:rsid w:val="001414EB"/>
    <w:rsid w:val="00141693"/>
    <w:rsid w:val="00141958"/>
    <w:rsid w:val="00141E40"/>
    <w:rsid w:val="001436C1"/>
    <w:rsid w:val="001437E8"/>
    <w:rsid w:val="00143C27"/>
    <w:rsid w:val="001440E9"/>
    <w:rsid w:val="0014454A"/>
    <w:rsid w:val="001448F9"/>
    <w:rsid w:val="00144A05"/>
    <w:rsid w:val="00144B96"/>
    <w:rsid w:val="001450DE"/>
    <w:rsid w:val="0014513B"/>
    <w:rsid w:val="001451B0"/>
    <w:rsid w:val="001468AE"/>
    <w:rsid w:val="00147AB6"/>
    <w:rsid w:val="00150C5B"/>
    <w:rsid w:val="00150EFB"/>
    <w:rsid w:val="00150F0C"/>
    <w:rsid w:val="001514FB"/>
    <w:rsid w:val="0015210C"/>
    <w:rsid w:val="001524CE"/>
    <w:rsid w:val="00154056"/>
    <w:rsid w:val="001544F2"/>
    <w:rsid w:val="00154663"/>
    <w:rsid w:val="00154765"/>
    <w:rsid w:val="001549D8"/>
    <w:rsid w:val="001554C0"/>
    <w:rsid w:val="00155B18"/>
    <w:rsid w:val="00155DAC"/>
    <w:rsid w:val="001568DC"/>
    <w:rsid w:val="00157248"/>
    <w:rsid w:val="00157B38"/>
    <w:rsid w:val="00157C1A"/>
    <w:rsid w:val="00157F21"/>
    <w:rsid w:val="00160222"/>
    <w:rsid w:val="00160482"/>
    <w:rsid w:val="00160A11"/>
    <w:rsid w:val="00160DF8"/>
    <w:rsid w:val="00160EFF"/>
    <w:rsid w:val="001612C1"/>
    <w:rsid w:val="00161353"/>
    <w:rsid w:val="00161AB8"/>
    <w:rsid w:val="001621D5"/>
    <w:rsid w:val="001623E6"/>
    <w:rsid w:val="001645A2"/>
    <w:rsid w:val="00164C06"/>
    <w:rsid w:val="00164C31"/>
    <w:rsid w:val="00164D32"/>
    <w:rsid w:val="001650AB"/>
    <w:rsid w:val="001656D8"/>
    <w:rsid w:val="00165D73"/>
    <w:rsid w:val="0016665F"/>
    <w:rsid w:val="00167DE2"/>
    <w:rsid w:val="00170502"/>
    <w:rsid w:val="001705A8"/>
    <w:rsid w:val="00170727"/>
    <w:rsid w:val="001708AF"/>
    <w:rsid w:val="00170C6D"/>
    <w:rsid w:val="00170CC9"/>
    <w:rsid w:val="00170DCF"/>
    <w:rsid w:val="00170EAB"/>
    <w:rsid w:val="001723D9"/>
    <w:rsid w:val="00172A27"/>
    <w:rsid w:val="00172A73"/>
    <w:rsid w:val="00172AA9"/>
    <w:rsid w:val="00173627"/>
    <w:rsid w:val="00173651"/>
    <w:rsid w:val="00173DA5"/>
    <w:rsid w:val="001740DB"/>
    <w:rsid w:val="00174A68"/>
    <w:rsid w:val="00174AB6"/>
    <w:rsid w:val="00174EA7"/>
    <w:rsid w:val="00175127"/>
    <w:rsid w:val="00175750"/>
    <w:rsid w:val="001758C2"/>
    <w:rsid w:val="00177DCC"/>
    <w:rsid w:val="001805E7"/>
    <w:rsid w:val="00181060"/>
    <w:rsid w:val="00181216"/>
    <w:rsid w:val="001813CE"/>
    <w:rsid w:val="00181AFF"/>
    <w:rsid w:val="00181BC4"/>
    <w:rsid w:val="00182575"/>
    <w:rsid w:val="00182EED"/>
    <w:rsid w:val="001832E5"/>
    <w:rsid w:val="00183490"/>
    <w:rsid w:val="00183861"/>
    <w:rsid w:val="00183B10"/>
    <w:rsid w:val="001841D0"/>
    <w:rsid w:val="001849F8"/>
    <w:rsid w:val="0018507C"/>
    <w:rsid w:val="001850B5"/>
    <w:rsid w:val="0018551A"/>
    <w:rsid w:val="0018567A"/>
    <w:rsid w:val="001864F3"/>
    <w:rsid w:val="001865AE"/>
    <w:rsid w:val="00186630"/>
    <w:rsid w:val="00186BBB"/>
    <w:rsid w:val="00186D12"/>
    <w:rsid w:val="001901EC"/>
    <w:rsid w:val="00191200"/>
    <w:rsid w:val="0019145B"/>
    <w:rsid w:val="0019186F"/>
    <w:rsid w:val="00191EED"/>
    <w:rsid w:val="0019280B"/>
    <w:rsid w:val="00192EED"/>
    <w:rsid w:val="00193751"/>
    <w:rsid w:val="00193991"/>
    <w:rsid w:val="001945E1"/>
    <w:rsid w:val="001948C3"/>
    <w:rsid w:val="00195206"/>
    <w:rsid w:val="00196760"/>
    <w:rsid w:val="0019699F"/>
    <w:rsid w:val="001A1402"/>
    <w:rsid w:val="001A1715"/>
    <w:rsid w:val="001A19B2"/>
    <w:rsid w:val="001A2317"/>
    <w:rsid w:val="001A27A5"/>
    <w:rsid w:val="001A2D49"/>
    <w:rsid w:val="001A3144"/>
    <w:rsid w:val="001A3363"/>
    <w:rsid w:val="001A3B58"/>
    <w:rsid w:val="001A401D"/>
    <w:rsid w:val="001A4616"/>
    <w:rsid w:val="001A514F"/>
    <w:rsid w:val="001A6357"/>
    <w:rsid w:val="001A6846"/>
    <w:rsid w:val="001A6D25"/>
    <w:rsid w:val="001A7966"/>
    <w:rsid w:val="001B0304"/>
    <w:rsid w:val="001B0E55"/>
    <w:rsid w:val="001B10DE"/>
    <w:rsid w:val="001B15BD"/>
    <w:rsid w:val="001B1932"/>
    <w:rsid w:val="001B2CD7"/>
    <w:rsid w:val="001B361B"/>
    <w:rsid w:val="001B3EBF"/>
    <w:rsid w:val="001B473E"/>
    <w:rsid w:val="001B4796"/>
    <w:rsid w:val="001B4DD2"/>
    <w:rsid w:val="001B5184"/>
    <w:rsid w:val="001B642A"/>
    <w:rsid w:val="001B64EE"/>
    <w:rsid w:val="001B6FC6"/>
    <w:rsid w:val="001B7114"/>
    <w:rsid w:val="001B74A4"/>
    <w:rsid w:val="001B79E7"/>
    <w:rsid w:val="001C08AB"/>
    <w:rsid w:val="001C0FB4"/>
    <w:rsid w:val="001C123C"/>
    <w:rsid w:val="001C14B4"/>
    <w:rsid w:val="001C1BDA"/>
    <w:rsid w:val="001C22A6"/>
    <w:rsid w:val="001C2973"/>
    <w:rsid w:val="001C328D"/>
    <w:rsid w:val="001C32BF"/>
    <w:rsid w:val="001C3CBF"/>
    <w:rsid w:val="001C3F7C"/>
    <w:rsid w:val="001C4275"/>
    <w:rsid w:val="001C5654"/>
    <w:rsid w:val="001C5D9B"/>
    <w:rsid w:val="001C6268"/>
    <w:rsid w:val="001C6412"/>
    <w:rsid w:val="001C6512"/>
    <w:rsid w:val="001C76E1"/>
    <w:rsid w:val="001C774A"/>
    <w:rsid w:val="001C7A39"/>
    <w:rsid w:val="001C7CA0"/>
    <w:rsid w:val="001D0068"/>
    <w:rsid w:val="001D0240"/>
    <w:rsid w:val="001D057C"/>
    <w:rsid w:val="001D07EB"/>
    <w:rsid w:val="001D08B5"/>
    <w:rsid w:val="001D0D6E"/>
    <w:rsid w:val="001D1095"/>
    <w:rsid w:val="001D1944"/>
    <w:rsid w:val="001D25DD"/>
    <w:rsid w:val="001D2A1A"/>
    <w:rsid w:val="001D2BB2"/>
    <w:rsid w:val="001D3564"/>
    <w:rsid w:val="001D4D73"/>
    <w:rsid w:val="001D6009"/>
    <w:rsid w:val="001D7B6F"/>
    <w:rsid w:val="001E0421"/>
    <w:rsid w:val="001E0CC2"/>
    <w:rsid w:val="001E0D79"/>
    <w:rsid w:val="001E0E3C"/>
    <w:rsid w:val="001E17FA"/>
    <w:rsid w:val="001E19F6"/>
    <w:rsid w:val="001E1D97"/>
    <w:rsid w:val="001E2CEA"/>
    <w:rsid w:val="001E2EE8"/>
    <w:rsid w:val="001E3A3C"/>
    <w:rsid w:val="001E3E2A"/>
    <w:rsid w:val="001E4F46"/>
    <w:rsid w:val="001E6348"/>
    <w:rsid w:val="001E6B93"/>
    <w:rsid w:val="001E6D81"/>
    <w:rsid w:val="001E6E1D"/>
    <w:rsid w:val="001E7B85"/>
    <w:rsid w:val="001F0C4C"/>
    <w:rsid w:val="001F0C62"/>
    <w:rsid w:val="001F0D0F"/>
    <w:rsid w:val="001F10AF"/>
    <w:rsid w:val="001F160A"/>
    <w:rsid w:val="001F20FF"/>
    <w:rsid w:val="001F2F79"/>
    <w:rsid w:val="001F3411"/>
    <w:rsid w:val="001F3768"/>
    <w:rsid w:val="001F3D85"/>
    <w:rsid w:val="001F5882"/>
    <w:rsid w:val="001F62C7"/>
    <w:rsid w:val="001F7DF7"/>
    <w:rsid w:val="00200A2C"/>
    <w:rsid w:val="0020105F"/>
    <w:rsid w:val="00201100"/>
    <w:rsid w:val="002012FA"/>
    <w:rsid w:val="0020174F"/>
    <w:rsid w:val="00201BEC"/>
    <w:rsid w:val="002030E5"/>
    <w:rsid w:val="0020330B"/>
    <w:rsid w:val="00204104"/>
    <w:rsid w:val="00204A76"/>
    <w:rsid w:val="002050F8"/>
    <w:rsid w:val="0020520D"/>
    <w:rsid w:val="00205A45"/>
    <w:rsid w:val="00206611"/>
    <w:rsid w:val="002069EA"/>
    <w:rsid w:val="00206C25"/>
    <w:rsid w:val="00206F21"/>
    <w:rsid w:val="00207741"/>
    <w:rsid w:val="00207975"/>
    <w:rsid w:val="00207EEF"/>
    <w:rsid w:val="00210725"/>
    <w:rsid w:val="00210B27"/>
    <w:rsid w:val="00210BAC"/>
    <w:rsid w:val="00212F0D"/>
    <w:rsid w:val="002139F3"/>
    <w:rsid w:val="00215404"/>
    <w:rsid w:val="00215BB5"/>
    <w:rsid w:val="00216C14"/>
    <w:rsid w:val="002173C1"/>
    <w:rsid w:val="00217A23"/>
    <w:rsid w:val="002201D4"/>
    <w:rsid w:val="0022046C"/>
    <w:rsid w:val="002204D9"/>
    <w:rsid w:val="00220883"/>
    <w:rsid w:val="00220A06"/>
    <w:rsid w:val="00220A28"/>
    <w:rsid w:val="002211A5"/>
    <w:rsid w:val="002212E0"/>
    <w:rsid w:val="00222D87"/>
    <w:rsid w:val="00222FEC"/>
    <w:rsid w:val="0022399B"/>
    <w:rsid w:val="0022432A"/>
    <w:rsid w:val="00224358"/>
    <w:rsid w:val="00224F72"/>
    <w:rsid w:val="00225629"/>
    <w:rsid w:val="002256F5"/>
    <w:rsid w:val="002269A4"/>
    <w:rsid w:val="00226F63"/>
    <w:rsid w:val="00226FFB"/>
    <w:rsid w:val="002271B3"/>
    <w:rsid w:val="002272CD"/>
    <w:rsid w:val="00227379"/>
    <w:rsid w:val="00230280"/>
    <w:rsid w:val="00230E1B"/>
    <w:rsid w:val="00231E8C"/>
    <w:rsid w:val="002323FC"/>
    <w:rsid w:val="00232DF0"/>
    <w:rsid w:val="00233237"/>
    <w:rsid w:val="00233A2F"/>
    <w:rsid w:val="00234FF4"/>
    <w:rsid w:val="00235291"/>
    <w:rsid w:val="002354E1"/>
    <w:rsid w:val="002354E5"/>
    <w:rsid w:val="0023559F"/>
    <w:rsid w:val="002358D6"/>
    <w:rsid w:val="00235BF7"/>
    <w:rsid w:val="00236489"/>
    <w:rsid w:val="002365A3"/>
    <w:rsid w:val="002367CC"/>
    <w:rsid w:val="00236860"/>
    <w:rsid w:val="00236869"/>
    <w:rsid w:val="00237CF0"/>
    <w:rsid w:val="00240CCE"/>
    <w:rsid w:val="00241240"/>
    <w:rsid w:val="002415D0"/>
    <w:rsid w:val="002416EE"/>
    <w:rsid w:val="00241B99"/>
    <w:rsid w:val="00241D1B"/>
    <w:rsid w:val="00242837"/>
    <w:rsid w:val="00242DED"/>
    <w:rsid w:val="00243099"/>
    <w:rsid w:val="002431C0"/>
    <w:rsid w:val="0024330C"/>
    <w:rsid w:val="00243BE4"/>
    <w:rsid w:val="00244072"/>
    <w:rsid w:val="002445E8"/>
    <w:rsid w:val="002451A6"/>
    <w:rsid w:val="00245AFD"/>
    <w:rsid w:val="0024682A"/>
    <w:rsid w:val="00247799"/>
    <w:rsid w:val="00247C2B"/>
    <w:rsid w:val="00250F35"/>
    <w:rsid w:val="002512E1"/>
    <w:rsid w:val="0025184E"/>
    <w:rsid w:val="0025186F"/>
    <w:rsid w:val="002518B2"/>
    <w:rsid w:val="00251AE7"/>
    <w:rsid w:val="00254B7B"/>
    <w:rsid w:val="0025572F"/>
    <w:rsid w:val="00255762"/>
    <w:rsid w:val="00256E44"/>
    <w:rsid w:val="0025779A"/>
    <w:rsid w:val="00257A8A"/>
    <w:rsid w:val="00260337"/>
    <w:rsid w:val="00261895"/>
    <w:rsid w:val="00261CFA"/>
    <w:rsid w:val="002643B9"/>
    <w:rsid w:val="002646D2"/>
    <w:rsid w:val="0026489B"/>
    <w:rsid w:val="00265387"/>
    <w:rsid w:val="002653B8"/>
    <w:rsid w:val="00266A37"/>
    <w:rsid w:val="00266C94"/>
    <w:rsid w:val="00266FA8"/>
    <w:rsid w:val="00267497"/>
    <w:rsid w:val="00267F0E"/>
    <w:rsid w:val="002702E9"/>
    <w:rsid w:val="00270AC0"/>
    <w:rsid w:val="002713B8"/>
    <w:rsid w:val="00273683"/>
    <w:rsid w:val="0027416D"/>
    <w:rsid w:val="00274E30"/>
    <w:rsid w:val="00275E63"/>
    <w:rsid w:val="00276F95"/>
    <w:rsid w:val="00277206"/>
    <w:rsid w:val="00277B51"/>
    <w:rsid w:val="002801DE"/>
    <w:rsid w:val="00280575"/>
    <w:rsid w:val="00281066"/>
    <w:rsid w:val="00281902"/>
    <w:rsid w:val="002824EB"/>
    <w:rsid w:val="0028325A"/>
    <w:rsid w:val="002841E4"/>
    <w:rsid w:val="002854B4"/>
    <w:rsid w:val="00285CAC"/>
    <w:rsid w:val="00285E3A"/>
    <w:rsid w:val="00287048"/>
    <w:rsid w:val="00287232"/>
    <w:rsid w:val="0028740E"/>
    <w:rsid w:val="00287426"/>
    <w:rsid w:val="00287530"/>
    <w:rsid w:val="0029035D"/>
    <w:rsid w:val="00290583"/>
    <w:rsid w:val="00290B5E"/>
    <w:rsid w:val="0029147C"/>
    <w:rsid w:val="00291BE3"/>
    <w:rsid w:val="00291DA4"/>
    <w:rsid w:val="002927DB"/>
    <w:rsid w:val="00293B66"/>
    <w:rsid w:val="00293C18"/>
    <w:rsid w:val="00294F77"/>
    <w:rsid w:val="00294FEB"/>
    <w:rsid w:val="00295187"/>
    <w:rsid w:val="0029541A"/>
    <w:rsid w:val="00296B2C"/>
    <w:rsid w:val="00296DC5"/>
    <w:rsid w:val="002971E7"/>
    <w:rsid w:val="0029763C"/>
    <w:rsid w:val="002976F7"/>
    <w:rsid w:val="002978C7"/>
    <w:rsid w:val="00297D7A"/>
    <w:rsid w:val="002A07C4"/>
    <w:rsid w:val="002A08DA"/>
    <w:rsid w:val="002A0CB3"/>
    <w:rsid w:val="002A0F55"/>
    <w:rsid w:val="002A1193"/>
    <w:rsid w:val="002A1864"/>
    <w:rsid w:val="002A21C6"/>
    <w:rsid w:val="002A2418"/>
    <w:rsid w:val="002A2D4E"/>
    <w:rsid w:val="002A325A"/>
    <w:rsid w:val="002A3306"/>
    <w:rsid w:val="002A364A"/>
    <w:rsid w:val="002A36C0"/>
    <w:rsid w:val="002A3CEA"/>
    <w:rsid w:val="002A47E1"/>
    <w:rsid w:val="002A532B"/>
    <w:rsid w:val="002A5649"/>
    <w:rsid w:val="002A5F90"/>
    <w:rsid w:val="002A634A"/>
    <w:rsid w:val="002A7142"/>
    <w:rsid w:val="002A7174"/>
    <w:rsid w:val="002A73AA"/>
    <w:rsid w:val="002A7E2F"/>
    <w:rsid w:val="002B021A"/>
    <w:rsid w:val="002B069A"/>
    <w:rsid w:val="002B0EE1"/>
    <w:rsid w:val="002B1342"/>
    <w:rsid w:val="002B217C"/>
    <w:rsid w:val="002B2923"/>
    <w:rsid w:val="002B2A33"/>
    <w:rsid w:val="002B4CC5"/>
    <w:rsid w:val="002B5AFA"/>
    <w:rsid w:val="002B5C49"/>
    <w:rsid w:val="002B62E2"/>
    <w:rsid w:val="002B7CC9"/>
    <w:rsid w:val="002C0600"/>
    <w:rsid w:val="002C0881"/>
    <w:rsid w:val="002C17D2"/>
    <w:rsid w:val="002C1DFF"/>
    <w:rsid w:val="002C20F6"/>
    <w:rsid w:val="002C33D1"/>
    <w:rsid w:val="002C3BAD"/>
    <w:rsid w:val="002C48A8"/>
    <w:rsid w:val="002C4E35"/>
    <w:rsid w:val="002C5345"/>
    <w:rsid w:val="002C53F3"/>
    <w:rsid w:val="002C5ACB"/>
    <w:rsid w:val="002C6239"/>
    <w:rsid w:val="002C6AE1"/>
    <w:rsid w:val="002C722A"/>
    <w:rsid w:val="002C758A"/>
    <w:rsid w:val="002C764A"/>
    <w:rsid w:val="002D0FA6"/>
    <w:rsid w:val="002D10FC"/>
    <w:rsid w:val="002D11F2"/>
    <w:rsid w:val="002D1933"/>
    <w:rsid w:val="002D1B59"/>
    <w:rsid w:val="002D1B83"/>
    <w:rsid w:val="002D1BF2"/>
    <w:rsid w:val="002D1C6E"/>
    <w:rsid w:val="002D1EC4"/>
    <w:rsid w:val="002D29E4"/>
    <w:rsid w:val="002D2F1F"/>
    <w:rsid w:val="002D2F4E"/>
    <w:rsid w:val="002D30A5"/>
    <w:rsid w:val="002D36E3"/>
    <w:rsid w:val="002D3AC7"/>
    <w:rsid w:val="002D3D8F"/>
    <w:rsid w:val="002D47F0"/>
    <w:rsid w:val="002D50F6"/>
    <w:rsid w:val="002D5168"/>
    <w:rsid w:val="002D568A"/>
    <w:rsid w:val="002D574B"/>
    <w:rsid w:val="002D5889"/>
    <w:rsid w:val="002D5957"/>
    <w:rsid w:val="002D65CD"/>
    <w:rsid w:val="002D71DE"/>
    <w:rsid w:val="002D745A"/>
    <w:rsid w:val="002D75FC"/>
    <w:rsid w:val="002D7902"/>
    <w:rsid w:val="002D7CD0"/>
    <w:rsid w:val="002E03AD"/>
    <w:rsid w:val="002E05F8"/>
    <w:rsid w:val="002E08F5"/>
    <w:rsid w:val="002E137D"/>
    <w:rsid w:val="002E17A4"/>
    <w:rsid w:val="002E23D8"/>
    <w:rsid w:val="002E28CA"/>
    <w:rsid w:val="002E2FF9"/>
    <w:rsid w:val="002E30E1"/>
    <w:rsid w:val="002E3E01"/>
    <w:rsid w:val="002E3E60"/>
    <w:rsid w:val="002E45DA"/>
    <w:rsid w:val="002E55EA"/>
    <w:rsid w:val="002E5741"/>
    <w:rsid w:val="002E5B5B"/>
    <w:rsid w:val="002E6DA3"/>
    <w:rsid w:val="002E73B2"/>
    <w:rsid w:val="002E781A"/>
    <w:rsid w:val="002F0F4F"/>
    <w:rsid w:val="002F1666"/>
    <w:rsid w:val="002F181D"/>
    <w:rsid w:val="002F1AB8"/>
    <w:rsid w:val="002F246A"/>
    <w:rsid w:val="002F2811"/>
    <w:rsid w:val="002F28B3"/>
    <w:rsid w:val="002F3A87"/>
    <w:rsid w:val="002F42A3"/>
    <w:rsid w:val="002F44A1"/>
    <w:rsid w:val="002F48CE"/>
    <w:rsid w:val="002F49CB"/>
    <w:rsid w:val="002F4BB3"/>
    <w:rsid w:val="002F5A2E"/>
    <w:rsid w:val="002F6496"/>
    <w:rsid w:val="002F6609"/>
    <w:rsid w:val="002F663B"/>
    <w:rsid w:val="002F6A7D"/>
    <w:rsid w:val="002F6B78"/>
    <w:rsid w:val="002F6D9F"/>
    <w:rsid w:val="002F6F93"/>
    <w:rsid w:val="002F718B"/>
    <w:rsid w:val="002F72C8"/>
    <w:rsid w:val="002F757C"/>
    <w:rsid w:val="002F7A6F"/>
    <w:rsid w:val="0030074C"/>
    <w:rsid w:val="00300BE7"/>
    <w:rsid w:val="003023AB"/>
    <w:rsid w:val="00302A54"/>
    <w:rsid w:val="003035F9"/>
    <w:rsid w:val="003048EE"/>
    <w:rsid w:val="0030667B"/>
    <w:rsid w:val="003078F2"/>
    <w:rsid w:val="00310FBA"/>
    <w:rsid w:val="00311630"/>
    <w:rsid w:val="00312088"/>
    <w:rsid w:val="003121B2"/>
    <w:rsid w:val="00312EBF"/>
    <w:rsid w:val="00312F7B"/>
    <w:rsid w:val="00313341"/>
    <w:rsid w:val="0031366F"/>
    <w:rsid w:val="00316392"/>
    <w:rsid w:val="00316A3D"/>
    <w:rsid w:val="00316F14"/>
    <w:rsid w:val="00316F82"/>
    <w:rsid w:val="00316FA9"/>
    <w:rsid w:val="003170A3"/>
    <w:rsid w:val="003203E3"/>
    <w:rsid w:val="00320D5A"/>
    <w:rsid w:val="00321171"/>
    <w:rsid w:val="00321449"/>
    <w:rsid w:val="00322069"/>
    <w:rsid w:val="0032276D"/>
    <w:rsid w:val="0032278E"/>
    <w:rsid w:val="00322A2C"/>
    <w:rsid w:val="00323240"/>
    <w:rsid w:val="00323736"/>
    <w:rsid w:val="003252A2"/>
    <w:rsid w:val="00326209"/>
    <w:rsid w:val="00326687"/>
    <w:rsid w:val="00327291"/>
    <w:rsid w:val="003313BE"/>
    <w:rsid w:val="00331BC4"/>
    <w:rsid w:val="00331D09"/>
    <w:rsid w:val="0033218F"/>
    <w:rsid w:val="00332F62"/>
    <w:rsid w:val="0033352C"/>
    <w:rsid w:val="00333569"/>
    <w:rsid w:val="00334820"/>
    <w:rsid w:val="00334B83"/>
    <w:rsid w:val="00334D39"/>
    <w:rsid w:val="00335C59"/>
    <w:rsid w:val="003362B8"/>
    <w:rsid w:val="0033635D"/>
    <w:rsid w:val="00336918"/>
    <w:rsid w:val="003369E2"/>
    <w:rsid w:val="00336CC8"/>
    <w:rsid w:val="00336F52"/>
    <w:rsid w:val="00336F87"/>
    <w:rsid w:val="003374BA"/>
    <w:rsid w:val="003379F9"/>
    <w:rsid w:val="00340531"/>
    <w:rsid w:val="00340AF4"/>
    <w:rsid w:val="00340E89"/>
    <w:rsid w:val="00341EBA"/>
    <w:rsid w:val="00341F42"/>
    <w:rsid w:val="003421F5"/>
    <w:rsid w:val="00342B1A"/>
    <w:rsid w:val="003434E5"/>
    <w:rsid w:val="003435AB"/>
    <w:rsid w:val="00343CF9"/>
    <w:rsid w:val="0034470E"/>
    <w:rsid w:val="00344895"/>
    <w:rsid w:val="00344A3B"/>
    <w:rsid w:val="00344A77"/>
    <w:rsid w:val="003450A7"/>
    <w:rsid w:val="003457A3"/>
    <w:rsid w:val="00345B91"/>
    <w:rsid w:val="0034601D"/>
    <w:rsid w:val="00346203"/>
    <w:rsid w:val="0034694D"/>
    <w:rsid w:val="003471AF"/>
    <w:rsid w:val="00347654"/>
    <w:rsid w:val="00347A37"/>
    <w:rsid w:val="00347BD3"/>
    <w:rsid w:val="00347F80"/>
    <w:rsid w:val="00350212"/>
    <w:rsid w:val="0035056E"/>
    <w:rsid w:val="003505BC"/>
    <w:rsid w:val="00350A42"/>
    <w:rsid w:val="00350E36"/>
    <w:rsid w:val="003514C9"/>
    <w:rsid w:val="0035154D"/>
    <w:rsid w:val="00352977"/>
    <w:rsid w:val="00352C40"/>
    <w:rsid w:val="00352E19"/>
    <w:rsid w:val="00353178"/>
    <w:rsid w:val="00353C29"/>
    <w:rsid w:val="00353C75"/>
    <w:rsid w:val="00353F58"/>
    <w:rsid w:val="00354F61"/>
    <w:rsid w:val="00356308"/>
    <w:rsid w:val="003568AF"/>
    <w:rsid w:val="00356987"/>
    <w:rsid w:val="0035787E"/>
    <w:rsid w:val="00360177"/>
    <w:rsid w:val="0036032E"/>
    <w:rsid w:val="0036057B"/>
    <w:rsid w:val="0036155B"/>
    <w:rsid w:val="00362F61"/>
    <w:rsid w:val="003632FB"/>
    <w:rsid w:val="00363A69"/>
    <w:rsid w:val="00364DF4"/>
    <w:rsid w:val="003651AE"/>
    <w:rsid w:val="00365598"/>
    <w:rsid w:val="00365FD8"/>
    <w:rsid w:val="00366622"/>
    <w:rsid w:val="00366818"/>
    <w:rsid w:val="00367099"/>
    <w:rsid w:val="003671ED"/>
    <w:rsid w:val="003672DA"/>
    <w:rsid w:val="00367CFF"/>
    <w:rsid w:val="00367DA4"/>
    <w:rsid w:val="00370789"/>
    <w:rsid w:val="003707DD"/>
    <w:rsid w:val="0037091E"/>
    <w:rsid w:val="00370F33"/>
    <w:rsid w:val="003714FB"/>
    <w:rsid w:val="00371AEC"/>
    <w:rsid w:val="00371EF2"/>
    <w:rsid w:val="00372363"/>
    <w:rsid w:val="00372708"/>
    <w:rsid w:val="003737CD"/>
    <w:rsid w:val="003760FD"/>
    <w:rsid w:val="0037637D"/>
    <w:rsid w:val="00376641"/>
    <w:rsid w:val="00377144"/>
    <w:rsid w:val="0037758B"/>
    <w:rsid w:val="0038035D"/>
    <w:rsid w:val="003806F9"/>
    <w:rsid w:val="00380C23"/>
    <w:rsid w:val="0038119D"/>
    <w:rsid w:val="003814E6"/>
    <w:rsid w:val="00381518"/>
    <w:rsid w:val="00381A83"/>
    <w:rsid w:val="00381D70"/>
    <w:rsid w:val="00382B24"/>
    <w:rsid w:val="00383C37"/>
    <w:rsid w:val="00383D9F"/>
    <w:rsid w:val="00384751"/>
    <w:rsid w:val="0038509B"/>
    <w:rsid w:val="00385276"/>
    <w:rsid w:val="00385AAD"/>
    <w:rsid w:val="00386B5E"/>
    <w:rsid w:val="0038795A"/>
    <w:rsid w:val="00387AAA"/>
    <w:rsid w:val="00387BBF"/>
    <w:rsid w:val="00387C95"/>
    <w:rsid w:val="00390133"/>
    <w:rsid w:val="003910A7"/>
    <w:rsid w:val="0039133D"/>
    <w:rsid w:val="00392094"/>
    <w:rsid w:val="0039254D"/>
    <w:rsid w:val="00392C55"/>
    <w:rsid w:val="00393181"/>
    <w:rsid w:val="00393EE4"/>
    <w:rsid w:val="00394D23"/>
    <w:rsid w:val="0039523B"/>
    <w:rsid w:val="003955F5"/>
    <w:rsid w:val="003959B4"/>
    <w:rsid w:val="0039735D"/>
    <w:rsid w:val="00397787"/>
    <w:rsid w:val="003A007D"/>
    <w:rsid w:val="003A00A4"/>
    <w:rsid w:val="003A06C8"/>
    <w:rsid w:val="003A0D5A"/>
    <w:rsid w:val="003A1912"/>
    <w:rsid w:val="003A2B9B"/>
    <w:rsid w:val="003A2ECD"/>
    <w:rsid w:val="003A34C1"/>
    <w:rsid w:val="003A36A6"/>
    <w:rsid w:val="003A37DA"/>
    <w:rsid w:val="003A3CEB"/>
    <w:rsid w:val="003A4385"/>
    <w:rsid w:val="003A650C"/>
    <w:rsid w:val="003A655D"/>
    <w:rsid w:val="003A6723"/>
    <w:rsid w:val="003A741B"/>
    <w:rsid w:val="003A7C01"/>
    <w:rsid w:val="003A7DB0"/>
    <w:rsid w:val="003B021B"/>
    <w:rsid w:val="003B0A7A"/>
    <w:rsid w:val="003B13C0"/>
    <w:rsid w:val="003B1955"/>
    <w:rsid w:val="003B2AA1"/>
    <w:rsid w:val="003B2BCF"/>
    <w:rsid w:val="003B2D0C"/>
    <w:rsid w:val="003B3071"/>
    <w:rsid w:val="003B32DD"/>
    <w:rsid w:val="003B35DC"/>
    <w:rsid w:val="003B39A1"/>
    <w:rsid w:val="003B3DE9"/>
    <w:rsid w:val="003B462B"/>
    <w:rsid w:val="003B4863"/>
    <w:rsid w:val="003B4D4F"/>
    <w:rsid w:val="003B5134"/>
    <w:rsid w:val="003B577E"/>
    <w:rsid w:val="003B64B2"/>
    <w:rsid w:val="003B674B"/>
    <w:rsid w:val="003B7BD6"/>
    <w:rsid w:val="003C0FE5"/>
    <w:rsid w:val="003C1518"/>
    <w:rsid w:val="003C1FDE"/>
    <w:rsid w:val="003C2880"/>
    <w:rsid w:val="003C3E34"/>
    <w:rsid w:val="003C3F14"/>
    <w:rsid w:val="003C41BB"/>
    <w:rsid w:val="003C52DC"/>
    <w:rsid w:val="003C6315"/>
    <w:rsid w:val="003C64BF"/>
    <w:rsid w:val="003C6DBD"/>
    <w:rsid w:val="003C7AC9"/>
    <w:rsid w:val="003D0475"/>
    <w:rsid w:val="003D12A5"/>
    <w:rsid w:val="003D1E81"/>
    <w:rsid w:val="003D22B5"/>
    <w:rsid w:val="003D23CE"/>
    <w:rsid w:val="003D2532"/>
    <w:rsid w:val="003D2579"/>
    <w:rsid w:val="003D2DBC"/>
    <w:rsid w:val="003D2EF7"/>
    <w:rsid w:val="003D34E6"/>
    <w:rsid w:val="003D3B12"/>
    <w:rsid w:val="003D44AF"/>
    <w:rsid w:val="003D4881"/>
    <w:rsid w:val="003D62EA"/>
    <w:rsid w:val="003D651A"/>
    <w:rsid w:val="003D658F"/>
    <w:rsid w:val="003D71F1"/>
    <w:rsid w:val="003D7682"/>
    <w:rsid w:val="003D7BAC"/>
    <w:rsid w:val="003E0160"/>
    <w:rsid w:val="003E16EE"/>
    <w:rsid w:val="003E1E67"/>
    <w:rsid w:val="003E277D"/>
    <w:rsid w:val="003E2CB8"/>
    <w:rsid w:val="003E3399"/>
    <w:rsid w:val="003E382E"/>
    <w:rsid w:val="003E4161"/>
    <w:rsid w:val="003E4318"/>
    <w:rsid w:val="003E44C2"/>
    <w:rsid w:val="003E4692"/>
    <w:rsid w:val="003E48D1"/>
    <w:rsid w:val="003E6CF7"/>
    <w:rsid w:val="003E6DC2"/>
    <w:rsid w:val="003E74C1"/>
    <w:rsid w:val="003E761F"/>
    <w:rsid w:val="003E7914"/>
    <w:rsid w:val="003E7F79"/>
    <w:rsid w:val="003F0B40"/>
    <w:rsid w:val="003F0C5A"/>
    <w:rsid w:val="003F17E0"/>
    <w:rsid w:val="003F25DD"/>
    <w:rsid w:val="003F263A"/>
    <w:rsid w:val="003F26E5"/>
    <w:rsid w:val="003F2BA4"/>
    <w:rsid w:val="003F2C49"/>
    <w:rsid w:val="003F2D20"/>
    <w:rsid w:val="003F459A"/>
    <w:rsid w:val="003F495D"/>
    <w:rsid w:val="003F498F"/>
    <w:rsid w:val="003F5703"/>
    <w:rsid w:val="003F5D31"/>
    <w:rsid w:val="003F62FA"/>
    <w:rsid w:val="003F69E0"/>
    <w:rsid w:val="003F6A8A"/>
    <w:rsid w:val="003F6DCD"/>
    <w:rsid w:val="003F7987"/>
    <w:rsid w:val="003F7DE7"/>
    <w:rsid w:val="00400153"/>
    <w:rsid w:val="00400457"/>
    <w:rsid w:val="00400519"/>
    <w:rsid w:val="00401AB1"/>
    <w:rsid w:val="0040226D"/>
    <w:rsid w:val="004025FE"/>
    <w:rsid w:val="0040277D"/>
    <w:rsid w:val="00403D71"/>
    <w:rsid w:val="00405715"/>
    <w:rsid w:val="00405A87"/>
    <w:rsid w:val="00405D1B"/>
    <w:rsid w:val="00407CBA"/>
    <w:rsid w:val="004103FC"/>
    <w:rsid w:val="00410530"/>
    <w:rsid w:val="00410EBF"/>
    <w:rsid w:val="0041180E"/>
    <w:rsid w:val="004119EC"/>
    <w:rsid w:val="00411D3D"/>
    <w:rsid w:val="00412A86"/>
    <w:rsid w:val="00412BFA"/>
    <w:rsid w:val="00412E98"/>
    <w:rsid w:val="0041315A"/>
    <w:rsid w:val="00413E70"/>
    <w:rsid w:val="00415175"/>
    <w:rsid w:val="00415217"/>
    <w:rsid w:val="004153AA"/>
    <w:rsid w:val="00415B10"/>
    <w:rsid w:val="00415DB0"/>
    <w:rsid w:val="00415EAC"/>
    <w:rsid w:val="004167CA"/>
    <w:rsid w:val="00416C34"/>
    <w:rsid w:val="00416EC3"/>
    <w:rsid w:val="00420B3E"/>
    <w:rsid w:val="00420CE5"/>
    <w:rsid w:val="0042213F"/>
    <w:rsid w:val="00422C3E"/>
    <w:rsid w:val="00422D8A"/>
    <w:rsid w:val="004232F1"/>
    <w:rsid w:val="00424773"/>
    <w:rsid w:val="004247D6"/>
    <w:rsid w:val="004255E5"/>
    <w:rsid w:val="004257EF"/>
    <w:rsid w:val="00425F72"/>
    <w:rsid w:val="00426898"/>
    <w:rsid w:val="00427829"/>
    <w:rsid w:val="0043009A"/>
    <w:rsid w:val="004302C1"/>
    <w:rsid w:val="00430CE5"/>
    <w:rsid w:val="00431410"/>
    <w:rsid w:val="00432DFF"/>
    <w:rsid w:val="00433A11"/>
    <w:rsid w:val="00433AA4"/>
    <w:rsid w:val="00434000"/>
    <w:rsid w:val="0043436B"/>
    <w:rsid w:val="00434D87"/>
    <w:rsid w:val="00435362"/>
    <w:rsid w:val="00435B25"/>
    <w:rsid w:val="00435D95"/>
    <w:rsid w:val="004365D2"/>
    <w:rsid w:val="00436F42"/>
    <w:rsid w:val="00436F68"/>
    <w:rsid w:val="004376BA"/>
    <w:rsid w:val="00437923"/>
    <w:rsid w:val="00437D5C"/>
    <w:rsid w:val="00440119"/>
    <w:rsid w:val="00440411"/>
    <w:rsid w:val="00440787"/>
    <w:rsid w:val="00440883"/>
    <w:rsid w:val="004409D6"/>
    <w:rsid w:val="00440BF4"/>
    <w:rsid w:val="00440D46"/>
    <w:rsid w:val="00441F79"/>
    <w:rsid w:val="0044234F"/>
    <w:rsid w:val="004428F2"/>
    <w:rsid w:val="00443213"/>
    <w:rsid w:val="004436FB"/>
    <w:rsid w:val="004438D2"/>
    <w:rsid w:val="00443997"/>
    <w:rsid w:val="00443A9B"/>
    <w:rsid w:val="0044432F"/>
    <w:rsid w:val="00445FD0"/>
    <w:rsid w:val="0044690F"/>
    <w:rsid w:val="00446A93"/>
    <w:rsid w:val="00446BDE"/>
    <w:rsid w:val="0044757D"/>
    <w:rsid w:val="00447582"/>
    <w:rsid w:val="00447D5E"/>
    <w:rsid w:val="00450E77"/>
    <w:rsid w:val="00451C47"/>
    <w:rsid w:val="004525D7"/>
    <w:rsid w:val="00452958"/>
    <w:rsid w:val="004529E1"/>
    <w:rsid w:val="004534DA"/>
    <w:rsid w:val="00453568"/>
    <w:rsid w:val="00453A9C"/>
    <w:rsid w:val="00453B15"/>
    <w:rsid w:val="00453C32"/>
    <w:rsid w:val="00453E47"/>
    <w:rsid w:val="004541AF"/>
    <w:rsid w:val="00454E45"/>
    <w:rsid w:val="004555D7"/>
    <w:rsid w:val="004558D4"/>
    <w:rsid w:val="00455935"/>
    <w:rsid w:val="004559CE"/>
    <w:rsid w:val="0045629E"/>
    <w:rsid w:val="00457248"/>
    <w:rsid w:val="00457390"/>
    <w:rsid w:val="00457573"/>
    <w:rsid w:val="004605C6"/>
    <w:rsid w:val="0046077C"/>
    <w:rsid w:val="00460DFE"/>
    <w:rsid w:val="004610D2"/>
    <w:rsid w:val="004616F7"/>
    <w:rsid w:val="004623E5"/>
    <w:rsid w:val="00463002"/>
    <w:rsid w:val="004633A5"/>
    <w:rsid w:val="00463412"/>
    <w:rsid w:val="0046351B"/>
    <w:rsid w:val="004637A4"/>
    <w:rsid w:val="00464F03"/>
    <w:rsid w:val="00464F20"/>
    <w:rsid w:val="00465D6D"/>
    <w:rsid w:val="00466F74"/>
    <w:rsid w:val="00466F99"/>
    <w:rsid w:val="00467A10"/>
    <w:rsid w:val="00467CBA"/>
    <w:rsid w:val="00471653"/>
    <w:rsid w:val="004717AF"/>
    <w:rsid w:val="00471DD2"/>
    <w:rsid w:val="0047285B"/>
    <w:rsid w:val="00473876"/>
    <w:rsid w:val="0047625A"/>
    <w:rsid w:val="004768BB"/>
    <w:rsid w:val="00476EFC"/>
    <w:rsid w:val="00480D66"/>
    <w:rsid w:val="00480FA7"/>
    <w:rsid w:val="00481322"/>
    <w:rsid w:val="00481987"/>
    <w:rsid w:val="00481D27"/>
    <w:rsid w:val="00481DA6"/>
    <w:rsid w:val="00482CD1"/>
    <w:rsid w:val="00483019"/>
    <w:rsid w:val="00483153"/>
    <w:rsid w:val="004832FE"/>
    <w:rsid w:val="0048339E"/>
    <w:rsid w:val="0048376F"/>
    <w:rsid w:val="00483C83"/>
    <w:rsid w:val="00484684"/>
    <w:rsid w:val="0048575D"/>
    <w:rsid w:val="0048609B"/>
    <w:rsid w:val="004860AC"/>
    <w:rsid w:val="004861B9"/>
    <w:rsid w:val="00486BB5"/>
    <w:rsid w:val="004902FF"/>
    <w:rsid w:val="00490981"/>
    <w:rsid w:val="00490C06"/>
    <w:rsid w:val="004916BF"/>
    <w:rsid w:val="00491758"/>
    <w:rsid w:val="00491D54"/>
    <w:rsid w:val="00491F16"/>
    <w:rsid w:val="0049203C"/>
    <w:rsid w:val="00492632"/>
    <w:rsid w:val="00493156"/>
    <w:rsid w:val="00493470"/>
    <w:rsid w:val="00493B83"/>
    <w:rsid w:val="00493C1B"/>
    <w:rsid w:val="00495A9C"/>
    <w:rsid w:val="00496C8C"/>
    <w:rsid w:val="00497133"/>
    <w:rsid w:val="00497948"/>
    <w:rsid w:val="004A0766"/>
    <w:rsid w:val="004A0AFC"/>
    <w:rsid w:val="004A10E6"/>
    <w:rsid w:val="004A1281"/>
    <w:rsid w:val="004A1320"/>
    <w:rsid w:val="004A2C9D"/>
    <w:rsid w:val="004A325E"/>
    <w:rsid w:val="004A3D58"/>
    <w:rsid w:val="004A40E4"/>
    <w:rsid w:val="004A4230"/>
    <w:rsid w:val="004A42DA"/>
    <w:rsid w:val="004A534A"/>
    <w:rsid w:val="004A55F4"/>
    <w:rsid w:val="004A5C7E"/>
    <w:rsid w:val="004A5FD4"/>
    <w:rsid w:val="004A60FE"/>
    <w:rsid w:val="004A78DD"/>
    <w:rsid w:val="004A7A5F"/>
    <w:rsid w:val="004B0222"/>
    <w:rsid w:val="004B0826"/>
    <w:rsid w:val="004B0B5D"/>
    <w:rsid w:val="004B134E"/>
    <w:rsid w:val="004B18B8"/>
    <w:rsid w:val="004B1CE9"/>
    <w:rsid w:val="004B229B"/>
    <w:rsid w:val="004B2DB2"/>
    <w:rsid w:val="004B3941"/>
    <w:rsid w:val="004B3979"/>
    <w:rsid w:val="004B4556"/>
    <w:rsid w:val="004B4584"/>
    <w:rsid w:val="004B4A33"/>
    <w:rsid w:val="004B50C7"/>
    <w:rsid w:val="004B608E"/>
    <w:rsid w:val="004B7E2F"/>
    <w:rsid w:val="004C12C4"/>
    <w:rsid w:val="004C13DB"/>
    <w:rsid w:val="004C1588"/>
    <w:rsid w:val="004C185F"/>
    <w:rsid w:val="004C1C9C"/>
    <w:rsid w:val="004C3252"/>
    <w:rsid w:val="004C405A"/>
    <w:rsid w:val="004C575C"/>
    <w:rsid w:val="004C6C69"/>
    <w:rsid w:val="004C7327"/>
    <w:rsid w:val="004C7422"/>
    <w:rsid w:val="004C755D"/>
    <w:rsid w:val="004C7B56"/>
    <w:rsid w:val="004C7E0C"/>
    <w:rsid w:val="004D0DF3"/>
    <w:rsid w:val="004D11EA"/>
    <w:rsid w:val="004D1FFB"/>
    <w:rsid w:val="004D26C9"/>
    <w:rsid w:val="004D30B1"/>
    <w:rsid w:val="004D3277"/>
    <w:rsid w:val="004D3743"/>
    <w:rsid w:val="004D388B"/>
    <w:rsid w:val="004D514D"/>
    <w:rsid w:val="004D59C0"/>
    <w:rsid w:val="004D73BC"/>
    <w:rsid w:val="004D76BE"/>
    <w:rsid w:val="004E00DC"/>
    <w:rsid w:val="004E0311"/>
    <w:rsid w:val="004E0484"/>
    <w:rsid w:val="004E0603"/>
    <w:rsid w:val="004E0C51"/>
    <w:rsid w:val="004E11D8"/>
    <w:rsid w:val="004E1363"/>
    <w:rsid w:val="004E1A57"/>
    <w:rsid w:val="004E1E6D"/>
    <w:rsid w:val="004E232E"/>
    <w:rsid w:val="004E2A3F"/>
    <w:rsid w:val="004E2ECF"/>
    <w:rsid w:val="004E5251"/>
    <w:rsid w:val="004E5310"/>
    <w:rsid w:val="004E53DD"/>
    <w:rsid w:val="004E5507"/>
    <w:rsid w:val="004E5B1A"/>
    <w:rsid w:val="004E5C70"/>
    <w:rsid w:val="004E68A9"/>
    <w:rsid w:val="004E69BD"/>
    <w:rsid w:val="004E778F"/>
    <w:rsid w:val="004E7DCE"/>
    <w:rsid w:val="004F0181"/>
    <w:rsid w:val="004F03F5"/>
    <w:rsid w:val="004F04BC"/>
    <w:rsid w:val="004F1CEF"/>
    <w:rsid w:val="004F4537"/>
    <w:rsid w:val="004F4631"/>
    <w:rsid w:val="005007ED"/>
    <w:rsid w:val="00500E3E"/>
    <w:rsid w:val="0050144C"/>
    <w:rsid w:val="0050149C"/>
    <w:rsid w:val="00501578"/>
    <w:rsid w:val="005017B1"/>
    <w:rsid w:val="00501FBF"/>
    <w:rsid w:val="00502650"/>
    <w:rsid w:val="00502F1C"/>
    <w:rsid w:val="005030F8"/>
    <w:rsid w:val="00503979"/>
    <w:rsid w:val="00503BB8"/>
    <w:rsid w:val="00504D5A"/>
    <w:rsid w:val="00505B35"/>
    <w:rsid w:val="00505C2E"/>
    <w:rsid w:val="00505DB6"/>
    <w:rsid w:val="005064E8"/>
    <w:rsid w:val="005073B4"/>
    <w:rsid w:val="00507DEF"/>
    <w:rsid w:val="00510239"/>
    <w:rsid w:val="00510488"/>
    <w:rsid w:val="0051060D"/>
    <w:rsid w:val="00510DA5"/>
    <w:rsid w:val="005112CC"/>
    <w:rsid w:val="00512AF0"/>
    <w:rsid w:val="00512B8E"/>
    <w:rsid w:val="0051489B"/>
    <w:rsid w:val="005149B2"/>
    <w:rsid w:val="00514B01"/>
    <w:rsid w:val="00514D3F"/>
    <w:rsid w:val="005159D4"/>
    <w:rsid w:val="00516D79"/>
    <w:rsid w:val="0051710A"/>
    <w:rsid w:val="00517F85"/>
    <w:rsid w:val="005200D8"/>
    <w:rsid w:val="005204A6"/>
    <w:rsid w:val="005204DF"/>
    <w:rsid w:val="0052091B"/>
    <w:rsid w:val="005210C7"/>
    <w:rsid w:val="00521ECB"/>
    <w:rsid w:val="0052251F"/>
    <w:rsid w:val="00522534"/>
    <w:rsid w:val="00522864"/>
    <w:rsid w:val="00523320"/>
    <w:rsid w:val="00524CD1"/>
    <w:rsid w:val="00525511"/>
    <w:rsid w:val="0052556F"/>
    <w:rsid w:val="0052578F"/>
    <w:rsid w:val="00525A8F"/>
    <w:rsid w:val="00525C72"/>
    <w:rsid w:val="0052607C"/>
    <w:rsid w:val="00526838"/>
    <w:rsid w:val="00526A81"/>
    <w:rsid w:val="00527A26"/>
    <w:rsid w:val="0053030E"/>
    <w:rsid w:val="005303C3"/>
    <w:rsid w:val="005307EE"/>
    <w:rsid w:val="00530B0B"/>
    <w:rsid w:val="00530F8A"/>
    <w:rsid w:val="00531176"/>
    <w:rsid w:val="00531AFF"/>
    <w:rsid w:val="00531C6C"/>
    <w:rsid w:val="00531E8E"/>
    <w:rsid w:val="00531FCF"/>
    <w:rsid w:val="00532693"/>
    <w:rsid w:val="00532D84"/>
    <w:rsid w:val="005340A1"/>
    <w:rsid w:val="00534998"/>
    <w:rsid w:val="00534CEF"/>
    <w:rsid w:val="00536168"/>
    <w:rsid w:val="005362AF"/>
    <w:rsid w:val="00536D9E"/>
    <w:rsid w:val="00537606"/>
    <w:rsid w:val="00537BDF"/>
    <w:rsid w:val="005400F0"/>
    <w:rsid w:val="00540D88"/>
    <w:rsid w:val="005413FE"/>
    <w:rsid w:val="005416D7"/>
    <w:rsid w:val="00541801"/>
    <w:rsid w:val="0054304B"/>
    <w:rsid w:val="00543371"/>
    <w:rsid w:val="005435A5"/>
    <w:rsid w:val="00543E50"/>
    <w:rsid w:val="00545379"/>
    <w:rsid w:val="00545637"/>
    <w:rsid w:val="00546B72"/>
    <w:rsid w:val="00546D56"/>
    <w:rsid w:val="005472E9"/>
    <w:rsid w:val="0054738B"/>
    <w:rsid w:val="005502E9"/>
    <w:rsid w:val="00550557"/>
    <w:rsid w:val="005505A0"/>
    <w:rsid w:val="00550C34"/>
    <w:rsid w:val="00552547"/>
    <w:rsid w:val="00552DC9"/>
    <w:rsid w:val="00553454"/>
    <w:rsid w:val="00553B9C"/>
    <w:rsid w:val="00553C46"/>
    <w:rsid w:val="00553D21"/>
    <w:rsid w:val="00554091"/>
    <w:rsid w:val="00555645"/>
    <w:rsid w:val="005558B7"/>
    <w:rsid w:val="0055595C"/>
    <w:rsid w:val="00555A1A"/>
    <w:rsid w:val="00555B3D"/>
    <w:rsid w:val="00556183"/>
    <w:rsid w:val="00556D47"/>
    <w:rsid w:val="0055708E"/>
    <w:rsid w:val="005576FE"/>
    <w:rsid w:val="00560951"/>
    <w:rsid w:val="00560BB5"/>
    <w:rsid w:val="0056121F"/>
    <w:rsid w:val="00561756"/>
    <w:rsid w:val="005618C2"/>
    <w:rsid w:val="00561DF2"/>
    <w:rsid w:val="00561F62"/>
    <w:rsid w:val="00562AD9"/>
    <w:rsid w:val="00563CE5"/>
    <w:rsid w:val="005648E4"/>
    <w:rsid w:val="00564C21"/>
    <w:rsid w:val="0056594F"/>
    <w:rsid w:val="00565CC3"/>
    <w:rsid w:val="00565D81"/>
    <w:rsid w:val="0056619D"/>
    <w:rsid w:val="00566CF5"/>
    <w:rsid w:val="005705A1"/>
    <w:rsid w:val="00570748"/>
    <w:rsid w:val="0057271C"/>
    <w:rsid w:val="005739FC"/>
    <w:rsid w:val="00573D07"/>
    <w:rsid w:val="005740C7"/>
    <w:rsid w:val="00575485"/>
    <w:rsid w:val="00576077"/>
    <w:rsid w:val="005767DF"/>
    <w:rsid w:val="005801D6"/>
    <w:rsid w:val="00580814"/>
    <w:rsid w:val="005810F2"/>
    <w:rsid w:val="00581CA6"/>
    <w:rsid w:val="005836E0"/>
    <w:rsid w:val="00583BE4"/>
    <w:rsid w:val="0058509B"/>
    <w:rsid w:val="005852F6"/>
    <w:rsid w:val="00585324"/>
    <w:rsid w:val="00585735"/>
    <w:rsid w:val="00585892"/>
    <w:rsid w:val="00585B2E"/>
    <w:rsid w:val="00586583"/>
    <w:rsid w:val="00586A71"/>
    <w:rsid w:val="00586ADA"/>
    <w:rsid w:val="0058744A"/>
    <w:rsid w:val="00587659"/>
    <w:rsid w:val="00587FE6"/>
    <w:rsid w:val="00590CA9"/>
    <w:rsid w:val="00590D42"/>
    <w:rsid w:val="0059261C"/>
    <w:rsid w:val="00592C66"/>
    <w:rsid w:val="00592E43"/>
    <w:rsid w:val="00593C34"/>
    <w:rsid w:val="005949DC"/>
    <w:rsid w:val="00595C8D"/>
    <w:rsid w:val="00596178"/>
    <w:rsid w:val="00596593"/>
    <w:rsid w:val="005971DF"/>
    <w:rsid w:val="00597279"/>
    <w:rsid w:val="0059762B"/>
    <w:rsid w:val="005976A1"/>
    <w:rsid w:val="005A09EF"/>
    <w:rsid w:val="005A0CC5"/>
    <w:rsid w:val="005A10C0"/>
    <w:rsid w:val="005A16B1"/>
    <w:rsid w:val="005A1AFF"/>
    <w:rsid w:val="005A23F3"/>
    <w:rsid w:val="005A2726"/>
    <w:rsid w:val="005A2C1C"/>
    <w:rsid w:val="005A2F49"/>
    <w:rsid w:val="005A3AD0"/>
    <w:rsid w:val="005A3D2B"/>
    <w:rsid w:val="005A526C"/>
    <w:rsid w:val="005A58D3"/>
    <w:rsid w:val="005A5CC6"/>
    <w:rsid w:val="005A5E2F"/>
    <w:rsid w:val="005A60B6"/>
    <w:rsid w:val="005A6D44"/>
    <w:rsid w:val="005A728A"/>
    <w:rsid w:val="005A77CB"/>
    <w:rsid w:val="005A7968"/>
    <w:rsid w:val="005A799A"/>
    <w:rsid w:val="005B00E3"/>
    <w:rsid w:val="005B1AC7"/>
    <w:rsid w:val="005B1EE3"/>
    <w:rsid w:val="005B21AA"/>
    <w:rsid w:val="005B36C9"/>
    <w:rsid w:val="005B3C31"/>
    <w:rsid w:val="005B3D08"/>
    <w:rsid w:val="005B4D7D"/>
    <w:rsid w:val="005B557A"/>
    <w:rsid w:val="005B56DE"/>
    <w:rsid w:val="005B5F5A"/>
    <w:rsid w:val="005B772C"/>
    <w:rsid w:val="005B7E5A"/>
    <w:rsid w:val="005C05B7"/>
    <w:rsid w:val="005C10BB"/>
    <w:rsid w:val="005C1254"/>
    <w:rsid w:val="005C1A14"/>
    <w:rsid w:val="005C1E3C"/>
    <w:rsid w:val="005C2098"/>
    <w:rsid w:val="005C303F"/>
    <w:rsid w:val="005C30F6"/>
    <w:rsid w:val="005C409F"/>
    <w:rsid w:val="005C5057"/>
    <w:rsid w:val="005C5910"/>
    <w:rsid w:val="005C60E1"/>
    <w:rsid w:val="005C64A5"/>
    <w:rsid w:val="005C6A87"/>
    <w:rsid w:val="005C6CBE"/>
    <w:rsid w:val="005C6D29"/>
    <w:rsid w:val="005D019F"/>
    <w:rsid w:val="005D06E1"/>
    <w:rsid w:val="005D0E88"/>
    <w:rsid w:val="005D14E1"/>
    <w:rsid w:val="005D18C0"/>
    <w:rsid w:val="005D20E1"/>
    <w:rsid w:val="005D26B2"/>
    <w:rsid w:val="005D3440"/>
    <w:rsid w:val="005D3B80"/>
    <w:rsid w:val="005D440A"/>
    <w:rsid w:val="005D49B6"/>
    <w:rsid w:val="005D4C8B"/>
    <w:rsid w:val="005D4ED1"/>
    <w:rsid w:val="005D4F6A"/>
    <w:rsid w:val="005D4FB3"/>
    <w:rsid w:val="005D529E"/>
    <w:rsid w:val="005D5359"/>
    <w:rsid w:val="005D574A"/>
    <w:rsid w:val="005D57B2"/>
    <w:rsid w:val="005D65D8"/>
    <w:rsid w:val="005D6FBC"/>
    <w:rsid w:val="005D7F8F"/>
    <w:rsid w:val="005E0821"/>
    <w:rsid w:val="005E089F"/>
    <w:rsid w:val="005E12E0"/>
    <w:rsid w:val="005E2CEB"/>
    <w:rsid w:val="005E342C"/>
    <w:rsid w:val="005E35E5"/>
    <w:rsid w:val="005E4262"/>
    <w:rsid w:val="005E46BD"/>
    <w:rsid w:val="005E4BDF"/>
    <w:rsid w:val="005E4DFE"/>
    <w:rsid w:val="005E52BF"/>
    <w:rsid w:val="005E6633"/>
    <w:rsid w:val="005E6A28"/>
    <w:rsid w:val="005E70CF"/>
    <w:rsid w:val="005E750A"/>
    <w:rsid w:val="005E751D"/>
    <w:rsid w:val="005E7CC4"/>
    <w:rsid w:val="005F01AF"/>
    <w:rsid w:val="005F0220"/>
    <w:rsid w:val="005F097D"/>
    <w:rsid w:val="005F224F"/>
    <w:rsid w:val="005F35B9"/>
    <w:rsid w:val="005F4027"/>
    <w:rsid w:val="005F436E"/>
    <w:rsid w:val="005F44DC"/>
    <w:rsid w:val="005F491B"/>
    <w:rsid w:val="005F50E9"/>
    <w:rsid w:val="005F51B6"/>
    <w:rsid w:val="005F5B4D"/>
    <w:rsid w:val="005F5E0F"/>
    <w:rsid w:val="005F7B50"/>
    <w:rsid w:val="00600A1B"/>
    <w:rsid w:val="0060176F"/>
    <w:rsid w:val="0060229D"/>
    <w:rsid w:val="00602560"/>
    <w:rsid w:val="00603A11"/>
    <w:rsid w:val="00603F14"/>
    <w:rsid w:val="00604496"/>
    <w:rsid w:val="006046B6"/>
    <w:rsid w:val="00604872"/>
    <w:rsid w:val="00604B74"/>
    <w:rsid w:val="00604C25"/>
    <w:rsid w:val="00605A85"/>
    <w:rsid w:val="0060733C"/>
    <w:rsid w:val="006073BA"/>
    <w:rsid w:val="006079B5"/>
    <w:rsid w:val="00607A00"/>
    <w:rsid w:val="00611414"/>
    <w:rsid w:val="006116A7"/>
    <w:rsid w:val="006129DB"/>
    <w:rsid w:val="006145BE"/>
    <w:rsid w:val="00615EAB"/>
    <w:rsid w:val="006161FD"/>
    <w:rsid w:val="006166C3"/>
    <w:rsid w:val="00616D80"/>
    <w:rsid w:val="00616E36"/>
    <w:rsid w:val="00617016"/>
    <w:rsid w:val="00617AB2"/>
    <w:rsid w:val="00621542"/>
    <w:rsid w:val="006218C2"/>
    <w:rsid w:val="00622256"/>
    <w:rsid w:val="0062237E"/>
    <w:rsid w:val="00622753"/>
    <w:rsid w:val="00623CDE"/>
    <w:rsid w:val="00623E5B"/>
    <w:rsid w:val="0062465D"/>
    <w:rsid w:val="00624F70"/>
    <w:rsid w:val="0062543A"/>
    <w:rsid w:val="00625728"/>
    <w:rsid w:val="00625BA9"/>
    <w:rsid w:val="00625F4E"/>
    <w:rsid w:val="00626008"/>
    <w:rsid w:val="00626074"/>
    <w:rsid w:val="00626555"/>
    <w:rsid w:val="006265B5"/>
    <w:rsid w:val="006272B8"/>
    <w:rsid w:val="006276E5"/>
    <w:rsid w:val="00627B39"/>
    <w:rsid w:val="00631055"/>
    <w:rsid w:val="0063153B"/>
    <w:rsid w:val="00631CFC"/>
    <w:rsid w:val="00631F4E"/>
    <w:rsid w:val="00632748"/>
    <w:rsid w:val="00633ADA"/>
    <w:rsid w:val="00633E0A"/>
    <w:rsid w:val="00633FB1"/>
    <w:rsid w:val="0063496C"/>
    <w:rsid w:val="006355F9"/>
    <w:rsid w:val="006357B8"/>
    <w:rsid w:val="00636BD5"/>
    <w:rsid w:val="00637590"/>
    <w:rsid w:val="00637D18"/>
    <w:rsid w:val="00641695"/>
    <w:rsid w:val="00641A1F"/>
    <w:rsid w:val="00642E7F"/>
    <w:rsid w:val="006430C3"/>
    <w:rsid w:val="006436FD"/>
    <w:rsid w:val="006445B9"/>
    <w:rsid w:val="00644BE4"/>
    <w:rsid w:val="00644CD7"/>
    <w:rsid w:val="006456B5"/>
    <w:rsid w:val="00645F37"/>
    <w:rsid w:val="00646313"/>
    <w:rsid w:val="00646523"/>
    <w:rsid w:val="0064762A"/>
    <w:rsid w:val="006478B6"/>
    <w:rsid w:val="00650BE6"/>
    <w:rsid w:val="00650D9F"/>
    <w:rsid w:val="0065169A"/>
    <w:rsid w:val="006516CE"/>
    <w:rsid w:val="00651A31"/>
    <w:rsid w:val="00651F24"/>
    <w:rsid w:val="00652011"/>
    <w:rsid w:val="00652AC2"/>
    <w:rsid w:val="006539B2"/>
    <w:rsid w:val="00653CF5"/>
    <w:rsid w:val="0065483E"/>
    <w:rsid w:val="0065497E"/>
    <w:rsid w:val="006551F2"/>
    <w:rsid w:val="00655268"/>
    <w:rsid w:val="00655B41"/>
    <w:rsid w:val="006561A2"/>
    <w:rsid w:val="0065645A"/>
    <w:rsid w:val="00656DD5"/>
    <w:rsid w:val="00657192"/>
    <w:rsid w:val="006575B2"/>
    <w:rsid w:val="00657A5A"/>
    <w:rsid w:val="00657FF1"/>
    <w:rsid w:val="0066198E"/>
    <w:rsid w:val="006626A1"/>
    <w:rsid w:val="00662965"/>
    <w:rsid w:val="00663094"/>
    <w:rsid w:val="006638BB"/>
    <w:rsid w:val="0066483E"/>
    <w:rsid w:val="00664B5A"/>
    <w:rsid w:val="006651DA"/>
    <w:rsid w:val="0066572C"/>
    <w:rsid w:val="00665733"/>
    <w:rsid w:val="00665B74"/>
    <w:rsid w:val="006664D3"/>
    <w:rsid w:val="006669C3"/>
    <w:rsid w:val="006669EC"/>
    <w:rsid w:val="006700BE"/>
    <w:rsid w:val="006702AC"/>
    <w:rsid w:val="006713B2"/>
    <w:rsid w:val="00671D13"/>
    <w:rsid w:val="00671E25"/>
    <w:rsid w:val="00671F50"/>
    <w:rsid w:val="0067284D"/>
    <w:rsid w:val="00672AA7"/>
    <w:rsid w:val="00673180"/>
    <w:rsid w:val="006734CC"/>
    <w:rsid w:val="00674DA5"/>
    <w:rsid w:val="006750D1"/>
    <w:rsid w:val="0067571C"/>
    <w:rsid w:val="0067591E"/>
    <w:rsid w:val="00675ACE"/>
    <w:rsid w:val="00676814"/>
    <w:rsid w:val="006772DB"/>
    <w:rsid w:val="006777D6"/>
    <w:rsid w:val="00677918"/>
    <w:rsid w:val="00680C64"/>
    <w:rsid w:val="00680E8D"/>
    <w:rsid w:val="0068191A"/>
    <w:rsid w:val="00681B08"/>
    <w:rsid w:val="00681D81"/>
    <w:rsid w:val="00681FD2"/>
    <w:rsid w:val="0068403E"/>
    <w:rsid w:val="006842D7"/>
    <w:rsid w:val="0068493A"/>
    <w:rsid w:val="00684A13"/>
    <w:rsid w:val="00684A34"/>
    <w:rsid w:val="00684DE5"/>
    <w:rsid w:val="00684F76"/>
    <w:rsid w:val="006867B4"/>
    <w:rsid w:val="00687D22"/>
    <w:rsid w:val="0069020A"/>
    <w:rsid w:val="0069130D"/>
    <w:rsid w:val="006915F5"/>
    <w:rsid w:val="00691937"/>
    <w:rsid w:val="0069295C"/>
    <w:rsid w:val="00693023"/>
    <w:rsid w:val="00694FF0"/>
    <w:rsid w:val="0069503B"/>
    <w:rsid w:val="006963AF"/>
    <w:rsid w:val="0069752D"/>
    <w:rsid w:val="00697790"/>
    <w:rsid w:val="006A054B"/>
    <w:rsid w:val="006A088E"/>
    <w:rsid w:val="006A096D"/>
    <w:rsid w:val="006A12D1"/>
    <w:rsid w:val="006A255F"/>
    <w:rsid w:val="006A2818"/>
    <w:rsid w:val="006A2A1D"/>
    <w:rsid w:val="006A3523"/>
    <w:rsid w:val="006A49A9"/>
    <w:rsid w:val="006A5DB5"/>
    <w:rsid w:val="006A5FF8"/>
    <w:rsid w:val="006A6A2F"/>
    <w:rsid w:val="006A75B8"/>
    <w:rsid w:val="006B01D7"/>
    <w:rsid w:val="006B0A0A"/>
    <w:rsid w:val="006B0ECB"/>
    <w:rsid w:val="006B0F49"/>
    <w:rsid w:val="006B1477"/>
    <w:rsid w:val="006B19A7"/>
    <w:rsid w:val="006B2071"/>
    <w:rsid w:val="006B29DF"/>
    <w:rsid w:val="006B2F94"/>
    <w:rsid w:val="006B399F"/>
    <w:rsid w:val="006B579B"/>
    <w:rsid w:val="006B580D"/>
    <w:rsid w:val="006B59B9"/>
    <w:rsid w:val="006B5BF1"/>
    <w:rsid w:val="006B5D15"/>
    <w:rsid w:val="006B65FA"/>
    <w:rsid w:val="006B6D4A"/>
    <w:rsid w:val="006B7B62"/>
    <w:rsid w:val="006C141A"/>
    <w:rsid w:val="006C173F"/>
    <w:rsid w:val="006C1D68"/>
    <w:rsid w:val="006C2948"/>
    <w:rsid w:val="006C2DA3"/>
    <w:rsid w:val="006C383F"/>
    <w:rsid w:val="006C3BE1"/>
    <w:rsid w:val="006C3F6E"/>
    <w:rsid w:val="006C42C4"/>
    <w:rsid w:val="006C4F84"/>
    <w:rsid w:val="006C568C"/>
    <w:rsid w:val="006C61B4"/>
    <w:rsid w:val="006C6321"/>
    <w:rsid w:val="006C657E"/>
    <w:rsid w:val="006C66DB"/>
    <w:rsid w:val="006C71C1"/>
    <w:rsid w:val="006C7A5F"/>
    <w:rsid w:val="006D0616"/>
    <w:rsid w:val="006D0CD8"/>
    <w:rsid w:val="006D22B4"/>
    <w:rsid w:val="006D2AE1"/>
    <w:rsid w:val="006D2D23"/>
    <w:rsid w:val="006D350B"/>
    <w:rsid w:val="006D36B2"/>
    <w:rsid w:val="006D37DF"/>
    <w:rsid w:val="006D3877"/>
    <w:rsid w:val="006D4505"/>
    <w:rsid w:val="006D4958"/>
    <w:rsid w:val="006D4AC3"/>
    <w:rsid w:val="006D575B"/>
    <w:rsid w:val="006D5DF5"/>
    <w:rsid w:val="006D5EC4"/>
    <w:rsid w:val="006D5F7F"/>
    <w:rsid w:val="006D69B2"/>
    <w:rsid w:val="006D6FA8"/>
    <w:rsid w:val="006D7659"/>
    <w:rsid w:val="006D77E7"/>
    <w:rsid w:val="006D7F25"/>
    <w:rsid w:val="006E0144"/>
    <w:rsid w:val="006E0FD2"/>
    <w:rsid w:val="006E1221"/>
    <w:rsid w:val="006E1B1D"/>
    <w:rsid w:val="006E2843"/>
    <w:rsid w:val="006E2E76"/>
    <w:rsid w:val="006E4099"/>
    <w:rsid w:val="006E41EC"/>
    <w:rsid w:val="006E4A0F"/>
    <w:rsid w:val="006E4E6B"/>
    <w:rsid w:val="006E5119"/>
    <w:rsid w:val="006E55CF"/>
    <w:rsid w:val="006E608B"/>
    <w:rsid w:val="006E682E"/>
    <w:rsid w:val="006E6C61"/>
    <w:rsid w:val="006E6F31"/>
    <w:rsid w:val="006E7DC1"/>
    <w:rsid w:val="006F1128"/>
    <w:rsid w:val="006F281F"/>
    <w:rsid w:val="006F299E"/>
    <w:rsid w:val="006F29D9"/>
    <w:rsid w:val="006F309B"/>
    <w:rsid w:val="006F3219"/>
    <w:rsid w:val="006F389B"/>
    <w:rsid w:val="006F3C57"/>
    <w:rsid w:val="006F4343"/>
    <w:rsid w:val="006F4E55"/>
    <w:rsid w:val="006F5162"/>
    <w:rsid w:val="006F717E"/>
    <w:rsid w:val="006F7E3D"/>
    <w:rsid w:val="007003BE"/>
    <w:rsid w:val="0070134D"/>
    <w:rsid w:val="00701549"/>
    <w:rsid w:val="00701625"/>
    <w:rsid w:val="00701C12"/>
    <w:rsid w:val="007024C5"/>
    <w:rsid w:val="007027F9"/>
    <w:rsid w:val="00702B9D"/>
    <w:rsid w:val="00702C8C"/>
    <w:rsid w:val="00703948"/>
    <w:rsid w:val="00703CDD"/>
    <w:rsid w:val="007048AE"/>
    <w:rsid w:val="00704A4F"/>
    <w:rsid w:val="00704D44"/>
    <w:rsid w:val="007056D2"/>
    <w:rsid w:val="00705727"/>
    <w:rsid w:val="0070615D"/>
    <w:rsid w:val="00706735"/>
    <w:rsid w:val="007069C1"/>
    <w:rsid w:val="00707404"/>
    <w:rsid w:val="007076EC"/>
    <w:rsid w:val="00707BA9"/>
    <w:rsid w:val="00707F5C"/>
    <w:rsid w:val="00710D73"/>
    <w:rsid w:val="00711EE0"/>
    <w:rsid w:val="00714799"/>
    <w:rsid w:val="007148C4"/>
    <w:rsid w:val="007157BF"/>
    <w:rsid w:val="007157D6"/>
    <w:rsid w:val="00715AAA"/>
    <w:rsid w:val="0071649C"/>
    <w:rsid w:val="007166BE"/>
    <w:rsid w:val="00716C7A"/>
    <w:rsid w:val="00716FAE"/>
    <w:rsid w:val="0071793B"/>
    <w:rsid w:val="00717A40"/>
    <w:rsid w:val="00717DAE"/>
    <w:rsid w:val="00717F26"/>
    <w:rsid w:val="007201EF"/>
    <w:rsid w:val="0072028A"/>
    <w:rsid w:val="007202CB"/>
    <w:rsid w:val="0072037A"/>
    <w:rsid w:val="0072055E"/>
    <w:rsid w:val="007206A5"/>
    <w:rsid w:val="007208C7"/>
    <w:rsid w:val="007217A4"/>
    <w:rsid w:val="00721FF8"/>
    <w:rsid w:val="007229F2"/>
    <w:rsid w:val="007237FA"/>
    <w:rsid w:val="00723E59"/>
    <w:rsid w:val="00724D1F"/>
    <w:rsid w:val="00725E98"/>
    <w:rsid w:val="007260FD"/>
    <w:rsid w:val="00726102"/>
    <w:rsid w:val="00726385"/>
    <w:rsid w:val="00726BB8"/>
    <w:rsid w:val="0072797F"/>
    <w:rsid w:val="007279AF"/>
    <w:rsid w:val="00727CB2"/>
    <w:rsid w:val="007304DD"/>
    <w:rsid w:val="00730570"/>
    <w:rsid w:val="00730820"/>
    <w:rsid w:val="0073156C"/>
    <w:rsid w:val="00731572"/>
    <w:rsid w:val="00731C06"/>
    <w:rsid w:val="00731E35"/>
    <w:rsid w:val="0073281D"/>
    <w:rsid w:val="00732D8A"/>
    <w:rsid w:val="007332BA"/>
    <w:rsid w:val="00734519"/>
    <w:rsid w:val="00734777"/>
    <w:rsid w:val="00734A4F"/>
    <w:rsid w:val="007353A1"/>
    <w:rsid w:val="00735835"/>
    <w:rsid w:val="00735F5F"/>
    <w:rsid w:val="00736CED"/>
    <w:rsid w:val="007370A4"/>
    <w:rsid w:val="0073766D"/>
    <w:rsid w:val="00737818"/>
    <w:rsid w:val="00737907"/>
    <w:rsid w:val="00737AD9"/>
    <w:rsid w:val="00737E23"/>
    <w:rsid w:val="00741C7F"/>
    <w:rsid w:val="00742292"/>
    <w:rsid w:val="007426DF"/>
    <w:rsid w:val="00743EAD"/>
    <w:rsid w:val="00744286"/>
    <w:rsid w:val="007446B3"/>
    <w:rsid w:val="007447D4"/>
    <w:rsid w:val="00744998"/>
    <w:rsid w:val="00744BAE"/>
    <w:rsid w:val="0074510D"/>
    <w:rsid w:val="00745DBE"/>
    <w:rsid w:val="00745F76"/>
    <w:rsid w:val="007466BE"/>
    <w:rsid w:val="007467C8"/>
    <w:rsid w:val="00747C29"/>
    <w:rsid w:val="00747F6F"/>
    <w:rsid w:val="00750122"/>
    <w:rsid w:val="007503AB"/>
    <w:rsid w:val="0075195D"/>
    <w:rsid w:val="007521E0"/>
    <w:rsid w:val="00752442"/>
    <w:rsid w:val="00753D4F"/>
    <w:rsid w:val="007555F1"/>
    <w:rsid w:val="0075564E"/>
    <w:rsid w:val="007566C3"/>
    <w:rsid w:val="007577F5"/>
    <w:rsid w:val="00757A1A"/>
    <w:rsid w:val="00757FEE"/>
    <w:rsid w:val="00760818"/>
    <w:rsid w:val="0076090D"/>
    <w:rsid w:val="00761DEE"/>
    <w:rsid w:val="007639A7"/>
    <w:rsid w:val="007641AD"/>
    <w:rsid w:val="007643BB"/>
    <w:rsid w:val="00764CCC"/>
    <w:rsid w:val="00764D24"/>
    <w:rsid w:val="00765028"/>
    <w:rsid w:val="00765997"/>
    <w:rsid w:val="00765B61"/>
    <w:rsid w:val="00765C92"/>
    <w:rsid w:val="00765FD6"/>
    <w:rsid w:val="00766161"/>
    <w:rsid w:val="00767CBB"/>
    <w:rsid w:val="00770972"/>
    <w:rsid w:val="00770EE8"/>
    <w:rsid w:val="00772069"/>
    <w:rsid w:val="007720CA"/>
    <w:rsid w:val="00772393"/>
    <w:rsid w:val="007723DE"/>
    <w:rsid w:val="0077274D"/>
    <w:rsid w:val="00773552"/>
    <w:rsid w:val="00774475"/>
    <w:rsid w:val="00775551"/>
    <w:rsid w:val="00775E4F"/>
    <w:rsid w:val="00776100"/>
    <w:rsid w:val="00776E46"/>
    <w:rsid w:val="007774DE"/>
    <w:rsid w:val="0077788F"/>
    <w:rsid w:val="007779C2"/>
    <w:rsid w:val="007804EF"/>
    <w:rsid w:val="00780823"/>
    <w:rsid w:val="00780979"/>
    <w:rsid w:val="00782764"/>
    <w:rsid w:val="0078314B"/>
    <w:rsid w:val="007833B8"/>
    <w:rsid w:val="0078343C"/>
    <w:rsid w:val="007845E4"/>
    <w:rsid w:val="00785880"/>
    <w:rsid w:val="00785BE7"/>
    <w:rsid w:val="00786E37"/>
    <w:rsid w:val="00787543"/>
    <w:rsid w:val="00787DBF"/>
    <w:rsid w:val="00787F95"/>
    <w:rsid w:val="00790B8B"/>
    <w:rsid w:val="007922BF"/>
    <w:rsid w:val="007928B6"/>
    <w:rsid w:val="007934EB"/>
    <w:rsid w:val="00793557"/>
    <w:rsid w:val="00793643"/>
    <w:rsid w:val="0079368C"/>
    <w:rsid w:val="00795690"/>
    <w:rsid w:val="0079580A"/>
    <w:rsid w:val="00795835"/>
    <w:rsid w:val="00796DC1"/>
    <w:rsid w:val="007970F3"/>
    <w:rsid w:val="00797F5A"/>
    <w:rsid w:val="00797FCF"/>
    <w:rsid w:val="007A0ACC"/>
    <w:rsid w:val="007A2A3C"/>
    <w:rsid w:val="007A30BB"/>
    <w:rsid w:val="007A3440"/>
    <w:rsid w:val="007A3730"/>
    <w:rsid w:val="007A404E"/>
    <w:rsid w:val="007A4797"/>
    <w:rsid w:val="007A4D3C"/>
    <w:rsid w:val="007A4D75"/>
    <w:rsid w:val="007A6030"/>
    <w:rsid w:val="007A641E"/>
    <w:rsid w:val="007A6813"/>
    <w:rsid w:val="007A6839"/>
    <w:rsid w:val="007A6B6B"/>
    <w:rsid w:val="007A7376"/>
    <w:rsid w:val="007B24A2"/>
    <w:rsid w:val="007B25FA"/>
    <w:rsid w:val="007B293A"/>
    <w:rsid w:val="007B33B9"/>
    <w:rsid w:val="007B49BB"/>
    <w:rsid w:val="007B592B"/>
    <w:rsid w:val="007B65C3"/>
    <w:rsid w:val="007B7745"/>
    <w:rsid w:val="007B7C9A"/>
    <w:rsid w:val="007C1744"/>
    <w:rsid w:val="007C20BC"/>
    <w:rsid w:val="007C220F"/>
    <w:rsid w:val="007C2949"/>
    <w:rsid w:val="007C2DAF"/>
    <w:rsid w:val="007C2DCF"/>
    <w:rsid w:val="007C2F6C"/>
    <w:rsid w:val="007C37ED"/>
    <w:rsid w:val="007C40F8"/>
    <w:rsid w:val="007C4864"/>
    <w:rsid w:val="007C4C4E"/>
    <w:rsid w:val="007C5226"/>
    <w:rsid w:val="007C5896"/>
    <w:rsid w:val="007C58E6"/>
    <w:rsid w:val="007C6824"/>
    <w:rsid w:val="007C73B4"/>
    <w:rsid w:val="007C76A4"/>
    <w:rsid w:val="007D0C72"/>
    <w:rsid w:val="007D10F5"/>
    <w:rsid w:val="007D1355"/>
    <w:rsid w:val="007D1C58"/>
    <w:rsid w:val="007D1CFB"/>
    <w:rsid w:val="007D2006"/>
    <w:rsid w:val="007D25E2"/>
    <w:rsid w:val="007D2F14"/>
    <w:rsid w:val="007D5BC1"/>
    <w:rsid w:val="007D6D50"/>
    <w:rsid w:val="007D6ED4"/>
    <w:rsid w:val="007D76E4"/>
    <w:rsid w:val="007E0BCF"/>
    <w:rsid w:val="007E10D3"/>
    <w:rsid w:val="007E1E1B"/>
    <w:rsid w:val="007E43FF"/>
    <w:rsid w:val="007E4E96"/>
    <w:rsid w:val="007E4F7F"/>
    <w:rsid w:val="007E508E"/>
    <w:rsid w:val="007E54AC"/>
    <w:rsid w:val="007E5F16"/>
    <w:rsid w:val="007E7571"/>
    <w:rsid w:val="007E77F1"/>
    <w:rsid w:val="007E7889"/>
    <w:rsid w:val="007F10B0"/>
    <w:rsid w:val="007F1468"/>
    <w:rsid w:val="007F161C"/>
    <w:rsid w:val="007F2079"/>
    <w:rsid w:val="007F2117"/>
    <w:rsid w:val="007F2C65"/>
    <w:rsid w:val="007F40E0"/>
    <w:rsid w:val="007F4266"/>
    <w:rsid w:val="007F47A0"/>
    <w:rsid w:val="007F48BE"/>
    <w:rsid w:val="007F5C9E"/>
    <w:rsid w:val="007F5D40"/>
    <w:rsid w:val="007F610A"/>
    <w:rsid w:val="007F62F4"/>
    <w:rsid w:val="007F689F"/>
    <w:rsid w:val="007F6AAE"/>
    <w:rsid w:val="007F7B9F"/>
    <w:rsid w:val="007F7C29"/>
    <w:rsid w:val="007F7C73"/>
    <w:rsid w:val="007F7D86"/>
    <w:rsid w:val="008003C8"/>
    <w:rsid w:val="008008B8"/>
    <w:rsid w:val="00800BEF"/>
    <w:rsid w:val="00801679"/>
    <w:rsid w:val="00801C31"/>
    <w:rsid w:val="00801DD5"/>
    <w:rsid w:val="0080213D"/>
    <w:rsid w:val="00802AF7"/>
    <w:rsid w:val="00803773"/>
    <w:rsid w:val="0080400E"/>
    <w:rsid w:val="00804538"/>
    <w:rsid w:val="00804FC7"/>
    <w:rsid w:val="0080571C"/>
    <w:rsid w:val="0080595C"/>
    <w:rsid w:val="00805A28"/>
    <w:rsid w:val="00805DF8"/>
    <w:rsid w:val="008068CD"/>
    <w:rsid w:val="00806D90"/>
    <w:rsid w:val="008101A6"/>
    <w:rsid w:val="00810A4D"/>
    <w:rsid w:val="00810F5E"/>
    <w:rsid w:val="008110C7"/>
    <w:rsid w:val="00811211"/>
    <w:rsid w:val="00811AE2"/>
    <w:rsid w:val="00811EFC"/>
    <w:rsid w:val="00811FB2"/>
    <w:rsid w:val="008124B9"/>
    <w:rsid w:val="00812749"/>
    <w:rsid w:val="008127EC"/>
    <w:rsid w:val="00812F15"/>
    <w:rsid w:val="00813F5F"/>
    <w:rsid w:val="008148F6"/>
    <w:rsid w:val="00814A30"/>
    <w:rsid w:val="00814DB0"/>
    <w:rsid w:val="008153C0"/>
    <w:rsid w:val="00815A9B"/>
    <w:rsid w:val="00815F0D"/>
    <w:rsid w:val="00816584"/>
    <w:rsid w:val="008168FB"/>
    <w:rsid w:val="00816AA1"/>
    <w:rsid w:val="00817887"/>
    <w:rsid w:val="008207F1"/>
    <w:rsid w:val="008210C3"/>
    <w:rsid w:val="008219D0"/>
    <w:rsid w:val="00822387"/>
    <w:rsid w:val="0082245E"/>
    <w:rsid w:val="008225BA"/>
    <w:rsid w:val="008227FC"/>
    <w:rsid w:val="00825554"/>
    <w:rsid w:val="00825AB0"/>
    <w:rsid w:val="00826397"/>
    <w:rsid w:val="00826616"/>
    <w:rsid w:val="00826C64"/>
    <w:rsid w:val="00827449"/>
    <w:rsid w:val="00827A3B"/>
    <w:rsid w:val="00830201"/>
    <w:rsid w:val="0083054E"/>
    <w:rsid w:val="0083084F"/>
    <w:rsid w:val="00831434"/>
    <w:rsid w:val="00831A5C"/>
    <w:rsid w:val="00832F16"/>
    <w:rsid w:val="00833521"/>
    <w:rsid w:val="00833806"/>
    <w:rsid w:val="00833C3B"/>
    <w:rsid w:val="0083436B"/>
    <w:rsid w:val="008348CE"/>
    <w:rsid w:val="00834D2B"/>
    <w:rsid w:val="00834D2E"/>
    <w:rsid w:val="00834FEC"/>
    <w:rsid w:val="00835123"/>
    <w:rsid w:val="00836824"/>
    <w:rsid w:val="008371E8"/>
    <w:rsid w:val="00837AE9"/>
    <w:rsid w:val="00837D0E"/>
    <w:rsid w:val="00843495"/>
    <w:rsid w:val="00843C56"/>
    <w:rsid w:val="00844CDD"/>
    <w:rsid w:val="00844F57"/>
    <w:rsid w:val="00844FCE"/>
    <w:rsid w:val="008451B7"/>
    <w:rsid w:val="008454D9"/>
    <w:rsid w:val="00845DF8"/>
    <w:rsid w:val="0084654C"/>
    <w:rsid w:val="00846BA4"/>
    <w:rsid w:val="00847195"/>
    <w:rsid w:val="00847612"/>
    <w:rsid w:val="008479AA"/>
    <w:rsid w:val="0085040B"/>
    <w:rsid w:val="008513F2"/>
    <w:rsid w:val="00851B70"/>
    <w:rsid w:val="00853170"/>
    <w:rsid w:val="008535CC"/>
    <w:rsid w:val="00854683"/>
    <w:rsid w:val="00854BEE"/>
    <w:rsid w:val="00855950"/>
    <w:rsid w:val="00855C91"/>
    <w:rsid w:val="00855E2C"/>
    <w:rsid w:val="00855FE1"/>
    <w:rsid w:val="008560E1"/>
    <w:rsid w:val="00856F43"/>
    <w:rsid w:val="0085793E"/>
    <w:rsid w:val="00857C2D"/>
    <w:rsid w:val="008602D4"/>
    <w:rsid w:val="00860473"/>
    <w:rsid w:val="008606E7"/>
    <w:rsid w:val="008607EE"/>
    <w:rsid w:val="00860B20"/>
    <w:rsid w:val="008618C6"/>
    <w:rsid w:val="00861B12"/>
    <w:rsid w:val="00861DC2"/>
    <w:rsid w:val="00862220"/>
    <w:rsid w:val="00862D65"/>
    <w:rsid w:val="00863888"/>
    <w:rsid w:val="008639F2"/>
    <w:rsid w:val="00863C97"/>
    <w:rsid w:val="008646F0"/>
    <w:rsid w:val="00864B0A"/>
    <w:rsid w:val="00865C0D"/>
    <w:rsid w:val="00865FF1"/>
    <w:rsid w:val="00866F7E"/>
    <w:rsid w:val="008676AB"/>
    <w:rsid w:val="008677D0"/>
    <w:rsid w:val="00870E22"/>
    <w:rsid w:val="00871079"/>
    <w:rsid w:val="00871992"/>
    <w:rsid w:val="0087246D"/>
    <w:rsid w:val="00872D74"/>
    <w:rsid w:val="00873B34"/>
    <w:rsid w:val="00873B43"/>
    <w:rsid w:val="008743BC"/>
    <w:rsid w:val="00874B1E"/>
    <w:rsid w:val="00874BDE"/>
    <w:rsid w:val="00874C8A"/>
    <w:rsid w:val="008750DD"/>
    <w:rsid w:val="008755AE"/>
    <w:rsid w:val="008759CB"/>
    <w:rsid w:val="00876407"/>
    <w:rsid w:val="008764C9"/>
    <w:rsid w:val="00876A93"/>
    <w:rsid w:val="00876F6C"/>
    <w:rsid w:val="00877568"/>
    <w:rsid w:val="00877980"/>
    <w:rsid w:val="00880918"/>
    <w:rsid w:val="00880D3B"/>
    <w:rsid w:val="0088187D"/>
    <w:rsid w:val="00881940"/>
    <w:rsid w:val="00881C22"/>
    <w:rsid w:val="00882686"/>
    <w:rsid w:val="00883D80"/>
    <w:rsid w:val="00883DA5"/>
    <w:rsid w:val="008842D9"/>
    <w:rsid w:val="00884FEC"/>
    <w:rsid w:val="00885151"/>
    <w:rsid w:val="008858BE"/>
    <w:rsid w:val="008870A0"/>
    <w:rsid w:val="008870BA"/>
    <w:rsid w:val="008876F2"/>
    <w:rsid w:val="0088791F"/>
    <w:rsid w:val="00891531"/>
    <w:rsid w:val="008928EA"/>
    <w:rsid w:val="008934F9"/>
    <w:rsid w:val="00893FC4"/>
    <w:rsid w:val="0089434F"/>
    <w:rsid w:val="008946D6"/>
    <w:rsid w:val="00895BD3"/>
    <w:rsid w:val="008961DC"/>
    <w:rsid w:val="0089634E"/>
    <w:rsid w:val="00896AE2"/>
    <w:rsid w:val="00896C32"/>
    <w:rsid w:val="00897C93"/>
    <w:rsid w:val="008A0069"/>
    <w:rsid w:val="008A037D"/>
    <w:rsid w:val="008A046E"/>
    <w:rsid w:val="008A06E5"/>
    <w:rsid w:val="008A0B25"/>
    <w:rsid w:val="008A0C3C"/>
    <w:rsid w:val="008A1ABB"/>
    <w:rsid w:val="008A2336"/>
    <w:rsid w:val="008A2B24"/>
    <w:rsid w:val="008A2DFA"/>
    <w:rsid w:val="008A389E"/>
    <w:rsid w:val="008A3EBD"/>
    <w:rsid w:val="008A410A"/>
    <w:rsid w:val="008A48F7"/>
    <w:rsid w:val="008A5113"/>
    <w:rsid w:val="008A5146"/>
    <w:rsid w:val="008A5258"/>
    <w:rsid w:val="008A591F"/>
    <w:rsid w:val="008A63A4"/>
    <w:rsid w:val="008A66E9"/>
    <w:rsid w:val="008A7080"/>
    <w:rsid w:val="008A7512"/>
    <w:rsid w:val="008A78EE"/>
    <w:rsid w:val="008B09F1"/>
    <w:rsid w:val="008B0BB6"/>
    <w:rsid w:val="008B11F5"/>
    <w:rsid w:val="008B17F4"/>
    <w:rsid w:val="008B2123"/>
    <w:rsid w:val="008B2351"/>
    <w:rsid w:val="008B27C8"/>
    <w:rsid w:val="008B2AD6"/>
    <w:rsid w:val="008B3554"/>
    <w:rsid w:val="008B4147"/>
    <w:rsid w:val="008B41BE"/>
    <w:rsid w:val="008B4366"/>
    <w:rsid w:val="008B59FD"/>
    <w:rsid w:val="008B6134"/>
    <w:rsid w:val="008B6F9F"/>
    <w:rsid w:val="008B6FD3"/>
    <w:rsid w:val="008B7192"/>
    <w:rsid w:val="008B737B"/>
    <w:rsid w:val="008B78B6"/>
    <w:rsid w:val="008B7F0B"/>
    <w:rsid w:val="008C1302"/>
    <w:rsid w:val="008C1E70"/>
    <w:rsid w:val="008C3305"/>
    <w:rsid w:val="008C341B"/>
    <w:rsid w:val="008C3FF5"/>
    <w:rsid w:val="008C4B04"/>
    <w:rsid w:val="008C5837"/>
    <w:rsid w:val="008C61E1"/>
    <w:rsid w:val="008C7070"/>
    <w:rsid w:val="008C73EF"/>
    <w:rsid w:val="008C796C"/>
    <w:rsid w:val="008D0274"/>
    <w:rsid w:val="008D0973"/>
    <w:rsid w:val="008D1608"/>
    <w:rsid w:val="008D20B4"/>
    <w:rsid w:val="008D2F0A"/>
    <w:rsid w:val="008D3458"/>
    <w:rsid w:val="008D38C5"/>
    <w:rsid w:val="008D3D58"/>
    <w:rsid w:val="008D3F6B"/>
    <w:rsid w:val="008D4217"/>
    <w:rsid w:val="008D4320"/>
    <w:rsid w:val="008D477E"/>
    <w:rsid w:val="008D4C23"/>
    <w:rsid w:val="008D4E55"/>
    <w:rsid w:val="008D4E79"/>
    <w:rsid w:val="008D6445"/>
    <w:rsid w:val="008D65A6"/>
    <w:rsid w:val="008D6AC4"/>
    <w:rsid w:val="008D7DBD"/>
    <w:rsid w:val="008E0713"/>
    <w:rsid w:val="008E0BF2"/>
    <w:rsid w:val="008E1732"/>
    <w:rsid w:val="008E20EB"/>
    <w:rsid w:val="008E24D8"/>
    <w:rsid w:val="008E3037"/>
    <w:rsid w:val="008E3047"/>
    <w:rsid w:val="008E3271"/>
    <w:rsid w:val="008E3674"/>
    <w:rsid w:val="008E72E3"/>
    <w:rsid w:val="008E75D0"/>
    <w:rsid w:val="008E792B"/>
    <w:rsid w:val="008E7B1B"/>
    <w:rsid w:val="008F064A"/>
    <w:rsid w:val="008F1A09"/>
    <w:rsid w:val="008F2C2A"/>
    <w:rsid w:val="008F2F7A"/>
    <w:rsid w:val="008F39D9"/>
    <w:rsid w:val="008F44A6"/>
    <w:rsid w:val="008F46EA"/>
    <w:rsid w:val="008F47EB"/>
    <w:rsid w:val="008F5483"/>
    <w:rsid w:val="008F5F8A"/>
    <w:rsid w:val="008F696F"/>
    <w:rsid w:val="008F6D29"/>
    <w:rsid w:val="008F70FE"/>
    <w:rsid w:val="008F77C3"/>
    <w:rsid w:val="00900DC4"/>
    <w:rsid w:val="00901260"/>
    <w:rsid w:val="009017F3"/>
    <w:rsid w:val="00901D2A"/>
    <w:rsid w:val="00901ECB"/>
    <w:rsid w:val="00903CFE"/>
    <w:rsid w:val="00903EAE"/>
    <w:rsid w:val="00904312"/>
    <w:rsid w:val="00904322"/>
    <w:rsid w:val="009045A3"/>
    <w:rsid w:val="00905209"/>
    <w:rsid w:val="009057B0"/>
    <w:rsid w:val="0090596F"/>
    <w:rsid w:val="00905BF7"/>
    <w:rsid w:val="009063AC"/>
    <w:rsid w:val="009065B9"/>
    <w:rsid w:val="00906F35"/>
    <w:rsid w:val="00906FB4"/>
    <w:rsid w:val="009073E0"/>
    <w:rsid w:val="00910337"/>
    <w:rsid w:val="00911091"/>
    <w:rsid w:val="0091109B"/>
    <w:rsid w:val="00912DA8"/>
    <w:rsid w:val="009132B3"/>
    <w:rsid w:val="00913EAE"/>
    <w:rsid w:val="0091426D"/>
    <w:rsid w:val="009146E6"/>
    <w:rsid w:val="009149C9"/>
    <w:rsid w:val="00915ADF"/>
    <w:rsid w:val="00915C2F"/>
    <w:rsid w:val="00916895"/>
    <w:rsid w:val="00916B88"/>
    <w:rsid w:val="009179BB"/>
    <w:rsid w:val="00917F27"/>
    <w:rsid w:val="0092159C"/>
    <w:rsid w:val="00921F5E"/>
    <w:rsid w:val="00922064"/>
    <w:rsid w:val="00922431"/>
    <w:rsid w:val="009224D5"/>
    <w:rsid w:val="00922640"/>
    <w:rsid w:val="00922A94"/>
    <w:rsid w:val="00922CD8"/>
    <w:rsid w:val="00923A76"/>
    <w:rsid w:val="00923A89"/>
    <w:rsid w:val="00924309"/>
    <w:rsid w:val="00926D56"/>
    <w:rsid w:val="0092756D"/>
    <w:rsid w:val="009308AB"/>
    <w:rsid w:val="00930E50"/>
    <w:rsid w:val="00930F65"/>
    <w:rsid w:val="0093102B"/>
    <w:rsid w:val="00932637"/>
    <w:rsid w:val="00934478"/>
    <w:rsid w:val="009344FA"/>
    <w:rsid w:val="009350DB"/>
    <w:rsid w:val="009360CE"/>
    <w:rsid w:val="009363B9"/>
    <w:rsid w:val="00936717"/>
    <w:rsid w:val="009375F6"/>
    <w:rsid w:val="00937B17"/>
    <w:rsid w:val="00937B88"/>
    <w:rsid w:val="0094019E"/>
    <w:rsid w:val="00940D44"/>
    <w:rsid w:val="009414E8"/>
    <w:rsid w:val="00941769"/>
    <w:rsid w:val="00941828"/>
    <w:rsid w:val="00941A09"/>
    <w:rsid w:val="00941CC9"/>
    <w:rsid w:val="00942783"/>
    <w:rsid w:val="0094287A"/>
    <w:rsid w:val="00942A2D"/>
    <w:rsid w:val="00943B89"/>
    <w:rsid w:val="00943C22"/>
    <w:rsid w:val="00944003"/>
    <w:rsid w:val="00944C9E"/>
    <w:rsid w:val="0094717D"/>
    <w:rsid w:val="00947B27"/>
    <w:rsid w:val="00947E3B"/>
    <w:rsid w:val="00950D1E"/>
    <w:rsid w:val="00952474"/>
    <w:rsid w:val="00952D19"/>
    <w:rsid w:val="00952F19"/>
    <w:rsid w:val="00952F56"/>
    <w:rsid w:val="009530DB"/>
    <w:rsid w:val="00953F07"/>
    <w:rsid w:val="00954004"/>
    <w:rsid w:val="009545F0"/>
    <w:rsid w:val="0095497A"/>
    <w:rsid w:val="00954E9C"/>
    <w:rsid w:val="00954EA2"/>
    <w:rsid w:val="00955D34"/>
    <w:rsid w:val="009561FA"/>
    <w:rsid w:val="00956598"/>
    <w:rsid w:val="0095768C"/>
    <w:rsid w:val="009615D7"/>
    <w:rsid w:val="00961DB7"/>
    <w:rsid w:val="00961F12"/>
    <w:rsid w:val="009629E2"/>
    <w:rsid w:val="009632DF"/>
    <w:rsid w:val="00963477"/>
    <w:rsid w:val="009635C8"/>
    <w:rsid w:val="009639BF"/>
    <w:rsid w:val="00963D1B"/>
    <w:rsid w:val="00964595"/>
    <w:rsid w:val="00965C70"/>
    <w:rsid w:val="00970133"/>
    <w:rsid w:val="00970CFE"/>
    <w:rsid w:val="00971504"/>
    <w:rsid w:val="00972A37"/>
    <w:rsid w:val="00972EAB"/>
    <w:rsid w:val="00973068"/>
    <w:rsid w:val="009738E2"/>
    <w:rsid w:val="0097392F"/>
    <w:rsid w:val="00973A52"/>
    <w:rsid w:val="00974798"/>
    <w:rsid w:val="00974F2B"/>
    <w:rsid w:val="00975301"/>
    <w:rsid w:val="00975F8F"/>
    <w:rsid w:val="009762C5"/>
    <w:rsid w:val="00976ACA"/>
    <w:rsid w:val="00976BC0"/>
    <w:rsid w:val="00976DED"/>
    <w:rsid w:val="00977106"/>
    <w:rsid w:val="00977906"/>
    <w:rsid w:val="00980172"/>
    <w:rsid w:val="00980470"/>
    <w:rsid w:val="00980CF9"/>
    <w:rsid w:val="009813F5"/>
    <w:rsid w:val="009832F9"/>
    <w:rsid w:val="00983F58"/>
    <w:rsid w:val="00983FBF"/>
    <w:rsid w:val="00984477"/>
    <w:rsid w:val="009850E3"/>
    <w:rsid w:val="00985855"/>
    <w:rsid w:val="00985A36"/>
    <w:rsid w:val="00985C7C"/>
    <w:rsid w:val="0098618B"/>
    <w:rsid w:val="00987B15"/>
    <w:rsid w:val="00987E0A"/>
    <w:rsid w:val="0099063C"/>
    <w:rsid w:val="00990BAE"/>
    <w:rsid w:val="009919BD"/>
    <w:rsid w:val="00991EAC"/>
    <w:rsid w:val="009920A2"/>
    <w:rsid w:val="00993F25"/>
    <w:rsid w:val="00994B3B"/>
    <w:rsid w:val="00994D92"/>
    <w:rsid w:val="00995DB9"/>
    <w:rsid w:val="009964E3"/>
    <w:rsid w:val="009965BD"/>
    <w:rsid w:val="00996605"/>
    <w:rsid w:val="00997283"/>
    <w:rsid w:val="00997ADD"/>
    <w:rsid w:val="00997FA6"/>
    <w:rsid w:val="009A0109"/>
    <w:rsid w:val="009A0F74"/>
    <w:rsid w:val="009A11E7"/>
    <w:rsid w:val="009A128D"/>
    <w:rsid w:val="009A180F"/>
    <w:rsid w:val="009A18C3"/>
    <w:rsid w:val="009A1E39"/>
    <w:rsid w:val="009A274F"/>
    <w:rsid w:val="009A3491"/>
    <w:rsid w:val="009A3928"/>
    <w:rsid w:val="009A3EDE"/>
    <w:rsid w:val="009A408B"/>
    <w:rsid w:val="009A4561"/>
    <w:rsid w:val="009A46A1"/>
    <w:rsid w:val="009A4BB9"/>
    <w:rsid w:val="009A4EBB"/>
    <w:rsid w:val="009A545D"/>
    <w:rsid w:val="009A5957"/>
    <w:rsid w:val="009A5AD5"/>
    <w:rsid w:val="009A63E1"/>
    <w:rsid w:val="009A691E"/>
    <w:rsid w:val="009A775A"/>
    <w:rsid w:val="009A7F68"/>
    <w:rsid w:val="009B181D"/>
    <w:rsid w:val="009B1893"/>
    <w:rsid w:val="009B1C56"/>
    <w:rsid w:val="009B1EFD"/>
    <w:rsid w:val="009B288D"/>
    <w:rsid w:val="009B4A7B"/>
    <w:rsid w:val="009B4C23"/>
    <w:rsid w:val="009B54FC"/>
    <w:rsid w:val="009B57A6"/>
    <w:rsid w:val="009B5F38"/>
    <w:rsid w:val="009B626F"/>
    <w:rsid w:val="009B6BE1"/>
    <w:rsid w:val="009B7384"/>
    <w:rsid w:val="009B7435"/>
    <w:rsid w:val="009C077B"/>
    <w:rsid w:val="009C1C03"/>
    <w:rsid w:val="009C25AC"/>
    <w:rsid w:val="009C2A1C"/>
    <w:rsid w:val="009C3767"/>
    <w:rsid w:val="009C3DE3"/>
    <w:rsid w:val="009C4B85"/>
    <w:rsid w:val="009C545D"/>
    <w:rsid w:val="009C552A"/>
    <w:rsid w:val="009C584F"/>
    <w:rsid w:val="009C5974"/>
    <w:rsid w:val="009C661A"/>
    <w:rsid w:val="009C747C"/>
    <w:rsid w:val="009D097B"/>
    <w:rsid w:val="009D0BCC"/>
    <w:rsid w:val="009D0CA9"/>
    <w:rsid w:val="009D1347"/>
    <w:rsid w:val="009D1442"/>
    <w:rsid w:val="009D1705"/>
    <w:rsid w:val="009D20BD"/>
    <w:rsid w:val="009D2DC8"/>
    <w:rsid w:val="009D30C9"/>
    <w:rsid w:val="009D3932"/>
    <w:rsid w:val="009D3CB7"/>
    <w:rsid w:val="009D4832"/>
    <w:rsid w:val="009D4B0A"/>
    <w:rsid w:val="009D6187"/>
    <w:rsid w:val="009D735B"/>
    <w:rsid w:val="009E00A1"/>
    <w:rsid w:val="009E1312"/>
    <w:rsid w:val="009E167E"/>
    <w:rsid w:val="009E19FA"/>
    <w:rsid w:val="009E1B84"/>
    <w:rsid w:val="009E1D38"/>
    <w:rsid w:val="009E4F57"/>
    <w:rsid w:val="009E596A"/>
    <w:rsid w:val="009E654E"/>
    <w:rsid w:val="009E6A8E"/>
    <w:rsid w:val="009E7321"/>
    <w:rsid w:val="009E76F2"/>
    <w:rsid w:val="009E7F18"/>
    <w:rsid w:val="009F03A1"/>
    <w:rsid w:val="009F04ED"/>
    <w:rsid w:val="009F0934"/>
    <w:rsid w:val="009F19A2"/>
    <w:rsid w:val="009F1E0E"/>
    <w:rsid w:val="009F2120"/>
    <w:rsid w:val="009F2BDF"/>
    <w:rsid w:val="009F2F1C"/>
    <w:rsid w:val="009F3369"/>
    <w:rsid w:val="009F43E9"/>
    <w:rsid w:val="009F4F37"/>
    <w:rsid w:val="009F4F4B"/>
    <w:rsid w:val="009F4FB5"/>
    <w:rsid w:val="009F579A"/>
    <w:rsid w:val="009F5992"/>
    <w:rsid w:val="009F6255"/>
    <w:rsid w:val="009F6458"/>
    <w:rsid w:val="009F725C"/>
    <w:rsid w:val="009F7A71"/>
    <w:rsid w:val="00A003A9"/>
    <w:rsid w:val="00A00ABB"/>
    <w:rsid w:val="00A01D23"/>
    <w:rsid w:val="00A022F0"/>
    <w:rsid w:val="00A024A8"/>
    <w:rsid w:val="00A024EE"/>
    <w:rsid w:val="00A0292E"/>
    <w:rsid w:val="00A02C7E"/>
    <w:rsid w:val="00A03588"/>
    <w:rsid w:val="00A03779"/>
    <w:rsid w:val="00A04B50"/>
    <w:rsid w:val="00A0515F"/>
    <w:rsid w:val="00A061AD"/>
    <w:rsid w:val="00A07BB4"/>
    <w:rsid w:val="00A100CB"/>
    <w:rsid w:val="00A10258"/>
    <w:rsid w:val="00A10A8B"/>
    <w:rsid w:val="00A10E2F"/>
    <w:rsid w:val="00A11701"/>
    <w:rsid w:val="00A11DA1"/>
    <w:rsid w:val="00A12C0C"/>
    <w:rsid w:val="00A1389D"/>
    <w:rsid w:val="00A13AEB"/>
    <w:rsid w:val="00A13E6C"/>
    <w:rsid w:val="00A13EFD"/>
    <w:rsid w:val="00A13FBE"/>
    <w:rsid w:val="00A14B29"/>
    <w:rsid w:val="00A14F7C"/>
    <w:rsid w:val="00A151EF"/>
    <w:rsid w:val="00A16432"/>
    <w:rsid w:val="00A166D4"/>
    <w:rsid w:val="00A17131"/>
    <w:rsid w:val="00A172EF"/>
    <w:rsid w:val="00A17748"/>
    <w:rsid w:val="00A1777D"/>
    <w:rsid w:val="00A20147"/>
    <w:rsid w:val="00A2087D"/>
    <w:rsid w:val="00A21FA3"/>
    <w:rsid w:val="00A220AE"/>
    <w:rsid w:val="00A22DFB"/>
    <w:rsid w:val="00A23D35"/>
    <w:rsid w:val="00A24529"/>
    <w:rsid w:val="00A24C9C"/>
    <w:rsid w:val="00A24D2B"/>
    <w:rsid w:val="00A24DF8"/>
    <w:rsid w:val="00A24EEF"/>
    <w:rsid w:val="00A25A92"/>
    <w:rsid w:val="00A25B17"/>
    <w:rsid w:val="00A25CF1"/>
    <w:rsid w:val="00A2643F"/>
    <w:rsid w:val="00A270B5"/>
    <w:rsid w:val="00A302F6"/>
    <w:rsid w:val="00A3067A"/>
    <w:rsid w:val="00A306F8"/>
    <w:rsid w:val="00A311A9"/>
    <w:rsid w:val="00A318FC"/>
    <w:rsid w:val="00A319DD"/>
    <w:rsid w:val="00A31C10"/>
    <w:rsid w:val="00A326A4"/>
    <w:rsid w:val="00A33246"/>
    <w:rsid w:val="00A33267"/>
    <w:rsid w:val="00A332EF"/>
    <w:rsid w:val="00A3376F"/>
    <w:rsid w:val="00A33D75"/>
    <w:rsid w:val="00A35595"/>
    <w:rsid w:val="00A36011"/>
    <w:rsid w:val="00A360A8"/>
    <w:rsid w:val="00A3642B"/>
    <w:rsid w:val="00A36F84"/>
    <w:rsid w:val="00A375C3"/>
    <w:rsid w:val="00A407DD"/>
    <w:rsid w:val="00A41981"/>
    <w:rsid w:val="00A41A94"/>
    <w:rsid w:val="00A41BB5"/>
    <w:rsid w:val="00A42811"/>
    <w:rsid w:val="00A43707"/>
    <w:rsid w:val="00A44479"/>
    <w:rsid w:val="00A451EF"/>
    <w:rsid w:val="00A45321"/>
    <w:rsid w:val="00A46076"/>
    <w:rsid w:val="00A462AD"/>
    <w:rsid w:val="00A46452"/>
    <w:rsid w:val="00A46932"/>
    <w:rsid w:val="00A46FED"/>
    <w:rsid w:val="00A50C39"/>
    <w:rsid w:val="00A515A2"/>
    <w:rsid w:val="00A51A60"/>
    <w:rsid w:val="00A523CC"/>
    <w:rsid w:val="00A53031"/>
    <w:rsid w:val="00A53157"/>
    <w:rsid w:val="00A54292"/>
    <w:rsid w:val="00A54AB1"/>
    <w:rsid w:val="00A54C4C"/>
    <w:rsid w:val="00A54DC1"/>
    <w:rsid w:val="00A55354"/>
    <w:rsid w:val="00A5676E"/>
    <w:rsid w:val="00A5746D"/>
    <w:rsid w:val="00A579EA"/>
    <w:rsid w:val="00A57A42"/>
    <w:rsid w:val="00A57DCD"/>
    <w:rsid w:val="00A605FC"/>
    <w:rsid w:val="00A60DA2"/>
    <w:rsid w:val="00A61665"/>
    <w:rsid w:val="00A61963"/>
    <w:rsid w:val="00A6215E"/>
    <w:rsid w:val="00A62DC2"/>
    <w:rsid w:val="00A63071"/>
    <w:rsid w:val="00A634AB"/>
    <w:rsid w:val="00A636CB"/>
    <w:rsid w:val="00A63782"/>
    <w:rsid w:val="00A64039"/>
    <w:rsid w:val="00A645A3"/>
    <w:rsid w:val="00A655DE"/>
    <w:rsid w:val="00A65AC0"/>
    <w:rsid w:val="00A65FFF"/>
    <w:rsid w:val="00A677D4"/>
    <w:rsid w:val="00A67929"/>
    <w:rsid w:val="00A70698"/>
    <w:rsid w:val="00A70EDF"/>
    <w:rsid w:val="00A70F6F"/>
    <w:rsid w:val="00A70FED"/>
    <w:rsid w:val="00A70FF7"/>
    <w:rsid w:val="00A71709"/>
    <w:rsid w:val="00A71CA8"/>
    <w:rsid w:val="00A71D24"/>
    <w:rsid w:val="00A725C7"/>
    <w:rsid w:val="00A73462"/>
    <w:rsid w:val="00A73BB0"/>
    <w:rsid w:val="00A74131"/>
    <w:rsid w:val="00A741BE"/>
    <w:rsid w:val="00A74BBA"/>
    <w:rsid w:val="00A7531F"/>
    <w:rsid w:val="00A7539C"/>
    <w:rsid w:val="00A755F8"/>
    <w:rsid w:val="00A75C5A"/>
    <w:rsid w:val="00A766A0"/>
    <w:rsid w:val="00A76AD6"/>
    <w:rsid w:val="00A76CD3"/>
    <w:rsid w:val="00A77D64"/>
    <w:rsid w:val="00A802DC"/>
    <w:rsid w:val="00A805AA"/>
    <w:rsid w:val="00A807D9"/>
    <w:rsid w:val="00A808C7"/>
    <w:rsid w:val="00A8106D"/>
    <w:rsid w:val="00A813FC"/>
    <w:rsid w:val="00A814A0"/>
    <w:rsid w:val="00A81DFE"/>
    <w:rsid w:val="00A81E1E"/>
    <w:rsid w:val="00A82C71"/>
    <w:rsid w:val="00A82FDC"/>
    <w:rsid w:val="00A83BC0"/>
    <w:rsid w:val="00A8403C"/>
    <w:rsid w:val="00A8433A"/>
    <w:rsid w:val="00A84952"/>
    <w:rsid w:val="00A8626E"/>
    <w:rsid w:val="00A86363"/>
    <w:rsid w:val="00A8684A"/>
    <w:rsid w:val="00A87148"/>
    <w:rsid w:val="00A8760B"/>
    <w:rsid w:val="00A90018"/>
    <w:rsid w:val="00A90F98"/>
    <w:rsid w:val="00A91A5A"/>
    <w:rsid w:val="00A92801"/>
    <w:rsid w:val="00A92CD4"/>
    <w:rsid w:val="00A933C1"/>
    <w:rsid w:val="00A9367A"/>
    <w:rsid w:val="00A94232"/>
    <w:rsid w:val="00A9423C"/>
    <w:rsid w:val="00A94373"/>
    <w:rsid w:val="00A9487F"/>
    <w:rsid w:val="00A952BD"/>
    <w:rsid w:val="00A96956"/>
    <w:rsid w:val="00AA05DC"/>
    <w:rsid w:val="00AA0D1F"/>
    <w:rsid w:val="00AA10B5"/>
    <w:rsid w:val="00AA11D1"/>
    <w:rsid w:val="00AA1284"/>
    <w:rsid w:val="00AA161A"/>
    <w:rsid w:val="00AA165A"/>
    <w:rsid w:val="00AA263A"/>
    <w:rsid w:val="00AA27C7"/>
    <w:rsid w:val="00AA2938"/>
    <w:rsid w:val="00AA293A"/>
    <w:rsid w:val="00AA341F"/>
    <w:rsid w:val="00AA34AC"/>
    <w:rsid w:val="00AA36A9"/>
    <w:rsid w:val="00AA3AF0"/>
    <w:rsid w:val="00AA3D4F"/>
    <w:rsid w:val="00AA3DC6"/>
    <w:rsid w:val="00AA469E"/>
    <w:rsid w:val="00AA63CD"/>
    <w:rsid w:val="00AA6BE1"/>
    <w:rsid w:val="00AA70C8"/>
    <w:rsid w:val="00AA738C"/>
    <w:rsid w:val="00AA77DE"/>
    <w:rsid w:val="00AA7E4A"/>
    <w:rsid w:val="00AB2433"/>
    <w:rsid w:val="00AB2584"/>
    <w:rsid w:val="00AB300B"/>
    <w:rsid w:val="00AB3E79"/>
    <w:rsid w:val="00AB3F26"/>
    <w:rsid w:val="00AB498F"/>
    <w:rsid w:val="00AB49B6"/>
    <w:rsid w:val="00AB4E7E"/>
    <w:rsid w:val="00AB567D"/>
    <w:rsid w:val="00AB5882"/>
    <w:rsid w:val="00AB62F7"/>
    <w:rsid w:val="00AB6F4B"/>
    <w:rsid w:val="00AB74A2"/>
    <w:rsid w:val="00AB7501"/>
    <w:rsid w:val="00AB7FB5"/>
    <w:rsid w:val="00AC0C23"/>
    <w:rsid w:val="00AC1036"/>
    <w:rsid w:val="00AC1ADC"/>
    <w:rsid w:val="00AC231A"/>
    <w:rsid w:val="00AC23BE"/>
    <w:rsid w:val="00AC31EF"/>
    <w:rsid w:val="00AC3553"/>
    <w:rsid w:val="00AC4804"/>
    <w:rsid w:val="00AC4A74"/>
    <w:rsid w:val="00AC4C7B"/>
    <w:rsid w:val="00AC5902"/>
    <w:rsid w:val="00AC7C85"/>
    <w:rsid w:val="00AD040A"/>
    <w:rsid w:val="00AD12C7"/>
    <w:rsid w:val="00AD1355"/>
    <w:rsid w:val="00AD18D7"/>
    <w:rsid w:val="00AD193C"/>
    <w:rsid w:val="00AD2085"/>
    <w:rsid w:val="00AD4642"/>
    <w:rsid w:val="00AD5090"/>
    <w:rsid w:val="00AD517E"/>
    <w:rsid w:val="00AD5937"/>
    <w:rsid w:val="00AD7378"/>
    <w:rsid w:val="00AD7722"/>
    <w:rsid w:val="00AD792A"/>
    <w:rsid w:val="00AD7A06"/>
    <w:rsid w:val="00AE0664"/>
    <w:rsid w:val="00AE06A6"/>
    <w:rsid w:val="00AE178B"/>
    <w:rsid w:val="00AE3138"/>
    <w:rsid w:val="00AE437D"/>
    <w:rsid w:val="00AE4772"/>
    <w:rsid w:val="00AE4C71"/>
    <w:rsid w:val="00AE4FC0"/>
    <w:rsid w:val="00AE5984"/>
    <w:rsid w:val="00AE59C2"/>
    <w:rsid w:val="00AE5F65"/>
    <w:rsid w:val="00AE63CD"/>
    <w:rsid w:val="00AE640F"/>
    <w:rsid w:val="00AE653B"/>
    <w:rsid w:val="00AE6590"/>
    <w:rsid w:val="00AE68C3"/>
    <w:rsid w:val="00AE6A79"/>
    <w:rsid w:val="00AE7523"/>
    <w:rsid w:val="00AE7915"/>
    <w:rsid w:val="00AF0130"/>
    <w:rsid w:val="00AF042D"/>
    <w:rsid w:val="00AF0494"/>
    <w:rsid w:val="00AF049B"/>
    <w:rsid w:val="00AF0AC6"/>
    <w:rsid w:val="00AF106A"/>
    <w:rsid w:val="00AF1982"/>
    <w:rsid w:val="00AF23CB"/>
    <w:rsid w:val="00AF2444"/>
    <w:rsid w:val="00AF360C"/>
    <w:rsid w:val="00AF3C47"/>
    <w:rsid w:val="00AF48A5"/>
    <w:rsid w:val="00AF5197"/>
    <w:rsid w:val="00AF5296"/>
    <w:rsid w:val="00AF5EA2"/>
    <w:rsid w:val="00AF61A8"/>
    <w:rsid w:val="00AF69F9"/>
    <w:rsid w:val="00AF7292"/>
    <w:rsid w:val="00AF73A4"/>
    <w:rsid w:val="00AF77D1"/>
    <w:rsid w:val="00AF7E77"/>
    <w:rsid w:val="00AF7FBE"/>
    <w:rsid w:val="00B000AD"/>
    <w:rsid w:val="00B00C27"/>
    <w:rsid w:val="00B00E6F"/>
    <w:rsid w:val="00B01091"/>
    <w:rsid w:val="00B01D2F"/>
    <w:rsid w:val="00B0208C"/>
    <w:rsid w:val="00B0210E"/>
    <w:rsid w:val="00B02222"/>
    <w:rsid w:val="00B02DFE"/>
    <w:rsid w:val="00B0332E"/>
    <w:rsid w:val="00B03BAB"/>
    <w:rsid w:val="00B043D7"/>
    <w:rsid w:val="00B04D46"/>
    <w:rsid w:val="00B05624"/>
    <w:rsid w:val="00B05665"/>
    <w:rsid w:val="00B06845"/>
    <w:rsid w:val="00B0729F"/>
    <w:rsid w:val="00B07B74"/>
    <w:rsid w:val="00B11073"/>
    <w:rsid w:val="00B12E1E"/>
    <w:rsid w:val="00B13AFA"/>
    <w:rsid w:val="00B13CFC"/>
    <w:rsid w:val="00B15E81"/>
    <w:rsid w:val="00B16131"/>
    <w:rsid w:val="00B1686B"/>
    <w:rsid w:val="00B17000"/>
    <w:rsid w:val="00B17135"/>
    <w:rsid w:val="00B17CE0"/>
    <w:rsid w:val="00B2006D"/>
    <w:rsid w:val="00B2058E"/>
    <w:rsid w:val="00B207CE"/>
    <w:rsid w:val="00B20F23"/>
    <w:rsid w:val="00B20F3C"/>
    <w:rsid w:val="00B21095"/>
    <w:rsid w:val="00B21870"/>
    <w:rsid w:val="00B2234A"/>
    <w:rsid w:val="00B223FF"/>
    <w:rsid w:val="00B22D5B"/>
    <w:rsid w:val="00B22E40"/>
    <w:rsid w:val="00B22FA2"/>
    <w:rsid w:val="00B23E3A"/>
    <w:rsid w:val="00B240DA"/>
    <w:rsid w:val="00B24B84"/>
    <w:rsid w:val="00B24F64"/>
    <w:rsid w:val="00B25015"/>
    <w:rsid w:val="00B257F1"/>
    <w:rsid w:val="00B27D9B"/>
    <w:rsid w:val="00B27E58"/>
    <w:rsid w:val="00B30032"/>
    <w:rsid w:val="00B32D66"/>
    <w:rsid w:val="00B33557"/>
    <w:rsid w:val="00B33B5A"/>
    <w:rsid w:val="00B343F3"/>
    <w:rsid w:val="00B34856"/>
    <w:rsid w:val="00B348EC"/>
    <w:rsid w:val="00B34B4C"/>
    <w:rsid w:val="00B35761"/>
    <w:rsid w:val="00B35B1F"/>
    <w:rsid w:val="00B35BD1"/>
    <w:rsid w:val="00B36319"/>
    <w:rsid w:val="00B368E6"/>
    <w:rsid w:val="00B36A97"/>
    <w:rsid w:val="00B36EBD"/>
    <w:rsid w:val="00B3726C"/>
    <w:rsid w:val="00B375BD"/>
    <w:rsid w:val="00B37E69"/>
    <w:rsid w:val="00B40A6D"/>
    <w:rsid w:val="00B416A2"/>
    <w:rsid w:val="00B41E05"/>
    <w:rsid w:val="00B42542"/>
    <w:rsid w:val="00B43570"/>
    <w:rsid w:val="00B43613"/>
    <w:rsid w:val="00B43CB1"/>
    <w:rsid w:val="00B44CAD"/>
    <w:rsid w:val="00B46C3C"/>
    <w:rsid w:val="00B5052A"/>
    <w:rsid w:val="00B50626"/>
    <w:rsid w:val="00B50BB8"/>
    <w:rsid w:val="00B50EB7"/>
    <w:rsid w:val="00B5112D"/>
    <w:rsid w:val="00B51610"/>
    <w:rsid w:val="00B520E2"/>
    <w:rsid w:val="00B5228F"/>
    <w:rsid w:val="00B524CD"/>
    <w:rsid w:val="00B52531"/>
    <w:rsid w:val="00B52B40"/>
    <w:rsid w:val="00B52BFB"/>
    <w:rsid w:val="00B539AD"/>
    <w:rsid w:val="00B53A35"/>
    <w:rsid w:val="00B53CC5"/>
    <w:rsid w:val="00B5470F"/>
    <w:rsid w:val="00B549CF"/>
    <w:rsid w:val="00B5511A"/>
    <w:rsid w:val="00B5553F"/>
    <w:rsid w:val="00B568AC"/>
    <w:rsid w:val="00B56C72"/>
    <w:rsid w:val="00B56DC1"/>
    <w:rsid w:val="00B56E34"/>
    <w:rsid w:val="00B57378"/>
    <w:rsid w:val="00B574BC"/>
    <w:rsid w:val="00B57790"/>
    <w:rsid w:val="00B578E6"/>
    <w:rsid w:val="00B57AFE"/>
    <w:rsid w:val="00B61568"/>
    <w:rsid w:val="00B61F00"/>
    <w:rsid w:val="00B62577"/>
    <w:rsid w:val="00B62759"/>
    <w:rsid w:val="00B6298D"/>
    <w:rsid w:val="00B62C94"/>
    <w:rsid w:val="00B63661"/>
    <w:rsid w:val="00B63894"/>
    <w:rsid w:val="00B65379"/>
    <w:rsid w:val="00B65658"/>
    <w:rsid w:val="00B671C3"/>
    <w:rsid w:val="00B672F3"/>
    <w:rsid w:val="00B70D77"/>
    <w:rsid w:val="00B7161D"/>
    <w:rsid w:val="00B718D7"/>
    <w:rsid w:val="00B71D0A"/>
    <w:rsid w:val="00B720CE"/>
    <w:rsid w:val="00B73A14"/>
    <w:rsid w:val="00B74919"/>
    <w:rsid w:val="00B74CEC"/>
    <w:rsid w:val="00B7586F"/>
    <w:rsid w:val="00B76409"/>
    <w:rsid w:val="00B77416"/>
    <w:rsid w:val="00B7761B"/>
    <w:rsid w:val="00B80003"/>
    <w:rsid w:val="00B80165"/>
    <w:rsid w:val="00B818AC"/>
    <w:rsid w:val="00B81BB9"/>
    <w:rsid w:val="00B81E04"/>
    <w:rsid w:val="00B8227A"/>
    <w:rsid w:val="00B822AD"/>
    <w:rsid w:val="00B823FD"/>
    <w:rsid w:val="00B824DA"/>
    <w:rsid w:val="00B82DC7"/>
    <w:rsid w:val="00B8311D"/>
    <w:rsid w:val="00B8467F"/>
    <w:rsid w:val="00B852A8"/>
    <w:rsid w:val="00B858AD"/>
    <w:rsid w:val="00B8759A"/>
    <w:rsid w:val="00B87B13"/>
    <w:rsid w:val="00B87C4F"/>
    <w:rsid w:val="00B87C73"/>
    <w:rsid w:val="00B9156E"/>
    <w:rsid w:val="00B919ED"/>
    <w:rsid w:val="00B91D66"/>
    <w:rsid w:val="00B9207A"/>
    <w:rsid w:val="00B927EC"/>
    <w:rsid w:val="00B92E2C"/>
    <w:rsid w:val="00B94C92"/>
    <w:rsid w:val="00B95745"/>
    <w:rsid w:val="00B95791"/>
    <w:rsid w:val="00B962CB"/>
    <w:rsid w:val="00B96391"/>
    <w:rsid w:val="00B96543"/>
    <w:rsid w:val="00B97875"/>
    <w:rsid w:val="00B97D45"/>
    <w:rsid w:val="00BA0606"/>
    <w:rsid w:val="00BA0A59"/>
    <w:rsid w:val="00BA0C2C"/>
    <w:rsid w:val="00BA16D5"/>
    <w:rsid w:val="00BA1716"/>
    <w:rsid w:val="00BA17C8"/>
    <w:rsid w:val="00BA292A"/>
    <w:rsid w:val="00BA330F"/>
    <w:rsid w:val="00BA3441"/>
    <w:rsid w:val="00BA36FD"/>
    <w:rsid w:val="00BA3C10"/>
    <w:rsid w:val="00BA44DF"/>
    <w:rsid w:val="00BA4AD4"/>
    <w:rsid w:val="00BA52A3"/>
    <w:rsid w:val="00BA5B81"/>
    <w:rsid w:val="00BA61C6"/>
    <w:rsid w:val="00BA6A2D"/>
    <w:rsid w:val="00BA6B2C"/>
    <w:rsid w:val="00BA7965"/>
    <w:rsid w:val="00BB0335"/>
    <w:rsid w:val="00BB041D"/>
    <w:rsid w:val="00BB0979"/>
    <w:rsid w:val="00BB0F51"/>
    <w:rsid w:val="00BB1ACB"/>
    <w:rsid w:val="00BB237E"/>
    <w:rsid w:val="00BB2FFF"/>
    <w:rsid w:val="00BB3AB6"/>
    <w:rsid w:val="00BB472F"/>
    <w:rsid w:val="00BB5A35"/>
    <w:rsid w:val="00BB687D"/>
    <w:rsid w:val="00BB7363"/>
    <w:rsid w:val="00BC07D0"/>
    <w:rsid w:val="00BC1B78"/>
    <w:rsid w:val="00BC1C23"/>
    <w:rsid w:val="00BC2025"/>
    <w:rsid w:val="00BC2715"/>
    <w:rsid w:val="00BC4FA0"/>
    <w:rsid w:val="00BC53B4"/>
    <w:rsid w:val="00BC5441"/>
    <w:rsid w:val="00BC5492"/>
    <w:rsid w:val="00BC54B6"/>
    <w:rsid w:val="00BC5941"/>
    <w:rsid w:val="00BC5D62"/>
    <w:rsid w:val="00BC5EE0"/>
    <w:rsid w:val="00BC63CD"/>
    <w:rsid w:val="00BC6419"/>
    <w:rsid w:val="00BC6569"/>
    <w:rsid w:val="00BC6B58"/>
    <w:rsid w:val="00BC746E"/>
    <w:rsid w:val="00BC7667"/>
    <w:rsid w:val="00BC7D2A"/>
    <w:rsid w:val="00BD16AF"/>
    <w:rsid w:val="00BD1792"/>
    <w:rsid w:val="00BD1DB6"/>
    <w:rsid w:val="00BD21AE"/>
    <w:rsid w:val="00BD3213"/>
    <w:rsid w:val="00BD3214"/>
    <w:rsid w:val="00BD34B5"/>
    <w:rsid w:val="00BD3AF4"/>
    <w:rsid w:val="00BD52EB"/>
    <w:rsid w:val="00BD5358"/>
    <w:rsid w:val="00BD5894"/>
    <w:rsid w:val="00BD5A48"/>
    <w:rsid w:val="00BD5EA4"/>
    <w:rsid w:val="00BD65BE"/>
    <w:rsid w:val="00BD6712"/>
    <w:rsid w:val="00BD735A"/>
    <w:rsid w:val="00BD790F"/>
    <w:rsid w:val="00BE05F2"/>
    <w:rsid w:val="00BE0832"/>
    <w:rsid w:val="00BE0872"/>
    <w:rsid w:val="00BE0D15"/>
    <w:rsid w:val="00BE1F4D"/>
    <w:rsid w:val="00BE1FFF"/>
    <w:rsid w:val="00BE2F8E"/>
    <w:rsid w:val="00BE3381"/>
    <w:rsid w:val="00BE5056"/>
    <w:rsid w:val="00BE5CAA"/>
    <w:rsid w:val="00BE6D2B"/>
    <w:rsid w:val="00BE7347"/>
    <w:rsid w:val="00BE7930"/>
    <w:rsid w:val="00BE7B1A"/>
    <w:rsid w:val="00BF003D"/>
    <w:rsid w:val="00BF0C56"/>
    <w:rsid w:val="00BF102D"/>
    <w:rsid w:val="00BF1F37"/>
    <w:rsid w:val="00BF4293"/>
    <w:rsid w:val="00BF4396"/>
    <w:rsid w:val="00BF55B9"/>
    <w:rsid w:val="00BF57B7"/>
    <w:rsid w:val="00BF5EDD"/>
    <w:rsid w:val="00BF6D4A"/>
    <w:rsid w:val="00BF7254"/>
    <w:rsid w:val="00C000DE"/>
    <w:rsid w:val="00C0122E"/>
    <w:rsid w:val="00C012F4"/>
    <w:rsid w:val="00C02116"/>
    <w:rsid w:val="00C0289D"/>
    <w:rsid w:val="00C03B20"/>
    <w:rsid w:val="00C03C72"/>
    <w:rsid w:val="00C04689"/>
    <w:rsid w:val="00C047F6"/>
    <w:rsid w:val="00C04B0B"/>
    <w:rsid w:val="00C05B0F"/>
    <w:rsid w:val="00C06225"/>
    <w:rsid w:val="00C0674E"/>
    <w:rsid w:val="00C06920"/>
    <w:rsid w:val="00C069B6"/>
    <w:rsid w:val="00C07052"/>
    <w:rsid w:val="00C07BE3"/>
    <w:rsid w:val="00C10775"/>
    <w:rsid w:val="00C12FD0"/>
    <w:rsid w:val="00C1318D"/>
    <w:rsid w:val="00C13247"/>
    <w:rsid w:val="00C137CB"/>
    <w:rsid w:val="00C137CD"/>
    <w:rsid w:val="00C1516F"/>
    <w:rsid w:val="00C156C2"/>
    <w:rsid w:val="00C15769"/>
    <w:rsid w:val="00C159B3"/>
    <w:rsid w:val="00C15C4C"/>
    <w:rsid w:val="00C15FA4"/>
    <w:rsid w:val="00C1732E"/>
    <w:rsid w:val="00C17418"/>
    <w:rsid w:val="00C205D1"/>
    <w:rsid w:val="00C20B18"/>
    <w:rsid w:val="00C20E6A"/>
    <w:rsid w:val="00C219D1"/>
    <w:rsid w:val="00C2290F"/>
    <w:rsid w:val="00C23C85"/>
    <w:rsid w:val="00C2410B"/>
    <w:rsid w:val="00C24AB5"/>
    <w:rsid w:val="00C2526A"/>
    <w:rsid w:val="00C25D0D"/>
    <w:rsid w:val="00C26A50"/>
    <w:rsid w:val="00C26D66"/>
    <w:rsid w:val="00C278CE"/>
    <w:rsid w:val="00C27AA5"/>
    <w:rsid w:val="00C30D9D"/>
    <w:rsid w:val="00C30F51"/>
    <w:rsid w:val="00C3261A"/>
    <w:rsid w:val="00C32819"/>
    <w:rsid w:val="00C32C19"/>
    <w:rsid w:val="00C33235"/>
    <w:rsid w:val="00C33441"/>
    <w:rsid w:val="00C343BF"/>
    <w:rsid w:val="00C3565A"/>
    <w:rsid w:val="00C3577C"/>
    <w:rsid w:val="00C35AC7"/>
    <w:rsid w:val="00C41B60"/>
    <w:rsid w:val="00C42044"/>
    <w:rsid w:val="00C42402"/>
    <w:rsid w:val="00C424F6"/>
    <w:rsid w:val="00C43122"/>
    <w:rsid w:val="00C43878"/>
    <w:rsid w:val="00C452B1"/>
    <w:rsid w:val="00C45B5F"/>
    <w:rsid w:val="00C45B69"/>
    <w:rsid w:val="00C45B83"/>
    <w:rsid w:val="00C4650E"/>
    <w:rsid w:val="00C46AD2"/>
    <w:rsid w:val="00C46CE8"/>
    <w:rsid w:val="00C47B85"/>
    <w:rsid w:val="00C50987"/>
    <w:rsid w:val="00C50FDE"/>
    <w:rsid w:val="00C51187"/>
    <w:rsid w:val="00C51CE6"/>
    <w:rsid w:val="00C53E6E"/>
    <w:rsid w:val="00C53EB2"/>
    <w:rsid w:val="00C5431C"/>
    <w:rsid w:val="00C54964"/>
    <w:rsid w:val="00C55804"/>
    <w:rsid w:val="00C56049"/>
    <w:rsid w:val="00C56301"/>
    <w:rsid w:val="00C56B23"/>
    <w:rsid w:val="00C56D08"/>
    <w:rsid w:val="00C5714F"/>
    <w:rsid w:val="00C61424"/>
    <w:rsid w:val="00C61463"/>
    <w:rsid w:val="00C62E84"/>
    <w:rsid w:val="00C64C7B"/>
    <w:rsid w:val="00C64DA9"/>
    <w:rsid w:val="00C64DD2"/>
    <w:rsid w:val="00C6506A"/>
    <w:rsid w:val="00C66385"/>
    <w:rsid w:val="00C66800"/>
    <w:rsid w:val="00C67074"/>
    <w:rsid w:val="00C676FB"/>
    <w:rsid w:val="00C70B81"/>
    <w:rsid w:val="00C714C4"/>
    <w:rsid w:val="00C71E1F"/>
    <w:rsid w:val="00C720FB"/>
    <w:rsid w:val="00C73527"/>
    <w:rsid w:val="00C750BB"/>
    <w:rsid w:val="00C759E5"/>
    <w:rsid w:val="00C76199"/>
    <w:rsid w:val="00C768BD"/>
    <w:rsid w:val="00C7692F"/>
    <w:rsid w:val="00C77920"/>
    <w:rsid w:val="00C80600"/>
    <w:rsid w:val="00C81027"/>
    <w:rsid w:val="00C82402"/>
    <w:rsid w:val="00C83023"/>
    <w:rsid w:val="00C8376E"/>
    <w:rsid w:val="00C83B48"/>
    <w:rsid w:val="00C841BC"/>
    <w:rsid w:val="00C848E8"/>
    <w:rsid w:val="00C85199"/>
    <w:rsid w:val="00C866CA"/>
    <w:rsid w:val="00C87F7F"/>
    <w:rsid w:val="00C87FAF"/>
    <w:rsid w:val="00C919CA"/>
    <w:rsid w:val="00C91F96"/>
    <w:rsid w:val="00C92117"/>
    <w:rsid w:val="00C9220A"/>
    <w:rsid w:val="00C941D5"/>
    <w:rsid w:val="00C942CC"/>
    <w:rsid w:val="00C947C5"/>
    <w:rsid w:val="00C950ED"/>
    <w:rsid w:val="00C95A54"/>
    <w:rsid w:val="00C96796"/>
    <w:rsid w:val="00C96CC7"/>
    <w:rsid w:val="00C975F2"/>
    <w:rsid w:val="00CA09A3"/>
    <w:rsid w:val="00CA0B6B"/>
    <w:rsid w:val="00CA15F5"/>
    <w:rsid w:val="00CA1777"/>
    <w:rsid w:val="00CA2318"/>
    <w:rsid w:val="00CA237D"/>
    <w:rsid w:val="00CA23DE"/>
    <w:rsid w:val="00CA2900"/>
    <w:rsid w:val="00CA34F5"/>
    <w:rsid w:val="00CA3D4B"/>
    <w:rsid w:val="00CA3DF8"/>
    <w:rsid w:val="00CA44E0"/>
    <w:rsid w:val="00CA45EA"/>
    <w:rsid w:val="00CA4A66"/>
    <w:rsid w:val="00CA5B79"/>
    <w:rsid w:val="00CA66CB"/>
    <w:rsid w:val="00CA7072"/>
    <w:rsid w:val="00CB0292"/>
    <w:rsid w:val="00CB0784"/>
    <w:rsid w:val="00CB0A49"/>
    <w:rsid w:val="00CB1964"/>
    <w:rsid w:val="00CB1EC8"/>
    <w:rsid w:val="00CB3818"/>
    <w:rsid w:val="00CB419F"/>
    <w:rsid w:val="00CB47C0"/>
    <w:rsid w:val="00CB4D17"/>
    <w:rsid w:val="00CB50D5"/>
    <w:rsid w:val="00CB534E"/>
    <w:rsid w:val="00CB5772"/>
    <w:rsid w:val="00CB68EA"/>
    <w:rsid w:val="00CB72B6"/>
    <w:rsid w:val="00CB7B45"/>
    <w:rsid w:val="00CB7F6C"/>
    <w:rsid w:val="00CC0CFD"/>
    <w:rsid w:val="00CC0ECA"/>
    <w:rsid w:val="00CC100F"/>
    <w:rsid w:val="00CC1278"/>
    <w:rsid w:val="00CC20A8"/>
    <w:rsid w:val="00CC39EE"/>
    <w:rsid w:val="00CC4C6D"/>
    <w:rsid w:val="00CC4C96"/>
    <w:rsid w:val="00CC4FF7"/>
    <w:rsid w:val="00CC56CD"/>
    <w:rsid w:val="00CC5DAD"/>
    <w:rsid w:val="00CC6481"/>
    <w:rsid w:val="00CC65D6"/>
    <w:rsid w:val="00CC6827"/>
    <w:rsid w:val="00CC7CDD"/>
    <w:rsid w:val="00CC7F21"/>
    <w:rsid w:val="00CD08CA"/>
    <w:rsid w:val="00CD09F5"/>
    <w:rsid w:val="00CD0A68"/>
    <w:rsid w:val="00CD0B44"/>
    <w:rsid w:val="00CD0C5C"/>
    <w:rsid w:val="00CD113C"/>
    <w:rsid w:val="00CD13CC"/>
    <w:rsid w:val="00CD1665"/>
    <w:rsid w:val="00CD1DDF"/>
    <w:rsid w:val="00CD1F37"/>
    <w:rsid w:val="00CD2540"/>
    <w:rsid w:val="00CD2B2D"/>
    <w:rsid w:val="00CD2F20"/>
    <w:rsid w:val="00CD40AF"/>
    <w:rsid w:val="00CD488E"/>
    <w:rsid w:val="00CD4BEE"/>
    <w:rsid w:val="00CD50B9"/>
    <w:rsid w:val="00CD5BD9"/>
    <w:rsid w:val="00CD6DD9"/>
    <w:rsid w:val="00CD76B0"/>
    <w:rsid w:val="00CD7F29"/>
    <w:rsid w:val="00CE02AE"/>
    <w:rsid w:val="00CE080E"/>
    <w:rsid w:val="00CE0F8B"/>
    <w:rsid w:val="00CE15DE"/>
    <w:rsid w:val="00CE1897"/>
    <w:rsid w:val="00CE1E46"/>
    <w:rsid w:val="00CE1F76"/>
    <w:rsid w:val="00CE204B"/>
    <w:rsid w:val="00CE293F"/>
    <w:rsid w:val="00CE2A39"/>
    <w:rsid w:val="00CE2BD0"/>
    <w:rsid w:val="00CE2CB5"/>
    <w:rsid w:val="00CE364B"/>
    <w:rsid w:val="00CE37A5"/>
    <w:rsid w:val="00CE3DA8"/>
    <w:rsid w:val="00CE45E2"/>
    <w:rsid w:val="00CE4610"/>
    <w:rsid w:val="00CE4889"/>
    <w:rsid w:val="00CE5637"/>
    <w:rsid w:val="00CE57C4"/>
    <w:rsid w:val="00CE5CE7"/>
    <w:rsid w:val="00CE5D5D"/>
    <w:rsid w:val="00CE732A"/>
    <w:rsid w:val="00CE74E0"/>
    <w:rsid w:val="00CF0C17"/>
    <w:rsid w:val="00CF1135"/>
    <w:rsid w:val="00CF1141"/>
    <w:rsid w:val="00CF1445"/>
    <w:rsid w:val="00CF178A"/>
    <w:rsid w:val="00CF25E9"/>
    <w:rsid w:val="00CF2634"/>
    <w:rsid w:val="00CF33F0"/>
    <w:rsid w:val="00CF4EA0"/>
    <w:rsid w:val="00CF67EB"/>
    <w:rsid w:val="00CF6D86"/>
    <w:rsid w:val="00CF71A8"/>
    <w:rsid w:val="00CF7626"/>
    <w:rsid w:val="00CF7C2C"/>
    <w:rsid w:val="00D0050F"/>
    <w:rsid w:val="00D009E0"/>
    <w:rsid w:val="00D00D0F"/>
    <w:rsid w:val="00D00DBE"/>
    <w:rsid w:val="00D00F53"/>
    <w:rsid w:val="00D01463"/>
    <w:rsid w:val="00D02324"/>
    <w:rsid w:val="00D0374E"/>
    <w:rsid w:val="00D04328"/>
    <w:rsid w:val="00D05A5C"/>
    <w:rsid w:val="00D05B3D"/>
    <w:rsid w:val="00D05DA4"/>
    <w:rsid w:val="00D06273"/>
    <w:rsid w:val="00D0685A"/>
    <w:rsid w:val="00D06928"/>
    <w:rsid w:val="00D07AA5"/>
    <w:rsid w:val="00D07DF7"/>
    <w:rsid w:val="00D10F14"/>
    <w:rsid w:val="00D1297E"/>
    <w:rsid w:val="00D12F94"/>
    <w:rsid w:val="00D149F6"/>
    <w:rsid w:val="00D14DFC"/>
    <w:rsid w:val="00D1598D"/>
    <w:rsid w:val="00D15B85"/>
    <w:rsid w:val="00D16212"/>
    <w:rsid w:val="00D1684C"/>
    <w:rsid w:val="00D16A23"/>
    <w:rsid w:val="00D17F81"/>
    <w:rsid w:val="00D2093F"/>
    <w:rsid w:val="00D20D0C"/>
    <w:rsid w:val="00D22E17"/>
    <w:rsid w:val="00D22E39"/>
    <w:rsid w:val="00D237A4"/>
    <w:rsid w:val="00D2390A"/>
    <w:rsid w:val="00D23984"/>
    <w:rsid w:val="00D245FA"/>
    <w:rsid w:val="00D2573F"/>
    <w:rsid w:val="00D261F6"/>
    <w:rsid w:val="00D26541"/>
    <w:rsid w:val="00D26648"/>
    <w:rsid w:val="00D267B5"/>
    <w:rsid w:val="00D26D07"/>
    <w:rsid w:val="00D2778A"/>
    <w:rsid w:val="00D30703"/>
    <w:rsid w:val="00D30DCB"/>
    <w:rsid w:val="00D3128C"/>
    <w:rsid w:val="00D321CC"/>
    <w:rsid w:val="00D329E3"/>
    <w:rsid w:val="00D32B05"/>
    <w:rsid w:val="00D32DB4"/>
    <w:rsid w:val="00D33A5A"/>
    <w:rsid w:val="00D34FD0"/>
    <w:rsid w:val="00D354F7"/>
    <w:rsid w:val="00D3613D"/>
    <w:rsid w:val="00D36265"/>
    <w:rsid w:val="00D368AD"/>
    <w:rsid w:val="00D36F6B"/>
    <w:rsid w:val="00D37030"/>
    <w:rsid w:val="00D377B9"/>
    <w:rsid w:val="00D41311"/>
    <w:rsid w:val="00D41515"/>
    <w:rsid w:val="00D41B56"/>
    <w:rsid w:val="00D432A2"/>
    <w:rsid w:val="00D438A5"/>
    <w:rsid w:val="00D43952"/>
    <w:rsid w:val="00D43B49"/>
    <w:rsid w:val="00D4425D"/>
    <w:rsid w:val="00D45086"/>
    <w:rsid w:val="00D45B93"/>
    <w:rsid w:val="00D45F17"/>
    <w:rsid w:val="00D46890"/>
    <w:rsid w:val="00D479A4"/>
    <w:rsid w:val="00D479FE"/>
    <w:rsid w:val="00D47FE6"/>
    <w:rsid w:val="00D504D8"/>
    <w:rsid w:val="00D509AD"/>
    <w:rsid w:val="00D50F41"/>
    <w:rsid w:val="00D5210D"/>
    <w:rsid w:val="00D52F7B"/>
    <w:rsid w:val="00D5310E"/>
    <w:rsid w:val="00D53212"/>
    <w:rsid w:val="00D54227"/>
    <w:rsid w:val="00D55828"/>
    <w:rsid w:val="00D55B98"/>
    <w:rsid w:val="00D5661A"/>
    <w:rsid w:val="00D60113"/>
    <w:rsid w:val="00D61EB1"/>
    <w:rsid w:val="00D628E1"/>
    <w:rsid w:val="00D6302E"/>
    <w:rsid w:val="00D631F7"/>
    <w:rsid w:val="00D63546"/>
    <w:rsid w:val="00D636ED"/>
    <w:rsid w:val="00D63BC1"/>
    <w:rsid w:val="00D6466A"/>
    <w:rsid w:val="00D6580D"/>
    <w:rsid w:val="00D65838"/>
    <w:rsid w:val="00D6686E"/>
    <w:rsid w:val="00D66B08"/>
    <w:rsid w:val="00D66CE2"/>
    <w:rsid w:val="00D670B8"/>
    <w:rsid w:val="00D673E2"/>
    <w:rsid w:val="00D67BAB"/>
    <w:rsid w:val="00D67C62"/>
    <w:rsid w:val="00D67DD5"/>
    <w:rsid w:val="00D70280"/>
    <w:rsid w:val="00D71029"/>
    <w:rsid w:val="00D71218"/>
    <w:rsid w:val="00D72063"/>
    <w:rsid w:val="00D72E07"/>
    <w:rsid w:val="00D738CB"/>
    <w:rsid w:val="00D73C11"/>
    <w:rsid w:val="00D743DC"/>
    <w:rsid w:val="00D74933"/>
    <w:rsid w:val="00D749CE"/>
    <w:rsid w:val="00D7517B"/>
    <w:rsid w:val="00D75315"/>
    <w:rsid w:val="00D75DBC"/>
    <w:rsid w:val="00D76182"/>
    <w:rsid w:val="00D8020D"/>
    <w:rsid w:val="00D80550"/>
    <w:rsid w:val="00D80F98"/>
    <w:rsid w:val="00D81299"/>
    <w:rsid w:val="00D816B5"/>
    <w:rsid w:val="00D81C93"/>
    <w:rsid w:val="00D8233E"/>
    <w:rsid w:val="00D82878"/>
    <w:rsid w:val="00D8315A"/>
    <w:rsid w:val="00D83AC9"/>
    <w:rsid w:val="00D83C9E"/>
    <w:rsid w:val="00D83F12"/>
    <w:rsid w:val="00D8491D"/>
    <w:rsid w:val="00D85094"/>
    <w:rsid w:val="00D850C2"/>
    <w:rsid w:val="00D851D7"/>
    <w:rsid w:val="00D857E5"/>
    <w:rsid w:val="00D857EF"/>
    <w:rsid w:val="00D86D5D"/>
    <w:rsid w:val="00D904CF"/>
    <w:rsid w:val="00D92656"/>
    <w:rsid w:val="00D9269B"/>
    <w:rsid w:val="00D93344"/>
    <w:rsid w:val="00D94D38"/>
    <w:rsid w:val="00D951BC"/>
    <w:rsid w:val="00D951F1"/>
    <w:rsid w:val="00D953A9"/>
    <w:rsid w:val="00D95C5E"/>
    <w:rsid w:val="00D95E6C"/>
    <w:rsid w:val="00D96C1C"/>
    <w:rsid w:val="00D96D58"/>
    <w:rsid w:val="00DA0BF1"/>
    <w:rsid w:val="00DA0FCF"/>
    <w:rsid w:val="00DA19D6"/>
    <w:rsid w:val="00DA2896"/>
    <w:rsid w:val="00DA2B29"/>
    <w:rsid w:val="00DA30A7"/>
    <w:rsid w:val="00DA3289"/>
    <w:rsid w:val="00DA4E39"/>
    <w:rsid w:val="00DA4F0E"/>
    <w:rsid w:val="00DA5567"/>
    <w:rsid w:val="00DA5895"/>
    <w:rsid w:val="00DA5C1C"/>
    <w:rsid w:val="00DA67D5"/>
    <w:rsid w:val="00DA6DDE"/>
    <w:rsid w:val="00DA6FD2"/>
    <w:rsid w:val="00DA71D1"/>
    <w:rsid w:val="00DA730E"/>
    <w:rsid w:val="00DA74E2"/>
    <w:rsid w:val="00DA757F"/>
    <w:rsid w:val="00DB1232"/>
    <w:rsid w:val="00DB1922"/>
    <w:rsid w:val="00DB1B44"/>
    <w:rsid w:val="00DB22FD"/>
    <w:rsid w:val="00DB2305"/>
    <w:rsid w:val="00DB271E"/>
    <w:rsid w:val="00DB2933"/>
    <w:rsid w:val="00DB3112"/>
    <w:rsid w:val="00DB3215"/>
    <w:rsid w:val="00DB392E"/>
    <w:rsid w:val="00DB3AD9"/>
    <w:rsid w:val="00DB3BD9"/>
    <w:rsid w:val="00DB3EE4"/>
    <w:rsid w:val="00DB4A36"/>
    <w:rsid w:val="00DB4B12"/>
    <w:rsid w:val="00DB4E78"/>
    <w:rsid w:val="00DB60F9"/>
    <w:rsid w:val="00DB63EF"/>
    <w:rsid w:val="00DB687A"/>
    <w:rsid w:val="00DB6994"/>
    <w:rsid w:val="00DB6CC3"/>
    <w:rsid w:val="00DB6CD8"/>
    <w:rsid w:val="00DB7885"/>
    <w:rsid w:val="00DB7B2B"/>
    <w:rsid w:val="00DB7FB0"/>
    <w:rsid w:val="00DC05DA"/>
    <w:rsid w:val="00DC1083"/>
    <w:rsid w:val="00DC2A37"/>
    <w:rsid w:val="00DC363B"/>
    <w:rsid w:val="00DC4746"/>
    <w:rsid w:val="00DC4888"/>
    <w:rsid w:val="00DC4AD0"/>
    <w:rsid w:val="00DC4AE8"/>
    <w:rsid w:val="00DC4BDA"/>
    <w:rsid w:val="00DC4D81"/>
    <w:rsid w:val="00DC5BCA"/>
    <w:rsid w:val="00DC5C6A"/>
    <w:rsid w:val="00DC749E"/>
    <w:rsid w:val="00DC79B9"/>
    <w:rsid w:val="00DD06F7"/>
    <w:rsid w:val="00DD07F7"/>
    <w:rsid w:val="00DD1389"/>
    <w:rsid w:val="00DD2526"/>
    <w:rsid w:val="00DD28FE"/>
    <w:rsid w:val="00DD2A51"/>
    <w:rsid w:val="00DD2AC5"/>
    <w:rsid w:val="00DD326E"/>
    <w:rsid w:val="00DD54EE"/>
    <w:rsid w:val="00DD67F5"/>
    <w:rsid w:val="00DD6A82"/>
    <w:rsid w:val="00DD7783"/>
    <w:rsid w:val="00DD787B"/>
    <w:rsid w:val="00DD7F6D"/>
    <w:rsid w:val="00DE04DA"/>
    <w:rsid w:val="00DE1566"/>
    <w:rsid w:val="00DE15D8"/>
    <w:rsid w:val="00DE20D1"/>
    <w:rsid w:val="00DE29FB"/>
    <w:rsid w:val="00DE2BA9"/>
    <w:rsid w:val="00DE2D27"/>
    <w:rsid w:val="00DE3324"/>
    <w:rsid w:val="00DE34E6"/>
    <w:rsid w:val="00DE369B"/>
    <w:rsid w:val="00DE376F"/>
    <w:rsid w:val="00DE3FB1"/>
    <w:rsid w:val="00DE4078"/>
    <w:rsid w:val="00DE4B19"/>
    <w:rsid w:val="00DE4B78"/>
    <w:rsid w:val="00DE4D33"/>
    <w:rsid w:val="00DE5FB6"/>
    <w:rsid w:val="00DE6A14"/>
    <w:rsid w:val="00DE6A25"/>
    <w:rsid w:val="00DE6C5A"/>
    <w:rsid w:val="00DE73AE"/>
    <w:rsid w:val="00DE74DD"/>
    <w:rsid w:val="00DE77EC"/>
    <w:rsid w:val="00DF01CF"/>
    <w:rsid w:val="00DF0636"/>
    <w:rsid w:val="00DF0692"/>
    <w:rsid w:val="00DF143E"/>
    <w:rsid w:val="00DF16D3"/>
    <w:rsid w:val="00DF26C7"/>
    <w:rsid w:val="00DF2C8E"/>
    <w:rsid w:val="00DF3533"/>
    <w:rsid w:val="00DF3867"/>
    <w:rsid w:val="00DF3D91"/>
    <w:rsid w:val="00DF4C92"/>
    <w:rsid w:val="00DF5A48"/>
    <w:rsid w:val="00DF6075"/>
    <w:rsid w:val="00DF64C7"/>
    <w:rsid w:val="00E009C5"/>
    <w:rsid w:val="00E017D1"/>
    <w:rsid w:val="00E019E3"/>
    <w:rsid w:val="00E01BC8"/>
    <w:rsid w:val="00E01E25"/>
    <w:rsid w:val="00E02A27"/>
    <w:rsid w:val="00E02BC2"/>
    <w:rsid w:val="00E0304F"/>
    <w:rsid w:val="00E0378E"/>
    <w:rsid w:val="00E03E79"/>
    <w:rsid w:val="00E043C2"/>
    <w:rsid w:val="00E045AF"/>
    <w:rsid w:val="00E04E0A"/>
    <w:rsid w:val="00E04E53"/>
    <w:rsid w:val="00E050F1"/>
    <w:rsid w:val="00E052A4"/>
    <w:rsid w:val="00E05320"/>
    <w:rsid w:val="00E059A4"/>
    <w:rsid w:val="00E06CD5"/>
    <w:rsid w:val="00E06E46"/>
    <w:rsid w:val="00E06F3A"/>
    <w:rsid w:val="00E10C1F"/>
    <w:rsid w:val="00E10E11"/>
    <w:rsid w:val="00E113AB"/>
    <w:rsid w:val="00E121AF"/>
    <w:rsid w:val="00E12C20"/>
    <w:rsid w:val="00E12D4C"/>
    <w:rsid w:val="00E14325"/>
    <w:rsid w:val="00E1464A"/>
    <w:rsid w:val="00E14F03"/>
    <w:rsid w:val="00E15E6C"/>
    <w:rsid w:val="00E1635B"/>
    <w:rsid w:val="00E166B8"/>
    <w:rsid w:val="00E21D7F"/>
    <w:rsid w:val="00E21E7C"/>
    <w:rsid w:val="00E21F8D"/>
    <w:rsid w:val="00E222B3"/>
    <w:rsid w:val="00E2238E"/>
    <w:rsid w:val="00E22443"/>
    <w:rsid w:val="00E22600"/>
    <w:rsid w:val="00E22A29"/>
    <w:rsid w:val="00E22BA8"/>
    <w:rsid w:val="00E23112"/>
    <w:rsid w:val="00E23212"/>
    <w:rsid w:val="00E241D2"/>
    <w:rsid w:val="00E2472F"/>
    <w:rsid w:val="00E25B4D"/>
    <w:rsid w:val="00E26480"/>
    <w:rsid w:val="00E26D76"/>
    <w:rsid w:val="00E27229"/>
    <w:rsid w:val="00E2756D"/>
    <w:rsid w:val="00E30026"/>
    <w:rsid w:val="00E30315"/>
    <w:rsid w:val="00E305D4"/>
    <w:rsid w:val="00E305F8"/>
    <w:rsid w:val="00E323AE"/>
    <w:rsid w:val="00E32B03"/>
    <w:rsid w:val="00E33734"/>
    <w:rsid w:val="00E33737"/>
    <w:rsid w:val="00E3496E"/>
    <w:rsid w:val="00E35A68"/>
    <w:rsid w:val="00E35AAC"/>
    <w:rsid w:val="00E35C00"/>
    <w:rsid w:val="00E37B49"/>
    <w:rsid w:val="00E37C1F"/>
    <w:rsid w:val="00E37F3F"/>
    <w:rsid w:val="00E402B7"/>
    <w:rsid w:val="00E40705"/>
    <w:rsid w:val="00E408EE"/>
    <w:rsid w:val="00E4157F"/>
    <w:rsid w:val="00E41688"/>
    <w:rsid w:val="00E41965"/>
    <w:rsid w:val="00E423DB"/>
    <w:rsid w:val="00E42569"/>
    <w:rsid w:val="00E426F2"/>
    <w:rsid w:val="00E42EEE"/>
    <w:rsid w:val="00E4303A"/>
    <w:rsid w:val="00E435C1"/>
    <w:rsid w:val="00E43943"/>
    <w:rsid w:val="00E43D5A"/>
    <w:rsid w:val="00E44120"/>
    <w:rsid w:val="00E4413E"/>
    <w:rsid w:val="00E444CA"/>
    <w:rsid w:val="00E449E3"/>
    <w:rsid w:val="00E44EBA"/>
    <w:rsid w:val="00E45283"/>
    <w:rsid w:val="00E453CC"/>
    <w:rsid w:val="00E464F3"/>
    <w:rsid w:val="00E50C9C"/>
    <w:rsid w:val="00E5229D"/>
    <w:rsid w:val="00E53048"/>
    <w:rsid w:val="00E531D0"/>
    <w:rsid w:val="00E5342F"/>
    <w:rsid w:val="00E53652"/>
    <w:rsid w:val="00E539EF"/>
    <w:rsid w:val="00E53D84"/>
    <w:rsid w:val="00E54080"/>
    <w:rsid w:val="00E5485D"/>
    <w:rsid w:val="00E553D3"/>
    <w:rsid w:val="00E55C0A"/>
    <w:rsid w:val="00E571D4"/>
    <w:rsid w:val="00E572B6"/>
    <w:rsid w:val="00E5776F"/>
    <w:rsid w:val="00E57B53"/>
    <w:rsid w:val="00E57E2F"/>
    <w:rsid w:val="00E605AB"/>
    <w:rsid w:val="00E6068E"/>
    <w:rsid w:val="00E609A1"/>
    <w:rsid w:val="00E6117F"/>
    <w:rsid w:val="00E62706"/>
    <w:rsid w:val="00E62744"/>
    <w:rsid w:val="00E62949"/>
    <w:rsid w:val="00E62B1A"/>
    <w:rsid w:val="00E6359A"/>
    <w:rsid w:val="00E6366E"/>
    <w:rsid w:val="00E639F9"/>
    <w:rsid w:val="00E64216"/>
    <w:rsid w:val="00E64D68"/>
    <w:rsid w:val="00E65615"/>
    <w:rsid w:val="00E65AB5"/>
    <w:rsid w:val="00E6679E"/>
    <w:rsid w:val="00E66C91"/>
    <w:rsid w:val="00E675AB"/>
    <w:rsid w:val="00E67737"/>
    <w:rsid w:val="00E7095F"/>
    <w:rsid w:val="00E70AFA"/>
    <w:rsid w:val="00E70B63"/>
    <w:rsid w:val="00E71C65"/>
    <w:rsid w:val="00E723A0"/>
    <w:rsid w:val="00E72938"/>
    <w:rsid w:val="00E72985"/>
    <w:rsid w:val="00E72A79"/>
    <w:rsid w:val="00E73038"/>
    <w:rsid w:val="00E7374C"/>
    <w:rsid w:val="00E7403A"/>
    <w:rsid w:val="00E7407D"/>
    <w:rsid w:val="00E7421A"/>
    <w:rsid w:val="00E74324"/>
    <w:rsid w:val="00E748DC"/>
    <w:rsid w:val="00E7534B"/>
    <w:rsid w:val="00E75525"/>
    <w:rsid w:val="00E75694"/>
    <w:rsid w:val="00E75872"/>
    <w:rsid w:val="00E75BBC"/>
    <w:rsid w:val="00E760E8"/>
    <w:rsid w:val="00E764D9"/>
    <w:rsid w:val="00E8008B"/>
    <w:rsid w:val="00E8018B"/>
    <w:rsid w:val="00E80442"/>
    <w:rsid w:val="00E80E35"/>
    <w:rsid w:val="00E80FBB"/>
    <w:rsid w:val="00E81748"/>
    <w:rsid w:val="00E817BA"/>
    <w:rsid w:val="00E8316D"/>
    <w:rsid w:val="00E83FE2"/>
    <w:rsid w:val="00E847BA"/>
    <w:rsid w:val="00E856DE"/>
    <w:rsid w:val="00E85A04"/>
    <w:rsid w:val="00E85A1B"/>
    <w:rsid w:val="00E85BBB"/>
    <w:rsid w:val="00E86931"/>
    <w:rsid w:val="00E86EFC"/>
    <w:rsid w:val="00E87521"/>
    <w:rsid w:val="00E879A1"/>
    <w:rsid w:val="00E87BAC"/>
    <w:rsid w:val="00E90EE3"/>
    <w:rsid w:val="00E916AD"/>
    <w:rsid w:val="00E91F8B"/>
    <w:rsid w:val="00E922EF"/>
    <w:rsid w:val="00E933EC"/>
    <w:rsid w:val="00E93C2B"/>
    <w:rsid w:val="00E93E68"/>
    <w:rsid w:val="00E9442D"/>
    <w:rsid w:val="00E95262"/>
    <w:rsid w:val="00E95F9F"/>
    <w:rsid w:val="00E962F4"/>
    <w:rsid w:val="00E96B8B"/>
    <w:rsid w:val="00E96D8D"/>
    <w:rsid w:val="00E9701A"/>
    <w:rsid w:val="00E97E52"/>
    <w:rsid w:val="00E97F56"/>
    <w:rsid w:val="00EA07B0"/>
    <w:rsid w:val="00EA0CCD"/>
    <w:rsid w:val="00EA117A"/>
    <w:rsid w:val="00EA1616"/>
    <w:rsid w:val="00EA163D"/>
    <w:rsid w:val="00EA16D7"/>
    <w:rsid w:val="00EA35A6"/>
    <w:rsid w:val="00EA4197"/>
    <w:rsid w:val="00EA4568"/>
    <w:rsid w:val="00EA4A37"/>
    <w:rsid w:val="00EA4C23"/>
    <w:rsid w:val="00EA54DA"/>
    <w:rsid w:val="00EA6ED3"/>
    <w:rsid w:val="00EA721C"/>
    <w:rsid w:val="00EA755D"/>
    <w:rsid w:val="00EA7FF1"/>
    <w:rsid w:val="00EB0D15"/>
    <w:rsid w:val="00EB0F19"/>
    <w:rsid w:val="00EB186F"/>
    <w:rsid w:val="00EB25E0"/>
    <w:rsid w:val="00EB2C72"/>
    <w:rsid w:val="00EB2D1B"/>
    <w:rsid w:val="00EB37A7"/>
    <w:rsid w:val="00EB3F8F"/>
    <w:rsid w:val="00EB438B"/>
    <w:rsid w:val="00EB4700"/>
    <w:rsid w:val="00EB478B"/>
    <w:rsid w:val="00EB4A19"/>
    <w:rsid w:val="00EB4BDE"/>
    <w:rsid w:val="00EB5E9F"/>
    <w:rsid w:val="00EB60F7"/>
    <w:rsid w:val="00EB6B99"/>
    <w:rsid w:val="00EB76B7"/>
    <w:rsid w:val="00EC032D"/>
    <w:rsid w:val="00EC140D"/>
    <w:rsid w:val="00EC2B28"/>
    <w:rsid w:val="00EC38DF"/>
    <w:rsid w:val="00EC3F29"/>
    <w:rsid w:val="00EC4680"/>
    <w:rsid w:val="00EC4CD8"/>
    <w:rsid w:val="00EC5090"/>
    <w:rsid w:val="00EC5BD7"/>
    <w:rsid w:val="00EC5F99"/>
    <w:rsid w:val="00EC6432"/>
    <w:rsid w:val="00EC6599"/>
    <w:rsid w:val="00EC762A"/>
    <w:rsid w:val="00EC786F"/>
    <w:rsid w:val="00ED024B"/>
    <w:rsid w:val="00ED0D6A"/>
    <w:rsid w:val="00ED119B"/>
    <w:rsid w:val="00ED1FAD"/>
    <w:rsid w:val="00ED20C1"/>
    <w:rsid w:val="00ED21CF"/>
    <w:rsid w:val="00ED2256"/>
    <w:rsid w:val="00ED232B"/>
    <w:rsid w:val="00ED336B"/>
    <w:rsid w:val="00ED3AF7"/>
    <w:rsid w:val="00ED47CA"/>
    <w:rsid w:val="00ED49CB"/>
    <w:rsid w:val="00ED4E83"/>
    <w:rsid w:val="00ED6806"/>
    <w:rsid w:val="00ED6B70"/>
    <w:rsid w:val="00ED73B8"/>
    <w:rsid w:val="00ED7CCE"/>
    <w:rsid w:val="00EE0F0B"/>
    <w:rsid w:val="00EE1313"/>
    <w:rsid w:val="00EE267A"/>
    <w:rsid w:val="00EE27E8"/>
    <w:rsid w:val="00EE2B4B"/>
    <w:rsid w:val="00EE3054"/>
    <w:rsid w:val="00EE3963"/>
    <w:rsid w:val="00EE3A2F"/>
    <w:rsid w:val="00EE3D2A"/>
    <w:rsid w:val="00EE5464"/>
    <w:rsid w:val="00EE57D8"/>
    <w:rsid w:val="00EE5E43"/>
    <w:rsid w:val="00EE5EB8"/>
    <w:rsid w:val="00EE6899"/>
    <w:rsid w:val="00EE6D53"/>
    <w:rsid w:val="00EE7405"/>
    <w:rsid w:val="00EE7477"/>
    <w:rsid w:val="00EE779C"/>
    <w:rsid w:val="00EE7D84"/>
    <w:rsid w:val="00EF0BBB"/>
    <w:rsid w:val="00EF11BA"/>
    <w:rsid w:val="00EF135A"/>
    <w:rsid w:val="00EF1B2A"/>
    <w:rsid w:val="00EF1D27"/>
    <w:rsid w:val="00EF1DA1"/>
    <w:rsid w:val="00EF282E"/>
    <w:rsid w:val="00EF4228"/>
    <w:rsid w:val="00EF4A8B"/>
    <w:rsid w:val="00EF4D9E"/>
    <w:rsid w:val="00EF52E7"/>
    <w:rsid w:val="00EF5669"/>
    <w:rsid w:val="00EF5CD9"/>
    <w:rsid w:val="00EF6093"/>
    <w:rsid w:val="00EF64B7"/>
    <w:rsid w:val="00EF71A0"/>
    <w:rsid w:val="00EF790A"/>
    <w:rsid w:val="00F0008A"/>
    <w:rsid w:val="00F000E1"/>
    <w:rsid w:val="00F00E76"/>
    <w:rsid w:val="00F01CB9"/>
    <w:rsid w:val="00F01F1D"/>
    <w:rsid w:val="00F028D1"/>
    <w:rsid w:val="00F047C2"/>
    <w:rsid w:val="00F05919"/>
    <w:rsid w:val="00F05FC4"/>
    <w:rsid w:val="00F10B2A"/>
    <w:rsid w:val="00F1113D"/>
    <w:rsid w:val="00F11C7A"/>
    <w:rsid w:val="00F140EC"/>
    <w:rsid w:val="00F1457C"/>
    <w:rsid w:val="00F14597"/>
    <w:rsid w:val="00F145CC"/>
    <w:rsid w:val="00F14637"/>
    <w:rsid w:val="00F1515C"/>
    <w:rsid w:val="00F154CF"/>
    <w:rsid w:val="00F156B5"/>
    <w:rsid w:val="00F1571F"/>
    <w:rsid w:val="00F1646F"/>
    <w:rsid w:val="00F16770"/>
    <w:rsid w:val="00F16DC3"/>
    <w:rsid w:val="00F1718E"/>
    <w:rsid w:val="00F17619"/>
    <w:rsid w:val="00F20BF8"/>
    <w:rsid w:val="00F21866"/>
    <w:rsid w:val="00F22160"/>
    <w:rsid w:val="00F2281E"/>
    <w:rsid w:val="00F22874"/>
    <w:rsid w:val="00F22F12"/>
    <w:rsid w:val="00F248EC"/>
    <w:rsid w:val="00F24AFD"/>
    <w:rsid w:val="00F24E84"/>
    <w:rsid w:val="00F25940"/>
    <w:rsid w:val="00F25E57"/>
    <w:rsid w:val="00F26398"/>
    <w:rsid w:val="00F26685"/>
    <w:rsid w:val="00F27152"/>
    <w:rsid w:val="00F27162"/>
    <w:rsid w:val="00F27D7F"/>
    <w:rsid w:val="00F30251"/>
    <w:rsid w:val="00F302F4"/>
    <w:rsid w:val="00F30783"/>
    <w:rsid w:val="00F30FCE"/>
    <w:rsid w:val="00F31549"/>
    <w:rsid w:val="00F3225C"/>
    <w:rsid w:val="00F32D4A"/>
    <w:rsid w:val="00F338BC"/>
    <w:rsid w:val="00F3445D"/>
    <w:rsid w:val="00F35871"/>
    <w:rsid w:val="00F3587B"/>
    <w:rsid w:val="00F35DA8"/>
    <w:rsid w:val="00F36B14"/>
    <w:rsid w:val="00F36C6C"/>
    <w:rsid w:val="00F40FAD"/>
    <w:rsid w:val="00F41A40"/>
    <w:rsid w:val="00F41AFD"/>
    <w:rsid w:val="00F41BB2"/>
    <w:rsid w:val="00F42597"/>
    <w:rsid w:val="00F43309"/>
    <w:rsid w:val="00F438BF"/>
    <w:rsid w:val="00F43D7E"/>
    <w:rsid w:val="00F44C1D"/>
    <w:rsid w:val="00F44CA7"/>
    <w:rsid w:val="00F44D5D"/>
    <w:rsid w:val="00F45FCA"/>
    <w:rsid w:val="00F465CF"/>
    <w:rsid w:val="00F46D02"/>
    <w:rsid w:val="00F473F5"/>
    <w:rsid w:val="00F50DCA"/>
    <w:rsid w:val="00F513CE"/>
    <w:rsid w:val="00F522C8"/>
    <w:rsid w:val="00F52EC7"/>
    <w:rsid w:val="00F53347"/>
    <w:rsid w:val="00F533F1"/>
    <w:rsid w:val="00F53847"/>
    <w:rsid w:val="00F539C0"/>
    <w:rsid w:val="00F543C0"/>
    <w:rsid w:val="00F54885"/>
    <w:rsid w:val="00F54C8A"/>
    <w:rsid w:val="00F55BC3"/>
    <w:rsid w:val="00F55C62"/>
    <w:rsid w:val="00F55F4A"/>
    <w:rsid w:val="00F56894"/>
    <w:rsid w:val="00F56C14"/>
    <w:rsid w:val="00F577FB"/>
    <w:rsid w:val="00F57C91"/>
    <w:rsid w:val="00F604AA"/>
    <w:rsid w:val="00F60FB9"/>
    <w:rsid w:val="00F60FBD"/>
    <w:rsid w:val="00F61B4C"/>
    <w:rsid w:val="00F61DED"/>
    <w:rsid w:val="00F6290F"/>
    <w:rsid w:val="00F6299F"/>
    <w:rsid w:val="00F62B70"/>
    <w:rsid w:val="00F63A17"/>
    <w:rsid w:val="00F63EDD"/>
    <w:rsid w:val="00F64B80"/>
    <w:rsid w:val="00F66235"/>
    <w:rsid w:val="00F66C76"/>
    <w:rsid w:val="00F66F62"/>
    <w:rsid w:val="00F706F3"/>
    <w:rsid w:val="00F709AC"/>
    <w:rsid w:val="00F717B9"/>
    <w:rsid w:val="00F71AD6"/>
    <w:rsid w:val="00F71B25"/>
    <w:rsid w:val="00F724FC"/>
    <w:rsid w:val="00F725DD"/>
    <w:rsid w:val="00F72635"/>
    <w:rsid w:val="00F7311C"/>
    <w:rsid w:val="00F74F69"/>
    <w:rsid w:val="00F751B7"/>
    <w:rsid w:val="00F754AA"/>
    <w:rsid w:val="00F75542"/>
    <w:rsid w:val="00F77419"/>
    <w:rsid w:val="00F77950"/>
    <w:rsid w:val="00F8049A"/>
    <w:rsid w:val="00F80E63"/>
    <w:rsid w:val="00F82680"/>
    <w:rsid w:val="00F82718"/>
    <w:rsid w:val="00F828C2"/>
    <w:rsid w:val="00F82E27"/>
    <w:rsid w:val="00F82EFF"/>
    <w:rsid w:val="00F8320F"/>
    <w:rsid w:val="00F8332B"/>
    <w:rsid w:val="00F83468"/>
    <w:rsid w:val="00F835D9"/>
    <w:rsid w:val="00F8480B"/>
    <w:rsid w:val="00F84CAC"/>
    <w:rsid w:val="00F84E5C"/>
    <w:rsid w:val="00F85BA8"/>
    <w:rsid w:val="00F86372"/>
    <w:rsid w:val="00F875A8"/>
    <w:rsid w:val="00F87999"/>
    <w:rsid w:val="00F901A1"/>
    <w:rsid w:val="00F905D4"/>
    <w:rsid w:val="00F906C9"/>
    <w:rsid w:val="00F90B93"/>
    <w:rsid w:val="00F92604"/>
    <w:rsid w:val="00F926FE"/>
    <w:rsid w:val="00F93505"/>
    <w:rsid w:val="00F96DD9"/>
    <w:rsid w:val="00F96EA0"/>
    <w:rsid w:val="00F96F33"/>
    <w:rsid w:val="00F97578"/>
    <w:rsid w:val="00F97828"/>
    <w:rsid w:val="00FA1703"/>
    <w:rsid w:val="00FA2D15"/>
    <w:rsid w:val="00FA3368"/>
    <w:rsid w:val="00FA3AA2"/>
    <w:rsid w:val="00FA3D4B"/>
    <w:rsid w:val="00FA4045"/>
    <w:rsid w:val="00FA42A5"/>
    <w:rsid w:val="00FA5B5F"/>
    <w:rsid w:val="00FA61C9"/>
    <w:rsid w:val="00FA6E6E"/>
    <w:rsid w:val="00FA7088"/>
    <w:rsid w:val="00FA75A6"/>
    <w:rsid w:val="00FA7A41"/>
    <w:rsid w:val="00FB0421"/>
    <w:rsid w:val="00FB0529"/>
    <w:rsid w:val="00FB0D2B"/>
    <w:rsid w:val="00FB144F"/>
    <w:rsid w:val="00FB18FA"/>
    <w:rsid w:val="00FB269C"/>
    <w:rsid w:val="00FB2F99"/>
    <w:rsid w:val="00FB348C"/>
    <w:rsid w:val="00FB34D7"/>
    <w:rsid w:val="00FB3506"/>
    <w:rsid w:val="00FB44F7"/>
    <w:rsid w:val="00FB4FCC"/>
    <w:rsid w:val="00FB5037"/>
    <w:rsid w:val="00FB6BAB"/>
    <w:rsid w:val="00FB6FCC"/>
    <w:rsid w:val="00FB74DA"/>
    <w:rsid w:val="00FB7F77"/>
    <w:rsid w:val="00FB7FD2"/>
    <w:rsid w:val="00FC10AE"/>
    <w:rsid w:val="00FC19A9"/>
    <w:rsid w:val="00FC2AA7"/>
    <w:rsid w:val="00FC32EE"/>
    <w:rsid w:val="00FC4809"/>
    <w:rsid w:val="00FC4CFB"/>
    <w:rsid w:val="00FC4EEA"/>
    <w:rsid w:val="00FC51BA"/>
    <w:rsid w:val="00FC6151"/>
    <w:rsid w:val="00FC6A89"/>
    <w:rsid w:val="00FC6E79"/>
    <w:rsid w:val="00FC6F8F"/>
    <w:rsid w:val="00FC7CD5"/>
    <w:rsid w:val="00FD0948"/>
    <w:rsid w:val="00FD0B28"/>
    <w:rsid w:val="00FD1673"/>
    <w:rsid w:val="00FD1AEA"/>
    <w:rsid w:val="00FD369C"/>
    <w:rsid w:val="00FD3CD9"/>
    <w:rsid w:val="00FD3CFA"/>
    <w:rsid w:val="00FD4ECB"/>
    <w:rsid w:val="00FD65E7"/>
    <w:rsid w:val="00FD6DCC"/>
    <w:rsid w:val="00FD7B1E"/>
    <w:rsid w:val="00FD7CC4"/>
    <w:rsid w:val="00FD7E0E"/>
    <w:rsid w:val="00FE0529"/>
    <w:rsid w:val="00FE07CF"/>
    <w:rsid w:val="00FE09DE"/>
    <w:rsid w:val="00FE0FB6"/>
    <w:rsid w:val="00FE18FC"/>
    <w:rsid w:val="00FE26C7"/>
    <w:rsid w:val="00FE2722"/>
    <w:rsid w:val="00FE337C"/>
    <w:rsid w:val="00FE3BD5"/>
    <w:rsid w:val="00FE3D8B"/>
    <w:rsid w:val="00FE45A0"/>
    <w:rsid w:val="00FE4E0F"/>
    <w:rsid w:val="00FE4F36"/>
    <w:rsid w:val="00FE5455"/>
    <w:rsid w:val="00FE55DA"/>
    <w:rsid w:val="00FE77D4"/>
    <w:rsid w:val="00FE7B94"/>
    <w:rsid w:val="00FE7F2B"/>
    <w:rsid w:val="00FF0315"/>
    <w:rsid w:val="00FF0A51"/>
    <w:rsid w:val="00FF0F6F"/>
    <w:rsid w:val="00FF248E"/>
    <w:rsid w:val="00FF2999"/>
    <w:rsid w:val="00FF2DA0"/>
    <w:rsid w:val="00FF36B2"/>
    <w:rsid w:val="00FF3A4C"/>
    <w:rsid w:val="00FF3FE0"/>
    <w:rsid w:val="00FF58C9"/>
    <w:rsid w:val="00FF6801"/>
    <w:rsid w:val="00FF69F5"/>
    <w:rsid w:val="00FF7369"/>
    <w:rsid w:val="00FF7A1F"/>
    <w:rsid w:val="00FF7D7A"/>
    <w:rsid w:val="010B35FB"/>
    <w:rsid w:val="011C3F57"/>
    <w:rsid w:val="011D11BA"/>
    <w:rsid w:val="011D13B3"/>
    <w:rsid w:val="011D1AA8"/>
    <w:rsid w:val="011D4B0D"/>
    <w:rsid w:val="012B22FF"/>
    <w:rsid w:val="012C715D"/>
    <w:rsid w:val="013E1EAD"/>
    <w:rsid w:val="01584F1E"/>
    <w:rsid w:val="01585E16"/>
    <w:rsid w:val="015C4AB8"/>
    <w:rsid w:val="01616900"/>
    <w:rsid w:val="016A0124"/>
    <w:rsid w:val="016B0F46"/>
    <w:rsid w:val="016F6732"/>
    <w:rsid w:val="018450FF"/>
    <w:rsid w:val="018E051B"/>
    <w:rsid w:val="019E5991"/>
    <w:rsid w:val="01A11598"/>
    <w:rsid w:val="01A63A63"/>
    <w:rsid w:val="01A70416"/>
    <w:rsid w:val="01A96157"/>
    <w:rsid w:val="01AA63E9"/>
    <w:rsid w:val="01AB63A1"/>
    <w:rsid w:val="01AD4FB5"/>
    <w:rsid w:val="01B77F20"/>
    <w:rsid w:val="01B80B7A"/>
    <w:rsid w:val="01C61681"/>
    <w:rsid w:val="01C95227"/>
    <w:rsid w:val="01CB6F97"/>
    <w:rsid w:val="01CE512B"/>
    <w:rsid w:val="01D22C7C"/>
    <w:rsid w:val="01DC0CA6"/>
    <w:rsid w:val="01DD7FC3"/>
    <w:rsid w:val="01E13FD8"/>
    <w:rsid w:val="01E16E78"/>
    <w:rsid w:val="01E235B7"/>
    <w:rsid w:val="01ED50D1"/>
    <w:rsid w:val="01F071BC"/>
    <w:rsid w:val="01FA03C3"/>
    <w:rsid w:val="01FD21E7"/>
    <w:rsid w:val="02031863"/>
    <w:rsid w:val="02033B37"/>
    <w:rsid w:val="02083C98"/>
    <w:rsid w:val="020E1F2C"/>
    <w:rsid w:val="02100EDC"/>
    <w:rsid w:val="02136B8A"/>
    <w:rsid w:val="02195CE2"/>
    <w:rsid w:val="021F6B64"/>
    <w:rsid w:val="022358C2"/>
    <w:rsid w:val="022720F4"/>
    <w:rsid w:val="022D4383"/>
    <w:rsid w:val="023022E6"/>
    <w:rsid w:val="023F14D7"/>
    <w:rsid w:val="02410C57"/>
    <w:rsid w:val="024C0961"/>
    <w:rsid w:val="024D46E1"/>
    <w:rsid w:val="024D702C"/>
    <w:rsid w:val="025577B7"/>
    <w:rsid w:val="025D13A6"/>
    <w:rsid w:val="026126F3"/>
    <w:rsid w:val="026F5EAF"/>
    <w:rsid w:val="02775E4F"/>
    <w:rsid w:val="027B0C11"/>
    <w:rsid w:val="02833182"/>
    <w:rsid w:val="02A81D04"/>
    <w:rsid w:val="02AB6937"/>
    <w:rsid w:val="02AC1359"/>
    <w:rsid w:val="02B045F0"/>
    <w:rsid w:val="02C36868"/>
    <w:rsid w:val="02C92EB8"/>
    <w:rsid w:val="02D3692A"/>
    <w:rsid w:val="02D4753A"/>
    <w:rsid w:val="02E254A6"/>
    <w:rsid w:val="02EC22BC"/>
    <w:rsid w:val="02F868BD"/>
    <w:rsid w:val="02FB6B16"/>
    <w:rsid w:val="03072104"/>
    <w:rsid w:val="030762A4"/>
    <w:rsid w:val="03097611"/>
    <w:rsid w:val="031133BA"/>
    <w:rsid w:val="03187A13"/>
    <w:rsid w:val="031B2090"/>
    <w:rsid w:val="031D6EF9"/>
    <w:rsid w:val="03237031"/>
    <w:rsid w:val="032806EC"/>
    <w:rsid w:val="03335B00"/>
    <w:rsid w:val="03395B24"/>
    <w:rsid w:val="033F1D4D"/>
    <w:rsid w:val="03532B2B"/>
    <w:rsid w:val="03544A2F"/>
    <w:rsid w:val="03565012"/>
    <w:rsid w:val="036455E8"/>
    <w:rsid w:val="0366690B"/>
    <w:rsid w:val="036965F2"/>
    <w:rsid w:val="038361B8"/>
    <w:rsid w:val="039968F4"/>
    <w:rsid w:val="03B139FD"/>
    <w:rsid w:val="03BB28AB"/>
    <w:rsid w:val="03BE0F38"/>
    <w:rsid w:val="03C055D4"/>
    <w:rsid w:val="03C0713E"/>
    <w:rsid w:val="03C650A4"/>
    <w:rsid w:val="03C83808"/>
    <w:rsid w:val="03C912D5"/>
    <w:rsid w:val="03D37F7B"/>
    <w:rsid w:val="03D51E82"/>
    <w:rsid w:val="03EB6F44"/>
    <w:rsid w:val="03EE4CB6"/>
    <w:rsid w:val="03F67688"/>
    <w:rsid w:val="03F7452E"/>
    <w:rsid w:val="03F9517B"/>
    <w:rsid w:val="03FD05D6"/>
    <w:rsid w:val="03FE5645"/>
    <w:rsid w:val="03FF6B32"/>
    <w:rsid w:val="040C2FA4"/>
    <w:rsid w:val="04103707"/>
    <w:rsid w:val="041746A4"/>
    <w:rsid w:val="042248E6"/>
    <w:rsid w:val="043001C7"/>
    <w:rsid w:val="04360BFE"/>
    <w:rsid w:val="04373A8F"/>
    <w:rsid w:val="043C754C"/>
    <w:rsid w:val="043E326C"/>
    <w:rsid w:val="0446701A"/>
    <w:rsid w:val="044B59D4"/>
    <w:rsid w:val="044E3242"/>
    <w:rsid w:val="04502DDD"/>
    <w:rsid w:val="04547232"/>
    <w:rsid w:val="0466662A"/>
    <w:rsid w:val="04697361"/>
    <w:rsid w:val="047A1C52"/>
    <w:rsid w:val="04874E25"/>
    <w:rsid w:val="048D3338"/>
    <w:rsid w:val="049251C3"/>
    <w:rsid w:val="049274E2"/>
    <w:rsid w:val="04A372C8"/>
    <w:rsid w:val="04B57912"/>
    <w:rsid w:val="04BC0A04"/>
    <w:rsid w:val="04CB5566"/>
    <w:rsid w:val="04CC597A"/>
    <w:rsid w:val="04D04F4F"/>
    <w:rsid w:val="04DE37C0"/>
    <w:rsid w:val="04E03361"/>
    <w:rsid w:val="04E67A2A"/>
    <w:rsid w:val="04F72654"/>
    <w:rsid w:val="04F81D4C"/>
    <w:rsid w:val="05096164"/>
    <w:rsid w:val="05176939"/>
    <w:rsid w:val="05264130"/>
    <w:rsid w:val="05264686"/>
    <w:rsid w:val="052F6306"/>
    <w:rsid w:val="05387E0D"/>
    <w:rsid w:val="05400E91"/>
    <w:rsid w:val="0542164D"/>
    <w:rsid w:val="054364BD"/>
    <w:rsid w:val="05496343"/>
    <w:rsid w:val="054A0E25"/>
    <w:rsid w:val="054E0FC8"/>
    <w:rsid w:val="057535B3"/>
    <w:rsid w:val="0589754A"/>
    <w:rsid w:val="058E7401"/>
    <w:rsid w:val="0590454F"/>
    <w:rsid w:val="05A24FF4"/>
    <w:rsid w:val="05A4650C"/>
    <w:rsid w:val="05A71EFA"/>
    <w:rsid w:val="05B27E90"/>
    <w:rsid w:val="05B670E0"/>
    <w:rsid w:val="05BB0BB8"/>
    <w:rsid w:val="05C17473"/>
    <w:rsid w:val="05D4030D"/>
    <w:rsid w:val="05DB0D74"/>
    <w:rsid w:val="05DE06BC"/>
    <w:rsid w:val="05E13FAC"/>
    <w:rsid w:val="05F85C16"/>
    <w:rsid w:val="05FC2E5E"/>
    <w:rsid w:val="06021D96"/>
    <w:rsid w:val="06043B0F"/>
    <w:rsid w:val="060C3291"/>
    <w:rsid w:val="061434EB"/>
    <w:rsid w:val="061A2A7F"/>
    <w:rsid w:val="061A7DBC"/>
    <w:rsid w:val="061E794F"/>
    <w:rsid w:val="06260B8A"/>
    <w:rsid w:val="062A60ED"/>
    <w:rsid w:val="062E2A9C"/>
    <w:rsid w:val="06320DD0"/>
    <w:rsid w:val="064047AA"/>
    <w:rsid w:val="06404F5F"/>
    <w:rsid w:val="065D19DE"/>
    <w:rsid w:val="065F6A3B"/>
    <w:rsid w:val="06657ABD"/>
    <w:rsid w:val="06657E23"/>
    <w:rsid w:val="0667214C"/>
    <w:rsid w:val="066E48B4"/>
    <w:rsid w:val="067949A5"/>
    <w:rsid w:val="068A1274"/>
    <w:rsid w:val="068A4A7D"/>
    <w:rsid w:val="06A46027"/>
    <w:rsid w:val="06B458F2"/>
    <w:rsid w:val="06B51349"/>
    <w:rsid w:val="06B75B95"/>
    <w:rsid w:val="06CB0127"/>
    <w:rsid w:val="06D92874"/>
    <w:rsid w:val="06DB1666"/>
    <w:rsid w:val="06E50F6B"/>
    <w:rsid w:val="06F369BA"/>
    <w:rsid w:val="06F61883"/>
    <w:rsid w:val="06F73C84"/>
    <w:rsid w:val="06F757B1"/>
    <w:rsid w:val="06F9464B"/>
    <w:rsid w:val="06FC40C4"/>
    <w:rsid w:val="07021709"/>
    <w:rsid w:val="0706071E"/>
    <w:rsid w:val="071741D7"/>
    <w:rsid w:val="071D75EA"/>
    <w:rsid w:val="07237B04"/>
    <w:rsid w:val="0728612F"/>
    <w:rsid w:val="073131C8"/>
    <w:rsid w:val="07346616"/>
    <w:rsid w:val="07370F5C"/>
    <w:rsid w:val="073E7722"/>
    <w:rsid w:val="074E6F23"/>
    <w:rsid w:val="07504685"/>
    <w:rsid w:val="07517297"/>
    <w:rsid w:val="075A4D62"/>
    <w:rsid w:val="07700059"/>
    <w:rsid w:val="07796178"/>
    <w:rsid w:val="077A6AF0"/>
    <w:rsid w:val="07811F95"/>
    <w:rsid w:val="0786644E"/>
    <w:rsid w:val="078726DC"/>
    <w:rsid w:val="079161B1"/>
    <w:rsid w:val="07981209"/>
    <w:rsid w:val="079C70C1"/>
    <w:rsid w:val="07A81BCB"/>
    <w:rsid w:val="07A8739F"/>
    <w:rsid w:val="07A91CEA"/>
    <w:rsid w:val="07B4355B"/>
    <w:rsid w:val="07C36C8D"/>
    <w:rsid w:val="07C549B9"/>
    <w:rsid w:val="07C6411F"/>
    <w:rsid w:val="07D77390"/>
    <w:rsid w:val="07DB394C"/>
    <w:rsid w:val="07DF0E6E"/>
    <w:rsid w:val="07E93ACD"/>
    <w:rsid w:val="07EE10EC"/>
    <w:rsid w:val="07F4769C"/>
    <w:rsid w:val="081575E3"/>
    <w:rsid w:val="08296CA4"/>
    <w:rsid w:val="082C3546"/>
    <w:rsid w:val="08386081"/>
    <w:rsid w:val="083A265A"/>
    <w:rsid w:val="08427B65"/>
    <w:rsid w:val="084663CA"/>
    <w:rsid w:val="085F0CB2"/>
    <w:rsid w:val="08653931"/>
    <w:rsid w:val="086E77F0"/>
    <w:rsid w:val="08762297"/>
    <w:rsid w:val="087D25CD"/>
    <w:rsid w:val="0881497D"/>
    <w:rsid w:val="08872837"/>
    <w:rsid w:val="0887371F"/>
    <w:rsid w:val="088B2F95"/>
    <w:rsid w:val="089202EB"/>
    <w:rsid w:val="089362EE"/>
    <w:rsid w:val="0895194A"/>
    <w:rsid w:val="089533AB"/>
    <w:rsid w:val="0898024A"/>
    <w:rsid w:val="089C0157"/>
    <w:rsid w:val="089C0D7A"/>
    <w:rsid w:val="089C772D"/>
    <w:rsid w:val="08A807B0"/>
    <w:rsid w:val="08A80F39"/>
    <w:rsid w:val="08B8779C"/>
    <w:rsid w:val="08CE633F"/>
    <w:rsid w:val="08CF69A6"/>
    <w:rsid w:val="08EF734A"/>
    <w:rsid w:val="08F62164"/>
    <w:rsid w:val="08F6367D"/>
    <w:rsid w:val="08F77022"/>
    <w:rsid w:val="090B09A4"/>
    <w:rsid w:val="09216B15"/>
    <w:rsid w:val="09310574"/>
    <w:rsid w:val="093605F8"/>
    <w:rsid w:val="09401C9B"/>
    <w:rsid w:val="094565CE"/>
    <w:rsid w:val="094D29D1"/>
    <w:rsid w:val="09641A27"/>
    <w:rsid w:val="096747BD"/>
    <w:rsid w:val="09756BD9"/>
    <w:rsid w:val="0978174A"/>
    <w:rsid w:val="097A7FD3"/>
    <w:rsid w:val="0982469E"/>
    <w:rsid w:val="0985563F"/>
    <w:rsid w:val="09870FE5"/>
    <w:rsid w:val="09A07D8E"/>
    <w:rsid w:val="09B70E91"/>
    <w:rsid w:val="09B73043"/>
    <w:rsid w:val="09B85E66"/>
    <w:rsid w:val="09BC683E"/>
    <w:rsid w:val="09CC6554"/>
    <w:rsid w:val="09D62656"/>
    <w:rsid w:val="09D74EF0"/>
    <w:rsid w:val="09DA4CC9"/>
    <w:rsid w:val="09E3720E"/>
    <w:rsid w:val="09EB7C50"/>
    <w:rsid w:val="09FB4F0B"/>
    <w:rsid w:val="0A02431C"/>
    <w:rsid w:val="0A0E19B5"/>
    <w:rsid w:val="0A124DEA"/>
    <w:rsid w:val="0A150D1E"/>
    <w:rsid w:val="0A16130F"/>
    <w:rsid w:val="0A22573B"/>
    <w:rsid w:val="0A322311"/>
    <w:rsid w:val="0A32616B"/>
    <w:rsid w:val="0A464512"/>
    <w:rsid w:val="0A4C35A7"/>
    <w:rsid w:val="0A4C54DF"/>
    <w:rsid w:val="0A60395F"/>
    <w:rsid w:val="0A7A3A4A"/>
    <w:rsid w:val="0A7B6C11"/>
    <w:rsid w:val="0A8279EE"/>
    <w:rsid w:val="0A89562A"/>
    <w:rsid w:val="0A8C01E5"/>
    <w:rsid w:val="0A8D600E"/>
    <w:rsid w:val="0A8F3F52"/>
    <w:rsid w:val="0A9742D0"/>
    <w:rsid w:val="0A9E24BF"/>
    <w:rsid w:val="0AA06E10"/>
    <w:rsid w:val="0AA979B2"/>
    <w:rsid w:val="0AB46BD0"/>
    <w:rsid w:val="0AB81975"/>
    <w:rsid w:val="0ABA6934"/>
    <w:rsid w:val="0ABE10B0"/>
    <w:rsid w:val="0ACB7331"/>
    <w:rsid w:val="0AE200B0"/>
    <w:rsid w:val="0AE472EE"/>
    <w:rsid w:val="0AF054BE"/>
    <w:rsid w:val="0AF604FA"/>
    <w:rsid w:val="0AF774AD"/>
    <w:rsid w:val="0AFD2B18"/>
    <w:rsid w:val="0B030BB5"/>
    <w:rsid w:val="0B0D2543"/>
    <w:rsid w:val="0B0F70C3"/>
    <w:rsid w:val="0B1507AC"/>
    <w:rsid w:val="0B2C08AF"/>
    <w:rsid w:val="0B2F533C"/>
    <w:rsid w:val="0B336CEC"/>
    <w:rsid w:val="0B351ED8"/>
    <w:rsid w:val="0B3C6DA8"/>
    <w:rsid w:val="0B4754BF"/>
    <w:rsid w:val="0B586924"/>
    <w:rsid w:val="0B5D6E17"/>
    <w:rsid w:val="0B646469"/>
    <w:rsid w:val="0B6E2163"/>
    <w:rsid w:val="0B716578"/>
    <w:rsid w:val="0B745622"/>
    <w:rsid w:val="0B900DF1"/>
    <w:rsid w:val="0B955834"/>
    <w:rsid w:val="0B98085E"/>
    <w:rsid w:val="0B990FD5"/>
    <w:rsid w:val="0B9B2A82"/>
    <w:rsid w:val="0B9F6B95"/>
    <w:rsid w:val="0BA36B89"/>
    <w:rsid w:val="0BA539DC"/>
    <w:rsid w:val="0BB04F0B"/>
    <w:rsid w:val="0BB74596"/>
    <w:rsid w:val="0BB97C7D"/>
    <w:rsid w:val="0BBE6A5F"/>
    <w:rsid w:val="0BC46851"/>
    <w:rsid w:val="0BD7549F"/>
    <w:rsid w:val="0BF611E6"/>
    <w:rsid w:val="0C045842"/>
    <w:rsid w:val="0C076314"/>
    <w:rsid w:val="0C0D1328"/>
    <w:rsid w:val="0C1426BD"/>
    <w:rsid w:val="0C143498"/>
    <w:rsid w:val="0C147EFA"/>
    <w:rsid w:val="0C193BAD"/>
    <w:rsid w:val="0C21099B"/>
    <w:rsid w:val="0C2F46B8"/>
    <w:rsid w:val="0C365CFC"/>
    <w:rsid w:val="0C3B46F5"/>
    <w:rsid w:val="0C3F13D7"/>
    <w:rsid w:val="0C3F3D34"/>
    <w:rsid w:val="0C43427C"/>
    <w:rsid w:val="0C4B11C9"/>
    <w:rsid w:val="0C5965C6"/>
    <w:rsid w:val="0C623220"/>
    <w:rsid w:val="0C68789C"/>
    <w:rsid w:val="0C796850"/>
    <w:rsid w:val="0C883E77"/>
    <w:rsid w:val="0C9261B2"/>
    <w:rsid w:val="0C96010D"/>
    <w:rsid w:val="0C9B1664"/>
    <w:rsid w:val="0CA349E0"/>
    <w:rsid w:val="0CA51DB1"/>
    <w:rsid w:val="0CAB4003"/>
    <w:rsid w:val="0CC02CE0"/>
    <w:rsid w:val="0CEA262C"/>
    <w:rsid w:val="0CF20DB5"/>
    <w:rsid w:val="0CF80D20"/>
    <w:rsid w:val="0D0073B0"/>
    <w:rsid w:val="0D076386"/>
    <w:rsid w:val="0D09183F"/>
    <w:rsid w:val="0D09187B"/>
    <w:rsid w:val="0D1B3985"/>
    <w:rsid w:val="0D2812D0"/>
    <w:rsid w:val="0D2A00A4"/>
    <w:rsid w:val="0D2D6CCF"/>
    <w:rsid w:val="0D376F19"/>
    <w:rsid w:val="0D422AD9"/>
    <w:rsid w:val="0D5702F0"/>
    <w:rsid w:val="0D5C1968"/>
    <w:rsid w:val="0D8301BA"/>
    <w:rsid w:val="0D864ADB"/>
    <w:rsid w:val="0D871450"/>
    <w:rsid w:val="0DA216BA"/>
    <w:rsid w:val="0DAC7869"/>
    <w:rsid w:val="0DAD601F"/>
    <w:rsid w:val="0DAF7E6E"/>
    <w:rsid w:val="0DB2260F"/>
    <w:rsid w:val="0DBD3D2D"/>
    <w:rsid w:val="0DC9081A"/>
    <w:rsid w:val="0DE4261D"/>
    <w:rsid w:val="0DE5154E"/>
    <w:rsid w:val="0DF12B2B"/>
    <w:rsid w:val="0DFB1A26"/>
    <w:rsid w:val="0DFC62D8"/>
    <w:rsid w:val="0DFD4547"/>
    <w:rsid w:val="0DFD724C"/>
    <w:rsid w:val="0E0B7468"/>
    <w:rsid w:val="0E0C1728"/>
    <w:rsid w:val="0E1139D6"/>
    <w:rsid w:val="0E1832DB"/>
    <w:rsid w:val="0E1B1AC4"/>
    <w:rsid w:val="0E293034"/>
    <w:rsid w:val="0E2D1C20"/>
    <w:rsid w:val="0E3D2CD7"/>
    <w:rsid w:val="0E40073B"/>
    <w:rsid w:val="0E4E5850"/>
    <w:rsid w:val="0E5E478C"/>
    <w:rsid w:val="0E683739"/>
    <w:rsid w:val="0E6864FB"/>
    <w:rsid w:val="0E763825"/>
    <w:rsid w:val="0E79153E"/>
    <w:rsid w:val="0E8A3CDB"/>
    <w:rsid w:val="0E8F1E6D"/>
    <w:rsid w:val="0E8F472D"/>
    <w:rsid w:val="0E945A90"/>
    <w:rsid w:val="0E954689"/>
    <w:rsid w:val="0E9809DF"/>
    <w:rsid w:val="0EA11C16"/>
    <w:rsid w:val="0EA4727B"/>
    <w:rsid w:val="0EAA5958"/>
    <w:rsid w:val="0EE54141"/>
    <w:rsid w:val="0EE70DF9"/>
    <w:rsid w:val="0EEE2C8F"/>
    <w:rsid w:val="0EF52E0A"/>
    <w:rsid w:val="0F0962A1"/>
    <w:rsid w:val="0F0E3698"/>
    <w:rsid w:val="0F1B6FD6"/>
    <w:rsid w:val="0F300228"/>
    <w:rsid w:val="0F3A336F"/>
    <w:rsid w:val="0F464EA8"/>
    <w:rsid w:val="0F49052B"/>
    <w:rsid w:val="0F5403FE"/>
    <w:rsid w:val="0F5552D9"/>
    <w:rsid w:val="0F5C41FD"/>
    <w:rsid w:val="0F706CBB"/>
    <w:rsid w:val="0F7C2CF7"/>
    <w:rsid w:val="0F854AFC"/>
    <w:rsid w:val="0F867AC5"/>
    <w:rsid w:val="0F8947DF"/>
    <w:rsid w:val="0F9778EF"/>
    <w:rsid w:val="0FA00C0D"/>
    <w:rsid w:val="0FA00FC8"/>
    <w:rsid w:val="0FA447D3"/>
    <w:rsid w:val="0FAB5B16"/>
    <w:rsid w:val="0FAF6CA1"/>
    <w:rsid w:val="0FB51933"/>
    <w:rsid w:val="0FB76FB5"/>
    <w:rsid w:val="0FB92AC8"/>
    <w:rsid w:val="0FBB453B"/>
    <w:rsid w:val="0FBD5575"/>
    <w:rsid w:val="0FC3082A"/>
    <w:rsid w:val="0FC344DD"/>
    <w:rsid w:val="0FC420D2"/>
    <w:rsid w:val="0FCD35C8"/>
    <w:rsid w:val="0FCE0451"/>
    <w:rsid w:val="0FD0336B"/>
    <w:rsid w:val="0FD36A12"/>
    <w:rsid w:val="0FDA7E98"/>
    <w:rsid w:val="0FDE132C"/>
    <w:rsid w:val="0FDE14BA"/>
    <w:rsid w:val="0FE076E5"/>
    <w:rsid w:val="0FE6170A"/>
    <w:rsid w:val="0FF64FCD"/>
    <w:rsid w:val="0FF87354"/>
    <w:rsid w:val="100538F2"/>
    <w:rsid w:val="100F465B"/>
    <w:rsid w:val="10144E32"/>
    <w:rsid w:val="101747CE"/>
    <w:rsid w:val="1029167E"/>
    <w:rsid w:val="102A1180"/>
    <w:rsid w:val="10302962"/>
    <w:rsid w:val="103063AA"/>
    <w:rsid w:val="10323293"/>
    <w:rsid w:val="10391370"/>
    <w:rsid w:val="103B4288"/>
    <w:rsid w:val="10403A2A"/>
    <w:rsid w:val="1040598E"/>
    <w:rsid w:val="104212D8"/>
    <w:rsid w:val="104D76C8"/>
    <w:rsid w:val="10507C6B"/>
    <w:rsid w:val="1053051D"/>
    <w:rsid w:val="10575305"/>
    <w:rsid w:val="1058475A"/>
    <w:rsid w:val="105B3808"/>
    <w:rsid w:val="106A7BF3"/>
    <w:rsid w:val="106D27F7"/>
    <w:rsid w:val="1074032C"/>
    <w:rsid w:val="10751943"/>
    <w:rsid w:val="10777269"/>
    <w:rsid w:val="108638F3"/>
    <w:rsid w:val="108940F6"/>
    <w:rsid w:val="10935254"/>
    <w:rsid w:val="10981B88"/>
    <w:rsid w:val="109B66DF"/>
    <w:rsid w:val="109E03D9"/>
    <w:rsid w:val="109F1CA0"/>
    <w:rsid w:val="10A50CB0"/>
    <w:rsid w:val="10A73FC6"/>
    <w:rsid w:val="10AD08B6"/>
    <w:rsid w:val="10C763EA"/>
    <w:rsid w:val="10CD0E0B"/>
    <w:rsid w:val="10CD51A6"/>
    <w:rsid w:val="10CE7B69"/>
    <w:rsid w:val="10D00C11"/>
    <w:rsid w:val="10D03064"/>
    <w:rsid w:val="10D40421"/>
    <w:rsid w:val="10D60BC7"/>
    <w:rsid w:val="10DE2A13"/>
    <w:rsid w:val="10E053EF"/>
    <w:rsid w:val="10F73A8C"/>
    <w:rsid w:val="10FF58F4"/>
    <w:rsid w:val="110568FC"/>
    <w:rsid w:val="11086C47"/>
    <w:rsid w:val="11201AA9"/>
    <w:rsid w:val="112D3507"/>
    <w:rsid w:val="1135023D"/>
    <w:rsid w:val="11355BB3"/>
    <w:rsid w:val="1137455D"/>
    <w:rsid w:val="11412F87"/>
    <w:rsid w:val="11416C66"/>
    <w:rsid w:val="11437B55"/>
    <w:rsid w:val="114526B1"/>
    <w:rsid w:val="11457D40"/>
    <w:rsid w:val="114805EF"/>
    <w:rsid w:val="114D0F27"/>
    <w:rsid w:val="114D68D5"/>
    <w:rsid w:val="1154554F"/>
    <w:rsid w:val="116061CD"/>
    <w:rsid w:val="1163533D"/>
    <w:rsid w:val="116F42CB"/>
    <w:rsid w:val="1177730C"/>
    <w:rsid w:val="117E782F"/>
    <w:rsid w:val="1187303D"/>
    <w:rsid w:val="118A4E7B"/>
    <w:rsid w:val="118E426A"/>
    <w:rsid w:val="11940AC6"/>
    <w:rsid w:val="119F737E"/>
    <w:rsid w:val="11A06173"/>
    <w:rsid w:val="11AB4875"/>
    <w:rsid w:val="11B8507A"/>
    <w:rsid w:val="11C41482"/>
    <w:rsid w:val="11D950B2"/>
    <w:rsid w:val="11EC557D"/>
    <w:rsid w:val="11F613F3"/>
    <w:rsid w:val="1200634F"/>
    <w:rsid w:val="120B6DBE"/>
    <w:rsid w:val="120C2B19"/>
    <w:rsid w:val="120D1365"/>
    <w:rsid w:val="121D7BC8"/>
    <w:rsid w:val="121F3BBB"/>
    <w:rsid w:val="12247A7D"/>
    <w:rsid w:val="122F4BF0"/>
    <w:rsid w:val="12381EFD"/>
    <w:rsid w:val="12407694"/>
    <w:rsid w:val="124D259A"/>
    <w:rsid w:val="12652AF0"/>
    <w:rsid w:val="126E633A"/>
    <w:rsid w:val="12871203"/>
    <w:rsid w:val="12996540"/>
    <w:rsid w:val="129F5583"/>
    <w:rsid w:val="12A045C5"/>
    <w:rsid w:val="12A1204A"/>
    <w:rsid w:val="12AC4EDE"/>
    <w:rsid w:val="12AE6944"/>
    <w:rsid w:val="12BF2DAF"/>
    <w:rsid w:val="12C034C4"/>
    <w:rsid w:val="12C10E4F"/>
    <w:rsid w:val="12C65BD5"/>
    <w:rsid w:val="12C71B2C"/>
    <w:rsid w:val="12DD5D64"/>
    <w:rsid w:val="12FB4A5A"/>
    <w:rsid w:val="1305247B"/>
    <w:rsid w:val="131273FF"/>
    <w:rsid w:val="13127EF9"/>
    <w:rsid w:val="131A587D"/>
    <w:rsid w:val="131B0163"/>
    <w:rsid w:val="131F4239"/>
    <w:rsid w:val="132D0B22"/>
    <w:rsid w:val="13350A2C"/>
    <w:rsid w:val="133B3157"/>
    <w:rsid w:val="133E099F"/>
    <w:rsid w:val="133E43BD"/>
    <w:rsid w:val="13420660"/>
    <w:rsid w:val="134875CD"/>
    <w:rsid w:val="134A7910"/>
    <w:rsid w:val="13530C93"/>
    <w:rsid w:val="13533D25"/>
    <w:rsid w:val="13535CFF"/>
    <w:rsid w:val="13546D10"/>
    <w:rsid w:val="136A57AA"/>
    <w:rsid w:val="137507BF"/>
    <w:rsid w:val="137A7EE3"/>
    <w:rsid w:val="137E3080"/>
    <w:rsid w:val="138A225C"/>
    <w:rsid w:val="138E088F"/>
    <w:rsid w:val="13950BBE"/>
    <w:rsid w:val="1396500C"/>
    <w:rsid w:val="13A2389E"/>
    <w:rsid w:val="13A71D03"/>
    <w:rsid w:val="13A937D5"/>
    <w:rsid w:val="13B42C58"/>
    <w:rsid w:val="13B46FF4"/>
    <w:rsid w:val="13BA1AB6"/>
    <w:rsid w:val="13C9441D"/>
    <w:rsid w:val="13C945DF"/>
    <w:rsid w:val="13EB2FEF"/>
    <w:rsid w:val="14042A4C"/>
    <w:rsid w:val="143531DE"/>
    <w:rsid w:val="14356178"/>
    <w:rsid w:val="143C7B9B"/>
    <w:rsid w:val="143D1F5C"/>
    <w:rsid w:val="143F19AC"/>
    <w:rsid w:val="1440653C"/>
    <w:rsid w:val="1446649D"/>
    <w:rsid w:val="14492A04"/>
    <w:rsid w:val="144B6480"/>
    <w:rsid w:val="14575DA0"/>
    <w:rsid w:val="145E425F"/>
    <w:rsid w:val="145E73B7"/>
    <w:rsid w:val="1460696D"/>
    <w:rsid w:val="14671DB8"/>
    <w:rsid w:val="146A632D"/>
    <w:rsid w:val="14780326"/>
    <w:rsid w:val="148067F8"/>
    <w:rsid w:val="148F21CB"/>
    <w:rsid w:val="14917BD5"/>
    <w:rsid w:val="14920653"/>
    <w:rsid w:val="14982198"/>
    <w:rsid w:val="149E54BE"/>
    <w:rsid w:val="14A54369"/>
    <w:rsid w:val="14A64A41"/>
    <w:rsid w:val="14AA3A23"/>
    <w:rsid w:val="14AB446B"/>
    <w:rsid w:val="14B52807"/>
    <w:rsid w:val="14B65F12"/>
    <w:rsid w:val="14BB4952"/>
    <w:rsid w:val="14BC677D"/>
    <w:rsid w:val="14C24E7B"/>
    <w:rsid w:val="14C72E13"/>
    <w:rsid w:val="14DB0037"/>
    <w:rsid w:val="14E9498A"/>
    <w:rsid w:val="14F05E5F"/>
    <w:rsid w:val="14F30D90"/>
    <w:rsid w:val="14F5330E"/>
    <w:rsid w:val="15017478"/>
    <w:rsid w:val="15032CBF"/>
    <w:rsid w:val="150A2B53"/>
    <w:rsid w:val="150B2368"/>
    <w:rsid w:val="150D182E"/>
    <w:rsid w:val="150F1332"/>
    <w:rsid w:val="151644C8"/>
    <w:rsid w:val="151D6215"/>
    <w:rsid w:val="151F3FE4"/>
    <w:rsid w:val="15282775"/>
    <w:rsid w:val="1528413A"/>
    <w:rsid w:val="15295C40"/>
    <w:rsid w:val="152A5098"/>
    <w:rsid w:val="152D6DFA"/>
    <w:rsid w:val="15325D8B"/>
    <w:rsid w:val="15391ECD"/>
    <w:rsid w:val="15502866"/>
    <w:rsid w:val="155467B9"/>
    <w:rsid w:val="15624F26"/>
    <w:rsid w:val="15657D89"/>
    <w:rsid w:val="15673566"/>
    <w:rsid w:val="158117E6"/>
    <w:rsid w:val="15863563"/>
    <w:rsid w:val="158D6E4F"/>
    <w:rsid w:val="15922F51"/>
    <w:rsid w:val="159F3735"/>
    <w:rsid w:val="15AD01E1"/>
    <w:rsid w:val="15AE3801"/>
    <w:rsid w:val="15BF20CD"/>
    <w:rsid w:val="15C518AE"/>
    <w:rsid w:val="15D129F6"/>
    <w:rsid w:val="15DD2201"/>
    <w:rsid w:val="15E4705F"/>
    <w:rsid w:val="15E61DE3"/>
    <w:rsid w:val="15E6711C"/>
    <w:rsid w:val="15EC1E55"/>
    <w:rsid w:val="15EE31F3"/>
    <w:rsid w:val="15F81BB4"/>
    <w:rsid w:val="16001585"/>
    <w:rsid w:val="1604068E"/>
    <w:rsid w:val="16072A0A"/>
    <w:rsid w:val="160D2474"/>
    <w:rsid w:val="161264C6"/>
    <w:rsid w:val="161B3D4F"/>
    <w:rsid w:val="16240469"/>
    <w:rsid w:val="16274DAE"/>
    <w:rsid w:val="162C4F4E"/>
    <w:rsid w:val="162D6896"/>
    <w:rsid w:val="163E7E0B"/>
    <w:rsid w:val="164967C6"/>
    <w:rsid w:val="164B1D33"/>
    <w:rsid w:val="165454AE"/>
    <w:rsid w:val="16573839"/>
    <w:rsid w:val="16594E12"/>
    <w:rsid w:val="165B531B"/>
    <w:rsid w:val="166A42A0"/>
    <w:rsid w:val="167964E8"/>
    <w:rsid w:val="16866358"/>
    <w:rsid w:val="16965497"/>
    <w:rsid w:val="169C572F"/>
    <w:rsid w:val="169D35D4"/>
    <w:rsid w:val="16AA29E4"/>
    <w:rsid w:val="16AE496B"/>
    <w:rsid w:val="16B34B25"/>
    <w:rsid w:val="16B745AE"/>
    <w:rsid w:val="16C9252D"/>
    <w:rsid w:val="16CB25FD"/>
    <w:rsid w:val="16CD221A"/>
    <w:rsid w:val="16D35B17"/>
    <w:rsid w:val="16E03C65"/>
    <w:rsid w:val="16E14A4E"/>
    <w:rsid w:val="16ED766E"/>
    <w:rsid w:val="16FA7770"/>
    <w:rsid w:val="17051824"/>
    <w:rsid w:val="170A76B2"/>
    <w:rsid w:val="170E587A"/>
    <w:rsid w:val="171513B2"/>
    <w:rsid w:val="17162167"/>
    <w:rsid w:val="1727152D"/>
    <w:rsid w:val="172D5D43"/>
    <w:rsid w:val="17334C5F"/>
    <w:rsid w:val="173946FB"/>
    <w:rsid w:val="17442EB8"/>
    <w:rsid w:val="17445ADB"/>
    <w:rsid w:val="17455FEB"/>
    <w:rsid w:val="174678FE"/>
    <w:rsid w:val="175A766E"/>
    <w:rsid w:val="175D71B3"/>
    <w:rsid w:val="176D2DD0"/>
    <w:rsid w:val="176D360E"/>
    <w:rsid w:val="176F1458"/>
    <w:rsid w:val="177372DE"/>
    <w:rsid w:val="1776364D"/>
    <w:rsid w:val="177A1648"/>
    <w:rsid w:val="179C615D"/>
    <w:rsid w:val="17B41896"/>
    <w:rsid w:val="17D0302E"/>
    <w:rsid w:val="17D827E5"/>
    <w:rsid w:val="17DB4E7C"/>
    <w:rsid w:val="17DF47C4"/>
    <w:rsid w:val="17ED10FF"/>
    <w:rsid w:val="17F5270F"/>
    <w:rsid w:val="180028CE"/>
    <w:rsid w:val="1815582B"/>
    <w:rsid w:val="181B1F51"/>
    <w:rsid w:val="181F68D0"/>
    <w:rsid w:val="1823484C"/>
    <w:rsid w:val="182D22B5"/>
    <w:rsid w:val="18351032"/>
    <w:rsid w:val="18387559"/>
    <w:rsid w:val="183E6DD0"/>
    <w:rsid w:val="18480BF3"/>
    <w:rsid w:val="18733C2C"/>
    <w:rsid w:val="18802639"/>
    <w:rsid w:val="189271C7"/>
    <w:rsid w:val="18966F44"/>
    <w:rsid w:val="18A61EAC"/>
    <w:rsid w:val="18A8276D"/>
    <w:rsid w:val="18A8517B"/>
    <w:rsid w:val="18C34CC5"/>
    <w:rsid w:val="18C62D75"/>
    <w:rsid w:val="18D51BBF"/>
    <w:rsid w:val="18D82ED1"/>
    <w:rsid w:val="18E0295D"/>
    <w:rsid w:val="18F356AC"/>
    <w:rsid w:val="18FE6D23"/>
    <w:rsid w:val="191250E7"/>
    <w:rsid w:val="19137723"/>
    <w:rsid w:val="1914369A"/>
    <w:rsid w:val="19204C62"/>
    <w:rsid w:val="19333C3D"/>
    <w:rsid w:val="19350457"/>
    <w:rsid w:val="193F1C5D"/>
    <w:rsid w:val="19402957"/>
    <w:rsid w:val="19453B31"/>
    <w:rsid w:val="194930DB"/>
    <w:rsid w:val="195328DA"/>
    <w:rsid w:val="195A0A15"/>
    <w:rsid w:val="19643CC2"/>
    <w:rsid w:val="19722E4D"/>
    <w:rsid w:val="197B4AA7"/>
    <w:rsid w:val="19832081"/>
    <w:rsid w:val="198A069C"/>
    <w:rsid w:val="198A76BD"/>
    <w:rsid w:val="19996254"/>
    <w:rsid w:val="199D63FF"/>
    <w:rsid w:val="19A06CA1"/>
    <w:rsid w:val="19A616ED"/>
    <w:rsid w:val="19B371C3"/>
    <w:rsid w:val="19C3030C"/>
    <w:rsid w:val="19CA51C5"/>
    <w:rsid w:val="19CD710A"/>
    <w:rsid w:val="19D87A75"/>
    <w:rsid w:val="19E33D6F"/>
    <w:rsid w:val="19EA47F8"/>
    <w:rsid w:val="19FA29BB"/>
    <w:rsid w:val="19FC131F"/>
    <w:rsid w:val="19FD5406"/>
    <w:rsid w:val="1A016283"/>
    <w:rsid w:val="1A045185"/>
    <w:rsid w:val="1A047CCC"/>
    <w:rsid w:val="1A0D4193"/>
    <w:rsid w:val="1A0F07A4"/>
    <w:rsid w:val="1A2E728E"/>
    <w:rsid w:val="1A342318"/>
    <w:rsid w:val="1A35205D"/>
    <w:rsid w:val="1A366379"/>
    <w:rsid w:val="1A3C5FCF"/>
    <w:rsid w:val="1A3F6C62"/>
    <w:rsid w:val="1A462784"/>
    <w:rsid w:val="1A516B2E"/>
    <w:rsid w:val="1A5D08D1"/>
    <w:rsid w:val="1A626914"/>
    <w:rsid w:val="1A691F92"/>
    <w:rsid w:val="1A693902"/>
    <w:rsid w:val="1A8612BD"/>
    <w:rsid w:val="1A95793F"/>
    <w:rsid w:val="1A9C0301"/>
    <w:rsid w:val="1AA0545C"/>
    <w:rsid w:val="1AAE1699"/>
    <w:rsid w:val="1ABE147D"/>
    <w:rsid w:val="1ACB3A4E"/>
    <w:rsid w:val="1AF52E29"/>
    <w:rsid w:val="1AFE2498"/>
    <w:rsid w:val="1B0456E3"/>
    <w:rsid w:val="1B0862F7"/>
    <w:rsid w:val="1B0A1122"/>
    <w:rsid w:val="1B0D0AB3"/>
    <w:rsid w:val="1B1521AF"/>
    <w:rsid w:val="1B157BBA"/>
    <w:rsid w:val="1B1C6213"/>
    <w:rsid w:val="1B231CEC"/>
    <w:rsid w:val="1B250927"/>
    <w:rsid w:val="1B2E653E"/>
    <w:rsid w:val="1B316907"/>
    <w:rsid w:val="1B332100"/>
    <w:rsid w:val="1B352414"/>
    <w:rsid w:val="1B434BE7"/>
    <w:rsid w:val="1B517FC5"/>
    <w:rsid w:val="1B547D6F"/>
    <w:rsid w:val="1B576A1E"/>
    <w:rsid w:val="1B5F0D20"/>
    <w:rsid w:val="1B617B48"/>
    <w:rsid w:val="1B6769CE"/>
    <w:rsid w:val="1B772184"/>
    <w:rsid w:val="1B797044"/>
    <w:rsid w:val="1B895B17"/>
    <w:rsid w:val="1BA0121F"/>
    <w:rsid w:val="1BA40ADE"/>
    <w:rsid w:val="1BB04BF5"/>
    <w:rsid w:val="1BB30575"/>
    <w:rsid w:val="1BBB6D42"/>
    <w:rsid w:val="1BBC046D"/>
    <w:rsid w:val="1BBC1435"/>
    <w:rsid w:val="1BBC3401"/>
    <w:rsid w:val="1BC16442"/>
    <w:rsid w:val="1BC30D25"/>
    <w:rsid w:val="1BC654DE"/>
    <w:rsid w:val="1BC936C0"/>
    <w:rsid w:val="1BCC5832"/>
    <w:rsid w:val="1BD12497"/>
    <w:rsid w:val="1BD24FD6"/>
    <w:rsid w:val="1BE26A79"/>
    <w:rsid w:val="1BE61276"/>
    <w:rsid w:val="1BF84060"/>
    <w:rsid w:val="1C034551"/>
    <w:rsid w:val="1C0618AF"/>
    <w:rsid w:val="1C0B4080"/>
    <w:rsid w:val="1C0D0C7F"/>
    <w:rsid w:val="1C14576A"/>
    <w:rsid w:val="1C1930B8"/>
    <w:rsid w:val="1C233DC0"/>
    <w:rsid w:val="1C284BF8"/>
    <w:rsid w:val="1C28640B"/>
    <w:rsid w:val="1C2A67B7"/>
    <w:rsid w:val="1C2A7699"/>
    <w:rsid w:val="1C385B8A"/>
    <w:rsid w:val="1C5401E5"/>
    <w:rsid w:val="1C586CFB"/>
    <w:rsid w:val="1C6526FC"/>
    <w:rsid w:val="1C673F82"/>
    <w:rsid w:val="1C6B037B"/>
    <w:rsid w:val="1C6E1C1A"/>
    <w:rsid w:val="1C6F1919"/>
    <w:rsid w:val="1C7634C5"/>
    <w:rsid w:val="1C7A0794"/>
    <w:rsid w:val="1C7E5EBE"/>
    <w:rsid w:val="1C884DEC"/>
    <w:rsid w:val="1C8F2F7F"/>
    <w:rsid w:val="1CA43851"/>
    <w:rsid w:val="1CAA1C8D"/>
    <w:rsid w:val="1CB46637"/>
    <w:rsid w:val="1CBA5762"/>
    <w:rsid w:val="1CBB4C30"/>
    <w:rsid w:val="1CBE161C"/>
    <w:rsid w:val="1CC352A7"/>
    <w:rsid w:val="1CC62257"/>
    <w:rsid w:val="1CD81789"/>
    <w:rsid w:val="1CD90677"/>
    <w:rsid w:val="1CE02718"/>
    <w:rsid w:val="1CE434C5"/>
    <w:rsid w:val="1CE5351A"/>
    <w:rsid w:val="1CF1781E"/>
    <w:rsid w:val="1CF86810"/>
    <w:rsid w:val="1D092965"/>
    <w:rsid w:val="1D0C39F8"/>
    <w:rsid w:val="1D0F03F4"/>
    <w:rsid w:val="1D156BD8"/>
    <w:rsid w:val="1D1A1C9D"/>
    <w:rsid w:val="1D245692"/>
    <w:rsid w:val="1D2C37C7"/>
    <w:rsid w:val="1D395CFA"/>
    <w:rsid w:val="1D3D1944"/>
    <w:rsid w:val="1D414851"/>
    <w:rsid w:val="1D4B44B3"/>
    <w:rsid w:val="1D4B6EC5"/>
    <w:rsid w:val="1D573A72"/>
    <w:rsid w:val="1D5E50C9"/>
    <w:rsid w:val="1D5F1562"/>
    <w:rsid w:val="1D61177E"/>
    <w:rsid w:val="1D623C1D"/>
    <w:rsid w:val="1D627EBE"/>
    <w:rsid w:val="1D6760D3"/>
    <w:rsid w:val="1D684C5A"/>
    <w:rsid w:val="1D6940CD"/>
    <w:rsid w:val="1D6B7622"/>
    <w:rsid w:val="1D6D4363"/>
    <w:rsid w:val="1D736692"/>
    <w:rsid w:val="1D7C4E1B"/>
    <w:rsid w:val="1D8378C3"/>
    <w:rsid w:val="1D8449C9"/>
    <w:rsid w:val="1D854584"/>
    <w:rsid w:val="1D8B67B1"/>
    <w:rsid w:val="1D8E7090"/>
    <w:rsid w:val="1D8F660A"/>
    <w:rsid w:val="1D9455F9"/>
    <w:rsid w:val="1DA8404B"/>
    <w:rsid w:val="1DAE6DFD"/>
    <w:rsid w:val="1DAF3274"/>
    <w:rsid w:val="1DB0428E"/>
    <w:rsid w:val="1DBF26D6"/>
    <w:rsid w:val="1DC467AA"/>
    <w:rsid w:val="1DD210A0"/>
    <w:rsid w:val="1DEB7C09"/>
    <w:rsid w:val="1DF11B13"/>
    <w:rsid w:val="1DF25447"/>
    <w:rsid w:val="1DF30BEF"/>
    <w:rsid w:val="1E01263B"/>
    <w:rsid w:val="1E015378"/>
    <w:rsid w:val="1E043EF7"/>
    <w:rsid w:val="1E0534CE"/>
    <w:rsid w:val="1E0614C5"/>
    <w:rsid w:val="1E074251"/>
    <w:rsid w:val="1E0F26B1"/>
    <w:rsid w:val="1E117377"/>
    <w:rsid w:val="1E164345"/>
    <w:rsid w:val="1E2F7187"/>
    <w:rsid w:val="1E38104C"/>
    <w:rsid w:val="1E3A32C8"/>
    <w:rsid w:val="1E3B1FFD"/>
    <w:rsid w:val="1E3D3098"/>
    <w:rsid w:val="1E497B89"/>
    <w:rsid w:val="1E4C74B4"/>
    <w:rsid w:val="1E535731"/>
    <w:rsid w:val="1E555ACE"/>
    <w:rsid w:val="1E624CA7"/>
    <w:rsid w:val="1E632342"/>
    <w:rsid w:val="1E6B5AF0"/>
    <w:rsid w:val="1E6C2B0B"/>
    <w:rsid w:val="1E74724C"/>
    <w:rsid w:val="1E756B69"/>
    <w:rsid w:val="1E7E07EF"/>
    <w:rsid w:val="1E7E154B"/>
    <w:rsid w:val="1E8245AD"/>
    <w:rsid w:val="1E837BE4"/>
    <w:rsid w:val="1E896519"/>
    <w:rsid w:val="1E907CF8"/>
    <w:rsid w:val="1E944404"/>
    <w:rsid w:val="1E970B8B"/>
    <w:rsid w:val="1E990B5E"/>
    <w:rsid w:val="1E9F7462"/>
    <w:rsid w:val="1EA566DC"/>
    <w:rsid w:val="1EAA1A19"/>
    <w:rsid w:val="1EC84DC3"/>
    <w:rsid w:val="1ECA2B1A"/>
    <w:rsid w:val="1ECA6EAF"/>
    <w:rsid w:val="1ED215D9"/>
    <w:rsid w:val="1ED53ADD"/>
    <w:rsid w:val="1EDA190E"/>
    <w:rsid w:val="1EED52D5"/>
    <w:rsid w:val="1EF60076"/>
    <w:rsid w:val="1F03690F"/>
    <w:rsid w:val="1F062350"/>
    <w:rsid w:val="1F1C2C57"/>
    <w:rsid w:val="1F254F44"/>
    <w:rsid w:val="1F272267"/>
    <w:rsid w:val="1F317C44"/>
    <w:rsid w:val="1F3715ED"/>
    <w:rsid w:val="1F49071C"/>
    <w:rsid w:val="1F4A02A7"/>
    <w:rsid w:val="1F4A215D"/>
    <w:rsid w:val="1F5278AB"/>
    <w:rsid w:val="1F54501A"/>
    <w:rsid w:val="1F6C7361"/>
    <w:rsid w:val="1F8E78CC"/>
    <w:rsid w:val="1F9117B9"/>
    <w:rsid w:val="1FA131F7"/>
    <w:rsid w:val="1FA648D6"/>
    <w:rsid w:val="1FAC2C98"/>
    <w:rsid w:val="1FAC2D5C"/>
    <w:rsid w:val="1FAC3AED"/>
    <w:rsid w:val="1FAD468B"/>
    <w:rsid w:val="1FB15116"/>
    <w:rsid w:val="1FBE1E9B"/>
    <w:rsid w:val="1FC17C84"/>
    <w:rsid w:val="1FC52FF3"/>
    <w:rsid w:val="1FC53C71"/>
    <w:rsid w:val="1FCB047F"/>
    <w:rsid w:val="1FDF6409"/>
    <w:rsid w:val="1FE71E4B"/>
    <w:rsid w:val="1FFC692E"/>
    <w:rsid w:val="200F1266"/>
    <w:rsid w:val="2012188B"/>
    <w:rsid w:val="201C6EE3"/>
    <w:rsid w:val="202579C8"/>
    <w:rsid w:val="202C2CBF"/>
    <w:rsid w:val="20364B82"/>
    <w:rsid w:val="203810CA"/>
    <w:rsid w:val="20484530"/>
    <w:rsid w:val="204B0D10"/>
    <w:rsid w:val="204E212C"/>
    <w:rsid w:val="205009F7"/>
    <w:rsid w:val="20631BE8"/>
    <w:rsid w:val="20641C15"/>
    <w:rsid w:val="20654685"/>
    <w:rsid w:val="20735A50"/>
    <w:rsid w:val="20783067"/>
    <w:rsid w:val="207C1F6F"/>
    <w:rsid w:val="2089027A"/>
    <w:rsid w:val="20895DCF"/>
    <w:rsid w:val="208A42B8"/>
    <w:rsid w:val="20A47B3E"/>
    <w:rsid w:val="20AA62CF"/>
    <w:rsid w:val="20B80E8F"/>
    <w:rsid w:val="20B8791B"/>
    <w:rsid w:val="20C105E0"/>
    <w:rsid w:val="20C6340C"/>
    <w:rsid w:val="20CA402A"/>
    <w:rsid w:val="20DC77ED"/>
    <w:rsid w:val="20E20D21"/>
    <w:rsid w:val="20EA4BF7"/>
    <w:rsid w:val="20EB1B3E"/>
    <w:rsid w:val="21092235"/>
    <w:rsid w:val="21203F9E"/>
    <w:rsid w:val="21353645"/>
    <w:rsid w:val="21374E31"/>
    <w:rsid w:val="21406703"/>
    <w:rsid w:val="214A44E5"/>
    <w:rsid w:val="214E61D7"/>
    <w:rsid w:val="21535F7A"/>
    <w:rsid w:val="21554059"/>
    <w:rsid w:val="215B4A46"/>
    <w:rsid w:val="21651B26"/>
    <w:rsid w:val="21657F13"/>
    <w:rsid w:val="217B1191"/>
    <w:rsid w:val="21873D8B"/>
    <w:rsid w:val="21976550"/>
    <w:rsid w:val="219B3F1C"/>
    <w:rsid w:val="21A10BA7"/>
    <w:rsid w:val="21A55B55"/>
    <w:rsid w:val="21AB5A46"/>
    <w:rsid w:val="21B04A2E"/>
    <w:rsid w:val="21B543A2"/>
    <w:rsid w:val="21C375D4"/>
    <w:rsid w:val="21C65F45"/>
    <w:rsid w:val="21CF17A7"/>
    <w:rsid w:val="21E05DF5"/>
    <w:rsid w:val="21E25432"/>
    <w:rsid w:val="21EB21D5"/>
    <w:rsid w:val="21EE736B"/>
    <w:rsid w:val="21F96A66"/>
    <w:rsid w:val="21FA3E07"/>
    <w:rsid w:val="21FF6B8C"/>
    <w:rsid w:val="22012302"/>
    <w:rsid w:val="220254EF"/>
    <w:rsid w:val="22220F11"/>
    <w:rsid w:val="22236C05"/>
    <w:rsid w:val="22244B28"/>
    <w:rsid w:val="2228705C"/>
    <w:rsid w:val="2233225D"/>
    <w:rsid w:val="22337FC2"/>
    <w:rsid w:val="223905D4"/>
    <w:rsid w:val="22582B2D"/>
    <w:rsid w:val="225A33F8"/>
    <w:rsid w:val="225F6B14"/>
    <w:rsid w:val="2264526E"/>
    <w:rsid w:val="2268348C"/>
    <w:rsid w:val="22693B68"/>
    <w:rsid w:val="22730F77"/>
    <w:rsid w:val="2273737C"/>
    <w:rsid w:val="22795C26"/>
    <w:rsid w:val="22830A1B"/>
    <w:rsid w:val="228676A8"/>
    <w:rsid w:val="228766F5"/>
    <w:rsid w:val="228D31C1"/>
    <w:rsid w:val="22947F00"/>
    <w:rsid w:val="22A670D5"/>
    <w:rsid w:val="22AE1E80"/>
    <w:rsid w:val="22B362D3"/>
    <w:rsid w:val="22B97967"/>
    <w:rsid w:val="22BA2551"/>
    <w:rsid w:val="22BC4893"/>
    <w:rsid w:val="22C254F6"/>
    <w:rsid w:val="22C335CE"/>
    <w:rsid w:val="22C71D57"/>
    <w:rsid w:val="22CF54B0"/>
    <w:rsid w:val="22D95BB2"/>
    <w:rsid w:val="22F07C5E"/>
    <w:rsid w:val="22F42037"/>
    <w:rsid w:val="23076CA7"/>
    <w:rsid w:val="230F402A"/>
    <w:rsid w:val="23107FBD"/>
    <w:rsid w:val="231D3710"/>
    <w:rsid w:val="2320638E"/>
    <w:rsid w:val="232661C3"/>
    <w:rsid w:val="233B3C6C"/>
    <w:rsid w:val="23451001"/>
    <w:rsid w:val="23463E29"/>
    <w:rsid w:val="236322CF"/>
    <w:rsid w:val="23654DF3"/>
    <w:rsid w:val="236830D0"/>
    <w:rsid w:val="236F1448"/>
    <w:rsid w:val="237160D4"/>
    <w:rsid w:val="23735491"/>
    <w:rsid w:val="23785D02"/>
    <w:rsid w:val="237A348C"/>
    <w:rsid w:val="237F65E2"/>
    <w:rsid w:val="23836878"/>
    <w:rsid w:val="238F4F41"/>
    <w:rsid w:val="239015EC"/>
    <w:rsid w:val="23905D95"/>
    <w:rsid w:val="239370BB"/>
    <w:rsid w:val="239A6F02"/>
    <w:rsid w:val="23A075AD"/>
    <w:rsid w:val="23AC749F"/>
    <w:rsid w:val="23B32354"/>
    <w:rsid w:val="23B6137C"/>
    <w:rsid w:val="23B915DE"/>
    <w:rsid w:val="23BC593E"/>
    <w:rsid w:val="23C038FB"/>
    <w:rsid w:val="23C045BF"/>
    <w:rsid w:val="23C972A6"/>
    <w:rsid w:val="23EF1510"/>
    <w:rsid w:val="23F55382"/>
    <w:rsid w:val="23FE2D82"/>
    <w:rsid w:val="23FE4AD9"/>
    <w:rsid w:val="24074DCA"/>
    <w:rsid w:val="240B6A38"/>
    <w:rsid w:val="240D1D50"/>
    <w:rsid w:val="240F5282"/>
    <w:rsid w:val="242131C7"/>
    <w:rsid w:val="24253032"/>
    <w:rsid w:val="24271E0C"/>
    <w:rsid w:val="2434271F"/>
    <w:rsid w:val="243A2A6F"/>
    <w:rsid w:val="243E7BEA"/>
    <w:rsid w:val="244C2720"/>
    <w:rsid w:val="24526830"/>
    <w:rsid w:val="246D0DD4"/>
    <w:rsid w:val="24761D04"/>
    <w:rsid w:val="2487360B"/>
    <w:rsid w:val="24940D8C"/>
    <w:rsid w:val="24AD1B52"/>
    <w:rsid w:val="24B43031"/>
    <w:rsid w:val="24B77031"/>
    <w:rsid w:val="24B959FC"/>
    <w:rsid w:val="24BA550E"/>
    <w:rsid w:val="24BF7967"/>
    <w:rsid w:val="24C45ED9"/>
    <w:rsid w:val="24C710FF"/>
    <w:rsid w:val="24E51298"/>
    <w:rsid w:val="24F03B22"/>
    <w:rsid w:val="25065077"/>
    <w:rsid w:val="25116F77"/>
    <w:rsid w:val="253B47E7"/>
    <w:rsid w:val="25437724"/>
    <w:rsid w:val="254574F2"/>
    <w:rsid w:val="25570229"/>
    <w:rsid w:val="25570D52"/>
    <w:rsid w:val="25610880"/>
    <w:rsid w:val="256605CA"/>
    <w:rsid w:val="2568543D"/>
    <w:rsid w:val="256A6652"/>
    <w:rsid w:val="25707715"/>
    <w:rsid w:val="25743BA4"/>
    <w:rsid w:val="257C0753"/>
    <w:rsid w:val="257C21E9"/>
    <w:rsid w:val="2597795E"/>
    <w:rsid w:val="25977973"/>
    <w:rsid w:val="2598579E"/>
    <w:rsid w:val="25A04774"/>
    <w:rsid w:val="25AA43E2"/>
    <w:rsid w:val="25AE6C76"/>
    <w:rsid w:val="25B02977"/>
    <w:rsid w:val="25C861C8"/>
    <w:rsid w:val="2602125C"/>
    <w:rsid w:val="260929B3"/>
    <w:rsid w:val="260D586D"/>
    <w:rsid w:val="26151F6D"/>
    <w:rsid w:val="265076EF"/>
    <w:rsid w:val="266172D6"/>
    <w:rsid w:val="266415C7"/>
    <w:rsid w:val="266A06C3"/>
    <w:rsid w:val="266A35D2"/>
    <w:rsid w:val="267A1EE7"/>
    <w:rsid w:val="26845B2B"/>
    <w:rsid w:val="26915A1B"/>
    <w:rsid w:val="269922AD"/>
    <w:rsid w:val="269E2502"/>
    <w:rsid w:val="269F7809"/>
    <w:rsid w:val="26A463D8"/>
    <w:rsid w:val="26A7782B"/>
    <w:rsid w:val="26BF1A9F"/>
    <w:rsid w:val="26C843E7"/>
    <w:rsid w:val="26CB5363"/>
    <w:rsid w:val="26CC19EC"/>
    <w:rsid w:val="26D22DA5"/>
    <w:rsid w:val="26DA4EDD"/>
    <w:rsid w:val="26DB5263"/>
    <w:rsid w:val="26DB6E97"/>
    <w:rsid w:val="26E22651"/>
    <w:rsid w:val="26EB05C2"/>
    <w:rsid w:val="26FA57AB"/>
    <w:rsid w:val="27041AD5"/>
    <w:rsid w:val="2704298B"/>
    <w:rsid w:val="27084B18"/>
    <w:rsid w:val="270A4224"/>
    <w:rsid w:val="271138DB"/>
    <w:rsid w:val="271B47A7"/>
    <w:rsid w:val="27232A4D"/>
    <w:rsid w:val="27243FD7"/>
    <w:rsid w:val="272A1500"/>
    <w:rsid w:val="272E61D9"/>
    <w:rsid w:val="27313D94"/>
    <w:rsid w:val="27374F46"/>
    <w:rsid w:val="273B7D77"/>
    <w:rsid w:val="273D69F9"/>
    <w:rsid w:val="273F295C"/>
    <w:rsid w:val="27441C50"/>
    <w:rsid w:val="274C495B"/>
    <w:rsid w:val="27530D3B"/>
    <w:rsid w:val="275E16DA"/>
    <w:rsid w:val="27600066"/>
    <w:rsid w:val="27603A64"/>
    <w:rsid w:val="276D362B"/>
    <w:rsid w:val="27731C7F"/>
    <w:rsid w:val="27751B0D"/>
    <w:rsid w:val="27792BE8"/>
    <w:rsid w:val="27806E21"/>
    <w:rsid w:val="27821A90"/>
    <w:rsid w:val="279A680B"/>
    <w:rsid w:val="27AA0645"/>
    <w:rsid w:val="27AA3A23"/>
    <w:rsid w:val="27B369BA"/>
    <w:rsid w:val="27BA0A72"/>
    <w:rsid w:val="27BB7CDD"/>
    <w:rsid w:val="27C60990"/>
    <w:rsid w:val="27D22C62"/>
    <w:rsid w:val="27D30337"/>
    <w:rsid w:val="27DD3CA8"/>
    <w:rsid w:val="27E66E5A"/>
    <w:rsid w:val="27EB2D37"/>
    <w:rsid w:val="27ED1B5E"/>
    <w:rsid w:val="27FA5B0C"/>
    <w:rsid w:val="27FE7731"/>
    <w:rsid w:val="2805795B"/>
    <w:rsid w:val="280D522E"/>
    <w:rsid w:val="280E0927"/>
    <w:rsid w:val="2812485C"/>
    <w:rsid w:val="2813658C"/>
    <w:rsid w:val="28251029"/>
    <w:rsid w:val="28291C81"/>
    <w:rsid w:val="282E2332"/>
    <w:rsid w:val="282E4ADB"/>
    <w:rsid w:val="282E52AD"/>
    <w:rsid w:val="28320BE0"/>
    <w:rsid w:val="283443B0"/>
    <w:rsid w:val="283655A8"/>
    <w:rsid w:val="283B54DE"/>
    <w:rsid w:val="28456B89"/>
    <w:rsid w:val="284A2EB1"/>
    <w:rsid w:val="2857393B"/>
    <w:rsid w:val="285B3727"/>
    <w:rsid w:val="285F1435"/>
    <w:rsid w:val="28602BB5"/>
    <w:rsid w:val="286E67FB"/>
    <w:rsid w:val="28701902"/>
    <w:rsid w:val="28707765"/>
    <w:rsid w:val="28710AC1"/>
    <w:rsid w:val="28734FAE"/>
    <w:rsid w:val="28870BE3"/>
    <w:rsid w:val="288C22F8"/>
    <w:rsid w:val="28970397"/>
    <w:rsid w:val="28AE7A47"/>
    <w:rsid w:val="28B671E8"/>
    <w:rsid w:val="28C2730F"/>
    <w:rsid w:val="28C31468"/>
    <w:rsid w:val="28C64B8B"/>
    <w:rsid w:val="28D80B97"/>
    <w:rsid w:val="28E40D79"/>
    <w:rsid w:val="28FD0FE4"/>
    <w:rsid w:val="290758C8"/>
    <w:rsid w:val="290C12F3"/>
    <w:rsid w:val="291A54F4"/>
    <w:rsid w:val="291D4652"/>
    <w:rsid w:val="291E4722"/>
    <w:rsid w:val="292518B2"/>
    <w:rsid w:val="29294C73"/>
    <w:rsid w:val="292A2F66"/>
    <w:rsid w:val="29361AE2"/>
    <w:rsid w:val="29386DBA"/>
    <w:rsid w:val="29446367"/>
    <w:rsid w:val="294E6865"/>
    <w:rsid w:val="295537F0"/>
    <w:rsid w:val="295A14C5"/>
    <w:rsid w:val="296217ED"/>
    <w:rsid w:val="29646E76"/>
    <w:rsid w:val="296505F9"/>
    <w:rsid w:val="296B2895"/>
    <w:rsid w:val="296D1853"/>
    <w:rsid w:val="296F059C"/>
    <w:rsid w:val="29722F31"/>
    <w:rsid w:val="29772427"/>
    <w:rsid w:val="2977315F"/>
    <w:rsid w:val="29782431"/>
    <w:rsid w:val="29796F90"/>
    <w:rsid w:val="29936CC1"/>
    <w:rsid w:val="29944785"/>
    <w:rsid w:val="299E7DF6"/>
    <w:rsid w:val="29A575D2"/>
    <w:rsid w:val="29AF4467"/>
    <w:rsid w:val="29B23F98"/>
    <w:rsid w:val="29B57747"/>
    <w:rsid w:val="29B669AE"/>
    <w:rsid w:val="29BF3BA6"/>
    <w:rsid w:val="29C65BBD"/>
    <w:rsid w:val="29C673F4"/>
    <w:rsid w:val="29C867E5"/>
    <w:rsid w:val="29CA3A99"/>
    <w:rsid w:val="29D61CED"/>
    <w:rsid w:val="29DB0FC2"/>
    <w:rsid w:val="29E473A7"/>
    <w:rsid w:val="29E65EF6"/>
    <w:rsid w:val="29E945ED"/>
    <w:rsid w:val="29EB6784"/>
    <w:rsid w:val="29F422FA"/>
    <w:rsid w:val="29F832CE"/>
    <w:rsid w:val="29F875CA"/>
    <w:rsid w:val="29FF2674"/>
    <w:rsid w:val="2A07265F"/>
    <w:rsid w:val="2A0B156F"/>
    <w:rsid w:val="2A134E6C"/>
    <w:rsid w:val="2A1443F9"/>
    <w:rsid w:val="2A2A1296"/>
    <w:rsid w:val="2A317D7F"/>
    <w:rsid w:val="2A40040C"/>
    <w:rsid w:val="2A445FAC"/>
    <w:rsid w:val="2A4710A3"/>
    <w:rsid w:val="2A4A5521"/>
    <w:rsid w:val="2A4F5FE1"/>
    <w:rsid w:val="2A62091B"/>
    <w:rsid w:val="2A663BDC"/>
    <w:rsid w:val="2A681272"/>
    <w:rsid w:val="2A68414C"/>
    <w:rsid w:val="2A6E6D0E"/>
    <w:rsid w:val="2A6F4A9E"/>
    <w:rsid w:val="2A7717B7"/>
    <w:rsid w:val="2A8D25EA"/>
    <w:rsid w:val="2A8D5ADA"/>
    <w:rsid w:val="2A922545"/>
    <w:rsid w:val="2ABB15CA"/>
    <w:rsid w:val="2ABC27DC"/>
    <w:rsid w:val="2ABD25A8"/>
    <w:rsid w:val="2AC43269"/>
    <w:rsid w:val="2AC678AD"/>
    <w:rsid w:val="2AC777AD"/>
    <w:rsid w:val="2AC818BF"/>
    <w:rsid w:val="2AC93B0A"/>
    <w:rsid w:val="2ACC50F9"/>
    <w:rsid w:val="2AD76F1F"/>
    <w:rsid w:val="2AD82F3D"/>
    <w:rsid w:val="2AE163F1"/>
    <w:rsid w:val="2AEE51DA"/>
    <w:rsid w:val="2AF87773"/>
    <w:rsid w:val="2AFC43DC"/>
    <w:rsid w:val="2B00711F"/>
    <w:rsid w:val="2B0E07FA"/>
    <w:rsid w:val="2B2A41D3"/>
    <w:rsid w:val="2B3700F8"/>
    <w:rsid w:val="2B3C456B"/>
    <w:rsid w:val="2B3E2ABE"/>
    <w:rsid w:val="2B405B18"/>
    <w:rsid w:val="2B4639C8"/>
    <w:rsid w:val="2B4D6C73"/>
    <w:rsid w:val="2B4F5A50"/>
    <w:rsid w:val="2B53608C"/>
    <w:rsid w:val="2B5953DE"/>
    <w:rsid w:val="2B604008"/>
    <w:rsid w:val="2B6562C5"/>
    <w:rsid w:val="2B6F5680"/>
    <w:rsid w:val="2B776712"/>
    <w:rsid w:val="2B786611"/>
    <w:rsid w:val="2B835170"/>
    <w:rsid w:val="2B85322E"/>
    <w:rsid w:val="2B873CEB"/>
    <w:rsid w:val="2B9B1651"/>
    <w:rsid w:val="2BA07C27"/>
    <w:rsid w:val="2BA43985"/>
    <w:rsid w:val="2BA4635C"/>
    <w:rsid w:val="2BA51FB6"/>
    <w:rsid w:val="2BA53635"/>
    <w:rsid w:val="2BA67CA1"/>
    <w:rsid w:val="2BA92135"/>
    <w:rsid w:val="2BAA09A6"/>
    <w:rsid w:val="2BAC6D31"/>
    <w:rsid w:val="2BAD3266"/>
    <w:rsid w:val="2BB44777"/>
    <w:rsid w:val="2BB93AA1"/>
    <w:rsid w:val="2BBE17F0"/>
    <w:rsid w:val="2BC83E3D"/>
    <w:rsid w:val="2BCA04EF"/>
    <w:rsid w:val="2BD1318D"/>
    <w:rsid w:val="2BD164B0"/>
    <w:rsid w:val="2BD4121E"/>
    <w:rsid w:val="2BDC640E"/>
    <w:rsid w:val="2BE07761"/>
    <w:rsid w:val="2BE36F0C"/>
    <w:rsid w:val="2BE511E3"/>
    <w:rsid w:val="2BE636B9"/>
    <w:rsid w:val="2BF0264B"/>
    <w:rsid w:val="2C027C88"/>
    <w:rsid w:val="2C107AC6"/>
    <w:rsid w:val="2C1B21B4"/>
    <w:rsid w:val="2C221668"/>
    <w:rsid w:val="2C241F6B"/>
    <w:rsid w:val="2C293272"/>
    <w:rsid w:val="2C3116AB"/>
    <w:rsid w:val="2C4500F8"/>
    <w:rsid w:val="2C4B6E01"/>
    <w:rsid w:val="2C526E63"/>
    <w:rsid w:val="2C5652D6"/>
    <w:rsid w:val="2C571BB8"/>
    <w:rsid w:val="2C5C5166"/>
    <w:rsid w:val="2C6949FF"/>
    <w:rsid w:val="2C6C2900"/>
    <w:rsid w:val="2C6F17C8"/>
    <w:rsid w:val="2C736467"/>
    <w:rsid w:val="2C7A714B"/>
    <w:rsid w:val="2C7B21D0"/>
    <w:rsid w:val="2C7F577D"/>
    <w:rsid w:val="2C856E8C"/>
    <w:rsid w:val="2C962797"/>
    <w:rsid w:val="2C994DA6"/>
    <w:rsid w:val="2CA007D1"/>
    <w:rsid w:val="2CAC3346"/>
    <w:rsid w:val="2CC70158"/>
    <w:rsid w:val="2CCE7998"/>
    <w:rsid w:val="2CD03D9B"/>
    <w:rsid w:val="2CDB2CEF"/>
    <w:rsid w:val="2CE6540E"/>
    <w:rsid w:val="2CEB49B0"/>
    <w:rsid w:val="2D0052FE"/>
    <w:rsid w:val="2D020FEF"/>
    <w:rsid w:val="2D036370"/>
    <w:rsid w:val="2D0A6507"/>
    <w:rsid w:val="2D0E1C6D"/>
    <w:rsid w:val="2D0F5649"/>
    <w:rsid w:val="2D1A3669"/>
    <w:rsid w:val="2D1D6335"/>
    <w:rsid w:val="2D32383D"/>
    <w:rsid w:val="2D3C741B"/>
    <w:rsid w:val="2D443274"/>
    <w:rsid w:val="2D4D2C4B"/>
    <w:rsid w:val="2D4F1C8F"/>
    <w:rsid w:val="2D523D96"/>
    <w:rsid w:val="2D526117"/>
    <w:rsid w:val="2D54114B"/>
    <w:rsid w:val="2D5A5CED"/>
    <w:rsid w:val="2D5E3645"/>
    <w:rsid w:val="2D610A08"/>
    <w:rsid w:val="2D700F57"/>
    <w:rsid w:val="2D70133E"/>
    <w:rsid w:val="2D796BEA"/>
    <w:rsid w:val="2D80549A"/>
    <w:rsid w:val="2D8F7A00"/>
    <w:rsid w:val="2D9228D3"/>
    <w:rsid w:val="2D932159"/>
    <w:rsid w:val="2D9E0E20"/>
    <w:rsid w:val="2DA843DE"/>
    <w:rsid w:val="2DA84860"/>
    <w:rsid w:val="2DB33A20"/>
    <w:rsid w:val="2DCB32F0"/>
    <w:rsid w:val="2DE12869"/>
    <w:rsid w:val="2DE137D4"/>
    <w:rsid w:val="2DE2543C"/>
    <w:rsid w:val="2DE67486"/>
    <w:rsid w:val="2DED5257"/>
    <w:rsid w:val="2DF51922"/>
    <w:rsid w:val="2DF93365"/>
    <w:rsid w:val="2DFD2898"/>
    <w:rsid w:val="2DFF3462"/>
    <w:rsid w:val="2E003E5C"/>
    <w:rsid w:val="2E094490"/>
    <w:rsid w:val="2E0D723E"/>
    <w:rsid w:val="2E161E7D"/>
    <w:rsid w:val="2E3B471B"/>
    <w:rsid w:val="2E4702BB"/>
    <w:rsid w:val="2E483F56"/>
    <w:rsid w:val="2E567834"/>
    <w:rsid w:val="2E630C0E"/>
    <w:rsid w:val="2E665162"/>
    <w:rsid w:val="2E6726EB"/>
    <w:rsid w:val="2E6B764F"/>
    <w:rsid w:val="2E726C52"/>
    <w:rsid w:val="2E7E5224"/>
    <w:rsid w:val="2E823D15"/>
    <w:rsid w:val="2E866A2B"/>
    <w:rsid w:val="2E927E04"/>
    <w:rsid w:val="2E9405D1"/>
    <w:rsid w:val="2E9F71FC"/>
    <w:rsid w:val="2EAA5ACA"/>
    <w:rsid w:val="2EC01AE6"/>
    <w:rsid w:val="2EE272C5"/>
    <w:rsid w:val="2EE277BC"/>
    <w:rsid w:val="2EF0282C"/>
    <w:rsid w:val="2EFB1AFF"/>
    <w:rsid w:val="2F0B0D2E"/>
    <w:rsid w:val="2F3153A6"/>
    <w:rsid w:val="2F4316F0"/>
    <w:rsid w:val="2F44338D"/>
    <w:rsid w:val="2F47030E"/>
    <w:rsid w:val="2F4A5726"/>
    <w:rsid w:val="2F5C6D41"/>
    <w:rsid w:val="2F6538C4"/>
    <w:rsid w:val="2F6E39E6"/>
    <w:rsid w:val="2F7153EC"/>
    <w:rsid w:val="2F7255CD"/>
    <w:rsid w:val="2F750379"/>
    <w:rsid w:val="2F801830"/>
    <w:rsid w:val="2F85358E"/>
    <w:rsid w:val="2F875074"/>
    <w:rsid w:val="2F8B34F1"/>
    <w:rsid w:val="2F900DED"/>
    <w:rsid w:val="2F9B6C3C"/>
    <w:rsid w:val="2FA12F82"/>
    <w:rsid w:val="2FA24FB1"/>
    <w:rsid w:val="2FA7465A"/>
    <w:rsid w:val="2FAD2084"/>
    <w:rsid w:val="2FB750D7"/>
    <w:rsid w:val="2FBF0E7F"/>
    <w:rsid w:val="2FC36DED"/>
    <w:rsid w:val="2FC5515C"/>
    <w:rsid w:val="2FD7225D"/>
    <w:rsid w:val="2FD80298"/>
    <w:rsid w:val="2FDD7E13"/>
    <w:rsid w:val="2FE013CE"/>
    <w:rsid w:val="2FE40D52"/>
    <w:rsid w:val="2FE449A3"/>
    <w:rsid w:val="2FE52B0F"/>
    <w:rsid w:val="2FE57A3B"/>
    <w:rsid w:val="2FF01911"/>
    <w:rsid w:val="2FF41BA0"/>
    <w:rsid w:val="2FFC7B66"/>
    <w:rsid w:val="30010090"/>
    <w:rsid w:val="301B6158"/>
    <w:rsid w:val="30344E9F"/>
    <w:rsid w:val="303717D8"/>
    <w:rsid w:val="303A5D68"/>
    <w:rsid w:val="3040106E"/>
    <w:rsid w:val="30446D28"/>
    <w:rsid w:val="304A1427"/>
    <w:rsid w:val="305D382D"/>
    <w:rsid w:val="30607957"/>
    <w:rsid w:val="30622959"/>
    <w:rsid w:val="306320C7"/>
    <w:rsid w:val="30637FC2"/>
    <w:rsid w:val="30760C45"/>
    <w:rsid w:val="307B44AD"/>
    <w:rsid w:val="307C24E3"/>
    <w:rsid w:val="30884B2D"/>
    <w:rsid w:val="30972EDD"/>
    <w:rsid w:val="309F0056"/>
    <w:rsid w:val="30A23616"/>
    <w:rsid w:val="30A532D8"/>
    <w:rsid w:val="30B72AE4"/>
    <w:rsid w:val="30C80C88"/>
    <w:rsid w:val="30C916BD"/>
    <w:rsid w:val="30CC224F"/>
    <w:rsid w:val="30D54787"/>
    <w:rsid w:val="30D836AE"/>
    <w:rsid w:val="30E065F7"/>
    <w:rsid w:val="30F13C45"/>
    <w:rsid w:val="31041249"/>
    <w:rsid w:val="31077AEF"/>
    <w:rsid w:val="310B02A3"/>
    <w:rsid w:val="310F3AF6"/>
    <w:rsid w:val="31115E2D"/>
    <w:rsid w:val="3114545B"/>
    <w:rsid w:val="311D3F61"/>
    <w:rsid w:val="312362FC"/>
    <w:rsid w:val="31245B52"/>
    <w:rsid w:val="313662C3"/>
    <w:rsid w:val="3139239E"/>
    <w:rsid w:val="314D15E8"/>
    <w:rsid w:val="315563D0"/>
    <w:rsid w:val="31723296"/>
    <w:rsid w:val="317D4F16"/>
    <w:rsid w:val="317F7117"/>
    <w:rsid w:val="31884B35"/>
    <w:rsid w:val="31916BE2"/>
    <w:rsid w:val="31953497"/>
    <w:rsid w:val="319A6C0F"/>
    <w:rsid w:val="319E2768"/>
    <w:rsid w:val="31A33598"/>
    <w:rsid w:val="31A6624A"/>
    <w:rsid w:val="31B82B52"/>
    <w:rsid w:val="31C83575"/>
    <w:rsid w:val="31D37177"/>
    <w:rsid w:val="31D3786E"/>
    <w:rsid w:val="31D734FC"/>
    <w:rsid w:val="31D8178A"/>
    <w:rsid w:val="31D96FFC"/>
    <w:rsid w:val="31DF17DC"/>
    <w:rsid w:val="31E66673"/>
    <w:rsid w:val="31F14828"/>
    <w:rsid w:val="320449D6"/>
    <w:rsid w:val="320707B5"/>
    <w:rsid w:val="32097DAC"/>
    <w:rsid w:val="320B091B"/>
    <w:rsid w:val="320E2C71"/>
    <w:rsid w:val="32114A4F"/>
    <w:rsid w:val="32197F8A"/>
    <w:rsid w:val="321B182C"/>
    <w:rsid w:val="32274521"/>
    <w:rsid w:val="32276841"/>
    <w:rsid w:val="323E5CC6"/>
    <w:rsid w:val="324B4FEA"/>
    <w:rsid w:val="324C6E90"/>
    <w:rsid w:val="324D1DB2"/>
    <w:rsid w:val="324F1779"/>
    <w:rsid w:val="3256170B"/>
    <w:rsid w:val="325B2D6F"/>
    <w:rsid w:val="326B4CEF"/>
    <w:rsid w:val="326F20D3"/>
    <w:rsid w:val="32771538"/>
    <w:rsid w:val="327C2C35"/>
    <w:rsid w:val="327D7451"/>
    <w:rsid w:val="327F79C9"/>
    <w:rsid w:val="32912953"/>
    <w:rsid w:val="329A67EF"/>
    <w:rsid w:val="329B3375"/>
    <w:rsid w:val="32A10E5D"/>
    <w:rsid w:val="32A75055"/>
    <w:rsid w:val="32AE01C2"/>
    <w:rsid w:val="32AF4D4C"/>
    <w:rsid w:val="32B37ADD"/>
    <w:rsid w:val="32C041BB"/>
    <w:rsid w:val="32CF7F00"/>
    <w:rsid w:val="32D226F8"/>
    <w:rsid w:val="32D531A7"/>
    <w:rsid w:val="32DB5206"/>
    <w:rsid w:val="32DE0B4C"/>
    <w:rsid w:val="32DE5885"/>
    <w:rsid w:val="32E10DD0"/>
    <w:rsid w:val="32E673FC"/>
    <w:rsid w:val="32EB4EFA"/>
    <w:rsid w:val="32EE0F67"/>
    <w:rsid w:val="32F541FF"/>
    <w:rsid w:val="32F54474"/>
    <w:rsid w:val="33010C48"/>
    <w:rsid w:val="33056A13"/>
    <w:rsid w:val="33096B60"/>
    <w:rsid w:val="33153865"/>
    <w:rsid w:val="33182D3A"/>
    <w:rsid w:val="331E5075"/>
    <w:rsid w:val="33423EE0"/>
    <w:rsid w:val="334F1A2D"/>
    <w:rsid w:val="3354613B"/>
    <w:rsid w:val="336A1CFA"/>
    <w:rsid w:val="336A64D0"/>
    <w:rsid w:val="336B10DA"/>
    <w:rsid w:val="337066A2"/>
    <w:rsid w:val="33753436"/>
    <w:rsid w:val="33780D14"/>
    <w:rsid w:val="337D4D5E"/>
    <w:rsid w:val="338B0EAB"/>
    <w:rsid w:val="338C552D"/>
    <w:rsid w:val="338F7BC6"/>
    <w:rsid w:val="3394414E"/>
    <w:rsid w:val="33A2427A"/>
    <w:rsid w:val="33A4304D"/>
    <w:rsid w:val="33A53562"/>
    <w:rsid w:val="33AC3F8C"/>
    <w:rsid w:val="33B03431"/>
    <w:rsid w:val="33C626D0"/>
    <w:rsid w:val="33C75023"/>
    <w:rsid w:val="33C91F63"/>
    <w:rsid w:val="33C96223"/>
    <w:rsid w:val="33D57582"/>
    <w:rsid w:val="33DB7F0E"/>
    <w:rsid w:val="33DE4BF8"/>
    <w:rsid w:val="33EE0D28"/>
    <w:rsid w:val="33EF143A"/>
    <w:rsid w:val="33FD1769"/>
    <w:rsid w:val="33FD63F2"/>
    <w:rsid w:val="33FF7F7E"/>
    <w:rsid w:val="34025BB9"/>
    <w:rsid w:val="340564CB"/>
    <w:rsid w:val="340604EA"/>
    <w:rsid w:val="341118BA"/>
    <w:rsid w:val="34146B5E"/>
    <w:rsid w:val="341C7E65"/>
    <w:rsid w:val="341E1391"/>
    <w:rsid w:val="3421214A"/>
    <w:rsid w:val="342C07EE"/>
    <w:rsid w:val="343557A8"/>
    <w:rsid w:val="3437752D"/>
    <w:rsid w:val="343A0C4A"/>
    <w:rsid w:val="344F7854"/>
    <w:rsid w:val="345111F4"/>
    <w:rsid w:val="34527756"/>
    <w:rsid w:val="34560E9F"/>
    <w:rsid w:val="34600F8A"/>
    <w:rsid w:val="3463518A"/>
    <w:rsid w:val="34661952"/>
    <w:rsid w:val="34791FE8"/>
    <w:rsid w:val="347B2A3D"/>
    <w:rsid w:val="347D17BE"/>
    <w:rsid w:val="3480029B"/>
    <w:rsid w:val="34935043"/>
    <w:rsid w:val="34971749"/>
    <w:rsid w:val="349B0B0D"/>
    <w:rsid w:val="34A35330"/>
    <w:rsid w:val="34A60C61"/>
    <w:rsid w:val="34AD48AF"/>
    <w:rsid w:val="34BF1556"/>
    <w:rsid w:val="34C704EB"/>
    <w:rsid w:val="34C91C8B"/>
    <w:rsid w:val="34C9478D"/>
    <w:rsid w:val="34CA2EE2"/>
    <w:rsid w:val="34CE71CF"/>
    <w:rsid w:val="34D36666"/>
    <w:rsid w:val="34D81ECE"/>
    <w:rsid w:val="34E47C4A"/>
    <w:rsid w:val="34FC2127"/>
    <w:rsid w:val="3502258F"/>
    <w:rsid w:val="35087825"/>
    <w:rsid w:val="35096C22"/>
    <w:rsid w:val="350B1814"/>
    <w:rsid w:val="35192EB4"/>
    <w:rsid w:val="35265581"/>
    <w:rsid w:val="35415CC5"/>
    <w:rsid w:val="35452817"/>
    <w:rsid w:val="354D39BA"/>
    <w:rsid w:val="355A2C31"/>
    <w:rsid w:val="3566592B"/>
    <w:rsid w:val="35734E29"/>
    <w:rsid w:val="3582735A"/>
    <w:rsid w:val="359120D9"/>
    <w:rsid w:val="35972F7C"/>
    <w:rsid w:val="35A6297A"/>
    <w:rsid w:val="35B44337"/>
    <w:rsid w:val="35BA152B"/>
    <w:rsid w:val="35C115E3"/>
    <w:rsid w:val="35C1461C"/>
    <w:rsid w:val="35CF0EED"/>
    <w:rsid w:val="35D0755D"/>
    <w:rsid w:val="35D52E6A"/>
    <w:rsid w:val="35D8637B"/>
    <w:rsid w:val="35DD52A4"/>
    <w:rsid w:val="35E164DD"/>
    <w:rsid w:val="35E47058"/>
    <w:rsid w:val="35E900D9"/>
    <w:rsid w:val="35EB7BC4"/>
    <w:rsid w:val="35F85436"/>
    <w:rsid w:val="36022A8F"/>
    <w:rsid w:val="36047E1E"/>
    <w:rsid w:val="36122C0C"/>
    <w:rsid w:val="363B79BE"/>
    <w:rsid w:val="363D4D5B"/>
    <w:rsid w:val="363F7E26"/>
    <w:rsid w:val="364A452C"/>
    <w:rsid w:val="36542A4E"/>
    <w:rsid w:val="36626DEF"/>
    <w:rsid w:val="36646855"/>
    <w:rsid w:val="36673AA6"/>
    <w:rsid w:val="36741EB2"/>
    <w:rsid w:val="367811F2"/>
    <w:rsid w:val="36795223"/>
    <w:rsid w:val="36811969"/>
    <w:rsid w:val="36880528"/>
    <w:rsid w:val="368A2752"/>
    <w:rsid w:val="369E3587"/>
    <w:rsid w:val="369F3141"/>
    <w:rsid w:val="36A2279E"/>
    <w:rsid w:val="36B11D45"/>
    <w:rsid w:val="36B16B96"/>
    <w:rsid w:val="36D23699"/>
    <w:rsid w:val="36EF3A6D"/>
    <w:rsid w:val="36EF61E0"/>
    <w:rsid w:val="36F62F19"/>
    <w:rsid w:val="372C6835"/>
    <w:rsid w:val="373032FD"/>
    <w:rsid w:val="373238B1"/>
    <w:rsid w:val="373A6E70"/>
    <w:rsid w:val="37435062"/>
    <w:rsid w:val="374A6F7B"/>
    <w:rsid w:val="374E5150"/>
    <w:rsid w:val="375C4620"/>
    <w:rsid w:val="375F47EE"/>
    <w:rsid w:val="376758CE"/>
    <w:rsid w:val="376C429E"/>
    <w:rsid w:val="376F580B"/>
    <w:rsid w:val="378D3695"/>
    <w:rsid w:val="37944837"/>
    <w:rsid w:val="379F0F50"/>
    <w:rsid w:val="37AC1BF2"/>
    <w:rsid w:val="37AC5191"/>
    <w:rsid w:val="37B06E98"/>
    <w:rsid w:val="37BE7696"/>
    <w:rsid w:val="37C36724"/>
    <w:rsid w:val="37C8117F"/>
    <w:rsid w:val="37C92CB1"/>
    <w:rsid w:val="37CF538C"/>
    <w:rsid w:val="37D8392D"/>
    <w:rsid w:val="37DE2BE9"/>
    <w:rsid w:val="380A6268"/>
    <w:rsid w:val="38173D72"/>
    <w:rsid w:val="381932C0"/>
    <w:rsid w:val="381A77FA"/>
    <w:rsid w:val="381C67F8"/>
    <w:rsid w:val="381D4778"/>
    <w:rsid w:val="38277822"/>
    <w:rsid w:val="38294046"/>
    <w:rsid w:val="38297AD3"/>
    <w:rsid w:val="382C144D"/>
    <w:rsid w:val="38335E49"/>
    <w:rsid w:val="383B6DBB"/>
    <w:rsid w:val="38464095"/>
    <w:rsid w:val="385E1020"/>
    <w:rsid w:val="38620337"/>
    <w:rsid w:val="38621CCA"/>
    <w:rsid w:val="38660323"/>
    <w:rsid w:val="386D560E"/>
    <w:rsid w:val="386E487C"/>
    <w:rsid w:val="38722CED"/>
    <w:rsid w:val="387B504A"/>
    <w:rsid w:val="388A5BB9"/>
    <w:rsid w:val="388C1DA8"/>
    <w:rsid w:val="388E23D2"/>
    <w:rsid w:val="389F08D9"/>
    <w:rsid w:val="389F20B5"/>
    <w:rsid w:val="38A07CE8"/>
    <w:rsid w:val="38A755BF"/>
    <w:rsid w:val="38AC56D6"/>
    <w:rsid w:val="38AE6CEE"/>
    <w:rsid w:val="38BF2B11"/>
    <w:rsid w:val="38C503EB"/>
    <w:rsid w:val="38CB7435"/>
    <w:rsid w:val="38CD1C25"/>
    <w:rsid w:val="38D21BA0"/>
    <w:rsid w:val="38D347DF"/>
    <w:rsid w:val="38D42349"/>
    <w:rsid w:val="38DB2573"/>
    <w:rsid w:val="38E116B3"/>
    <w:rsid w:val="38EC5F48"/>
    <w:rsid w:val="38ED471D"/>
    <w:rsid w:val="38FB7213"/>
    <w:rsid w:val="38FD2D6F"/>
    <w:rsid w:val="38FE01C7"/>
    <w:rsid w:val="38FF1852"/>
    <w:rsid w:val="390C0E52"/>
    <w:rsid w:val="390D6B8A"/>
    <w:rsid w:val="390D744E"/>
    <w:rsid w:val="391D7F89"/>
    <w:rsid w:val="391F637D"/>
    <w:rsid w:val="392350DC"/>
    <w:rsid w:val="39236C23"/>
    <w:rsid w:val="39240A54"/>
    <w:rsid w:val="392562C1"/>
    <w:rsid w:val="392B3E7D"/>
    <w:rsid w:val="39394F59"/>
    <w:rsid w:val="393B4562"/>
    <w:rsid w:val="393B4A14"/>
    <w:rsid w:val="39485C83"/>
    <w:rsid w:val="394C63A6"/>
    <w:rsid w:val="39532B64"/>
    <w:rsid w:val="39565AB7"/>
    <w:rsid w:val="395E715F"/>
    <w:rsid w:val="39600001"/>
    <w:rsid w:val="39635893"/>
    <w:rsid w:val="396E6453"/>
    <w:rsid w:val="39792B8F"/>
    <w:rsid w:val="398B29D6"/>
    <w:rsid w:val="398F781A"/>
    <w:rsid w:val="39934882"/>
    <w:rsid w:val="3995135A"/>
    <w:rsid w:val="399F0B1E"/>
    <w:rsid w:val="39AB1349"/>
    <w:rsid w:val="39B25A31"/>
    <w:rsid w:val="39BC5CA3"/>
    <w:rsid w:val="39BD4715"/>
    <w:rsid w:val="39D260E6"/>
    <w:rsid w:val="39EB21AF"/>
    <w:rsid w:val="39F05FC2"/>
    <w:rsid w:val="39F36591"/>
    <w:rsid w:val="39F83C4E"/>
    <w:rsid w:val="39FC310C"/>
    <w:rsid w:val="3A080BE1"/>
    <w:rsid w:val="3A082E81"/>
    <w:rsid w:val="3A0D2C98"/>
    <w:rsid w:val="3A123981"/>
    <w:rsid w:val="3A237945"/>
    <w:rsid w:val="3A290E5B"/>
    <w:rsid w:val="3A3145AD"/>
    <w:rsid w:val="3A354543"/>
    <w:rsid w:val="3A4E369F"/>
    <w:rsid w:val="3A51027C"/>
    <w:rsid w:val="3A603F93"/>
    <w:rsid w:val="3A6D3350"/>
    <w:rsid w:val="3A6E5CA8"/>
    <w:rsid w:val="3A7C2E25"/>
    <w:rsid w:val="3A80466E"/>
    <w:rsid w:val="3A8416B8"/>
    <w:rsid w:val="3A8526BA"/>
    <w:rsid w:val="3A880C39"/>
    <w:rsid w:val="3A8A5B11"/>
    <w:rsid w:val="3AA359C6"/>
    <w:rsid w:val="3AA81686"/>
    <w:rsid w:val="3AB25A9A"/>
    <w:rsid w:val="3AB35F1B"/>
    <w:rsid w:val="3ABA62FF"/>
    <w:rsid w:val="3ABE6ECD"/>
    <w:rsid w:val="3AC20B73"/>
    <w:rsid w:val="3AC62F67"/>
    <w:rsid w:val="3AC6495D"/>
    <w:rsid w:val="3ACB4118"/>
    <w:rsid w:val="3AD05807"/>
    <w:rsid w:val="3AD3009E"/>
    <w:rsid w:val="3AD6574A"/>
    <w:rsid w:val="3ADC0516"/>
    <w:rsid w:val="3ADE5E1E"/>
    <w:rsid w:val="3AE0466D"/>
    <w:rsid w:val="3AEA52DA"/>
    <w:rsid w:val="3AF3303B"/>
    <w:rsid w:val="3AFC1390"/>
    <w:rsid w:val="3B015B01"/>
    <w:rsid w:val="3B027FB1"/>
    <w:rsid w:val="3B032DF4"/>
    <w:rsid w:val="3B0470A4"/>
    <w:rsid w:val="3B061AE8"/>
    <w:rsid w:val="3B0A36ED"/>
    <w:rsid w:val="3B0D2132"/>
    <w:rsid w:val="3B113B01"/>
    <w:rsid w:val="3B161028"/>
    <w:rsid w:val="3B193072"/>
    <w:rsid w:val="3B1A2531"/>
    <w:rsid w:val="3B297586"/>
    <w:rsid w:val="3B304F49"/>
    <w:rsid w:val="3B3869ED"/>
    <w:rsid w:val="3B387D5C"/>
    <w:rsid w:val="3B432475"/>
    <w:rsid w:val="3B46294E"/>
    <w:rsid w:val="3B4A71D3"/>
    <w:rsid w:val="3B5577BC"/>
    <w:rsid w:val="3B566354"/>
    <w:rsid w:val="3B5B12EA"/>
    <w:rsid w:val="3B5C4BA2"/>
    <w:rsid w:val="3B5D3903"/>
    <w:rsid w:val="3B614D7D"/>
    <w:rsid w:val="3B6929BA"/>
    <w:rsid w:val="3B6C0A6B"/>
    <w:rsid w:val="3B6C35A1"/>
    <w:rsid w:val="3B75684D"/>
    <w:rsid w:val="3B807113"/>
    <w:rsid w:val="3B841C6C"/>
    <w:rsid w:val="3B8E1CEC"/>
    <w:rsid w:val="3B93771F"/>
    <w:rsid w:val="3BA07A4D"/>
    <w:rsid w:val="3BA22DAF"/>
    <w:rsid w:val="3BA561AC"/>
    <w:rsid w:val="3BA90C30"/>
    <w:rsid w:val="3BB528E2"/>
    <w:rsid w:val="3BC41577"/>
    <w:rsid w:val="3BCF160D"/>
    <w:rsid w:val="3BD278A1"/>
    <w:rsid w:val="3BD601BF"/>
    <w:rsid w:val="3BE5465F"/>
    <w:rsid w:val="3BF72A45"/>
    <w:rsid w:val="3BF84C81"/>
    <w:rsid w:val="3BFA21BD"/>
    <w:rsid w:val="3C0A47BB"/>
    <w:rsid w:val="3C1D1BC3"/>
    <w:rsid w:val="3C24021A"/>
    <w:rsid w:val="3C261239"/>
    <w:rsid w:val="3C2C3F26"/>
    <w:rsid w:val="3C307FC1"/>
    <w:rsid w:val="3C31001D"/>
    <w:rsid w:val="3C3D0CBB"/>
    <w:rsid w:val="3C413F5C"/>
    <w:rsid w:val="3C453194"/>
    <w:rsid w:val="3C462E56"/>
    <w:rsid w:val="3C5E0F0B"/>
    <w:rsid w:val="3C6A3E25"/>
    <w:rsid w:val="3C6D0FB5"/>
    <w:rsid w:val="3C704FFB"/>
    <w:rsid w:val="3C7D6B7F"/>
    <w:rsid w:val="3C805403"/>
    <w:rsid w:val="3C8262FB"/>
    <w:rsid w:val="3C8C7BAA"/>
    <w:rsid w:val="3C924BF8"/>
    <w:rsid w:val="3C984A8F"/>
    <w:rsid w:val="3C9C366F"/>
    <w:rsid w:val="3CA578AE"/>
    <w:rsid w:val="3CBB5EAC"/>
    <w:rsid w:val="3CBC3A7A"/>
    <w:rsid w:val="3CC05496"/>
    <w:rsid w:val="3CC867E2"/>
    <w:rsid w:val="3CCA5548"/>
    <w:rsid w:val="3CCB2C05"/>
    <w:rsid w:val="3CCD58B4"/>
    <w:rsid w:val="3CDA3F35"/>
    <w:rsid w:val="3CDC01CE"/>
    <w:rsid w:val="3CE3592B"/>
    <w:rsid w:val="3CE67785"/>
    <w:rsid w:val="3CE95008"/>
    <w:rsid w:val="3CE95BCD"/>
    <w:rsid w:val="3D0643DF"/>
    <w:rsid w:val="3D093F1F"/>
    <w:rsid w:val="3D0A6720"/>
    <w:rsid w:val="3D0B60E4"/>
    <w:rsid w:val="3D0D7BE2"/>
    <w:rsid w:val="3D146746"/>
    <w:rsid w:val="3D1613E2"/>
    <w:rsid w:val="3D2D47D8"/>
    <w:rsid w:val="3D347079"/>
    <w:rsid w:val="3D391DCE"/>
    <w:rsid w:val="3D411876"/>
    <w:rsid w:val="3D4D2D2E"/>
    <w:rsid w:val="3D5172F0"/>
    <w:rsid w:val="3D5607BD"/>
    <w:rsid w:val="3D585C53"/>
    <w:rsid w:val="3D657015"/>
    <w:rsid w:val="3D677B32"/>
    <w:rsid w:val="3D6A1116"/>
    <w:rsid w:val="3D6C74FD"/>
    <w:rsid w:val="3D6E21A9"/>
    <w:rsid w:val="3D731175"/>
    <w:rsid w:val="3D7C37E9"/>
    <w:rsid w:val="3D7F55DD"/>
    <w:rsid w:val="3D876365"/>
    <w:rsid w:val="3D887F6E"/>
    <w:rsid w:val="3D8C321C"/>
    <w:rsid w:val="3D911CAF"/>
    <w:rsid w:val="3D9876A5"/>
    <w:rsid w:val="3D9C6309"/>
    <w:rsid w:val="3DA26839"/>
    <w:rsid w:val="3DA712BB"/>
    <w:rsid w:val="3DA87434"/>
    <w:rsid w:val="3DB17E5D"/>
    <w:rsid w:val="3DB35E28"/>
    <w:rsid w:val="3DBA59CC"/>
    <w:rsid w:val="3DBB0D2D"/>
    <w:rsid w:val="3DC315F8"/>
    <w:rsid w:val="3DD27898"/>
    <w:rsid w:val="3DD66D9D"/>
    <w:rsid w:val="3DD9493D"/>
    <w:rsid w:val="3DE11D98"/>
    <w:rsid w:val="3DE23AE2"/>
    <w:rsid w:val="3DE60C20"/>
    <w:rsid w:val="3DFB4A13"/>
    <w:rsid w:val="3E0A6C1A"/>
    <w:rsid w:val="3E0C0B96"/>
    <w:rsid w:val="3E121217"/>
    <w:rsid w:val="3E2613F0"/>
    <w:rsid w:val="3E262E3F"/>
    <w:rsid w:val="3E382E82"/>
    <w:rsid w:val="3E404956"/>
    <w:rsid w:val="3E4607D6"/>
    <w:rsid w:val="3E516E18"/>
    <w:rsid w:val="3E6030D6"/>
    <w:rsid w:val="3E7411A2"/>
    <w:rsid w:val="3E7B1F83"/>
    <w:rsid w:val="3E852E26"/>
    <w:rsid w:val="3E8A519B"/>
    <w:rsid w:val="3E917B73"/>
    <w:rsid w:val="3E9625D9"/>
    <w:rsid w:val="3E990FD1"/>
    <w:rsid w:val="3E9B023F"/>
    <w:rsid w:val="3E9C4278"/>
    <w:rsid w:val="3EA32CF0"/>
    <w:rsid w:val="3EAB2BAE"/>
    <w:rsid w:val="3EB811D9"/>
    <w:rsid w:val="3EBD18FB"/>
    <w:rsid w:val="3ECD27F2"/>
    <w:rsid w:val="3ED0119F"/>
    <w:rsid w:val="3ED61317"/>
    <w:rsid w:val="3ED96AD4"/>
    <w:rsid w:val="3EDA76C8"/>
    <w:rsid w:val="3EDD449D"/>
    <w:rsid w:val="3EE11CE2"/>
    <w:rsid w:val="3EE13739"/>
    <w:rsid w:val="3EE4397B"/>
    <w:rsid w:val="3EE66083"/>
    <w:rsid w:val="3EF0779A"/>
    <w:rsid w:val="3EF52B33"/>
    <w:rsid w:val="3EF71A64"/>
    <w:rsid w:val="3EF9704E"/>
    <w:rsid w:val="3EFB6785"/>
    <w:rsid w:val="3EFB696F"/>
    <w:rsid w:val="3F0569B1"/>
    <w:rsid w:val="3F0A3137"/>
    <w:rsid w:val="3F0A4915"/>
    <w:rsid w:val="3F113F61"/>
    <w:rsid w:val="3F19514C"/>
    <w:rsid w:val="3F286002"/>
    <w:rsid w:val="3F2B799F"/>
    <w:rsid w:val="3F2E66C3"/>
    <w:rsid w:val="3F345700"/>
    <w:rsid w:val="3F387AC7"/>
    <w:rsid w:val="3F39040B"/>
    <w:rsid w:val="3F454B26"/>
    <w:rsid w:val="3F584337"/>
    <w:rsid w:val="3F67788B"/>
    <w:rsid w:val="3F797F1D"/>
    <w:rsid w:val="3F8A03E9"/>
    <w:rsid w:val="3F8D0120"/>
    <w:rsid w:val="3F8E3926"/>
    <w:rsid w:val="3F9E7240"/>
    <w:rsid w:val="3FA208C7"/>
    <w:rsid w:val="3FAA18E8"/>
    <w:rsid w:val="3FB33543"/>
    <w:rsid w:val="3FB414F4"/>
    <w:rsid w:val="3FB45BC5"/>
    <w:rsid w:val="3FB50216"/>
    <w:rsid w:val="3FBF2643"/>
    <w:rsid w:val="3FBF7490"/>
    <w:rsid w:val="3FF86D8C"/>
    <w:rsid w:val="3FFD23EA"/>
    <w:rsid w:val="40061FE5"/>
    <w:rsid w:val="40063610"/>
    <w:rsid w:val="400D2525"/>
    <w:rsid w:val="40243665"/>
    <w:rsid w:val="402448B1"/>
    <w:rsid w:val="403626B7"/>
    <w:rsid w:val="40512FA4"/>
    <w:rsid w:val="4052019B"/>
    <w:rsid w:val="405A22F5"/>
    <w:rsid w:val="406805AA"/>
    <w:rsid w:val="406E11A6"/>
    <w:rsid w:val="407252D2"/>
    <w:rsid w:val="40774EE2"/>
    <w:rsid w:val="40864180"/>
    <w:rsid w:val="40872C5C"/>
    <w:rsid w:val="408B2E20"/>
    <w:rsid w:val="408E179A"/>
    <w:rsid w:val="4099751B"/>
    <w:rsid w:val="409A0EFA"/>
    <w:rsid w:val="40A374AA"/>
    <w:rsid w:val="40A733EE"/>
    <w:rsid w:val="40AB62C8"/>
    <w:rsid w:val="40BC059D"/>
    <w:rsid w:val="40BE40F8"/>
    <w:rsid w:val="40C67B06"/>
    <w:rsid w:val="40D40313"/>
    <w:rsid w:val="40DB400E"/>
    <w:rsid w:val="40DD43E3"/>
    <w:rsid w:val="40DF766D"/>
    <w:rsid w:val="40E833BB"/>
    <w:rsid w:val="40F3697A"/>
    <w:rsid w:val="40F8153C"/>
    <w:rsid w:val="40FD7A4C"/>
    <w:rsid w:val="410D331D"/>
    <w:rsid w:val="411127CB"/>
    <w:rsid w:val="4113229E"/>
    <w:rsid w:val="4116286A"/>
    <w:rsid w:val="412F739B"/>
    <w:rsid w:val="41364944"/>
    <w:rsid w:val="41372FE6"/>
    <w:rsid w:val="413B61B5"/>
    <w:rsid w:val="414909F6"/>
    <w:rsid w:val="41507DFE"/>
    <w:rsid w:val="415715E0"/>
    <w:rsid w:val="415B79C0"/>
    <w:rsid w:val="415E3EE8"/>
    <w:rsid w:val="416E1067"/>
    <w:rsid w:val="418D0C05"/>
    <w:rsid w:val="419569BB"/>
    <w:rsid w:val="419E51CC"/>
    <w:rsid w:val="41A3659C"/>
    <w:rsid w:val="41B81802"/>
    <w:rsid w:val="41B96BE3"/>
    <w:rsid w:val="41BC3328"/>
    <w:rsid w:val="41BE2A60"/>
    <w:rsid w:val="41C60F68"/>
    <w:rsid w:val="41C8128F"/>
    <w:rsid w:val="41DB1D2D"/>
    <w:rsid w:val="41DD13BD"/>
    <w:rsid w:val="41DE6569"/>
    <w:rsid w:val="41E504C8"/>
    <w:rsid w:val="41E974C9"/>
    <w:rsid w:val="41F00B04"/>
    <w:rsid w:val="420417DB"/>
    <w:rsid w:val="42091F6D"/>
    <w:rsid w:val="42097B6B"/>
    <w:rsid w:val="4222487D"/>
    <w:rsid w:val="42226EC9"/>
    <w:rsid w:val="42270E1C"/>
    <w:rsid w:val="42274495"/>
    <w:rsid w:val="42333155"/>
    <w:rsid w:val="42333F36"/>
    <w:rsid w:val="423966F4"/>
    <w:rsid w:val="423F745A"/>
    <w:rsid w:val="4252139E"/>
    <w:rsid w:val="425860DD"/>
    <w:rsid w:val="426D7DE0"/>
    <w:rsid w:val="428311EE"/>
    <w:rsid w:val="42835AAA"/>
    <w:rsid w:val="42923773"/>
    <w:rsid w:val="42924E27"/>
    <w:rsid w:val="42933C45"/>
    <w:rsid w:val="42964920"/>
    <w:rsid w:val="4299788D"/>
    <w:rsid w:val="42A41642"/>
    <w:rsid w:val="42AD2961"/>
    <w:rsid w:val="42B23DE4"/>
    <w:rsid w:val="42B65F18"/>
    <w:rsid w:val="42C04132"/>
    <w:rsid w:val="42CC011D"/>
    <w:rsid w:val="42CE2DA5"/>
    <w:rsid w:val="42D948AF"/>
    <w:rsid w:val="42DA0489"/>
    <w:rsid w:val="42DF0823"/>
    <w:rsid w:val="42E51576"/>
    <w:rsid w:val="42E67FCC"/>
    <w:rsid w:val="42FA57FF"/>
    <w:rsid w:val="42FD24F5"/>
    <w:rsid w:val="42FD4408"/>
    <w:rsid w:val="430F6452"/>
    <w:rsid w:val="43166D1E"/>
    <w:rsid w:val="43193DDE"/>
    <w:rsid w:val="43273C06"/>
    <w:rsid w:val="43274E06"/>
    <w:rsid w:val="43293069"/>
    <w:rsid w:val="4330197C"/>
    <w:rsid w:val="4344109D"/>
    <w:rsid w:val="43574D8F"/>
    <w:rsid w:val="43654E22"/>
    <w:rsid w:val="43660F30"/>
    <w:rsid w:val="436D1FCA"/>
    <w:rsid w:val="436F36A9"/>
    <w:rsid w:val="43763DA6"/>
    <w:rsid w:val="43792ACE"/>
    <w:rsid w:val="439167C5"/>
    <w:rsid w:val="43952854"/>
    <w:rsid w:val="439E3C72"/>
    <w:rsid w:val="43A678C7"/>
    <w:rsid w:val="43BA5753"/>
    <w:rsid w:val="43C37B17"/>
    <w:rsid w:val="43CE0F38"/>
    <w:rsid w:val="43CE4BA7"/>
    <w:rsid w:val="43CF17D4"/>
    <w:rsid w:val="43D10808"/>
    <w:rsid w:val="43D849FD"/>
    <w:rsid w:val="43DA3337"/>
    <w:rsid w:val="43DA5A7F"/>
    <w:rsid w:val="43E25B6E"/>
    <w:rsid w:val="43E468D2"/>
    <w:rsid w:val="43E66B64"/>
    <w:rsid w:val="43EB7683"/>
    <w:rsid w:val="43F753F3"/>
    <w:rsid w:val="43FE1CFC"/>
    <w:rsid w:val="44172414"/>
    <w:rsid w:val="4419422B"/>
    <w:rsid w:val="4421045D"/>
    <w:rsid w:val="44262BCD"/>
    <w:rsid w:val="442D7803"/>
    <w:rsid w:val="443B5D6D"/>
    <w:rsid w:val="44562C12"/>
    <w:rsid w:val="44674747"/>
    <w:rsid w:val="447B0A5A"/>
    <w:rsid w:val="447E677D"/>
    <w:rsid w:val="447F4128"/>
    <w:rsid w:val="44834245"/>
    <w:rsid w:val="44837E3B"/>
    <w:rsid w:val="448D0867"/>
    <w:rsid w:val="44901BE6"/>
    <w:rsid w:val="449855E9"/>
    <w:rsid w:val="449D0937"/>
    <w:rsid w:val="44A12A7F"/>
    <w:rsid w:val="44A22C18"/>
    <w:rsid w:val="44B546AD"/>
    <w:rsid w:val="44B677B6"/>
    <w:rsid w:val="44C16D97"/>
    <w:rsid w:val="44C640EF"/>
    <w:rsid w:val="44E069AF"/>
    <w:rsid w:val="44E17F77"/>
    <w:rsid w:val="44E320E8"/>
    <w:rsid w:val="44E64193"/>
    <w:rsid w:val="44EB03C4"/>
    <w:rsid w:val="44EE577E"/>
    <w:rsid w:val="44F00746"/>
    <w:rsid w:val="44FE6C98"/>
    <w:rsid w:val="451707BF"/>
    <w:rsid w:val="451827D1"/>
    <w:rsid w:val="451C45AF"/>
    <w:rsid w:val="45247E69"/>
    <w:rsid w:val="45255357"/>
    <w:rsid w:val="452C0FD4"/>
    <w:rsid w:val="453749EF"/>
    <w:rsid w:val="45386E4E"/>
    <w:rsid w:val="454A5E19"/>
    <w:rsid w:val="4557460E"/>
    <w:rsid w:val="4558636C"/>
    <w:rsid w:val="45681451"/>
    <w:rsid w:val="456D21CC"/>
    <w:rsid w:val="45734A55"/>
    <w:rsid w:val="457C2659"/>
    <w:rsid w:val="458E3310"/>
    <w:rsid w:val="45934726"/>
    <w:rsid w:val="45946363"/>
    <w:rsid w:val="45B003F1"/>
    <w:rsid w:val="45C20779"/>
    <w:rsid w:val="45D67916"/>
    <w:rsid w:val="45DA2FEB"/>
    <w:rsid w:val="45DE22DB"/>
    <w:rsid w:val="45E0399B"/>
    <w:rsid w:val="45E93C16"/>
    <w:rsid w:val="45F124CD"/>
    <w:rsid w:val="461454FF"/>
    <w:rsid w:val="46362569"/>
    <w:rsid w:val="463F6446"/>
    <w:rsid w:val="4645273E"/>
    <w:rsid w:val="465632A1"/>
    <w:rsid w:val="4662060E"/>
    <w:rsid w:val="466D3EEF"/>
    <w:rsid w:val="46762255"/>
    <w:rsid w:val="4676308F"/>
    <w:rsid w:val="4681661F"/>
    <w:rsid w:val="46845034"/>
    <w:rsid w:val="468C6683"/>
    <w:rsid w:val="46914549"/>
    <w:rsid w:val="46A20C3F"/>
    <w:rsid w:val="46A85A15"/>
    <w:rsid w:val="46AE43D3"/>
    <w:rsid w:val="46B20408"/>
    <w:rsid w:val="46B61985"/>
    <w:rsid w:val="46BB67D9"/>
    <w:rsid w:val="46BD6432"/>
    <w:rsid w:val="46BF06A6"/>
    <w:rsid w:val="46BF478F"/>
    <w:rsid w:val="46C572FE"/>
    <w:rsid w:val="46C57DBE"/>
    <w:rsid w:val="46C76C56"/>
    <w:rsid w:val="46CA7CC5"/>
    <w:rsid w:val="46D227BD"/>
    <w:rsid w:val="46DF600E"/>
    <w:rsid w:val="46E576C8"/>
    <w:rsid w:val="46E90501"/>
    <w:rsid w:val="46F25042"/>
    <w:rsid w:val="4704418B"/>
    <w:rsid w:val="47184B53"/>
    <w:rsid w:val="471C4EC4"/>
    <w:rsid w:val="472406EB"/>
    <w:rsid w:val="47280793"/>
    <w:rsid w:val="47307AD7"/>
    <w:rsid w:val="47320E76"/>
    <w:rsid w:val="473C218C"/>
    <w:rsid w:val="473F5581"/>
    <w:rsid w:val="47492F5C"/>
    <w:rsid w:val="475848DA"/>
    <w:rsid w:val="47615B1B"/>
    <w:rsid w:val="47617B01"/>
    <w:rsid w:val="476765DB"/>
    <w:rsid w:val="477A6E15"/>
    <w:rsid w:val="477C5396"/>
    <w:rsid w:val="47867501"/>
    <w:rsid w:val="4789414B"/>
    <w:rsid w:val="478D1C19"/>
    <w:rsid w:val="47A461B0"/>
    <w:rsid w:val="47A56A72"/>
    <w:rsid w:val="47A61016"/>
    <w:rsid w:val="47AA6FC6"/>
    <w:rsid w:val="47B97DDE"/>
    <w:rsid w:val="47BC6570"/>
    <w:rsid w:val="47C474CD"/>
    <w:rsid w:val="47CC1972"/>
    <w:rsid w:val="47D504C4"/>
    <w:rsid w:val="47D95724"/>
    <w:rsid w:val="47DA2365"/>
    <w:rsid w:val="47F20FB3"/>
    <w:rsid w:val="47F55D35"/>
    <w:rsid w:val="47FB61A8"/>
    <w:rsid w:val="47FD6691"/>
    <w:rsid w:val="480D7C89"/>
    <w:rsid w:val="481024CA"/>
    <w:rsid w:val="48123A29"/>
    <w:rsid w:val="48147438"/>
    <w:rsid w:val="4818770D"/>
    <w:rsid w:val="482447A9"/>
    <w:rsid w:val="482678B3"/>
    <w:rsid w:val="483E7009"/>
    <w:rsid w:val="48441459"/>
    <w:rsid w:val="48581968"/>
    <w:rsid w:val="486A1722"/>
    <w:rsid w:val="486E63BD"/>
    <w:rsid w:val="48715FBB"/>
    <w:rsid w:val="4873440A"/>
    <w:rsid w:val="48764FC3"/>
    <w:rsid w:val="48771CA0"/>
    <w:rsid w:val="48813992"/>
    <w:rsid w:val="488C1C13"/>
    <w:rsid w:val="4897550A"/>
    <w:rsid w:val="489F057A"/>
    <w:rsid w:val="48AA347B"/>
    <w:rsid w:val="48AC7CA5"/>
    <w:rsid w:val="48B631EA"/>
    <w:rsid w:val="48B8565F"/>
    <w:rsid w:val="48BD25D9"/>
    <w:rsid w:val="48C06F23"/>
    <w:rsid w:val="48C65633"/>
    <w:rsid w:val="48C808A0"/>
    <w:rsid w:val="48D40079"/>
    <w:rsid w:val="48D55374"/>
    <w:rsid w:val="48E1191C"/>
    <w:rsid w:val="48E52433"/>
    <w:rsid w:val="48F46CBC"/>
    <w:rsid w:val="48F46FCF"/>
    <w:rsid w:val="490648CB"/>
    <w:rsid w:val="49074476"/>
    <w:rsid w:val="490A3EFD"/>
    <w:rsid w:val="490E7112"/>
    <w:rsid w:val="49103AE7"/>
    <w:rsid w:val="491655C0"/>
    <w:rsid w:val="491C3D50"/>
    <w:rsid w:val="49201800"/>
    <w:rsid w:val="49240FFA"/>
    <w:rsid w:val="49256CF1"/>
    <w:rsid w:val="49291B7A"/>
    <w:rsid w:val="492E1005"/>
    <w:rsid w:val="49371894"/>
    <w:rsid w:val="493D40BA"/>
    <w:rsid w:val="493D4EEC"/>
    <w:rsid w:val="493F6C1F"/>
    <w:rsid w:val="49476D0B"/>
    <w:rsid w:val="49482550"/>
    <w:rsid w:val="494E6140"/>
    <w:rsid w:val="49603AC3"/>
    <w:rsid w:val="49627B61"/>
    <w:rsid w:val="49676B2D"/>
    <w:rsid w:val="496A124C"/>
    <w:rsid w:val="49702AF4"/>
    <w:rsid w:val="49750FC9"/>
    <w:rsid w:val="4979723C"/>
    <w:rsid w:val="497F6D0C"/>
    <w:rsid w:val="498802EE"/>
    <w:rsid w:val="498A16FE"/>
    <w:rsid w:val="498A51E1"/>
    <w:rsid w:val="49904C2F"/>
    <w:rsid w:val="4991316D"/>
    <w:rsid w:val="49982D64"/>
    <w:rsid w:val="499B01EF"/>
    <w:rsid w:val="499E1C61"/>
    <w:rsid w:val="49A518E2"/>
    <w:rsid w:val="49A91A0D"/>
    <w:rsid w:val="49A9457C"/>
    <w:rsid w:val="49AC0D72"/>
    <w:rsid w:val="49AD42C1"/>
    <w:rsid w:val="49B669D0"/>
    <w:rsid w:val="49BC1AC3"/>
    <w:rsid w:val="49C00ABC"/>
    <w:rsid w:val="49C21721"/>
    <w:rsid w:val="49C426E2"/>
    <w:rsid w:val="49CA287E"/>
    <w:rsid w:val="49CD5C06"/>
    <w:rsid w:val="49D94B62"/>
    <w:rsid w:val="49DF1EE6"/>
    <w:rsid w:val="49E04BF7"/>
    <w:rsid w:val="49E23EDF"/>
    <w:rsid w:val="49EF2B5B"/>
    <w:rsid w:val="49F74942"/>
    <w:rsid w:val="4A084BAC"/>
    <w:rsid w:val="4A1E0E55"/>
    <w:rsid w:val="4A253633"/>
    <w:rsid w:val="4A2D7D12"/>
    <w:rsid w:val="4A332911"/>
    <w:rsid w:val="4A365AF7"/>
    <w:rsid w:val="4A3813D8"/>
    <w:rsid w:val="4A590FFA"/>
    <w:rsid w:val="4A673D0B"/>
    <w:rsid w:val="4A76786E"/>
    <w:rsid w:val="4A7C265A"/>
    <w:rsid w:val="4A7C6F92"/>
    <w:rsid w:val="4A7F11BB"/>
    <w:rsid w:val="4A826194"/>
    <w:rsid w:val="4A851D59"/>
    <w:rsid w:val="4A866CA5"/>
    <w:rsid w:val="4A867813"/>
    <w:rsid w:val="4A9C46BB"/>
    <w:rsid w:val="4AA36A8E"/>
    <w:rsid w:val="4AAB436B"/>
    <w:rsid w:val="4AB105BC"/>
    <w:rsid w:val="4AB9654E"/>
    <w:rsid w:val="4ABC2A1D"/>
    <w:rsid w:val="4AC82D10"/>
    <w:rsid w:val="4AD22914"/>
    <w:rsid w:val="4ADC5362"/>
    <w:rsid w:val="4ADF6C13"/>
    <w:rsid w:val="4AE852CF"/>
    <w:rsid w:val="4AE958B2"/>
    <w:rsid w:val="4AEE17E9"/>
    <w:rsid w:val="4AF577BE"/>
    <w:rsid w:val="4B0A06F0"/>
    <w:rsid w:val="4B0A66F0"/>
    <w:rsid w:val="4B0D6D5E"/>
    <w:rsid w:val="4B104D3A"/>
    <w:rsid w:val="4B1C6C15"/>
    <w:rsid w:val="4B1C77A9"/>
    <w:rsid w:val="4B1D06CE"/>
    <w:rsid w:val="4B280C99"/>
    <w:rsid w:val="4B2D14A3"/>
    <w:rsid w:val="4B2D6E96"/>
    <w:rsid w:val="4B3347C0"/>
    <w:rsid w:val="4B391E4E"/>
    <w:rsid w:val="4B492544"/>
    <w:rsid w:val="4B4B16F7"/>
    <w:rsid w:val="4B4B62AA"/>
    <w:rsid w:val="4B4E5074"/>
    <w:rsid w:val="4B510568"/>
    <w:rsid w:val="4B53235D"/>
    <w:rsid w:val="4B5455B5"/>
    <w:rsid w:val="4B5831FE"/>
    <w:rsid w:val="4B5A1410"/>
    <w:rsid w:val="4B62097A"/>
    <w:rsid w:val="4B652705"/>
    <w:rsid w:val="4B6C6009"/>
    <w:rsid w:val="4B6F2EF6"/>
    <w:rsid w:val="4B777625"/>
    <w:rsid w:val="4B7930AE"/>
    <w:rsid w:val="4B7D19C1"/>
    <w:rsid w:val="4B7E1DFE"/>
    <w:rsid w:val="4B827314"/>
    <w:rsid w:val="4B8E18AD"/>
    <w:rsid w:val="4B9D4B5C"/>
    <w:rsid w:val="4BB4108E"/>
    <w:rsid w:val="4BB62728"/>
    <w:rsid w:val="4BBA57CE"/>
    <w:rsid w:val="4BC10345"/>
    <w:rsid w:val="4BC61EF2"/>
    <w:rsid w:val="4BCB3D8C"/>
    <w:rsid w:val="4BCC1619"/>
    <w:rsid w:val="4BCF79EF"/>
    <w:rsid w:val="4BD234B6"/>
    <w:rsid w:val="4BDF227A"/>
    <w:rsid w:val="4BF757DA"/>
    <w:rsid w:val="4BFC4665"/>
    <w:rsid w:val="4BFD703A"/>
    <w:rsid w:val="4C0409BE"/>
    <w:rsid w:val="4C1329BC"/>
    <w:rsid w:val="4C1A6915"/>
    <w:rsid w:val="4C1B1D60"/>
    <w:rsid w:val="4C2B1D0B"/>
    <w:rsid w:val="4C2E2A4A"/>
    <w:rsid w:val="4C2F52E8"/>
    <w:rsid w:val="4C30618F"/>
    <w:rsid w:val="4C327519"/>
    <w:rsid w:val="4C3314D2"/>
    <w:rsid w:val="4C341AEA"/>
    <w:rsid w:val="4C3D6555"/>
    <w:rsid w:val="4C4B1F48"/>
    <w:rsid w:val="4C4B4D68"/>
    <w:rsid w:val="4C4E0A8E"/>
    <w:rsid w:val="4C5C2271"/>
    <w:rsid w:val="4C643D64"/>
    <w:rsid w:val="4C772C79"/>
    <w:rsid w:val="4C807DF3"/>
    <w:rsid w:val="4C873DD8"/>
    <w:rsid w:val="4C940CB4"/>
    <w:rsid w:val="4CA9652C"/>
    <w:rsid w:val="4CAD36E2"/>
    <w:rsid w:val="4CDA0EC9"/>
    <w:rsid w:val="4CF149F0"/>
    <w:rsid w:val="4CF27F48"/>
    <w:rsid w:val="4D040950"/>
    <w:rsid w:val="4D05267E"/>
    <w:rsid w:val="4D1B4BF6"/>
    <w:rsid w:val="4D227A97"/>
    <w:rsid w:val="4D2E245E"/>
    <w:rsid w:val="4D3B37E7"/>
    <w:rsid w:val="4D3F50AA"/>
    <w:rsid w:val="4D416DC1"/>
    <w:rsid w:val="4D5C2C01"/>
    <w:rsid w:val="4D5D2E9A"/>
    <w:rsid w:val="4D5D775F"/>
    <w:rsid w:val="4D5E73EE"/>
    <w:rsid w:val="4D625031"/>
    <w:rsid w:val="4D6F33B9"/>
    <w:rsid w:val="4D7902DB"/>
    <w:rsid w:val="4D847105"/>
    <w:rsid w:val="4D8821DB"/>
    <w:rsid w:val="4D89798F"/>
    <w:rsid w:val="4D8A5257"/>
    <w:rsid w:val="4D8E2931"/>
    <w:rsid w:val="4D941B5C"/>
    <w:rsid w:val="4D9E0BAB"/>
    <w:rsid w:val="4DA84617"/>
    <w:rsid w:val="4DB5389A"/>
    <w:rsid w:val="4DC07A1A"/>
    <w:rsid w:val="4DC16DD5"/>
    <w:rsid w:val="4DCC5B28"/>
    <w:rsid w:val="4DCD257E"/>
    <w:rsid w:val="4DCE37D8"/>
    <w:rsid w:val="4DCF1E79"/>
    <w:rsid w:val="4DDA685F"/>
    <w:rsid w:val="4DE674D3"/>
    <w:rsid w:val="4DEA76A1"/>
    <w:rsid w:val="4DEB45C9"/>
    <w:rsid w:val="4DF20CB8"/>
    <w:rsid w:val="4DF55C54"/>
    <w:rsid w:val="4DFC201F"/>
    <w:rsid w:val="4E027B4A"/>
    <w:rsid w:val="4E0605A8"/>
    <w:rsid w:val="4E0807A7"/>
    <w:rsid w:val="4E12755E"/>
    <w:rsid w:val="4E161FE0"/>
    <w:rsid w:val="4E2D473C"/>
    <w:rsid w:val="4E313E44"/>
    <w:rsid w:val="4E34009C"/>
    <w:rsid w:val="4E384CE3"/>
    <w:rsid w:val="4E3F60CB"/>
    <w:rsid w:val="4E416F90"/>
    <w:rsid w:val="4E4432F8"/>
    <w:rsid w:val="4E707D26"/>
    <w:rsid w:val="4E712124"/>
    <w:rsid w:val="4E846857"/>
    <w:rsid w:val="4E876ECE"/>
    <w:rsid w:val="4E8D0EFA"/>
    <w:rsid w:val="4E987B7F"/>
    <w:rsid w:val="4EA76246"/>
    <w:rsid w:val="4EA9509B"/>
    <w:rsid w:val="4EAA460A"/>
    <w:rsid w:val="4EAC01FC"/>
    <w:rsid w:val="4EB64E9D"/>
    <w:rsid w:val="4EC145FE"/>
    <w:rsid w:val="4EC341A4"/>
    <w:rsid w:val="4EC95EA5"/>
    <w:rsid w:val="4ECC488B"/>
    <w:rsid w:val="4ECF3557"/>
    <w:rsid w:val="4EE2760E"/>
    <w:rsid w:val="4EE64D5F"/>
    <w:rsid w:val="4EE66166"/>
    <w:rsid w:val="4EF22CFD"/>
    <w:rsid w:val="4EF90841"/>
    <w:rsid w:val="4EFB671E"/>
    <w:rsid w:val="4F0271CE"/>
    <w:rsid w:val="4F0E12DD"/>
    <w:rsid w:val="4F1134ED"/>
    <w:rsid w:val="4F11745B"/>
    <w:rsid w:val="4F1211B1"/>
    <w:rsid w:val="4F2670D3"/>
    <w:rsid w:val="4F344507"/>
    <w:rsid w:val="4F3A3E49"/>
    <w:rsid w:val="4F402B33"/>
    <w:rsid w:val="4F406BCD"/>
    <w:rsid w:val="4F493370"/>
    <w:rsid w:val="4F601214"/>
    <w:rsid w:val="4F6A7ED0"/>
    <w:rsid w:val="4F6C303F"/>
    <w:rsid w:val="4F72657B"/>
    <w:rsid w:val="4F727F8C"/>
    <w:rsid w:val="4F7D74A2"/>
    <w:rsid w:val="4F893417"/>
    <w:rsid w:val="4F8C1EFD"/>
    <w:rsid w:val="4F954141"/>
    <w:rsid w:val="4FA501E3"/>
    <w:rsid w:val="4FC41ADD"/>
    <w:rsid w:val="4FCA4A6B"/>
    <w:rsid w:val="4FCE6672"/>
    <w:rsid w:val="4FD14D61"/>
    <w:rsid w:val="4FD1706D"/>
    <w:rsid w:val="4FDF777F"/>
    <w:rsid w:val="4FE52ABE"/>
    <w:rsid w:val="4FED43E7"/>
    <w:rsid w:val="4FFA7784"/>
    <w:rsid w:val="4FFC09B3"/>
    <w:rsid w:val="500671B4"/>
    <w:rsid w:val="500956E5"/>
    <w:rsid w:val="500A61B2"/>
    <w:rsid w:val="500C531F"/>
    <w:rsid w:val="50152D26"/>
    <w:rsid w:val="501E1B7B"/>
    <w:rsid w:val="502C2A5E"/>
    <w:rsid w:val="502E7FCB"/>
    <w:rsid w:val="5045375A"/>
    <w:rsid w:val="504D64BD"/>
    <w:rsid w:val="50585595"/>
    <w:rsid w:val="5060337F"/>
    <w:rsid w:val="507B7EE2"/>
    <w:rsid w:val="5080312C"/>
    <w:rsid w:val="5085043D"/>
    <w:rsid w:val="5094282A"/>
    <w:rsid w:val="50957AC2"/>
    <w:rsid w:val="509C171B"/>
    <w:rsid w:val="509C4912"/>
    <w:rsid w:val="509D47AE"/>
    <w:rsid w:val="50BA155F"/>
    <w:rsid w:val="50C8636C"/>
    <w:rsid w:val="50D42D17"/>
    <w:rsid w:val="50D4670D"/>
    <w:rsid w:val="50D92291"/>
    <w:rsid w:val="50E97324"/>
    <w:rsid w:val="50ED2406"/>
    <w:rsid w:val="50EE2960"/>
    <w:rsid w:val="50EE3E48"/>
    <w:rsid w:val="50F16B8E"/>
    <w:rsid w:val="50F466C6"/>
    <w:rsid w:val="50F7615D"/>
    <w:rsid w:val="50FF444E"/>
    <w:rsid w:val="51025DCD"/>
    <w:rsid w:val="51041EDF"/>
    <w:rsid w:val="51063016"/>
    <w:rsid w:val="5108631E"/>
    <w:rsid w:val="510E6814"/>
    <w:rsid w:val="511242FA"/>
    <w:rsid w:val="511C5504"/>
    <w:rsid w:val="512033D0"/>
    <w:rsid w:val="512F1151"/>
    <w:rsid w:val="5130133A"/>
    <w:rsid w:val="513B14B1"/>
    <w:rsid w:val="513F725D"/>
    <w:rsid w:val="51482919"/>
    <w:rsid w:val="51490719"/>
    <w:rsid w:val="514E7068"/>
    <w:rsid w:val="5156444F"/>
    <w:rsid w:val="515A262D"/>
    <w:rsid w:val="515D16D3"/>
    <w:rsid w:val="517B7208"/>
    <w:rsid w:val="51827575"/>
    <w:rsid w:val="51937205"/>
    <w:rsid w:val="51A26BE8"/>
    <w:rsid w:val="51A90F42"/>
    <w:rsid w:val="51BD0B42"/>
    <w:rsid w:val="51BF577B"/>
    <w:rsid w:val="51C504A8"/>
    <w:rsid w:val="51DF3A8A"/>
    <w:rsid w:val="51EB4B97"/>
    <w:rsid w:val="51EF47B0"/>
    <w:rsid w:val="51F025B1"/>
    <w:rsid w:val="51F06CF2"/>
    <w:rsid w:val="51F67FAA"/>
    <w:rsid w:val="51F94B86"/>
    <w:rsid w:val="51FF31D5"/>
    <w:rsid w:val="520E350C"/>
    <w:rsid w:val="521928D0"/>
    <w:rsid w:val="521F1DA3"/>
    <w:rsid w:val="522541F8"/>
    <w:rsid w:val="522D3807"/>
    <w:rsid w:val="523613C1"/>
    <w:rsid w:val="523827E6"/>
    <w:rsid w:val="52387925"/>
    <w:rsid w:val="523D16EA"/>
    <w:rsid w:val="52503846"/>
    <w:rsid w:val="52553978"/>
    <w:rsid w:val="526513ED"/>
    <w:rsid w:val="526B0E22"/>
    <w:rsid w:val="526B600B"/>
    <w:rsid w:val="5273000F"/>
    <w:rsid w:val="527707CE"/>
    <w:rsid w:val="527A5743"/>
    <w:rsid w:val="528706B1"/>
    <w:rsid w:val="5291633D"/>
    <w:rsid w:val="529F5982"/>
    <w:rsid w:val="52A01B73"/>
    <w:rsid w:val="52A73F94"/>
    <w:rsid w:val="52B021F7"/>
    <w:rsid w:val="52B84B09"/>
    <w:rsid w:val="52BA6430"/>
    <w:rsid w:val="52BB3787"/>
    <w:rsid w:val="52C05CB4"/>
    <w:rsid w:val="52CA1AAE"/>
    <w:rsid w:val="52CA29FF"/>
    <w:rsid w:val="52DF2527"/>
    <w:rsid w:val="52EE0097"/>
    <w:rsid w:val="52F87468"/>
    <w:rsid w:val="530A38C8"/>
    <w:rsid w:val="531A2849"/>
    <w:rsid w:val="531A5B4F"/>
    <w:rsid w:val="531B08C3"/>
    <w:rsid w:val="53227340"/>
    <w:rsid w:val="533148BC"/>
    <w:rsid w:val="533262B9"/>
    <w:rsid w:val="53376715"/>
    <w:rsid w:val="533D3C17"/>
    <w:rsid w:val="533D54CB"/>
    <w:rsid w:val="53415B54"/>
    <w:rsid w:val="534358A9"/>
    <w:rsid w:val="534758C3"/>
    <w:rsid w:val="534A663F"/>
    <w:rsid w:val="534E3F97"/>
    <w:rsid w:val="535B3F9E"/>
    <w:rsid w:val="535B5E44"/>
    <w:rsid w:val="535C5298"/>
    <w:rsid w:val="53684FB5"/>
    <w:rsid w:val="536A54A7"/>
    <w:rsid w:val="53763E48"/>
    <w:rsid w:val="53786204"/>
    <w:rsid w:val="537F5EDF"/>
    <w:rsid w:val="53814A73"/>
    <w:rsid w:val="53895131"/>
    <w:rsid w:val="539823B8"/>
    <w:rsid w:val="53986DC7"/>
    <w:rsid w:val="539948C9"/>
    <w:rsid w:val="53A96742"/>
    <w:rsid w:val="53BC1873"/>
    <w:rsid w:val="53C0641A"/>
    <w:rsid w:val="53C15019"/>
    <w:rsid w:val="53C172C7"/>
    <w:rsid w:val="53C53E38"/>
    <w:rsid w:val="53C86749"/>
    <w:rsid w:val="53DC2107"/>
    <w:rsid w:val="53E839A2"/>
    <w:rsid w:val="53F25181"/>
    <w:rsid w:val="53F5696C"/>
    <w:rsid w:val="53F822DF"/>
    <w:rsid w:val="540537B2"/>
    <w:rsid w:val="54191668"/>
    <w:rsid w:val="54204845"/>
    <w:rsid w:val="54330A77"/>
    <w:rsid w:val="5435465F"/>
    <w:rsid w:val="543857BF"/>
    <w:rsid w:val="543B6AC3"/>
    <w:rsid w:val="543C307B"/>
    <w:rsid w:val="543F0247"/>
    <w:rsid w:val="54425144"/>
    <w:rsid w:val="544B5DC1"/>
    <w:rsid w:val="544B7B32"/>
    <w:rsid w:val="545824FB"/>
    <w:rsid w:val="546A1456"/>
    <w:rsid w:val="54775A2F"/>
    <w:rsid w:val="54787ECE"/>
    <w:rsid w:val="547972C7"/>
    <w:rsid w:val="5484369A"/>
    <w:rsid w:val="548459F7"/>
    <w:rsid w:val="548D43C8"/>
    <w:rsid w:val="54902A6C"/>
    <w:rsid w:val="54A52409"/>
    <w:rsid w:val="54C84FED"/>
    <w:rsid w:val="54D62734"/>
    <w:rsid w:val="54DF6210"/>
    <w:rsid w:val="54E37A76"/>
    <w:rsid w:val="54E60A4D"/>
    <w:rsid w:val="54EB201F"/>
    <w:rsid w:val="54EF537E"/>
    <w:rsid w:val="54F2387B"/>
    <w:rsid w:val="54F823BF"/>
    <w:rsid w:val="54FC3334"/>
    <w:rsid w:val="55063FE3"/>
    <w:rsid w:val="5508616C"/>
    <w:rsid w:val="551D1A5C"/>
    <w:rsid w:val="551F4CA5"/>
    <w:rsid w:val="55210F6C"/>
    <w:rsid w:val="552D1B09"/>
    <w:rsid w:val="552F4655"/>
    <w:rsid w:val="553A7A75"/>
    <w:rsid w:val="554170FF"/>
    <w:rsid w:val="55472B3B"/>
    <w:rsid w:val="55641F42"/>
    <w:rsid w:val="557C3EF9"/>
    <w:rsid w:val="558168D8"/>
    <w:rsid w:val="558437A7"/>
    <w:rsid w:val="55947818"/>
    <w:rsid w:val="559E13AF"/>
    <w:rsid w:val="55A27599"/>
    <w:rsid w:val="55A47CF3"/>
    <w:rsid w:val="55A57371"/>
    <w:rsid w:val="55A95B7B"/>
    <w:rsid w:val="55AC3FF2"/>
    <w:rsid w:val="55AC6509"/>
    <w:rsid w:val="55B20D10"/>
    <w:rsid w:val="55B40674"/>
    <w:rsid w:val="55B86682"/>
    <w:rsid w:val="55BE28AC"/>
    <w:rsid w:val="55C009B3"/>
    <w:rsid w:val="55C356D7"/>
    <w:rsid w:val="55C71752"/>
    <w:rsid w:val="55CE35A4"/>
    <w:rsid w:val="55CF5DA5"/>
    <w:rsid w:val="55DD7D8C"/>
    <w:rsid w:val="55E5168D"/>
    <w:rsid w:val="55EA414B"/>
    <w:rsid w:val="55FE4809"/>
    <w:rsid w:val="5613563B"/>
    <w:rsid w:val="561D6569"/>
    <w:rsid w:val="561E5477"/>
    <w:rsid w:val="561F5411"/>
    <w:rsid w:val="561F7461"/>
    <w:rsid w:val="56256AB1"/>
    <w:rsid w:val="56275960"/>
    <w:rsid w:val="562E3AEB"/>
    <w:rsid w:val="563642AF"/>
    <w:rsid w:val="563C4123"/>
    <w:rsid w:val="563F52E9"/>
    <w:rsid w:val="56437303"/>
    <w:rsid w:val="564F3646"/>
    <w:rsid w:val="5654120F"/>
    <w:rsid w:val="56604CF6"/>
    <w:rsid w:val="56670CA5"/>
    <w:rsid w:val="566C6FB9"/>
    <w:rsid w:val="566E5639"/>
    <w:rsid w:val="56783778"/>
    <w:rsid w:val="567A52A1"/>
    <w:rsid w:val="56837F15"/>
    <w:rsid w:val="56854CC5"/>
    <w:rsid w:val="56856848"/>
    <w:rsid w:val="56905AFC"/>
    <w:rsid w:val="56960689"/>
    <w:rsid w:val="56965C3A"/>
    <w:rsid w:val="569D2391"/>
    <w:rsid w:val="56A40972"/>
    <w:rsid w:val="56B026CF"/>
    <w:rsid w:val="56B25694"/>
    <w:rsid w:val="56B349FA"/>
    <w:rsid w:val="56C770AB"/>
    <w:rsid w:val="56D139EE"/>
    <w:rsid w:val="56D83358"/>
    <w:rsid w:val="56E56C56"/>
    <w:rsid w:val="56E6577F"/>
    <w:rsid w:val="57115290"/>
    <w:rsid w:val="57121F23"/>
    <w:rsid w:val="5714062C"/>
    <w:rsid w:val="57145D16"/>
    <w:rsid w:val="57191B3D"/>
    <w:rsid w:val="571C5406"/>
    <w:rsid w:val="571F2511"/>
    <w:rsid w:val="572025FA"/>
    <w:rsid w:val="5723387C"/>
    <w:rsid w:val="57293AED"/>
    <w:rsid w:val="572A7459"/>
    <w:rsid w:val="572F6A7B"/>
    <w:rsid w:val="5735662D"/>
    <w:rsid w:val="57387C5F"/>
    <w:rsid w:val="573C4C95"/>
    <w:rsid w:val="57427982"/>
    <w:rsid w:val="574346F2"/>
    <w:rsid w:val="57471F22"/>
    <w:rsid w:val="574828B2"/>
    <w:rsid w:val="57483BB1"/>
    <w:rsid w:val="5754021C"/>
    <w:rsid w:val="575B631B"/>
    <w:rsid w:val="5764690D"/>
    <w:rsid w:val="576A0C4A"/>
    <w:rsid w:val="576B6B71"/>
    <w:rsid w:val="5785783C"/>
    <w:rsid w:val="578A0FCF"/>
    <w:rsid w:val="578F65AE"/>
    <w:rsid w:val="57901CD5"/>
    <w:rsid w:val="57A036AD"/>
    <w:rsid w:val="57A72656"/>
    <w:rsid w:val="57AE40E7"/>
    <w:rsid w:val="57B0389F"/>
    <w:rsid w:val="57B3458E"/>
    <w:rsid w:val="57B54A3E"/>
    <w:rsid w:val="57B80CA1"/>
    <w:rsid w:val="57B8233F"/>
    <w:rsid w:val="57BD20BB"/>
    <w:rsid w:val="57BF0EFD"/>
    <w:rsid w:val="57D32355"/>
    <w:rsid w:val="57D74BC5"/>
    <w:rsid w:val="57DB161B"/>
    <w:rsid w:val="57E12FAD"/>
    <w:rsid w:val="57E13C0B"/>
    <w:rsid w:val="57E30C41"/>
    <w:rsid w:val="57F329F7"/>
    <w:rsid w:val="57F52555"/>
    <w:rsid w:val="57F63570"/>
    <w:rsid w:val="57FF0AC6"/>
    <w:rsid w:val="58084AED"/>
    <w:rsid w:val="580C10BB"/>
    <w:rsid w:val="580D24C6"/>
    <w:rsid w:val="581A05F7"/>
    <w:rsid w:val="583074CC"/>
    <w:rsid w:val="5837302C"/>
    <w:rsid w:val="5842651E"/>
    <w:rsid w:val="584A6815"/>
    <w:rsid w:val="584E01FB"/>
    <w:rsid w:val="58676095"/>
    <w:rsid w:val="587B1148"/>
    <w:rsid w:val="58821558"/>
    <w:rsid w:val="58880551"/>
    <w:rsid w:val="58892FCD"/>
    <w:rsid w:val="588F577F"/>
    <w:rsid w:val="588F578E"/>
    <w:rsid w:val="58942FE2"/>
    <w:rsid w:val="58A22BA8"/>
    <w:rsid w:val="58B31A51"/>
    <w:rsid w:val="58B611BA"/>
    <w:rsid w:val="58B8705D"/>
    <w:rsid w:val="58B94DD1"/>
    <w:rsid w:val="58C30769"/>
    <w:rsid w:val="58C77589"/>
    <w:rsid w:val="58D33F15"/>
    <w:rsid w:val="58D6672A"/>
    <w:rsid w:val="58DC4B80"/>
    <w:rsid w:val="58DC7F4D"/>
    <w:rsid w:val="58FA5DED"/>
    <w:rsid w:val="59071010"/>
    <w:rsid w:val="590757A0"/>
    <w:rsid w:val="59107A89"/>
    <w:rsid w:val="59190B10"/>
    <w:rsid w:val="59206B69"/>
    <w:rsid w:val="593019FF"/>
    <w:rsid w:val="59375BAF"/>
    <w:rsid w:val="5949399A"/>
    <w:rsid w:val="59501017"/>
    <w:rsid w:val="595227FF"/>
    <w:rsid w:val="595B1D3F"/>
    <w:rsid w:val="595E1DFB"/>
    <w:rsid w:val="597A57CE"/>
    <w:rsid w:val="597C285A"/>
    <w:rsid w:val="59946664"/>
    <w:rsid w:val="599B19BE"/>
    <w:rsid w:val="59A72219"/>
    <w:rsid w:val="59B50C4F"/>
    <w:rsid w:val="59B8562B"/>
    <w:rsid w:val="59B94A33"/>
    <w:rsid w:val="59BF62A3"/>
    <w:rsid w:val="59C84686"/>
    <w:rsid w:val="59CE48DD"/>
    <w:rsid w:val="59D27400"/>
    <w:rsid w:val="59D734B6"/>
    <w:rsid w:val="59EB5A03"/>
    <w:rsid w:val="59FF1393"/>
    <w:rsid w:val="5A067968"/>
    <w:rsid w:val="5A076135"/>
    <w:rsid w:val="5A217971"/>
    <w:rsid w:val="5A2C589E"/>
    <w:rsid w:val="5A332E0E"/>
    <w:rsid w:val="5A452460"/>
    <w:rsid w:val="5A49644D"/>
    <w:rsid w:val="5A4A5F07"/>
    <w:rsid w:val="5A545E05"/>
    <w:rsid w:val="5A5703FD"/>
    <w:rsid w:val="5A6751E9"/>
    <w:rsid w:val="5A6D06F2"/>
    <w:rsid w:val="5A714F1E"/>
    <w:rsid w:val="5A7267B2"/>
    <w:rsid w:val="5A7464E0"/>
    <w:rsid w:val="5A747DC1"/>
    <w:rsid w:val="5A7F145F"/>
    <w:rsid w:val="5A887DA5"/>
    <w:rsid w:val="5A985FC6"/>
    <w:rsid w:val="5A9A1E0C"/>
    <w:rsid w:val="5AA02512"/>
    <w:rsid w:val="5AAE01E6"/>
    <w:rsid w:val="5AB4507A"/>
    <w:rsid w:val="5AB96664"/>
    <w:rsid w:val="5ABC5131"/>
    <w:rsid w:val="5AC32F34"/>
    <w:rsid w:val="5AD85EFA"/>
    <w:rsid w:val="5ADD34EB"/>
    <w:rsid w:val="5AE1048C"/>
    <w:rsid w:val="5AE40D1D"/>
    <w:rsid w:val="5AE8185E"/>
    <w:rsid w:val="5AE93A1B"/>
    <w:rsid w:val="5AEA668F"/>
    <w:rsid w:val="5AF91AC6"/>
    <w:rsid w:val="5B0247FE"/>
    <w:rsid w:val="5B0C2D49"/>
    <w:rsid w:val="5B0F57DD"/>
    <w:rsid w:val="5B1F04F4"/>
    <w:rsid w:val="5B206C26"/>
    <w:rsid w:val="5B2A1209"/>
    <w:rsid w:val="5B2C0254"/>
    <w:rsid w:val="5B39715F"/>
    <w:rsid w:val="5B3A4521"/>
    <w:rsid w:val="5B3B056E"/>
    <w:rsid w:val="5B3F51EB"/>
    <w:rsid w:val="5B4C6490"/>
    <w:rsid w:val="5B511710"/>
    <w:rsid w:val="5B5823BA"/>
    <w:rsid w:val="5B583858"/>
    <w:rsid w:val="5B5B4112"/>
    <w:rsid w:val="5B6108FD"/>
    <w:rsid w:val="5B610AC1"/>
    <w:rsid w:val="5B6D7335"/>
    <w:rsid w:val="5B771DE9"/>
    <w:rsid w:val="5B8875FE"/>
    <w:rsid w:val="5BAF4DB8"/>
    <w:rsid w:val="5BB45AEF"/>
    <w:rsid w:val="5BB552E9"/>
    <w:rsid w:val="5BBC11C1"/>
    <w:rsid w:val="5BC75FD7"/>
    <w:rsid w:val="5BCB7839"/>
    <w:rsid w:val="5BD66B34"/>
    <w:rsid w:val="5BE37E2F"/>
    <w:rsid w:val="5BEC4005"/>
    <w:rsid w:val="5C016FA1"/>
    <w:rsid w:val="5C0B6902"/>
    <w:rsid w:val="5C0C4663"/>
    <w:rsid w:val="5C0C796C"/>
    <w:rsid w:val="5C0D083B"/>
    <w:rsid w:val="5C1C13F7"/>
    <w:rsid w:val="5C1F2E6A"/>
    <w:rsid w:val="5C252B7E"/>
    <w:rsid w:val="5C297DF1"/>
    <w:rsid w:val="5C2A4EF0"/>
    <w:rsid w:val="5C2F5431"/>
    <w:rsid w:val="5C362823"/>
    <w:rsid w:val="5C386D88"/>
    <w:rsid w:val="5C3F10A9"/>
    <w:rsid w:val="5C550BF9"/>
    <w:rsid w:val="5C614146"/>
    <w:rsid w:val="5C6A6D45"/>
    <w:rsid w:val="5C6D319A"/>
    <w:rsid w:val="5C822A73"/>
    <w:rsid w:val="5C855A30"/>
    <w:rsid w:val="5C8B4293"/>
    <w:rsid w:val="5C903710"/>
    <w:rsid w:val="5C9A5DE8"/>
    <w:rsid w:val="5C9C6B9A"/>
    <w:rsid w:val="5C9F133D"/>
    <w:rsid w:val="5CA11EF7"/>
    <w:rsid w:val="5CA825B0"/>
    <w:rsid w:val="5CB6287E"/>
    <w:rsid w:val="5CC178FA"/>
    <w:rsid w:val="5CC52BDF"/>
    <w:rsid w:val="5CCE47FD"/>
    <w:rsid w:val="5CDF3A03"/>
    <w:rsid w:val="5CE72063"/>
    <w:rsid w:val="5CE86178"/>
    <w:rsid w:val="5CFD6CCF"/>
    <w:rsid w:val="5D094684"/>
    <w:rsid w:val="5D0F294B"/>
    <w:rsid w:val="5D1C710B"/>
    <w:rsid w:val="5D223D63"/>
    <w:rsid w:val="5D243ABC"/>
    <w:rsid w:val="5D281096"/>
    <w:rsid w:val="5D287801"/>
    <w:rsid w:val="5D3A3BA5"/>
    <w:rsid w:val="5D4E02DD"/>
    <w:rsid w:val="5D5404E5"/>
    <w:rsid w:val="5D570994"/>
    <w:rsid w:val="5D597C4F"/>
    <w:rsid w:val="5D5F410C"/>
    <w:rsid w:val="5D665DFD"/>
    <w:rsid w:val="5D6B57B9"/>
    <w:rsid w:val="5D867E6A"/>
    <w:rsid w:val="5D8B6567"/>
    <w:rsid w:val="5D996FD2"/>
    <w:rsid w:val="5D9A7814"/>
    <w:rsid w:val="5D9C0C3A"/>
    <w:rsid w:val="5DA254B2"/>
    <w:rsid w:val="5DA63C4E"/>
    <w:rsid w:val="5DB147CD"/>
    <w:rsid w:val="5DC4215B"/>
    <w:rsid w:val="5DD157F4"/>
    <w:rsid w:val="5DD75C42"/>
    <w:rsid w:val="5DDA06A8"/>
    <w:rsid w:val="5DDB07AB"/>
    <w:rsid w:val="5DE26F75"/>
    <w:rsid w:val="5DE60929"/>
    <w:rsid w:val="5DEF01E1"/>
    <w:rsid w:val="5DEF6D5F"/>
    <w:rsid w:val="5DFE3DA7"/>
    <w:rsid w:val="5E0070B8"/>
    <w:rsid w:val="5E032BFD"/>
    <w:rsid w:val="5E0D109C"/>
    <w:rsid w:val="5E146221"/>
    <w:rsid w:val="5E155AA0"/>
    <w:rsid w:val="5E162E1A"/>
    <w:rsid w:val="5E172A0C"/>
    <w:rsid w:val="5E1C62FA"/>
    <w:rsid w:val="5E29750C"/>
    <w:rsid w:val="5E4843B7"/>
    <w:rsid w:val="5E4E0765"/>
    <w:rsid w:val="5E554CDA"/>
    <w:rsid w:val="5E563E15"/>
    <w:rsid w:val="5E580FF8"/>
    <w:rsid w:val="5E65185E"/>
    <w:rsid w:val="5E651E5C"/>
    <w:rsid w:val="5E6B7A2E"/>
    <w:rsid w:val="5E6C5906"/>
    <w:rsid w:val="5E6C6A7C"/>
    <w:rsid w:val="5E757500"/>
    <w:rsid w:val="5E770EF9"/>
    <w:rsid w:val="5E7B3BAE"/>
    <w:rsid w:val="5E810661"/>
    <w:rsid w:val="5E8E178C"/>
    <w:rsid w:val="5E9F45D1"/>
    <w:rsid w:val="5EA842C3"/>
    <w:rsid w:val="5EA93E10"/>
    <w:rsid w:val="5EAB402C"/>
    <w:rsid w:val="5ECD7727"/>
    <w:rsid w:val="5ED02B8C"/>
    <w:rsid w:val="5ED833D6"/>
    <w:rsid w:val="5EDD721D"/>
    <w:rsid w:val="5EE06C35"/>
    <w:rsid w:val="5EE7585F"/>
    <w:rsid w:val="5EF114F0"/>
    <w:rsid w:val="5EFA65E6"/>
    <w:rsid w:val="5F0C17E6"/>
    <w:rsid w:val="5F102754"/>
    <w:rsid w:val="5F173629"/>
    <w:rsid w:val="5F1930E8"/>
    <w:rsid w:val="5F195749"/>
    <w:rsid w:val="5F1C536F"/>
    <w:rsid w:val="5F275CCF"/>
    <w:rsid w:val="5F2B4460"/>
    <w:rsid w:val="5F3323E2"/>
    <w:rsid w:val="5F4421C4"/>
    <w:rsid w:val="5F4A452B"/>
    <w:rsid w:val="5F627052"/>
    <w:rsid w:val="5F630A83"/>
    <w:rsid w:val="5F641BD0"/>
    <w:rsid w:val="5F6864F1"/>
    <w:rsid w:val="5F6B0317"/>
    <w:rsid w:val="5F6D4912"/>
    <w:rsid w:val="5F78561C"/>
    <w:rsid w:val="5F8403D9"/>
    <w:rsid w:val="5F856DD3"/>
    <w:rsid w:val="5F8D71A8"/>
    <w:rsid w:val="5FB16BF3"/>
    <w:rsid w:val="5FC42464"/>
    <w:rsid w:val="5FD2450B"/>
    <w:rsid w:val="5FDE1A47"/>
    <w:rsid w:val="5FE039CC"/>
    <w:rsid w:val="5FF861B1"/>
    <w:rsid w:val="60011A2A"/>
    <w:rsid w:val="600B4ABF"/>
    <w:rsid w:val="600F725F"/>
    <w:rsid w:val="601412DB"/>
    <w:rsid w:val="60174C8F"/>
    <w:rsid w:val="601D7DD9"/>
    <w:rsid w:val="60252076"/>
    <w:rsid w:val="602E1550"/>
    <w:rsid w:val="602E5564"/>
    <w:rsid w:val="60390731"/>
    <w:rsid w:val="603B4EA2"/>
    <w:rsid w:val="603F7CA7"/>
    <w:rsid w:val="60522AC0"/>
    <w:rsid w:val="60541B15"/>
    <w:rsid w:val="60563226"/>
    <w:rsid w:val="605E745C"/>
    <w:rsid w:val="60634492"/>
    <w:rsid w:val="6068214B"/>
    <w:rsid w:val="606E75D2"/>
    <w:rsid w:val="607374A8"/>
    <w:rsid w:val="607F678E"/>
    <w:rsid w:val="608656DB"/>
    <w:rsid w:val="60885CA7"/>
    <w:rsid w:val="608C1580"/>
    <w:rsid w:val="60901BB0"/>
    <w:rsid w:val="60944CF0"/>
    <w:rsid w:val="60A7030A"/>
    <w:rsid w:val="60BB6946"/>
    <w:rsid w:val="60BC5280"/>
    <w:rsid w:val="60C62464"/>
    <w:rsid w:val="60CC7068"/>
    <w:rsid w:val="60D228D4"/>
    <w:rsid w:val="60D311A2"/>
    <w:rsid w:val="60DA77FD"/>
    <w:rsid w:val="60E60B75"/>
    <w:rsid w:val="60EE2278"/>
    <w:rsid w:val="60F021CA"/>
    <w:rsid w:val="60F3595B"/>
    <w:rsid w:val="60F3608D"/>
    <w:rsid w:val="60FB10F3"/>
    <w:rsid w:val="60FB507E"/>
    <w:rsid w:val="610145F5"/>
    <w:rsid w:val="611844C3"/>
    <w:rsid w:val="61186BC7"/>
    <w:rsid w:val="61202B8B"/>
    <w:rsid w:val="612B69A4"/>
    <w:rsid w:val="61341FBC"/>
    <w:rsid w:val="613B0F61"/>
    <w:rsid w:val="614607A4"/>
    <w:rsid w:val="614B5EB2"/>
    <w:rsid w:val="615103D2"/>
    <w:rsid w:val="615362B5"/>
    <w:rsid w:val="6154384B"/>
    <w:rsid w:val="616042DE"/>
    <w:rsid w:val="616535FD"/>
    <w:rsid w:val="61686978"/>
    <w:rsid w:val="616D6B28"/>
    <w:rsid w:val="616E7E4D"/>
    <w:rsid w:val="616F6CDB"/>
    <w:rsid w:val="617405EF"/>
    <w:rsid w:val="617D6101"/>
    <w:rsid w:val="61866DEB"/>
    <w:rsid w:val="618C45E6"/>
    <w:rsid w:val="619701D0"/>
    <w:rsid w:val="61A06B38"/>
    <w:rsid w:val="61A54F66"/>
    <w:rsid w:val="61A83FBA"/>
    <w:rsid w:val="61AF1358"/>
    <w:rsid w:val="61B05457"/>
    <w:rsid w:val="61B308DB"/>
    <w:rsid w:val="61B62459"/>
    <w:rsid w:val="61C52B69"/>
    <w:rsid w:val="61C6617C"/>
    <w:rsid w:val="61DC44FC"/>
    <w:rsid w:val="61DD4630"/>
    <w:rsid w:val="61DE3A63"/>
    <w:rsid w:val="61DF5D25"/>
    <w:rsid w:val="61EA7EB4"/>
    <w:rsid w:val="61F00CAF"/>
    <w:rsid w:val="61F16AFB"/>
    <w:rsid w:val="62012FA4"/>
    <w:rsid w:val="62190D4D"/>
    <w:rsid w:val="6221740C"/>
    <w:rsid w:val="62237DF0"/>
    <w:rsid w:val="62267622"/>
    <w:rsid w:val="6231775B"/>
    <w:rsid w:val="623704A1"/>
    <w:rsid w:val="623D6E87"/>
    <w:rsid w:val="624212E5"/>
    <w:rsid w:val="62503F9D"/>
    <w:rsid w:val="62581DB0"/>
    <w:rsid w:val="625F4BAE"/>
    <w:rsid w:val="62610673"/>
    <w:rsid w:val="626B1B56"/>
    <w:rsid w:val="626C3C62"/>
    <w:rsid w:val="626C770B"/>
    <w:rsid w:val="626D24FA"/>
    <w:rsid w:val="627B7A13"/>
    <w:rsid w:val="62921AE6"/>
    <w:rsid w:val="62927094"/>
    <w:rsid w:val="62993EB6"/>
    <w:rsid w:val="62A14951"/>
    <w:rsid w:val="62A2189B"/>
    <w:rsid w:val="62A404D0"/>
    <w:rsid w:val="62A67451"/>
    <w:rsid w:val="62AD78DE"/>
    <w:rsid w:val="62B37F05"/>
    <w:rsid w:val="62B93A82"/>
    <w:rsid w:val="62BD60DC"/>
    <w:rsid w:val="62BE07A3"/>
    <w:rsid w:val="62C50829"/>
    <w:rsid w:val="62D12479"/>
    <w:rsid w:val="62D157DF"/>
    <w:rsid w:val="62D55DEB"/>
    <w:rsid w:val="62DB281E"/>
    <w:rsid w:val="62E013C8"/>
    <w:rsid w:val="630513F3"/>
    <w:rsid w:val="630630A5"/>
    <w:rsid w:val="63091321"/>
    <w:rsid w:val="630B787B"/>
    <w:rsid w:val="630E02E6"/>
    <w:rsid w:val="630F2169"/>
    <w:rsid w:val="632013AA"/>
    <w:rsid w:val="6320705A"/>
    <w:rsid w:val="6324514A"/>
    <w:rsid w:val="6325047D"/>
    <w:rsid w:val="63341107"/>
    <w:rsid w:val="634A45AF"/>
    <w:rsid w:val="63554A0D"/>
    <w:rsid w:val="63730DF8"/>
    <w:rsid w:val="63741E5B"/>
    <w:rsid w:val="637C7DF9"/>
    <w:rsid w:val="638B442C"/>
    <w:rsid w:val="639A7F8E"/>
    <w:rsid w:val="639E6C82"/>
    <w:rsid w:val="63A55533"/>
    <w:rsid w:val="63AC1840"/>
    <w:rsid w:val="63B75221"/>
    <w:rsid w:val="63BD0D5C"/>
    <w:rsid w:val="63BE3B12"/>
    <w:rsid w:val="63C50DA8"/>
    <w:rsid w:val="63CD1CC0"/>
    <w:rsid w:val="63CE7F4B"/>
    <w:rsid w:val="63D765B8"/>
    <w:rsid w:val="63D9549B"/>
    <w:rsid w:val="63E565C0"/>
    <w:rsid w:val="63EB108F"/>
    <w:rsid w:val="63EC1EF4"/>
    <w:rsid w:val="63ED485F"/>
    <w:rsid w:val="63EE0C14"/>
    <w:rsid w:val="63F07540"/>
    <w:rsid w:val="64034508"/>
    <w:rsid w:val="640B5EEE"/>
    <w:rsid w:val="6417361C"/>
    <w:rsid w:val="641D7426"/>
    <w:rsid w:val="641E2D3B"/>
    <w:rsid w:val="64257AF3"/>
    <w:rsid w:val="6426075F"/>
    <w:rsid w:val="64282A81"/>
    <w:rsid w:val="64303292"/>
    <w:rsid w:val="643648F3"/>
    <w:rsid w:val="643F352C"/>
    <w:rsid w:val="644A7A08"/>
    <w:rsid w:val="64536CED"/>
    <w:rsid w:val="6459202C"/>
    <w:rsid w:val="646B6660"/>
    <w:rsid w:val="64717410"/>
    <w:rsid w:val="64753B4D"/>
    <w:rsid w:val="6485479D"/>
    <w:rsid w:val="648B3994"/>
    <w:rsid w:val="648F3FF3"/>
    <w:rsid w:val="64904624"/>
    <w:rsid w:val="64966E15"/>
    <w:rsid w:val="64971849"/>
    <w:rsid w:val="649D2465"/>
    <w:rsid w:val="64A570E3"/>
    <w:rsid w:val="64C45126"/>
    <w:rsid w:val="64C671E8"/>
    <w:rsid w:val="64E52B33"/>
    <w:rsid w:val="64E64F0A"/>
    <w:rsid w:val="64FE11B9"/>
    <w:rsid w:val="65050048"/>
    <w:rsid w:val="650C6EA7"/>
    <w:rsid w:val="652801D1"/>
    <w:rsid w:val="652C7549"/>
    <w:rsid w:val="653B2218"/>
    <w:rsid w:val="654276F3"/>
    <w:rsid w:val="654E5913"/>
    <w:rsid w:val="655B1892"/>
    <w:rsid w:val="655B6C37"/>
    <w:rsid w:val="656461E1"/>
    <w:rsid w:val="65702CC8"/>
    <w:rsid w:val="65711FFE"/>
    <w:rsid w:val="65816D4E"/>
    <w:rsid w:val="658B794A"/>
    <w:rsid w:val="65916ED5"/>
    <w:rsid w:val="659528A0"/>
    <w:rsid w:val="65993951"/>
    <w:rsid w:val="659A13EE"/>
    <w:rsid w:val="65A51DA6"/>
    <w:rsid w:val="65A92D87"/>
    <w:rsid w:val="65AB4F33"/>
    <w:rsid w:val="65AC7D08"/>
    <w:rsid w:val="65BC2358"/>
    <w:rsid w:val="65BD5885"/>
    <w:rsid w:val="65C1393A"/>
    <w:rsid w:val="65C92865"/>
    <w:rsid w:val="65D82FD4"/>
    <w:rsid w:val="65DF4B62"/>
    <w:rsid w:val="65E34872"/>
    <w:rsid w:val="65E34F04"/>
    <w:rsid w:val="65E42F80"/>
    <w:rsid w:val="65F056C5"/>
    <w:rsid w:val="65F4679C"/>
    <w:rsid w:val="65F773CD"/>
    <w:rsid w:val="65FB24FE"/>
    <w:rsid w:val="66017881"/>
    <w:rsid w:val="66027602"/>
    <w:rsid w:val="66285063"/>
    <w:rsid w:val="662F7746"/>
    <w:rsid w:val="66303C37"/>
    <w:rsid w:val="6633036A"/>
    <w:rsid w:val="663754E7"/>
    <w:rsid w:val="663A5093"/>
    <w:rsid w:val="663C4B8E"/>
    <w:rsid w:val="663D3946"/>
    <w:rsid w:val="6644302E"/>
    <w:rsid w:val="66524F7C"/>
    <w:rsid w:val="66541412"/>
    <w:rsid w:val="66601E1F"/>
    <w:rsid w:val="666C0620"/>
    <w:rsid w:val="666C0DE0"/>
    <w:rsid w:val="66751C6E"/>
    <w:rsid w:val="66872F15"/>
    <w:rsid w:val="668D041E"/>
    <w:rsid w:val="66A8720F"/>
    <w:rsid w:val="66AA1B86"/>
    <w:rsid w:val="66B37F02"/>
    <w:rsid w:val="66B45D6F"/>
    <w:rsid w:val="66BD7C93"/>
    <w:rsid w:val="66D61F46"/>
    <w:rsid w:val="66D80FF1"/>
    <w:rsid w:val="66D87B39"/>
    <w:rsid w:val="66D935D6"/>
    <w:rsid w:val="66E6202C"/>
    <w:rsid w:val="66E66980"/>
    <w:rsid w:val="66EB717F"/>
    <w:rsid w:val="66F05752"/>
    <w:rsid w:val="66F722B4"/>
    <w:rsid w:val="67057F10"/>
    <w:rsid w:val="6708767A"/>
    <w:rsid w:val="67193373"/>
    <w:rsid w:val="671A570C"/>
    <w:rsid w:val="671D2985"/>
    <w:rsid w:val="671D2BE8"/>
    <w:rsid w:val="671F27D2"/>
    <w:rsid w:val="671F556A"/>
    <w:rsid w:val="672519E4"/>
    <w:rsid w:val="672970D5"/>
    <w:rsid w:val="672B7F13"/>
    <w:rsid w:val="67317098"/>
    <w:rsid w:val="673E1A8A"/>
    <w:rsid w:val="674566A0"/>
    <w:rsid w:val="674920CD"/>
    <w:rsid w:val="674A6D11"/>
    <w:rsid w:val="674B6791"/>
    <w:rsid w:val="675B1F41"/>
    <w:rsid w:val="675D21B2"/>
    <w:rsid w:val="677059E3"/>
    <w:rsid w:val="67717B52"/>
    <w:rsid w:val="67791F81"/>
    <w:rsid w:val="679613D3"/>
    <w:rsid w:val="67963B9C"/>
    <w:rsid w:val="6798292D"/>
    <w:rsid w:val="679E0DD8"/>
    <w:rsid w:val="679F3FB3"/>
    <w:rsid w:val="67AA5A0A"/>
    <w:rsid w:val="67BB2E76"/>
    <w:rsid w:val="67BE7785"/>
    <w:rsid w:val="67DF3AC0"/>
    <w:rsid w:val="67DF4D46"/>
    <w:rsid w:val="67EA3333"/>
    <w:rsid w:val="67F0451D"/>
    <w:rsid w:val="67F80A96"/>
    <w:rsid w:val="67FB121D"/>
    <w:rsid w:val="680E3884"/>
    <w:rsid w:val="681349F0"/>
    <w:rsid w:val="6816336A"/>
    <w:rsid w:val="681934A1"/>
    <w:rsid w:val="681958A0"/>
    <w:rsid w:val="682727FB"/>
    <w:rsid w:val="682E640B"/>
    <w:rsid w:val="682F4619"/>
    <w:rsid w:val="68346547"/>
    <w:rsid w:val="683706DE"/>
    <w:rsid w:val="68512B53"/>
    <w:rsid w:val="685C0307"/>
    <w:rsid w:val="68604C63"/>
    <w:rsid w:val="686964D4"/>
    <w:rsid w:val="686B3B71"/>
    <w:rsid w:val="686B4698"/>
    <w:rsid w:val="68723F8A"/>
    <w:rsid w:val="687C37E2"/>
    <w:rsid w:val="688952EA"/>
    <w:rsid w:val="689A6903"/>
    <w:rsid w:val="68BB1E68"/>
    <w:rsid w:val="68C61679"/>
    <w:rsid w:val="68C676C8"/>
    <w:rsid w:val="68CE192C"/>
    <w:rsid w:val="68D0575A"/>
    <w:rsid w:val="68DE14CE"/>
    <w:rsid w:val="68E87F7E"/>
    <w:rsid w:val="68ED25B0"/>
    <w:rsid w:val="68F578C6"/>
    <w:rsid w:val="68F77408"/>
    <w:rsid w:val="68FF051C"/>
    <w:rsid w:val="68FF792A"/>
    <w:rsid w:val="69107C90"/>
    <w:rsid w:val="692549DB"/>
    <w:rsid w:val="692F5537"/>
    <w:rsid w:val="69332E68"/>
    <w:rsid w:val="69342F63"/>
    <w:rsid w:val="69345AB6"/>
    <w:rsid w:val="693F7597"/>
    <w:rsid w:val="6940656D"/>
    <w:rsid w:val="69457CDE"/>
    <w:rsid w:val="694A30AE"/>
    <w:rsid w:val="694F6683"/>
    <w:rsid w:val="695F7719"/>
    <w:rsid w:val="69612611"/>
    <w:rsid w:val="69683BB8"/>
    <w:rsid w:val="696C615A"/>
    <w:rsid w:val="696D4F48"/>
    <w:rsid w:val="69767894"/>
    <w:rsid w:val="697B3151"/>
    <w:rsid w:val="698E07D2"/>
    <w:rsid w:val="699369DD"/>
    <w:rsid w:val="699B568D"/>
    <w:rsid w:val="699E02E9"/>
    <w:rsid w:val="699F6A50"/>
    <w:rsid w:val="69A443B2"/>
    <w:rsid w:val="69A607E1"/>
    <w:rsid w:val="69C417F0"/>
    <w:rsid w:val="69C45C19"/>
    <w:rsid w:val="69C91FF5"/>
    <w:rsid w:val="69DA3ABA"/>
    <w:rsid w:val="6A111F19"/>
    <w:rsid w:val="6A1B67C2"/>
    <w:rsid w:val="6A1D49E4"/>
    <w:rsid w:val="6A1F142A"/>
    <w:rsid w:val="6A246E36"/>
    <w:rsid w:val="6A301753"/>
    <w:rsid w:val="6A3347ED"/>
    <w:rsid w:val="6A3D42E7"/>
    <w:rsid w:val="6A5F746E"/>
    <w:rsid w:val="6A74380E"/>
    <w:rsid w:val="6A772F25"/>
    <w:rsid w:val="6A7B0543"/>
    <w:rsid w:val="6A7C07E7"/>
    <w:rsid w:val="6A7C1895"/>
    <w:rsid w:val="6A7F1057"/>
    <w:rsid w:val="6A8870DB"/>
    <w:rsid w:val="6A893AAE"/>
    <w:rsid w:val="6A942AFB"/>
    <w:rsid w:val="6AA42D5D"/>
    <w:rsid w:val="6AB35E2F"/>
    <w:rsid w:val="6AC34F77"/>
    <w:rsid w:val="6AC370B0"/>
    <w:rsid w:val="6ACF271F"/>
    <w:rsid w:val="6AD4668C"/>
    <w:rsid w:val="6AD6699D"/>
    <w:rsid w:val="6AE9256B"/>
    <w:rsid w:val="6AEE49EE"/>
    <w:rsid w:val="6AF40387"/>
    <w:rsid w:val="6AF81F4D"/>
    <w:rsid w:val="6AFB098F"/>
    <w:rsid w:val="6B0013B8"/>
    <w:rsid w:val="6B033265"/>
    <w:rsid w:val="6B0A6EDB"/>
    <w:rsid w:val="6B0D1EC9"/>
    <w:rsid w:val="6B163B9A"/>
    <w:rsid w:val="6B2E120F"/>
    <w:rsid w:val="6B3136D7"/>
    <w:rsid w:val="6B383442"/>
    <w:rsid w:val="6B4374BB"/>
    <w:rsid w:val="6B4734D1"/>
    <w:rsid w:val="6B505C69"/>
    <w:rsid w:val="6B5C62CD"/>
    <w:rsid w:val="6B655BAF"/>
    <w:rsid w:val="6B6A73BB"/>
    <w:rsid w:val="6B7504AB"/>
    <w:rsid w:val="6B7951A8"/>
    <w:rsid w:val="6B796174"/>
    <w:rsid w:val="6B7E1009"/>
    <w:rsid w:val="6B814CC9"/>
    <w:rsid w:val="6B840ED7"/>
    <w:rsid w:val="6B9853F4"/>
    <w:rsid w:val="6BA23FCF"/>
    <w:rsid w:val="6BB85578"/>
    <w:rsid w:val="6BBE4A3F"/>
    <w:rsid w:val="6BC50FE7"/>
    <w:rsid w:val="6BC762A0"/>
    <w:rsid w:val="6BC90251"/>
    <w:rsid w:val="6BD47E0B"/>
    <w:rsid w:val="6BDC107E"/>
    <w:rsid w:val="6BE77268"/>
    <w:rsid w:val="6BF1771F"/>
    <w:rsid w:val="6BF559D1"/>
    <w:rsid w:val="6C0627A2"/>
    <w:rsid w:val="6C0A1808"/>
    <w:rsid w:val="6C0A6BBA"/>
    <w:rsid w:val="6C146355"/>
    <w:rsid w:val="6C177687"/>
    <w:rsid w:val="6C183EF5"/>
    <w:rsid w:val="6C1D00F2"/>
    <w:rsid w:val="6C205100"/>
    <w:rsid w:val="6C213DDC"/>
    <w:rsid w:val="6C294710"/>
    <w:rsid w:val="6C2D7A60"/>
    <w:rsid w:val="6C3B1FAA"/>
    <w:rsid w:val="6C3E54FA"/>
    <w:rsid w:val="6C3F09E2"/>
    <w:rsid w:val="6C3F672A"/>
    <w:rsid w:val="6C484940"/>
    <w:rsid w:val="6C5114A1"/>
    <w:rsid w:val="6C516F3D"/>
    <w:rsid w:val="6C517895"/>
    <w:rsid w:val="6C597689"/>
    <w:rsid w:val="6C5C441C"/>
    <w:rsid w:val="6C756191"/>
    <w:rsid w:val="6C7E4A6D"/>
    <w:rsid w:val="6C844006"/>
    <w:rsid w:val="6C884D9F"/>
    <w:rsid w:val="6C8B085A"/>
    <w:rsid w:val="6C8B5773"/>
    <w:rsid w:val="6C8D40DA"/>
    <w:rsid w:val="6C9F0B0C"/>
    <w:rsid w:val="6CA1000B"/>
    <w:rsid w:val="6CAB4D9F"/>
    <w:rsid w:val="6CB460DB"/>
    <w:rsid w:val="6CB64343"/>
    <w:rsid w:val="6CB83358"/>
    <w:rsid w:val="6CD27FDF"/>
    <w:rsid w:val="6CD41A7C"/>
    <w:rsid w:val="6CDA41A3"/>
    <w:rsid w:val="6CDD0508"/>
    <w:rsid w:val="6CDE51A8"/>
    <w:rsid w:val="6CEF4C33"/>
    <w:rsid w:val="6CF218E5"/>
    <w:rsid w:val="6D02151C"/>
    <w:rsid w:val="6D092C46"/>
    <w:rsid w:val="6D0A0BF4"/>
    <w:rsid w:val="6D11700D"/>
    <w:rsid w:val="6D154741"/>
    <w:rsid w:val="6D19441D"/>
    <w:rsid w:val="6D233032"/>
    <w:rsid w:val="6D2624BE"/>
    <w:rsid w:val="6D2D073F"/>
    <w:rsid w:val="6D4573FA"/>
    <w:rsid w:val="6D565F79"/>
    <w:rsid w:val="6D5B4E6F"/>
    <w:rsid w:val="6D5E1469"/>
    <w:rsid w:val="6D647EBB"/>
    <w:rsid w:val="6D9847ED"/>
    <w:rsid w:val="6D985405"/>
    <w:rsid w:val="6D9C2BF1"/>
    <w:rsid w:val="6D9F48C7"/>
    <w:rsid w:val="6DA63D56"/>
    <w:rsid w:val="6DAA410D"/>
    <w:rsid w:val="6DB36A59"/>
    <w:rsid w:val="6DC052F0"/>
    <w:rsid w:val="6DD4077E"/>
    <w:rsid w:val="6DD469CF"/>
    <w:rsid w:val="6DD979B0"/>
    <w:rsid w:val="6DE667B0"/>
    <w:rsid w:val="6DE96BF1"/>
    <w:rsid w:val="6DF65491"/>
    <w:rsid w:val="6DFD428B"/>
    <w:rsid w:val="6E007CC7"/>
    <w:rsid w:val="6E0B3C9F"/>
    <w:rsid w:val="6E0F7999"/>
    <w:rsid w:val="6E1500BC"/>
    <w:rsid w:val="6E190170"/>
    <w:rsid w:val="6E2247CD"/>
    <w:rsid w:val="6E2B481B"/>
    <w:rsid w:val="6E2B5481"/>
    <w:rsid w:val="6E4B7E18"/>
    <w:rsid w:val="6E556960"/>
    <w:rsid w:val="6E5A1A0C"/>
    <w:rsid w:val="6E5A4A6B"/>
    <w:rsid w:val="6E694F04"/>
    <w:rsid w:val="6E7336F4"/>
    <w:rsid w:val="6E826074"/>
    <w:rsid w:val="6E8674F9"/>
    <w:rsid w:val="6E891568"/>
    <w:rsid w:val="6E8C11A6"/>
    <w:rsid w:val="6E8E2048"/>
    <w:rsid w:val="6EA477B1"/>
    <w:rsid w:val="6EB17C1D"/>
    <w:rsid w:val="6EB84ADF"/>
    <w:rsid w:val="6EBC7E89"/>
    <w:rsid w:val="6EC47523"/>
    <w:rsid w:val="6EC96295"/>
    <w:rsid w:val="6ECC3CBD"/>
    <w:rsid w:val="6ECE20DC"/>
    <w:rsid w:val="6ED029AE"/>
    <w:rsid w:val="6ED349D1"/>
    <w:rsid w:val="6ED513D5"/>
    <w:rsid w:val="6EDC20FF"/>
    <w:rsid w:val="6EE15A63"/>
    <w:rsid w:val="6EF247EE"/>
    <w:rsid w:val="6EF25AF0"/>
    <w:rsid w:val="6EFB203F"/>
    <w:rsid w:val="6F037972"/>
    <w:rsid w:val="6F1D1CE5"/>
    <w:rsid w:val="6F2106F4"/>
    <w:rsid w:val="6F265942"/>
    <w:rsid w:val="6F2F1C36"/>
    <w:rsid w:val="6F3367D8"/>
    <w:rsid w:val="6F362EC0"/>
    <w:rsid w:val="6F4025CB"/>
    <w:rsid w:val="6F83580A"/>
    <w:rsid w:val="6F845681"/>
    <w:rsid w:val="6F890A31"/>
    <w:rsid w:val="6F8A10C3"/>
    <w:rsid w:val="6F8B3A09"/>
    <w:rsid w:val="6F8E08D2"/>
    <w:rsid w:val="6F9235A1"/>
    <w:rsid w:val="6F924A9D"/>
    <w:rsid w:val="6F9B4FA0"/>
    <w:rsid w:val="6FA33526"/>
    <w:rsid w:val="6FA675D4"/>
    <w:rsid w:val="6FA77E65"/>
    <w:rsid w:val="6FAA52C1"/>
    <w:rsid w:val="6FAC5544"/>
    <w:rsid w:val="6FAD61F9"/>
    <w:rsid w:val="6FB058EA"/>
    <w:rsid w:val="6FBC010C"/>
    <w:rsid w:val="6FC32CFD"/>
    <w:rsid w:val="6FC83336"/>
    <w:rsid w:val="6FC8439F"/>
    <w:rsid w:val="6FD21BD5"/>
    <w:rsid w:val="6FE914D9"/>
    <w:rsid w:val="6FED5653"/>
    <w:rsid w:val="6FF60F04"/>
    <w:rsid w:val="6FF8717C"/>
    <w:rsid w:val="70077F73"/>
    <w:rsid w:val="700803E0"/>
    <w:rsid w:val="700E41FF"/>
    <w:rsid w:val="7028758C"/>
    <w:rsid w:val="702D371A"/>
    <w:rsid w:val="7030170E"/>
    <w:rsid w:val="703D0AC6"/>
    <w:rsid w:val="7040620F"/>
    <w:rsid w:val="70412367"/>
    <w:rsid w:val="70412C4F"/>
    <w:rsid w:val="70424A70"/>
    <w:rsid w:val="704838E4"/>
    <w:rsid w:val="7054032A"/>
    <w:rsid w:val="705E0228"/>
    <w:rsid w:val="70614013"/>
    <w:rsid w:val="70660513"/>
    <w:rsid w:val="70665B4D"/>
    <w:rsid w:val="70781253"/>
    <w:rsid w:val="7086536C"/>
    <w:rsid w:val="708C6642"/>
    <w:rsid w:val="708D5116"/>
    <w:rsid w:val="7095179B"/>
    <w:rsid w:val="70955A26"/>
    <w:rsid w:val="709D30CD"/>
    <w:rsid w:val="70B54896"/>
    <w:rsid w:val="70B6262E"/>
    <w:rsid w:val="70B77CB7"/>
    <w:rsid w:val="70C1323B"/>
    <w:rsid w:val="70C25EA3"/>
    <w:rsid w:val="70C61FE7"/>
    <w:rsid w:val="70D35248"/>
    <w:rsid w:val="70DD5746"/>
    <w:rsid w:val="70DF0757"/>
    <w:rsid w:val="70EA7097"/>
    <w:rsid w:val="70EC6F11"/>
    <w:rsid w:val="70FE584E"/>
    <w:rsid w:val="71236FDF"/>
    <w:rsid w:val="712F655D"/>
    <w:rsid w:val="713D1231"/>
    <w:rsid w:val="713E4764"/>
    <w:rsid w:val="714A23C7"/>
    <w:rsid w:val="714E5CD8"/>
    <w:rsid w:val="715F42EC"/>
    <w:rsid w:val="71660808"/>
    <w:rsid w:val="716B4195"/>
    <w:rsid w:val="717059FE"/>
    <w:rsid w:val="71710EB4"/>
    <w:rsid w:val="717A3D2E"/>
    <w:rsid w:val="71846954"/>
    <w:rsid w:val="71880F98"/>
    <w:rsid w:val="71894F78"/>
    <w:rsid w:val="719139FD"/>
    <w:rsid w:val="719B6719"/>
    <w:rsid w:val="71A53FE8"/>
    <w:rsid w:val="71A80018"/>
    <w:rsid w:val="71A90FBE"/>
    <w:rsid w:val="71B97A1B"/>
    <w:rsid w:val="71BA1192"/>
    <w:rsid w:val="71CB499A"/>
    <w:rsid w:val="71D20BD2"/>
    <w:rsid w:val="71E33E98"/>
    <w:rsid w:val="71F56F9F"/>
    <w:rsid w:val="71F62B22"/>
    <w:rsid w:val="71F97B21"/>
    <w:rsid w:val="71FA5E13"/>
    <w:rsid w:val="71FD4E11"/>
    <w:rsid w:val="72206D0A"/>
    <w:rsid w:val="722A1DEC"/>
    <w:rsid w:val="722D3496"/>
    <w:rsid w:val="724B5D94"/>
    <w:rsid w:val="7251374B"/>
    <w:rsid w:val="7253195A"/>
    <w:rsid w:val="7259157B"/>
    <w:rsid w:val="725D6F93"/>
    <w:rsid w:val="726474D2"/>
    <w:rsid w:val="72657B5A"/>
    <w:rsid w:val="726C5DC7"/>
    <w:rsid w:val="72706B98"/>
    <w:rsid w:val="727B69BD"/>
    <w:rsid w:val="727D7907"/>
    <w:rsid w:val="72885ABF"/>
    <w:rsid w:val="7289261B"/>
    <w:rsid w:val="729849DC"/>
    <w:rsid w:val="72A215ED"/>
    <w:rsid w:val="72A96C15"/>
    <w:rsid w:val="72AC4773"/>
    <w:rsid w:val="72B648F6"/>
    <w:rsid w:val="72B71A30"/>
    <w:rsid w:val="72BD5728"/>
    <w:rsid w:val="72BE7ABE"/>
    <w:rsid w:val="72BF55E0"/>
    <w:rsid w:val="72C83B14"/>
    <w:rsid w:val="72D21C4B"/>
    <w:rsid w:val="72D36E8C"/>
    <w:rsid w:val="72D44217"/>
    <w:rsid w:val="72DA043D"/>
    <w:rsid w:val="72DD6D76"/>
    <w:rsid w:val="72E50D02"/>
    <w:rsid w:val="72E514CD"/>
    <w:rsid w:val="72E56BF1"/>
    <w:rsid w:val="72F2379C"/>
    <w:rsid w:val="72F9057C"/>
    <w:rsid w:val="72FA4A4E"/>
    <w:rsid w:val="72FB7F36"/>
    <w:rsid w:val="730032C8"/>
    <w:rsid w:val="731D323B"/>
    <w:rsid w:val="731E44B4"/>
    <w:rsid w:val="73210A91"/>
    <w:rsid w:val="73213E51"/>
    <w:rsid w:val="73221206"/>
    <w:rsid w:val="732902B6"/>
    <w:rsid w:val="73333C07"/>
    <w:rsid w:val="733D3BFC"/>
    <w:rsid w:val="734035FB"/>
    <w:rsid w:val="73490DFC"/>
    <w:rsid w:val="734D40B3"/>
    <w:rsid w:val="734D5956"/>
    <w:rsid w:val="73532EE0"/>
    <w:rsid w:val="73680978"/>
    <w:rsid w:val="737E281A"/>
    <w:rsid w:val="73834372"/>
    <w:rsid w:val="738471CE"/>
    <w:rsid w:val="73865934"/>
    <w:rsid w:val="738A558C"/>
    <w:rsid w:val="7394573B"/>
    <w:rsid w:val="73A004EA"/>
    <w:rsid w:val="73AA3D04"/>
    <w:rsid w:val="73AC09CF"/>
    <w:rsid w:val="73AF045E"/>
    <w:rsid w:val="73B20AC0"/>
    <w:rsid w:val="73B63382"/>
    <w:rsid w:val="73BC714E"/>
    <w:rsid w:val="73BF184B"/>
    <w:rsid w:val="73D346D1"/>
    <w:rsid w:val="73DE188E"/>
    <w:rsid w:val="73E120B9"/>
    <w:rsid w:val="73E70DC9"/>
    <w:rsid w:val="73EF5FE9"/>
    <w:rsid w:val="73F20835"/>
    <w:rsid w:val="73F81F71"/>
    <w:rsid w:val="73FE20DA"/>
    <w:rsid w:val="741B7B6F"/>
    <w:rsid w:val="741D0C2C"/>
    <w:rsid w:val="74235FBB"/>
    <w:rsid w:val="74280043"/>
    <w:rsid w:val="742941F0"/>
    <w:rsid w:val="742F64A7"/>
    <w:rsid w:val="743C0EB4"/>
    <w:rsid w:val="745E042D"/>
    <w:rsid w:val="745F5629"/>
    <w:rsid w:val="746E0CCF"/>
    <w:rsid w:val="74792247"/>
    <w:rsid w:val="747D7254"/>
    <w:rsid w:val="748044F1"/>
    <w:rsid w:val="74902DA4"/>
    <w:rsid w:val="74A912D2"/>
    <w:rsid w:val="74B33EC1"/>
    <w:rsid w:val="74BA571B"/>
    <w:rsid w:val="74BD3FF0"/>
    <w:rsid w:val="74BE38C8"/>
    <w:rsid w:val="74C4017C"/>
    <w:rsid w:val="74C457F4"/>
    <w:rsid w:val="74C62740"/>
    <w:rsid w:val="74D12616"/>
    <w:rsid w:val="74D2034D"/>
    <w:rsid w:val="74D570D8"/>
    <w:rsid w:val="74EE399B"/>
    <w:rsid w:val="74F60601"/>
    <w:rsid w:val="74FB33F1"/>
    <w:rsid w:val="750B12D2"/>
    <w:rsid w:val="75112AD7"/>
    <w:rsid w:val="752603F1"/>
    <w:rsid w:val="75353827"/>
    <w:rsid w:val="753542E8"/>
    <w:rsid w:val="753B2950"/>
    <w:rsid w:val="75480A0A"/>
    <w:rsid w:val="755000CD"/>
    <w:rsid w:val="7550205F"/>
    <w:rsid w:val="7557416E"/>
    <w:rsid w:val="758058F9"/>
    <w:rsid w:val="758902B1"/>
    <w:rsid w:val="7591256F"/>
    <w:rsid w:val="759E2DD4"/>
    <w:rsid w:val="75C46DC5"/>
    <w:rsid w:val="75C649D6"/>
    <w:rsid w:val="75CC0348"/>
    <w:rsid w:val="75E2200E"/>
    <w:rsid w:val="75E561D8"/>
    <w:rsid w:val="760017AF"/>
    <w:rsid w:val="760A36E1"/>
    <w:rsid w:val="761E6063"/>
    <w:rsid w:val="763015F5"/>
    <w:rsid w:val="76434411"/>
    <w:rsid w:val="76471297"/>
    <w:rsid w:val="764D767F"/>
    <w:rsid w:val="76532ACC"/>
    <w:rsid w:val="76574585"/>
    <w:rsid w:val="765D1ECD"/>
    <w:rsid w:val="76606955"/>
    <w:rsid w:val="7662631E"/>
    <w:rsid w:val="76696211"/>
    <w:rsid w:val="76697426"/>
    <w:rsid w:val="766B3EB9"/>
    <w:rsid w:val="766D6CFC"/>
    <w:rsid w:val="767B6956"/>
    <w:rsid w:val="767F12E0"/>
    <w:rsid w:val="768140C2"/>
    <w:rsid w:val="76862181"/>
    <w:rsid w:val="76882DC4"/>
    <w:rsid w:val="76896ABC"/>
    <w:rsid w:val="768F587A"/>
    <w:rsid w:val="769265E7"/>
    <w:rsid w:val="769550CF"/>
    <w:rsid w:val="769A5FE6"/>
    <w:rsid w:val="769D40B3"/>
    <w:rsid w:val="76B21F6B"/>
    <w:rsid w:val="76B80F8D"/>
    <w:rsid w:val="76BC122C"/>
    <w:rsid w:val="76C74C56"/>
    <w:rsid w:val="76D419CE"/>
    <w:rsid w:val="76DA0489"/>
    <w:rsid w:val="76DA1A07"/>
    <w:rsid w:val="76DD03C9"/>
    <w:rsid w:val="76DD069B"/>
    <w:rsid w:val="76F42019"/>
    <w:rsid w:val="76F77019"/>
    <w:rsid w:val="77021A4B"/>
    <w:rsid w:val="77051093"/>
    <w:rsid w:val="770B4821"/>
    <w:rsid w:val="770C67C8"/>
    <w:rsid w:val="771917F2"/>
    <w:rsid w:val="772372FD"/>
    <w:rsid w:val="77294E74"/>
    <w:rsid w:val="772C2C0F"/>
    <w:rsid w:val="772D42F2"/>
    <w:rsid w:val="773B5957"/>
    <w:rsid w:val="77462086"/>
    <w:rsid w:val="7750695B"/>
    <w:rsid w:val="775F18C2"/>
    <w:rsid w:val="77651A03"/>
    <w:rsid w:val="77672662"/>
    <w:rsid w:val="776D6673"/>
    <w:rsid w:val="77705D09"/>
    <w:rsid w:val="7771703D"/>
    <w:rsid w:val="7775224D"/>
    <w:rsid w:val="777C749A"/>
    <w:rsid w:val="777D291D"/>
    <w:rsid w:val="777F2759"/>
    <w:rsid w:val="778046DE"/>
    <w:rsid w:val="778451B1"/>
    <w:rsid w:val="778460A1"/>
    <w:rsid w:val="77867882"/>
    <w:rsid w:val="778B0731"/>
    <w:rsid w:val="778D0598"/>
    <w:rsid w:val="77975BED"/>
    <w:rsid w:val="77990682"/>
    <w:rsid w:val="77A15610"/>
    <w:rsid w:val="77A66CC0"/>
    <w:rsid w:val="77B46961"/>
    <w:rsid w:val="77B5071A"/>
    <w:rsid w:val="77C12EAC"/>
    <w:rsid w:val="77DF6C06"/>
    <w:rsid w:val="77E42C1E"/>
    <w:rsid w:val="77F00D0A"/>
    <w:rsid w:val="77F24963"/>
    <w:rsid w:val="77F41AAE"/>
    <w:rsid w:val="77FA7AE5"/>
    <w:rsid w:val="77FC3C51"/>
    <w:rsid w:val="7809275A"/>
    <w:rsid w:val="780C5654"/>
    <w:rsid w:val="780C623C"/>
    <w:rsid w:val="78126B0A"/>
    <w:rsid w:val="78143BB9"/>
    <w:rsid w:val="781632C6"/>
    <w:rsid w:val="781A6049"/>
    <w:rsid w:val="781C3D5C"/>
    <w:rsid w:val="782B1B10"/>
    <w:rsid w:val="783528D5"/>
    <w:rsid w:val="783739B2"/>
    <w:rsid w:val="78482494"/>
    <w:rsid w:val="78512E87"/>
    <w:rsid w:val="78523EDB"/>
    <w:rsid w:val="785A3ACD"/>
    <w:rsid w:val="785B0390"/>
    <w:rsid w:val="78605CFC"/>
    <w:rsid w:val="786677E9"/>
    <w:rsid w:val="786C336D"/>
    <w:rsid w:val="787E1ECD"/>
    <w:rsid w:val="788536E9"/>
    <w:rsid w:val="788F2C04"/>
    <w:rsid w:val="78941AC7"/>
    <w:rsid w:val="789436FE"/>
    <w:rsid w:val="7897315A"/>
    <w:rsid w:val="78986AC5"/>
    <w:rsid w:val="78A413DB"/>
    <w:rsid w:val="78A93820"/>
    <w:rsid w:val="78B5671F"/>
    <w:rsid w:val="78BA6021"/>
    <w:rsid w:val="78C02F67"/>
    <w:rsid w:val="78C375F0"/>
    <w:rsid w:val="78C67154"/>
    <w:rsid w:val="78C813F4"/>
    <w:rsid w:val="78CA3F6D"/>
    <w:rsid w:val="78CF7C8F"/>
    <w:rsid w:val="78D41F79"/>
    <w:rsid w:val="78D45347"/>
    <w:rsid w:val="78D52CBD"/>
    <w:rsid w:val="78E61D26"/>
    <w:rsid w:val="78E85704"/>
    <w:rsid w:val="78FF2B77"/>
    <w:rsid w:val="790E776E"/>
    <w:rsid w:val="79136850"/>
    <w:rsid w:val="791608F8"/>
    <w:rsid w:val="79201E7A"/>
    <w:rsid w:val="79267A55"/>
    <w:rsid w:val="79283B45"/>
    <w:rsid w:val="794B7F57"/>
    <w:rsid w:val="79500EEA"/>
    <w:rsid w:val="79560F62"/>
    <w:rsid w:val="795C39FC"/>
    <w:rsid w:val="7963116D"/>
    <w:rsid w:val="796340DE"/>
    <w:rsid w:val="79651F98"/>
    <w:rsid w:val="79757A7A"/>
    <w:rsid w:val="797813A1"/>
    <w:rsid w:val="797C0B32"/>
    <w:rsid w:val="7982080A"/>
    <w:rsid w:val="79841C7D"/>
    <w:rsid w:val="7990436E"/>
    <w:rsid w:val="79A165E0"/>
    <w:rsid w:val="79A811E6"/>
    <w:rsid w:val="79AA0947"/>
    <w:rsid w:val="79B60650"/>
    <w:rsid w:val="79C00452"/>
    <w:rsid w:val="79C90548"/>
    <w:rsid w:val="79CA39A8"/>
    <w:rsid w:val="79CC3D35"/>
    <w:rsid w:val="79D418E0"/>
    <w:rsid w:val="79D60665"/>
    <w:rsid w:val="79D63B2E"/>
    <w:rsid w:val="79D95BF8"/>
    <w:rsid w:val="79DE0072"/>
    <w:rsid w:val="79E461EC"/>
    <w:rsid w:val="79E87F22"/>
    <w:rsid w:val="79F82F36"/>
    <w:rsid w:val="79FA5A09"/>
    <w:rsid w:val="7A027DEC"/>
    <w:rsid w:val="7A060A4E"/>
    <w:rsid w:val="7A0F31E8"/>
    <w:rsid w:val="7A116821"/>
    <w:rsid w:val="7A173426"/>
    <w:rsid w:val="7A1C60F7"/>
    <w:rsid w:val="7A1D29E7"/>
    <w:rsid w:val="7A294728"/>
    <w:rsid w:val="7A3F2C2E"/>
    <w:rsid w:val="7A41399F"/>
    <w:rsid w:val="7A4B480C"/>
    <w:rsid w:val="7A4E1601"/>
    <w:rsid w:val="7A4F5684"/>
    <w:rsid w:val="7A536DF4"/>
    <w:rsid w:val="7A585B9A"/>
    <w:rsid w:val="7A664694"/>
    <w:rsid w:val="7A6A5032"/>
    <w:rsid w:val="7A6F4B8B"/>
    <w:rsid w:val="7A7838A6"/>
    <w:rsid w:val="7A820314"/>
    <w:rsid w:val="7A884B52"/>
    <w:rsid w:val="7A8F66AB"/>
    <w:rsid w:val="7A901AE2"/>
    <w:rsid w:val="7A916A73"/>
    <w:rsid w:val="7A952764"/>
    <w:rsid w:val="7A9C7854"/>
    <w:rsid w:val="7AA5772A"/>
    <w:rsid w:val="7AA67344"/>
    <w:rsid w:val="7AA7364B"/>
    <w:rsid w:val="7AAB2AAA"/>
    <w:rsid w:val="7AAC674A"/>
    <w:rsid w:val="7ABD3A73"/>
    <w:rsid w:val="7ABD64B1"/>
    <w:rsid w:val="7ABE0B9A"/>
    <w:rsid w:val="7ABE73E5"/>
    <w:rsid w:val="7AC00A20"/>
    <w:rsid w:val="7AC1159F"/>
    <w:rsid w:val="7AC11BD3"/>
    <w:rsid w:val="7ADF7479"/>
    <w:rsid w:val="7AE96301"/>
    <w:rsid w:val="7B02692A"/>
    <w:rsid w:val="7B036B7D"/>
    <w:rsid w:val="7B18294C"/>
    <w:rsid w:val="7B1B4062"/>
    <w:rsid w:val="7B210484"/>
    <w:rsid w:val="7B290B62"/>
    <w:rsid w:val="7B29354E"/>
    <w:rsid w:val="7B2C24B4"/>
    <w:rsid w:val="7B2F4AEA"/>
    <w:rsid w:val="7B371EBC"/>
    <w:rsid w:val="7B3A015F"/>
    <w:rsid w:val="7B3B5197"/>
    <w:rsid w:val="7B3E75BC"/>
    <w:rsid w:val="7B431900"/>
    <w:rsid w:val="7B565211"/>
    <w:rsid w:val="7B5901DC"/>
    <w:rsid w:val="7B5910DA"/>
    <w:rsid w:val="7B5D019D"/>
    <w:rsid w:val="7B6301BA"/>
    <w:rsid w:val="7B6F32F0"/>
    <w:rsid w:val="7B713AB0"/>
    <w:rsid w:val="7B880D6F"/>
    <w:rsid w:val="7B88407B"/>
    <w:rsid w:val="7B89088C"/>
    <w:rsid w:val="7B907A76"/>
    <w:rsid w:val="7B9670F0"/>
    <w:rsid w:val="7B9C5595"/>
    <w:rsid w:val="7B9F2B7C"/>
    <w:rsid w:val="7BA10A5B"/>
    <w:rsid w:val="7BA72F7F"/>
    <w:rsid w:val="7BA96A5F"/>
    <w:rsid w:val="7BB108B2"/>
    <w:rsid w:val="7BB95CD2"/>
    <w:rsid w:val="7BBA1509"/>
    <w:rsid w:val="7BCC265D"/>
    <w:rsid w:val="7BDF1DA1"/>
    <w:rsid w:val="7BE07F50"/>
    <w:rsid w:val="7BE71511"/>
    <w:rsid w:val="7BE75396"/>
    <w:rsid w:val="7C057EBC"/>
    <w:rsid w:val="7C2E5781"/>
    <w:rsid w:val="7C4270AE"/>
    <w:rsid w:val="7C4C120D"/>
    <w:rsid w:val="7C504673"/>
    <w:rsid w:val="7C531E48"/>
    <w:rsid w:val="7C6E3229"/>
    <w:rsid w:val="7C750F35"/>
    <w:rsid w:val="7C761AC6"/>
    <w:rsid w:val="7C787F9D"/>
    <w:rsid w:val="7C7E049D"/>
    <w:rsid w:val="7C7F6641"/>
    <w:rsid w:val="7C805FCF"/>
    <w:rsid w:val="7C961804"/>
    <w:rsid w:val="7CA212B8"/>
    <w:rsid w:val="7CAA20F9"/>
    <w:rsid w:val="7CAD001B"/>
    <w:rsid w:val="7CB440A2"/>
    <w:rsid w:val="7CB9688F"/>
    <w:rsid w:val="7CBF0BFF"/>
    <w:rsid w:val="7CC54758"/>
    <w:rsid w:val="7CC75495"/>
    <w:rsid w:val="7CC77818"/>
    <w:rsid w:val="7CC93DDD"/>
    <w:rsid w:val="7CD24EB5"/>
    <w:rsid w:val="7CD51A09"/>
    <w:rsid w:val="7CDB2C3A"/>
    <w:rsid w:val="7CDF78FD"/>
    <w:rsid w:val="7CE068BB"/>
    <w:rsid w:val="7CE53FF5"/>
    <w:rsid w:val="7CF46BED"/>
    <w:rsid w:val="7D18148E"/>
    <w:rsid w:val="7D1A4421"/>
    <w:rsid w:val="7D2012E9"/>
    <w:rsid w:val="7D2C4F7A"/>
    <w:rsid w:val="7D59342D"/>
    <w:rsid w:val="7D6920AD"/>
    <w:rsid w:val="7D7073FE"/>
    <w:rsid w:val="7D7D04EA"/>
    <w:rsid w:val="7D8917B2"/>
    <w:rsid w:val="7D916872"/>
    <w:rsid w:val="7DA005CC"/>
    <w:rsid w:val="7DA51DCC"/>
    <w:rsid w:val="7DAA0AC9"/>
    <w:rsid w:val="7DAB6BA0"/>
    <w:rsid w:val="7DC45F09"/>
    <w:rsid w:val="7DCC5C80"/>
    <w:rsid w:val="7DD00A62"/>
    <w:rsid w:val="7DD442D3"/>
    <w:rsid w:val="7DE41C95"/>
    <w:rsid w:val="7DE53484"/>
    <w:rsid w:val="7DE64F83"/>
    <w:rsid w:val="7DEC371A"/>
    <w:rsid w:val="7DF145FA"/>
    <w:rsid w:val="7DF44960"/>
    <w:rsid w:val="7E1C763D"/>
    <w:rsid w:val="7E1D4160"/>
    <w:rsid w:val="7E1F14D5"/>
    <w:rsid w:val="7E2767EA"/>
    <w:rsid w:val="7E323ABE"/>
    <w:rsid w:val="7E41299A"/>
    <w:rsid w:val="7E415B61"/>
    <w:rsid w:val="7E5C7F32"/>
    <w:rsid w:val="7E6410BC"/>
    <w:rsid w:val="7E67699E"/>
    <w:rsid w:val="7E6950D1"/>
    <w:rsid w:val="7E7049C0"/>
    <w:rsid w:val="7E825C9F"/>
    <w:rsid w:val="7E8B1365"/>
    <w:rsid w:val="7E8D2457"/>
    <w:rsid w:val="7E932375"/>
    <w:rsid w:val="7EA8490A"/>
    <w:rsid w:val="7EB044EE"/>
    <w:rsid w:val="7EB44E4A"/>
    <w:rsid w:val="7EB82716"/>
    <w:rsid w:val="7EB851AE"/>
    <w:rsid w:val="7EBD1FB8"/>
    <w:rsid w:val="7EC100EC"/>
    <w:rsid w:val="7ED4549C"/>
    <w:rsid w:val="7ED66494"/>
    <w:rsid w:val="7EE51AA3"/>
    <w:rsid w:val="7EE97828"/>
    <w:rsid w:val="7EEB0F4D"/>
    <w:rsid w:val="7EF539F2"/>
    <w:rsid w:val="7EFB1C42"/>
    <w:rsid w:val="7EFD2450"/>
    <w:rsid w:val="7F0F3F8C"/>
    <w:rsid w:val="7F132FFF"/>
    <w:rsid w:val="7F13653A"/>
    <w:rsid w:val="7F1564C1"/>
    <w:rsid w:val="7F196145"/>
    <w:rsid w:val="7F1D6304"/>
    <w:rsid w:val="7F270C4D"/>
    <w:rsid w:val="7F2D3F42"/>
    <w:rsid w:val="7F2E6AFB"/>
    <w:rsid w:val="7F311A85"/>
    <w:rsid w:val="7F317EBC"/>
    <w:rsid w:val="7F4103C0"/>
    <w:rsid w:val="7F424985"/>
    <w:rsid w:val="7F452EE3"/>
    <w:rsid w:val="7F4F44E6"/>
    <w:rsid w:val="7F596117"/>
    <w:rsid w:val="7F604CA6"/>
    <w:rsid w:val="7F6925A7"/>
    <w:rsid w:val="7F6A36D4"/>
    <w:rsid w:val="7F791E0A"/>
    <w:rsid w:val="7F797847"/>
    <w:rsid w:val="7F7A2838"/>
    <w:rsid w:val="7F7B1E73"/>
    <w:rsid w:val="7F8D7752"/>
    <w:rsid w:val="7F8E12EE"/>
    <w:rsid w:val="7F8F0A58"/>
    <w:rsid w:val="7F914678"/>
    <w:rsid w:val="7FA5680C"/>
    <w:rsid w:val="7FB7113D"/>
    <w:rsid w:val="7FCC40CE"/>
    <w:rsid w:val="7FD81568"/>
    <w:rsid w:val="7FDA77C9"/>
    <w:rsid w:val="7FF1104A"/>
    <w:rsid w:val="7FF70C3D"/>
    <w:rsid w:val="7FFD1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0" w:unhideWhenUsed="0" w:qFormat="1"/>
    <w:lsdException w:name="heading 6" w:uiPriority="9" w:unhideWhenUsed="0" w:qFormat="1"/>
    <w:lsdException w:name="heading 7" w:uiPriority="0" w:unhideWhenUsed="0" w:qFormat="1"/>
    <w:lsdException w:name="heading 8" w:uiPriority="9" w:qFormat="1"/>
    <w:lsdException w:name="heading 9" w:uiPriority="0" w:qFormat="1"/>
    <w:lsdException w:name="index 1" w:uiPriority="0" w:unhideWhenUsed="0" w:qFormat="1"/>
    <w:lsdException w:name="index 2" w:uiPriority="0" w:qFormat="1"/>
    <w:lsdException w:name="index 3" w:uiPriority="0" w:qFormat="1"/>
    <w:lsdException w:name="index 4" w:uiPriority="0" w:qFormat="1"/>
    <w:lsdException w:name="index 5" w:uiPriority="0" w:unhideWhenUsed="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qFormat="1"/>
    <w:lsdException w:name="annotation text" w:qFormat="1"/>
    <w:lsdException w:name="header" w:qFormat="1"/>
    <w:lsdException w:name="footer" w:qFormat="1"/>
    <w:lsdException w:name="index heading" w:uiPriority="0" w:qFormat="1"/>
    <w:lsdException w:name="caption" w:uiPriority="0" w:unhideWhenUsed="0" w:qFormat="1"/>
    <w:lsdException w:name="table of figures" w:uiPriority="0" w:qFormat="1"/>
    <w:lsdException w:name="envelope address" w:uiPriority="0" w:qFormat="1"/>
    <w:lsdException w:name="envelope return" w:uiPriority="0" w:qFormat="1"/>
    <w:lsdException w:name="footnote reference" w:qFormat="1"/>
    <w:lsdException w:name="annotation reference" w:qFormat="1"/>
    <w:lsdException w:name="line number" w:uiPriority="0" w:qFormat="1"/>
    <w:lsdException w:name="page number" w:uiPriority="0" w:unhideWhenUsed="0" w:qFormat="1"/>
    <w:lsdException w:name="endnote reference" w:uiPriority="0" w:qFormat="1"/>
    <w:lsdException w:name="endnote text" w:uiPriority="0" w:qFormat="1"/>
    <w:lsdException w:name="table of authorities" w:uiPriority="0" w:unhideWhenUsed="0" w:qFormat="1"/>
    <w:lsdException w:name="macro" w:semiHidden="1"/>
    <w:lsdException w:name="toa heading" w:uiPriority="0" w:qFormat="1"/>
    <w:lsdException w:name="List" w:uiPriority="0" w:unhideWhenUsed="0" w:qFormat="1"/>
    <w:lsdException w:name="List Bullet" w:semiHidden="1" w:qFormat="1"/>
    <w:lsdException w:name="List Number" w:semiHidden="1" w:qFormat="1"/>
    <w:lsdException w:name="List 2" w:uiPriority="0" w:qFormat="1"/>
    <w:lsdException w:name="List 3" w:uiPriority="0" w:qFormat="1"/>
    <w:lsdException w:name="List 4" w:uiPriority="0" w:qFormat="1"/>
    <w:lsdException w:name="List 5" w:uiPriority="0"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10" w:unhideWhenUsed="0" w:qFormat="1"/>
    <w:lsdException w:name="Closing" w:uiPriority="0" w:qFormat="1"/>
    <w:lsdException w:name="Signature" w:uiPriority="0" w:qFormat="1"/>
    <w:lsdException w:name="Default Paragraph Font" w:semiHidden="1" w:uiPriority="1" w:qFormat="1"/>
    <w:lsdException w:name="Body Text" w:semiHidden="1" w:qFormat="1"/>
    <w:lsdException w:name="Body Text Indent" w:uiPriority="0" w:unhideWhenUsed="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semiHidden="1" w:qFormat="1"/>
    <w:lsdException w:name="Body Text First Indent" w:qFormat="1"/>
    <w:lsdException w:name="Body Text First Indent 2" w:semiHidden="1" w:qFormat="1"/>
    <w:lsdException w:name="Note Heading" w:uiPriority="0" w:qFormat="1"/>
    <w:lsdException w:name="Body Text 2" w:semiHidden="1" w:qFormat="1"/>
    <w:lsdException w:name="Body Text 3" w:uiPriority="0" w:qFormat="1"/>
    <w:lsdException w:name="Body Text Indent 2" w:uiPriority="0" w:unhideWhenUsed="0" w:qFormat="1"/>
    <w:lsdException w:name="Body Text Indent 3" w:uiPriority="0" w:qFormat="1"/>
    <w:lsdException w:name="Block Text" w:uiPriority="0" w:qFormat="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uiPriority="0" w:qFormat="1"/>
    <w:lsdException w:name="E-mail Signature" w:uiPriority="0" w:qFormat="1"/>
    <w:lsdException w:name="HTML Top of Form" w:semiHidden="1"/>
    <w:lsdException w:name="HTML Bottom of Form" w:semiHidden="1"/>
    <w:lsdException w:name="Normal (Web)" w:semiHidden="1" w:qFormat="1"/>
    <w:lsdException w:name="HTML Acronym" w:uiPriority="0" w:qFormat="1"/>
    <w:lsdException w:name="HTML Address"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semiHidden="1" w:qFormat="1"/>
    <w:lsdException w:name="HTML Sample" w:uiPriority="0" w:qFormat="1"/>
    <w:lsdException w:name="HTML Typewriter" w:uiPriority="0" w:qFormat="1"/>
    <w:lsdException w:name="HTML Variable" w:uiPriority="0" w:qFormat="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uiPriority="0" w:qFormat="1"/>
    <w:lsdException w:name="No Spacing" w:uiPriority="1"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1" w:unhideWhenUsed="0" w:qFormat="1"/>
    <w:lsdException w:name="Quote" w:uiPriority="0" w:qFormat="1"/>
    <w:lsdException w:name="Intense Quote" w:uiPriority="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3">
    <w:name w:val="Normal"/>
    <w:qFormat/>
    <w:pPr>
      <w:widowControl w:val="0"/>
      <w:spacing w:line="360" w:lineRule="auto"/>
      <w:ind w:firstLineChars="200" w:firstLine="200"/>
      <w:jc w:val="both"/>
    </w:pPr>
    <w:rPr>
      <w:rFonts w:cstheme="minorBidi"/>
      <w:kern w:val="2"/>
      <w:sz w:val="24"/>
      <w:szCs w:val="21"/>
    </w:rPr>
  </w:style>
  <w:style w:type="paragraph" w:styleId="1">
    <w:name w:val="heading 1"/>
    <w:basedOn w:val="a3"/>
    <w:next w:val="a3"/>
    <w:link w:val="1Char"/>
    <w:uiPriority w:val="9"/>
    <w:qFormat/>
    <w:pPr>
      <w:ind w:firstLineChars="0" w:firstLine="0"/>
      <w:jc w:val="center"/>
      <w:outlineLvl w:val="0"/>
    </w:pPr>
    <w:rPr>
      <w:rFonts w:hint="eastAsia"/>
      <w:b/>
      <w:kern w:val="44"/>
      <w:sz w:val="44"/>
      <w:szCs w:val="44"/>
    </w:rPr>
  </w:style>
  <w:style w:type="paragraph" w:styleId="21">
    <w:name w:val="heading 2"/>
    <w:basedOn w:val="a3"/>
    <w:next w:val="a3"/>
    <w:link w:val="2Char"/>
    <w:uiPriority w:val="9"/>
    <w:unhideWhenUsed/>
    <w:qFormat/>
    <w:pPr>
      <w:keepNext/>
      <w:keepLines/>
      <w:ind w:firstLineChars="0" w:firstLine="0"/>
      <w:outlineLvl w:val="1"/>
    </w:pPr>
    <w:rPr>
      <w:rFonts w:hint="eastAsia"/>
      <w:b/>
      <w:sz w:val="32"/>
      <w:szCs w:val="32"/>
    </w:rPr>
  </w:style>
  <w:style w:type="paragraph" w:styleId="31">
    <w:name w:val="heading 3"/>
    <w:basedOn w:val="a3"/>
    <w:next w:val="a3"/>
    <w:link w:val="3Char4"/>
    <w:uiPriority w:val="9"/>
    <w:unhideWhenUsed/>
    <w:qFormat/>
    <w:pPr>
      <w:keepNext/>
      <w:keepLines/>
      <w:ind w:firstLineChars="0" w:firstLine="0"/>
      <w:outlineLvl w:val="2"/>
    </w:pPr>
    <w:rPr>
      <w:rFonts w:hint="eastAsia"/>
      <w:b/>
      <w:sz w:val="32"/>
      <w:szCs w:val="32"/>
    </w:rPr>
  </w:style>
  <w:style w:type="paragraph" w:styleId="42">
    <w:name w:val="heading 4"/>
    <w:basedOn w:val="a3"/>
    <w:next w:val="a4"/>
    <w:link w:val="4Char"/>
    <w:uiPriority w:val="9"/>
    <w:unhideWhenUsed/>
    <w:qFormat/>
    <w:pPr>
      <w:keepNext/>
      <w:keepLines/>
      <w:ind w:firstLineChars="0" w:firstLine="0"/>
      <w:outlineLvl w:val="3"/>
    </w:pPr>
    <w:rPr>
      <w:rFonts w:hint="eastAsia"/>
      <w:b/>
      <w:i/>
      <w:kern w:val="28"/>
      <w:szCs w:val="24"/>
    </w:rPr>
  </w:style>
  <w:style w:type="paragraph" w:styleId="52">
    <w:name w:val="heading 5"/>
    <w:basedOn w:val="a3"/>
    <w:next w:val="a4"/>
    <w:link w:val="5Char"/>
    <w:qFormat/>
    <w:pPr>
      <w:keepNext/>
      <w:widowControl/>
      <w:tabs>
        <w:tab w:val="right" w:pos="5040"/>
      </w:tabs>
      <w:ind w:firstLine="0"/>
      <w:jc w:val="left"/>
      <w:outlineLvl w:val="4"/>
    </w:pPr>
    <w:rPr>
      <w:rFonts w:hint="eastAsia"/>
      <w:b/>
      <w:sz w:val="28"/>
      <w:szCs w:val="28"/>
    </w:rPr>
  </w:style>
  <w:style w:type="paragraph" w:styleId="6">
    <w:name w:val="heading 6"/>
    <w:basedOn w:val="a3"/>
    <w:next w:val="a5"/>
    <w:link w:val="6Char"/>
    <w:uiPriority w:val="9"/>
    <w:qFormat/>
    <w:pPr>
      <w:keepNext/>
      <w:widowControl/>
      <w:overflowPunct w:val="0"/>
      <w:autoSpaceDE w:val="0"/>
      <w:autoSpaceDN w:val="0"/>
      <w:adjustRightInd w:val="0"/>
      <w:snapToGrid w:val="0"/>
      <w:spacing w:before="120" w:after="80"/>
      <w:textAlignment w:val="baseline"/>
      <w:outlineLvl w:val="5"/>
    </w:pPr>
    <w:rPr>
      <w:rFonts w:ascii="Calibri Light" w:hAnsi="Calibri Light" w:hint="eastAsia"/>
      <w:b/>
      <w:szCs w:val="24"/>
    </w:rPr>
  </w:style>
  <w:style w:type="paragraph" w:styleId="7">
    <w:name w:val="heading 7"/>
    <w:basedOn w:val="a3"/>
    <w:next w:val="a5"/>
    <w:link w:val="7Char"/>
    <w:qFormat/>
    <w:pPr>
      <w:keepNext/>
      <w:widowControl/>
      <w:overflowPunct w:val="0"/>
      <w:autoSpaceDE w:val="0"/>
      <w:autoSpaceDN w:val="0"/>
      <w:adjustRightInd w:val="0"/>
      <w:snapToGrid w:val="0"/>
      <w:spacing w:before="80" w:after="60"/>
      <w:textAlignment w:val="baseline"/>
      <w:outlineLvl w:val="6"/>
    </w:pPr>
    <w:rPr>
      <w:rFonts w:hint="eastAsia"/>
      <w:b/>
      <w:szCs w:val="24"/>
    </w:rPr>
  </w:style>
  <w:style w:type="paragraph" w:styleId="8">
    <w:name w:val="heading 8"/>
    <w:basedOn w:val="a3"/>
    <w:next w:val="a5"/>
    <w:link w:val="8Char"/>
    <w:uiPriority w:val="9"/>
    <w:unhideWhenUsed/>
    <w:qFormat/>
    <w:pPr>
      <w:keepNext/>
      <w:widowControl/>
      <w:overflowPunct w:val="0"/>
      <w:autoSpaceDE w:val="0"/>
      <w:autoSpaceDN w:val="0"/>
      <w:adjustRightInd w:val="0"/>
      <w:snapToGrid w:val="0"/>
      <w:spacing w:before="80" w:after="60"/>
      <w:textAlignment w:val="baseline"/>
      <w:outlineLvl w:val="7"/>
    </w:pPr>
    <w:rPr>
      <w:rFonts w:hint="eastAsia"/>
      <w:b/>
      <w:i/>
      <w:kern w:val="28"/>
      <w:sz w:val="18"/>
      <w:szCs w:val="24"/>
    </w:rPr>
  </w:style>
  <w:style w:type="paragraph" w:styleId="9">
    <w:name w:val="heading 9"/>
    <w:basedOn w:val="a3"/>
    <w:next w:val="a5"/>
    <w:link w:val="9Char"/>
    <w:unhideWhenUsed/>
    <w:qFormat/>
    <w:pPr>
      <w:keepNext/>
      <w:widowControl/>
      <w:overflowPunct w:val="0"/>
      <w:autoSpaceDE w:val="0"/>
      <w:autoSpaceDN w:val="0"/>
      <w:adjustRightInd w:val="0"/>
      <w:snapToGrid w:val="0"/>
      <w:spacing w:before="80" w:after="60"/>
      <w:textAlignment w:val="baseline"/>
      <w:outlineLvl w:val="8"/>
    </w:pPr>
    <w:rPr>
      <w:rFonts w:hint="eastAsia"/>
      <w:b/>
      <w:i/>
      <w:kern w:val="28"/>
      <w:sz w:val="18"/>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Normal Indent"/>
    <w:basedOn w:val="a3"/>
    <w:qFormat/>
    <w:pPr>
      <w:ind w:firstLine="420"/>
    </w:pPr>
    <w:rPr>
      <w:rFonts w:hint="eastAsia"/>
      <w:sz w:val="21"/>
      <w:szCs w:val="20"/>
    </w:rPr>
  </w:style>
  <w:style w:type="paragraph" w:styleId="a5">
    <w:name w:val="Body Text"/>
    <w:basedOn w:val="a3"/>
    <w:link w:val="Char2"/>
    <w:uiPriority w:val="99"/>
    <w:semiHidden/>
    <w:unhideWhenUsed/>
    <w:qFormat/>
    <w:pPr>
      <w:spacing w:after="120"/>
    </w:pPr>
    <w:rPr>
      <w:rFonts w:hint="eastAsia"/>
      <w:szCs w:val="24"/>
    </w:rPr>
  </w:style>
  <w:style w:type="paragraph" w:styleId="32">
    <w:name w:val="List 3"/>
    <w:basedOn w:val="a3"/>
    <w:unhideWhenUsed/>
    <w:qFormat/>
    <w:pPr>
      <w:ind w:leftChars="400" w:left="100" w:hangingChars="200" w:hanging="200"/>
    </w:pPr>
    <w:rPr>
      <w:rFonts w:hint="eastAsia"/>
      <w:sz w:val="21"/>
      <w:szCs w:val="24"/>
    </w:rPr>
  </w:style>
  <w:style w:type="paragraph" w:styleId="70">
    <w:name w:val="toc 7"/>
    <w:basedOn w:val="a3"/>
    <w:next w:val="a3"/>
    <w:uiPriority w:val="39"/>
    <w:unhideWhenUsed/>
    <w:qFormat/>
    <w:pPr>
      <w:spacing w:line="240" w:lineRule="auto"/>
      <w:ind w:leftChars="1200" w:left="2520" w:firstLineChars="0" w:firstLine="0"/>
    </w:pPr>
    <w:rPr>
      <w:rFonts w:eastAsiaTheme="minorEastAsia"/>
      <w:sz w:val="21"/>
      <w:szCs w:val="22"/>
    </w:rPr>
  </w:style>
  <w:style w:type="paragraph" w:styleId="20">
    <w:name w:val="List Number 2"/>
    <w:basedOn w:val="a3"/>
    <w:uiPriority w:val="99"/>
    <w:semiHidden/>
    <w:unhideWhenUsed/>
    <w:qFormat/>
    <w:pPr>
      <w:numPr>
        <w:numId w:val="1"/>
      </w:numPr>
    </w:pPr>
  </w:style>
  <w:style w:type="paragraph" w:styleId="a9">
    <w:name w:val="table of authorities"/>
    <w:basedOn w:val="a3"/>
    <w:next w:val="a3"/>
    <w:qFormat/>
    <w:pPr>
      <w:ind w:leftChars="200" w:left="420"/>
    </w:pPr>
  </w:style>
  <w:style w:type="paragraph" w:styleId="aa">
    <w:name w:val="Note Heading"/>
    <w:basedOn w:val="a3"/>
    <w:next w:val="a3"/>
    <w:link w:val="Char"/>
    <w:unhideWhenUsed/>
    <w:qFormat/>
    <w:pPr>
      <w:jc w:val="center"/>
    </w:pPr>
    <w:rPr>
      <w:rFonts w:ascii="宋体" w:hint="eastAsia"/>
      <w:sz w:val="21"/>
      <w:szCs w:val="20"/>
    </w:rPr>
  </w:style>
  <w:style w:type="paragraph" w:styleId="4">
    <w:name w:val="List Bullet 4"/>
    <w:basedOn w:val="a3"/>
    <w:uiPriority w:val="99"/>
    <w:semiHidden/>
    <w:unhideWhenUsed/>
    <w:qFormat/>
    <w:pPr>
      <w:numPr>
        <w:numId w:val="2"/>
      </w:numPr>
    </w:pPr>
  </w:style>
  <w:style w:type="paragraph" w:styleId="80">
    <w:name w:val="index 8"/>
    <w:basedOn w:val="a3"/>
    <w:next w:val="a3"/>
    <w:unhideWhenUsed/>
    <w:qFormat/>
    <w:pPr>
      <w:ind w:leftChars="1400" w:left="1400"/>
    </w:pPr>
    <w:rPr>
      <w:rFonts w:hint="eastAsia"/>
      <w:sz w:val="21"/>
      <w:szCs w:val="24"/>
    </w:rPr>
  </w:style>
  <w:style w:type="paragraph" w:styleId="ab">
    <w:name w:val="E-mail Signature"/>
    <w:basedOn w:val="a3"/>
    <w:link w:val="Char0"/>
    <w:unhideWhenUsed/>
    <w:qFormat/>
    <w:rPr>
      <w:rFonts w:hint="eastAsia"/>
      <w:sz w:val="21"/>
      <w:szCs w:val="24"/>
    </w:rPr>
  </w:style>
  <w:style w:type="paragraph" w:styleId="a">
    <w:name w:val="List Number"/>
    <w:basedOn w:val="a3"/>
    <w:uiPriority w:val="99"/>
    <w:semiHidden/>
    <w:unhideWhenUsed/>
    <w:qFormat/>
    <w:pPr>
      <w:numPr>
        <w:numId w:val="3"/>
      </w:numPr>
    </w:pPr>
  </w:style>
  <w:style w:type="paragraph" w:styleId="ac">
    <w:name w:val="caption"/>
    <w:basedOn w:val="a3"/>
    <w:next w:val="a3"/>
    <w:link w:val="Char1"/>
    <w:qFormat/>
    <w:rPr>
      <w:rFonts w:ascii="Arial" w:eastAsia="黑体" w:hAnsi="Arial" w:hint="eastAsia"/>
      <w:sz w:val="20"/>
      <w:szCs w:val="20"/>
    </w:rPr>
  </w:style>
  <w:style w:type="paragraph" w:styleId="53">
    <w:name w:val="index 5"/>
    <w:basedOn w:val="a3"/>
    <w:next w:val="a3"/>
    <w:qFormat/>
    <w:pPr>
      <w:ind w:left="1680"/>
    </w:pPr>
  </w:style>
  <w:style w:type="paragraph" w:styleId="a2">
    <w:name w:val="List Bullet"/>
    <w:basedOn w:val="a3"/>
    <w:uiPriority w:val="99"/>
    <w:semiHidden/>
    <w:unhideWhenUsed/>
    <w:qFormat/>
    <w:pPr>
      <w:numPr>
        <w:numId w:val="4"/>
      </w:numPr>
    </w:pPr>
  </w:style>
  <w:style w:type="paragraph" w:styleId="ad">
    <w:name w:val="envelope address"/>
    <w:basedOn w:val="a3"/>
    <w:unhideWhenUsed/>
    <w:qFormat/>
    <w:pPr>
      <w:framePr w:w="7920" w:h="1980" w:hRule="exact" w:hSpace="180" w:wrap="auto" w:hAnchor="page" w:xAlign="center" w:yAlign="bottom"/>
      <w:widowControl/>
      <w:overflowPunct w:val="0"/>
      <w:autoSpaceDE w:val="0"/>
      <w:autoSpaceDN w:val="0"/>
      <w:adjustRightInd w:val="0"/>
      <w:spacing w:line="264" w:lineRule="auto"/>
      <w:ind w:left="2880"/>
      <w:jc w:val="left"/>
      <w:textAlignment w:val="baseline"/>
    </w:pPr>
    <w:rPr>
      <w:rFonts w:ascii="Arial" w:hAnsi="Arial" w:hint="eastAsia"/>
      <w:sz w:val="22"/>
      <w:szCs w:val="20"/>
      <w:lang w:val="en-GB"/>
    </w:rPr>
  </w:style>
  <w:style w:type="paragraph" w:styleId="ae">
    <w:name w:val="Document Map"/>
    <w:basedOn w:val="a3"/>
    <w:link w:val="Char3"/>
    <w:uiPriority w:val="99"/>
    <w:unhideWhenUsed/>
    <w:qFormat/>
    <w:pPr>
      <w:shd w:val="clear" w:color="auto" w:fill="000080"/>
    </w:pPr>
    <w:rPr>
      <w:rFonts w:hint="eastAsia"/>
      <w:sz w:val="21"/>
      <w:szCs w:val="24"/>
    </w:rPr>
  </w:style>
  <w:style w:type="paragraph" w:styleId="af">
    <w:name w:val="toa heading"/>
    <w:basedOn w:val="a3"/>
    <w:next w:val="a3"/>
    <w:unhideWhenUsed/>
    <w:qFormat/>
    <w:pPr>
      <w:spacing w:before="120"/>
    </w:pPr>
    <w:rPr>
      <w:rFonts w:ascii="Arial" w:hAnsi="Arial" w:cs="Arial" w:hint="eastAsia"/>
      <w:szCs w:val="24"/>
    </w:rPr>
  </w:style>
  <w:style w:type="paragraph" w:styleId="af0">
    <w:name w:val="annotation text"/>
    <w:basedOn w:val="a3"/>
    <w:link w:val="Char20"/>
    <w:uiPriority w:val="99"/>
    <w:unhideWhenUsed/>
    <w:qFormat/>
    <w:pPr>
      <w:widowControl/>
      <w:jc w:val="left"/>
    </w:pPr>
    <w:rPr>
      <w:rFonts w:hint="eastAsia"/>
      <w:sz w:val="21"/>
      <w:szCs w:val="24"/>
    </w:rPr>
  </w:style>
  <w:style w:type="paragraph" w:styleId="60">
    <w:name w:val="index 6"/>
    <w:basedOn w:val="a3"/>
    <w:next w:val="a3"/>
    <w:unhideWhenUsed/>
    <w:qFormat/>
    <w:pPr>
      <w:ind w:leftChars="1000" w:left="1000"/>
    </w:pPr>
    <w:rPr>
      <w:rFonts w:hint="eastAsia"/>
      <w:sz w:val="21"/>
      <w:szCs w:val="24"/>
    </w:rPr>
  </w:style>
  <w:style w:type="paragraph" w:styleId="af1">
    <w:name w:val="Salutation"/>
    <w:basedOn w:val="af2"/>
    <w:next w:val="a3"/>
    <w:link w:val="Char4"/>
    <w:unhideWhenUsed/>
    <w:qFormat/>
    <w:pPr>
      <w:spacing w:line="400" w:lineRule="exact"/>
      <w:ind w:firstLine="480"/>
    </w:pPr>
    <w:rPr>
      <w:rFonts w:cs="Times New Roman"/>
      <w:sz w:val="24"/>
    </w:rPr>
  </w:style>
  <w:style w:type="paragraph" w:styleId="af2">
    <w:name w:val="Plain Text"/>
    <w:basedOn w:val="a3"/>
    <w:link w:val="Char5"/>
    <w:unhideWhenUsed/>
    <w:qFormat/>
    <w:rPr>
      <w:rFonts w:ascii="宋体" w:hAnsi="Courier New" w:cs="Courier New" w:hint="eastAsia"/>
      <w:sz w:val="21"/>
    </w:rPr>
  </w:style>
  <w:style w:type="paragraph" w:styleId="33">
    <w:name w:val="Body Text 3"/>
    <w:basedOn w:val="a3"/>
    <w:unhideWhenUsed/>
    <w:qFormat/>
    <w:pPr>
      <w:adjustRightInd w:val="0"/>
      <w:snapToGrid w:val="0"/>
      <w:ind w:right="6"/>
    </w:pPr>
    <w:rPr>
      <w:rFonts w:hint="eastAsia"/>
      <w:szCs w:val="24"/>
    </w:rPr>
  </w:style>
  <w:style w:type="paragraph" w:styleId="af3">
    <w:name w:val="Closing"/>
    <w:basedOn w:val="a3"/>
    <w:link w:val="Char6"/>
    <w:unhideWhenUsed/>
    <w:qFormat/>
    <w:pPr>
      <w:ind w:leftChars="2100" w:left="100"/>
    </w:pPr>
    <w:rPr>
      <w:rFonts w:ascii="仿宋_GB2312" w:eastAsia="仿宋_GB2312" w:hint="eastAsia"/>
      <w:sz w:val="32"/>
      <w:szCs w:val="32"/>
    </w:rPr>
  </w:style>
  <w:style w:type="paragraph" w:styleId="30">
    <w:name w:val="List Bullet 3"/>
    <w:basedOn w:val="a3"/>
    <w:uiPriority w:val="99"/>
    <w:semiHidden/>
    <w:unhideWhenUsed/>
    <w:qFormat/>
    <w:pPr>
      <w:numPr>
        <w:numId w:val="5"/>
      </w:numPr>
    </w:pPr>
  </w:style>
  <w:style w:type="paragraph" w:styleId="af4">
    <w:name w:val="Body Text Indent"/>
    <w:basedOn w:val="a3"/>
    <w:qFormat/>
    <w:pPr>
      <w:spacing w:after="120"/>
      <w:ind w:leftChars="200" w:left="420"/>
    </w:pPr>
  </w:style>
  <w:style w:type="paragraph" w:styleId="3">
    <w:name w:val="List Number 3"/>
    <w:basedOn w:val="a3"/>
    <w:uiPriority w:val="99"/>
    <w:semiHidden/>
    <w:unhideWhenUsed/>
    <w:qFormat/>
    <w:pPr>
      <w:numPr>
        <w:numId w:val="6"/>
      </w:numPr>
    </w:pPr>
  </w:style>
  <w:style w:type="paragraph" w:styleId="22">
    <w:name w:val="List 2"/>
    <w:basedOn w:val="a3"/>
    <w:unhideWhenUsed/>
    <w:qFormat/>
    <w:pPr>
      <w:ind w:leftChars="200" w:left="100" w:hangingChars="200" w:hanging="200"/>
    </w:pPr>
    <w:rPr>
      <w:rFonts w:hint="eastAsia"/>
      <w:sz w:val="21"/>
      <w:szCs w:val="24"/>
    </w:rPr>
  </w:style>
  <w:style w:type="paragraph" w:styleId="af5">
    <w:name w:val="List Continue"/>
    <w:basedOn w:val="a3"/>
    <w:unhideWhenUsed/>
    <w:qFormat/>
    <w:pPr>
      <w:spacing w:after="120"/>
      <w:ind w:leftChars="200" w:left="420"/>
    </w:pPr>
    <w:rPr>
      <w:rFonts w:hint="eastAsia"/>
      <w:sz w:val="21"/>
      <w:szCs w:val="24"/>
    </w:rPr>
  </w:style>
  <w:style w:type="paragraph" w:styleId="af6">
    <w:name w:val="Block Text"/>
    <w:basedOn w:val="a3"/>
    <w:unhideWhenUsed/>
    <w:qFormat/>
    <w:pPr>
      <w:tabs>
        <w:tab w:val="left" w:pos="9660"/>
        <w:tab w:val="left" w:pos="9765"/>
      </w:tabs>
      <w:spacing w:line="480" w:lineRule="auto"/>
      <w:ind w:left="420" w:right="773" w:firstLine="630"/>
    </w:pPr>
    <w:rPr>
      <w:rFonts w:hint="eastAsia"/>
      <w:spacing w:val="26"/>
      <w:sz w:val="28"/>
      <w:szCs w:val="20"/>
    </w:rPr>
  </w:style>
  <w:style w:type="paragraph" w:styleId="2">
    <w:name w:val="List Bullet 2"/>
    <w:basedOn w:val="a3"/>
    <w:uiPriority w:val="99"/>
    <w:semiHidden/>
    <w:unhideWhenUsed/>
    <w:qFormat/>
    <w:pPr>
      <w:numPr>
        <w:numId w:val="7"/>
      </w:numPr>
    </w:pPr>
  </w:style>
  <w:style w:type="paragraph" w:styleId="HTML">
    <w:name w:val="HTML Address"/>
    <w:basedOn w:val="a3"/>
    <w:link w:val="HTMLChar"/>
    <w:unhideWhenUsed/>
    <w:qFormat/>
    <w:rPr>
      <w:rFonts w:hint="eastAsia"/>
      <w:i/>
      <w:sz w:val="21"/>
      <w:szCs w:val="24"/>
    </w:rPr>
  </w:style>
  <w:style w:type="paragraph" w:styleId="43">
    <w:name w:val="index 4"/>
    <w:basedOn w:val="a3"/>
    <w:next w:val="a3"/>
    <w:unhideWhenUsed/>
    <w:qFormat/>
    <w:pPr>
      <w:ind w:leftChars="600" w:left="600"/>
    </w:pPr>
    <w:rPr>
      <w:rFonts w:hint="eastAsia"/>
      <w:sz w:val="21"/>
      <w:szCs w:val="24"/>
    </w:rPr>
  </w:style>
  <w:style w:type="paragraph" w:styleId="54">
    <w:name w:val="toc 5"/>
    <w:basedOn w:val="a3"/>
    <w:next w:val="a3"/>
    <w:uiPriority w:val="39"/>
    <w:unhideWhenUsed/>
    <w:qFormat/>
    <w:pPr>
      <w:spacing w:line="240" w:lineRule="auto"/>
      <w:ind w:leftChars="800" w:left="1680" w:firstLineChars="0" w:firstLine="0"/>
    </w:pPr>
    <w:rPr>
      <w:rFonts w:eastAsiaTheme="minorEastAsia"/>
      <w:sz w:val="21"/>
      <w:szCs w:val="22"/>
    </w:rPr>
  </w:style>
  <w:style w:type="paragraph" w:styleId="34">
    <w:name w:val="toc 3"/>
    <w:basedOn w:val="a3"/>
    <w:next w:val="a3"/>
    <w:uiPriority w:val="39"/>
    <w:unhideWhenUsed/>
    <w:qFormat/>
    <w:pPr>
      <w:ind w:leftChars="400" w:left="840"/>
    </w:pPr>
  </w:style>
  <w:style w:type="paragraph" w:styleId="50">
    <w:name w:val="List Bullet 5"/>
    <w:basedOn w:val="a3"/>
    <w:uiPriority w:val="99"/>
    <w:semiHidden/>
    <w:unhideWhenUsed/>
    <w:qFormat/>
    <w:pPr>
      <w:numPr>
        <w:numId w:val="8"/>
      </w:numPr>
    </w:pPr>
  </w:style>
  <w:style w:type="paragraph" w:styleId="40">
    <w:name w:val="List Number 4"/>
    <w:basedOn w:val="a3"/>
    <w:uiPriority w:val="99"/>
    <w:semiHidden/>
    <w:unhideWhenUsed/>
    <w:qFormat/>
    <w:pPr>
      <w:numPr>
        <w:numId w:val="9"/>
      </w:numPr>
    </w:pPr>
  </w:style>
  <w:style w:type="paragraph" w:styleId="82">
    <w:name w:val="toc 8"/>
    <w:basedOn w:val="a3"/>
    <w:next w:val="a3"/>
    <w:uiPriority w:val="39"/>
    <w:unhideWhenUsed/>
    <w:qFormat/>
    <w:pPr>
      <w:spacing w:line="240" w:lineRule="auto"/>
      <w:ind w:leftChars="1400" w:left="2940" w:firstLineChars="0" w:firstLine="0"/>
    </w:pPr>
    <w:rPr>
      <w:rFonts w:eastAsiaTheme="minorEastAsia"/>
      <w:sz w:val="21"/>
      <w:szCs w:val="22"/>
    </w:rPr>
  </w:style>
  <w:style w:type="paragraph" w:styleId="35">
    <w:name w:val="index 3"/>
    <w:basedOn w:val="a3"/>
    <w:next w:val="a3"/>
    <w:unhideWhenUsed/>
    <w:qFormat/>
    <w:pPr>
      <w:ind w:leftChars="400" w:left="400"/>
    </w:pPr>
    <w:rPr>
      <w:rFonts w:hint="eastAsia"/>
      <w:sz w:val="21"/>
      <w:szCs w:val="24"/>
    </w:rPr>
  </w:style>
  <w:style w:type="paragraph" w:styleId="af7">
    <w:name w:val="Date"/>
    <w:basedOn w:val="a3"/>
    <w:next w:val="a3"/>
    <w:link w:val="Char7"/>
    <w:uiPriority w:val="99"/>
    <w:semiHidden/>
    <w:unhideWhenUsed/>
    <w:qFormat/>
    <w:pPr>
      <w:ind w:leftChars="2500" w:left="100"/>
    </w:pPr>
  </w:style>
  <w:style w:type="paragraph" w:styleId="23">
    <w:name w:val="Body Text Indent 2"/>
    <w:basedOn w:val="a3"/>
    <w:qFormat/>
    <w:pPr>
      <w:ind w:firstLine="539"/>
    </w:pPr>
    <w:rPr>
      <w:rFonts w:hint="eastAsia"/>
      <w:szCs w:val="24"/>
    </w:rPr>
  </w:style>
  <w:style w:type="paragraph" w:styleId="af8">
    <w:name w:val="endnote text"/>
    <w:basedOn w:val="a3"/>
    <w:link w:val="Char8"/>
    <w:unhideWhenUsed/>
    <w:qFormat/>
    <w:pPr>
      <w:snapToGrid w:val="0"/>
      <w:jc w:val="left"/>
    </w:pPr>
    <w:rPr>
      <w:rFonts w:hint="eastAsia"/>
      <w:sz w:val="21"/>
      <w:szCs w:val="20"/>
    </w:rPr>
  </w:style>
  <w:style w:type="paragraph" w:styleId="55">
    <w:name w:val="List Continue 5"/>
    <w:basedOn w:val="a3"/>
    <w:unhideWhenUsed/>
    <w:qFormat/>
    <w:pPr>
      <w:spacing w:after="120"/>
      <w:ind w:leftChars="1000" w:left="2100"/>
    </w:pPr>
    <w:rPr>
      <w:rFonts w:hint="eastAsia"/>
      <w:sz w:val="21"/>
      <w:szCs w:val="24"/>
    </w:rPr>
  </w:style>
  <w:style w:type="paragraph" w:styleId="af9">
    <w:name w:val="Balloon Text"/>
    <w:basedOn w:val="a3"/>
    <w:link w:val="Char21"/>
    <w:uiPriority w:val="99"/>
    <w:semiHidden/>
    <w:unhideWhenUsed/>
    <w:qFormat/>
    <w:pPr>
      <w:spacing w:line="240" w:lineRule="auto"/>
    </w:pPr>
    <w:rPr>
      <w:sz w:val="18"/>
      <w:szCs w:val="18"/>
    </w:rPr>
  </w:style>
  <w:style w:type="paragraph" w:styleId="afa">
    <w:name w:val="footer"/>
    <w:basedOn w:val="a3"/>
    <w:link w:val="Char30"/>
    <w:uiPriority w:val="99"/>
    <w:unhideWhenUsed/>
    <w:qFormat/>
    <w:pPr>
      <w:tabs>
        <w:tab w:val="center" w:pos="4153"/>
        <w:tab w:val="right" w:pos="8306"/>
      </w:tabs>
      <w:snapToGrid w:val="0"/>
      <w:jc w:val="left"/>
    </w:pPr>
    <w:rPr>
      <w:rFonts w:hint="eastAsia"/>
      <w:sz w:val="18"/>
      <w:szCs w:val="18"/>
    </w:rPr>
  </w:style>
  <w:style w:type="paragraph" w:styleId="afb">
    <w:name w:val="envelope return"/>
    <w:basedOn w:val="a3"/>
    <w:unhideWhenUsed/>
    <w:qFormat/>
    <w:pPr>
      <w:snapToGrid w:val="0"/>
    </w:pPr>
    <w:rPr>
      <w:rFonts w:ascii="Arial" w:hAnsi="Arial" w:cs="Arial" w:hint="eastAsia"/>
      <w:sz w:val="21"/>
      <w:szCs w:val="24"/>
    </w:rPr>
  </w:style>
  <w:style w:type="paragraph" w:styleId="afc">
    <w:name w:val="header"/>
    <w:basedOn w:val="a3"/>
    <w:next w:val="a3"/>
    <w:link w:val="Char9"/>
    <w:uiPriority w:val="99"/>
    <w:unhideWhenUsed/>
    <w:qFormat/>
    <w:pPr>
      <w:pBdr>
        <w:bottom w:val="single" w:sz="6" w:space="1" w:color="auto"/>
      </w:pBdr>
      <w:tabs>
        <w:tab w:val="center" w:pos="4153"/>
        <w:tab w:val="right" w:pos="8306"/>
      </w:tabs>
      <w:snapToGrid w:val="0"/>
      <w:jc w:val="center"/>
    </w:pPr>
    <w:rPr>
      <w:rFonts w:hint="eastAsia"/>
      <w:sz w:val="18"/>
      <w:szCs w:val="18"/>
    </w:rPr>
  </w:style>
  <w:style w:type="paragraph" w:styleId="afd">
    <w:name w:val="Signature"/>
    <w:basedOn w:val="a3"/>
    <w:link w:val="Chara"/>
    <w:unhideWhenUsed/>
    <w:qFormat/>
    <w:pPr>
      <w:ind w:leftChars="2100" w:left="100"/>
    </w:pPr>
    <w:rPr>
      <w:rFonts w:hint="eastAsia"/>
      <w:sz w:val="21"/>
      <w:szCs w:val="24"/>
    </w:rPr>
  </w:style>
  <w:style w:type="paragraph" w:styleId="10">
    <w:name w:val="toc 1"/>
    <w:basedOn w:val="a3"/>
    <w:next w:val="a3"/>
    <w:link w:val="1Char0"/>
    <w:uiPriority w:val="39"/>
    <w:unhideWhenUsed/>
    <w:qFormat/>
    <w:pPr>
      <w:tabs>
        <w:tab w:val="right" w:leader="dot" w:pos="8296"/>
      </w:tabs>
      <w:spacing w:line="400" w:lineRule="exact"/>
      <w:ind w:firstLineChars="0" w:firstLine="0"/>
    </w:pPr>
    <w:rPr>
      <w:rFonts w:hint="eastAsia"/>
      <w:b/>
      <w:caps/>
      <w:sz w:val="20"/>
      <w:szCs w:val="20"/>
    </w:rPr>
  </w:style>
  <w:style w:type="paragraph" w:styleId="44">
    <w:name w:val="List Continue 4"/>
    <w:basedOn w:val="a3"/>
    <w:unhideWhenUsed/>
    <w:qFormat/>
    <w:pPr>
      <w:spacing w:after="120"/>
      <w:ind w:leftChars="800" w:left="1680"/>
    </w:pPr>
    <w:rPr>
      <w:rFonts w:hint="eastAsia"/>
      <w:sz w:val="21"/>
      <w:szCs w:val="24"/>
    </w:rPr>
  </w:style>
  <w:style w:type="paragraph" w:styleId="45">
    <w:name w:val="toc 4"/>
    <w:basedOn w:val="a3"/>
    <w:next w:val="a3"/>
    <w:uiPriority w:val="39"/>
    <w:unhideWhenUsed/>
    <w:qFormat/>
    <w:pPr>
      <w:spacing w:line="240" w:lineRule="auto"/>
      <w:ind w:leftChars="600" w:left="1260" w:firstLineChars="0" w:firstLine="0"/>
    </w:pPr>
    <w:rPr>
      <w:rFonts w:eastAsiaTheme="minorEastAsia"/>
      <w:sz w:val="21"/>
      <w:szCs w:val="22"/>
    </w:rPr>
  </w:style>
  <w:style w:type="paragraph" w:styleId="afe">
    <w:name w:val="index heading"/>
    <w:basedOn w:val="a3"/>
    <w:next w:val="11"/>
    <w:unhideWhenUsed/>
    <w:qFormat/>
    <w:rPr>
      <w:rFonts w:ascii="Cambria" w:hAnsi="Cambria" w:cs="Times New Roman"/>
      <w:b/>
      <w:bCs/>
      <w:sz w:val="21"/>
      <w:szCs w:val="22"/>
    </w:rPr>
  </w:style>
  <w:style w:type="paragraph" w:styleId="11">
    <w:name w:val="index 1"/>
    <w:basedOn w:val="a3"/>
    <w:next w:val="a3"/>
    <w:qFormat/>
  </w:style>
  <w:style w:type="paragraph" w:styleId="aff">
    <w:name w:val="Subtitle"/>
    <w:basedOn w:val="a3"/>
    <w:next w:val="a3"/>
    <w:link w:val="Charb"/>
    <w:unhideWhenUsed/>
    <w:qFormat/>
    <w:pPr>
      <w:adjustRightInd w:val="0"/>
      <w:snapToGrid w:val="0"/>
      <w:spacing w:before="240" w:after="60" w:line="312" w:lineRule="auto"/>
      <w:jc w:val="center"/>
      <w:outlineLvl w:val="1"/>
    </w:pPr>
    <w:rPr>
      <w:rFonts w:ascii="Cambria" w:hAnsi="Cambria" w:hint="eastAsia"/>
      <w:b/>
      <w:kern w:val="28"/>
      <w:sz w:val="32"/>
      <w:szCs w:val="32"/>
    </w:rPr>
  </w:style>
  <w:style w:type="paragraph" w:styleId="5">
    <w:name w:val="List Number 5"/>
    <w:basedOn w:val="a3"/>
    <w:uiPriority w:val="99"/>
    <w:semiHidden/>
    <w:unhideWhenUsed/>
    <w:qFormat/>
    <w:pPr>
      <w:numPr>
        <w:numId w:val="10"/>
      </w:numPr>
    </w:pPr>
  </w:style>
  <w:style w:type="paragraph" w:styleId="aff0">
    <w:name w:val="List"/>
    <w:basedOn w:val="a3"/>
    <w:qFormat/>
    <w:pPr>
      <w:ind w:left="420" w:hanging="420"/>
    </w:pPr>
  </w:style>
  <w:style w:type="paragraph" w:styleId="aff1">
    <w:name w:val="footnote text"/>
    <w:basedOn w:val="a3"/>
    <w:link w:val="Charc"/>
    <w:uiPriority w:val="99"/>
    <w:unhideWhenUsed/>
    <w:qFormat/>
    <w:pPr>
      <w:snapToGrid w:val="0"/>
    </w:pPr>
    <w:rPr>
      <w:sz w:val="18"/>
      <w:szCs w:val="18"/>
    </w:rPr>
  </w:style>
  <w:style w:type="paragraph" w:styleId="62">
    <w:name w:val="toc 6"/>
    <w:basedOn w:val="a3"/>
    <w:next w:val="a3"/>
    <w:uiPriority w:val="39"/>
    <w:unhideWhenUsed/>
    <w:qFormat/>
    <w:pPr>
      <w:spacing w:line="240" w:lineRule="auto"/>
      <w:ind w:leftChars="1000" w:left="2100" w:firstLineChars="0" w:firstLine="0"/>
    </w:pPr>
    <w:rPr>
      <w:rFonts w:eastAsiaTheme="minorEastAsia"/>
      <w:sz w:val="21"/>
      <w:szCs w:val="22"/>
    </w:rPr>
  </w:style>
  <w:style w:type="paragraph" w:styleId="56">
    <w:name w:val="List 5"/>
    <w:basedOn w:val="a3"/>
    <w:unhideWhenUsed/>
    <w:qFormat/>
    <w:pPr>
      <w:ind w:leftChars="800" w:left="100" w:hangingChars="200" w:hanging="200"/>
    </w:pPr>
    <w:rPr>
      <w:rFonts w:hint="eastAsia"/>
      <w:sz w:val="21"/>
      <w:szCs w:val="24"/>
    </w:rPr>
  </w:style>
  <w:style w:type="paragraph" w:styleId="36">
    <w:name w:val="Body Text Indent 3"/>
    <w:basedOn w:val="a3"/>
    <w:unhideWhenUsed/>
    <w:qFormat/>
    <w:pPr>
      <w:widowControl/>
      <w:ind w:firstLineChars="100" w:firstLine="280"/>
      <w:jc w:val="left"/>
    </w:pPr>
    <w:rPr>
      <w:rFonts w:hint="eastAsia"/>
      <w:sz w:val="28"/>
      <w:szCs w:val="24"/>
    </w:rPr>
  </w:style>
  <w:style w:type="paragraph" w:styleId="72">
    <w:name w:val="index 7"/>
    <w:basedOn w:val="a3"/>
    <w:next w:val="a3"/>
    <w:unhideWhenUsed/>
    <w:qFormat/>
    <w:pPr>
      <w:ind w:leftChars="1200" w:left="1200"/>
    </w:pPr>
    <w:rPr>
      <w:rFonts w:hint="eastAsia"/>
      <w:sz w:val="21"/>
      <w:szCs w:val="24"/>
    </w:rPr>
  </w:style>
  <w:style w:type="paragraph" w:styleId="90">
    <w:name w:val="index 9"/>
    <w:basedOn w:val="a3"/>
    <w:next w:val="a3"/>
    <w:unhideWhenUsed/>
    <w:qFormat/>
    <w:pPr>
      <w:ind w:leftChars="1600" w:left="1600"/>
    </w:pPr>
    <w:rPr>
      <w:rFonts w:hint="eastAsia"/>
      <w:sz w:val="21"/>
      <w:szCs w:val="24"/>
    </w:rPr>
  </w:style>
  <w:style w:type="paragraph" w:styleId="aff2">
    <w:name w:val="table of figures"/>
    <w:basedOn w:val="a3"/>
    <w:next w:val="a3"/>
    <w:unhideWhenUsed/>
    <w:qFormat/>
    <w:pPr>
      <w:ind w:left="600" w:hanging="600"/>
      <w:jc w:val="left"/>
    </w:pPr>
    <w:rPr>
      <w:rFonts w:hint="eastAsia"/>
      <w:smallCaps/>
      <w:sz w:val="20"/>
      <w:szCs w:val="20"/>
    </w:rPr>
  </w:style>
  <w:style w:type="paragraph" w:styleId="24">
    <w:name w:val="toc 2"/>
    <w:basedOn w:val="a3"/>
    <w:next w:val="a3"/>
    <w:uiPriority w:val="39"/>
    <w:unhideWhenUsed/>
    <w:qFormat/>
    <w:pPr>
      <w:tabs>
        <w:tab w:val="right" w:leader="dot" w:pos="8296"/>
      </w:tabs>
      <w:spacing w:line="440" w:lineRule="exact"/>
      <w:ind w:firstLine="560"/>
    </w:pPr>
  </w:style>
  <w:style w:type="paragraph" w:styleId="92">
    <w:name w:val="toc 9"/>
    <w:basedOn w:val="a3"/>
    <w:next w:val="a3"/>
    <w:uiPriority w:val="39"/>
    <w:unhideWhenUsed/>
    <w:qFormat/>
    <w:pPr>
      <w:spacing w:line="240" w:lineRule="auto"/>
      <w:ind w:leftChars="1600" w:left="3360" w:firstLineChars="0" w:firstLine="0"/>
    </w:pPr>
    <w:rPr>
      <w:rFonts w:eastAsiaTheme="minorEastAsia"/>
      <w:sz w:val="21"/>
      <w:szCs w:val="22"/>
    </w:rPr>
  </w:style>
  <w:style w:type="paragraph" w:styleId="25">
    <w:name w:val="Body Text 2"/>
    <w:basedOn w:val="a3"/>
    <w:link w:val="2Char0"/>
    <w:uiPriority w:val="99"/>
    <w:semiHidden/>
    <w:unhideWhenUsed/>
    <w:qFormat/>
    <w:pPr>
      <w:spacing w:after="120" w:line="480" w:lineRule="auto"/>
    </w:pPr>
  </w:style>
  <w:style w:type="paragraph" w:styleId="46">
    <w:name w:val="List 4"/>
    <w:basedOn w:val="a3"/>
    <w:unhideWhenUsed/>
    <w:qFormat/>
    <w:pPr>
      <w:ind w:leftChars="600" w:left="100" w:hangingChars="200" w:hanging="200"/>
    </w:pPr>
    <w:rPr>
      <w:rFonts w:hint="eastAsia"/>
      <w:sz w:val="21"/>
      <w:szCs w:val="24"/>
    </w:rPr>
  </w:style>
  <w:style w:type="paragraph" w:styleId="26">
    <w:name w:val="List Continue 2"/>
    <w:basedOn w:val="a3"/>
    <w:unhideWhenUsed/>
    <w:qFormat/>
    <w:pPr>
      <w:spacing w:after="120"/>
      <w:ind w:left="840"/>
    </w:pPr>
    <w:rPr>
      <w:rFonts w:ascii="新宋体" w:eastAsia="仿宋_GB2312" w:hAnsi="新宋体" w:hint="eastAsia"/>
      <w:sz w:val="28"/>
      <w:szCs w:val="20"/>
    </w:rPr>
  </w:style>
  <w:style w:type="paragraph" w:styleId="aff3">
    <w:name w:val="Message Header"/>
    <w:basedOn w:val="a3"/>
    <w:link w:val="Chard"/>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hint="eastAsia"/>
      <w:sz w:val="21"/>
      <w:szCs w:val="24"/>
    </w:rPr>
  </w:style>
  <w:style w:type="paragraph" w:styleId="HTML0">
    <w:name w:val="HTML Preformatted"/>
    <w:basedOn w:val="a3"/>
    <w:link w:val="HTMLChar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Cs w:val="24"/>
    </w:rPr>
  </w:style>
  <w:style w:type="paragraph" w:styleId="aff4">
    <w:name w:val="Normal (Web)"/>
    <w:basedOn w:val="a3"/>
    <w:uiPriority w:val="99"/>
    <w:semiHidden/>
    <w:unhideWhenUsed/>
    <w:qFormat/>
    <w:pPr>
      <w:spacing w:beforeAutospacing="1" w:afterAutospacing="1"/>
      <w:jc w:val="left"/>
    </w:pPr>
    <w:rPr>
      <w:rFonts w:ascii="宋体" w:hAnsi="宋体" w:cs="宋体" w:hint="eastAsia"/>
      <w:color w:val="000000"/>
      <w:szCs w:val="24"/>
    </w:rPr>
  </w:style>
  <w:style w:type="paragraph" w:styleId="37">
    <w:name w:val="List Continue 3"/>
    <w:basedOn w:val="a3"/>
    <w:unhideWhenUsed/>
    <w:qFormat/>
    <w:pPr>
      <w:spacing w:after="120"/>
      <w:ind w:leftChars="600" w:left="1260"/>
    </w:pPr>
    <w:rPr>
      <w:rFonts w:hint="eastAsia"/>
      <w:sz w:val="21"/>
      <w:szCs w:val="24"/>
    </w:rPr>
  </w:style>
  <w:style w:type="paragraph" w:styleId="27">
    <w:name w:val="index 2"/>
    <w:basedOn w:val="a3"/>
    <w:next w:val="a3"/>
    <w:unhideWhenUsed/>
    <w:qFormat/>
    <w:pPr>
      <w:ind w:leftChars="200" w:left="200"/>
    </w:pPr>
    <w:rPr>
      <w:rFonts w:hint="eastAsia"/>
      <w:sz w:val="21"/>
      <w:szCs w:val="24"/>
    </w:rPr>
  </w:style>
  <w:style w:type="paragraph" w:styleId="aff5">
    <w:name w:val="Title"/>
    <w:basedOn w:val="a3"/>
    <w:next w:val="a3"/>
    <w:link w:val="Char10"/>
    <w:uiPriority w:val="10"/>
    <w:qFormat/>
    <w:pPr>
      <w:spacing w:before="240" w:after="60"/>
      <w:jc w:val="center"/>
      <w:outlineLvl w:val="0"/>
    </w:pPr>
    <w:rPr>
      <w:rFonts w:ascii="Arial" w:hAnsi="Arial"/>
      <w:b/>
      <w:bCs/>
      <w:sz w:val="32"/>
      <w:szCs w:val="32"/>
    </w:rPr>
  </w:style>
  <w:style w:type="paragraph" w:styleId="aff6">
    <w:name w:val="annotation subject"/>
    <w:basedOn w:val="af0"/>
    <w:next w:val="af0"/>
    <w:link w:val="Char31"/>
    <w:uiPriority w:val="99"/>
    <w:semiHidden/>
    <w:unhideWhenUsed/>
    <w:qFormat/>
    <w:pPr>
      <w:widowControl w:val="0"/>
    </w:pPr>
    <w:rPr>
      <w:b/>
    </w:rPr>
  </w:style>
  <w:style w:type="paragraph" w:styleId="aff7">
    <w:name w:val="Body Text First Indent"/>
    <w:basedOn w:val="a5"/>
    <w:link w:val="Chare"/>
    <w:uiPriority w:val="99"/>
    <w:unhideWhenUsed/>
    <w:qFormat/>
    <w:pPr>
      <w:ind w:firstLineChars="100" w:firstLine="420"/>
    </w:pPr>
  </w:style>
  <w:style w:type="paragraph" w:styleId="28">
    <w:name w:val="Body Text First Indent 2"/>
    <w:basedOn w:val="af4"/>
    <w:link w:val="2Char1"/>
    <w:uiPriority w:val="99"/>
    <w:semiHidden/>
    <w:unhideWhenUsed/>
    <w:qFormat/>
    <w:pPr>
      <w:ind w:firstLine="420"/>
    </w:pPr>
  </w:style>
  <w:style w:type="table" w:styleId="aff8">
    <w:name w:val="Table Grid"/>
    <w:basedOn w:val="a7"/>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6"/>
    <w:uiPriority w:val="22"/>
    <w:qFormat/>
    <w:rPr>
      <w:b/>
    </w:rPr>
  </w:style>
  <w:style w:type="character" w:styleId="affa">
    <w:name w:val="endnote reference"/>
    <w:unhideWhenUsed/>
    <w:qFormat/>
    <w:rPr>
      <w:rFonts w:eastAsia="宋体" w:hint="default"/>
      <w:kern w:val="2"/>
      <w:sz w:val="21"/>
      <w:szCs w:val="24"/>
      <w:vertAlign w:val="superscript"/>
      <w:lang w:val="en-US" w:eastAsia="zh-CN"/>
    </w:rPr>
  </w:style>
  <w:style w:type="character" w:styleId="affb">
    <w:name w:val="page number"/>
    <w:basedOn w:val="a6"/>
    <w:qFormat/>
  </w:style>
  <w:style w:type="character" w:styleId="affc">
    <w:name w:val="FollowedHyperlink"/>
    <w:basedOn w:val="a6"/>
    <w:uiPriority w:val="99"/>
    <w:semiHidden/>
    <w:unhideWhenUsed/>
    <w:qFormat/>
    <w:rPr>
      <w:color w:val="800080"/>
      <w:u w:val="single"/>
    </w:rPr>
  </w:style>
  <w:style w:type="character" w:styleId="affd">
    <w:name w:val="Emphasis"/>
    <w:basedOn w:val="a6"/>
    <w:uiPriority w:val="20"/>
    <w:qFormat/>
    <w:rPr>
      <w:i/>
    </w:rPr>
  </w:style>
  <w:style w:type="character" w:styleId="affe">
    <w:name w:val="line number"/>
    <w:basedOn w:val="a6"/>
    <w:unhideWhenUsed/>
    <w:qFormat/>
    <w:rPr>
      <w:rFonts w:cs="Times New Roman" w:hint="default"/>
      <w:sz w:val="24"/>
      <w:szCs w:val="24"/>
    </w:rPr>
  </w:style>
  <w:style w:type="character" w:styleId="HTML1">
    <w:name w:val="HTML Definition"/>
    <w:unhideWhenUsed/>
    <w:qFormat/>
    <w:rPr>
      <w:rFonts w:hint="default"/>
      <w:i/>
      <w:sz w:val="24"/>
      <w:szCs w:val="24"/>
    </w:rPr>
  </w:style>
  <w:style w:type="character" w:styleId="HTML2">
    <w:name w:val="HTML Typewriter"/>
    <w:unhideWhenUsed/>
    <w:qFormat/>
    <w:rPr>
      <w:rFonts w:ascii="Courier New" w:hint="default"/>
      <w:sz w:val="20"/>
      <w:szCs w:val="24"/>
    </w:rPr>
  </w:style>
  <w:style w:type="character" w:styleId="HTML3">
    <w:name w:val="HTML Acronym"/>
    <w:basedOn w:val="a6"/>
    <w:unhideWhenUsed/>
    <w:qFormat/>
    <w:rPr>
      <w:rFonts w:cs="Times New Roman" w:hint="default"/>
      <w:sz w:val="24"/>
      <w:szCs w:val="24"/>
    </w:rPr>
  </w:style>
  <w:style w:type="character" w:styleId="HTML4">
    <w:name w:val="HTML Variable"/>
    <w:unhideWhenUsed/>
    <w:qFormat/>
    <w:rPr>
      <w:rFonts w:hint="default"/>
      <w:i/>
      <w:sz w:val="24"/>
      <w:szCs w:val="24"/>
    </w:rPr>
  </w:style>
  <w:style w:type="character" w:styleId="afff">
    <w:name w:val="Hyperlink"/>
    <w:basedOn w:val="a6"/>
    <w:uiPriority w:val="99"/>
    <w:unhideWhenUsed/>
    <w:qFormat/>
    <w:rPr>
      <w:color w:val="0000FF" w:themeColor="hyperlink"/>
      <w:u w:val="single"/>
    </w:rPr>
  </w:style>
  <w:style w:type="character" w:styleId="HTML5">
    <w:name w:val="HTML Code"/>
    <w:unhideWhenUsed/>
    <w:qFormat/>
    <w:rPr>
      <w:rFonts w:ascii="Courier New" w:hint="default"/>
      <w:sz w:val="20"/>
      <w:szCs w:val="24"/>
    </w:rPr>
  </w:style>
  <w:style w:type="character" w:styleId="afff0">
    <w:name w:val="annotation reference"/>
    <w:basedOn w:val="a6"/>
    <w:uiPriority w:val="99"/>
    <w:unhideWhenUsed/>
    <w:qFormat/>
    <w:rPr>
      <w:sz w:val="21"/>
      <w:szCs w:val="21"/>
    </w:rPr>
  </w:style>
  <w:style w:type="character" w:styleId="HTML6">
    <w:name w:val="HTML Cite"/>
    <w:unhideWhenUsed/>
    <w:qFormat/>
    <w:rPr>
      <w:rFonts w:hint="default"/>
      <w:i/>
      <w:sz w:val="24"/>
      <w:szCs w:val="24"/>
    </w:rPr>
  </w:style>
  <w:style w:type="character" w:styleId="afff1">
    <w:name w:val="footnote reference"/>
    <w:uiPriority w:val="99"/>
    <w:unhideWhenUsed/>
    <w:qFormat/>
    <w:rPr>
      <w:vertAlign w:val="superscript"/>
    </w:rPr>
  </w:style>
  <w:style w:type="character" w:styleId="HTML7">
    <w:name w:val="HTML Keyboard"/>
    <w:unhideWhenUsed/>
    <w:qFormat/>
    <w:rPr>
      <w:rFonts w:ascii="Courier New" w:hint="default"/>
      <w:sz w:val="20"/>
      <w:szCs w:val="24"/>
    </w:rPr>
  </w:style>
  <w:style w:type="character" w:styleId="HTML8">
    <w:name w:val="HTML Sample"/>
    <w:unhideWhenUsed/>
    <w:qFormat/>
    <w:rPr>
      <w:rFonts w:ascii="Courier New" w:hint="default"/>
      <w:sz w:val="24"/>
      <w:szCs w:val="24"/>
    </w:rPr>
  </w:style>
  <w:style w:type="paragraph" w:customStyle="1" w:styleId="PlainText1">
    <w:name w:val="Plain Text1"/>
    <w:basedOn w:val="a3"/>
    <w:link w:val="230"/>
    <w:unhideWhenUsed/>
    <w:qFormat/>
    <w:pPr>
      <w:adjustRightInd w:val="0"/>
      <w:textAlignment w:val="baseline"/>
    </w:pPr>
    <w:rPr>
      <w:rFonts w:ascii="宋体" w:hAnsi="Courier New" w:hint="eastAsia"/>
      <w:sz w:val="28"/>
      <w:szCs w:val="20"/>
    </w:rPr>
  </w:style>
  <w:style w:type="paragraph" w:customStyle="1" w:styleId="12">
    <w:name w:val="正文文本1"/>
    <w:basedOn w:val="a3"/>
    <w:link w:val="210"/>
    <w:unhideWhenUsed/>
    <w:qFormat/>
    <w:pPr>
      <w:widowControl/>
      <w:spacing w:after="120"/>
      <w:jc w:val="left"/>
    </w:pPr>
    <w:rPr>
      <w:rFonts w:hint="eastAsia"/>
      <w:szCs w:val="24"/>
    </w:rPr>
  </w:style>
  <w:style w:type="paragraph" w:customStyle="1" w:styleId="BodyTextIndent1">
    <w:name w:val="Body Text Indent1"/>
    <w:basedOn w:val="a3"/>
    <w:link w:val="211"/>
    <w:unhideWhenUsed/>
    <w:qFormat/>
    <w:pPr>
      <w:spacing w:after="120"/>
      <w:ind w:leftChars="200" w:left="420"/>
    </w:pPr>
    <w:rPr>
      <w:rFonts w:hint="eastAsia"/>
      <w:sz w:val="21"/>
      <w:szCs w:val="24"/>
    </w:rPr>
  </w:style>
  <w:style w:type="paragraph" w:customStyle="1" w:styleId="xl27">
    <w:name w:val="xl27"/>
    <w:basedOn w:val="a3"/>
    <w:qFormat/>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afff2">
    <w:name w:val="表格内"/>
    <w:basedOn w:val="a3"/>
    <w:qFormat/>
    <w:pPr>
      <w:widowControl/>
      <w:adjustRightInd w:val="0"/>
      <w:snapToGrid w:val="0"/>
      <w:spacing w:after="200" w:line="360" w:lineRule="exact"/>
      <w:jc w:val="center"/>
    </w:pPr>
    <w:rPr>
      <w:rFonts w:eastAsia="微软雅黑"/>
      <w:snapToGrid w:val="0"/>
      <w:kern w:val="0"/>
      <w:sz w:val="22"/>
    </w:rPr>
  </w:style>
  <w:style w:type="paragraph" w:customStyle="1" w:styleId="47">
    <w:name w:val="正文4"/>
    <w:qFormat/>
    <w:pPr>
      <w:widowControl w:val="0"/>
      <w:spacing w:line="540" w:lineRule="exact"/>
      <w:ind w:firstLineChars="200" w:firstLine="200"/>
    </w:pPr>
    <w:rPr>
      <w:rFonts w:ascii="宋体" w:hAnsi="宋体"/>
      <w:kern w:val="2"/>
      <w:sz w:val="28"/>
      <w:szCs w:val="28"/>
    </w:rPr>
  </w:style>
  <w:style w:type="paragraph" w:customStyle="1" w:styleId="13">
    <w:name w:val="1"/>
    <w:basedOn w:val="10"/>
    <w:next w:val="af4"/>
    <w:semiHidden/>
    <w:qFormat/>
    <w:rPr>
      <w:szCs w:val="24"/>
    </w:rPr>
  </w:style>
  <w:style w:type="character" w:customStyle="1" w:styleId="29">
    <w:name w:val="标题 2 字符"/>
    <w:basedOn w:val="a6"/>
    <w:uiPriority w:val="9"/>
    <w:qFormat/>
    <w:rPr>
      <w:rFonts w:ascii="Times New Roman" w:eastAsia="宋体" w:hAnsi="Times New Roman" w:cstheme="majorBidi"/>
      <w:b/>
      <w:bCs/>
      <w:sz w:val="28"/>
      <w:szCs w:val="32"/>
    </w:rPr>
  </w:style>
  <w:style w:type="paragraph" w:customStyle="1" w:styleId="afff3">
    <w:name w:val="表头"/>
    <w:link w:val="Charf"/>
    <w:qFormat/>
    <w:pPr>
      <w:ind w:firstLineChars="200" w:firstLine="200"/>
    </w:pPr>
    <w:rPr>
      <w:rFonts w:cstheme="minorBidi"/>
      <w:b/>
      <w:color w:val="000000" w:themeColor="text1"/>
      <w:kern w:val="2"/>
      <w:sz w:val="24"/>
      <w:szCs w:val="21"/>
    </w:rPr>
  </w:style>
  <w:style w:type="character" w:customStyle="1" w:styleId="Charf">
    <w:name w:val="表头 Char"/>
    <w:basedOn w:val="a6"/>
    <w:link w:val="afff3"/>
    <w:qFormat/>
    <w:rPr>
      <w:rFonts w:ascii="Times New Roman" w:eastAsia="宋体" w:hAnsi="Times New Roman"/>
      <w:b/>
      <w:color w:val="000000" w:themeColor="text1"/>
      <w:sz w:val="24"/>
    </w:rPr>
  </w:style>
  <w:style w:type="character" w:customStyle="1" w:styleId="38">
    <w:name w:val="标题 3 字符"/>
    <w:basedOn w:val="a6"/>
    <w:uiPriority w:val="9"/>
    <w:qFormat/>
    <w:rPr>
      <w:rFonts w:eastAsia="宋体"/>
      <w:b/>
      <w:bCs/>
      <w:sz w:val="28"/>
      <w:szCs w:val="32"/>
    </w:rPr>
  </w:style>
  <w:style w:type="paragraph" w:customStyle="1" w:styleId="Default">
    <w:name w:val="Default"/>
    <w:basedOn w:val="14"/>
    <w:link w:val="Default0"/>
    <w:qFormat/>
    <w:pPr>
      <w:autoSpaceDE w:val="0"/>
      <w:autoSpaceDN w:val="0"/>
    </w:pPr>
    <w:rPr>
      <w:rFonts w:ascii="Times New Roman" w:hAnsi="Times New Roman" w:cs="Times New Roman"/>
      <w:color w:val="000000"/>
      <w:szCs w:val="24"/>
    </w:rPr>
  </w:style>
  <w:style w:type="paragraph" w:customStyle="1" w:styleId="14">
    <w:name w:val="纯文本1"/>
    <w:basedOn w:val="a3"/>
    <w:qFormat/>
    <w:pPr>
      <w:tabs>
        <w:tab w:val="left" w:pos="2760"/>
      </w:tabs>
      <w:adjustRightInd w:val="0"/>
    </w:pPr>
    <w:rPr>
      <w:rFonts w:ascii="宋体" w:hAnsi="Courier New"/>
      <w:szCs w:val="20"/>
    </w:rPr>
  </w:style>
  <w:style w:type="character" w:customStyle="1" w:styleId="Char2">
    <w:name w:val="正文文本 Char2"/>
    <w:basedOn w:val="a6"/>
    <w:link w:val="a5"/>
    <w:uiPriority w:val="99"/>
    <w:semiHidden/>
    <w:qFormat/>
    <w:rPr>
      <w:rFonts w:eastAsia="宋体"/>
      <w:sz w:val="28"/>
    </w:rPr>
  </w:style>
  <w:style w:type="character" w:customStyle="1" w:styleId="15">
    <w:name w:val="标题 1 字符"/>
    <w:basedOn w:val="a6"/>
    <w:uiPriority w:val="9"/>
    <w:qFormat/>
    <w:rPr>
      <w:rFonts w:eastAsia="宋体"/>
      <w:b/>
      <w:color w:val="000000" w:themeColor="text1"/>
      <w:sz w:val="30"/>
    </w:rPr>
  </w:style>
  <w:style w:type="character" w:customStyle="1" w:styleId="48">
    <w:name w:val="标题 4 字符"/>
    <w:basedOn w:val="a6"/>
    <w:uiPriority w:val="9"/>
    <w:qFormat/>
    <w:rPr>
      <w:rFonts w:ascii="Times New Roman" w:eastAsia="宋体" w:hAnsi="Times New Roman" w:cstheme="majorBidi"/>
      <w:b/>
      <w:bCs/>
      <w:sz w:val="28"/>
      <w:szCs w:val="28"/>
    </w:rPr>
  </w:style>
  <w:style w:type="character" w:customStyle="1" w:styleId="Char9">
    <w:name w:val="页眉 Char"/>
    <w:basedOn w:val="a6"/>
    <w:link w:val="afc"/>
    <w:uiPriority w:val="99"/>
    <w:qFormat/>
    <w:rPr>
      <w:sz w:val="18"/>
      <w:szCs w:val="18"/>
    </w:rPr>
  </w:style>
  <w:style w:type="character" w:customStyle="1" w:styleId="Char30">
    <w:name w:val="页脚 Char3"/>
    <w:basedOn w:val="a6"/>
    <w:link w:val="afa"/>
    <w:uiPriority w:val="99"/>
    <w:qFormat/>
    <w:rPr>
      <w:sz w:val="18"/>
      <w:szCs w:val="18"/>
    </w:rPr>
  </w:style>
  <w:style w:type="table" w:customStyle="1" w:styleId="afff4">
    <w:name w:val="表格"/>
    <w:basedOn w:val="a7"/>
    <w:uiPriority w:val="99"/>
    <w:qFormat/>
    <w:pPr>
      <w:jc w:val="center"/>
    </w:pPr>
    <w:rPr>
      <w:rFonts w:eastAsia="仿宋_GB2312" w:hint="eastAsia"/>
      <w:sz w:val="24"/>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6">
    <w:name w:val="表1"/>
    <w:basedOn w:val="a7"/>
    <w:uiPriority w:val="99"/>
    <w:qFormat/>
    <w:rPr>
      <w:rFonts w:hint="eastAsia"/>
      <w:sz w:val="21"/>
      <w:szCs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character" w:customStyle="1" w:styleId="Char21">
    <w:name w:val="批注框文本 Char2"/>
    <w:basedOn w:val="a6"/>
    <w:link w:val="af9"/>
    <w:uiPriority w:val="99"/>
    <w:semiHidden/>
    <w:qFormat/>
    <w:rPr>
      <w:rFonts w:eastAsia="宋体"/>
      <w:sz w:val="18"/>
      <w:szCs w:val="18"/>
    </w:rPr>
  </w:style>
  <w:style w:type="character" w:customStyle="1" w:styleId="afff5">
    <w:name w:val="日期 字符"/>
    <w:basedOn w:val="a6"/>
    <w:uiPriority w:val="99"/>
    <w:semiHidden/>
    <w:qFormat/>
    <w:rPr>
      <w:rFonts w:eastAsia="宋体"/>
      <w:sz w:val="28"/>
    </w:rPr>
  </w:style>
  <w:style w:type="character" w:customStyle="1" w:styleId="Char20">
    <w:name w:val="批注文字 Char2"/>
    <w:basedOn w:val="a6"/>
    <w:link w:val="af0"/>
    <w:uiPriority w:val="99"/>
    <w:qFormat/>
    <w:rPr>
      <w:rFonts w:ascii="Times New Roman" w:eastAsia="宋体" w:hAnsi="Times New Roman"/>
      <w:sz w:val="24"/>
      <w:szCs w:val="22"/>
    </w:rPr>
  </w:style>
  <w:style w:type="paragraph" w:customStyle="1" w:styleId="afff6">
    <w:name w:val="表格内文字"/>
    <w:basedOn w:val="a3"/>
    <w:link w:val="Charf0"/>
    <w:qFormat/>
    <w:pPr>
      <w:widowControl/>
      <w:spacing w:line="320" w:lineRule="exact"/>
      <w:ind w:firstLineChars="0" w:firstLine="0"/>
      <w:jc w:val="center"/>
    </w:pPr>
    <w:rPr>
      <w:sz w:val="21"/>
    </w:rPr>
  </w:style>
  <w:style w:type="character" w:customStyle="1" w:styleId="Charf0">
    <w:name w:val="表格内文字 Char"/>
    <w:basedOn w:val="a6"/>
    <w:link w:val="afff6"/>
    <w:qFormat/>
    <w:rPr>
      <w:rFonts w:ascii="Times New Roman" w:eastAsia="宋体" w:hAnsi="Times New Roman"/>
    </w:rPr>
  </w:style>
  <w:style w:type="character" w:customStyle="1" w:styleId="afff7">
    <w:name w:val="批注主题 字符"/>
    <w:basedOn w:val="Char20"/>
    <w:uiPriority w:val="99"/>
    <w:semiHidden/>
    <w:qFormat/>
    <w:rPr>
      <w:rFonts w:ascii="Times New Roman" w:eastAsia="宋体" w:hAnsi="Times New Roman"/>
      <w:b/>
      <w:bCs/>
      <w:sz w:val="28"/>
      <w:szCs w:val="22"/>
    </w:rPr>
  </w:style>
  <w:style w:type="character" w:customStyle="1" w:styleId="2a">
    <w:name w:val="正文文本 2 字符"/>
    <w:basedOn w:val="a6"/>
    <w:uiPriority w:val="99"/>
    <w:semiHidden/>
    <w:qFormat/>
    <w:rPr>
      <w:rFonts w:eastAsia="宋体"/>
      <w:sz w:val="28"/>
    </w:rPr>
  </w:style>
  <w:style w:type="character" w:customStyle="1" w:styleId="afff8">
    <w:name w:val="正文文本首行缩进 字符"/>
    <w:basedOn w:val="Char2"/>
    <w:uiPriority w:val="99"/>
    <w:semiHidden/>
    <w:qFormat/>
    <w:rPr>
      <w:rFonts w:eastAsia="宋体"/>
      <w:sz w:val="28"/>
    </w:rPr>
  </w:style>
  <w:style w:type="character" w:customStyle="1" w:styleId="Char11">
    <w:name w:val="批注文字 Char1"/>
    <w:basedOn w:val="a6"/>
    <w:uiPriority w:val="99"/>
    <w:semiHidden/>
    <w:qFormat/>
    <w:rPr>
      <w:rFonts w:ascii="Times New Roman" w:eastAsia="宋体" w:hAnsi="Times New Roman" w:cs="Times New Roman"/>
      <w:szCs w:val="24"/>
    </w:rPr>
  </w:style>
  <w:style w:type="paragraph" w:styleId="afff9">
    <w:name w:val="List Paragraph"/>
    <w:basedOn w:val="a3"/>
    <w:link w:val="Charf1"/>
    <w:uiPriority w:val="1"/>
    <w:qFormat/>
    <w:pPr>
      <w:ind w:left="1498" w:hanging="602"/>
    </w:pPr>
    <w:rPr>
      <w:rFonts w:ascii="宋体" w:hAnsi="宋体" w:cs="宋体"/>
      <w:lang w:val="zh-CN" w:bidi="zh-CN"/>
    </w:rPr>
  </w:style>
  <w:style w:type="paragraph" w:customStyle="1" w:styleId="afffa">
    <w:name w:val="表内"/>
    <w:basedOn w:val="a3"/>
    <w:qFormat/>
    <w:pPr>
      <w:widowControl/>
      <w:jc w:val="center"/>
    </w:pPr>
    <w:rPr>
      <w:rFonts w:cs="宋体"/>
      <w:kern w:val="0"/>
    </w:rPr>
  </w:style>
  <w:style w:type="paragraph" w:customStyle="1" w:styleId="TableParagraph">
    <w:name w:val="Table Paragraph"/>
    <w:basedOn w:val="a3"/>
    <w:link w:val="TableParagraphChar"/>
    <w:uiPriority w:val="1"/>
    <w:qFormat/>
  </w:style>
  <w:style w:type="paragraph" w:customStyle="1" w:styleId="afffb">
    <w:name w:val="注：样式"/>
    <w:qFormat/>
    <w:pPr>
      <w:widowControl w:val="0"/>
      <w:ind w:firstLineChars="200" w:firstLine="200"/>
      <w:jc w:val="both"/>
    </w:pPr>
    <w:rPr>
      <w:rFonts w:eastAsia="黑体" w:cstheme="minorBidi"/>
      <w:kern w:val="2"/>
      <w:sz w:val="21"/>
      <w:szCs w:val="21"/>
    </w:rPr>
  </w:style>
  <w:style w:type="character" w:customStyle="1" w:styleId="font11">
    <w:name w:val="font11"/>
    <w:basedOn w:val="a6"/>
    <w:qFormat/>
    <w:rPr>
      <w:rFonts w:ascii="Times New Roman" w:hAnsi="Times New Roman" w:cs="Times New Roman" w:hint="default"/>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Bodytext1">
    <w:name w:val="Body text|1"/>
    <w:basedOn w:val="a3"/>
    <w:qFormat/>
    <w:pPr>
      <w:spacing w:line="403" w:lineRule="auto"/>
      <w:ind w:firstLine="400"/>
    </w:pPr>
    <w:rPr>
      <w:rFonts w:ascii="宋体" w:hAnsi="宋体" w:cs="宋体"/>
      <w:sz w:val="28"/>
      <w:szCs w:val="28"/>
      <w:lang w:val="zh-TW" w:eastAsia="zh-TW" w:bidi="zh-TW"/>
    </w:rPr>
  </w:style>
  <w:style w:type="paragraph" w:customStyle="1" w:styleId="afffc">
    <w:name w:val="文章正文"/>
    <w:basedOn w:val="a3"/>
    <w:qFormat/>
    <w:pPr>
      <w:tabs>
        <w:tab w:val="left" w:pos="560"/>
        <w:tab w:val="left" w:pos="630"/>
      </w:tabs>
      <w:spacing w:line="500" w:lineRule="exact"/>
      <w:ind w:firstLine="571"/>
      <w:jc w:val="left"/>
    </w:pPr>
    <w:rPr>
      <w:rFonts w:ascii="宋体" w:hAnsi="宋体"/>
      <w:color w:val="000000"/>
      <w:szCs w:val="28"/>
      <w:lang w:val="zh-CN"/>
    </w:rPr>
  </w:style>
  <w:style w:type="paragraph" w:customStyle="1" w:styleId="08505">
    <w:name w:val="样式 样式 首行缩进:  0.85 厘米 + 段前: 0.5 行"/>
    <w:basedOn w:val="a3"/>
    <w:qFormat/>
    <w:pPr>
      <w:spacing w:before="50"/>
      <w:ind w:firstLine="482"/>
    </w:pPr>
  </w:style>
  <w:style w:type="paragraph" w:customStyle="1" w:styleId="afffd">
    <w:name w:val="表头、图号"/>
    <w:basedOn w:val="a3"/>
    <w:qFormat/>
    <w:pPr>
      <w:spacing w:beforeLines="10" w:before="10" w:afterLines="10" w:after="10"/>
      <w:ind w:firstLineChars="0" w:firstLine="0"/>
      <w:jc w:val="center"/>
    </w:pPr>
    <w:rPr>
      <w:rFonts w:eastAsia="黑体"/>
    </w:rPr>
  </w:style>
  <w:style w:type="paragraph" w:customStyle="1" w:styleId="afffe">
    <w:name w:val="表内文字"/>
    <w:basedOn w:val="a3"/>
    <w:qFormat/>
    <w:pPr>
      <w:spacing w:line="240" w:lineRule="auto"/>
      <w:ind w:firstLineChars="0" w:firstLine="0"/>
      <w:jc w:val="center"/>
    </w:pPr>
    <w:rPr>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Other1">
    <w:name w:val="Other|1"/>
    <w:basedOn w:val="a3"/>
    <w:qFormat/>
    <w:pPr>
      <w:ind w:firstLine="340"/>
    </w:pPr>
    <w:rPr>
      <w:rFonts w:ascii="宋体" w:hAnsi="宋体" w:cs="宋体"/>
      <w:sz w:val="18"/>
      <w:szCs w:val="18"/>
      <w:lang w:val="zh-TW" w:eastAsia="zh-TW" w:bidi="zh-TW"/>
    </w:rPr>
  </w:style>
  <w:style w:type="paragraph" w:customStyle="1" w:styleId="affff">
    <w:name w:val="！正文"/>
    <w:basedOn w:val="a3"/>
    <w:qFormat/>
    <w:pPr>
      <w:ind w:firstLine="420"/>
    </w:pPr>
  </w:style>
  <w:style w:type="paragraph" w:customStyle="1" w:styleId="affff0">
    <w:name w:val="表格文字"/>
    <w:basedOn w:val="PlainText1"/>
    <w:qFormat/>
    <w:pPr>
      <w:spacing w:line="240" w:lineRule="auto"/>
      <w:jc w:val="center"/>
    </w:pPr>
  </w:style>
  <w:style w:type="paragraph" w:customStyle="1" w:styleId="-">
    <w:name w:val="水保-表头"/>
    <w:basedOn w:val="a3"/>
    <w:qFormat/>
    <w:pPr>
      <w:widowControl/>
      <w:spacing w:line="240" w:lineRule="auto"/>
      <w:ind w:firstLine="480"/>
      <w:jc w:val="left"/>
    </w:pPr>
    <w:rPr>
      <w:rFonts w:eastAsia="黑体" w:cs="宋体"/>
      <w:kern w:val="0"/>
    </w:rPr>
  </w:style>
  <w:style w:type="paragraph" w:customStyle="1" w:styleId="-0">
    <w:name w:val="水保-表格内"/>
    <w:basedOn w:val="a3"/>
    <w:qFormat/>
    <w:pPr>
      <w:jc w:val="center"/>
    </w:pPr>
  </w:style>
  <w:style w:type="paragraph" w:customStyle="1" w:styleId="affff1">
    <w:name w:val="a正文排版格式"/>
    <w:basedOn w:val="a3"/>
    <w:qFormat/>
    <w:pPr>
      <w:tabs>
        <w:tab w:val="left" w:pos="2520"/>
      </w:tabs>
      <w:ind w:firstLine="560"/>
    </w:pPr>
    <w:rPr>
      <w:rFonts w:ascii="仿宋_GB2312" w:eastAsia="仿宋_GB2312"/>
      <w:kern w:val="0"/>
      <w:sz w:val="28"/>
      <w:szCs w:val="28"/>
    </w:rPr>
  </w:style>
  <w:style w:type="paragraph" w:customStyle="1" w:styleId="affff2">
    <w:name w:val="报告表格"/>
    <w:qFormat/>
    <w:pPr>
      <w:widowControl w:val="0"/>
      <w:autoSpaceDE w:val="0"/>
      <w:autoSpaceDN w:val="0"/>
      <w:adjustRightInd w:val="0"/>
      <w:jc w:val="center"/>
      <w:textAlignment w:val="baseline"/>
    </w:pPr>
    <w:rPr>
      <w:rFonts w:cstheme="minorBidi"/>
      <w:sz w:val="21"/>
    </w:rPr>
  </w:style>
  <w:style w:type="paragraph" w:customStyle="1" w:styleId="2b">
    <w:name w:val="正文文本 (2)"/>
    <w:basedOn w:val="a3"/>
    <w:qFormat/>
    <w:pPr>
      <w:shd w:val="clear" w:color="auto" w:fill="FFFFFF"/>
      <w:spacing w:line="277" w:lineRule="exact"/>
      <w:ind w:hanging="360"/>
      <w:jc w:val="distribute"/>
    </w:pPr>
    <w:rPr>
      <w:rFonts w:ascii="宋体" w:hAnsi="宋体"/>
      <w:kern w:val="0"/>
      <w:sz w:val="14"/>
      <w:szCs w:val="14"/>
    </w:rPr>
  </w:style>
  <w:style w:type="character" w:customStyle="1" w:styleId="2TimesNewRoman">
    <w:name w:val="正文文本 (2) + Times New Roman"/>
    <w:qFormat/>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character" w:customStyle="1" w:styleId="27pt">
    <w:name w:val="正文文本 (2) + 7 pt"/>
    <w:qFormat/>
    <w:rPr>
      <w:rFonts w:ascii="宋体" w:eastAsia="宋体" w:hAnsi="宋体" w:cs="宋体"/>
      <w:b/>
      <w:bCs/>
      <w:color w:val="000000"/>
      <w:spacing w:val="-10"/>
      <w:w w:val="100"/>
      <w:position w:val="0"/>
      <w:sz w:val="14"/>
      <w:szCs w:val="14"/>
      <w:u w:val="none"/>
      <w:shd w:val="clear" w:color="auto" w:fill="FFFFFF"/>
      <w:lang w:val="en-US" w:eastAsia="en-US" w:bidi="en-US"/>
    </w:rPr>
  </w:style>
  <w:style w:type="paragraph" w:customStyle="1" w:styleId="C">
    <w:name w:val="C表格正文"/>
    <w:basedOn w:val="affff3"/>
    <w:qFormat/>
    <w:pPr>
      <w:wordWrap w:val="0"/>
    </w:pPr>
    <w:rPr>
      <w:color w:val="auto"/>
    </w:rPr>
  </w:style>
  <w:style w:type="paragraph" w:customStyle="1" w:styleId="affff3">
    <w:name w:val="表格正文"/>
    <w:basedOn w:val="a3"/>
    <w:link w:val="Charf2"/>
    <w:qFormat/>
    <w:pPr>
      <w:snapToGrid w:val="0"/>
      <w:spacing w:line="240" w:lineRule="auto"/>
      <w:ind w:firstLineChars="0" w:firstLine="0"/>
      <w:jc w:val="center"/>
    </w:pPr>
    <w:rPr>
      <w:color w:val="000000"/>
      <w:kern w:val="0"/>
      <w:sz w:val="21"/>
    </w:rPr>
  </w:style>
  <w:style w:type="paragraph" w:customStyle="1" w:styleId="C0">
    <w:name w:val="C正文"/>
    <w:basedOn w:val="a3"/>
    <w:qFormat/>
    <w:pPr>
      <w:wordWrap w:val="0"/>
      <w:ind w:firstLine="480"/>
    </w:pPr>
  </w:style>
  <w:style w:type="paragraph" w:customStyle="1" w:styleId="17">
    <w:name w:val="正文文本 (17)"/>
    <w:basedOn w:val="a3"/>
    <w:qFormat/>
    <w:pPr>
      <w:shd w:val="clear" w:color="auto" w:fill="FFFFFF"/>
      <w:spacing w:before="60" w:line="306" w:lineRule="exact"/>
      <w:jc w:val="left"/>
    </w:pPr>
    <w:rPr>
      <w:rFonts w:ascii="宋体" w:hAnsi="宋体"/>
      <w:kern w:val="0"/>
      <w:sz w:val="14"/>
      <w:szCs w:val="14"/>
    </w:rPr>
  </w:style>
  <w:style w:type="character" w:customStyle="1" w:styleId="17TimesNewRoman">
    <w:name w:val="正文文本 (17) + Times New Roman"/>
    <w:qFormat/>
    <w:rPr>
      <w:rFonts w:ascii="Times New Roman" w:eastAsia="Times New Roman" w:hAnsi="Times New Roman" w:cs="Times New Roman"/>
      <w:color w:val="000000"/>
      <w:spacing w:val="20"/>
      <w:w w:val="100"/>
      <w:position w:val="0"/>
      <w:sz w:val="17"/>
      <w:szCs w:val="17"/>
      <w:shd w:val="clear" w:color="auto" w:fill="FFFFFF"/>
      <w:lang w:val="en-US" w:eastAsia="en-US" w:bidi="en-US"/>
    </w:rPr>
  </w:style>
  <w:style w:type="paragraph" w:customStyle="1" w:styleId="18">
    <w:name w:val="正文文本 (18)"/>
    <w:basedOn w:val="a3"/>
    <w:qFormat/>
    <w:pPr>
      <w:shd w:val="clear" w:color="auto" w:fill="FFFFFF"/>
      <w:spacing w:line="296" w:lineRule="exact"/>
      <w:jc w:val="left"/>
    </w:pPr>
    <w:rPr>
      <w:rFonts w:ascii="宋体" w:hAnsi="宋体"/>
      <w:kern w:val="0"/>
      <w:sz w:val="14"/>
      <w:szCs w:val="14"/>
    </w:rPr>
  </w:style>
  <w:style w:type="character" w:customStyle="1" w:styleId="18-1pt">
    <w:name w:val="正文文本 (18) + 间距 -1 pt"/>
    <w:qFormat/>
    <w:rPr>
      <w:rFonts w:ascii="宋体" w:eastAsia="宋体" w:hAnsi="宋体" w:cs="宋体"/>
      <w:color w:val="000000"/>
      <w:spacing w:val="-20"/>
      <w:w w:val="100"/>
      <w:position w:val="0"/>
      <w:sz w:val="14"/>
      <w:szCs w:val="14"/>
      <w:shd w:val="clear" w:color="auto" w:fill="FFFFFF"/>
      <w:lang w:val="en-US" w:eastAsia="en-US" w:bidi="en-US"/>
    </w:rPr>
  </w:style>
  <w:style w:type="character" w:customStyle="1" w:styleId="font31">
    <w:name w:val="font31"/>
    <w:basedOn w:val="a6"/>
    <w:qFormat/>
    <w:rPr>
      <w:rFonts w:ascii="宋体" w:eastAsia="宋体" w:hAnsi="宋体" w:cs="宋体"/>
      <w:color w:val="000000"/>
      <w:sz w:val="30"/>
      <w:szCs w:val="30"/>
      <w:u w:val="none"/>
    </w:rPr>
  </w:style>
  <w:style w:type="character" w:customStyle="1" w:styleId="font41">
    <w:name w:val="font41"/>
    <w:basedOn w:val="a6"/>
    <w:qFormat/>
    <w:rPr>
      <w:rFonts w:ascii="Calibri" w:hAnsi="Calibri" w:cs="Calibri"/>
      <w:b/>
      <w:bCs/>
      <w:color w:val="000000"/>
      <w:sz w:val="26"/>
      <w:szCs w:val="26"/>
      <w:u w:val="none"/>
    </w:rPr>
  </w:style>
  <w:style w:type="character" w:customStyle="1" w:styleId="font51">
    <w:name w:val="font51"/>
    <w:basedOn w:val="a6"/>
    <w:qFormat/>
    <w:rPr>
      <w:rFonts w:ascii="宋体" w:eastAsia="宋体" w:hAnsi="宋体" w:cs="宋体"/>
      <w:color w:val="000000"/>
      <w:sz w:val="26"/>
      <w:szCs w:val="26"/>
      <w:u w:val="none"/>
    </w:rPr>
  </w:style>
  <w:style w:type="paragraph" w:customStyle="1" w:styleId="TableText">
    <w:name w:val="Table Text"/>
    <w:basedOn w:val="a3"/>
    <w:semiHidden/>
    <w:qFormat/>
    <w:rPr>
      <w:rFonts w:eastAsia="Times New Roman" w:cs="Times New Roman"/>
      <w:sz w:val="19"/>
      <w:szCs w:val="19"/>
      <w:lang w:eastAsia="en-US"/>
    </w:rPr>
  </w:style>
  <w:style w:type="paragraph" w:customStyle="1" w:styleId="affff4">
    <w:name w:val="陈正文"/>
    <w:basedOn w:val="a3"/>
    <w:next w:val="a3"/>
    <w:link w:val="Charf3"/>
    <w:qFormat/>
    <w:rPr>
      <w:rFonts w:ascii="宋体" w:eastAsiaTheme="minorEastAsia" w:hAnsi="宋体" w:cs="宋体"/>
      <w:szCs w:val="24"/>
    </w:rPr>
  </w:style>
  <w:style w:type="table" w:customStyle="1" w:styleId="610">
    <w:name w:val="网格型61"/>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图表头"/>
    <w:qFormat/>
    <w:pPr>
      <w:widowControl w:val="0"/>
      <w:adjustRightInd w:val="0"/>
      <w:spacing w:line="360" w:lineRule="auto"/>
      <w:jc w:val="center"/>
      <w:textAlignment w:val="baseline"/>
    </w:pPr>
    <w:rPr>
      <w:rFonts w:ascii="黑体" w:eastAsia="黑体"/>
      <w:spacing w:val="5"/>
      <w:sz w:val="21"/>
      <w:szCs w:val="24"/>
    </w:rPr>
  </w:style>
  <w:style w:type="character" w:customStyle="1" w:styleId="textismpc">
    <w:name w:val="text_ismpc"/>
    <w:qFormat/>
  </w:style>
  <w:style w:type="paragraph" w:customStyle="1" w:styleId="CM4">
    <w:name w:val="CM4"/>
    <w:basedOn w:val="Default"/>
    <w:next w:val="Default"/>
    <w:uiPriority w:val="99"/>
    <w:qFormat/>
    <w:pPr>
      <w:spacing w:line="468" w:lineRule="atLeast"/>
    </w:pPr>
    <w:rPr>
      <w:color w:val="auto"/>
    </w:rPr>
  </w:style>
  <w:style w:type="paragraph" w:customStyle="1" w:styleId="19">
    <w:name w:val="表格内容1"/>
    <w:basedOn w:val="a3"/>
    <w:qFormat/>
    <w:pPr>
      <w:tabs>
        <w:tab w:val="left" w:pos="1535"/>
        <w:tab w:val="left" w:pos="3105"/>
        <w:tab w:val="left" w:pos="4676"/>
        <w:tab w:val="left" w:pos="6247"/>
        <w:tab w:val="left" w:pos="7740"/>
        <w:tab w:val="left" w:pos="9288"/>
      </w:tabs>
      <w:snapToGrid w:val="0"/>
      <w:spacing w:line="240" w:lineRule="exact"/>
      <w:ind w:firstLineChars="0" w:firstLine="0"/>
      <w:jc w:val="center"/>
      <w:textAlignment w:val="baseline"/>
    </w:pPr>
    <w:rPr>
      <w:rFonts w:ascii="宋体" w:hAnsi="宋体" w:cs="Times New Roman"/>
      <w:color w:val="000000"/>
      <w:kern w:val="0"/>
      <w:sz w:val="21"/>
      <w:szCs w:val="16"/>
    </w:rPr>
  </w:style>
  <w:style w:type="paragraph" w:customStyle="1" w:styleId="001">
    <w:name w:val="正文001"/>
    <w:basedOn w:val="a3"/>
    <w:link w:val="001Char"/>
    <w:qFormat/>
    <w:pPr>
      <w:ind w:firstLine="482"/>
    </w:pPr>
  </w:style>
  <w:style w:type="paragraph" w:customStyle="1" w:styleId="affff6">
    <w:name w:val="表格内容"/>
    <w:basedOn w:val="a3"/>
    <w:link w:val="Char12"/>
    <w:qFormat/>
    <w:pPr>
      <w:overflowPunct w:val="0"/>
      <w:adjustRightInd w:val="0"/>
      <w:spacing w:before="40" w:after="60" w:line="200" w:lineRule="atLeast"/>
      <w:textAlignment w:val="baseline"/>
    </w:pPr>
    <w:rPr>
      <w:rFonts w:ascii="Arial" w:eastAsia="仿宋_GB2312" w:hAnsi="Arial"/>
      <w:kern w:val="0"/>
      <w:szCs w:val="20"/>
    </w:rPr>
  </w:style>
  <w:style w:type="paragraph" w:customStyle="1" w:styleId="A-">
    <w:name w:val="A-表格文字"/>
    <w:basedOn w:val="a3"/>
    <w:next w:val="a3"/>
    <w:link w:val="A-Char"/>
    <w:qFormat/>
    <w:pPr>
      <w:widowControl/>
      <w:autoSpaceDE w:val="0"/>
      <w:autoSpaceDN w:val="0"/>
      <w:adjustRightInd w:val="0"/>
      <w:jc w:val="center"/>
      <w:textAlignment w:val="center"/>
    </w:pPr>
    <w:rPr>
      <w:rFonts w:ascii="宋体" w:hAnsi="宋体" w:cs="宋体"/>
      <w:kern w:val="0"/>
      <w:lang w:eastAsia="en-US"/>
    </w:rPr>
  </w:style>
  <w:style w:type="table" w:customStyle="1" w:styleId="affff7">
    <w:name w:val="毛的表格"/>
    <w:basedOn w:val="a7"/>
    <w:qFormat/>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8">
    <w:name w:val="[正文格式]"/>
    <w:basedOn w:val="a3"/>
    <w:link w:val="Charf4"/>
    <w:qFormat/>
    <w:pPr>
      <w:spacing w:line="440" w:lineRule="exact"/>
      <w:ind w:firstLine="480"/>
    </w:pPr>
  </w:style>
  <w:style w:type="character" w:customStyle="1" w:styleId="font131">
    <w:name w:val="font131"/>
    <w:basedOn w:val="a6"/>
    <w:qFormat/>
    <w:rPr>
      <w:rFonts w:ascii="宋体" w:eastAsia="宋体" w:hAnsi="宋体" w:cs="宋体"/>
      <w:color w:val="000000"/>
      <w:sz w:val="4"/>
      <w:szCs w:val="4"/>
      <w:u w:val="none"/>
    </w:rPr>
  </w:style>
  <w:style w:type="character" w:customStyle="1" w:styleId="font141">
    <w:name w:val="font141"/>
    <w:basedOn w:val="a6"/>
    <w:qFormat/>
    <w:rPr>
      <w:rFonts w:ascii="Arial" w:hAnsi="Arial" w:cs="Arial"/>
      <w:color w:val="000000"/>
      <w:sz w:val="15"/>
      <w:szCs w:val="15"/>
      <w:u w:val="none"/>
    </w:rPr>
  </w:style>
  <w:style w:type="character" w:customStyle="1" w:styleId="font151">
    <w:name w:val="font151"/>
    <w:basedOn w:val="a6"/>
    <w:qFormat/>
    <w:rPr>
      <w:rFonts w:ascii="宋体" w:eastAsia="宋体" w:hAnsi="宋体" w:cs="宋体"/>
      <w:b/>
      <w:bCs/>
      <w:color w:val="000000"/>
      <w:sz w:val="16"/>
      <w:szCs w:val="16"/>
      <w:u w:val="none"/>
    </w:rPr>
  </w:style>
  <w:style w:type="character" w:customStyle="1" w:styleId="font161">
    <w:name w:val="font161"/>
    <w:basedOn w:val="a6"/>
    <w:qFormat/>
    <w:rPr>
      <w:rFonts w:ascii="宋体" w:eastAsia="宋体" w:hAnsi="宋体" w:cs="宋体"/>
      <w:color w:val="000000"/>
      <w:sz w:val="16"/>
      <w:szCs w:val="16"/>
      <w:u w:val="none"/>
    </w:rPr>
  </w:style>
  <w:style w:type="character" w:customStyle="1" w:styleId="font171">
    <w:name w:val="font171"/>
    <w:basedOn w:val="a6"/>
    <w:qFormat/>
    <w:rPr>
      <w:rFonts w:ascii="宋体" w:eastAsia="宋体" w:hAnsi="宋体" w:cs="宋体"/>
      <w:color w:val="842800"/>
      <w:sz w:val="16"/>
      <w:szCs w:val="16"/>
      <w:u w:val="none"/>
    </w:rPr>
  </w:style>
  <w:style w:type="character" w:customStyle="1" w:styleId="font61">
    <w:name w:val="font61"/>
    <w:basedOn w:val="a6"/>
    <w:qFormat/>
    <w:rPr>
      <w:rFonts w:ascii="宋体" w:eastAsia="宋体" w:hAnsi="宋体" w:cs="宋体"/>
      <w:color w:val="120085"/>
      <w:sz w:val="16"/>
      <w:szCs w:val="16"/>
      <w:u w:val="none"/>
    </w:rPr>
  </w:style>
  <w:style w:type="table" w:customStyle="1" w:styleId="TableGrid">
    <w:name w:val="TableGrid"/>
    <w:qFormat/>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font181">
    <w:name w:val="font181"/>
    <w:basedOn w:val="a6"/>
    <w:qFormat/>
    <w:rPr>
      <w:rFonts w:ascii="宋体" w:eastAsia="宋体" w:hAnsi="宋体" w:cs="宋体"/>
      <w:color w:val="000000"/>
      <w:sz w:val="8"/>
      <w:szCs w:val="8"/>
      <w:u w:val="none"/>
    </w:rPr>
  </w:style>
  <w:style w:type="character" w:customStyle="1" w:styleId="font191">
    <w:name w:val="font191"/>
    <w:basedOn w:val="a6"/>
    <w:qFormat/>
    <w:rPr>
      <w:rFonts w:ascii="宋体" w:eastAsia="宋体" w:hAnsi="宋体" w:cs="宋体"/>
      <w:color w:val="000000"/>
      <w:sz w:val="12"/>
      <w:szCs w:val="12"/>
      <w:u w:val="none"/>
    </w:rPr>
  </w:style>
  <w:style w:type="character" w:customStyle="1" w:styleId="font71">
    <w:name w:val="font71"/>
    <w:basedOn w:val="a6"/>
    <w:qFormat/>
    <w:rPr>
      <w:rFonts w:ascii="宋体" w:eastAsia="宋体" w:hAnsi="宋体" w:cs="宋体"/>
      <w:color w:val="002791"/>
      <w:sz w:val="10"/>
      <w:szCs w:val="10"/>
      <w:u w:val="none"/>
    </w:rPr>
  </w:style>
  <w:style w:type="character" w:customStyle="1" w:styleId="font201">
    <w:name w:val="font201"/>
    <w:basedOn w:val="a6"/>
    <w:qFormat/>
    <w:rPr>
      <w:rFonts w:ascii="宋体" w:eastAsia="宋体" w:hAnsi="宋体" w:cs="宋体"/>
      <w:color w:val="7A6674"/>
      <w:sz w:val="10"/>
      <w:szCs w:val="10"/>
      <w:u w:val="none"/>
    </w:rPr>
  </w:style>
  <w:style w:type="character" w:customStyle="1" w:styleId="font81">
    <w:name w:val="font81"/>
    <w:basedOn w:val="a6"/>
    <w:qFormat/>
    <w:rPr>
      <w:rFonts w:ascii="Arial" w:hAnsi="Arial" w:cs="Arial" w:hint="default"/>
      <w:color w:val="000000"/>
      <w:sz w:val="6"/>
      <w:szCs w:val="6"/>
      <w:u w:val="none"/>
    </w:rPr>
  </w:style>
  <w:style w:type="table" w:customStyle="1" w:styleId="1a">
    <w:name w:val="毛的表格1"/>
    <w:basedOn w:val="a7"/>
    <w:qFormat/>
    <w:pPr>
      <w:jc w:val="center"/>
    </w:pPr>
    <w:rPr>
      <w:rFonts w:ascii="Calibri" w:hAnsi="Calibri"/>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01342405">
    <w:name w:val="样式 样式 标题 3 + 黑体 小四 段前: 0 磅 段后: 13.4 磅 行距: 固定值 24 磅 + 段前: 0.5 行"/>
    <w:basedOn w:val="a3"/>
    <w:qFormat/>
    <w:pPr>
      <w:keepNext/>
      <w:keepLines/>
      <w:widowControl/>
      <w:spacing w:beforeLines="50" w:before="268" w:after="240" w:line="480" w:lineRule="exact"/>
      <w:jc w:val="left"/>
      <w:outlineLvl w:val="2"/>
    </w:pPr>
    <w:rPr>
      <w:rFonts w:ascii="黑体" w:hAnsi="宋体" w:cs="宋体"/>
      <w:b/>
      <w:bCs/>
      <w:kern w:val="0"/>
      <w:sz w:val="28"/>
      <w:szCs w:val="20"/>
    </w:rPr>
  </w:style>
  <w:style w:type="paragraph" w:customStyle="1" w:styleId="affff9">
    <w:name w:val="表头图名"/>
    <w:basedOn w:val="a3"/>
    <w:link w:val="Charf5"/>
    <w:qFormat/>
    <w:pPr>
      <w:spacing w:line="520" w:lineRule="exact"/>
      <w:contextualSpacing/>
      <w:jc w:val="center"/>
    </w:pPr>
    <w:rPr>
      <w:rFonts w:eastAsia="黑体"/>
    </w:rPr>
  </w:style>
  <w:style w:type="paragraph" w:customStyle="1" w:styleId="57">
    <w:name w:val="5级正文"/>
    <w:basedOn w:val="affffa"/>
    <w:next w:val="affffa"/>
    <w:link w:val="5Char0"/>
    <w:qFormat/>
    <w:pPr>
      <w:tabs>
        <w:tab w:val="left" w:pos="1200"/>
      </w:tabs>
      <w:ind w:firstLineChars="0" w:firstLine="0"/>
      <w:outlineLvl w:val="4"/>
    </w:pPr>
    <w:rPr>
      <w:b/>
    </w:rPr>
  </w:style>
  <w:style w:type="paragraph" w:customStyle="1" w:styleId="affffa">
    <w:name w:val="缩进"/>
    <w:basedOn w:val="a3"/>
    <w:link w:val="Charf6"/>
    <w:qFormat/>
  </w:style>
  <w:style w:type="paragraph" w:customStyle="1" w:styleId="1-">
    <w:name w:val="1-正文"/>
    <w:basedOn w:val="a3"/>
    <w:qFormat/>
    <w:pPr>
      <w:ind w:firstLine="480"/>
    </w:pPr>
    <w:rPr>
      <w:rFonts w:ascii="宋体" w:hAnsi="宋体"/>
    </w:rPr>
  </w:style>
  <w:style w:type="paragraph" w:customStyle="1" w:styleId="affffb">
    <w:name w:val="新正文"/>
    <w:basedOn w:val="a3"/>
    <w:link w:val="Charf7"/>
    <w:qFormat/>
    <w:pPr>
      <w:spacing w:before="60" w:line="460" w:lineRule="exact"/>
    </w:pPr>
    <w:rPr>
      <w:szCs w:val="20"/>
    </w:rPr>
  </w:style>
  <w:style w:type="paragraph" w:customStyle="1" w:styleId="affffc">
    <w:name w:val="正文（首缩进）"/>
    <w:basedOn w:val="a3"/>
    <w:qFormat/>
    <w:pPr>
      <w:jc w:val="left"/>
    </w:pPr>
  </w:style>
  <w:style w:type="paragraph" w:customStyle="1" w:styleId="-1">
    <w:name w:val="报告正文-连续目录"/>
    <w:basedOn w:val="a3"/>
    <w:link w:val="-CharChar"/>
    <w:qFormat/>
    <w:pPr>
      <w:spacing w:line="440" w:lineRule="exact"/>
    </w:pPr>
    <w:rPr>
      <w:rFonts w:ascii="Arial" w:hAnsi="Arial"/>
      <w:snapToGrid w:val="0"/>
    </w:rPr>
  </w:style>
  <w:style w:type="table" w:customStyle="1" w:styleId="58">
    <w:name w:val="网格型5"/>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标题 41"/>
    <w:basedOn w:val="a3"/>
    <w:next w:val="a5"/>
    <w:link w:val="426"/>
    <w:uiPriority w:val="9"/>
    <w:unhideWhenUsed/>
    <w:qFormat/>
    <w:pPr>
      <w:keepNext/>
      <w:widowControl/>
      <w:overflowPunct w:val="0"/>
      <w:autoSpaceDE w:val="0"/>
      <w:autoSpaceDN w:val="0"/>
      <w:adjustRightInd w:val="0"/>
      <w:spacing w:beforeLines="50" w:afterLines="50"/>
      <w:textAlignment w:val="baseline"/>
      <w:outlineLvl w:val="3"/>
    </w:pPr>
    <w:rPr>
      <w:rFonts w:hint="eastAsia"/>
      <w:b/>
      <w:i/>
      <w:kern w:val="28"/>
      <w:szCs w:val="24"/>
    </w:rPr>
  </w:style>
  <w:style w:type="paragraph" w:customStyle="1" w:styleId="1b">
    <w:name w:val="正文缩进1"/>
    <w:basedOn w:val="a3"/>
    <w:link w:val="270"/>
    <w:unhideWhenUsed/>
    <w:qFormat/>
    <w:pPr>
      <w:ind w:firstLine="420"/>
    </w:pPr>
    <w:rPr>
      <w:rFonts w:hint="eastAsia"/>
      <w:sz w:val="21"/>
      <w:szCs w:val="20"/>
    </w:rPr>
  </w:style>
  <w:style w:type="character" w:customStyle="1" w:styleId="4Char">
    <w:name w:val="标题 4 Char"/>
    <w:link w:val="42"/>
    <w:uiPriority w:val="9"/>
    <w:unhideWhenUsed/>
    <w:qFormat/>
    <w:rPr>
      <w:rFonts w:hint="default"/>
      <w:b/>
      <w:i/>
      <w:kern w:val="28"/>
      <w:sz w:val="24"/>
      <w:szCs w:val="24"/>
    </w:rPr>
  </w:style>
  <w:style w:type="character" w:customStyle="1" w:styleId="2c">
    <w:name w:val="正文缩进 字符2"/>
    <w:unhideWhenUsed/>
    <w:qFormat/>
    <w:rPr>
      <w:rFonts w:hint="default"/>
      <w:kern w:val="2"/>
      <w:sz w:val="21"/>
      <w:szCs w:val="24"/>
    </w:rPr>
  </w:style>
  <w:style w:type="character" w:customStyle="1" w:styleId="421">
    <w:name w:val="标题 4 字符21"/>
    <w:uiPriority w:val="9"/>
    <w:unhideWhenUsed/>
    <w:qFormat/>
    <w:rPr>
      <w:rFonts w:hint="default"/>
      <w:b/>
      <w:i/>
      <w:kern w:val="28"/>
      <w:sz w:val="24"/>
      <w:szCs w:val="24"/>
    </w:rPr>
  </w:style>
  <w:style w:type="character" w:customStyle="1" w:styleId="212">
    <w:name w:val="正文缩进 字符21"/>
    <w:unhideWhenUsed/>
    <w:qFormat/>
    <w:rPr>
      <w:rFonts w:hint="default"/>
      <w:kern w:val="2"/>
      <w:sz w:val="21"/>
      <w:szCs w:val="24"/>
    </w:rPr>
  </w:style>
  <w:style w:type="character" w:customStyle="1" w:styleId="Default0">
    <w:name w:val="Default 字符"/>
    <w:link w:val="Default"/>
    <w:unhideWhenUsed/>
    <w:qFormat/>
    <w:rPr>
      <w:rFonts w:ascii="宋体" w:eastAsia="宋体" w:hint="eastAsia"/>
      <w:color w:val="000000"/>
      <w:sz w:val="24"/>
      <w:szCs w:val="24"/>
    </w:rPr>
  </w:style>
  <w:style w:type="paragraph" w:customStyle="1" w:styleId="110">
    <w:name w:val="标题 11"/>
    <w:basedOn w:val="a3"/>
    <w:next w:val="a3"/>
    <w:link w:val="124"/>
    <w:uiPriority w:val="9"/>
    <w:unhideWhenUsed/>
    <w:qFormat/>
    <w:pPr>
      <w:keepNext/>
      <w:keepLines/>
      <w:spacing w:beforeLines="100" w:afterLines="50"/>
      <w:outlineLvl w:val="0"/>
    </w:pPr>
    <w:rPr>
      <w:rFonts w:hint="eastAsia"/>
      <w:b/>
      <w:kern w:val="44"/>
      <w:sz w:val="44"/>
      <w:szCs w:val="44"/>
    </w:rPr>
  </w:style>
  <w:style w:type="paragraph" w:customStyle="1" w:styleId="213">
    <w:name w:val="标题 21"/>
    <w:basedOn w:val="a3"/>
    <w:next w:val="a3"/>
    <w:link w:val="224"/>
    <w:unhideWhenUsed/>
    <w:qFormat/>
    <w:pPr>
      <w:keepNext/>
      <w:keepLines/>
      <w:spacing w:beforeLines="50" w:afterLines="50"/>
      <w:outlineLvl w:val="1"/>
    </w:pPr>
    <w:rPr>
      <w:rFonts w:hint="eastAsia"/>
      <w:b/>
      <w:sz w:val="32"/>
      <w:szCs w:val="32"/>
    </w:rPr>
  </w:style>
  <w:style w:type="paragraph" w:customStyle="1" w:styleId="310">
    <w:name w:val="标题 31"/>
    <w:basedOn w:val="a3"/>
    <w:next w:val="a3"/>
    <w:link w:val="325"/>
    <w:unhideWhenUsed/>
    <w:qFormat/>
    <w:pPr>
      <w:keepNext/>
      <w:keepLines/>
      <w:spacing w:beforeLines="50" w:afterLines="50"/>
      <w:outlineLvl w:val="2"/>
    </w:pPr>
    <w:rPr>
      <w:rFonts w:hint="eastAsia"/>
      <w:b/>
      <w:sz w:val="32"/>
      <w:szCs w:val="32"/>
    </w:rPr>
  </w:style>
  <w:style w:type="character" w:customStyle="1" w:styleId="1Char">
    <w:name w:val="标题 1 Char"/>
    <w:link w:val="1"/>
    <w:uiPriority w:val="9"/>
    <w:unhideWhenUsed/>
    <w:qFormat/>
    <w:rPr>
      <w:rFonts w:hint="default"/>
      <w:b/>
      <w:kern w:val="44"/>
      <w:sz w:val="44"/>
      <w:szCs w:val="24"/>
    </w:rPr>
  </w:style>
  <w:style w:type="character" w:customStyle="1" w:styleId="2Char">
    <w:name w:val="标题 2 Char"/>
    <w:link w:val="21"/>
    <w:unhideWhenUsed/>
    <w:qFormat/>
    <w:rPr>
      <w:rFonts w:hint="default"/>
      <w:b/>
      <w:kern w:val="2"/>
      <w:sz w:val="32"/>
      <w:szCs w:val="24"/>
    </w:rPr>
  </w:style>
  <w:style w:type="character" w:customStyle="1" w:styleId="3Char4">
    <w:name w:val="标题 3 Char4"/>
    <w:link w:val="31"/>
    <w:unhideWhenUsed/>
    <w:qFormat/>
    <w:rPr>
      <w:rFonts w:hint="default"/>
      <w:b/>
      <w:kern w:val="2"/>
      <w:sz w:val="32"/>
      <w:szCs w:val="24"/>
    </w:rPr>
  </w:style>
  <w:style w:type="character" w:customStyle="1" w:styleId="422">
    <w:name w:val="标题 4 字符22"/>
    <w:uiPriority w:val="9"/>
    <w:unhideWhenUsed/>
    <w:qFormat/>
    <w:rPr>
      <w:rFonts w:hint="default"/>
      <w:b/>
      <w:i/>
      <w:kern w:val="28"/>
      <w:sz w:val="24"/>
      <w:szCs w:val="24"/>
    </w:rPr>
  </w:style>
  <w:style w:type="paragraph" w:customStyle="1" w:styleId="CharCharCharCharCharCharCharCharChar">
    <w:name w:val="Char Char Char Char Char Char Char Char Char"/>
    <w:basedOn w:val="a3"/>
    <w:unhideWhenUsed/>
    <w:qFormat/>
    <w:rPr>
      <w:rFonts w:hint="eastAsia"/>
      <w:sz w:val="21"/>
      <w:szCs w:val="20"/>
    </w:rPr>
  </w:style>
  <w:style w:type="paragraph" w:customStyle="1" w:styleId="1c">
    <w:name w:val="题注1"/>
    <w:basedOn w:val="a3"/>
    <w:next w:val="a3"/>
    <w:link w:val="240"/>
    <w:unhideWhenUsed/>
    <w:qFormat/>
    <w:rPr>
      <w:rFonts w:ascii="Arial" w:eastAsia="黑体" w:hAnsi="Arial" w:hint="eastAsia"/>
      <w:sz w:val="20"/>
      <w:szCs w:val="20"/>
    </w:rPr>
  </w:style>
  <w:style w:type="character" w:customStyle="1" w:styleId="Char1">
    <w:name w:val="题注 Char"/>
    <w:link w:val="ac"/>
    <w:unhideWhenUsed/>
    <w:qFormat/>
    <w:rPr>
      <w:rFonts w:ascii="Arial" w:eastAsia="黑体" w:hAnsi="Arial" w:hint="eastAsia"/>
      <w:kern w:val="2"/>
      <w:sz w:val="24"/>
      <w:szCs w:val="24"/>
    </w:rPr>
  </w:style>
  <w:style w:type="character" w:customStyle="1" w:styleId="font91">
    <w:name w:val="font91"/>
    <w:basedOn w:val="a6"/>
    <w:qFormat/>
    <w:rPr>
      <w:rFonts w:ascii="宋体" w:eastAsia="宋体" w:hAnsi="宋体" w:cs="宋体"/>
      <w:b/>
      <w:bCs/>
      <w:color w:val="000000"/>
      <w:sz w:val="16"/>
      <w:szCs w:val="16"/>
      <w:u w:val="none"/>
    </w:rPr>
  </w:style>
  <w:style w:type="character" w:customStyle="1" w:styleId="font101">
    <w:name w:val="font101"/>
    <w:basedOn w:val="a6"/>
    <w:qFormat/>
    <w:rPr>
      <w:rFonts w:ascii="宋体" w:eastAsia="宋体" w:hAnsi="宋体" w:cs="宋体"/>
      <w:color w:val="000000"/>
      <w:sz w:val="16"/>
      <w:szCs w:val="16"/>
      <w:u w:val="none"/>
    </w:rPr>
  </w:style>
  <w:style w:type="paragraph" w:customStyle="1" w:styleId="51">
    <w:name w:val="标题 51"/>
    <w:basedOn w:val="a3"/>
    <w:next w:val="1b"/>
    <w:link w:val="523"/>
    <w:unhideWhenUsed/>
    <w:qFormat/>
    <w:pPr>
      <w:keepNext/>
      <w:keepLines/>
      <w:numPr>
        <w:ilvl w:val="4"/>
        <w:numId w:val="11"/>
      </w:numPr>
      <w:spacing w:before="280" w:after="290" w:line="376" w:lineRule="auto"/>
      <w:ind w:left="1008" w:hanging="432"/>
      <w:outlineLvl w:val="4"/>
    </w:pPr>
    <w:rPr>
      <w:rFonts w:hint="eastAsia"/>
      <w:b/>
      <w:sz w:val="28"/>
      <w:szCs w:val="28"/>
    </w:rPr>
  </w:style>
  <w:style w:type="paragraph" w:customStyle="1" w:styleId="61">
    <w:name w:val="标题 61"/>
    <w:basedOn w:val="a3"/>
    <w:next w:val="12"/>
    <w:link w:val="623"/>
    <w:uiPriority w:val="9"/>
    <w:unhideWhenUsed/>
    <w:qFormat/>
    <w:pPr>
      <w:keepNext/>
      <w:keepLines/>
      <w:numPr>
        <w:ilvl w:val="5"/>
        <w:numId w:val="11"/>
      </w:numPr>
      <w:spacing w:before="240" w:after="64" w:line="320" w:lineRule="auto"/>
      <w:ind w:left="1152" w:hanging="432"/>
      <w:outlineLvl w:val="5"/>
    </w:pPr>
    <w:rPr>
      <w:rFonts w:ascii="Calibri Light" w:hAnsi="Calibri Light" w:hint="eastAsia"/>
      <w:b/>
      <w:szCs w:val="24"/>
    </w:rPr>
  </w:style>
  <w:style w:type="paragraph" w:customStyle="1" w:styleId="71">
    <w:name w:val="标题 71"/>
    <w:basedOn w:val="a3"/>
    <w:next w:val="12"/>
    <w:link w:val="723"/>
    <w:unhideWhenUsed/>
    <w:qFormat/>
    <w:pPr>
      <w:keepNext/>
      <w:keepLines/>
      <w:numPr>
        <w:ilvl w:val="6"/>
        <w:numId w:val="11"/>
      </w:numPr>
      <w:spacing w:before="240" w:after="64" w:line="320" w:lineRule="auto"/>
      <w:ind w:left="1296" w:hanging="288"/>
      <w:outlineLvl w:val="6"/>
    </w:pPr>
    <w:rPr>
      <w:rFonts w:hint="eastAsia"/>
      <w:b/>
      <w:szCs w:val="24"/>
    </w:rPr>
  </w:style>
  <w:style w:type="paragraph" w:customStyle="1" w:styleId="81">
    <w:name w:val="标题 81"/>
    <w:basedOn w:val="a3"/>
    <w:next w:val="12"/>
    <w:link w:val="823"/>
    <w:uiPriority w:val="9"/>
    <w:unhideWhenUsed/>
    <w:qFormat/>
    <w:pPr>
      <w:keepNext/>
      <w:keepLines/>
      <w:numPr>
        <w:ilvl w:val="7"/>
        <w:numId w:val="11"/>
      </w:numPr>
      <w:spacing w:before="240" w:after="64" w:line="320" w:lineRule="auto"/>
      <w:ind w:left="1440" w:hanging="432"/>
      <w:outlineLvl w:val="7"/>
    </w:pPr>
    <w:rPr>
      <w:rFonts w:hint="eastAsia"/>
      <w:b/>
      <w:i/>
      <w:kern w:val="28"/>
      <w:sz w:val="18"/>
      <w:szCs w:val="24"/>
    </w:rPr>
  </w:style>
  <w:style w:type="paragraph" w:customStyle="1" w:styleId="91">
    <w:name w:val="标题 91"/>
    <w:basedOn w:val="a3"/>
    <w:next w:val="12"/>
    <w:link w:val="923"/>
    <w:unhideWhenUsed/>
    <w:qFormat/>
    <w:pPr>
      <w:keepNext/>
      <w:keepLines/>
      <w:numPr>
        <w:ilvl w:val="8"/>
        <w:numId w:val="11"/>
      </w:numPr>
      <w:spacing w:before="240" w:after="64" w:line="320" w:lineRule="auto"/>
      <w:ind w:left="1584" w:hanging="144"/>
      <w:outlineLvl w:val="8"/>
    </w:pPr>
    <w:rPr>
      <w:rFonts w:hint="eastAsia"/>
      <w:b/>
      <w:i/>
      <w:kern w:val="28"/>
      <w:sz w:val="18"/>
      <w:szCs w:val="24"/>
    </w:rPr>
  </w:style>
  <w:style w:type="paragraph" w:customStyle="1" w:styleId="63">
    <w:name w:val="6"/>
    <w:basedOn w:val="a3"/>
    <w:unhideWhenUsed/>
    <w:qFormat/>
    <w:rPr>
      <w:rFonts w:ascii="宋体" w:hAnsi="宋体" w:cs="宋体" w:hint="eastAsia"/>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unhideWhenUsed/>
    <w:qFormat/>
    <w:rPr>
      <w:rFonts w:hint="eastAsia"/>
      <w:sz w:val="21"/>
      <w:szCs w:val="20"/>
    </w:rPr>
  </w:style>
  <w:style w:type="paragraph" w:customStyle="1" w:styleId="affffd">
    <w:name w:val="三级标题"/>
    <w:basedOn w:val="01"/>
    <w:link w:val="Char13"/>
    <w:unhideWhenUsed/>
    <w:qFormat/>
    <w:pPr>
      <w:spacing w:before="300"/>
      <w:ind w:firstLineChars="0" w:firstLine="0"/>
      <w:outlineLvl w:val="2"/>
    </w:pPr>
    <w:rPr>
      <w:b/>
    </w:rPr>
  </w:style>
  <w:style w:type="paragraph" w:customStyle="1" w:styleId="01">
    <w:name w:val="正文01"/>
    <w:basedOn w:val="a3"/>
    <w:link w:val="01Char"/>
    <w:unhideWhenUsed/>
    <w:qFormat/>
    <w:pPr>
      <w:spacing w:before="60" w:line="460" w:lineRule="exact"/>
    </w:pPr>
    <w:rPr>
      <w:rFonts w:hint="eastAsia"/>
      <w:szCs w:val="24"/>
    </w:rPr>
  </w:style>
  <w:style w:type="paragraph" w:customStyle="1" w:styleId="affffe">
    <w:name w:val="正文格式"/>
    <w:basedOn w:val="a3"/>
    <w:link w:val="Charf8"/>
    <w:unhideWhenUsed/>
    <w:qFormat/>
    <w:pPr>
      <w:spacing w:line="500" w:lineRule="exact"/>
    </w:pPr>
    <w:rPr>
      <w:rFonts w:ascii="宋体" w:hAnsi="宋体" w:hint="eastAsia"/>
      <w:szCs w:val="24"/>
    </w:rPr>
  </w:style>
  <w:style w:type="paragraph" w:customStyle="1" w:styleId="2d">
    <w:name w:val="正文首行缩进2个字"/>
    <w:basedOn w:val="a3"/>
    <w:link w:val="2Char2"/>
    <w:unhideWhenUsed/>
    <w:qFormat/>
    <w:pPr>
      <w:ind w:firstLine="480"/>
    </w:pPr>
    <w:rPr>
      <w:rFonts w:hint="eastAsia"/>
      <w:szCs w:val="24"/>
    </w:rPr>
  </w:style>
  <w:style w:type="paragraph" w:customStyle="1" w:styleId="afffff">
    <w:name w:val="样式 正文格式"/>
    <w:basedOn w:val="BodyTextIndent1"/>
    <w:link w:val="Charf9"/>
    <w:unhideWhenUsed/>
    <w:qFormat/>
    <w:pPr>
      <w:spacing w:after="0" w:line="480" w:lineRule="exact"/>
      <w:ind w:leftChars="0" w:left="0" w:firstLine="480"/>
    </w:pPr>
    <w:rPr>
      <w:sz w:val="24"/>
    </w:rPr>
  </w:style>
  <w:style w:type="paragraph" w:customStyle="1" w:styleId="1d">
    <w:name w:val="批注文字1"/>
    <w:basedOn w:val="a3"/>
    <w:link w:val="214"/>
    <w:uiPriority w:val="99"/>
    <w:unhideWhenUsed/>
    <w:qFormat/>
    <w:pPr>
      <w:jc w:val="left"/>
    </w:pPr>
    <w:rPr>
      <w:rFonts w:hint="eastAsia"/>
      <w:sz w:val="21"/>
      <w:szCs w:val="24"/>
    </w:rPr>
  </w:style>
  <w:style w:type="paragraph" w:customStyle="1" w:styleId="215">
    <w:name w:val="正文文本缩进 21"/>
    <w:basedOn w:val="a3"/>
    <w:link w:val="221"/>
    <w:unhideWhenUsed/>
    <w:qFormat/>
    <w:pPr>
      <w:adjustRightInd w:val="0"/>
      <w:snapToGrid w:val="0"/>
      <w:spacing w:after="120" w:line="480" w:lineRule="auto"/>
      <w:ind w:leftChars="200" w:left="420"/>
    </w:pPr>
    <w:rPr>
      <w:rFonts w:hint="eastAsia"/>
      <w:szCs w:val="24"/>
    </w:rPr>
  </w:style>
  <w:style w:type="paragraph" w:customStyle="1" w:styleId="49">
    <w:name w:val="4级（小）标题"/>
    <w:basedOn w:val="a3"/>
    <w:link w:val="4Char0"/>
    <w:unhideWhenUsed/>
    <w:qFormat/>
    <w:pPr>
      <w:spacing w:before="60"/>
      <w:outlineLvl w:val="3"/>
    </w:pPr>
    <w:rPr>
      <w:rFonts w:hint="eastAsia"/>
      <w:b/>
      <w:szCs w:val="24"/>
    </w:rPr>
  </w:style>
  <w:style w:type="paragraph" w:customStyle="1" w:styleId="afffff0">
    <w:name w:val="表格下方正文"/>
    <w:basedOn w:val="a3"/>
    <w:link w:val="Charfa"/>
    <w:unhideWhenUsed/>
    <w:qFormat/>
    <w:pPr>
      <w:spacing w:before="300" w:line="460" w:lineRule="exact"/>
    </w:pPr>
    <w:rPr>
      <w:rFonts w:hint="eastAsia"/>
      <w:szCs w:val="24"/>
    </w:rPr>
  </w:style>
  <w:style w:type="paragraph" w:customStyle="1" w:styleId="1e">
    <w:name w:val="样式1"/>
    <w:basedOn w:val="a3"/>
    <w:link w:val="1Char1"/>
    <w:unhideWhenUsed/>
    <w:qFormat/>
    <w:pPr>
      <w:tabs>
        <w:tab w:val="left" w:pos="360"/>
      </w:tabs>
      <w:spacing w:line="500" w:lineRule="exact"/>
      <w:ind w:left="360" w:right="-1038" w:hanging="360"/>
      <w:outlineLvl w:val="0"/>
    </w:pPr>
    <w:rPr>
      <w:rFonts w:ascii="方正大标宋简体" w:eastAsia="方正大标宋简体" w:hint="eastAsia"/>
      <w:b/>
      <w:sz w:val="44"/>
      <w:szCs w:val="20"/>
    </w:rPr>
  </w:style>
  <w:style w:type="paragraph" w:customStyle="1" w:styleId="afffff1">
    <w:name w:val="图表标题"/>
    <w:basedOn w:val="a3"/>
    <w:link w:val="Charfb"/>
    <w:unhideWhenUsed/>
    <w:qFormat/>
    <w:pPr>
      <w:jc w:val="center"/>
      <w:outlineLvl w:val="4"/>
    </w:pPr>
    <w:rPr>
      <w:rFonts w:hint="eastAsia"/>
      <w:b/>
      <w:sz w:val="21"/>
      <w:szCs w:val="24"/>
    </w:rPr>
  </w:style>
  <w:style w:type="paragraph" w:customStyle="1" w:styleId="39">
    <w:name w:val="3级（次）标题"/>
    <w:basedOn w:val="a3"/>
    <w:link w:val="3Char"/>
    <w:unhideWhenUsed/>
    <w:qFormat/>
    <w:pPr>
      <w:ind w:firstLineChars="100" w:firstLine="241"/>
      <w:outlineLvl w:val="2"/>
    </w:pPr>
    <w:rPr>
      <w:rFonts w:ascii="宋体" w:hAnsi="宋体" w:hint="eastAsia"/>
      <w:b/>
      <w:szCs w:val="24"/>
    </w:rPr>
  </w:style>
  <w:style w:type="paragraph" w:customStyle="1" w:styleId="1f">
    <w:name w:val="页脚1"/>
    <w:basedOn w:val="a3"/>
    <w:link w:val="220"/>
    <w:uiPriority w:val="99"/>
    <w:unhideWhenUsed/>
    <w:qFormat/>
    <w:pPr>
      <w:tabs>
        <w:tab w:val="center" w:pos="4153"/>
        <w:tab w:val="right" w:pos="8306"/>
      </w:tabs>
      <w:snapToGrid w:val="0"/>
      <w:jc w:val="left"/>
    </w:pPr>
    <w:rPr>
      <w:rFonts w:hint="eastAsia"/>
      <w:sz w:val="18"/>
      <w:szCs w:val="18"/>
    </w:rPr>
  </w:style>
  <w:style w:type="paragraph" w:customStyle="1" w:styleId="1f0">
    <w:name w:val="批注主题1"/>
    <w:basedOn w:val="1d"/>
    <w:next w:val="1d"/>
    <w:link w:val="216"/>
    <w:uiPriority w:val="99"/>
    <w:unhideWhenUsed/>
    <w:qFormat/>
    <w:rPr>
      <w:b/>
    </w:rPr>
  </w:style>
  <w:style w:type="paragraph" w:customStyle="1" w:styleId="212TimesNewRoman">
    <w:name w:val="样式 样式 标题 2 + 段后: 12 行 + Times New Roman"/>
    <w:basedOn w:val="a3"/>
    <w:link w:val="212TimesNewRomanChar"/>
    <w:unhideWhenUsed/>
    <w:qFormat/>
    <w:pPr>
      <w:keepNext/>
      <w:keepLines/>
      <w:spacing w:before="240" w:after="240"/>
      <w:outlineLvl w:val="1"/>
    </w:pPr>
    <w:rPr>
      <w:rFonts w:eastAsia="华文中宋" w:hint="eastAsia"/>
      <w:b/>
      <w:sz w:val="32"/>
      <w:szCs w:val="24"/>
    </w:rPr>
  </w:style>
  <w:style w:type="paragraph" w:customStyle="1" w:styleId="xl24">
    <w:name w:val="xl2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Cs w:val="24"/>
    </w:rPr>
  </w:style>
  <w:style w:type="paragraph" w:customStyle="1" w:styleId="xl49">
    <w:name w:val="xl49"/>
    <w:basedOn w:val="a3"/>
    <w:unhideWhenUsed/>
    <w:qFormat/>
    <w:pPr>
      <w:widowControl/>
      <w:pBdr>
        <w:top w:val="single" w:sz="4" w:space="0" w:color="auto"/>
        <w:bottom w:val="single" w:sz="4" w:space="0" w:color="auto"/>
      </w:pBdr>
      <w:spacing w:before="100" w:beforeAutospacing="1" w:after="100" w:afterAutospacing="1"/>
      <w:jc w:val="center"/>
    </w:pPr>
    <w:rPr>
      <w:rFonts w:ascii="宋体" w:hAnsi="宋体" w:hint="eastAsia"/>
      <w:szCs w:val="24"/>
    </w:rPr>
  </w:style>
  <w:style w:type="paragraph" w:customStyle="1" w:styleId="095063">
    <w:name w:val="样式 正文文本缩进 + 左侧:  0.95 厘米 首行缩进:  0.63 厘米"/>
    <w:basedOn w:val="BodyTextIndent1"/>
    <w:unhideWhenUsed/>
    <w:qFormat/>
    <w:pPr>
      <w:spacing w:after="0"/>
      <w:ind w:leftChars="0" w:left="539" w:firstLine="510"/>
    </w:pPr>
    <w:rPr>
      <w:rFonts w:cs="宋体"/>
      <w:color w:val="000000"/>
      <w:sz w:val="24"/>
      <w:szCs w:val="20"/>
    </w:rPr>
  </w:style>
  <w:style w:type="paragraph" w:customStyle="1" w:styleId="004">
    <w:name w:val="标题004"/>
    <w:basedOn w:val="001"/>
    <w:unhideWhenUsed/>
    <w:qFormat/>
    <w:pPr>
      <w:ind w:firstLine="0"/>
      <w:outlineLvl w:val="3"/>
    </w:pPr>
    <w:rPr>
      <w:rFonts w:hint="eastAsia"/>
      <w:b/>
      <w:szCs w:val="24"/>
    </w:rPr>
  </w:style>
  <w:style w:type="paragraph" w:customStyle="1" w:styleId="4a">
    <w:name w:val="样式 标题 4 + 两端对齐"/>
    <w:basedOn w:val="410"/>
    <w:unhideWhenUsed/>
    <w:qFormat/>
    <w:pPr>
      <w:keepNext w:val="0"/>
      <w:tabs>
        <w:tab w:val="left" w:pos="900"/>
        <w:tab w:val="left" w:pos="2880"/>
      </w:tabs>
      <w:spacing w:after="120"/>
      <w:ind w:firstLineChars="0" w:firstLine="0"/>
    </w:pPr>
    <w:rPr>
      <w:rFonts w:ascii="宋体" w:hAnsi="宋体" w:cs="宋体"/>
      <w:b w:val="0"/>
    </w:rPr>
  </w:style>
  <w:style w:type="paragraph" w:customStyle="1" w:styleId="1f1">
    <w:name w:val="文本块1"/>
    <w:basedOn w:val="a3"/>
    <w:link w:val="111"/>
    <w:unhideWhenUsed/>
    <w:qFormat/>
    <w:pPr>
      <w:tabs>
        <w:tab w:val="left" w:pos="9660"/>
        <w:tab w:val="left" w:pos="9765"/>
      </w:tabs>
      <w:spacing w:line="480" w:lineRule="auto"/>
      <w:ind w:left="420" w:right="773" w:firstLine="630"/>
    </w:pPr>
    <w:rPr>
      <w:rFonts w:hint="eastAsia"/>
      <w:spacing w:val="26"/>
      <w:sz w:val="28"/>
      <w:szCs w:val="20"/>
    </w:rPr>
  </w:style>
  <w:style w:type="paragraph" w:customStyle="1" w:styleId="xl61">
    <w:name w:val="xl6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Cs w:val="24"/>
    </w:rPr>
  </w:style>
  <w:style w:type="paragraph" w:customStyle="1" w:styleId="xl77">
    <w:name w:val="xl7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sz w:val="20"/>
      <w:szCs w:val="20"/>
    </w:rPr>
  </w:style>
  <w:style w:type="paragraph" w:customStyle="1" w:styleId="afffff2">
    <w:name w:val="标书正文"/>
    <w:basedOn w:val="12"/>
    <w:unhideWhenUsed/>
    <w:qFormat/>
    <w:pPr>
      <w:widowControl w:val="0"/>
      <w:spacing w:after="0"/>
      <w:jc w:val="both"/>
    </w:pPr>
    <w:rPr>
      <w:rFonts w:ascii="Arial Narrow" w:eastAsia="仿宋_GB2312" w:hAnsi="Arial Narrow"/>
    </w:rPr>
  </w:style>
  <w:style w:type="paragraph" w:customStyle="1" w:styleId="CharCharCharChar">
    <w:name w:val="Char Char Char Char"/>
    <w:basedOn w:val="a3"/>
    <w:unhideWhenUsed/>
    <w:qFormat/>
    <w:pPr>
      <w:spacing w:beforeLines="20" w:line="440" w:lineRule="atLeast"/>
    </w:pPr>
    <w:rPr>
      <w:rFonts w:hint="eastAsia"/>
      <w:szCs w:val="24"/>
    </w:rPr>
  </w:style>
  <w:style w:type="paragraph" w:customStyle="1" w:styleId="xl88">
    <w:name w:val="xl88"/>
    <w:basedOn w:val="a3"/>
    <w:unhideWhenUsed/>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1085">
    <w:name w:val="样式 表头样式1 + 首行缩进:  0.85 厘米"/>
    <w:basedOn w:val="1f2"/>
    <w:unhideWhenUsed/>
    <w:qFormat/>
    <w:pPr>
      <w:spacing w:beforeLines="20" w:afterLines="20" w:line="360" w:lineRule="auto"/>
      <w:jc w:val="center"/>
    </w:pPr>
    <w:rPr>
      <w:rFonts w:ascii="黑体" w:eastAsia="黑体" w:hAnsi="宋体"/>
      <w:sz w:val="24"/>
      <w:szCs w:val="20"/>
      <w:lang w:eastAsia="zh-CN"/>
    </w:rPr>
  </w:style>
  <w:style w:type="paragraph" w:customStyle="1" w:styleId="1f2">
    <w:name w:val="表头样式1"/>
    <w:basedOn w:val="a3"/>
    <w:unhideWhenUsed/>
    <w:qFormat/>
    <w:pPr>
      <w:adjustRightInd w:val="0"/>
      <w:snapToGrid w:val="0"/>
      <w:spacing w:before="200" w:after="200" w:line="500" w:lineRule="exact"/>
    </w:pPr>
    <w:rPr>
      <w:rFonts w:ascii="宋体" w:hint="eastAsia"/>
      <w:color w:val="000000"/>
      <w:sz w:val="28"/>
      <w:szCs w:val="24"/>
      <w:lang w:eastAsia="zh-TW"/>
    </w:rPr>
  </w:style>
  <w:style w:type="paragraph" w:customStyle="1" w:styleId="xl26">
    <w:name w:val="xl26"/>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szCs w:val="24"/>
    </w:rPr>
  </w:style>
  <w:style w:type="paragraph" w:customStyle="1" w:styleId="xl33">
    <w:name w:val="xl3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8">
    <w:name w:val="xl48"/>
    <w:basedOn w:val="a3"/>
    <w:unhideWhenUsed/>
    <w:qFormat/>
    <w:pPr>
      <w:widowControl/>
      <w:pBdr>
        <w:top w:val="single" w:sz="4" w:space="0" w:color="auto"/>
        <w:bottom w:val="single" w:sz="4" w:space="0" w:color="auto"/>
      </w:pBdr>
      <w:spacing w:before="100" w:beforeAutospacing="1" w:after="100" w:afterAutospacing="1"/>
      <w:jc w:val="center"/>
      <w:textAlignment w:val="center"/>
    </w:pPr>
    <w:rPr>
      <w:rFonts w:ascii="宋体" w:hAnsi="宋体" w:hint="eastAsia"/>
      <w:szCs w:val="24"/>
    </w:rPr>
  </w:style>
  <w:style w:type="paragraph" w:customStyle="1" w:styleId="120">
    <w:name w:val="标题12"/>
    <w:basedOn w:val="a3"/>
    <w:next w:val="21"/>
    <w:unhideWhenUsed/>
    <w:qFormat/>
    <w:pPr>
      <w:spacing w:before="240" w:after="240"/>
      <w:jc w:val="center"/>
    </w:pPr>
    <w:rPr>
      <w:rFonts w:hint="eastAsia"/>
      <w:b/>
      <w:sz w:val="32"/>
      <w:szCs w:val="20"/>
    </w:rPr>
  </w:style>
  <w:style w:type="paragraph" w:customStyle="1" w:styleId="xl58">
    <w:name w:val="xl5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b/>
      <w:sz w:val="20"/>
      <w:szCs w:val="20"/>
    </w:rPr>
  </w:style>
  <w:style w:type="paragraph" w:customStyle="1" w:styleId="xl60">
    <w:name w:val="xl6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6">
    <w:name w:val="xl7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 w:val="20"/>
      <w:szCs w:val="20"/>
    </w:rPr>
  </w:style>
  <w:style w:type="paragraph" w:customStyle="1" w:styleId="xl87">
    <w:name w:val="xl87"/>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xl31">
    <w:name w:val="xl3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xl47">
    <w:name w:val="xl47"/>
    <w:basedOn w:val="a3"/>
    <w:unhideWhenUsed/>
    <w:qFormat/>
    <w:pPr>
      <w:widowControl/>
      <w:pBdr>
        <w:top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3a">
    <w:name w:val="3级标题"/>
    <w:basedOn w:val="a3"/>
    <w:unhideWhenUsed/>
    <w:qFormat/>
    <w:pPr>
      <w:spacing w:before="300" w:line="460" w:lineRule="exact"/>
      <w:outlineLvl w:val="2"/>
    </w:pPr>
    <w:rPr>
      <w:rFonts w:ascii="Arial" w:hAnsi="Arial" w:hint="eastAsia"/>
      <w:b/>
      <w:szCs w:val="20"/>
    </w:rPr>
  </w:style>
  <w:style w:type="paragraph" w:customStyle="1" w:styleId="afffff3">
    <w:name w:val="论文正文"/>
    <w:basedOn w:val="1b"/>
    <w:unhideWhenUsed/>
    <w:qFormat/>
    <w:pPr>
      <w:ind w:firstLine="480"/>
    </w:pPr>
    <w:rPr>
      <w:rFonts w:ascii="宋体" w:hAnsi="宋体"/>
      <w:sz w:val="28"/>
    </w:rPr>
  </w:style>
  <w:style w:type="paragraph" w:customStyle="1" w:styleId="afffff4">
    <w:name w:val="图像样式"/>
    <w:basedOn w:val="a3"/>
    <w:unhideWhenUsed/>
    <w:qFormat/>
    <w:pPr>
      <w:snapToGrid w:val="0"/>
      <w:spacing w:beforeLines="50" w:afterLines="50"/>
      <w:jc w:val="center"/>
    </w:pPr>
    <w:rPr>
      <w:rFonts w:hint="eastAsia"/>
      <w:szCs w:val="24"/>
    </w:rPr>
  </w:style>
  <w:style w:type="paragraph" w:customStyle="1" w:styleId="2e">
    <w:name w:val="2级标题"/>
    <w:basedOn w:val="a3"/>
    <w:unhideWhenUsed/>
    <w:qFormat/>
    <w:pPr>
      <w:spacing w:before="60" w:line="460" w:lineRule="exact"/>
      <w:outlineLvl w:val="1"/>
    </w:pPr>
    <w:rPr>
      <w:rFonts w:ascii="Arial" w:hAnsi="Arial" w:hint="eastAsia"/>
      <w:b/>
      <w:sz w:val="28"/>
      <w:szCs w:val="20"/>
    </w:rPr>
  </w:style>
  <w:style w:type="paragraph" w:customStyle="1" w:styleId="0010">
    <w:name w:val="表格001"/>
    <w:basedOn w:val="a3"/>
    <w:unhideWhenUsed/>
    <w:qFormat/>
    <w:pPr>
      <w:jc w:val="center"/>
    </w:pPr>
    <w:rPr>
      <w:rFonts w:hint="eastAsia"/>
      <w:sz w:val="21"/>
    </w:rPr>
  </w:style>
  <w:style w:type="paragraph" w:customStyle="1" w:styleId="93">
    <w:name w:val="样式9表格"/>
    <w:next w:val="a3"/>
    <w:unhideWhenUsed/>
    <w:qFormat/>
    <w:pPr>
      <w:spacing w:before="120" w:line="300" w:lineRule="auto"/>
      <w:jc w:val="center"/>
    </w:pPr>
    <w:rPr>
      <w:rFonts w:hint="eastAsia"/>
      <w:sz w:val="21"/>
    </w:rPr>
  </w:style>
  <w:style w:type="paragraph" w:customStyle="1" w:styleId="xl57">
    <w:name w:val="xl5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hint="eastAsia"/>
      <w:b/>
      <w:szCs w:val="24"/>
    </w:rPr>
  </w:style>
  <w:style w:type="paragraph" w:customStyle="1" w:styleId="3b">
    <w:name w:val="3"/>
    <w:basedOn w:val="a3"/>
    <w:next w:val="1b"/>
    <w:unhideWhenUsed/>
    <w:qFormat/>
    <w:pPr>
      <w:ind w:firstLine="420"/>
    </w:pPr>
    <w:rPr>
      <w:rFonts w:hint="eastAsia"/>
      <w:sz w:val="21"/>
      <w:szCs w:val="24"/>
    </w:rPr>
  </w:style>
  <w:style w:type="paragraph" w:customStyle="1" w:styleId="xl59">
    <w:name w:val="xl5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5">
    <w:name w:val="xl75"/>
    <w:basedOn w:val="a3"/>
    <w:unhideWhenUsed/>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b/>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unhideWhenUsed/>
    <w:qFormat/>
    <w:rPr>
      <w:rFonts w:ascii="宋体" w:hAnsi="宋体" w:cs="宋体" w:hint="eastAsia"/>
      <w:szCs w:val="24"/>
    </w:rPr>
  </w:style>
  <w:style w:type="paragraph" w:customStyle="1" w:styleId="0">
    <w:name w:val="样式0表换行"/>
    <w:basedOn w:val="a3"/>
    <w:unhideWhenUsed/>
    <w:qFormat/>
    <w:pPr>
      <w:spacing w:line="300" w:lineRule="auto"/>
      <w:jc w:val="center"/>
    </w:pPr>
    <w:rPr>
      <w:rFonts w:hint="eastAsia"/>
      <w:sz w:val="21"/>
      <w:szCs w:val="20"/>
    </w:rPr>
  </w:style>
  <w:style w:type="paragraph" w:customStyle="1" w:styleId="xl86">
    <w:name w:val="xl86"/>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0011">
    <w:name w:val="标题001"/>
    <w:basedOn w:val="a3"/>
    <w:unhideWhenUsed/>
    <w:qFormat/>
    <w:pPr>
      <w:spacing w:before="60" w:line="480" w:lineRule="exact"/>
      <w:outlineLvl w:val="0"/>
    </w:pPr>
    <w:rPr>
      <w:rFonts w:hint="eastAsia"/>
      <w:b/>
      <w:sz w:val="32"/>
      <w:szCs w:val="20"/>
    </w:rPr>
  </w:style>
  <w:style w:type="paragraph" w:customStyle="1" w:styleId="xl30">
    <w:name w:val="xl30"/>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6">
    <w:name w:val="xl46"/>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afffff5">
    <w:name w:val="表前文字"/>
    <w:basedOn w:val="a3"/>
    <w:unhideWhenUsed/>
    <w:qFormat/>
    <w:pPr>
      <w:jc w:val="center"/>
    </w:pPr>
    <w:rPr>
      <w:rFonts w:hint="eastAsia"/>
      <w:color w:val="FF0000"/>
      <w:sz w:val="21"/>
      <w:szCs w:val="24"/>
    </w:rPr>
  </w:style>
  <w:style w:type="paragraph" w:customStyle="1" w:styleId="afffff6">
    <w:name w:val="框架"/>
    <w:basedOn w:val="a3"/>
    <w:unhideWhenUsed/>
    <w:qFormat/>
    <w:pPr>
      <w:adjustRightInd w:val="0"/>
      <w:snapToGrid w:val="0"/>
      <w:jc w:val="center"/>
    </w:pPr>
    <w:rPr>
      <w:rFonts w:ascii="宋体" w:hAnsi="宋体" w:hint="eastAsia"/>
      <w:sz w:val="18"/>
      <w:szCs w:val="20"/>
    </w:rPr>
  </w:style>
  <w:style w:type="paragraph" w:customStyle="1" w:styleId="010">
    <w:name w:val="表格01"/>
    <w:basedOn w:val="a3"/>
    <w:unhideWhenUsed/>
    <w:qFormat/>
    <w:pPr>
      <w:spacing w:before="100" w:beforeAutospacing="1" w:line="240" w:lineRule="atLeast"/>
    </w:pPr>
    <w:rPr>
      <w:rFonts w:hint="eastAsia"/>
      <w:szCs w:val="24"/>
    </w:rPr>
  </w:style>
  <w:style w:type="paragraph" w:customStyle="1" w:styleId="xl56">
    <w:name w:val="xl5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xl25">
    <w:name w:val="xl25"/>
    <w:basedOn w:val="a3"/>
    <w:unhideWhenUsed/>
    <w:qFormat/>
    <w:pPr>
      <w:widowControl/>
      <w:pBdr>
        <w:left w:val="single" w:sz="12" w:space="0" w:color="auto"/>
      </w:pBdr>
      <w:spacing w:before="100" w:beforeAutospacing="1" w:after="100" w:afterAutospacing="1"/>
      <w:jc w:val="center"/>
    </w:pPr>
    <w:rPr>
      <w:rFonts w:ascii="宋体" w:hAnsi="宋体" w:hint="eastAsia"/>
      <w:szCs w:val="24"/>
    </w:rPr>
  </w:style>
  <w:style w:type="paragraph" w:customStyle="1" w:styleId="xl74">
    <w:name w:val="xl7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sz w:val="20"/>
      <w:szCs w:val="20"/>
    </w:rPr>
  </w:style>
  <w:style w:type="paragraph" w:customStyle="1" w:styleId="afffff7">
    <w:name w:val="表格标题"/>
    <w:basedOn w:val="001"/>
    <w:link w:val="Charfc"/>
    <w:unhideWhenUsed/>
    <w:qFormat/>
    <w:pPr>
      <w:ind w:firstLine="0"/>
      <w:jc w:val="center"/>
    </w:pPr>
    <w:rPr>
      <w:rFonts w:hint="eastAsia"/>
      <w:szCs w:val="20"/>
    </w:rPr>
  </w:style>
  <w:style w:type="paragraph" w:customStyle="1" w:styleId="afffff8">
    <w:name w:val="四级条标题"/>
    <w:basedOn w:val="afffff9"/>
    <w:next w:val="a3"/>
    <w:unhideWhenUsed/>
    <w:qFormat/>
    <w:pPr>
      <w:tabs>
        <w:tab w:val="left" w:pos="2520"/>
        <w:tab w:val="left" w:pos="3000"/>
      </w:tabs>
      <w:outlineLvl w:val="5"/>
    </w:pPr>
  </w:style>
  <w:style w:type="paragraph" w:customStyle="1" w:styleId="afffff9">
    <w:name w:val="三级条标题"/>
    <w:basedOn w:val="afffffa"/>
    <w:next w:val="a3"/>
    <w:unhideWhenUsed/>
    <w:qFormat/>
    <w:pPr>
      <w:tabs>
        <w:tab w:val="left" w:pos="2100"/>
        <w:tab w:val="left" w:pos="2580"/>
      </w:tabs>
      <w:outlineLvl w:val="4"/>
    </w:pPr>
  </w:style>
  <w:style w:type="paragraph" w:customStyle="1" w:styleId="afffffa">
    <w:name w:val="二级条标题"/>
    <w:basedOn w:val="afffffb"/>
    <w:next w:val="a3"/>
    <w:unhideWhenUsed/>
    <w:qFormat/>
    <w:pPr>
      <w:tabs>
        <w:tab w:val="left" w:pos="1680"/>
        <w:tab w:val="left" w:pos="2160"/>
      </w:tabs>
      <w:outlineLvl w:val="3"/>
    </w:pPr>
  </w:style>
  <w:style w:type="paragraph" w:customStyle="1" w:styleId="afffffb">
    <w:name w:val="一级条标题"/>
    <w:basedOn w:val="110"/>
    <w:next w:val="a3"/>
    <w:unhideWhenUsed/>
    <w:qFormat/>
    <w:pPr>
      <w:keepNext w:val="0"/>
      <w:pageBreakBefore/>
      <w:widowControl/>
      <w:tabs>
        <w:tab w:val="left" w:pos="1260"/>
      </w:tabs>
      <w:spacing w:line="240" w:lineRule="auto"/>
      <w:ind w:firstLineChars="0" w:firstLine="0"/>
      <w:outlineLvl w:val="2"/>
    </w:pPr>
    <w:rPr>
      <w:rFonts w:ascii="黑体" w:eastAsia="黑体"/>
      <w:b w:val="0"/>
      <w:sz w:val="21"/>
      <w:szCs w:val="20"/>
    </w:rPr>
  </w:style>
  <w:style w:type="paragraph" w:customStyle="1" w:styleId="1f3">
    <w:name w:val="普通(网站)1"/>
    <w:basedOn w:val="a3"/>
    <w:uiPriority w:val="99"/>
    <w:unhideWhenUsed/>
    <w:qFormat/>
    <w:pPr>
      <w:widowControl/>
      <w:spacing w:before="100" w:beforeAutospacing="1" w:after="100" w:afterAutospacing="1"/>
      <w:jc w:val="left"/>
    </w:pPr>
    <w:rPr>
      <w:rFonts w:ascii="宋体" w:hAnsi="宋体" w:cs="宋体" w:hint="eastAsia"/>
      <w:color w:val="000000"/>
      <w:szCs w:val="24"/>
    </w:rPr>
  </w:style>
  <w:style w:type="paragraph" w:customStyle="1" w:styleId="xl85">
    <w:name w:val="xl85"/>
    <w:basedOn w:val="a3"/>
    <w:unhideWhenUsed/>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02">
    <w:name w:val="正文02"/>
    <w:basedOn w:val="a3"/>
    <w:unhideWhenUsed/>
    <w:qFormat/>
    <w:pPr>
      <w:spacing w:before="300" w:line="460" w:lineRule="exact"/>
    </w:pPr>
    <w:rPr>
      <w:rFonts w:hint="eastAsia"/>
      <w:szCs w:val="24"/>
    </w:rPr>
  </w:style>
  <w:style w:type="paragraph" w:customStyle="1" w:styleId="112">
    <w:name w:val="目录 11"/>
    <w:basedOn w:val="a3"/>
    <w:next w:val="a3"/>
    <w:link w:val="TOC11"/>
    <w:uiPriority w:val="39"/>
    <w:unhideWhenUsed/>
    <w:qFormat/>
    <w:pPr>
      <w:spacing w:before="120" w:after="120"/>
      <w:jc w:val="left"/>
    </w:pPr>
    <w:rPr>
      <w:rFonts w:hint="eastAsia"/>
      <w:b/>
      <w:caps/>
      <w:sz w:val="20"/>
      <w:szCs w:val="20"/>
    </w:rPr>
  </w:style>
  <w:style w:type="paragraph" w:customStyle="1" w:styleId="xl29">
    <w:name w:val="xl29"/>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5">
    <w:name w:val="xl45"/>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1f4">
    <w:name w:val="表格样式1"/>
    <w:unhideWhenUsed/>
    <w:qFormat/>
    <w:pPr>
      <w:tabs>
        <w:tab w:val="center" w:pos="546"/>
      </w:tabs>
      <w:spacing w:line="440" w:lineRule="exact"/>
      <w:jc w:val="center"/>
    </w:pPr>
    <w:rPr>
      <w:rFonts w:eastAsia="仿宋_GB2312" w:hint="eastAsia"/>
      <w:sz w:val="21"/>
    </w:rPr>
  </w:style>
  <w:style w:type="paragraph" w:customStyle="1" w:styleId="CharCharCharCharCharChar">
    <w:name w:val="Char Char Char Char Char Char"/>
    <w:basedOn w:val="a3"/>
    <w:unhideWhenUsed/>
    <w:qFormat/>
    <w:rPr>
      <w:rFonts w:ascii="宋体" w:hAnsi="宋体" w:hint="eastAsia"/>
      <w:szCs w:val="24"/>
    </w:rPr>
  </w:style>
  <w:style w:type="paragraph" w:customStyle="1" w:styleId="xl55">
    <w:name w:val="xl5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3">
    <w:name w:val="xl7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afffffc">
    <w:name w:val="报告"/>
    <w:basedOn w:val="a3"/>
    <w:unhideWhenUsed/>
    <w:qFormat/>
    <w:pPr>
      <w:adjustRightInd w:val="0"/>
      <w:ind w:firstLine="505"/>
      <w:textAlignment w:val="baseline"/>
    </w:pPr>
    <w:rPr>
      <w:rFonts w:hint="eastAsia"/>
      <w:szCs w:val="20"/>
    </w:rPr>
  </w:style>
  <w:style w:type="paragraph" w:customStyle="1" w:styleId="afffffd">
    <w:name w:val="正文文字缩进"/>
    <w:basedOn w:val="a3"/>
    <w:unhideWhenUsed/>
    <w:qFormat/>
    <w:pPr>
      <w:ind w:firstLine="560"/>
    </w:pPr>
    <w:rPr>
      <w:rFonts w:hint="eastAsia"/>
      <w:sz w:val="28"/>
      <w:szCs w:val="28"/>
    </w:rPr>
  </w:style>
  <w:style w:type="paragraph" w:customStyle="1" w:styleId="afffffe">
    <w:name w:val="小四表格"/>
    <w:basedOn w:val="a3"/>
    <w:unhideWhenUsed/>
    <w:qFormat/>
    <w:pPr>
      <w:snapToGrid w:val="0"/>
      <w:jc w:val="center"/>
    </w:pPr>
    <w:rPr>
      <w:rFonts w:hint="eastAsia"/>
      <w:szCs w:val="20"/>
    </w:rPr>
  </w:style>
  <w:style w:type="paragraph" w:customStyle="1" w:styleId="CharChar1CharCharCharCharCharCharCharCharCharCharCharCharCharCharCharCharCharChar1">
    <w:name w:val="Char Char1 Char Char Char Char Char Char Char Char Char Char Char Char Char Char Char Char Char Char1"/>
    <w:basedOn w:val="a3"/>
    <w:unhideWhenUsed/>
    <w:qFormat/>
    <w:rPr>
      <w:rFonts w:hint="eastAsia"/>
      <w:sz w:val="21"/>
      <w:szCs w:val="20"/>
    </w:rPr>
  </w:style>
  <w:style w:type="paragraph" w:customStyle="1" w:styleId="xl28">
    <w:name w:val="xl2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 w:val="22"/>
      <w:szCs w:val="22"/>
    </w:rPr>
  </w:style>
  <w:style w:type="paragraph" w:customStyle="1" w:styleId="xl44">
    <w:name w:val="xl44"/>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hint="eastAsia"/>
      <w:szCs w:val="24"/>
    </w:rPr>
  </w:style>
  <w:style w:type="paragraph" w:customStyle="1" w:styleId="ParaChar">
    <w:name w:val="默认段落字体 Para Char"/>
    <w:basedOn w:val="a3"/>
    <w:unhideWhenUsed/>
    <w:qFormat/>
    <w:rPr>
      <w:rFonts w:hint="eastAsia"/>
      <w:sz w:val="21"/>
      <w:szCs w:val="24"/>
    </w:rPr>
  </w:style>
  <w:style w:type="paragraph" w:customStyle="1" w:styleId="affffff">
    <w:name w:val="a"/>
    <w:basedOn w:val="a3"/>
    <w:unhideWhenUsed/>
    <w:qFormat/>
    <w:pPr>
      <w:adjustRightInd w:val="0"/>
      <w:spacing w:before="120" w:after="120" w:line="440" w:lineRule="atLeast"/>
      <w:jc w:val="center"/>
      <w:textAlignment w:val="baseline"/>
    </w:pPr>
    <w:rPr>
      <w:rFonts w:hint="eastAsia"/>
      <w:sz w:val="28"/>
      <w:szCs w:val="20"/>
    </w:rPr>
  </w:style>
  <w:style w:type="paragraph" w:customStyle="1" w:styleId="xl54">
    <w:name w:val="xl5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72">
    <w:name w:val="xl7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sz w:val="20"/>
      <w:szCs w:val="20"/>
    </w:rPr>
  </w:style>
  <w:style w:type="paragraph" w:customStyle="1" w:styleId="1f5">
    <w:name w:val="标1"/>
    <w:basedOn w:val="a3"/>
    <w:unhideWhenUsed/>
    <w:qFormat/>
    <w:pPr>
      <w:spacing w:before="60" w:line="460" w:lineRule="exact"/>
      <w:outlineLvl w:val="0"/>
    </w:pPr>
    <w:rPr>
      <w:rFonts w:hint="eastAsia"/>
      <w:b/>
      <w:sz w:val="32"/>
      <w:szCs w:val="20"/>
    </w:rPr>
  </w:style>
  <w:style w:type="paragraph" w:customStyle="1" w:styleId="CharCharChar2CharCharCharCharCharCharCharCharCharCharChar">
    <w:name w:val="Char Char Char2 Char Char Char Char Char Char Char Char Char Char Char"/>
    <w:basedOn w:val="a3"/>
    <w:unhideWhenUsed/>
    <w:qFormat/>
    <w:pPr>
      <w:spacing w:beforeLines="20" w:line="440" w:lineRule="atLeast"/>
    </w:pPr>
    <w:rPr>
      <w:rFonts w:hint="eastAsia"/>
      <w:szCs w:val="24"/>
    </w:rPr>
  </w:style>
  <w:style w:type="paragraph" w:customStyle="1" w:styleId="2f">
    <w:name w:val="2"/>
    <w:basedOn w:val="a3"/>
    <w:next w:val="af4"/>
    <w:unhideWhenUsed/>
    <w:qFormat/>
    <w:pPr>
      <w:ind w:left="360" w:firstLine="360"/>
    </w:pPr>
    <w:rPr>
      <w:rFonts w:ascii="宋体" w:hint="eastAsia"/>
      <w:spacing w:val="4"/>
      <w:sz w:val="28"/>
      <w:szCs w:val="24"/>
    </w:rPr>
  </w:style>
  <w:style w:type="paragraph" w:customStyle="1" w:styleId="xl43">
    <w:name w:val="xl43"/>
    <w:basedOn w:val="a3"/>
    <w:unhideWhenUsed/>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Cs w:val="24"/>
    </w:rPr>
  </w:style>
  <w:style w:type="paragraph" w:customStyle="1" w:styleId="Charfd">
    <w:name w:val="表格文字 Char"/>
    <w:basedOn w:val="1b"/>
    <w:unhideWhenUsed/>
    <w:qFormat/>
    <w:pPr>
      <w:spacing w:beforeLines="50"/>
      <w:ind w:firstLineChars="0" w:firstLine="0"/>
      <w:jc w:val="center"/>
    </w:pPr>
    <w:rPr>
      <w:sz w:val="24"/>
    </w:rPr>
  </w:style>
  <w:style w:type="paragraph" w:customStyle="1" w:styleId="affffff0">
    <w:name w:val="君邦正文"/>
    <w:unhideWhenUsed/>
    <w:qFormat/>
    <w:pPr>
      <w:spacing w:after="60" w:line="360" w:lineRule="auto"/>
      <w:ind w:firstLineChars="200" w:firstLine="480"/>
      <w:jc w:val="both"/>
    </w:pPr>
    <w:rPr>
      <w:rFonts w:hint="eastAsia"/>
      <w:sz w:val="24"/>
    </w:rPr>
  </w:style>
  <w:style w:type="paragraph" w:customStyle="1" w:styleId="2f0">
    <w:name w:val="表格2"/>
    <w:basedOn w:val="a3"/>
    <w:next w:val="a3"/>
    <w:unhideWhenUsed/>
    <w:qFormat/>
    <w:pPr>
      <w:keepNext/>
      <w:autoSpaceDE w:val="0"/>
      <w:autoSpaceDN w:val="0"/>
      <w:adjustRightInd w:val="0"/>
      <w:jc w:val="center"/>
      <w:textAlignment w:val="baseline"/>
    </w:pPr>
    <w:rPr>
      <w:rFonts w:ascii="宋体" w:hint="eastAsia"/>
      <w:position w:val="-28"/>
    </w:rPr>
  </w:style>
  <w:style w:type="paragraph" w:customStyle="1" w:styleId="2f1">
    <w:name w:val="正文2"/>
    <w:basedOn w:val="a3"/>
    <w:unhideWhenUsed/>
    <w:qFormat/>
    <w:pPr>
      <w:adjustRightInd w:val="0"/>
      <w:snapToGrid w:val="0"/>
      <w:spacing w:line="440" w:lineRule="atLeast"/>
      <w:ind w:firstLine="510"/>
    </w:pPr>
    <w:rPr>
      <w:rFonts w:hint="eastAsia"/>
      <w:sz w:val="21"/>
      <w:szCs w:val="20"/>
    </w:rPr>
  </w:style>
  <w:style w:type="paragraph" w:customStyle="1" w:styleId="2f2">
    <w:name w:val="样式 正文格式 + 首行缩进:  2 字符"/>
    <w:basedOn w:val="a3"/>
    <w:unhideWhenUsed/>
    <w:qFormat/>
    <w:pPr>
      <w:ind w:firstLine="480"/>
    </w:pPr>
    <w:rPr>
      <w:rFonts w:cs="宋体" w:hint="eastAsia"/>
      <w:szCs w:val="20"/>
    </w:rPr>
  </w:style>
  <w:style w:type="paragraph" w:customStyle="1" w:styleId="xl71">
    <w:name w:val="xl7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b/>
      <w:szCs w:val="24"/>
    </w:rPr>
  </w:style>
  <w:style w:type="paragraph" w:customStyle="1" w:styleId="59">
    <w:name w:val="5"/>
    <w:basedOn w:val="a3"/>
    <w:next w:val="215"/>
    <w:unhideWhenUsed/>
    <w:qFormat/>
    <w:pPr>
      <w:adjustRightInd w:val="0"/>
      <w:snapToGrid w:val="0"/>
      <w:ind w:firstLine="420"/>
    </w:pPr>
    <w:rPr>
      <w:rFonts w:hint="eastAsia"/>
      <w:szCs w:val="24"/>
    </w:rPr>
  </w:style>
  <w:style w:type="paragraph" w:customStyle="1" w:styleId="affffff1">
    <w:name w:val="四级标题"/>
    <w:basedOn w:val="a3"/>
    <w:unhideWhenUsed/>
    <w:qFormat/>
    <w:pPr>
      <w:spacing w:before="60" w:line="460" w:lineRule="exact"/>
    </w:pPr>
    <w:rPr>
      <w:rFonts w:hint="eastAsia"/>
      <w:szCs w:val="24"/>
    </w:rPr>
  </w:style>
  <w:style w:type="paragraph" w:customStyle="1" w:styleId="xl42">
    <w:name w:val="xl42"/>
    <w:basedOn w:val="a3"/>
    <w:unhideWhenUsed/>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szCs w:val="24"/>
    </w:rPr>
  </w:style>
  <w:style w:type="paragraph" w:customStyle="1" w:styleId="affffff2">
    <w:name w:val="正文五"/>
    <w:basedOn w:val="a3"/>
    <w:unhideWhenUsed/>
    <w:qFormat/>
    <w:pPr>
      <w:snapToGrid w:val="0"/>
      <w:jc w:val="center"/>
    </w:pPr>
    <w:rPr>
      <w:rFonts w:hint="eastAsia"/>
      <w:sz w:val="21"/>
      <w:szCs w:val="28"/>
    </w:rPr>
  </w:style>
  <w:style w:type="paragraph" w:customStyle="1" w:styleId="font14">
    <w:name w:val="font14"/>
    <w:basedOn w:val="a3"/>
    <w:unhideWhenUsed/>
    <w:qFormat/>
    <w:pPr>
      <w:widowControl/>
      <w:spacing w:before="100" w:beforeAutospacing="1" w:after="100" w:afterAutospacing="1"/>
      <w:jc w:val="left"/>
    </w:pPr>
    <w:rPr>
      <w:rFonts w:eastAsia="Arial Unicode MS" w:hint="eastAsia"/>
      <w:b/>
      <w:sz w:val="20"/>
      <w:szCs w:val="20"/>
    </w:rPr>
  </w:style>
  <w:style w:type="paragraph" w:customStyle="1" w:styleId="12251">
    <w:name w:val="样式 表样式1 + 首行缩进:  2.25 字符1"/>
    <w:basedOn w:val="1f6"/>
    <w:unhideWhenUsed/>
    <w:qFormat/>
    <w:pPr>
      <w:snapToGrid w:val="0"/>
      <w:ind w:leftChars="-10" w:left="-10" w:rightChars="-10" w:right="-10"/>
    </w:pPr>
    <w:rPr>
      <w:sz w:val="21"/>
      <w:szCs w:val="20"/>
      <w:lang w:eastAsia="zh-TW"/>
    </w:rPr>
  </w:style>
  <w:style w:type="paragraph" w:customStyle="1" w:styleId="1f6">
    <w:name w:val="表样式1"/>
    <w:basedOn w:val="a3"/>
    <w:unhideWhenUsed/>
    <w:qFormat/>
    <w:pPr>
      <w:spacing w:beforeLines="20"/>
      <w:jc w:val="center"/>
    </w:pPr>
    <w:rPr>
      <w:rFonts w:hint="eastAsia"/>
      <w:color w:val="000000"/>
      <w:spacing w:val="-10"/>
      <w:szCs w:val="24"/>
      <w:u w:val="single"/>
    </w:rPr>
  </w:style>
  <w:style w:type="paragraph" w:customStyle="1" w:styleId="CharCharCharCharCharChar2CharCharCharChar">
    <w:name w:val="Char Char Char Char Char Char2 Char Char Char Char"/>
    <w:basedOn w:val="a3"/>
    <w:unhideWhenUsed/>
    <w:qFormat/>
    <w:rPr>
      <w:rFonts w:hint="eastAsia"/>
      <w:sz w:val="21"/>
      <w:szCs w:val="24"/>
    </w:rPr>
  </w:style>
  <w:style w:type="paragraph" w:customStyle="1" w:styleId="affffff3">
    <w:name w:val="列表项目"/>
    <w:basedOn w:val="a2"/>
    <w:unhideWhenUsed/>
    <w:qFormat/>
    <w:pPr>
      <w:tabs>
        <w:tab w:val="clear" w:pos="360"/>
      </w:tabs>
      <w:spacing w:before="120"/>
      <w:ind w:left="0" w:firstLineChars="0" w:firstLine="0"/>
      <w:jc w:val="center"/>
    </w:pPr>
    <w:rPr>
      <w:rFonts w:hint="eastAsia"/>
      <w:b/>
      <w:sz w:val="30"/>
      <w:szCs w:val="20"/>
    </w:rPr>
  </w:style>
  <w:style w:type="paragraph" w:customStyle="1" w:styleId="xl70">
    <w:name w:val="xl7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affffff4">
    <w:name w:val="内表头"/>
    <w:basedOn w:val="a3"/>
    <w:unhideWhenUsed/>
    <w:qFormat/>
    <w:pPr>
      <w:adjustRightInd w:val="0"/>
      <w:snapToGrid w:val="0"/>
      <w:jc w:val="center"/>
    </w:pPr>
    <w:rPr>
      <w:rFonts w:eastAsia="黑体" w:cs="Arial" w:hint="eastAsia"/>
      <w:sz w:val="20"/>
      <w:szCs w:val="24"/>
    </w:rPr>
  </w:style>
  <w:style w:type="paragraph" w:customStyle="1" w:styleId="BodyText22">
    <w:name w:val="Body Text 22"/>
    <w:basedOn w:val="a3"/>
    <w:unhideWhenUsed/>
    <w:qFormat/>
    <w:pPr>
      <w:adjustRightInd w:val="0"/>
      <w:spacing w:line="440" w:lineRule="atLeast"/>
      <w:ind w:firstLine="480"/>
      <w:textAlignment w:val="baseline"/>
    </w:pPr>
    <w:rPr>
      <w:rFonts w:eastAsia="仿宋_GB2312" w:hint="eastAsia"/>
      <w:szCs w:val="20"/>
    </w:rPr>
  </w:style>
  <w:style w:type="paragraph" w:customStyle="1" w:styleId="CharCharCharCharCharChar1CharCharCharChar">
    <w:name w:val="Char Char Char Char Char Char1 Char Char Char Char"/>
    <w:basedOn w:val="a3"/>
    <w:unhideWhenUsed/>
    <w:qFormat/>
    <w:rPr>
      <w:rFonts w:hint="eastAsia"/>
      <w:szCs w:val="24"/>
    </w:rPr>
  </w:style>
  <w:style w:type="paragraph" w:customStyle="1" w:styleId="font10">
    <w:name w:val="font10"/>
    <w:basedOn w:val="a3"/>
    <w:unhideWhenUsed/>
    <w:qFormat/>
    <w:pPr>
      <w:widowControl/>
      <w:spacing w:before="100" w:beforeAutospacing="1" w:after="100" w:afterAutospacing="1"/>
      <w:jc w:val="left"/>
    </w:pPr>
    <w:rPr>
      <w:rFonts w:hint="eastAsia"/>
      <w:sz w:val="22"/>
      <w:szCs w:val="22"/>
    </w:rPr>
  </w:style>
  <w:style w:type="paragraph" w:customStyle="1" w:styleId="xl39">
    <w:name w:val="xl39"/>
    <w:basedOn w:val="a3"/>
    <w:unhideWhenUsed/>
    <w:qFormat/>
    <w:pPr>
      <w:widowControl/>
      <w:spacing w:before="100" w:beforeAutospacing="1" w:after="100" w:afterAutospacing="1"/>
      <w:jc w:val="center"/>
      <w:textAlignment w:val="center"/>
    </w:pPr>
    <w:rPr>
      <w:rFonts w:ascii="仿宋_GB2312" w:eastAsia="仿宋_GB2312" w:hAnsi="宋体" w:hint="eastAsia"/>
      <w:b/>
      <w:sz w:val="28"/>
      <w:szCs w:val="28"/>
    </w:rPr>
  </w:style>
  <w:style w:type="paragraph" w:customStyle="1" w:styleId="xl41">
    <w:name w:val="xl41"/>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52">
    <w:name w:val="xl5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sz w:val="20"/>
      <w:szCs w:val="20"/>
    </w:rPr>
  </w:style>
  <w:style w:type="paragraph" w:customStyle="1" w:styleId="-biao">
    <w:name w:val="正文-biao"/>
    <w:basedOn w:val="a3"/>
    <w:unhideWhenUsed/>
    <w:qFormat/>
    <w:pPr>
      <w:spacing w:before="60" w:line="460" w:lineRule="exact"/>
      <w:ind w:firstLine="482"/>
    </w:pPr>
    <w:rPr>
      <w:rFonts w:hAnsi="宋体" w:hint="eastAsia"/>
      <w:szCs w:val="24"/>
    </w:rPr>
  </w:style>
  <w:style w:type="paragraph" w:customStyle="1" w:styleId="font13">
    <w:name w:val="font13"/>
    <w:basedOn w:val="a3"/>
    <w:unhideWhenUsed/>
    <w:qFormat/>
    <w:pPr>
      <w:widowControl/>
      <w:spacing w:before="100" w:beforeAutospacing="1" w:after="100" w:afterAutospacing="1"/>
      <w:jc w:val="left"/>
    </w:pPr>
    <w:rPr>
      <w:rFonts w:ascii="Arial" w:eastAsia="Arial Unicode MS" w:hAnsi="Arial" w:cs="Arial" w:hint="eastAsia"/>
      <w:b/>
      <w:szCs w:val="24"/>
    </w:rPr>
  </w:style>
  <w:style w:type="paragraph" w:customStyle="1" w:styleId="1f7">
    <w:name w:val="无间隔1"/>
    <w:unhideWhenUsed/>
    <w:qFormat/>
    <w:pPr>
      <w:widowControl w:val="0"/>
      <w:jc w:val="both"/>
    </w:pPr>
    <w:rPr>
      <w:rFonts w:ascii="Calibri" w:hAnsi="Calibri" w:cs="Calibri" w:hint="eastAsia"/>
      <w:kern w:val="2"/>
      <w:sz w:val="21"/>
      <w:szCs w:val="21"/>
    </w:rPr>
  </w:style>
  <w:style w:type="paragraph" w:customStyle="1" w:styleId="xl69">
    <w:name w:val="xl6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hint="eastAsia"/>
      <w:color w:val="FF00FF"/>
      <w:sz w:val="20"/>
      <w:szCs w:val="20"/>
    </w:rPr>
  </w:style>
  <w:style w:type="paragraph" w:customStyle="1" w:styleId="font9">
    <w:name w:val="font9"/>
    <w:basedOn w:val="a3"/>
    <w:unhideWhenUsed/>
    <w:qFormat/>
    <w:pPr>
      <w:widowControl/>
      <w:spacing w:before="100" w:beforeAutospacing="1" w:after="100" w:afterAutospacing="1"/>
      <w:jc w:val="left"/>
    </w:pPr>
    <w:rPr>
      <w:rFonts w:ascii="宋体" w:hAnsi="宋体" w:hint="eastAsia"/>
      <w:sz w:val="22"/>
      <w:szCs w:val="22"/>
    </w:rPr>
  </w:style>
  <w:style w:type="paragraph" w:customStyle="1" w:styleId="1f8">
    <w:name w:val="默认段落字体1"/>
    <w:basedOn w:val="a3"/>
    <w:unhideWhenUsed/>
    <w:qFormat/>
    <w:rPr>
      <w:rFonts w:ascii="宋体" w:hAnsi="宋体" w:cs="宋体" w:hint="eastAsia"/>
      <w:szCs w:val="24"/>
    </w:rPr>
  </w:style>
  <w:style w:type="paragraph" w:customStyle="1" w:styleId="BodyText21">
    <w:name w:val="Body Text 21"/>
    <w:basedOn w:val="a3"/>
    <w:unhideWhenUsed/>
    <w:qFormat/>
    <w:pPr>
      <w:autoSpaceDE w:val="0"/>
      <w:autoSpaceDN w:val="0"/>
      <w:adjustRightInd w:val="0"/>
      <w:spacing w:line="480" w:lineRule="exact"/>
      <w:ind w:firstLine="540"/>
      <w:textAlignment w:val="baseline"/>
    </w:pPr>
    <w:rPr>
      <w:rFonts w:ascii="宋体" w:hAnsi="Tms Rmn" w:hint="eastAsia"/>
      <w:szCs w:val="20"/>
    </w:rPr>
  </w:style>
  <w:style w:type="paragraph" w:customStyle="1" w:styleId="affffff5">
    <w:name w:val="前言、引言标题"/>
    <w:next w:val="a3"/>
    <w:unhideWhenUsed/>
    <w:qFormat/>
    <w:pPr>
      <w:shd w:val="clear" w:color="FFFFFF" w:fill="FFFFFF"/>
      <w:tabs>
        <w:tab w:val="left" w:pos="903"/>
      </w:tabs>
      <w:spacing w:before="640" w:after="560"/>
      <w:ind w:left="903" w:hanging="315"/>
      <w:jc w:val="center"/>
      <w:outlineLvl w:val="0"/>
    </w:pPr>
    <w:rPr>
      <w:rFonts w:ascii="黑体" w:eastAsia="黑体" w:hint="eastAsia"/>
      <w:sz w:val="32"/>
    </w:rPr>
  </w:style>
  <w:style w:type="paragraph" w:customStyle="1" w:styleId="affffff6">
    <w:name w:val="一级标题"/>
    <w:basedOn w:val="a3"/>
    <w:unhideWhenUsed/>
    <w:qFormat/>
    <w:pPr>
      <w:spacing w:before="60" w:line="500" w:lineRule="exact"/>
      <w:outlineLvl w:val="0"/>
    </w:pPr>
    <w:rPr>
      <w:rFonts w:hint="eastAsia"/>
      <w:b/>
      <w:sz w:val="32"/>
      <w:szCs w:val="24"/>
    </w:rPr>
  </w:style>
  <w:style w:type="paragraph" w:customStyle="1" w:styleId="affffff7">
    <w:name w:val="注释"/>
    <w:basedOn w:val="a3"/>
    <w:unhideWhenUsed/>
    <w:qFormat/>
    <w:pPr>
      <w:spacing w:before="60" w:line="360" w:lineRule="exact"/>
    </w:pPr>
    <w:rPr>
      <w:rFonts w:hint="eastAsia"/>
      <w:sz w:val="21"/>
      <w:szCs w:val="24"/>
    </w:rPr>
  </w:style>
  <w:style w:type="paragraph" w:customStyle="1" w:styleId="xl68">
    <w:name w:val="xl6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color w:val="000000"/>
      <w:sz w:val="20"/>
      <w:szCs w:val="20"/>
    </w:rPr>
  </w:style>
  <w:style w:type="paragraph" w:customStyle="1" w:styleId="xl84">
    <w:name w:val="xl84"/>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2Char3">
    <w:name w:val="正文2 Char"/>
    <w:basedOn w:val="a3"/>
    <w:unhideWhenUsed/>
    <w:qFormat/>
    <w:pPr>
      <w:adjustRightInd w:val="0"/>
      <w:snapToGrid w:val="0"/>
      <w:spacing w:line="500" w:lineRule="atLeast"/>
      <w:ind w:firstLine="567"/>
    </w:pPr>
    <w:rPr>
      <w:rFonts w:hint="eastAsia"/>
      <w:szCs w:val="20"/>
    </w:rPr>
  </w:style>
  <w:style w:type="paragraph" w:customStyle="1" w:styleId="1f9">
    <w:name w:val="页面标题1"/>
    <w:basedOn w:val="a3"/>
    <w:unhideWhenUsed/>
    <w:qFormat/>
    <w:pPr>
      <w:adjustRightInd w:val="0"/>
      <w:jc w:val="center"/>
      <w:textAlignment w:val="baseline"/>
    </w:pPr>
    <w:rPr>
      <w:rFonts w:ascii="黑体" w:eastAsia="黑体" w:hAnsi="宋体" w:hint="eastAsia"/>
      <w:b/>
      <w:kern w:val="24"/>
      <w:sz w:val="52"/>
      <w:szCs w:val="20"/>
    </w:rPr>
  </w:style>
  <w:style w:type="paragraph" w:customStyle="1" w:styleId="font8">
    <w:name w:val="font8"/>
    <w:basedOn w:val="a3"/>
    <w:unhideWhenUsed/>
    <w:qFormat/>
    <w:pPr>
      <w:widowControl/>
      <w:spacing w:before="100" w:beforeAutospacing="1" w:after="100" w:afterAutospacing="1"/>
      <w:jc w:val="left"/>
    </w:pPr>
    <w:rPr>
      <w:rFonts w:ascii="宋体" w:hAnsi="宋体" w:hint="eastAsia"/>
      <w:szCs w:val="24"/>
    </w:rPr>
  </w:style>
  <w:style w:type="paragraph" w:customStyle="1" w:styleId="xl40">
    <w:name w:val="xl40"/>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hint="eastAsia"/>
      <w:szCs w:val="24"/>
    </w:rPr>
  </w:style>
  <w:style w:type="paragraph" w:customStyle="1" w:styleId="311">
    <w:name w:val="正文文本 31"/>
    <w:basedOn w:val="a3"/>
    <w:link w:val="321"/>
    <w:unhideWhenUsed/>
    <w:qFormat/>
    <w:pPr>
      <w:adjustRightInd w:val="0"/>
      <w:snapToGrid w:val="0"/>
      <w:ind w:right="6"/>
    </w:pPr>
    <w:rPr>
      <w:rFonts w:hint="eastAsia"/>
      <w:szCs w:val="24"/>
    </w:rPr>
  </w:style>
  <w:style w:type="paragraph" w:customStyle="1" w:styleId="xl67">
    <w:name w:val="xl6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Cs w:val="24"/>
    </w:rPr>
  </w:style>
  <w:style w:type="paragraph" w:customStyle="1" w:styleId="xl83">
    <w:name w:val="xl83"/>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Cs w:val="24"/>
    </w:rPr>
  </w:style>
  <w:style w:type="paragraph" w:customStyle="1" w:styleId="003">
    <w:name w:val="标题003"/>
    <w:basedOn w:val="a3"/>
    <w:unhideWhenUsed/>
    <w:qFormat/>
    <w:pPr>
      <w:spacing w:line="440" w:lineRule="exact"/>
      <w:outlineLvl w:val="2"/>
    </w:pPr>
    <w:rPr>
      <w:rFonts w:hint="eastAsia"/>
      <w:szCs w:val="20"/>
    </w:rPr>
  </w:style>
  <w:style w:type="paragraph" w:customStyle="1" w:styleId="font7">
    <w:name w:val="font7"/>
    <w:basedOn w:val="a3"/>
    <w:unhideWhenUsed/>
    <w:qFormat/>
    <w:pPr>
      <w:widowControl/>
      <w:spacing w:before="100" w:beforeAutospacing="1" w:after="100" w:afterAutospacing="1"/>
      <w:jc w:val="left"/>
    </w:pPr>
    <w:rPr>
      <w:rFonts w:hint="eastAsia"/>
      <w:szCs w:val="24"/>
    </w:rPr>
  </w:style>
  <w:style w:type="paragraph" w:customStyle="1" w:styleId="xl38">
    <w:name w:val="xl3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affffff8">
    <w:name w:val="表内格式"/>
    <w:basedOn w:val="a3"/>
    <w:unhideWhenUsed/>
    <w:qFormat/>
    <w:pPr>
      <w:spacing w:line="280" w:lineRule="exact"/>
      <w:jc w:val="center"/>
    </w:pPr>
    <w:rPr>
      <w:rFonts w:ascii="宋体" w:hint="eastAsia"/>
      <w:sz w:val="18"/>
      <w:szCs w:val="20"/>
    </w:rPr>
  </w:style>
  <w:style w:type="paragraph" w:customStyle="1" w:styleId="ST201">
    <w:name w:val="ST20_1"/>
    <w:basedOn w:val="a3"/>
    <w:unhideWhenUsed/>
    <w:qFormat/>
    <w:pPr>
      <w:autoSpaceDE w:val="0"/>
      <w:autoSpaceDN w:val="0"/>
      <w:adjustRightInd w:val="0"/>
      <w:spacing w:line="312" w:lineRule="atLeast"/>
      <w:jc w:val="center"/>
      <w:textAlignment w:val="baseline"/>
    </w:pPr>
    <w:rPr>
      <w:rFonts w:ascii="宋体" w:hAnsi="Tms Rmn" w:hint="eastAsia"/>
      <w:szCs w:val="20"/>
    </w:rPr>
  </w:style>
  <w:style w:type="paragraph" w:customStyle="1" w:styleId="1fa">
    <w:name w:val="正文 1"/>
    <w:basedOn w:val="a3"/>
    <w:unhideWhenUsed/>
    <w:qFormat/>
    <w:pPr>
      <w:adjustRightInd w:val="0"/>
      <w:snapToGrid w:val="0"/>
      <w:spacing w:line="440" w:lineRule="exact"/>
    </w:pPr>
    <w:rPr>
      <w:rFonts w:hint="eastAsia"/>
      <w:szCs w:val="24"/>
    </w:rPr>
  </w:style>
  <w:style w:type="paragraph" w:customStyle="1" w:styleId="24125">
    <w:name w:val="样式 小四 首行缩进:  24 磅 行距: 多倍行距 1.25 字行"/>
    <w:basedOn w:val="a3"/>
    <w:unhideWhenUsed/>
    <w:qFormat/>
    <w:pPr>
      <w:adjustRightInd w:val="0"/>
      <w:spacing w:line="440" w:lineRule="exact"/>
      <w:ind w:firstLine="480"/>
      <w:textAlignment w:val="baseline"/>
    </w:pPr>
    <w:rPr>
      <w:rFonts w:hint="eastAsia"/>
      <w:szCs w:val="20"/>
    </w:rPr>
  </w:style>
  <w:style w:type="paragraph" w:customStyle="1" w:styleId="xl66">
    <w:name w:val="xl6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 w:val="20"/>
      <w:szCs w:val="20"/>
    </w:rPr>
  </w:style>
  <w:style w:type="paragraph" w:customStyle="1" w:styleId="xl82">
    <w:name w:val="xl8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000000"/>
      <w:szCs w:val="24"/>
    </w:rPr>
  </w:style>
  <w:style w:type="paragraph" w:customStyle="1" w:styleId="affffff9">
    <w:name w:val="表格字体"/>
    <w:basedOn w:val="a3"/>
    <w:unhideWhenUsed/>
    <w:qFormat/>
    <w:pPr>
      <w:tabs>
        <w:tab w:val="left" w:pos="0"/>
        <w:tab w:val="left" w:pos="180"/>
      </w:tabs>
      <w:jc w:val="center"/>
    </w:pPr>
    <w:rPr>
      <w:rFonts w:ascii="宋体" w:hAnsi="宋体" w:hint="eastAsia"/>
      <w:sz w:val="21"/>
    </w:rPr>
  </w:style>
  <w:style w:type="paragraph" w:customStyle="1" w:styleId="2f3">
    <w:name w:val="表格文字2"/>
    <w:basedOn w:val="a3"/>
    <w:link w:val="2Char4"/>
    <w:unhideWhenUsed/>
    <w:qFormat/>
    <w:pPr>
      <w:tabs>
        <w:tab w:val="left" w:pos="277"/>
        <w:tab w:val="left" w:pos="600"/>
        <w:tab w:val="left" w:pos="780"/>
        <w:tab w:val="left" w:pos="2517"/>
      </w:tabs>
      <w:adjustRightInd w:val="0"/>
      <w:spacing w:before="60"/>
      <w:jc w:val="center"/>
      <w:textAlignment w:val="baseline"/>
    </w:pPr>
    <w:rPr>
      <w:rFonts w:hint="eastAsia"/>
      <w:sz w:val="21"/>
      <w:szCs w:val="20"/>
    </w:rPr>
  </w:style>
  <w:style w:type="paragraph" w:customStyle="1" w:styleId="font6">
    <w:name w:val="font6"/>
    <w:basedOn w:val="a3"/>
    <w:unhideWhenUsed/>
    <w:qFormat/>
    <w:pPr>
      <w:widowControl/>
      <w:spacing w:before="100" w:beforeAutospacing="1" w:after="100" w:afterAutospacing="1"/>
      <w:jc w:val="left"/>
    </w:pPr>
    <w:rPr>
      <w:rFonts w:ascii="宋体" w:hAnsi="宋体" w:hint="eastAsia"/>
      <w:sz w:val="18"/>
      <w:szCs w:val="18"/>
    </w:rPr>
  </w:style>
  <w:style w:type="paragraph" w:customStyle="1" w:styleId="xl37">
    <w:name w:val="xl3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4b">
    <w:name w:val="4"/>
    <w:basedOn w:val="a3"/>
    <w:next w:val="1b"/>
    <w:unhideWhenUsed/>
    <w:qFormat/>
    <w:pPr>
      <w:ind w:firstLine="420"/>
    </w:pPr>
    <w:rPr>
      <w:rFonts w:hint="eastAsia"/>
      <w:sz w:val="21"/>
      <w:szCs w:val="24"/>
    </w:rPr>
  </w:style>
  <w:style w:type="paragraph" w:customStyle="1" w:styleId="affffffa">
    <w:name w:val="表"/>
    <w:basedOn w:val="a3"/>
    <w:link w:val="Charfe"/>
    <w:unhideWhenUsed/>
    <w:qFormat/>
    <w:pPr>
      <w:snapToGrid w:val="0"/>
      <w:jc w:val="center"/>
    </w:pPr>
    <w:rPr>
      <w:rFonts w:hint="eastAsia"/>
      <w:spacing w:val="2"/>
      <w:sz w:val="21"/>
      <w:szCs w:val="20"/>
    </w:rPr>
  </w:style>
  <w:style w:type="paragraph" w:customStyle="1" w:styleId="Char1CharCharChar">
    <w:name w:val="Char1 Char Char Char"/>
    <w:basedOn w:val="a3"/>
    <w:unhideWhenUsed/>
    <w:qFormat/>
    <w:rPr>
      <w:rFonts w:hint="eastAsia"/>
      <w:sz w:val="21"/>
    </w:rPr>
  </w:style>
  <w:style w:type="paragraph" w:customStyle="1" w:styleId="020">
    <w:name w:val="标题02"/>
    <w:basedOn w:val="a3"/>
    <w:next w:val="a3"/>
    <w:unhideWhenUsed/>
    <w:qFormat/>
    <w:pPr>
      <w:adjustRightInd w:val="0"/>
      <w:snapToGrid w:val="0"/>
      <w:spacing w:line="440" w:lineRule="atLeast"/>
      <w:outlineLvl w:val="1"/>
    </w:pPr>
    <w:rPr>
      <w:rFonts w:hint="eastAsia"/>
      <w:b/>
      <w:szCs w:val="20"/>
    </w:rPr>
  </w:style>
  <w:style w:type="paragraph" w:customStyle="1" w:styleId="011">
    <w:name w:val="符号_01"/>
    <w:unhideWhenUsed/>
    <w:qFormat/>
    <w:pPr>
      <w:tabs>
        <w:tab w:val="left" w:pos="2040"/>
        <w:tab w:val="right" w:leader="dot" w:pos="6896"/>
        <w:tab w:val="left" w:pos="7070"/>
      </w:tabs>
      <w:spacing w:afterLines="50" w:line="240" w:lineRule="atLeast"/>
      <w:ind w:leftChars="800" w:left="2040" w:rightChars="200" w:right="420" w:hangingChars="200" w:hanging="360"/>
      <w:jc w:val="both"/>
    </w:pPr>
    <w:rPr>
      <w:rFonts w:ascii="Garamond" w:eastAsia="楷体_GB2312" w:hAnsi="Garamond" w:hint="eastAsia"/>
      <w:kern w:val="2"/>
      <w:sz w:val="28"/>
      <w:szCs w:val="28"/>
    </w:rPr>
  </w:style>
  <w:style w:type="paragraph" w:customStyle="1" w:styleId="affffffb">
    <w:name w:val="居中正文"/>
    <w:basedOn w:val="1fb"/>
    <w:unhideWhenUsed/>
    <w:qFormat/>
    <w:pPr>
      <w:adjustRightInd w:val="0"/>
      <w:ind w:firstLineChars="0" w:firstLine="0"/>
      <w:jc w:val="center"/>
      <w:textAlignment w:val="baseline"/>
    </w:pPr>
    <w:rPr>
      <w:rFonts w:ascii="宋体"/>
      <w:kern w:val="28"/>
      <w:szCs w:val="20"/>
    </w:rPr>
  </w:style>
  <w:style w:type="paragraph" w:customStyle="1" w:styleId="1fb">
    <w:name w:val="正文文本首行缩进1"/>
    <w:basedOn w:val="12"/>
    <w:link w:val="Char33"/>
    <w:unhideWhenUsed/>
    <w:qFormat/>
    <w:pPr>
      <w:widowControl w:val="0"/>
      <w:spacing w:after="0"/>
      <w:ind w:firstLine="480"/>
      <w:jc w:val="both"/>
    </w:pPr>
  </w:style>
  <w:style w:type="paragraph" w:customStyle="1" w:styleId="xl65">
    <w:name w:val="xl6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0"/>
      <w:szCs w:val="20"/>
    </w:rPr>
  </w:style>
  <w:style w:type="paragraph" w:customStyle="1" w:styleId="xl81">
    <w:name w:val="xl8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affffffc">
    <w:name w:val="定表"/>
    <w:basedOn w:val="a3"/>
    <w:unhideWhenUsed/>
    <w:qFormat/>
    <w:pPr>
      <w:snapToGrid w:val="0"/>
      <w:spacing w:afterLines="50"/>
    </w:pPr>
    <w:rPr>
      <w:rFonts w:hint="eastAsia"/>
      <w:sz w:val="21"/>
      <w:szCs w:val="24"/>
    </w:rPr>
  </w:style>
  <w:style w:type="paragraph" w:customStyle="1" w:styleId="ParaCharCharCharChar">
    <w:name w:val="默认段落字体 Para Char Char Char Char"/>
    <w:basedOn w:val="a3"/>
    <w:unhideWhenUsed/>
    <w:qFormat/>
    <w:rPr>
      <w:rFonts w:hint="eastAsia"/>
      <w:sz w:val="21"/>
      <w:szCs w:val="24"/>
    </w:rPr>
  </w:style>
  <w:style w:type="paragraph" w:customStyle="1" w:styleId="affffffd">
    <w:name w:val="二级标题"/>
    <w:basedOn w:val="213"/>
    <w:unhideWhenUsed/>
    <w:qFormat/>
    <w:pPr>
      <w:tabs>
        <w:tab w:val="left" w:pos="1322"/>
      </w:tabs>
      <w:spacing w:before="60" w:line="460" w:lineRule="exact"/>
      <w:ind w:firstLineChars="0" w:firstLine="0"/>
    </w:pPr>
    <w:rPr>
      <w:sz w:val="28"/>
    </w:rPr>
  </w:style>
  <w:style w:type="paragraph" w:customStyle="1" w:styleId="font5">
    <w:name w:val="font5"/>
    <w:basedOn w:val="a3"/>
    <w:unhideWhenUsed/>
    <w:qFormat/>
    <w:pPr>
      <w:widowControl/>
      <w:spacing w:before="100" w:beforeAutospacing="1" w:after="100" w:afterAutospacing="1"/>
      <w:jc w:val="left"/>
    </w:pPr>
    <w:rPr>
      <w:rFonts w:ascii="黑体" w:eastAsia="黑体" w:hAnsi="宋体" w:hint="eastAsia"/>
      <w:b/>
      <w:sz w:val="36"/>
      <w:szCs w:val="36"/>
    </w:rPr>
  </w:style>
  <w:style w:type="paragraph" w:customStyle="1" w:styleId="xl36">
    <w:name w:val="xl3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font1">
    <w:name w:val="font1"/>
    <w:basedOn w:val="a3"/>
    <w:unhideWhenUsed/>
    <w:qFormat/>
    <w:pPr>
      <w:widowControl/>
      <w:spacing w:before="100" w:beforeAutospacing="1" w:after="100" w:afterAutospacing="1"/>
      <w:jc w:val="left"/>
    </w:pPr>
    <w:rPr>
      <w:rFonts w:ascii="宋体" w:hAnsi="宋体" w:hint="eastAsia"/>
      <w:szCs w:val="24"/>
    </w:rPr>
  </w:style>
  <w:style w:type="paragraph" w:customStyle="1" w:styleId="xl51">
    <w:name w:val="xl51"/>
    <w:basedOn w:val="a3"/>
    <w:unhideWhenUsed/>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hint="eastAsia"/>
      <w:szCs w:val="24"/>
    </w:rPr>
  </w:style>
  <w:style w:type="paragraph" w:customStyle="1" w:styleId="03">
    <w:name w:val="标题03"/>
    <w:basedOn w:val="a3"/>
    <w:unhideWhenUsed/>
    <w:qFormat/>
    <w:pPr>
      <w:tabs>
        <w:tab w:val="left" w:pos="610"/>
        <w:tab w:val="left" w:pos="860"/>
        <w:tab w:val="left" w:pos="1075"/>
      </w:tabs>
      <w:snapToGrid w:val="0"/>
      <w:spacing w:before="100" w:beforeAutospacing="1" w:after="100" w:afterAutospacing="1"/>
      <w:jc w:val="left"/>
      <w:outlineLvl w:val="2"/>
    </w:pPr>
    <w:rPr>
      <w:rFonts w:hint="eastAsia"/>
      <w:b/>
      <w:spacing w:val="2"/>
      <w:szCs w:val="20"/>
    </w:rPr>
  </w:style>
  <w:style w:type="paragraph" w:customStyle="1" w:styleId="T">
    <w:name w:val="T正文"/>
    <w:unhideWhenUsed/>
    <w:qFormat/>
    <w:pPr>
      <w:widowControl w:val="0"/>
      <w:adjustRightInd w:val="0"/>
      <w:snapToGrid w:val="0"/>
      <w:spacing w:line="360" w:lineRule="auto"/>
      <w:ind w:firstLineChars="200" w:firstLine="200"/>
      <w:jc w:val="both"/>
    </w:pPr>
    <w:rPr>
      <w:rFonts w:eastAsia="仿宋_GB2312" w:hint="eastAsia"/>
      <w:sz w:val="28"/>
    </w:rPr>
  </w:style>
  <w:style w:type="paragraph" w:customStyle="1" w:styleId="font12">
    <w:name w:val="font12"/>
    <w:basedOn w:val="a3"/>
    <w:unhideWhenUsed/>
    <w:qFormat/>
    <w:pPr>
      <w:widowControl/>
      <w:spacing w:before="100" w:beforeAutospacing="1" w:after="100" w:afterAutospacing="1"/>
      <w:jc w:val="left"/>
    </w:pPr>
    <w:rPr>
      <w:rFonts w:eastAsia="Arial Unicode MS" w:hint="eastAsia"/>
      <w:b/>
      <w:szCs w:val="24"/>
    </w:rPr>
  </w:style>
  <w:style w:type="paragraph" w:customStyle="1" w:styleId="012">
    <w:name w:val="标题01"/>
    <w:basedOn w:val="a3"/>
    <w:unhideWhenUsed/>
    <w:qFormat/>
    <w:pPr>
      <w:adjustRightInd w:val="0"/>
      <w:snapToGrid w:val="0"/>
      <w:spacing w:after="120" w:line="460" w:lineRule="atLeast"/>
      <w:ind w:firstLine="480"/>
      <w:jc w:val="center"/>
      <w:outlineLvl w:val="0"/>
    </w:pPr>
    <w:rPr>
      <w:rFonts w:hint="eastAsia"/>
      <w:b/>
      <w:sz w:val="30"/>
      <w:szCs w:val="20"/>
    </w:rPr>
  </w:style>
  <w:style w:type="paragraph" w:customStyle="1" w:styleId="xl64">
    <w:name w:val="xl6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80">
    <w:name w:val="xl8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Cs w:val="24"/>
    </w:rPr>
  </w:style>
  <w:style w:type="paragraph" w:customStyle="1" w:styleId="affffffe">
    <w:name w:val="简单回函地址"/>
    <w:basedOn w:val="a3"/>
    <w:unhideWhenUsed/>
    <w:qFormat/>
    <w:pPr>
      <w:adjustRightInd w:val="0"/>
      <w:snapToGrid w:val="0"/>
    </w:pPr>
    <w:rPr>
      <w:rFonts w:hint="eastAsia"/>
      <w:szCs w:val="20"/>
    </w:rPr>
  </w:style>
  <w:style w:type="paragraph" w:customStyle="1" w:styleId="xl91">
    <w:name w:val="xl91"/>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5a">
    <w:name w:val="样式5"/>
    <w:basedOn w:val="a3"/>
    <w:link w:val="5Char1"/>
    <w:unhideWhenUsed/>
    <w:qFormat/>
    <w:pPr>
      <w:spacing w:line="500" w:lineRule="exact"/>
      <w:ind w:firstLine="480"/>
    </w:pPr>
    <w:rPr>
      <w:rFonts w:ascii="宋体" w:hAnsi="宋体" w:hint="eastAsia"/>
      <w:color w:val="000000"/>
      <w:szCs w:val="24"/>
    </w:rPr>
  </w:style>
  <w:style w:type="paragraph" w:customStyle="1" w:styleId="font0">
    <w:name w:val="font0"/>
    <w:basedOn w:val="a3"/>
    <w:unhideWhenUsed/>
    <w:qFormat/>
    <w:pPr>
      <w:widowControl/>
      <w:spacing w:before="100" w:beforeAutospacing="1" w:after="100" w:afterAutospacing="1"/>
      <w:jc w:val="left"/>
    </w:pPr>
    <w:rPr>
      <w:rFonts w:ascii="宋体" w:hAnsi="宋体" w:hint="eastAsia"/>
      <w:szCs w:val="24"/>
    </w:rPr>
  </w:style>
  <w:style w:type="paragraph" w:customStyle="1" w:styleId="xl35">
    <w:name w:val="xl3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002">
    <w:name w:val="标题002"/>
    <w:basedOn w:val="a3"/>
    <w:unhideWhenUsed/>
    <w:qFormat/>
    <w:pPr>
      <w:adjustRightInd w:val="0"/>
      <w:spacing w:before="160" w:line="480" w:lineRule="exact"/>
      <w:textAlignment w:val="baseline"/>
      <w:outlineLvl w:val="1"/>
    </w:pPr>
    <w:rPr>
      <w:rFonts w:hint="eastAsia"/>
      <w:b/>
      <w:sz w:val="28"/>
      <w:szCs w:val="20"/>
    </w:rPr>
  </w:style>
  <w:style w:type="paragraph" w:customStyle="1" w:styleId="xl53">
    <w:name w:val="xl5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hint="eastAsia"/>
      <w:sz w:val="20"/>
      <w:szCs w:val="20"/>
    </w:rPr>
  </w:style>
  <w:style w:type="character" w:customStyle="1" w:styleId="font11Char">
    <w:name w:val="font11 Char"/>
    <w:unhideWhenUsed/>
    <w:qFormat/>
    <w:rPr>
      <w:rFonts w:eastAsia="Arial Unicode MS" w:hint="eastAsia"/>
      <w:sz w:val="20"/>
      <w:szCs w:val="20"/>
    </w:rPr>
  </w:style>
  <w:style w:type="paragraph" w:customStyle="1" w:styleId="afffffff">
    <w:name w:val="流程图"/>
    <w:basedOn w:val="a3"/>
    <w:unhideWhenUsed/>
    <w:qFormat/>
    <w:pPr>
      <w:tabs>
        <w:tab w:val="left" w:pos="0"/>
      </w:tabs>
      <w:autoSpaceDE w:val="0"/>
      <w:autoSpaceDN w:val="0"/>
      <w:adjustRightInd w:val="0"/>
      <w:spacing w:line="240" w:lineRule="atLeast"/>
      <w:jc w:val="center"/>
      <w:textAlignment w:val="bottom"/>
    </w:pPr>
    <w:rPr>
      <w:rFonts w:ascii="宋体" w:hint="eastAsia"/>
      <w:sz w:val="21"/>
      <w:szCs w:val="20"/>
    </w:rPr>
  </w:style>
  <w:style w:type="paragraph" w:customStyle="1" w:styleId="xl63">
    <w:name w:val="xl6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b/>
      <w:sz w:val="20"/>
      <w:szCs w:val="20"/>
    </w:rPr>
  </w:style>
  <w:style w:type="paragraph" w:customStyle="1" w:styleId="xl79">
    <w:name w:val="xl7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90">
    <w:name w:val="xl90"/>
    <w:basedOn w:val="a3"/>
    <w:unhideWhenUsed/>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32">
    <w:name w:val="xl32"/>
    <w:basedOn w:val="a3"/>
    <w:unhideWhenUsed/>
    <w:qFormat/>
    <w:pPr>
      <w:widowControl/>
      <w:spacing w:before="100" w:beforeAutospacing="1" w:after="100" w:afterAutospacing="1"/>
      <w:jc w:val="center"/>
      <w:textAlignment w:val="center"/>
    </w:pPr>
    <w:rPr>
      <w:rFonts w:ascii="黑体" w:eastAsia="黑体" w:hAnsi="宋体" w:hint="eastAsia"/>
      <w:b/>
      <w:sz w:val="28"/>
      <w:szCs w:val="28"/>
    </w:rPr>
  </w:style>
  <w:style w:type="paragraph" w:customStyle="1" w:styleId="xl34">
    <w:name w:val="xl3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szCs w:val="24"/>
    </w:rPr>
  </w:style>
  <w:style w:type="paragraph" w:customStyle="1" w:styleId="xl50">
    <w:name w:val="xl50"/>
    <w:basedOn w:val="a3"/>
    <w:unhideWhenUsed/>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szCs w:val="24"/>
    </w:rPr>
  </w:style>
  <w:style w:type="paragraph" w:customStyle="1" w:styleId="afffffff0">
    <w:name w:val="五级条标题"/>
    <w:basedOn w:val="afffff8"/>
    <w:next w:val="a3"/>
    <w:unhideWhenUsed/>
    <w:qFormat/>
    <w:pPr>
      <w:tabs>
        <w:tab w:val="clear" w:pos="2520"/>
        <w:tab w:val="clear" w:pos="3000"/>
        <w:tab w:val="left" w:pos="2940"/>
        <w:tab w:val="left" w:pos="3420"/>
      </w:tabs>
      <w:outlineLvl w:val="6"/>
    </w:pPr>
  </w:style>
  <w:style w:type="paragraph" w:customStyle="1" w:styleId="312">
    <w:name w:val="正文文本缩进 31"/>
    <w:basedOn w:val="a3"/>
    <w:link w:val="3210"/>
    <w:unhideWhenUsed/>
    <w:qFormat/>
    <w:pPr>
      <w:widowControl/>
      <w:ind w:firstLineChars="100" w:firstLine="280"/>
      <w:jc w:val="left"/>
    </w:pPr>
    <w:rPr>
      <w:rFonts w:hint="eastAsia"/>
      <w:sz w:val="28"/>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unhideWhenUsed/>
    <w:qFormat/>
    <w:rPr>
      <w:rFonts w:hint="eastAsia"/>
      <w:b/>
      <w:color w:val="000000"/>
      <w:szCs w:val="20"/>
    </w:rPr>
  </w:style>
  <w:style w:type="paragraph" w:customStyle="1" w:styleId="1fc">
    <w:name w:val="普通表格1"/>
    <w:basedOn w:val="PlainText1"/>
    <w:unhideWhenUsed/>
    <w:qFormat/>
    <w:pPr>
      <w:snapToGrid w:val="0"/>
      <w:spacing w:line="380" w:lineRule="exact"/>
    </w:pPr>
    <w:rPr>
      <w:rFonts w:ascii="Times New Roman" w:hAnsi="Times New Roman" w:cs="Times New Roman"/>
      <w:sz w:val="24"/>
    </w:rPr>
  </w:style>
  <w:style w:type="paragraph" w:customStyle="1" w:styleId="CharCharCharChar2">
    <w:name w:val="Char Char Char Char2"/>
    <w:basedOn w:val="a3"/>
    <w:unhideWhenUsed/>
    <w:qFormat/>
    <w:rPr>
      <w:rFonts w:hint="eastAsia"/>
      <w:sz w:val="21"/>
      <w:szCs w:val="24"/>
    </w:rPr>
  </w:style>
  <w:style w:type="paragraph" w:customStyle="1" w:styleId="xl62">
    <w:name w:val="xl6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xl78">
    <w:name w:val="xl7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color w:val="000000"/>
      <w:sz w:val="20"/>
      <w:szCs w:val="20"/>
    </w:rPr>
  </w:style>
  <w:style w:type="paragraph" w:customStyle="1" w:styleId="CharChar3CharCharCharChar">
    <w:name w:val="Char Char3 Char Char Char Char"/>
    <w:basedOn w:val="a3"/>
    <w:unhideWhenUsed/>
    <w:qFormat/>
    <w:pPr>
      <w:widowControl/>
      <w:spacing w:after="160" w:line="240" w:lineRule="exact"/>
      <w:jc w:val="left"/>
    </w:pPr>
    <w:rPr>
      <w:rFonts w:hint="eastAsia"/>
      <w:sz w:val="21"/>
      <w:szCs w:val="20"/>
    </w:rPr>
  </w:style>
  <w:style w:type="paragraph" w:customStyle="1" w:styleId="1fd">
    <w:name w:val="页眉1"/>
    <w:basedOn w:val="a3"/>
    <w:link w:val="241"/>
    <w:unhideWhenUsed/>
    <w:qFormat/>
    <w:pPr>
      <w:pBdr>
        <w:bottom w:val="single" w:sz="6" w:space="1" w:color="auto"/>
      </w:pBdr>
      <w:tabs>
        <w:tab w:val="center" w:pos="4153"/>
        <w:tab w:val="right" w:pos="8306"/>
      </w:tabs>
      <w:snapToGrid w:val="0"/>
      <w:jc w:val="center"/>
    </w:pPr>
    <w:rPr>
      <w:rFonts w:hint="eastAsia"/>
      <w:sz w:val="18"/>
      <w:szCs w:val="18"/>
    </w:rPr>
  </w:style>
  <w:style w:type="paragraph" w:customStyle="1" w:styleId="xl89">
    <w:name w:val="xl89"/>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CharChar">
    <w:name w:val="Char Char"/>
    <w:basedOn w:val="a3"/>
    <w:unhideWhenUsed/>
    <w:qFormat/>
    <w:rPr>
      <w:rFonts w:hint="eastAsia"/>
      <w:sz w:val="21"/>
      <w:szCs w:val="24"/>
    </w:rPr>
  </w:style>
  <w:style w:type="paragraph" w:customStyle="1" w:styleId="CharCharCharCharCharCharCharCharCharCharCharCharCharCharCharChar">
    <w:name w:val="Char Char Char Char Char Char Char Char Char Char Char Char Char Char Char Char"/>
    <w:basedOn w:val="a3"/>
    <w:unhideWhenUsed/>
    <w:qFormat/>
    <w:rPr>
      <w:rFonts w:ascii="宋体" w:hAnsi="宋体" w:cs="宋体" w:hint="eastAsia"/>
      <w:szCs w:val="24"/>
    </w:rPr>
  </w:style>
  <w:style w:type="paragraph" w:customStyle="1" w:styleId="CharCharCharCharCharCharCharCharCharCharCharCharCharCharCharChar1">
    <w:name w:val="Char Char Char Char Char Char Char Char Char Char Char Char Char Char Char Char1"/>
    <w:basedOn w:val="a3"/>
    <w:unhideWhenUsed/>
    <w:qFormat/>
    <w:rPr>
      <w:rFonts w:ascii="宋体" w:hAnsi="宋体" w:cs="宋体" w:hint="eastAsia"/>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unhideWhenUsed/>
    <w:qFormat/>
    <w:rPr>
      <w:rFonts w:hint="eastAsia"/>
      <w:sz w:val="21"/>
      <w:szCs w:val="20"/>
    </w:rPr>
  </w:style>
  <w:style w:type="paragraph" w:customStyle="1" w:styleId="afffffff1">
    <w:name w:val="本文正文"/>
    <w:basedOn w:val="a3"/>
    <w:unhideWhenUsed/>
    <w:qFormat/>
    <w:pPr>
      <w:widowControl/>
      <w:spacing w:line="480" w:lineRule="exact"/>
      <w:jc w:val="left"/>
    </w:pPr>
    <w:rPr>
      <w:rFonts w:ascii="宋体" w:hAnsi="宋体" w:cs="宋体" w:hint="eastAsia"/>
      <w:szCs w:val="24"/>
    </w:rPr>
  </w:style>
  <w:style w:type="paragraph" w:customStyle="1" w:styleId="cucd-0">
    <w:name w:val="cucd-0"/>
    <w:link w:val="cucd-0Char"/>
    <w:unhideWhenUsed/>
    <w:qFormat/>
    <w:pPr>
      <w:spacing w:line="360" w:lineRule="auto"/>
      <w:ind w:firstLineChars="200" w:firstLine="480"/>
    </w:pPr>
    <w:rPr>
      <w:rFonts w:hint="eastAsia"/>
      <w:kern w:val="2"/>
      <w:sz w:val="24"/>
      <w:szCs w:val="24"/>
    </w:rPr>
  </w:style>
  <w:style w:type="paragraph" w:customStyle="1" w:styleId="100">
    <w:name w:val="1.0"/>
    <w:basedOn w:val="a3"/>
    <w:unhideWhenUsed/>
    <w:qFormat/>
    <w:pPr>
      <w:ind w:left="540" w:hanging="540"/>
    </w:pPr>
    <w:rPr>
      <w:rFonts w:eastAsia="PMingLiU" w:hint="eastAsia"/>
      <w:b/>
      <w:sz w:val="28"/>
      <w:szCs w:val="20"/>
      <w:lang w:eastAsia="zh-TW"/>
    </w:rPr>
  </w:style>
  <w:style w:type="paragraph" w:customStyle="1" w:styleId="xl236">
    <w:name w:val="xl236"/>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pPr>
    <w:rPr>
      <w:rFonts w:hint="eastAsia"/>
      <w:sz w:val="18"/>
      <w:szCs w:val="18"/>
    </w:rPr>
  </w:style>
  <w:style w:type="paragraph" w:customStyle="1" w:styleId="xl237">
    <w:name w:val="xl237"/>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sz w:val="18"/>
      <w:szCs w:val="18"/>
    </w:rPr>
  </w:style>
  <w:style w:type="paragraph" w:customStyle="1" w:styleId="xl238">
    <w:name w:val="xl238"/>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pPr>
    <w:rPr>
      <w:rFonts w:hint="eastAsia"/>
      <w:color w:val="FF0000"/>
      <w:sz w:val="18"/>
      <w:szCs w:val="18"/>
    </w:rPr>
  </w:style>
  <w:style w:type="paragraph" w:customStyle="1" w:styleId="xl239">
    <w:name w:val="xl239"/>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0000FF"/>
      <w:sz w:val="18"/>
      <w:szCs w:val="18"/>
    </w:rPr>
  </w:style>
  <w:style w:type="paragraph" w:customStyle="1" w:styleId="xl240">
    <w:name w:val="xl240"/>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FF0000"/>
      <w:sz w:val="18"/>
      <w:szCs w:val="18"/>
    </w:rPr>
  </w:style>
  <w:style w:type="paragraph" w:customStyle="1" w:styleId="xl241">
    <w:name w:val="xl241"/>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0000FF"/>
      <w:sz w:val="18"/>
      <w:szCs w:val="18"/>
    </w:rPr>
  </w:style>
  <w:style w:type="paragraph" w:customStyle="1" w:styleId="xl242">
    <w:name w:val="xl242"/>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FF0000"/>
      <w:sz w:val="18"/>
      <w:szCs w:val="18"/>
    </w:rPr>
  </w:style>
  <w:style w:type="paragraph" w:customStyle="1" w:styleId="1fe">
    <w:name w:val="正文1"/>
    <w:basedOn w:val="a3"/>
    <w:link w:val="1Char10"/>
    <w:unhideWhenUsed/>
    <w:qFormat/>
    <w:pPr>
      <w:spacing w:line="440" w:lineRule="exact"/>
      <w:ind w:firstLine="510"/>
    </w:pPr>
    <w:rPr>
      <w:rFonts w:hint="eastAsia"/>
      <w:szCs w:val="20"/>
    </w:rPr>
  </w:style>
  <w:style w:type="paragraph" w:customStyle="1" w:styleId="2f4">
    <w:name w:val="纯文本2"/>
    <w:basedOn w:val="a3"/>
    <w:unhideWhenUsed/>
    <w:qFormat/>
    <w:pPr>
      <w:adjustRightInd w:val="0"/>
      <w:textAlignment w:val="baseline"/>
    </w:pPr>
    <w:rPr>
      <w:rFonts w:ascii="宋体" w:hAnsi="Courier New" w:hint="eastAsia"/>
      <w:sz w:val="21"/>
      <w:szCs w:val="20"/>
    </w:rPr>
  </w:style>
  <w:style w:type="paragraph" w:customStyle="1" w:styleId="afffffff2">
    <w:name w:val="表中文字"/>
    <w:basedOn w:val="a3"/>
    <w:link w:val="Char110"/>
    <w:unhideWhenUsed/>
    <w:qFormat/>
    <w:pPr>
      <w:jc w:val="center"/>
    </w:pPr>
    <w:rPr>
      <w:rFonts w:hint="eastAsia"/>
      <w:sz w:val="21"/>
      <w:szCs w:val="20"/>
    </w:rPr>
  </w:style>
  <w:style w:type="paragraph" w:customStyle="1" w:styleId="2f5">
    <w:name w:val="样式 首行缩进:  2 字符"/>
    <w:basedOn w:val="a3"/>
    <w:unhideWhenUsed/>
    <w:qFormat/>
    <w:pPr>
      <w:ind w:firstLine="560"/>
    </w:pPr>
    <w:rPr>
      <w:rFonts w:eastAsia="仿宋_GB2312" w:hint="eastAsia"/>
      <w:sz w:val="28"/>
      <w:szCs w:val="28"/>
    </w:rPr>
  </w:style>
  <w:style w:type="paragraph" w:customStyle="1" w:styleId="Char120">
    <w:name w:val="Char12"/>
    <w:basedOn w:val="a3"/>
    <w:unhideWhenUsed/>
    <w:qFormat/>
    <w:pPr>
      <w:widowControl/>
      <w:spacing w:after="160" w:line="240" w:lineRule="exact"/>
      <w:jc w:val="left"/>
    </w:pPr>
    <w:rPr>
      <w:rFonts w:ascii="Tahoma" w:hAnsi="Tahoma" w:hint="eastAsia"/>
      <w:szCs w:val="20"/>
      <w:lang w:eastAsia="en-US"/>
    </w:rPr>
  </w:style>
  <w:style w:type="paragraph" w:customStyle="1" w:styleId="Char70">
    <w:name w:val="Char7"/>
    <w:basedOn w:val="a3"/>
    <w:unhideWhenUsed/>
    <w:qFormat/>
    <w:rPr>
      <w:rFonts w:ascii="宋体" w:hAnsi="宋体" w:cs="宋体" w:hint="eastAsia"/>
      <w:szCs w:val="24"/>
    </w:rPr>
  </w:style>
  <w:style w:type="paragraph" w:customStyle="1" w:styleId="CharCharCharCharCharCharCharCharCharChar">
    <w:name w:val="Char Char Char Char Char Char Char Char Char Char"/>
    <w:basedOn w:val="a3"/>
    <w:unhideWhenUsed/>
    <w:qFormat/>
    <w:rPr>
      <w:rFonts w:hint="eastAsia"/>
      <w:sz w:val="21"/>
      <w:szCs w:val="24"/>
    </w:rPr>
  </w:style>
  <w:style w:type="paragraph" w:customStyle="1" w:styleId="CharCharChar1Char">
    <w:name w:val="Char Char Char1 Char"/>
    <w:basedOn w:val="a3"/>
    <w:unhideWhenUsed/>
    <w:qFormat/>
    <w:rPr>
      <w:rFonts w:hint="eastAsia"/>
      <w:sz w:val="21"/>
      <w:szCs w:val="24"/>
    </w:rPr>
  </w:style>
  <w:style w:type="paragraph" w:customStyle="1" w:styleId="CharCharCharCharCharCharCharCharCharCharCharCharCharCharCharCharCharCharChar">
    <w:name w:val="Char Char Char Char Char Char Char Char Char Char Char Char Char Char Char Char Char Char Char"/>
    <w:basedOn w:val="a3"/>
    <w:unhideWhenUsed/>
    <w:qFormat/>
    <w:rPr>
      <w:rFonts w:ascii="宋体" w:hAnsi="宋体" w:cs="宋体" w:hint="eastAsia"/>
      <w:szCs w:val="24"/>
    </w:rPr>
  </w:style>
  <w:style w:type="paragraph" w:customStyle="1" w:styleId="CharCharCharChar4">
    <w:name w:val="Char Char Char Char4"/>
    <w:basedOn w:val="a3"/>
    <w:unhideWhenUsed/>
    <w:qFormat/>
    <w:pPr>
      <w:snapToGrid w:val="0"/>
      <w:spacing w:line="440" w:lineRule="atLeast"/>
    </w:pPr>
    <w:rPr>
      <w:rFonts w:ascii="宋体" w:hint="eastAsia"/>
      <w:szCs w:val="24"/>
    </w:rPr>
  </w:style>
  <w:style w:type="paragraph" w:customStyle="1" w:styleId="afffffff3">
    <w:name w:val="章标题"/>
    <w:next w:val="a3"/>
    <w:unhideWhenUsed/>
    <w:qFormat/>
    <w:pPr>
      <w:tabs>
        <w:tab w:val="left" w:pos="903"/>
      </w:tabs>
      <w:spacing w:before="50" w:after="50"/>
      <w:ind w:left="903" w:hanging="315"/>
      <w:jc w:val="both"/>
      <w:outlineLvl w:val="1"/>
    </w:pPr>
    <w:rPr>
      <w:rFonts w:ascii="黑体" w:eastAsia="黑体" w:hint="eastAsia"/>
      <w:sz w:val="21"/>
    </w:rPr>
  </w:style>
  <w:style w:type="paragraph" w:customStyle="1" w:styleId="afffffff4">
    <w:name w:val="表格数字"/>
    <w:basedOn w:val="a3"/>
    <w:link w:val="Charff"/>
    <w:unhideWhenUsed/>
    <w:qFormat/>
    <w:pPr>
      <w:spacing w:line="360" w:lineRule="exact"/>
      <w:jc w:val="center"/>
    </w:pPr>
    <w:rPr>
      <w:rFonts w:ascii="Arial" w:hAnsi="Arial" w:cs="宋体" w:hint="eastAsia"/>
      <w:sz w:val="21"/>
      <w:szCs w:val="20"/>
    </w:rPr>
  </w:style>
  <w:style w:type="paragraph" w:customStyle="1" w:styleId="CharCharCharCharCharChar3">
    <w:name w:val="Char Char Char Char Char Char3"/>
    <w:basedOn w:val="a3"/>
    <w:unhideWhenUsed/>
    <w:qFormat/>
    <w:rPr>
      <w:rFonts w:ascii="宋体" w:hAnsi="宋体" w:hint="eastAsia"/>
      <w:szCs w:val="24"/>
    </w:rPr>
  </w:style>
  <w:style w:type="paragraph" w:customStyle="1" w:styleId="CharCharChar2CharCharCharCharCharCharCharCharCharCharChar1">
    <w:name w:val="Char Char Char2 Char Char Char Char Char Char Char Char Char Char Char1"/>
    <w:basedOn w:val="a3"/>
    <w:unhideWhenUsed/>
    <w:qFormat/>
    <w:pPr>
      <w:spacing w:beforeLines="20" w:line="440" w:lineRule="atLeast"/>
    </w:pPr>
    <w:rPr>
      <w:rFonts w:hint="eastAsia"/>
      <w:szCs w:val="24"/>
    </w:rPr>
  </w:style>
  <w:style w:type="paragraph" w:customStyle="1" w:styleId="CharCharCharCharCharChar1CharCharCharChar1">
    <w:name w:val="Char Char Char Char Char Char1 Char Char Char Char1"/>
    <w:basedOn w:val="a3"/>
    <w:unhideWhenUsed/>
    <w:qFormat/>
    <w:rPr>
      <w:rFonts w:hint="eastAsia"/>
      <w:szCs w:val="24"/>
    </w:rPr>
  </w:style>
  <w:style w:type="paragraph" w:customStyle="1" w:styleId="CharCharCharCharCharChar2CharCharCharChar1">
    <w:name w:val="Char Char Char Char Char Char2 Char Char Char Char1"/>
    <w:basedOn w:val="a3"/>
    <w:unhideWhenUsed/>
    <w:qFormat/>
    <w:rPr>
      <w:rFonts w:hint="eastAsia"/>
      <w:sz w:val="21"/>
      <w:szCs w:val="24"/>
    </w:rPr>
  </w:style>
  <w:style w:type="paragraph" w:customStyle="1" w:styleId="Bullet">
    <w:name w:val="Bullet"/>
    <w:unhideWhenUsed/>
    <w:qFormat/>
    <w:pPr>
      <w:widowControl w:val="0"/>
      <w:autoSpaceDE w:val="0"/>
      <w:autoSpaceDN w:val="0"/>
      <w:adjustRightInd w:val="0"/>
      <w:ind w:left="720"/>
    </w:pPr>
    <w:rPr>
      <w:rFonts w:ascii="MingLiU" w:eastAsia="MingLiU" w:hint="eastAsia"/>
      <w:color w:val="000000"/>
      <w:sz w:val="24"/>
      <w:lang w:eastAsia="zh-TW"/>
    </w:rPr>
  </w:style>
  <w:style w:type="paragraph" w:customStyle="1" w:styleId="101">
    <w:name w:val="样式 正文1 + 段前: 0.1 行"/>
    <w:basedOn w:val="a3"/>
    <w:unhideWhenUsed/>
    <w:qFormat/>
    <w:pPr>
      <w:snapToGrid w:val="0"/>
      <w:spacing w:beforeLines="10" w:line="440" w:lineRule="atLeast"/>
      <w:ind w:firstLine="510"/>
    </w:pPr>
    <w:rPr>
      <w:rFonts w:hint="eastAsia"/>
      <w:szCs w:val="20"/>
    </w:rPr>
  </w:style>
  <w:style w:type="paragraph" w:customStyle="1" w:styleId="3c">
    <w:name w:val="标题3"/>
    <w:basedOn w:val="a3"/>
    <w:next w:val="a3"/>
    <w:link w:val="3Char0"/>
    <w:unhideWhenUsed/>
    <w:qFormat/>
    <w:pPr>
      <w:snapToGrid w:val="0"/>
      <w:spacing w:line="440" w:lineRule="atLeast"/>
      <w:ind w:firstLine="567"/>
      <w:outlineLvl w:val="2"/>
    </w:pPr>
    <w:rPr>
      <w:rFonts w:hint="eastAsia"/>
      <w:b/>
      <w:szCs w:val="20"/>
    </w:rPr>
  </w:style>
  <w:style w:type="paragraph" w:customStyle="1" w:styleId="0012">
    <w:name w:val="样式 正文001 + 首行缩进:  2 字符"/>
    <w:basedOn w:val="a3"/>
    <w:link w:val="0012Char"/>
    <w:unhideWhenUsed/>
    <w:qFormat/>
    <w:pPr>
      <w:spacing w:line="500" w:lineRule="atLeast"/>
      <w:ind w:firstLine="480"/>
    </w:pPr>
    <w:rPr>
      <w:rFonts w:hint="eastAsia"/>
      <w:szCs w:val="24"/>
    </w:rPr>
  </w:style>
  <w:style w:type="paragraph" w:customStyle="1" w:styleId="1ff">
    <w:name w:val="正文样式1"/>
    <w:basedOn w:val="a3"/>
    <w:link w:val="1Char2"/>
    <w:unhideWhenUsed/>
    <w:qFormat/>
    <w:pPr>
      <w:adjustRightInd w:val="0"/>
      <w:spacing w:line="288" w:lineRule="auto"/>
      <w:ind w:firstLineChars="150" w:firstLine="360"/>
      <w:textAlignment w:val="baseline"/>
    </w:pPr>
    <w:rPr>
      <w:rFonts w:hint="eastAsia"/>
      <w:szCs w:val="20"/>
    </w:rPr>
  </w:style>
  <w:style w:type="paragraph" w:customStyle="1" w:styleId="2f6">
    <w:name w:val="样式2"/>
    <w:basedOn w:val="a3"/>
    <w:link w:val="2Char5"/>
    <w:unhideWhenUsed/>
    <w:qFormat/>
    <w:rPr>
      <w:rFonts w:eastAsia="仿宋_GB2312" w:hint="eastAsia"/>
      <w:b/>
      <w:sz w:val="28"/>
      <w:szCs w:val="24"/>
    </w:rPr>
  </w:style>
  <w:style w:type="paragraph" w:customStyle="1" w:styleId="CM2">
    <w:name w:val="CM2"/>
    <w:basedOn w:val="Default"/>
    <w:next w:val="Default"/>
    <w:unhideWhenUsed/>
    <w:qFormat/>
    <w:pPr>
      <w:spacing w:line="468" w:lineRule="atLeast"/>
    </w:pPr>
    <w:rPr>
      <w:rFonts w:ascii="楷体" w:eastAsia="楷体" w:hint="eastAsia"/>
    </w:rPr>
  </w:style>
  <w:style w:type="paragraph" w:customStyle="1" w:styleId="afffffff5">
    <w:name w:val="首页要点"/>
    <w:basedOn w:val="a3"/>
    <w:link w:val="Charff0"/>
    <w:unhideWhenUsed/>
    <w:qFormat/>
    <w:pPr>
      <w:tabs>
        <w:tab w:val="left" w:pos="607"/>
      </w:tabs>
      <w:spacing w:beforeLines="50"/>
      <w:ind w:left="607" w:hanging="420"/>
    </w:pPr>
    <w:rPr>
      <w:rFonts w:ascii="Arial" w:eastAsia="楷体_GB2312" w:hAnsi="Arial" w:hint="eastAsia"/>
      <w:sz w:val="21"/>
    </w:rPr>
  </w:style>
  <w:style w:type="paragraph" w:customStyle="1" w:styleId="CM3">
    <w:name w:val="CM3"/>
    <w:basedOn w:val="Default"/>
    <w:next w:val="Default"/>
    <w:unhideWhenUsed/>
    <w:qFormat/>
    <w:pPr>
      <w:spacing w:line="468" w:lineRule="atLeast"/>
    </w:pPr>
    <w:rPr>
      <w:rFonts w:ascii="楷体" w:eastAsia="楷体" w:hint="eastAsia"/>
    </w:rPr>
  </w:style>
  <w:style w:type="paragraph" w:customStyle="1" w:styleId="CM1">
    <w:name w:val="CM1"/>
    <w:basedOn w:val="Default"/>
    <w:next w:val="Default"/>
    <w:unhideWhenUsed/>
    <w:qFormat/>
    <w:rPr>
      <w:rFonts w:ascii="楷体" w:eastAsia="楷体" w:hint="eastAsia"/>
    </w:rPr>
  </w:style>
  <w:style w:type="paragraph" w:customStyle="1" w:styleId="CM17">
    <w:name w:val="CM17"/>
    <w:basedOn w:val="Default"/>
    <w:next w:val="Default"/>
    <w:unhideWhenUsed/>
    <w:qFormat/>
    <w:pPr>
      <w:spacing w:after="263"/>
    </w:pPr>
    <w:rPr>
      <w:rFonts w:ascii="楷体" w:eastAsia="楷体" w:hint="eastAsia"/>
    </w:rPr>
  </w:style>
  <w:style w:type="paragraph" w:customStyle="1" w:styleId="CM20">
    <w:name w:val="CM20"/>
    <w:basedOn w:val="Default"/>
    <w:next w:val="Default"/>
    <w:unhideWhenUsed/>
    <w:qFormat/>
    <w:pPr>
      <w:spacing w:after="208"/>
    </w:pPr>
    <w:rPr>
      <w:rFonts w:ascii="楷体" w:eastAsia="楷体" w:hint="eastAsia"/>
    </w:rPr>
  </w:style>
  <w:style w:type="paragraph" w:customStyle="1" w:styleId="CM21">
    <w:name w:val="CM21"/>
    <w:basedOn w:val="Default"/>
    <w:next w:val="Default"/>
    <w:unhideWhenUsed/>
    <w:qFormat/>
    <w:pPr>
      <w:spacing w:after="358"/>
    </w:pPr>
    <w:rPr>
      <w:rFonts w:ascii="楷体" w:eastAsia="楷体" w:hint="eastAsia"/>
    </w:rPr>
  </w:style>
  <w:style w:type="paragraph" w:customStyle="1" w:styleId="CM13">
    <w:name w:val="CM13"/>
    <w:basedOn w:val="Default"/>
    <w:next w:val="Default"/>
    <w:unhideWhenUsed/>
    <w:qFormat/>
    <w:rPr>
      <w:rFonts w:ascii="楷体" w:eastAsia="楷体" w:hint="eastAsia"/>
    </w:rPr>
  </w:style>
  <w:style w:type="paragraph" w:customStyle="1" w:styleId="CharCharChar1CharCharCharCharCharCharCharCharCharCharCharCharCharCharCharChar">
    <w:name w:val="Char Char Char1 Char Char Char Char Char Char Char Char Char Char Char Char Char Char Char Char"/>
    <w:basedOn w:val="a3"/>
    <w:unhideWhenUsed/>
    <w:qFormat/>
    <w:rPr>
      <w:rFonts w:hint="eastAsia"/>
      <w:sz w:val="21"/>
      <w:szCs w:val="24"/>
    </w:rPr>
  </w:style>
  <w:style w:type="paragraph" w:customStyle="1" w:styleId="afffffff6">
    <w:name w:val="框图"/>
    <w:basedOn w:val="a3"/>
    <w:unhideWhenUsed/>
    <w:qFormat/>
    <w:pPr>
      <w:jc w:val="center"/>
    </w:pPr>
    <w:rPr>
      <w:rFonts w:hint="eastAsia"/>
      <w:sz w:val="21"/>
      <w:szCs w:val="24"/>
    </w:rPr>
  </w:style>
  <w:style w:type="paragraph" w:customStyle="1" w:styleId="2Char6">
    <w:name w:val="小四正文缩进2 Char"/>
    <w:basedOn w:val="a3"/>
    <w:link w:val="2CharChar"/>
    <w:unhideWhenUsed/>
    <w:qFormat/>
    <w:rPr>
      <w:rFonts w:hint="eastAsia"/>
      <w:szCs w:val="24"/>
    </w:rPr>
  </w:style>
  <w:style w:type="paragraph" w:customStyle="1" w:styleId="afffffff7">
    <w:name w:val="说明正文"/>
    <w:basedOn w:val="12"/>
    <w:unhideWhenUsed/>
    <w:qFormat/>
    <w:pPr>
      <w:widowControl w:val="0"/>
      <w:adjustRightInd w:val="0"/>
      <w:snapToGrid w:val="0"/>
      <w:spacing w:after="0"/>
      <w:jc w:val="center"/>
    </w:pPr>
    <w:rPr>
      <w:rFonts w:ascii="仿宋_GB2312" w:eastAsia="仿宋_GB2312" w:hAnsi="宋体"/>
      <w:sz w:val="28"/>
    </w:rPr>
  </w:style>
  <w:style w:type="paragraph" w:customStyle="1" w:styleId="afffffff8">
    <w:name w:val="保留正文"/>
    <w:basedOn w:val="a3"/>
    <w:unhideWhenUsed/>
    <w:qFormat/>
    <w:pPr>
      <w:keepNext/>
      <w:adjustRightInd w:val="0"/>
      <w:spacing w:after="160" w:line="480" w:lineRule="auto"/>
      <w:textAlignment w:val="baseline"/>
    </w:pPr>
    <w:rPr>
      <w:rFonts w:ascii="宋体" w:hint="eastAsia"/>
      <w:szCs w:val="24"/>
    </w:rPr>
  </w:style>
  <w:style w:type="paragraph" w:customStyle="1" w:styleId="td3">
    <w:name w:val="td3"/>
    <w:basedOn w:val="a3"/>
    <w:unhideWhenUsed/>
    <w:qFormat/>
    <w:pPr>
      <w:widowControl/>
      <w:spacing w:before="100" w:beforeAutospacing="1" w:after="100" w:afterAutospacing="1"/>
      <w:jc w:val="left"/>
    </w:pPr>
    <w:rPr>
      <w:rFonts w:ascii="Arial Unicode MS" w:eastAsia="Arial Unicode MS" w:hAnsi="Arial Unicode MS" w:cs="Arial Unicode MS" w:hint="eastAsia"/>
      <w:color w:val="5D5D5D"/>
      <w:sz w:val="18"/>
      <w:szCs w:val="18"/>
    </w:rPr>
  </w:style>
  <w:style w:type="paragraph" w:customStyle="1" w:styleId="211TimesNewRoman">
    <w:name w:val="样式 样式 标题 2节标题 1.1 + Times New Roman 四号 +"/>
    <w:basedOn w:val="a3"/>
    <w:link w:val="211TimesNewRomanChar"/>
    <w:unhideWhenUsed/>
    <w:qFormat/>
    <w:pPr>
      <w:keepNext/>
      <w:keepLines/>
      <w:spacing w:before="100" w:beforeAutospacing="1" w:after="100" w:afterAutospacing="1"/>
      <w:outlineLvl w:val="1"/>
    </w:pPr>
    <w:rPr>
      <w:rFonts w:hint="eastAsia"/>
      <w:b/>
      <w:sz w:val="28"/>
      <w:szCs w:val="32"/>
    </w:rPr>
  </w:style>
  <w:style w:type="paragraph" w:customStyle="1" w:styleId="afffffff9">
    <w:name w:val="可研报告正文"/>
    <w:basedOn w:val="a3"/>
    <w:link w:val="Charff1"/>
    <w:unhideWhenUsed/>
    <w:qFormat/>
    <w:pPr>
      <w:tabs>
        <w:tab w:val="left" w:pos="4620"/>
      </w:tabs>
      <w:spacing w:beforeLines="50" w:afterLines="50" w:line="440" w:lineRule="exact"/>
      <w:ind w:left="425" w:firstLine="482"/>
    </w:pPr>
    <w:rPr>
      <w:rFonts w:hint="eastAsia"/>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unhideWhenUsed/>
    <w:qFormat/>
    <w:rPr>
      <w:rFonts w:ascii="宋体" w:hAnsi="宋体" w:cs="宋体" w:hint="eastAsia"/>
      <w:szCs w:val="24"/>
    </w:rPr>
  </w:style>
  <w:style w:type="paragraph" w:customStyle="1" w:styleId="afffffffa">
    <w:name w:val="图名"/>
    <w:basedOn w:val="a3"/>
    <w:unhideWhenUsed/>
    <w:qFormat/>
    <w:pPr>
      <w:snapToGrid w:val="0"/>
      <w:spacing w:before="60" w:line="460" w:lineRule="atLeast"/>
      <w:jc w:val="center"/>
    </w:pPr>
    <w:rPr>
      <w:rFonts w:hint="eastAsia"/>
      <w:b/>
      <w:szCs w:val="24"/>
    </w:rPr>
  </w:style>
  <w:style w:type="paragraph" w:customStyle="1" w:styleId="afffffffb">
    <w:name w:val="表格中"/>
    <w:link w:val="Charff2"/>
    <w:unhideWhenUsed/>
    <w:qFormat/>
    <w:rPr>
      <w:rFonts w:hint="eastAsia"/>
      <w:sz w:val="21"/>
      <w:szCs w:val="24"/>
    </w:rPr>
  </w:style>
  <w:style w:type="paragraph" w:customStyle="1" w:styleId="td1">
    <w:name w:val="td1"/>
    <w:basedOn w:val="a3"/>
    <w:unhideWhenUsed/>
    <w:qFormat/>
    <w:pPr>
      <w:widowControl/>
      <w:spacing w:before="100" w:beforeAutospacing="1" w:after="100" w:afterAutospacing="1"/>
      <w:jc w:val="center"/>
    </w:pPr>
    <w:rPr>
      <w:rFonts w:ascii="Arial Unicode MS" w:eastAsia="Arial Unicode MS" w:hAnsi="Arial Unicode MS" w:cs="Arial Unicode MS" w:hint="eastAsia"/>
      <w:b/>
      <w:color w:val="0000FF"/>
      <w:sz w:val="28"/>
      <w:szCs w:val="28"/>
      <w:u w:val="single"/>
    </w:rPr>
  </w:style>
  <w:style w:type="paragraph" w:customStyle="1" w:styleId="2CharChar0">
    <w:name w:val="正文缩进2 Char Char"/>
    <w:basedOn w:val="a3"/>
    <w:link w:val="2CharCharChar"/>
    <w:unhideWhenUsed/>
    <w:qFormat/>
    <w:pPr>
      <w:spacing w:before="60" w:line="460" w:lineRule="atLeast"/>
      <w:ind w:firstLine="480"/>
    </w:pPr>
    <w:rPr>
      <w:rFonts w:cs="宋体" w:hint="eastAsia"/>
      <w:szCs w:val="20"/>
    </w:rPr>
  </w:style>
  <w:style w:type="paragraph" w:customStyle="1" w:styleId="1ff0">
    <w:name w:val="正文文本缩进1"/>
    <w:basedOn w:val="a3"/>
    <w:unhideWhenUsed/>
    <w:qFormat/>
    <w:pPr>
      <w:ind w:firstLine="560"/>
    </w:pPr>
    <w:rPr>
      <w:rFonts w:ascii="宋体" w:hAnsi="宋体" w:hint="eastAsia"/>
      <w:sz w:val="28"/>
      <w:szCs w:val="28"/>
    </w:rPr>
  </w:style>
  <w:style w:type="paragraph" w:customStyle="1" w:styleId="1ff1">
    <w:name w:val="注释标题1"/>
    <w:basedOn w:val="a3"/>
    <w:next w:val="a3"/>
    <w:link w:val="217"/>
    <w:unhideWhenUsed/>
    <w:qFormat/>
    <w:pPr>
      <w:jc w:val="center"/>
    </w:pPr>
    <w:rPr>
      <w:rFonts w:ascii="宋体" w:hint="eastAsia"/>
      <w:sz w:val="21"/>
      <w:szCs w:val="20"/>
    </w:rPr>
  </w:style>
  <w:style w:type="paragraph" w:customStyle="1" w:styleId="afffffffc">
    <w:name w:val="样式上"/>
    <w:basedOn w:val="a3"/>
    <w:unhideWhenUsed/>
    <w:qFormat/>
    <w:pPr>
      <w:snapToGrid w:val="0"/>
      <w:jc w:val="center"/>
    </w:pPr>
    <w:rPr>
      <w:rFonts w:hint="eastAsia"/>
      <w:sz w:val="28"/>
      <w:szCs w:val="28"/>
    </w:rPr>
  </w:style>
  <w:style w:type="paragraph" w:customStyle="1" w:styleId="3111111033CharChar3CharCharChar">
    <w:name w:val="样式 标题 3条标题1.1.11.1.1标题03标题 3 Char Char标题 3 Char Char Char标..."/>
    <w:basedOn w:val="310"/>
    <w:unhideWhenUsed/>
    <w:qFormat/>
    <w:pPr>
      <w:spacing w:line="240" w:lineRule="auto"/>
      <w:ind w:firstLineChars="0" w:firstLine="0"/>
    </w:pPr>
    <w:rPr>
      <w:rFonts w:eastAsia="黑体" w:cs="宋体"/>
      <w:b w:val="0"/>
      <w:szCs w:val="20"/>
    </w:rPr>
  </w:style>
  <w:style w:type="paragraph" w:customStyle="1" w:styleId="afffffffd">
    <w:name w:val="封面标准文稿类别"/>
    <w:unhideWhenUsed/>
    <w:qFormat/>
    <w:pPr>
      <w:spacing w:before="440" w:line="400" w:lineRule="exact"/>
      <w:jc w:val="center"/>
    </w:pPr>
    <w:rPr>
      <w:rFonts w:ascii="宋体" w:hint="eastAsia"/>
      <w:sz w:val="24"/>
    </w:rPr>
  </w:style>
  <w:style w:type="paragraph" w:customStyle="1" w:styleId="CharCharChar">
    <w:name w:val="表中 Char Char Char"/>
    <w:basedOn w:val="a3"/>
    <w:link w:val="CharCharCharChar0"/>
    <w:unhideWhenUsed/>
    <w:qFormat/>
    <w:pPr>
      <w:jc w:val="center"/>
    </w:pPr>
    <w:rPr>
      <w:rFonts w:hint="eastAsia"/>
      <w:sz w:val="21"/>
    </w:rPr>
  </w:style>
  <w:style w:type="paragraph" w:customStyle="1" w:styleId="afffffffe">
    <w:name w:val="表格居左"/>
    <w:basedOn w:val="a3"/>
    <w:link w:val="Char14"/>
    <w:unhideWhenUsed/>
    <w:qFormat/>
    <w:pPr>
      <w:jc w:val="left"/>
    </w:pPr>
    <w:rPr>
      <w:rFonts w:hint="eastAsia"/>
      <w:sz w:val="21"/>
    </w:rPr>
  </w:style>
  <w:style w:type="paragraph" w:customStyle="1" w:styleId="2Char7">
    <w:name w:val="正文2缩进主要格式 Char"/>
    <w:basedOn w:val="a3"/>
    <w:link w:val="2CharChar1"/>
    <w:unhideWhenUsed/>
    <w:qFormat/>
    <w:pPr>
      <w:ind w:firstLine="480"/>
    </w:pPr>
    <w:rPr>
      <w:rFonts w:ascii="宋体" w:hAnsi="宋体" w:cs="宋体" w:hint="eastAsia"/>
      <w:szCs w:val="20"/>
    </w:rPr>
  </w:style>
  <w:style w:type="paragraph" w:customStyle="1" w:styleId="Charff3">
    <w:name w:val="表格居中 Char"/>
    <w:basedOn w:val="a3"/>
    <w:link w:val="CharChar0"/>
    <w:unhideWhenUsed/>
    <w:qFormat/>
    <w:pPr>
      <w:jc w:val="center"/>
    </w:pPr>
    <w:rPr>
      <w:rFonts w:hint="eastAsia"/>
      <w:sz w:val="21"/>
      <w:szCs w:val="24"/>
    </w:rPr>
  </w:style>
  <w:style w:type="paragraph" w:customStyle="1" w:styleId="4c">
    <w:name w:val="样式4"/>
    <w:basedOn w:val="410"/>
    <w:link w:val="4Char1"/>
    <w:unhideWhenUsed/>
    <w:qFormat/>
    <w:pPr>
      <w:tabs>
        <w:tab w:val="left" w:pos="2880"/>
      </w:tabs>
      <w:ind w:firstLineChars="0" w:firstLine="0"/>
    </w:pPr>
    <w:rPr>
      <w:rFonts w:ascii="Arial" w:hAnsi="Arial"/>
      <w:szCs w:val="28"/>
    </w:rPr>
  </w:style>
  <w:style w:type="paragraph" w:customStyle="1" w:styleId="affffffff">
    <w:name w:val="表中"/>
    <w:basedOn w:val="a3"/>
    <w:unhideWhenUsed/>
    <w:qFormat/>
    <w:pPr>
      <w:jc w:val="center"/>
    </w:pPr>
    <w:rPr>
      <w:rFonts w:hint="eastAsia"/>
      <w:sz w:val="21"/>
    </w:rPr>
  </w:style>
  <w:style w:type="paragraph" w:customStyle="1" w:styleId="102">
    <w:name w:val="10"/>
    <w:basedOn w:val="a3"/>
    <w:unhideWhenUsed/>
    <w:qFormat/>
    <w:rPr>
      <w:rFonts w:ascii="宋体" w:hAnsi="宋体" w:cs="宋体" w:hint="eastAsia"/>
      <w:szCs w:val="24"/>
    </w:rPr>
  </w:style>
  <w:style w:type="paragraph" w:customStyle="1" w:styleId="2Char8">
    <w:name w:val="正文缩进2 Char"/>
    <w:basedOn w:val="a3"/>
    <w:link w:val="2CharChar10"/>
    <w:unhideWhenUsed/>
    <w:qFormat/>
    <w:rPr>
      <w:rFonts w:hint="eastAsia"/>
    </w:rPr>
  </w:style>
  <w:style w:type="paragraph" w:customStyle="1" w:styleId="2Char9">
    <w:name w:val="2缩正 Char"/>
    <w:basedOn w:val="a3"/>
    <w:link w:val="2CharChar2"/>
    <w:unhideWhenUsed/>
    <w:qFormat/>
    <w:rPr>
      <w:rFonts w:hint="eastAsia"/>
      <w:szCs w:val="24"/>
    </w:rPr>
  </w:style>
  <w:style w:type="paragraph" w:customStyle="1" w:styleId="affffffff0">
    <w:name w:val="表格居中"/>
    <w:basedOn w:val="a3"/>
    <w:unhideWhenUsed/>
    <w:qFormat/>
    <w:pPr>
      <w:jc w:val="center"/>
    </w:pPr>
    <w:rPr>
      <w:rFonts w:hint="eastAsia"/>
      <w:sz w:val="21"/>
      <w:szCs w:val="24"/>
    </w:rPr>
  </w:style>
  <w:style w:type="paragraph" w:customStyle="1" w:styleId="2f7">
    <w:name w:val="小四正文缩进2"/>
    <w:basedOn w:val="a3"/>
    <w:unhideWhenUsed/>
    <w:qFormat/>
    <w:rPr>
      <w:rFonts w:hint="eastAsia"/>
      <w:szCs w:val="24"/>
    </w:rPr>
  </w:style>
  <w:style w:type="paragraph" w:customStyle="1" w:styleId="Charff4">
    <w:name w:val="表中 Char"/>
    <w:basedOn w:val="a3"/>
    <w:unhideWhenUsed/>
    <w:qFormat/>
    <w:pPr>
      <w:jc w:val="center"/>
    </w:pPr>
    <w:rPr>
      <w:rFonts w:hint="eastAsia"/>
      <w:sz w:val="21"/>
    </w:rPr>
  </w:style>
  <w:style w:type="paragraph" w:customStyle="1" w:styleId="CharCharChar1CharCharCharCharCharCharCharCharCharCharCharCharChar">
    <w:name w:val="Char Char Char1 Char Char Char Char Char Char Char Char Char Char Char Char Char"/>
    <w:basedOn w:val="a3"/>
    <w:unhideWhenUsed/>
    <w:qFormat/>
    <w:rPr>
      <w:rFonts w:hint="eastAsia"/>
      <w:sz w:val="21"/>
      <w:szCs w:val="24"/>
    </w:rPr>
  </w:style>
  <w:style w:type="paragraph" w:customStyle="1" w:styleId="myChar">
    <w:name w:val="my Char"/>
    <w:unhideWhenUsed/>
    <w:qFormat/>
    <w:pPr>
      <w:widowControl w:val="0"/>
      <w:spacing w:before="60" w:line="460" w:lineRule="exact"/>
      <w:ind w:firstLineChars="200" w:firstLine="200"/>
    </w:pPr>
    <w:rPr>
      <w:rFonts w:hint="eastAsia"/>
      <w:sz w:val="24"/>
      <w:szCs w:val="24"/>
    </w:rPr>
  </w:style>
  <w:style w:type="paragraph" w:customStyle="1" w:styleId="1CharCharCharChar">
    <w:name w:val="1 Char Char Char Char"/>
    <w:basedOn w:val="a3"/>
    <w:next w:val="a3"/>
    <w:unhideWhenUsed/>
    <w:qFormat/>
    <w:rPr>
      <w:rFonts w:ascii="宋体" w:hAnsi="宋体" w:cs="宋体" w:hint="eastAsia"/>
      <w:szCs w:val="24"/>
    </w:rPr>
  </w:style>
  <w:style w:type="paragraph" w:customStyle="1" w:styleId="3d">
    <w:name w:val="样式 标题 3 + 宋体 小四 加粗"/>
    <w:basedOn w:val="310"/>
    <w:unhideWhenUsed/>
    <w:qFormat/>
    <w:pPr>
      <w:spacing w:before="50" w:after="50"/>
      <w:ind w:firstLineChars="0" w:firstLine="0"/>
    </w:pPr>
    <w:rPr>
      <w:rFonts w:ascii="宋体" w:hAnsi="宋体"/>
      <w:sz w:val="24"/>
    </w:rPr>
  </w:style>
  <w:style w:type="paragraph" w:customStyle="1" w:styleId="Char1CharCharChar2">
    <w:name w:val="Char1 Char Char Char2"/>
    <w:basedOn w:val="a3"/>
    <w:unhideWhenUsed/>
    <w:qFormat/>
    <w:rPr>
      <w:rFonts w:ascii="Tahoma" w:hAnsi="Tahoma" w:hint="eastAsia"/>
      <w:szCs w:val="20"/>
    </w:rPr>
  </w:style>
  <w:style w:type="paragraph" w:customStyle="1" w:styleId="affffffff1">
    <w:name w:val="字元 字元"/>
    <w:basedOn w:val="a3"/>
    <w:unhideWhenUsed/>
    <w:qFormat/>
    <w:rPr>
      <w:rFonts w:ascii="宋体" w:hAnsi="宋体" w:cs="宋体" w:hint="eastAsia"/>
      <w:szCs w:val="24"/>
    </w:rPr>
  </w:style>
  <w:style w:type="paragraph" w:customStyle="1" w:styleId="Char22">
    <w:name w:val="Char2"/>
    <w:basedOn w:val="a3"/>
    <w:next w:val="a3"/>
    <w:unhideWhenUsed/>
    <w:qFormat/>
    <w:rPr>
      <w:rFonts w:ascii="宋体" w:hAnsi="宋体" w:cs="宋体" w:hint="eastAsia"/>
      <w:szCs w:val="24"/>
    </w:rPr>
  </w:style>
  <w:style w:type="paragraph" w:customStyle="1" w:styleId="Char2CharCharChar">
    <w:name w:val="Char2 Char Char Char"/>
    <w:basedOn w:val="a3"/>
    <w:unhideWhenUsed/>
    <w:qFormat/>
    <w:rPr>
      <w:rFonts w:hint="eastAsia"/>
      <w:szCs w:val="24"/>
    </w:rPr>
  </w:style>
  <w:style w:type="paragraph" w:customStyle="1" w:styleId="00">
    <w:name w:val="样式 首行缩进:  0 字符"/>
    <w:basedOn w:val="a3"/>
    <w:unhideWhenUsed/>
    <w:qFormat/>
    <w:rPr>
      <w:rFonts w:hint="eastAsia"/>
      <w:szCs w:val="20"/>
    </w:rPr>
  </w:style>
  <w:style w:type="paragraph" w:customStyle="1" w:styleId="affffffff2">
    <w:name w:val="第四层次"/>
    <w:basedOn w:val="410"/>
    <w:unhideWhenUsed/>
    <w:qFormat/>
    <w:pPr>
      <w:tabs>
        <w:tab w:val="left" w:pos="2880"/>
      </w:tabs>
      <w:ind w:firstLineChars="0" w:firstLine="0"/>
    </w:pPr>
    <w:rPr>
      <w:rFonts w:ascii="黑体" w:hAnsi="黑体"/>
      <w:b w:val="0"/>
      <w:szCs w:val="28"/>
    </w:rPr>
  </w:style>
  <w:style w:type="paragraph" w:customStyle="1" w:styleId="CharCharCharCharCharCharChar">
    <w:name w:val="Char Char Char Char Char Char Char"/>
    <w:basedOn w:val="410"/>
    <w:unhideWhenUsed/>
    <w:qFormat/>
    <w:pPr>
      <w:tabs>
        <w:tab w:val="left" w:pos="2880"/>
      </w:tabs>
      <w:spacing w:before="140" w:line="220" w:lineRule="atLeast"/>
      <w:ind w:left="720" w:firstLineChars="0" w:firstLine="0"/>
      <w:jc w:val="left"/>
    </w:pPr>
    <w:rPr>
      <w:rFonts w:ascii="Futura Bk BT" w:cs="Futura Bk BT" w:hint="default"/>
      <w:b w:val="0"/>
      <w:spacing w:val="-4"/>
      <w:sz w:val="21"/>
      <w:szCs w:val="20"/>
      <w:lang w:val="en-AU" w:eastAsia="en-US"/>
    </w:rPr>
  </w:style>
  <w:style w:type="paragraph" w:customStyle="1" w:styleId="affffffff3">
    <w:name w:val="图内容"/>
    <w:unhideWhenUsed/>
    <w:qFormat/>
    <w:pPr>
      <w:widowControl w:val="0"/>
      <w:adjustRightInd w:val="0"/>
      <w:jc w:val="center"/>
      <w:textAlignment w:val="baseline"/>
    </w:pPr>
    <w:rPr>
      <w:rFonts w:eastAsia="仿宋体" w:hint="eastAsia"/>
      <w:sz w:val="24"/>
    </w:rPr>
  </w:style>
  <w:style w:type="paragraph" w:customStyle="1" w:styleId="affffffff4">
    <w:name w:val="正文居中"/>
    <w:basedOn w:val="a3"/>
    <w:next w:val="a3"/>
    <w:unhideWhenUsed/>
    <w:qFormat/>
    <w:pPr>
      <w:widowControl/>
      <w:jc w:val="center"/>
    </w:pPr>
    <w:rPr>
      <w:rFonts w:hint="eastAsia"/>
      <w:sz w:val="28"/>
      <w:szCs w:val="24"/>
    </w:rPr>
  </w:style>
  <w:style w:type="paragraph" w:customStyle="1" w:styleId="Achievement">
    <w:name w:val="Achievement"/>
    <w:basedOn w:val="12"/>
    <w:unhideWhenUsed/>
    <w:qFormat/>
    <w:pPr>
      <w:spacing w:after="60" w:line="220" w:lineRule="atLeast"/>
      <w:ind w:left="840" w:right="-360" w:hanging="360"/>
    </w:pPr>
    <w:rPr>
      <w:sz w:val="20"/>
      <w:szCs w:val="20"/>
    </w:rPr>
  </w:style>
  <w:style w:type="paragraph" w:customStyle="1" w:styleId="10505">
    <w:name w:val="样式 标题 1 + 段前: 0.5行 段后: 0.5 行"/>
    <w:basedOn w:val="110"/>
    <w:unhideWhenUsed/>
    <w:qFormat/>
    <w:pPr>
      <w:tabs>
        <w:tab w:val="left" w:pos="840"/>
        <w:tab w:val="left" w:pos="1134"/>
      </w:tabs>
      <w:ind w:left="840" w:firstLineChars="0" w:hanging="360"/>
    </w:pPr>
    <w:rPr>
      <w:caps/>
      <w:kern w:val="2"/>
      <w:sz w:val="24"/>
      <w:szCs w:val="24"/>
    </w:rPr>
  </w:style>
  <w:style w:type="paragraph" w:customStyle="1" w:styleId="c6">
    <w:name w:val="c6"/>
    <w:basedOn w:val="a3"/>
    <w:unhideWhenUsed/>
    <w:qFormat/>
    <w:pPr>
      <w:autoSpaceDE w:val="0"/>
      <w:autoSpaceDN w:val="0"/>
      <w:adjustRightInd w:val="0"/>
      <w:spacing w:line="240" w:lineRule="atLeast"/>
      <w:jc w:val="center"/>
      <w:textAlignment w:val="baseline"/>
    </w:pPr>
    <w:rPr>
      <w:rFonts w:hint="eastAsia"/>
      <w:szCs w:val="20"/>
    </w:rPr>
  </w:style>
  <w:style w:type="paragraph" w:customStyle="1" w:styleId="3e">
    <w:name w:val="样式3"/>
    <w:basedOn w:val="a3"/>
    <w:link w:val="3Char1"/>
    <w:unhideWhenUsed/>
    <w:qFormat/>
    <w:pPr>
      <w:widowControl/>
    </w:pPr>
    <w:rPr>
      <w:rFonts w:ascii="宋体" w:hint="eastAsia"/>
      <w:szCs w:val="20"/>
    </w:rPr>
  </w:style>
  <w:style w:type="paragraph" w:customStyle="1" w:styleId="Bullet1">
    <w:name w:val="Bullet 1"/>
    <w:unhideWhenUsed/>
    <w:qFormat/>
    <w:pPr>
      <w:tabs>
        <w:tab w:val="left" w:pos="720"/>
        <w:tab w:val="left" w:pos="1080"/>
      </w:tabs>
      <w:spacing w:before="120" w:after="120"/>
      <w:ind w:left="840" w:hanging="360"/>
      <w:jc w:val="both"/>
    </w:pPr>
    <w:rPr>
      <w:rFonts w:ascii="Arial" w:hAnsi="Arial" w:hint="eastAsia"/>
      <w:color w:val="000000"/>
      <w:sz w:val="24"/>
      <w:lang w:eastAsia="en-US"/>
    </w:rPr>
  </w:style>
  <w:style w:type="paragraph" w:customStyle="1" w:styleId="affffffff5">
    <w:name w:val="表格（大）"/>
    <w:basedOn w:val="a3"/>
    <w:unhideWhenUsed/>
    <w:qFormat/>
    <w:pPr>
      <w:widowControl/>
      <w:spacing w:line="240" w:lineRule="atLeast"/>
      <w:outlineLvl w:val="1"/>
    </w:pPr>
    <w:rPr>
      <w:rFonts w:ascii="宋体" w:hAnsi="宋体" w:hint="eastAsia"/>
      <w:spacing w:val="-2"/>
      <w:w w:val="80"/>
      <w:kern w:val="20"/>
      <w:position w:val="4"/>
      <w:szCs w:val="24"/>
    </w:rPr>
  </w:style>
  <w:style w:type="paragraph" w:customStyle="1" w:styleId="73">
    <w:name w:val="正文7"/>
    <w:basedOn w:val="a3"/>
    <w:unhideWhenUsed/>
    <w:qFormat/>
    <w:pPr>
      <w:ind w:left="900" w:hanging="420"/>
    </w:pPr>
    <w:rPr>
      <w:rFonts w:hint="eastAsia"/>
      <w:sz w:val="21"/>
      <w:szCs w:val="24"/>
    </w:rPr>
  </w:style>
  <w:style w:type="paragraph" w:customStyle="1" w:styleId="DefaultText">
    <w:name w:val="Default Text"/>
    <w:basedOn w:val="a3"/>
    <w:unhideWhenUsed/>
    <w:qFormat/>
    <w:pPr>
      <w:widowControl/>
      <w:tabs>
        <w:tab w:val="left" w:pos="1080"/>
      </w:tabs>
    </w:pPr>
    <w:rPr>
      <w:rFonts w:ascii="Arial" w:hAnsi="Arial" w:hint="eastAsia"/>
      <w:szCs w:val="20"/>
      <w:lang w:eastAsia="en-US"/>
    </w:rPr>
  </w:style>
  <w:style w:type="paragraph" w:customStyle="1" w:styleId="IDCA-Head2ndLine">
    <w:name w:val="IDC A-Head (2nd Line)"/>
    <w:basedOn w:val="a3"/>
    <w:next w:val="a3"/>
    <w:unhideWhenUsed/>
    <w:qFormat/>
    <w:pPr>
      <w:widowControl/>
      <w:jc w:val="center"/>
    </w:pPr>
    <w:rPr>
      <w:rFonts w:ascii="宋体" w:hAnsi="宋体" w:hint="eastAsia"/>
      <w:caps/>
      <w:szCs w:val="20"/>
    </w:rPr>
  </w:style>
  <w:style w:type="paragraph" w:customStyle="1" w:styleId="affffffff6">
    <w:name w:val="正文一"/>
    <w:basedOn w:val="a3"/>
    <w:unhideWhenUsed/>
    <w:qFormat/>
    <w:pPr>
      <w:adjustRightInd w:val="0"/>
      <w:snapToGrid w:val="0"/>
      <w:spacing w:line="480" w:lineRule="auto"/>
      <w:ind w:firstLine="480"/>
    </w:pPr>
    <w:rPr>
      <w:rFonts w:ascii="华文细黑" w:eastAsia="华文细黑" w:hAnsi="华文细黑" w:hint="eastAsia"/>
      <w:color w:val="000000"/>
      <w:position w:val="-26"/>
      <w:szCs w:val="24"/>
    </w:rPr>
  </w:style>
  <w:style w:type="paragraph" w:customStyle="1" w:styleId="Char2CharCharChar1">
    <w:name w:val="Char2 Char Char Char1"/>
    <w:basedOn w:val="a3"/>
    <w:unhideWhenUsed/>
    <w:qFormat/>
    <w:rPr>
      <w:rFonts w:hint="eastAsia"/>
      <w:szCs w:val="24"/>
    </w:rPr>
  </w:style>
  <w:style w:type="paragraph" w:customStyle="1" w:styleId="CharCharChar1CharCharCharCharCharCharCharCharChar1Char">
    <w:name w:val="Char Char Char1 Char Char Char Char Char Char Char Char Char1 Char"/>
    <w:basedOn w:val="a3"/>
    <w:unhideWhenUsed/>
    <w:qFormat/>
    <w:rPr>
      <w:rFonts w:hint="eastAsia"/>
      <w:sz w:val="21"/>
      <w:szCs w:val="24"/>
    </w:rPr>
  </w:style>
  <w:style w:type="paragraph" w:customStyle="1" w:styleId="4d">
    <w:name w:val="4级标题"/>
    <w:basedOn w:val="01"/>
    <w:unhideWhenUsed/>
    <w:qFormat/>
  </w:style>
  <w:style w:type="paragraph" w:customStyle="1" w:styleId="CM6">
    <w:name w:val="CM6"/>
    <w:basedOn w:val="Default"/>
    <w:next w:val="Default"/>
    <w:unhideWhenUsed/>
    <w:qFormat/>
    <w:pPr>
      <w:spacing w:line="468" w:lineRule="atLeast"/>
    </w:pPr>
    <w:rPr>
      <w:rFonts w:hint="eastAsia"/>
    </w:rPr>
  </w:style>
  <w:style w:type="paragraph" w:customStyle="1" w:styleId="CM12">
    <w:name w:val="CM12"/>
    <w:basedOn w:val="Default"/>
    <w:next w:val="Default"/>
    <w:unhideWhenUsed/>
    <w:qFormat/>
    <w:pPr>
      <w:spacing w:line="468" w:lineRule="atLeast"/>
    </w:pPr>
    <w:rPr>
      <w:rFonts w:hint="eastAsia"/>
    </w:rPr>
  </w:style>
  <w:style w:type="paragraph" w:customStyle="1" w:styleId="CM24">
    <w:name w:val="CM24"/>
    <w:basedOn w:val="Default"/>
    <w:next w:val="Default"/>
    <w:unhideWhenUsed/>
    <w:qFormat/>
    <w:pPr>
      <w:spacing w:line="468" w:lineRule="atLeast"/>
    </w:pPr>
    <w:rPr>
      <w:rFonts w:hint="eastAsia"/>
    </w:rPr>
  </w:style>
  <w:style w:type="paragraph" w:customStyle="1" w:styleId="CM55">
    <w:name w:val="CM55"/>
    <w:basedOn w:val="Default"/>
    <w:next w:val="Default"/>
    <w:unhideWhenUsed/>
    <w:qFormat/>
    <w:pPr>
      <w:spacing w:after="188"/>
    </w:pPr>
    <w:rPr>
      <w:rFonts w:hint="eastAsia"/>
    </w:rPr>
  </w:style>
  <w:style w:type="paragraph" w:customStyle="1" w:styleId="CM37">
    <w:name w:val="CM37"/>
    <w:basedOn w:val="Default"/>
    <w:next w:val="Default"/>
    <w:unhideWhenUsed/>
    <w:qFormat/>
    <w:pPr>
      <w:spacing w:line="468" w:lineRule="atLeast"/>
    </w:pPr>
    <w:rPr>
      <w:rFonts w:hint="eastAsia"/>
    </w:rPr>
  </w:style>
  <w:style w:type="paragraph" w:customStyle="1" w:styleId="CM10">
    <w:name w:val="CM10"/>
    <w:basedOn w:val="Default"/>
    <w:next w:val="Default"/>
    <w:unhideWhenUsed/>
    <w:qFormat/>
    <w:pPr>
      <w:spacing w:line="468" w:lineRule="atLeast"/>
    </w:pPr>
    <w:rPr>
      <w:rFonts w:hint="eastAsia"/>
    </w:rPr>
  </w:style>
  <w:style w:type="paragraph" w:customStyle="1" w:styleId="CM56">
    <w:name w:val="CM56"/>
    <w:basedOn w:val="Default"/>
    <w:next w:val="Default"/>
    <w:unhideWhenUsed/>
    <w:qFormat/>
    <w:pPr>
      <w:spacing w:after="245"/>
    </w:pPr>
    <w:rPr>
      <w:rFonts w:hint="eastAsia"/>
    </w:rPr>
  </w:style>
  <w:style w:type="paragraph" w:customStyle="1" w:styleId="CM39">
    <w:name w:val="CM39"/>
    <w:basedOn w:val="Default"/>
    <w:next w:val="Default"/>
    <w:unhideWhenUsed/>
    <w:qFormat/>
    <w:pPr>
      <w:spacing w:line="468" w:lineRule="atLeast"/>
    </w:pPr>
    <w:rPr>
      <w:rFonts w:hint="eastAsia"/>
    </w:rPr>
  </w:style>
  <w:style w:type="paragraph" w:customStyle="1" w:styleId="affffffff7">
    <w:name w:val="标题五"/>
    <w:basedOn w:val="51"/>
    <w:link w:val="CharChar1"/>
    <w:unhideWhenUsed/>
    <w:qFormat/>
    <w:pPr>
      <w:numPr>
        <w:ilvl w:val="0"/>
        <w:numId w:val="0"/>
      </w:numPr>
      <w:tabs>
        <w:tab w:val="clear" w:pos="720"/>
        <w:tab w:val="left" w:pos="567"/>
        <w:tab w:val="left" w:pos="700"/>
      </w:tabs>
      <w:autoSpaceDE w:val="0"/>
      <w:autoSpaceDN w:val="0"/>
      <w:adjustRightInd w:val="0"/>
      <w:spacing w:before="0" w:after="0" w:line="440" w:lineRule="exact"/>
      <w:jc w:val="center"/>
    </w:pPr>
    <w:rPr>
      <w:rFonts w:ascii="Arial" w:hAnsi="Arial"/>
      <w:b w:val="0"/>
      <w:sz w:val="24"/>
      <w:szCs w:val="20"/>
    </w:rPr>
  </w:style>
  <w:style w:type="paragraph" w:customStyle="1" w:styleId="CharCharCharCharCharCharCharCharCharChar1">
    <w:name w:val="Char Char Char Char Char Char Char Char Char Char1"/>
    <w:basedOn w:val="a3"/>
    <w:unhideWhenUsed/>
    <w:qFormat/>
    <w:rPr>
      <w:rFonts w:hint="eastAsia"/>
      <w:szCs w:val="24"/>
    </w:rPr>
  </w:style>
  <w:style w:type="paragraph" w:customStyle="1" w:styleId="p0">
    <w:name w:val="p0"/>
    <w:basedOn w:val="a3"/>
    <w:unhideWhenUsed/>
    <w:qFormat/>
    <w:pPr>
      <w:widowControl/>
    </w:pPr>
    <w:rPr>
      <w:rFonts w:ascii="Calibri" w:hAnsi="Calibri" w:cs="宋体" w:hint="eastAsia"/>
      <w:sz w:val="21"/>
    </w:rPr>
  </w:style>
  <w:style w:type="paragraph" w:customStyle="1" w:styleId="ssy3Char">
    <w:name w:val="ssy3 Char"/>
    <w:basedOn w:val="310"/>
    <w:link w:val="ssy3CharChar"/>
    <w:unhideWhenUsed/>
    <w:qFormat/>
    <w:pPr>
      <w:spacing w:line="520" w:lineRule="exact"/>
      <w:ind w:firstLineChars="0" w:firstLine="555"/>
    </w:pPr>
    <w:rPr>
      <w:rFonts w:ascii="宋体" w:hAnsi="宋体"/>
      <w:sz w:val="24"/>
      <w:szCs w:val="28"/>
    </w:rPr>
  </w:style>
  <w:style w:type="paragraph" w:customStyle="1" w:styleId="03Char">
    <w:name w:val="03 Char"/>
    <w:basedOn w:val="a3"/>
    <w:link w:val="03CharChar"/>
    <w:unhideWhenUsed/>
    <w:qFormat/>
    <w:pPr>
      <w:ind w:firstLine="397"/>
    </w:pPr>
    <w:rPr>
      <w:rFonts w:ascii="宋体" w:hAnsi="宋体" w:cs="宋体" w:hint="eastAsia"/>
      <w:szCs w:val="24"/>
    </w:rPr>
  </w:style>
  <w:style w:type="paragraph" w:customStyle="1" w:styleId="000">
    <w:name w:val="00"/>
    <w:basedOn w:val="110"/>
    <w:link w:val="00Char"/>
    <w:unhideWhenUsed/>
    <w:qFormat/>
    <w:pPr>
      <w:spacing w:after="340"/>
      <w:ind w:firstLineChars="0" w:firstLine="0"/>
      <w:jc w:val="center"/>
    </w:pPr>
    <w:rPr>
      <w:rFonts w:ascii="黑体" w:eastAsia="黑体" w:cs="宋体"/>
      <w:sz w:val="30"/>
      <w:szCs w:val="20"/>
    </w:rPr>
  </w:style>
  <w:style w:type="paragraph" w:customStyle="1" w:styleId="021">
    <w:name w:val="02"/>
    <w:basedOn w:val="310"/>
    <w:link w:val="02Char"/>
    <w:unhideWhenUsed/>
    <w:qFormat/>
    <w:pPr>
      <w:spacing w:line="408" w:lineRule="auto"/>
      <w:ind w:firstLineChars="0" w:firstLine="0"/>
      <w:jc w:val="left"/>
    </w:pPr>
    <w:rPr>
      <w:rFonts w:eastAsia="黑体"/>
      <w:sz w:val="24"/>
    </w:rPr>
  </w:style>
  <w:style w:type="paragraph" w:customStyle="1" w:styleId="3w11">
    <w:name w:val="样式 样式 标题 3w + 首行缩进:  1 字符 + 首行缩进:  1 字符"/>
    <w:basedOn w:val="a3"/>
    <w:unhideWhenUsed/>
    <w:qFormat/>
    <w:pPr>
      <w:keepNext/>
      <w:keepLines/>
      <w:ind w:firstLineChars="100" w:firstLine="100"/>
      <w:outlineLvl w:val="2"/>
    </w:pPr>
    <w:rPr>
      <w:rFonts w:cs="宋体" w:hint="eastAsia"/>
      <w:b/>
      <w:szCs w:val="20"/>
    </w:rPr>
  </w:style>
  <w:style w:type="paragraph" w:customStyle="1" w:styleId="affffffff8">
    <w:name w:val="表格样式"/>
    <w:basedOn w:val="a3"/>
    <w:unhideWhenUsed/>
    <w:qFormat/>
    <w:pPr>
      <w:jc w:val="center"/>
    </w:pPr>
    <w:rPr>
      <w:rFonts w:cs="宋体" w:hint="eastAsia"/>
      <w:szCs w:val="20"/>
    </w:rPr>
  </w:style>
  <w:style w:type="paragraph" w:customStyle="1" w:styleId="2w">
    <w:name w:val="标题 2w"/>
    <w:basedOn w:val="213"/>
    <w:unhideWhenUsed/>
    <w:qFormat/>
    <w:pPr>
      <w:tabs>
        <w:tab w:val="left" w:pos="1322"/>
      </w:tabs>
      <w:spacing w:before="120" w:after="60"/>
      <w:ind w:firstLineChars="0" w:firstLine="0"/>
      <w:jc w:val="left"/>
    </w:pPr>
    <w:rPr>
      <w:rFonts w:cs="宋体"/>
      <w:sz w:val="28"/>
      <w:szCs w:val="20"/>
    </w:rPr>
  </w:style>
  <w:style w:type="paragraph" w:customStyle="1" w:styleId="013">
    <w:name w:val="01"/>
    <w:basedOn w:val="213"/>
    <w:unhideWhenUsed/>
    <w:qFormat/>
    <w:pPr>
      <w:tabs>
        <w:tab w:val="left" w:pos="1322"/>
      </w:tabs>
      <w:spacing w:line="408" w:lineRule="auto"/>
      <w:ind w:firstLineChars="0" w:firstLine="0"/>
      <w:jc w:val="left"/>
    </w:pPr>
    <w:rPr>
      <w:sz w:val="28"/>
    </w:rPr>
  </w:style>
  <w:style w:type="paragraph" w:customStyle="1" w:styleId="2f8">
    <w:name w:val="表格中文字2"/>
    <w:basedOn w:val="25"/>
    <w:unhideWhenUsed/>
    <w:qFormat/>
    <w:pPr>
      <w:spacing w:beforeLines="20" w:afterLines="20" w:line="220" w:lineRule="exact"/>
    </w:pPr>
    <w:rPr>
      <w:rFonts w:eastAsia="仿宋_GB2312" w:hint="eastAsia"/>
      <w:b/>
      <w:sz w:val="18"/>
      <w:szCs w:val="24"/>
    </w:rPr>
  </w:style>
  <w:style w:type="paragraph" w:customStyle="1" w:styleId="-2">
    <w:name w:val="正文文字-参考资料"/>
    <w:basedOn w:val="12"/>
    <w:unhideWhenUsed/>
    <w:qFormat/>
    <w:pPr>
      <w:widowControl w:val="0"/>
      <w:tabs>
        <w:tab w:val="left" w:pos="900"/>
        <w:tab w:val="left" w:pos="1620"/>
      </w:tabs>
      <w:spacing w:beforeLines="20" w:after="0" w:line="360" w:lineRule="exact"/>
      <w:ind w:leftChars="600" w:left="600" w:firstLine="448"/>
      <w:jc w:val="both"/>
    </w:pPr>
    <w:rPr>
      <w:rFonts w:ascii="宋体" w:hAnsi="Technic"/>
      <w:b/>
      <w:spacing w:val="2"/>
      <w:sz w:val="22"/>
      <w:szCs w:val="18"/>
    </w:rPr>
  </w:style>
  <w:style w:type="paragraph" w:customStyle="1" w:styleId="3f">
    <w:name w:val="标...正文文字3"/>
    <w:basedOn w:val="12"/>
    <w:unhideWhenUsed/>
    <w:qFormat/>
    <w:pPr>
      <w:widowControl w:val="0"/>
      <w:spacing w:after="0" w:line="380" w:lineRule="exact"/>
      <w:ind w:firstLine="488"/>
      <w:jc w:val="both"/>
    </w:pPr>
    <w:rPr>
      <w:rFonts w:ascii="宋体" w:hAnsi="宋体"/>
      <w:b/>
      <w:spacing w:val="2"/>
      <w:lang w:val="eu-ES"/>
    </w:rPr>
  </w:style>
  <w:style w:type="paragraph" w:customStyle="1" w:styleId="150">
    <w:name w:val="样式 小四 首行缩进:  1.5 字符"/>
    <w:basedOn w:val="a3"/>
    <w:unhideWhenUsed/>
    <w:qFormat/>
    <w:pPr>
      <w:tabs>
        <w:tab w:val="left" w:pos="1200"/>
        <w:tab w:val="left" w:pos="5040"/>
      </w:tabs>
      <w:spacing w:line="300" w:lineRule="auto"/>
      <w:ind w:left="1200" w:hanging="720"/>
    </w:pPr>
    <w:rPr>
      <w:rFonts w:hint="eastAsia"/>
      <w:b/>
      <w:sz w:val="21"/>
      <w:szCs w:val="24"/>
    </w:rPr>
  </w:style>
  <w:style w:type="paragraph" w:customStyle="1" w:styleId="4e">
    <w:name w:val="标...正文文字4"/>
    <w:basedOn w:val="3f"/>
    <w:next w:val="3f"/>
    <w:unhideWhenUsed/>
    <w:qFormat/>
    <w:pPr>
      <w:tabs>
        <w:tab w:val="left" w:pos="1080"/>
        <w:tab w:val="left" w:pos="1320"/>
      </w:tabs>
      <w:spacing w:beforeLines="20" w:line="300" w:lineRule="exact"/>
      <w:ind w:left="1271" w:firstLineChars="0" w:hanging="851"/>
    </w:pPr>
    <w:rPr>
      <w:sz w:val="21"/>
      <w:lang w:val="en-US"/>
    </w:rPr>
  </w:style>
  <w:style w:type="paragraph" w:customStyle="1" w:styleId="affffffff9">
    <w:name w:val="标...法规文字"/>
    <w:basedOn w:val="a3"/>
    <w:unhideWhenUsed/>
    <w:qFormat/>
    <w:pPr>
      <w:tabs>
        <w:tab w:val="left" w:pos="360"/>
        <w:tab w:val="left" w:pos="780"/>
      </w:tabs>
      <w:spacing w:line="420" w:lineRule="exact"/>
      <w:ind w:left="360" w:hanging="360"/>
    </w:pPr>
    <w:rPr>
      <w:rFonts w:ascii="宋体" w:hAnsi="宋体" w:hint="eastAsia"/>
      <w:b/>
      <w:szCs w:val="24"/>
    </w:rPr>
  </w:style>
  <w:style w:type="paragraph" w:customStyle="1" w:styleId="2f9">
    <w:name w:val="表头文字2"/>
    <w:basedOn w:val="affffffffa"/>
    <w:unhideWhenUsed/>
    <w:qFormat/>
    <w:pPr>
      <w:spacing w:line="300" w:lineRule="exact"/>
    </w:pPr>
    <w:rPr>
      <w:sz w:val="18"/>
    </w:rPr>
  </w:style>
  <w:style w:type="paragraph" w:customStyle="1" w:styleId="affffffffa">
    <w:name w:val="表头文字"/>
    <w:basedOn w:val="a3"/>
    <w:next w:val="a5"/>
    <w:unhideWhenUsed/>
    <w:qFormat/>
    <w:pPr>
      <w:snapToGrid w:val="0"/>
      <w:spacing w:line="240" w:lineRule="atLeast"/>
      <w:jc w:val="center"/>
    </w:pPr>
    <w:rPr>
      <w:rFonts w:hint="eastAsia"/>
      <w:b/>
      <w:sz w:val="21"/>
      <w:szCs w:val="24"/>
    </w:rPr>
  </w:style>
  <w:style w:type="paragraph" w:customStyle="1" w:styleId="affffffffb">
    <w:name w:val="级别表格里目录"/>
    <w:basedOn w:val="a3"/>
    <w:unhideWhenUsed/>
    <w:qFormat/>
    <w:pPr>
      <w:ind w:left="-122" w:right="-110"/>
      <w:jc w:val="center"/>
    </w:pPr>
    <w:rPr>
      <w:rFonts w:hint="eastAsia"/>
      <w:sz w:val="21"/>
      <w:szCs w:val="32"/>
    </w:rPr>
  </w:style>
  <w:style w:type="paragraph" w:styleId="affffffffc">
    <w:name w:val="No Spacing"/>
    <w:basedOn w:val="a3"/>
    <w:link w:val="Charff5"/>
    <w:uiPriority w:val="1"/>
    <w:unhideWhenUsed/>
    <w:qFormat/>
    <w:rPr>
      <w:rFonts w:hint="eastAsia"/>
      <w:sz w:val="21"/>
      <w:szCs w:val="32"/>
    </w:rPr>
  </w:style>
  <w:style w:type="paragraph" w:styleId="affffffffd">
    <w:name w:val="Quote"/>
    <w:basedOn w:val="a3"/>
    <w:next w:val="a3"/>
    <w:link w:val="Charff6"/>
    <w:unhideWhenUsed/>
    <w:qFormat/>
    <w:rPr>
      <w:rFonts w:hint="eastAsia"/>
      <w:i/>
      <w:sz w:val="21"/>
      <w:szCs w:val="24"/>
    </w:rPr>
  </w:style>
  <w:style w:type="paragraph" w:styleId="affffffffe">
    <w:name w:val="Intense Quote"/>
    <w:basedOn w:val="a3"/>
    <w:next w:val="a3"/>
    <w:link w:val="Charff7"/>
    <w:unhideWhenUsed/>
    <w:qFormat/>
    <w:pPr>
      <w:ind w:left="720" w:right="720"/>
    </w:pPr>
    <w:rPr>
      <w:rFonts w:hint="eastAsia"/>
      <w:b/>
      <w:i/>
      <w:sz w:val="21"/>
      <w:szCs w:val="22"/>
    </w:rPr>
  </w:style>
  <w:style w:type="paragraph" w:customStyle="1" w:styleId="pic-info">
    <w:name w:val="pic-info"/>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
    <w:name w:val="表格内标"/>
    <w:basedOn w:val="a3"/>
    <w:next w:val="a3"/>
    <w:link w:val="Charff8"/>
    <w:unhideWhenUsed/>
    <w:qFormat/>
    <w:pPr>
      <w:adjustRightInd w:val="0"/>
      <w:snapToGrid w:val="0"/>
      <w:jc w:val="center"/>
    </w:pPr>
    <w:rPr>
      <w:rFonts w:eastAsia="黑体" w:hint="eastAsia"/>
      <w:sz w:val="20"/>
      <w:szCs w:val="20"/>
    </w:rPr>
  </w:style>
  <w:style w:type="paragraph" w:customStyle="1" w:styleId="afffffffff0">
    <w:name w:val="公式注解"/>
    <w:basedOn w:val="BodyTextIndent1"/>
    <w:unhideWhenUsed/>
    <w:qFormat/>
    <w:pPr>
      <w:spacing w:after="0" w:line="480" w:lineRule="exact"/>
      <w:ind w:leftChars="0" w:left="0" w:firstLineChars="500" w:firstLine="1200"/>
    </w:pPr>
    <w:rPr>
      <w:rFonts w:cs="宋体"/>
      <w:position w:val="-4"/>
      <w:sz w:val="24"/>
      <w:szCs w:val="20"/>
    </w:rPr>
  </w:style>
  <w:style w:type="paragraph" w:customStyle="1" w:styleId="afffffffff1">
    <w:name w:val="正文悬挂"/>
    <w:basedOn w:val="a3"/>
    <w:next w:val="a3"/>
    <w:unhideWhenUsed/>
    <w:qFormat/>
    <w:rPr>
      <w:rFonts w:ascii="宋体" w:hAnsi="宋体" w:cs="宋体" w:hint="eastAsia"/>
      <w:color w:val="FF0000"/>
      <w:szCs w:val="24"/>
    </w:rPr>
  </w:style>
  <w:style w:type="paragraph" w:customStyle="1" w:styleId="CharCharCharChar1CharChar">
    <w:name w:val="Char Char Char Char1 Char Char"/>
    <w:basedOn w:val="410"/>
    <w:unhideWhenUsed/>
    <w:qFormat/>
    <w:pPr>
      <w:tabs>
        <w:tab w:val="left" w:pos="0"/>
        <w:tab w:val="left" w:pos="2880"/>
      </w:tabs>
      <w:ind w:firstLineChars="0" w:firstLine="0"/>
      <w:jc w:val="center"/>
    </w:pPr>
    <w:rPr>
      <w:rFonts w:ascii="Arial" w:eastAsia="仿宋_GB2312" w:hAnsi="Arial" w:cs="Arial"/>
      <w:color w:val="FF0000"/>
    </w:rPr>
  </w:style>
  <w:style w:type="paragraph" w:customStyle="1" w:styleId="Afffffffff2">
    <w:name w:val="正文A"/>
    <w:basedOn w:val="a3"/>
    <w:unhideWhenUsed/>
    <w:qFormat/>
    <w:pPr>
      <w:autoSpaceDE w:val="0"/>
      <w:autoSpaceDN w:val="0"/>
      <w:adjustRightInd w:val="0"/>
      <w:snapToGrid w:val="0"/>
      <w:spacing w:line="400" w:lineRule="atLeast"/>
      <w:ind w:firstLine="539"/>
      <w:textAlignment w:val="baseline"/>
    </w:pPr>
    <w:rPr>
      <w:rFonts w:ascii="宋体" w:hAnsi="宋体" w:hint="eastAsia"/>
      <w:szCs w:val="20"/>
    </w:rPr>
  </w:style>
  <w:style w:type="paragraph" w:customStyle="1" w:styleId="zhang">
    <w:name w:val="zhang正文"/>
    <w:basedOn w:val="BodyTextIndent1"/>
    <w:unhideWhenUsed/>
    <w:qFormat/>
    <w:pPr>
      <w:autoSpaceDE w:val="0"/>
      <w:autoSpaceDN w:val="0"/>
      <w:adjustRightInd w:val="0"/>
      <w:snapToGrid w:val="0"/>
      <w:spacing w:after="0" w:line="500" w:lineRule="atLeast"/>
      <w:ind w:leftChars="0" w:left="0" w:firstLine="539"/>
    </w:pPr>
    <w:rPr>
      <w:rFonts w:eastAsia="楷体_GB2312"/>
      <w:sz w:val="28"/>
      <w:szCs w:val="20"/>
    </w:rPr>
  </w:style>
  <w:style w:type="paragraph" w:customStyle="1" w:styleId="Char2CharCharCharCharCharCharCharCharCharCharCharChar">
    <w:name w:val="Char2 Char Char Char Char Char Char Char Char Char Char Char Char"/>
    <w:basedOn w:val="a3"/>
    <w:unhideWhenUsed/>
    <w:qFormat/>
    <w:pPr>
      <w:spacing w:line="560" w:lineRule="exact"/>
    </w:pPr>
    <w:rPr>
      <w:rFonts w:hint="eastAsia"/>
      <w:sz w:val="28"/>
      <w:szCs w:val="28"/>
    </w:rPr>
  </w:style>
  <w:style w:type="paragraph" w:customStyle="1" w:styleId="1ff2">
    <w:name w:val="1文章"/>
    <w:basedOn w:val="a3"/>
    <w:unhideWhenUsed/>
    <w:qFormat/>
    <w:pPr>
      <w:snapToGrid w:val="0"/>
      <w:spacing w:line="400" w:lineRule="atLeast"/>
      <w:ind w:firstLine="573"/>
      <w:outlineLvl w:val="4"/>
    </w:pPr>
    <w:rPr>
      <w:rFonts w:hint="eastAsia"/>
      <w:szCs w:val="24"/>
    </w:rPr>
  </w:style>
  <w:style w:type="paragraph" w:customStyle="1" w:styleId="152">
    <w:name w:val="样式 宋体 行距: 1.5 倍行距2"/>
    <w:basedOn w:val="a3"/>
    <w:unhideWhenUsed/>
    <w:qFormat/>
    <w:pPr>
      <w:ind w:firstLineChars="210" w:firstLine="441"/>
    </w:pPr>
    <w:rPr>
      <w:rFonts w:ascii="宋体" w:hAnsi="宋体" w:hint="eastAsia"/>
      <w:szCs w:val="20"/>
    </w:rPr>
  </w:style>
  <w:style w:type="paragraph" w:customStyle="1" w:styleId="151">
    <w:name w:val="样式 宋体 行距: 1.5 倍行距"/>
    <w:basedOn w:val="a3"/>
    <w:unhideWhenUsed/>
    <w:qFormat/>
    <w:pPr>
      <w:ind w:firstLine="420"/>
    </w:pPr>
    <w:rPr>
      <w:rFonts w:ascii="宋体" w:hAnsi="宋体" w:hint="eastAsia"/>
      <w:szCs w:val="20"/>
    </w:rPr>
  </w:style>
  <w:style w:type="paragraph" w:customStyle="1" w:styleId="0505">
    <w:name w:val="样式 表头 + 段前: 0.5 行 段后: 0.5 行"/>
    <w:basedOn w:val="afff3"/>
    <w:unhideWhenUsed/>
    <w:qFormat/>
    <w:pPr>
      <w:autoSpaceDE w:val="0"/>
      <w:autoSpaceDN w:val="0"/>
      <w:adjustRightInd w:val="0"/>
      <w:spacing w:beforeAutospacing="1" w:after="100" w:afterAutospacing="1" w:line="480" w:lineRule="exact"/>
    </w:pPr>
    <w:rPr>
      <w:rFonts w:hint="eastAsia"/>
      <w:b w:val="0"/>
      <w:szCs w:val="20"/>
      <w:lang w:val="zh-CN"/>
    </w:rPr>
  </w:style>
  <w:style w:type="paragraph" w:customStyle="1" w:styleId="GB231201222">
    <w:name w:val="样式 仿宋_GB2312 小四 紧缩量  0.1 磅 行距: 固定值 22 磅 首行缩进:  2 字符"/>
    <w:basedOn w:val="a3"/>
    <w:next w:val="a3"/>
    <w:unhideWhenUsed/>
    <w:qFormat/>
    <w:pPr>
      <w:spacing w:line="440" w:lineRule="exact"/>
    </w:pPr>
    <w:rPr>
      <w:rFonts w:ascii="仿宋_GB2312" w:eastAsia="仿宋_GB2312" w:hint="eastAsia"/>
      <w:spacing w:val="-2"/>
      <w:szCs w:val="20"/>
    </w:rPr>
  </w:style>
  <w:style w:type="paragraph" w:customStyle="1" w:styleId="83">
    <w:name w:val="8"/>
    <w:basedOn w:val="a3"/>
    <w:unhideWhenUsed/>
    <w:qFormat/>
    <w:pPr>
      <w:ind w:firstLine="480"/>
    </w:pPr>
    <w:rPr>
      <w:rFonts w:hint="eastAsia"/>
      <w:kern w:val="10"/>
      <w:szCs w:val="20"/>
    </w:rPr>
  </w:style>
  <w:style w:type="paragraph" w:customStyle="1" w:styleId="8Char1CharChar">
    <w:name w:val="8 Char1 Char Char"/>
    <w:basedOn w:val="a3"/>
    <w:unhideWhenUsed/>
    <w:qFormat/>
    <w:pPr>
      <w:ind w:firstLine="480"/>
    </w:pPr>
    <w:rPr>
      <w:rFonts w:hint="eastAsia"/>
      <w:kern w:val="10"/>
      <w:szCs w:val="20"/>
    </w:rPr>
  </w:style>
  <w:style w:type="paragraph" w:customStyle="1" w:styleId="8Char0">
    <w:name w:val="8 Char"/>
    <w:basedOn w:val="a3"/>
    <w:unhideWhenUsed/>
    <w:qFormat/>
    <w:pPr>
      <w:ind w:firstLine="480"/>
    </w:pPr>
    <w:rPr>
      <w:rFonts w:hint="eastAsia"/>
      <w:kern w:val="10"/>
      <w:szCs w:val="24"/>
    </w:rPr>
  </w:style>
  <w:style w:type="paragraph" w:customStyle="1" w:styleId="CharCharCharCharCharCharCharCharChar0">
    <w:name w:val="样式 题注题注 Char Char Char + (中文) 宋体 四号 红色 Char Char Char Char Char Char"/>
    <w:basedOn w:val="1c"/>
    <w:unhideWhenUsed/>
    <w:qFormat/>
    <w:pPr>
      <w:tabs>
        <w:tab w:val="left" w:pos="0"/>
      </w:tabs>
      <w:jc w:val="center"/>
    </w:pPr>
    <w:rPr>
      <w:rFonts w:ascii="Times New Roman" w:eastAsia="宋体" w:hAnsi="Times New Roman"/>
      <w:b/>
      <w:spacing w:val="-6"/>
      <w:sz w:val="28"/>
      <w:szCs w:val="28"/>
    </w:rPr>
  </w:style>
  <w:style w:type="paragraph" w:customStyle="1" w:styleId="CharCharCharCharChar">
    <w:name w:val="样式 题注题注 Char Char Char + (中文) 宋体 四号 红色 Char Char"/>
    <w:basedOn w:val="1c"/>
    <w:unhideWhenUsed/>
    <w:qFormat/>
    <w:pPr>
      <w:tabs>
        <w:tab w:val="left" w:pos="0"/>
      </w:tabs>
      <w:ind w:left="284" w:hanging="284"/>
      <w:jc w:val="center"/>
    </w:pPr>
    <w:rPr>
      <w:rFonts w:ascii="Times New Roman" w:eastAsia="宋体" w:hAnsi="Times New Roman"/>
      <w:b/>
      <w:spacing w:val="-6"/>
      <w:sz w:val="28"/>
      <w:szCs w:val="28"/>
    </w:rPr>
  </w:style>
  <w:style w:type="paragraph" w:customStyle="1" w:styleId="afffffffff3">
    <w:name w:val="正文段"/>
    <w:basedOn w:val="a3"/>
    <w:link w:val="Char23"/>
    <w:unhideWhenUsed/>
    <w:qFormat/>
    <w:pPr>
      <w:ind w:firstLine="536"/>
    </w:pPr>
    <w:rPr>
      <w:rFonts w:ascii="仿宋_GB2312" w:eastAsia="仿宋_GB2312" w:hAnsi="宋体" w:cs="宋体" w:hint="eastAsia"/>
      <w:sz w:val="28"/>
      <w:szCs w:val="18"/>
    </w:rPr>
  </w:style>
  <w:style w:type="paragraph" w:customStyle="1" w:styleId="CharCharCharCharCharCharCharChar">
    <w:name w:val="样式 题注题注 Char Char Char + (中文) 宋体 四号 红色 Char Char Char Char Char"/>
    <w:basedOn w:val="1c"/>
    <w:unhideWhenUsed/>
    <w:qFormat/>
    <w:pPr>
      <w:tabs>
        <w:tab w:val="left" w:pos="0"/>
      </w:tabs>
      <w:ind w:left="284" w:hanging="284"/>
      <w:jc w:val="center"/>
    </w:pPr>
    <w:rPr>
      <w:rFonts w:ascii="Times New Roman" w:eastAsia="宋体" w:hAnsi="Times New Roman"/>
      <w:b/>
      <w:spacing w:val="-6"/>
      <w:sz w:val="28"/>
      <w:szCs w:val="28"/>
    </w:rPr>
  </w:style>
  <w:style w:type="paragraph" w:customStyle="1" w:styleId="2fa">
    <w:name w:val="样式 正文缩进 + 首行缩进:  2 字符"/>
    <w:basedOn w:val="1b"/>
    <w:unhideWhenUsed/>
    <w:qFormat/>
    <w:pPr>
      <w:snapToGrid w:val="0"/>
      <w:ind w:firstLine="560"/>
    </w:pPr>
    <w:rPr>
      <w:rFonts w:cs="宋体"/>
      <w:sz w:val="28"/>
    </w:rPr>
  </w:style>
  <w:style w:type="paragraph" w:customStyle="1" w:styleId="p2">
    <w:name w:val="p2"/>
    <w:basedOn w:val="a3"/>
    <w:unhideWhenUsed/>
    <w:qFormat/>
    <w:pPr>
      <w:widowControl/>
      <w:spacing w:before="100" w:beforeAutospacing="1" w:after="100" w:afterAutospacing="1" w:line="360" w:lineRule="atLeast"/>
      <w:jc w:val="left"/>
    </w:pPr>
    <w:rPr>
      <w:rFonts w:ascii="宋体" w:hAnsi="宋体" w:hint="eastAsia"/>
      <w:sz w:val="18"/>
      <w:szCs w:val="18"/>
    </w:rPr>
  </w:style>
  <w:style w:type="paragraph" w:customStyle="1" w:styleId="afffffffff4">
    <w:name w:val="表文字"/>
    <w:basedOn w:val="a3"/>
    <w:link w:val="Char15"/>
    <w:unhideWhenUsed/>
    <w:qFormat/>
    <w:pPr>
      <w:spacing w:line="320" w:lineRule="exact"/>
    </w:pPr>
    <w:rPr>
      <w:rFonts w:hint="eastAsia"/>
      <w:sz w:val="21"/>
      <w:szCs w:val="20"/>
    </w:rPr>
  </w:style>
  <w:style w:type="paragraph" w:customStyle="1" w:styleId="1ff3">
    <w:name w:val="1表格"/>
    <w:basedOn w:val="a3"/>
    <w:unhideWhenUsed/>
    <w:qFormat/>
    <w:pPr>
      <w:spacing w:line="160" w:lineRule="atLeast"/>
      <w:jc w:val="center"/>
    </w:pPr>
    <w:rPr>
      <w:rFonts w:ascii="仿宋_GB2312" w:eastAsia="仿宋_GB2312" w:hAnsi="仿宋体" w:hint="eastAsia"/>
      <w:sz w:val="21"/>
      <w:szCs w:val="28"/>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unhideWhenUsed/>
    <w:qFormat/>
    <w:rPr>
      <w:rFonts w:hint="eastAsia"/>
      <w:sz w:val="21"/>
      <w:szCs w:val="20"/>
    </w:rPr>
  </w:style>
  <w:style w:type="paragraph" w:customStyle="1" w:styleId="218">
    <w:name w:val="纯文本21"/>
    <w:basedOn w:val="a3"/>
    <w:unhideWhenUsed/>
    <w:qFormat/>
    <w:pPr>
      <w:adjustRightInd w:val="0"/>
      <w:textAlignment w:val="baseline"/>
    </w:pPr>
    <w:rPr>
      <w:rFonts w:ascii="宋体" w:hAnsi="Courier New" w:hint="eastAsia"/>
      <w:sz w:val="21"/>
      <w:szCs w:val="20"/>
    </w:rPr>
  </w:style>
  <w:style w:type="paragraph" w:customStyle="1" w:styleId="CharCharChar1Char4">
    <w:name w:val="Char Char Char1 Char4"/>
    <w:basedOn w:val="a3"/>
    <w:unhideWhenUsed/>
    <w:qFormat/>
    <w:rPr>
      <w:rFonts w:hint="eastAsia"/>
      <w:sz w:val="21"/>
      <w:szCs w:val="24"/>
    </w:rPr>
  </w:style>
  <w:style w:type="paragraph" w:customStyle="1" w:styleId="CharCharCharCharCharCharCharCharCharCharCharCharCharCharCharCharCharCharChar1">
    <w:name w:val="Char Char Char Char Char Char Char Char Char Char Char Char Char Char Char Char Char Char Char1"/>
    <w:basedOn w:val="a3"/>
    <w:unhideWhenUsed/>
    <w:qFormat/>
    <w:rPr>
      <w:rFonts w:ascii="宋体" w:hAnsi="宋体" w:cs="宋体" w:hint="eastAsia"/>
      <w:szCs w:val="24"/>
    </w:rPr>
  </w:style>
  <w:style w:type="paragraph" w:customStyle="1" w:styleId="CharCharChar1CharCharCharCharCharCharCharCharCharCharCharCharCharCharCharChar1">
    <w:name w:val="Char Char Char1 Char Char Char Char Char Char Char Char Char Char Char Char Char Char Char Char1"/>
    <w:basedOn w:val="a3"/>
    <w:unhideWhenUsed/>
    <w:qFormat/>
    <w:rPr>
      <w:rFonts w:hint="eastAsia"/>
      <w:sz w:val="21"/>
      <w:szCs w:val="24"/>
    </w:rPr>
  </w:style>
  <w:style w:type="paragraph" w:customStyle="1" w:styleId="113">
    <w:name w:val="正文文本缩进11"/>
    <w:basedOn w:val="a3"/>
    <w:unhideWhenUsed/>
    <w:qFormat/>
    <w:pPr>
      <w:ind w:firstLine="560"/>
    </w:pPr>
    <w:rPr>
      <w:rFonts w:ascii="宋体" w:hAnsi="宋体" w:hint="eastAsia"/>
      <w:sz w:val="28"/>
      <w:szCs w:val="28"/>
    </w:rPr>
  </w:style>
  <w:style w:type="paragraph" w:customStyle="1" w:styleId="CharCharChar1CharCharCharCharCharCharCharCharCharCharCharCharChar1">
    <w:name w:val="Char Char Char1 Char Char Char Char Char Char Char Char Char Char Char Char Char1"/>
    <w:basedOn w:val="a3"/>
    <w:unhideWhenUsed/>
    <w:qFormat/>
    <w:rPr>
      <w:rFonts w:hint="eastAsia"/>
      <w:sz w:val="21"/>
      <w:szCs w:val="24"/>
    </w:rPr>
  </w:style>
  <w:style w:type="paragraph" w:customStyle="1" w:styleId="1ff4">
    <w:name w:val="字元 字元1"/>
    <w:basedOn w:val="a3"/>
    <w:unhideWhenUsed/>
    <w:qFormat/>
    <w:rPr>
      <w:rFonts w:ascii="宋体" w:hAnsi="宋体" w:cs="宋体" w:hint="eastAsia"/>
      <w:szCs w:val="24"/>
    </w:rPr>
  </w:style>
  <w:style w:type="paragraph" w:customStyle="1" w:styleId="Char210">
    <w:name w:val="Char21"/>
    <w:basedOn w:val="a3"/>
    <w:next w:val="a3"/>
    <w:unhideWhenUsed/>
    <w:qFormat/>
    <w:rPr>
      <w:rFonts w:ascii="宋体" w:hAnsi="宋体" w:cs="宋体" w:hint="eastAsia"/>
      <w:szCs w:val="24"/>
    </w:rPr>
  </w:style>
  <w:style w:type="paragraph" w:customStyle="1" w:styleId="CharCharCharCharCharCharChar1">
    <w:name w:val="Char Char Char Char Char Char Char1"/>
    <w:basedOn w:val="410"/>
    <w:unhideWhenUsed/>
    <w:qFormat/>
    <w:pPr>
      <w:tabs>
        <w:tab w:val="left" w:pos="2880"/>
      </w:tabs>
      <w:spacing w:before="140" w:line="220" w:lineRule="atLeast"/>
      <w:ind w:left="720" w:firstLineChars="0" w:firstLine="0"/>
      <w:jc w:val="left"/>
    </w:pPr>
    <w:rPr>
      <w:rFonts w:ascii="Futura Bk BT" w:cs="Futura Bk BT" w:hint="default"/>
      <w:b w:val="0"/>
      <w:spacing w:val="-4"/>
      <w:sz w:val="21"/>
      <w:szCs w:val="20"/>
      <w:lang w:val="en-AU" w:eastAsia="en-US"/>
    </w:rPr>
  </w:style>
  <w:style w:type="paragraph" w:customStyle="1" w:styleId="CharCharChar1CharCharCharCharCharCharCharCharChar1Char1">
    <w:name w:val="Char Char Char1 Char Char Char Char Char Char Char Char Char1 Char1"/>
    <w:basedOn w:val="a3"/>
    <w:unhideWhenUsed/>
    <w:qFormat/>
    <w:rPr>
      <w:rFonts w:hint="eastAsia"/>
      <w:sz w:val="21"/>
      <w:szCs w:val="24"/>
    </w:rPr>
  </w:style>
  <w:style w:type="paragraph" w:customStyle="1" w:styleId="CharCharCharChar1CharChar1">
    <w:name w:val="Char Char Char Char1 Char Char1"/>
    <w:basedOn w:val="410"/>
    <w:unhideWhenUsed/>
    <w:qFormat/>
    <w:pPr>
      <w:tabs>
        <w:tab w:val="left" w:pos="0"/>
        <w:tab w:val="left" w:pos="2880"/>
      </w:tabs>
      <w:ind w:firstLineChars="0" w:firstLine="0"/>
      <w:jc w:val="center"/>
    </w:pPr>
    <w:rPr>
      <w:rFonts w:ascii="Arial" w:eastAsia="仿宋_GB2312" w:hAnsi="Arial" w:cs="Arial"/>
      <w:color w:val="FF0000"/>
    </w:rPr>
  </w:style>
  <w:style w:type="paragraph" w:customStyle="1" w:styleId="Char2CharCharCharCharCharCharCharCharCharCharCharChar1">
    <w:name w:val="Char2 Char Char Char Char Char Char Char Char Char Char Char Char1"/>
    <w:basedOn w:val="a3"/>
    <w:unhideWhenUsed/>
    <w:qFormat/>
    <w:pPr>
      <w:spacing w:line="560" w:lineRule="exact"/>
    </w:pPr>
    <w:rPr>
      <w:rFonts w:hint="eastAsia"/>
      <w:sz w:val="28"/>
      <w:szCs w:val="28"/>
    </w:rPr>
  </w:style>
  <w:style w:type="paragraph" w:customStyle="1" w:styleId="CharChar15CharChar">
    <w:name w:val="Char Char15 Char Char"/>
    <w:basedOn w:val="a3"/>
    <w:unhideWhenUsed/>
    <w:qFormat/>
    <w:rPr>
      <w:rFonts w:ascii="宋体" w:hAnsi="宋体" w:cs="宋体" w:hint="eastAsia"/>
      <w:szCs w:val="24"/>
    </w:rPr>
  </w:style>
  <w:style w:type="paragraph" w:customStyle="1" w:styleId="CharChar7CharChar">
    <w:name w:val="Char Char7 Char Char"/>
    <w:basedOn w:val="a3"/>
    <w:unhideWhenUsed/>
    <w:qFormat/>
    <w:rPr>
      <w:rFonts w:ascii="宋体" w:hAnsi="宋体" w:cs="宋体" w:hint="eastAsia"/>
      <w:szCs w:val="24"/>
    </w:rPr>
  </w:style>
  <w:style w:type="paragraph" w:customStyle="1" w:styleId="CharCharCharCharCharCharCharCharChar5">
    <w:name w:val="Char Char Char Char Char Char Char Char Char5"/>
    <w:basedOn w:val="a3"/>
    <w:unhideWhenUsed/>
    <w:qFormat/>
    <w:pPr>
      <w:widowControl/>
      <w:spacing w:after="160" w:line="240" w:lineRule="exact"/>
      <w:jc w:val="left"/>
    </w:pPr>
    <w:rPr>
      <w:rFonts w:ascii="Verdana" w:eastAsia="仿宋_GB2312" w:hAnsi="Verdana" w:hint="eastAsia"/>
      <w:szCs w:val="20"/>
      <w:lang w:eastAsia="en-US"/>
    </w:rPr>
  </w:style>
  <w:style w:type="paragraph" w:customStyle="1" w:styleId="CharChar151">
    <w:name w:val="Char Char151"/>
    <w:basedOn w:val="a3"/>
    <w:unhideWhenUsed/>
    <w:qFormat/>
    <w:rPr>
      <w:rFonts w:ascii="宋体" w:hAnsi="宋体" w:cs="宋体" w:hint="eastAsia"/>
      <w:szCs w:val="24"/>
    </w:rPr>
  </w:style>
  <w:style w:type="paragraph" w:customStyle="1" w:styleId="1110">
    <w:name w:val="标题111"/>
    <w:basedOn w:val="a3"/>
    <w:unhideWhenUsed/>
    <w:qFormat/>
    <w:pPr>
      <w:spacing w:beforeLines="50" w:afterLines="50"/>
      <w:outlineLvl w:val="0"/>
    </w:pPr>
    <w:rPr>
      <w:rFonts w:hint="eastAsia"/>
      <w:b/>
      <w:sz w:val="36"/>
      <w:szCs w:val="36"/>
    </w:rPr>
  </w:style>
  <w:style w:type="paragraph" w:customStyle="1" w:styleId="CharChar7CharChar1">
    <w:name w:val="Char Char7 Char Char1"/>
    <w:basedOn w:val="a3"/>
    <w:unhideWhenUsed/>
    <w:qFormat/>
    <w:rPr>
      <w:rFonts w:ascii="宋体" w:hAnsi="宋体" w:cs="宋体" w:hint="eastAsia"/>
      <w:szCs w:val="24"/>
    </w:rPr>
  </w:style>
  <w:style w:type="paragraph" w:customStyle="1" w:styleId="CharChar7CharChar1CharChar">
    <w:name w:val="Char Char7 Char Char1 Char Char"/>
    <w:basedOn w:val="a3"/>
    <w:unhideWhenUsed/>
    <w:qFormat/>
    <w:rPr>
      <w:rFonts w:ascii="宋体" w:hAnsi="宋体" w:cs="宋体" w:hint="eastAsia"/>
      <w:szCs w:val="24"/>
    </w:rPr>
  </w:style>
  <w:style w:type="paragraph" w:customStyle="1" w:styleId="030">
    <w:name w:val="表格03"/>
    <w:basedOn w:val="a3"/>
    <w:unhideWhenUsed/>
    <w:qFormat/>
    <w:pPr>
      <w:spacing w:line="400" w:lineRule="exact"/>
      <w:jc w:val="center"/>
    </w:pPr>
    <w:rPr>
      <w:rFonts w:hint="eastAsia"/>
      <w:sz w:val="21"/>
    </w:rPr>
  </w:style>
  <w:style w:type="paragraph" w:customStyle="1" w:styleId="CharChar7CharChar1CharCharCharChar">
    <w:name w:val="Char Char7 Char Char1 Char Char Char Char"/>
    <w:basedOn w:val="a3"/>
    <w:unhideWhenUsed/>
    <w:qFormat/>
    <w:rPr>
      <w:rFonts w:ascii="宋体" w:hAnsi="宋体" w:cs="宋体" w:hint="eastAsia"/>
      <w:szCs w:val="24"/>
    </w:rPr>
  </w:style>
  <w:style w:type="paragraph" w:customStyle="1" w:styleId="afffffffff5">
    <w:name w:val="正文文字"/>
    <w:basedOn w:val="a3"/>
    <w:unhideWhenUsed/>
    <w:qFormat/>
    <w:pPr>
      <w:widowControl/>
      <w:spacing w:after="200"/>
      <w:ind w:left="539"/>
      <w:jc w:val="left"/>
    </w:pPr>
    <w:rPr>
      <w:rFonts w:ascii="Arial" w:hAnsi="宋体" w:cs="Arial" w:hint="eastAsia"/>
      <w:szCs w:val="22"/>
    </w:rPr>
  </w:style>
  <w:style w:type="paragraph" w:customStyle="1" w:styleId="-3">
    <w:name w:val="徐-报告正文"/>
    <w:basedOn w:val="a3"/>
    <w:unhideWhenUsed/>
    <w:qFormat/>
    <w:pPr>
      <w:widowControl/>
      <w:jc w:val="left"/>
    </w:pPr>
    <w:rPr>
      <w:rFonts w:cs="宋体" w:hint="eastAsia"/>
      <w:szCs w:val="24"/>
    </w:rPr>
  </w:style>
  <w:style w:type="paragraph" w:customStyle="1" w:styleId="cucd-TB">
    <w:name w:val="cucd-TB"/>
    <w:unhideWhenUsed/>
    <w:qFormat/>
    <w:pPr>
      <w:spacing w:line="360" w:lineRule="auto"/>
      <w:jc w:val="center"/>
    </w:pPr>
    <w:rPr>
      <w:rFonts w:hint="eastAsia"/>
      <w:kern w:val="2"/>
      <w:sz w:val="21"/>
      <w:szCs w:val="24"/>
    </w:rPr>
  </w:style>
  <w:style w:type="paragraph" w:customStyle="1" w:styleId="CharChar7CharCharCharChar">
    <w:name w:val="Char Char7 Char Char Char Char"/>
    <w:basedOn w:val="a3"/>
    <w:unhideWhenUsed/>
    <w:qFormat/>
    <w:rPr>
      <w:rFonts w:ascii="宋体" w:hAnsi="宋体" w:cs="宋体" w:hint="eastAsia"/>
      <w:szCs w:val="24"/>
    </w:rPr>
  </w:style>
  <w:style w:type="paragraph" w:customStyle="1" w:styleId="CharChar7CharChar1CharCharCharCharCharChar">
    <w:name w:val="Char Char7 Char Char1 Char Char Char Char Char Char"/>
    <w:basedOn w:val="a3"/>
    <w:unhideWhenUsed/>
    <w:qFormat/>
    <w:rPr>
      <w:rFonts w:ascii="宋体" w:hAnsi="宋体" w:cs="宋体" w:hint="eastAsia"/>
      <w:szCs w:val="24"/>
    </w:rPr>
  </w:style>
  <w:style w:type="paragraph" w:customStyle="1" w:styleId="CharChar7">
    <w:name w:val="Char Char7"/>
    <w:basedOn w:val="a3"/>
    <w:unhideWhenUsed/>
    <w:qFormat/>
    <w:rPr>
      <w:rFonts w:ascii="宋体" w:hAnsi="宋体" w:cs="宋体" w:hint="eastAsia"/>
      <w:szCs w:val="24"/>
    </w:rPr>
  </w:style>
  <w:style w:type="paragraph" w:customStyle="1" w:styleId="CharChar7CharChar1CharCharCharCharCharCharCharChar">
    <w:name w:val="Char Char7 Char Char1 Char Char Char Char Char Char Char Char"/>
    <w:basedOn w:val="a3"/>
    <w:unhideWhenUsed/>
    <w:qFormat/>
    <w:rPr>
      <w:rFonts w:ascii="宋体" w:hAnsi="宋体" w:cs="宋体" w:hint="eastAsia"/>
      <w:szCs w:val="24"/>
    </w:rPr>
  </w:style>
  <w:style w:type="paragraph" w:customStyle="1" w:styleId="153">
    <w:name w:val="正文 小四 行距: 1.5 倍行距"/>
    <w:basedOn w:val="a3"/>
    <w:link w:val="15Char"/>
    <w:unhideWhenUsed/>
    <w:qFormat/>
    <w:pPr>
      <w:ind w:firstLine="480"/>
    </w:pPr>
    <w:rPr>
      <w:rFonts w:hint="eastAsia"/>
      <w:szCs w:val="20"/>
    </w:rPr>
  </w:style>
  <w:style w:type="paragraph" w:customStyle="1" w:styleId="CharCharCharCharCharCharCharCharCharCharCharCharChar">
    <w:name w:val="Char Char Char Char Char Char Char Char Char Char Char Char Char"/>
    <w:basedOn w:val="a3"/>
    <w:next w:val="a3"/>
    <w:unhideWhenUsed/>
    <w:qFormat/>
    <w:rPr>
      <w:rFonts w:hint="eastAsia"/>
      <w:szCs w:val="24"/>
    </w:rPr>
  </w:style>
  <w:style w:type="paragraph" w:customStyle="1" w:styleId="afffffffff6">
    <w:name w:val="表体"/>
    <w:basedOn w:val="a3"/>
    <w:link w:val="Charff9"/>
    <w:unhideWhenUsed/>
    <w:qFormat/>
    <w:pPr>
      <w:overflowPunct w:val="0"/>
      <w:adjustRightInd w:val="0"/>
      <w:spacing w:line="200" w:lineRule="exact"/>
      <w:jc w:val="center"/>
      <w:textAlignment w:val="baseline"/>
    </w:pPr>
    <w:rPr>
      <w:rFonts w:hint="eastAsia"/>
      <w:spacing w:val="-28"/>
      <w:kern w:val="24"/>
      <w:sz w:val="18"/>
      <w:szCs w:val="18"/>
    </w:rPr>
  </w:style>
  <w:style w:type="paragraph" w:customStyle="1" w:styleId="Style22">
    <w:name w:val="_Style 22"/>
    <w:basedOn w:val="a3"/>
    <w:next w:val="12"/>
    <w:unhideWhenUsed/>
    <w:qFormat/>
    <w:pPr>
      <w:spacing w:line="240" w:lineRule="exact"/>
      <w:jc w:val="center"/>
    </w:pPr>
    <w:rPr>
      <w:rFonts w:eastAsia="方正仿宋简体" w:hint="eastAsia"/>
      <w:w w:val="80"/>
      <w:sz w:val="21"/>
      <w:szCs w:val="24"/>
    </w:rPr>
  </w:style>
  <w:style w:type="paragraph" w:customStyle="1" w:styleId="afffffffff7">
    <w:name w:val="标准"/>
    <w:basedOn w:val="a3"/>
    <w:unhideWhenUsed/>
    <w:qFormat/>
    <w:pPr>
      <w:adjustRightInd w:val="0"/>
      <w:spacing w:line="480" w:lineRule="exact"/>
      <w:textAlignment w:val="baseline"/>
    </w:pPr>
    <w:rPr>
      <w:rFonts w:hint="eastAsia"/>
      <w:sz w:val="28"/>
      <w:szCs w:val="20"/>
      <w:lang w:val="en-GB"/>
    </w:rPr>
  </w:style>
  <w:style w:type="paragraph" w:customStyle="1" w:styleId="04">
    <w:name w:val="表格04"/>
    <w:basedOn w:val="a3"/>
    <w:unhideWhenUsed/>
    <w:qFormat/>
    <w:pPr>
      <w:adjustRightInd w:val="0"/>
      <w:spacing w:line="360" w:lineRule="exact"/>
      <w:jc w:val="center"/>
      <w:textAlignment w:val="baseline"/>
    </w:pPr>
    <w:rPr>
      <w:rFonts w:cs="宋体" w:hint="eastAsia"/>
      <w:spacing w:val="-2"/>
      <w:sz w:val="18"/>
      <w:szCs w:val="18"/>
    </w:rPr>
  </w:style>
  <w:style w:type="paragraph" w:customStyle="1" w:styleId="040">
    <w:name w:val="表格04左"/>
    <w:basedOn w:val="04"/>
    <w:unhideWhenUsed/>
    <w:qFormat/>
    <w:pPr>
      <w:snapToGrid w:val="0"/>
      <w:jc w:val="left"/>
    </w:pPr>
  </w:style>
  <w:style w:type="paragraph" w:customStyle="1" w:styleId="1ff5">
    <w:name w:val="1正文段落"/>
    <w:basedOn w:val="a3"/>
    <w:link w:val="1Char3"/>
    <w:unhideWhenUsed/>
    <w:qFormat/>
    <w:pPr>
      <w:ind w:firstLine="480"/>
      <w:jc w:val="left"/>
    </w:pPr>
    <w:rPr>
      <w:rFonts w:hint="eastAsia"/>
      <w:szCs w:val="24"/>
    </w:rPr>
  </w:style>
  <w:style w:type="paragraph" w:customStyle="1" w:styleId="4f">
    <w:name w:val="标题4"/>
    <w:basedOn w:val="a3"/>
    <w:next w:val="a3"/>
    <w:unhideWhenUsed/>
    <w:qFormat/>
    <w:pPr>
      <w:keepNext/>
      <w:keepLines/>
      <w:adjustRightInd w:val="0"/>
      <w:spacing w:before="40" w:after="40" w:line="376" w:lineRule="atLeast"/>
      <w:jc w:val="left"/>
      <w:outlineLvl w:val="3"/>
    </w:pPr>
    <w:rPr>
      <w:rFonts w:ascii="新宋体" w:eastAsia="仿宋_GB2312" w:hAnsi="新宋体" w:hint="eastAsia"/>
      <w:sz w:val="28"/>
      <w:szCs w:val="20"/>
    </w:rPr>
  </w:style>
  <w:style w:type="paragraph" w:customStyle="1" w:styleId="2fb">
    <w:name w:val="标题样式2"/>
    <w:basedOn w:val="a3"/>
    <w:unhideWhenUsed/>
    <w:qFormat/>
    <w:pPr>
      <w:adjustRightInd w:val="0"/>
      <w:spacing w:line="480" w:lineRule="atLeast"/>
      <w:textAlignment w:val="baseline"/>
    </w:pPr>
    <w:rPr>
      <w:rFonts w:ascii="新宋体" w:eastAsia="仿宋_GB2312" w:hAnsi="新宋体" w:hint="eastAsia"/>
      <w:sz w:val="28"/>
      <w:szCs w:val="20"/>
    </w:rPr>
  </w:style>
  <w:style w:type="paragraph" w:customStyle="1" w:styleId="afffffffff8">
    <w:name w:val="正文样式一"/>
    <w:basedOn w:val="a3"/>
    <w:unhideWhenUsed/>
    <w:qFormat/>
    <w:pPr>
      <w:adjustRightInd w:val="0"/>
      <w:spacing w:line="400" w:lineRule="atLeast"/>
      <w:ind w:firstLine="510"/>
      <w:textAlignment w:val="baseline"/>
    </w:pPr>
    <w:rPr>
      <w:rFonts w:hint="eastAsia"/>
      <w:szCs w:val="20"/>
    </w:rPr>
  </w:style>
  <w:style w:type="paragraph" w:customStyle="1" w:styleId="afffffffff9">
    <w:name w:val="图表名"/>
    <w:basedOn w:val="a3"/>
    <w:unhideWhenUsed/>
    <w:qFormat/>
    <w:pPr>
      <w:adjustRightInd w:val="0"/>
      <w:snapToGrid w:val="0"/>
      <w:jc w:val="center"/>
    </w:pPr>
    <w:rPr>
      <w:rFonts w:eastAsia="黑体" w:hint="eastAsia"/>
      <w:color w:val="000000"/>
      <w:sz w:val="28"/>
      <w:szCs w:val="28"/>
    </w:rPr>
  </w:style>
  <w:style w:type="paragraph" w:customStyle="1" w:styleId="afffffffffa">
    <w:name w:val="表号"/>
    <w:basedOn w:val="a3"/>
    <w:link w:val="Charffa"/>
    <w:unhideWhenUsed/>
    <w:qFormat/>
    <w:pPr>
      <w:adjustRightInd w:val="0"/>
      <w:snapToGrid w:val="0"/>
      <w:ind w:firstLine="480"/>
    </w:pPr>
    <w:rPr>
      <w:rFonts w:hint="eastAsia"/>
      <w:color w:val="000000"/>
      <w:szCs w:val="24"/>
    </w:rPr>
  </w:style>
  <w:style w:type="paragraph" w:customStyle="1" w:styleId="afffffffffb">
    <w:name w:val="样式 样式 表格 + (符号) 宋体 五号 居中 + 小五"/>
    <w:basedOn w:val="a3"/>
    <w:link w:val="Charffb"/>
    <w:unhideWhenUsed/>
    <w:qFormat/>
    <w:pPr>
      <w:kinsoku w:val="0"/>
      <w:overflowPunct w:val="0"/>
      <w:adjustRightInd w:val="0"/>
      <w:snapToGrid w:val="0"/>
      <w:jc w:val="center"/>
    </w:pPr>
    <w:rPr>
      <w:rFonts w:hint="eastAsia"/>
      <w:sz w:val="18"/>
    </w:rPr>
  </w:style>
  <w:style w:type="paragraph" w:customStyle="1" w:styleId="afffffffffc">
    <w:name w:val="样式 表格 + 居中"/>
    <w:basedOn w:val="a3"/>
    <w:unhideWhenUsed/>
    <w:qFormat/>
    <w:pPr>
      <w:kinsoku w:val="0"/>
      <w:overflowPunct w:val="0"/>
      <w:adjustRightInd w:val="0"/>
      <w:snapToGrid w:val="0"/>
      <w:jc w:val="center"/>
    </w:pPr>
    <w:rPr>
      <w:rFonts w:hint="eastAsia"/>
      <w:color w:val="000000"/>
      <w:szCs w:val="24"/>
    </w:rPr>
  </w:style>
  <w:style w:type="paragraph" w:customStyle="1" w:styleId="afffffffffd">
    <w:name w:val="注×："/>
    <w:unhideWhenUsed/>
    <w:qFormat/>
    <w:pPr>
      <w:widowControl w:val="0"/>
      <w:tabs>
        <w:tab w:val="left" w:pos="570"/>
        <w:tab w:val="left" w:pos="630"/>
      </w:tabs>
      <w:autoSpaceDE w:val="0"/>
      <w:autoSpaceDN w:val="0"/>
      <w:ind w:left="570" w:hanging="570"/>
      <w:jc w:val="both"/>
    </w:pPr>
    <w:rPr>
      <w:rFonts w:ascii="宋体" w:hint="eastAsia"/>
      <w:sz w:val="18"/>
    </w:rPr>
  </w:style>
  <w:style w:type="paragraph" w:customStyle="1" w:styleId="afffffffffe">
    <w:name w:val="样式"/>
    <w:basedOn w:val="a3"/>
    <w:next w:val="312"/>
    <w:unhideWhenUsed/>
    <w:qFormat/>
    <w:pPr>
      <w:tabs>
        <w:tab w:val="left" w:pos="6720"/>
      </w:tabs>
      <w:ind w:firstLine="480"/>
    </w:pPr>
    <w:rPr>
      <w:rFonts w:ascii="楷体_GB2312" w:eastAsia="楷体_GB2312" w:hint="eastAsia"/>
      <w:szCs w:val="24"/>
    </w:rPr>
  </w:style>
  <w:style w:type="paragraph" w:customStyle="1" w:styleId="114">
    <w:name w:val="11"/>
    <w:basedOn w:val="a3"/>
    <w:next w:val="1f3"/>
    <w:unhideWhenUsed/>
    <w:qFormat/>
    <w:rPr>
      <w:rFonts w:eastAsia="仿宋_GB2312" w:hint="eastAsia"/>
      <w:szCs w:val="24"/>
    </w:rPr>
  </w:style>
  <w:style w:type="paragraph" w:customStyle="1" w:styleId="219">
    <w:name w:val="样式 正文格式 + 首行缩进:  2 字符1"/>
    <w:basedOn w:val="affffe"/>
    <w:unhideWhenUsed/>
    <w:qFormat/>
    <w:pPr>
      <w:adjustRightInd w:val="0"/>
      <w:snapToGrid w:val="0"/>
      <w:spacing w:line="480" w:lineRule="exact"/>
      <w:ind w:firstLine="560"/>
    </w:pPr>
    <w:rPr>
      <w:rFonts w:cs="宋体"/>
      <w:sz w:val="28"/>
      <w:szCs w:val="20"/>
    </w:rPr>
  </w:style>
  <w:style w:type="paragraph" w:customStyle="1" w:styleId="422222">
    <w:name w:val="样式 样式 样式 标题4 + 加粗 首行缩进:  2.2 字符 + 首行缩进:  2.2 字符 + 首行缩进:  2 字符"/>
    <w:basedOn w:val="a3"/>
    <w:unhideWhenUsed/>
    <w:qFormat/>
    <w:pPr>
      <w:adjustRightInd w:val="0"/>
      <w:snapToGrid w:val="0"/>
      <w:spacing w:beforeLines="50"/>
    </w:pPr>
    <w:rPr>
      <w:rFonts w:eastAsia="黑体" w:cs="宋体" w:hint="eastAsia"/>
      <w:b/>
      <w:szCs w:val="20"/>
    </w:rPr>
  </w:style>
  <w:style w:type="paragraph" w:customStyle="1" w:styleId="Charffc">
    <w:name w:val="图表名 Char"/>
    <w:basedOn w:val="a3"/>
    <w:unhideWhenUsed/>
    <w:qFormat/>
    <w:pPr>
      <w:adjustRightInd w:val="0"/>
      <w:snapToGrid w:val="0"/>
      <w:jc w:val="center"/>
    </w:pPr>
    <w:rPr>
      <w:rFonts w:eastAsia="黑体" w:hint="eastAsia"/>
      <w:szCs w:val="24"/>
    </w:rPr>
  </w:style>
  <w:style w:type="paragraph" w:customStyle="1" w:styleId="250">
    <w:name w:val="样式 四号 加粗 左 行距: 固定值 25 磅"/>
    <w:basedOn w:val="310"/>
    <w:unhideWhenUsed/>
    <w:qFormat/>
    <w:pPr>
      <w:spacing w:beforeLines="0" w:afterLines="0" w:line="400" w:lineRule="exact"/>
      <w:ind w:firstLineChars="64" w:firstLine="180"/>
      <w:jc w:val="left"/>
    </w:pPr>
    <w:rPr>
      <w:rFonts w:ascii="仿宋_GB2312" w:eastAsia="仿宋_GB2312" w:cs="宋体"/>
      <w:sz w:val="28"/>
      <w:szCs w:val="20"/>
      <w:lang w:val="zh-CN"/>
    </w:rPr>
  </w:style>
  <w:style w:type="paragraph" w:customStyle="1" w:styleId="74">
    <w:name w:val="7"/>
    <w:basedOn w:val="a3"/>
    <w:next w:val="1b"/>
    <w:unhideWhenUsed/>
    <w:qFormat/>
    <w:pPr>
      <w:ind w:firstLine="420"/>
    </w:pPr>
    <w:rPr>
      <w:rFonts w:hint="eastAsia"/>
      <w:sz w:val="21"/>
      <w:szCs w:val="24"/>
    </w:rPr>
  </w:style>
  <w:style w:type="paragraph" w:customStyle="1" w:styleId="10115">
    <w:name w:val="样式 小四 首行缩进:  1.01 厘米 行距: 1.5 倍行距"/>
    <w:basedOn w:val="a3"/>
    <w:link w:val="10115Char"/>
    <w:unhideWhenUsed/>
    <w:qFormat/>
    <w:pPr>
      <w:adjustRightInd w:val="0"/>
      <w:ind w:firstLine="570"/>
      <w:jc w:val="left"/>
      <w:textAlignment w:val="baseline"/>
    </w:pPr>
    <w:rPr>
      <w:rFonts w:hint="eastAsia"/>
      <w:szCs w:val="20"/>
    </w:rPr>
  </w:style>
  <w:style w:type="paragraph" w:customStyle="1" w:styleId="3-3">
    <w:name w:val="标题3-3"/>
    <w:basedOn w:val="310"/>
    <w:unhideWhenUsed/>
    <w:qFormat/>
    <w:pPr>
      <w:keepNext w:val="0"/>
      <w:tabs>
        <w:tab w:val="left" w:pos="1260"/>
      </w:tabs>
      <w:adjustRightInd w:val="0"/>
      <w:spacing w:before="50" w:afterLines="25"/>
      <w:ind w:left="1260" w:firstLineChars="0" w:hanging="420"/>
      <w:jc w:val="left"/>
      <w:textAlignment w:val="baseline"/>
    </w:pPr>
    <w:rPr>
      <w:rFonts w:ascii="Arial" w:eastAsia="黑体" w:hAnsi="Arial"/>
      <w:b w:val="0"/>
      <w:color w:val="000000"/>
      <w:sz w:val="24"/>
      <w:szCs w:val="24"/>
    </w:rPr>
  </w:style>
  <w:style w:type="paragraph" w:customStyle="1" w:styleId="affffffffff">
    <w:name w:val="表名"/>
    <w:basedOn w:val="a3"/>
    <w:link w:val="Charffd"/>
    <w:unhideWhenUsed/>
    <w:qFormat/>
    <w:pPr>
      <w:keepNext/>
      <w:jc w:val="center"/>
    </w:pPr>
    <w:rPr>
      <w:rFonts w:ascii="宋体" w:hint="eastAsia"/>
      <w:b/>
      <w:szCs w:val="20"/>
    </w:rPr>
  </w:style>
  <w:style w:type="paragraph" w:customStyle="1" w:styleId="xl22">
    <w:name w:val="xl2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int="eastAsia"/>
      <w:sz w:val="21"/>
    </w:rPr>
  </w:style>
  <w:style w:type="paragraph" w:customStyle="1" w:styleId="94">
    <w:name w:val="9"/>
    <w:basedOn w:val="a3"/>
    <w:next w:val="af4"/>
    <w:unhideWhenUsed/>
    <w:qFormat/>
    <w:pPr>
      <w:spacing w:line="460" w:lineRule="exact"/>
      <w:ind w:firstLine="480"/>
    </w:pPr>
    <w:rPr>
      <w:rFonts w:ascii="宋体" w:hAnsi="宋体" w:hint="eastAsia"/>
      <w:szCs w:val="24"/>
    </w:rPr>
  </w:style>
  <w:style w:type="paragraph" w:customStyle="1" w:styleId="affffffffff0">
    <w:name w:val="表文"/>
    <w:unhideWhenUsed/>
    <w:qFormat/>
    <w:pPr>
      <w:spacing w:line="500" w:lineRule="exact"/>
      <w:jc w:val="both"/>
    </w:pPr>
    <w:rPr>
      <w:rFonts w:eastAsia="楷体_GB2312" w:hint="eastAsia"/>
      <w:sz w:val="28"/>
    </w:rPr>
  </w:style>
  <w:style w:type="paragraph" w:customStyle="1" w:styleId="1111">
    <w:name w:val="正文111"/>
    <w:basedOn w:val="1b"/>
    <w:unhideWhenUsed/>
    <w:qFormat/>
    <w:pPr>
      <w:spacing w:afterLines="25"/>
      <w:ind w:firstLine="200"/>
    </w:pPr>
    <w:rPr>
      <w:sz w:val="24"/>
      <w:szCs w:val="24"/>
    </w:rPr>
  </w:style>
  <w:style w:type="paragraph" w:customStyle="1" w:styleId="affffffffff1">
    <w:name w:val="段"/>
    <w:unhideWhenUsed/>
    <w:qFormat/>
    <w:pPr>
      <w:autoSpaceDE w:val="0"/>
      <w:autoSpaceDN w:val="0"/>
      <w:ind w:firstLineChars="200" w:firstLine="200"/>
      <w:jc w:val="both"/>
    </w:pPr>
    <w:rPr>
      <w:rFonts w:ascii="宋体" w:hint="eastAsia"/>
      <w:sz w:val="21"/>
    </w:rPr>
  </w:style>
  <w:style w:type="paragraph" w:customStyle="1" w:styleId="affffffffff2">
    <w:name w:val="表、图名"/>
    <w:basedOn w:val="a3"/>
    <w:link w:val="Charffe"/>
    <w:unhideWhenUsed/>
    <w:qFormat/>
    <w:pPr>
      <w:adjustRightInd w:val="0"/>
      <w:snapToGrid w:val="0"/>
      <w:spacing w:line="400" w:lineRule="exact"/>
      <w:ind w:left="-6" w:firstLine="482"/>
    </w:pPr>
    <w:rPr>
      <w:rFonts w:ascii="宋体" w:hAnsi="宋体" w:hint="eastAsia"/>
      <w:b/>
      <w:color w:val="000000"/>
      <w:szCs w:val="24"/>
    </w:rPr>
  </w:style>
  <w:style w:type="paragraph" w:customStyle="1" w:styleId="6Char0">
    <w:name w:val="6 Char"/>
    <w:basedOn w:val="a3"/>
    <w:unhideWhenUsed/>
    <w:qFormat/>
    <w:rPr>
      <w:rFonts w:hint="eastAsia"/>
      <w:sz w:val="21"/>
      <w:szCs w:val="24"/>
    </w:rPr>
  </w:style>
  <w:style w:type="paragraph" w:customStyle="1" w:styleId="affffffffff3">
    <w:name w:val="正文(首行缩进)"/>
    <w:basedOn w:val="a3"/>
    <w:link w:val="Charfff"/>
    <w:unhideWhenUsed/>
    <w:qFormat/>
    <w:pPr>
      <w:tabs>
        <w:tab w:val="left" w:pos="4584"/>
      </w:tabs>
      <w:adjustRightInd w:val="0"/>
      <w:snapToGrid w:val="0"/>
    </w:pPr>
    <w:rPr>
      <w:rFonts w:hint="eastAsia"/>
      <w:szCs w:val="24"/>
    </w:rPr>
  </w:style>
  <w:style w:type="paragraph" w:customStyle="1" w:styleId="6CharCharCharCharCharChar1Char">
    <w:name w:val="6 Char Char Char Char Char Char1 Char"/>
    <w:basedOn w:val="a3"/>
    <w:unhideWhenUsed/>
    <w:qFormat/>
    <w:rPr>
      <w:rFonts w:hint="eastAsia"/>
      <w:sz w:val="21"/>
    </w:rPr>
  </w:style>
  <w:style w:type="paragraph" w:customStyle="1" w:styleId="64">
    <w:name w:val="样式6"/>
    <w:basedOn w:val="a3"/>
    <w:link w:val="6Char1"/>
    <w:unhideWhenUsed/>
    <w:qFormat/>
    <w:pPr>
      <w:ind w:firstLineChars="197" w:firstLine="527"/>
    </w:pPr>
    <w:rPr>
      <w:rFonts w:ascii="宋体" w:hAnsi="宋体" w:hint="eastAsia"/>
      <w:color w:val="FF0000"/>
      <w:szCs w:val="24"/>
    </w:rPr>
  </w:style>
  <w:style w:type="paragraph" w:customStyle="1" w:styleId="ParaCharCharCharCharChar">
    <w:name w:val="默认段落字体 Para Char Char Char Char Char"/>
    <w:basedOn w:val="a3"/>
    <w:unhideWhenUsed/>
    <w:qFormat/>
    <w:rPr>
      <w:rFonts w:hint="eastAsia"/>
      <w:sz w:val="21"/>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unhideWhenUsed/>
    <w:qFormat/>
    <w:pPr>
      <w:spacing w:line="240" w:lineRule="exact"/>
    </w:pPr>
    <w:rPr>
      <w:rFonts w:ascii="宋体" w:hAnsi="宋体" w:cs="宋体" w:hint="eastAsia"/>
      <w:szCs w:val="24"/>
    </w:rPr>
  </w:style>
  <w:style w:type="paragraph" w:customStyle="1" w:styleId="L">
    <w:name w:val="L正文"/>
    <w:basedOn w:val="a3"/>
    <w:link w:val="LChar"/>
    <w:unhideWhenUsed/>
    <w:qFormat/>
    <w:pPr>
      <w:autoSpaceDE w:val="0"/>
      <w:autoSpaceDN w:val="0"/>
      <w:adjustRightInd w:val="0"/>
      <w:snapToGrid w:val="0"/>
    </w:pPr>
    <w:rPr>
      <w:rFonts w:hint="eastAsia"/>
      <w:sz w:val="26"/>
      <w:szCs w:val="26"/>
    </w:rPr>
  </w:style>
  <w:style w:type="paragraph" w:customStyle="1" w:styleId="affffffffff4">
    <w:name w:val="热电厂正文"/>
    <w:basedOn w:val="a3"/>
    <w:link w:val="Charfff0"/>
    <w:unhideWhenUsed/>
    <w:qFormat/>
    <w:pPr>
      <w:spacing w:line="440" w:lineRule="exact"/>
      <w:ind w:firstLine="480"/>
    </w:pPr>
    <w:rPr>
      <w:rFonts w:hint="eastAsia"/>
      <w:szCs w:val="24"/>
    </w:rPr>
  </w:style>
  <w:style w:type="paragraph" w:customStyle="1" w:styleId="affffffffff5">
    <w:name w:val="报告正文"/>
    <w:basedOn w:val="a3"/>
    <w:link w:val="Charfff1"/>
    <w:unhideWhenUsed/>
    <w:qFormat/>
    <w:pPr>
      <w:ind w:firstLineChars="192" w:firstLine="538"/>
    </w:pPr>
    <w:rPr>
      <w:rFonts w:eastAsia="仿宋_GB2312" w:hint="eastAsia"/>
      <w:sz w:val="28"/>
      <w:szCs w:val="24"/>
    </w:rPr>
  </w:style>
  <w:style w:type="paragraph" w:customStyle="1" w:styleId="008">
    <w:name w:val="008"/>
    <w:basedOn w:val="a3"/>
    <w:link w:val="008Char"/>
    <w:unhideWhenUsed/>
    <w:qFormat/>
    <w:pPr>
      <w:adjustRightInd w:val="0"/>
      <w:ind w:firstLine="560"/>
    </w:pPr>
    <w:rPr>
      <w:rFonts w:ascii="宋体" w:hAnsi="宋体" w:hint="eastAsia"/>
      <w:sz w:val="28"/>
      <w:szCs w:val="20"/>
    </w:rPr>
  </w:style>
  <w:style w:type="paragraph" w:customStyle="1" w:styleId="affffffffff6">
    <w:name w:val="表题"/>
    <w:basedOn w:val="1c"/>
    <w:link w:val="Char16"/>
    <w:unhideWhenUsed/>
    <w:qFormat/>
    <w:pPr>
      <w:tabs>
        <w:tab w:val="left" w:pos="720"/>
      </w:tabs>
      <w:jc w:val="center"/>
    </w:pPr>
    <w:rPr>
      <w:rFonts w:ascii="Times New Roman" w:eastAsia="宋体" w:hAnsi="Times New Roman"/>
      <w:b/>
      <w:sz w:val="21"/>
      <w:szCs w:val="21"/>
    </w:rPr>
  </w:style>
  <w:style w:type="paragraph" w:customStyle="1" w:styleId="xl23">
    <w:name w:val="xl23"/>
    <w:basedOn w:val="a3"/>
    <w:unhideWhenUsed/>
    <w:qFormat/>
    <w:pPr>
      <w:widowControl/>
      <w:spacing w:before="100" w:beforeAutospacing="1" w:after="100" w:afterAutospacing="1"/>
      <w:jc w:val="center"/>
    </w:pPr>
    <w:rPr>
      <w:rFonts w:ascii="宋体" w:hAnsi="宋体" w:hint="eastAsia"/>
      <w:szCs w:val="24"/>
    </w:rPr>
  </w:style>
  <w:style w:type="paragraph" w:customStyle="1" w:styleId="affffffffff7">
    <w:name w:val="报告文字"/>
    <w:basedOn w:val="a3"/>
    <w:link w:val="Char24"/>
    <w:unhideWhenUsed/>
    <w:qFormat/>
    <w:pPr>
      <w:adjustRightInd w:val="0"/>
      <w:snapToGrid w:val="0"/>
      <w:ind w:firstLine="560"/>
      <w:outlineLvl w:val="2"/>
    </w:pPr>
    <w:rPr>
      <w:rFonts w:ascii="仿宋_GB2312" w:eastAsia="仿宋_GB2312" w:hint="eastAsia"/>
      <w:sz w:val="28"/>
      <w:szCs w:val="24"/>
    </w:rPr>
  </w:style>
  <w:style w:type="paragraph" w:customStyle="1" w:styleId="12CharCharCharChar">
    <w:name w:val="12 Char Char Char Char"/>
    <w:basedOn w:val="a3"/>
    <w:unhideWhenUsed/>
    <w:qFormat/>
    <w:pPr>
      <w:jc w:val="left"/>
    </w:pPr>
    <w:rPr>
      <w:rFonts w:ascii="宋体" w:hAnsi="宋体" w:hint="eastAsia"/>
      <w:position w:val="-6"/>
      <w:sz w:val="28"/>
      <w:szCs w:val="20"/>
      <w:u w:val="single"/>
    </w:rPr>
  </w:style>
  <w:style w:type="paragraph" w:customStyle="1" w:styleId="icsptext">
    <w:name w:val="icsp_text"/>
    <w:basedOn w:val="a3"/>
    <w:unhideWhenUsed/>
    <w:qFormat/>
    <w:pPr>
      <w:adjustRightInd w:val="0"/>
      <w:snapToGrid w:val="0"/>
      <w:spacing w:line="480" w:lineRule="exact"/>
      <w:ind w:firstLineChars="225" w:firstLine="540"/>
    </w:pPr>
    <w:rPr>
      <w:rFonts w:ascii="宋体" w:hAnsi="宋体" w:cs="Arial Unicode MS" w:hint="eastAsia"/>
      <w:szCs w:val="24"/>
    </w:rPr>
  </w:style>
  <w:style w:type="paragraph" w:customStyle="1" w:styleId="L0">
    <w:name w:val="L表格文字"/>
    <w:basedOn w:val="a3"/>
    <w:unhideWhenUsed/>
    <w:qFormat/>
    <w:pPr>
      <w:adjustRightInd w:val="0"/>
      <w:snapToGrid w:val="0"/>
      <w:jc w:val="center"/>
    </w:pPr>
    <w:rPr>
      <w:rFonts w:cs="宋体" w:hint="eastAsia"/>
      <w:sz w:val="26"/>
      <w:szCs w:val="26"/>
    </w:rPr>
  </w:style>
  <w:style w:type="paragraph" w:customStyle="1" w:styleId="6CharCharCharCharCharCharCharCharCharCharCharCharChar">
    <w:name w:val="6 Char Char Char Char Char Char Char Char Char Char Char Char Char"/>
    <w:basedOn w:val="a3"/>
    <w:unhideWhenUsed/>
    <w:qFormat/>
    <w:rPr>
      <w:rFonts w:hint="eastAsia"/>
      <w:sz w:val="21"/>
      <w:szCs w:val="24"/>
    </w:rPr>
  </w:style>
  <w:style w:type="paragraph" w:customStyle="1" w:styleId="CharCharCharCharCharCharCharCharChar1CharCharCharChar">
    <w:name w:val="Char Char Char Char Char Char Char Char Char1 Char Char Char Char"/>
    <w:basedOn w:val="a3"/>
    <w:unhideWhenUsed/>
    <w:qFormat/>
    <w:rPr>
      <w:rFonts w:ascii="宋体" w:hAnsi="宋体" w:cs="宋体" w:hint="eastAsia"/>
      <w:szCs w:val="26"/>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3"/>
    <w:unhideWhenUsed/>
    <w:qFormat/>
    <w:rPr>
      <w:rFonts w:hint="eastAsia"/>
      <w:sz w:val="21"/>
      <w:szCs w:val="24"/>
    </w:rPr>
  </w:style>
  <w:style w:type="paragraph" w:customStyle="1" w:styleId="affffffffff8">
    <w:name w:val="表格内正文"/>
    <w:unhideWhenUsed/>
    <w:qFormat/>
    <w:pPr>
      <w:widowControl w:val="0"/>
      <w:jc w:val="center"/>
    </w:pPr>
    <w:rPr>
      <w:rFonts w:hint="eastAsia"/>
      <w:kern w:val="2"/>
      <w:sz w:val="21"/>
      <w:szCs w:val="21"/>
    </w:rPr>
  </w:style>
  <w:style w:type="paragraph" w:customStyle="1" w:styleId="84">
    <w:name w:val="样式8"/>
    <w:basedOn w:val="a3"/>
    <w:link w:val="8Char1"/>
    <w:unhideWhenUsed/>
    <w:qFormat/>
    <w:pPr>
      <w:ind w:firstLine="499"/>
    </w:pPr>
    <w:rPr>
      <w:rFonts w:ascii="宋体" w:hint="eastAsia"/>
      <w:szCs w:val="20"/>
    </w:rPr>
  </w:style>
  <w:style w:type="paragraph" w:customStyle="1" w:styleId="-0232">
    <w:name w:val="样式 左侧:  -0.23 厘米 首行缩进:  2 字符"/>
    <w:basedOn w:val="a3"/>
    <w:unhideWhenUsed/>
    <w:qFormat/>
    <w:pPr>
      <w:adjustRightInd w:val="0"/>
      <w:snapToGrid w:val="0"/>
    </w:pPr>
    <w:rPr>
      <w:rFonts w:hint="eastAsia"/>
      <w:sz w:val="28"/>
      <w:szCs w:val="28"/>
    </w:rPr>
  </w:style>
  <w:style w:type="paragraph" w:customStyle="1" w:styleId="CharCharCharChar1CharCharChar">
    <w:name w:val="Char Char Char Char1 Char Char Char"/>
    <w:basedOn w:val="a3"/>
    <w:unhideWhenUsed/>
    <w:qFormat/>
    <w:rPr>
      <w:rFonts w:hint="eastAsia"/>
      <w:sz w:val="21"/>
      <w:szCs w:val="20"/>
    </w:rPr>
  </w:style>
  <w:style w:type="paragraph" w:customStyle="1" w:styleId="12CharCharCharCharCharCharChar">
    <w:name w:val="12 Char Char Char Char Char Char Char"/>
    <w:basedOn w:val="a3"/>
    <w:unhideWhenUsed/>
    <w:qFormat/>
    <w:pPr>
      <w:jc w:val="left"/>
    </w:pPr>
    <w:rPr>
      <w:rFonts w:ascii="宋体" w:hAnsi="宋体" w:hint="eastAsia"/>
      <w:position w:val="-6"/>
      <w:sz w:val="28"/>
      <w:szCs w:val="20"/>
      <w:u w:val="single"/>
    </w:rPr>
  </w:style>
  <w:style w:type="paragraph" w:customStyle="1" w:styleId="gchh">
    <w:name w:val="gchh"/>
    <w:unhideWhenUsed/>
    <w:qFormat/>
    <w:pPr>
      <w:widowControl w:val="0"/>
      <w:tabs>
        <w:tab w:val="left" w:pos="567"/>
      </w:tabs>
      <w:adjustRightInd w:val="0"/>
      <w:snapToGrid w:val="0"/>
      <w:spacing w:line="400" w:lineRule="atLeast"/>
      <w:jc w:val="both"/>
    </w:pPr>
    <w:rPr>
      <w:rFonts w:ascii="宋体" w:hint="eastAsia"/>
      <w:color w:val="000000"/>
      <w:kern w:val="2"/>
      <w:sz w:val="24"/>
    </w:rPr>
  </w:style>
  <w:style w:type="paragraph" w:customStyle="1" w:styleId="05">
    <w:name w:val="正文0"/>
    <w:basedOn w:val="a3"/>
    <w:next w:val="a3"/>
    <w:unhideWhenUsed/>
    <w:qFormat/>
    <w:rPr>
      <w:rFonts w:hint="eastAsia"/>
      <w:szCs w:val="24"/>
    </w:rPr>
  </w:style>
  <w:style w:type="paragraph" w:customStyle="1" w:styleId="affffffffff9">
    <w:name w:val="正文样板"/>
    <w:basedOn w:val="a3"/>
    <w:link w:val="Charfff2"/>
    <w:unhideWhenUsed/>
    <w:qFormat/>
    <w:pPr>
      <w:adjustRightInd w:val="0"/>
      <w:snapToGrid w:val="0"/>
      <w:spacing w:line="326" w:lineRule="auto"/>
      <w:ind w:firstLineChars="198" w:firstLine="578"/>
    </w:pPr>
    <w:rPr>
      <w:rFonts w:hint="eastAsia"/>
      <w:color w:val="000000"/>
      <w:spacing w:val="6"/>
      <w:sz w:val="28"/>
      <w:szCs w:val="28"/>
    </w:rPr>
  </w:style>
  <w:style w:type="paragraph" w:customStyle="1" w:styleId="CharCharChar3">
    <w:name w:val="Char Char Char3"/>
    <w:basedOn w:val="a3"/>
    <w:unhideWhenUsed/>
    <w:qFormat/>
    <w:rPr>
      <w:rFonts w:hint="eastAsia"/>
      <w:sz w:val="21"/>
      <w:szCs w:val="24"/>
    </w:rPr>
  </w:style>
  <w:style w:type="paragraph" w:customStyle="1" w:styleId="affffffffffa">
    <w:name w:val="标题三"/>
    <w:basedOn w:val="a3"/>
    <w:unhideWhenUsed/>
    <w:qFormat/>
    <w:pPr>
      <w:jc w:val="left"/>
      <w:outlineLvl w:val="0"/>
    </w:pPr>
    <w:rPr>
      <w:rFonts w:eastAsia="黑体" w:hint="eastAsia"/>
      <w:color w:val="000000"/>
      <w:sz w:val="30"/>
      <w:szCs w:val="32"/>
    </w:rPr>
  </w:style>
  <w:style w:type="paragraph" w:customStyle="1" w:styleId="CharCharChar1CharCharChar">
    <w:name w:val="Char Char Char1 Char Char Char"/>
    <w:basedOn w:val="a3"/>
    <w:unhideWhenUsed/>
    <w:qFormat/>
    <w:rPr>
      <w:rFonts w:hint="eastAsia"/>
      <w:sz w:val="21"/>
      <w:szCs w:val="24"/>
    </w:rPr>
  </w:style>
  <w:style w:type="paragraph" w:customStyle="1" w:styleId="Charfff3">
    <w:name w:val="Char 正文"/>
    <w:basedOn w:val="110"/>
    <w:unhideWhenUsed/>
    <w:qFormat/>
    <w:pPr>
      <w:snapToGrid w:val="0"/>
      <w:spacing w:beforeLines="0" w:afterLines="0" w:line="348" w:lineRule="auto"/>
      <w:ind w:firstLineChars="0" w:firstLine="0"/>
    </w:pPr>
    <w:rPr>
      <w:rFonts w:ascii="Tahoma" w:hAnsi="Tahoma"/>
      <w:sz w:val="24"/>
      <w:szCs w:val="20"/>
    </w:rPr>
  </w:style>
  <w:style w:type="paragraph" w:customStyle="1" w:styleId="211112h2l22ndlevelTitre2Header2H2UNDERR">
    <w:name w:val="样式 标题 2节标题 1.11.1标题2h2l22nd levelTitre2Header 2H2UNDERR..."/>
    <w:basedOn w:val="213"/>
    <w:unhideWhenUsed/>
    <w:qFormat/>
    <w:pPr>
      <w:keepNext w:val="0"/>
      <w:tabs>
        <w:tab w:val="left" w:pos="0"/>
        <w:tab w:val="left" w:pos="1322"/>
      </w:tabs>
      <w:adjustRightInd w:val="0"/>
      <w:snapToGrid w:val="0"/>
      <w:spacing w:beforeLines="0" w:afterLines="0" w:line="440" w:lineRule="atLeast"/>
      <w:ind w:firstLineChars="0" w:firstLine="0"/>
    </w:pPr>
    <w:rPr>
      <w:rFonts w:ascii="黑体" w:eastAsia="黑体" w:cs="宋体"/>
      <w:b w:val="0"/>
      <w:sz w:val="24"/>
      <w:szCs w:val="20"/>
    </w:rPr>
  </w:style>
  <w:style w:type="paragraph" w:customStyle="1" w:styleId="12Char">
    <w:name w:val="12 Char"/>
    <w:basedOn w:val="a3"/>
    <w:unhideWhenUsed/>
    <w:qFormat/>
    <w:pPr>
      <w:jc w:val="left"/>
    </w:pPr>
    <w:rPr>
      <w:rFonts w:ascii="宋体" w:hAnsi="宋体" w:hint="eastAsia"/>
      <w:position w:val="-6"/>
      <w:sz w:val="28"/>
      <w:szCs w:val="20"/>
      <w:u w:val="single"/>
    </w:rPr>
  </w:style>
  <w:style w:type="paragraph" w:customStyle="1" w:styleId="DefinitionTerm">
    <w:name w:val="Definition Term"/>
    <w:basedOn w:val="a3"/>
    <w:next w:val="DefinitionList"/>
    <w:unhideWhenUsed/>
    <w:qFormat/>
    <w:pPr>
      <w:autoSpaceDE w:val="0"/>
      <w:autoSpaceDN w:val="0"/>
      <w:adjustRightInd w:val="0"/>
      <w:jc w:val="left"/>
    </w:pPr>
    <w:rPr>
      <w:rFonts w:hint="eastAsia"/>
      <w:szCs w:val="20"/>
    </w:rPr>
  </w:style>
  <w:style w:type="paragraph" w:customStyle="1" w:styleId="DefinitionList">
    <w:name w:val="Definition List"/>
    <w:basedOn w:val="a3"/>
    <w:next w:val="DefinitionTerm"/>
    <w:unhideWhenUsed/>
    <w:qFormat/>
    <w:pPr>
      <w:autoSpaceDE w:val="0"/>
      <w:autoSpaceDN w:val="0"/>
      <w:adjustRightInd w:val="0"/>
      <w:ind w:left="360"/>
      <w:jc w:val="left"/>
    </w:pPr>
    <w:rPr>
      <w:rFonts w:hint="eastAsia"/>
      <w:szCs w:val="20"/>
    </w:rPr>
  </w:style>
  <w:style w:type="paragraph" w:customStyle="1" w:styleId="affffffffffb">
    <w:name w:val="节正文"/>
    <w:basedOn w:val="a3"/>
    <w:unhideWhenUsed/>
    <w:qFormat/>
    <w:pPr>
      <w:spacing w:beforeLines="20" w:afterLines="20"/>
      <w:ind w:leftChars="100" w:left="100"/>
    </w:pPr>
    <w:rPr>
      <w:rFonts w:hint="eastAsia"/>
      <w:szCs w:val="20"/>
    </w:rPr>
  </w:style>
  <w:style w:type="paragraph" w:customStyle="1" w:styleId="s422">
    <w:name w:val="样式 样式 正文缩进s4 + 首行缩进:  2 字符 + 首行缩进:  2 字符"/>
    <w:basedOn w:val="a3"/>
    <w:unhideWhenUsed/>
    <w:qFormat/>
    <w:pPr>
      <w:adjustRightInd w:val="0"/>
      <w:snapToGrid w:val="0"/>
      <w:spacing w:line="336" w:lineRule="auto"/>
      <w:ind w:firstLineChars="227" w:firstLine="545"/>
    </w:pPr>
    <w:rPr>
      <w:rFonts w:ascii="宋体" w:hAnsi="宋体" w:hint="eastAsia"/>
      <w:color w:val="000000"/>
      <w:sz w:val="28"/>
      <w:szCs w:val="20"/>
    </w:rPr>
  </w:style>
  <w:style w:type="paragraph" w:customStyle="1" w:styleId="CharCharChar1CharCharCharCharCharCharChar">
    <w:name w:val="Char Char Char1 Char Char Char Char Char Char Char"/>
    <w:basedOn w:val="a3"/>
    <w:unhideWhenUsed/>
    <w:qFormat/>
    <w:rPr>
      <w:rFonts w:hint="eastAsia"/>
      <w:sz w:val="21"/>
      <w:szCs w:val="20"/>
    </w:rPr>
  </w:style>
  <w:style w:type="paragraph" w:customStyle="1" w:styleId="affffffffffc">
    <w:name w:val="表内式样"/>
    <w:unhideWhenUsed/>
    <w:qFormat/>
    <w:pPr>
      <w:keepLines/>
      <w:widowControl w:val="0"/>
      <w:kinsoku w:val="0"/>
      <w:overflowPunct w:val="0"/>
      <w:adjustRightInd w:val="0"/>
      <w:jc w:val="center"/>
    </w:pPr>
    <w:rPr>
      <w:rFonts w:ascii="宋体" w:hint="eastAsia"/>
      <w:sz w:val="21"/>
    </w:rPr>
  </w:style>
  <w:style w:type="paragraph" w:customStyle="1" w:styleId="1ff6">
    <w:name w:val="分目录1"/>
    <w:basedOn w:val="a3"/>
    <w:link w:val="1Char4"/>
    <w:unhideWhenUsed/>
    <w:qFormat/>
    <w:pPr>
      <w:tabs>
        <w:tab w:val="right" w:leader="dot" w:pos="8304"/>
      </w:tabs>
      <w:adjustRightInd w:val="0"/>
      <w:snapToGrid w:val="0"/>
    </w:pPr>
    <w:rPr>
      <w:rFonts w:hint="eastAsia"/>
      <w:sz w:val="28"/>
      <w:szCs w:val="20"/>
    </w:rPr>
  </w:style>
  <w:style w:type="paragraph" w:customStyle="1" w:styleId="85">
    <w:name w:val="样式 首行缩进:  8 字符"/>
    <w:basedOn w:val="a3"/>
    <w:next w:val="a3"/>
    <w:unhideWhenUsed/>
    <w:qFormat/>
    <w:pPr>
      <w:ind w:firstLineChars="800" w:firstLine="800"/>
    </w:pPr>
    <w:rPr>
      <w:rFonts w:hint="eastAsia"/>
      <w:b/>
      <w:szCs w:val="20"/>
    </w:rPr>
  </w:style>
  <w:style w:type="paragraph" w:customStyle="1" w:styleId="6CharCharCharCharCharChar1CharCharCharCharCharCharChar">
    <w:name w:val="6 Char Char Char Char Char Char1 Char Char Char Char Char Char Char"/>
    <w:basedOn w:val="a3"/>
    <w:unhideWhenUsed/>
    <w:qFormat/>
    <w:rPr>
      <w:rFonts w:hint="eastAsia"/>
      <w:sz w:val="21"/>
      <w:szCs w:val="20"/>
    </w:rPr>
  </w:style>
  <w:style w:type="paragraph" w:customStyle="1" w:styleId="06">
    <w:name w:val="0"/>
    <w:basedOn w:val="a3"/>
    <w:link w:val="0Char"/>
    <w:unhideWhenUsed/>
    <w:qFormat/>
    <w:pPr>
      <w:widowControl/>
      <w:spacing w:line="425" w:lineRule="atLeast"/>
      <w:textAlignment w:val="baseline"/>
    </w:pPr>
    <w:rPr>
      <w:rFonts w:hint="eastAsia"/>
      <w:color w:val="000000"/>
      <w:sz w:val="21"/>
      <w:szCs w:val="20"/>
    </w:rPr>
  </w:style>
  <w:style w:type="paragraph" w:customStyle="1" w:styleId="420">
    <w:name w:val="样式 标题 4 + 首行缩进:  2 字符"/>
    <w:basedOn w:val="410"/>
    <w:unhideWhenUsed/>
    <w:qFormat/>
    <w:pPr>
      <w:keepNext w:val="0"/>
      <w:tabs>
        <w:tab w:val="left" w:pos="2880"/>
      </w:tabs>
      <w:topLinePunct/>
      <w:snapToGrid w:val="0"/>
      <w:spacing w:before="163" w:afterLines="0" w:line="460" w:lineRule="exact"/>
      <w:ind w:firstLineChars="0" w:firstLine="0"/>
    </w:pPr>
    <w:rPr>
      <w:rFonts w:eastAsia="黑体" w:cs="宋体"/>
      <w:sz w:val="26"/>
      <w:szCs w:val="20"/>
    </w:rPr>
  </w:style>
  <w:style w:type="paragraph" w:customStyle="1" w:styleId="CharCharCharCharChar2">
    <w:name w:val="Char Char Char Char Char2"/>
    <w:basedOn w:val="a3"/>
    <w:unhideWhenUsed/>
    <w:qFormat/>
    <w:rPr>
      <w:rFonts w:hint="eastAsia"/>
      <w:sz w:val="21"/>
      <w:szCs w:val="24"/>
    </w:rPr>
  </w:style>
  <w:style w:type="paragraph" w:customStyle="1" w:styleId="115">
    <w:name w:val="样式 四号 首行缩进:  1 厘米 行距: 1.5 倍行距"/>
    <w:basedOn w:val="a3"/>
    <w:unhideWhenUsed/>
    <w:qFormat/>
    <w:rPr>
      <w:rFonts w:ascii="宋体" w:cs="宋体" w:hint="eastAsia"/>
      <w:sz w:val="28"/>
      <w:szCs w:val="20"/>
    </w:rPr>
  </w:style>
  <w:style w:type="paragraph" w:customStyle="1" w:styleId="1112">
    <w:name w:val="表头111"/>
    <w:basedOn w:val="1ff"/>
    <w:unhideWhenUsed/>
    <w:qFormat/>
    <w:pPr>
      <w:spacing w:line="500" w:lineRule="exact"/>
      <w:ind w:firstLineChars="200" w:firstLine="420"/>
      <w:jc w:val="left"/>
    </w:pPr>
    <w:rPr>
      <w:color w:val="000000"/>
      <w:sz w:val="21"/>
    </w:rPr>
  </w:style>
  <w:style w:type="paragraph" w:customStyle="1" w:styleId="affffffffffd">
    <w:name w:val="格格"/>
    <w:basedOn w:val="1ff"/>
    <w:unhideWhenUsed/>
    <w:qFormat/>
    <w:pPr>
      <w:snapToGrid w:val="0"/>
      <w:spacing w:line="280" w:lineRule="exact"/>
      <w:ind w:leftChars="-50" w:left="-50" w:rightChars="-50" w:right="-50" w:firstLineChars="0" w:firstLine="0"/>
      <w:jc w:val="center"/>
    </w:pPr>
    <w:rPr>
      <w:color w:val="000000"/>
      <w:sz w:val="21"/>
      <w:szCs w:val="21"/>
    </w:rPr>
  </w:style>
  <w:style w:type="paragraph" w:customStyle="1" w:styleId="1ff7">
    <w:name w:val="插图1"/>
    <w:basedOn w:val="a3"/>
    <w:unhideWhenUsed/>
    <w:qFormat/>
    <w:pPr>
      <w:jc w:val="center"/>
    </w:pPr>
    <w:rPr>
      <w:rFonts w:hint="eastAsia"/>
      <w:sz w:val="32"/>
      <w:szCs w:val="24"/>
    </w:rPr>
  </w:style>
  <w:style w:type="paragraph" w:customStyle="1" w:styleId="318">
    <w:name w:val="样式 标题3 + 小四 加粗 黑色 左侧:  1.8 字符"/>
    <w:basedOn w:val="3c"/>
    <w:unhideWhenUsed/>
    <w:qFormat/>
    <w:pPr>
      <w:snapToGrid/>
      <w:spacing w:line="480" w:lineRule="exact"/>
      <w:ind w:leftChars="180" w:left="504" w:firstLine="0"/>
    </w:pPr>
    <w:rPr>
      <w:rFonts w:eastAsia="黑体" w:cs="宋体"/>
      <w:b w:val="0"/>
      <w:color w:val="000000"/>
      <w:sz w:val="30"/>
    </w:rPr>
  </w:style>
  <w:style w:type="paragraph" w:customStyle="1" w:styleId="affffffffffe">
    <w:name w:val="表下注："/>
    <w:basedOn w:val="a3"/>
    <w:unhideWhenUsed/>
    <w:qFormat/>
    <w:pPr>
      <w:keepNext/>
      <w:adjustRightInd w:val="0"/>
      <w:snapToGrid w:val="0"/>
    </w:pPr>
    <w:rPr>
      <w:rFonts w:hint="eastAsia"/>
      <w:sz w:val="21"/>
      <w:szCs w:val="24"/>
    </w:rPr>
  </w:style>
  <w:style w:type="paragraph" w:customStyle="1" w:styleId="afffffffffff">
    <w:name w:val="审签页 审签字"/>
    <w:basedOn w:val="a3"/>
    <w:unhideWhenUsed/>
    <w:qFormat/>
    <w:pPr>
      <w:adjustRightInd w:val="0"/>
      <w:snapToGrid w:val="0"/>
      <w:spacing w:beforeLines="100"/>
      <w:ind w:leftChars="1100" w:left="3080"/>
    </w:pPr>
    <w:rPr>
      <w:rFonts w:eastAsia="楷体_GB2312" w:hint="eastAsia"/>
      <w:sz w:val="30"/>
      <w:szCs w:val="20"/>
    </w:rPr>
  </w:style>
  <w:style w:type="paragraph" w:customStyle="1" w:styleId="1ff8">
    <w:name w:val="标题样式1"/>
    <w:basedOn w:val="12"/>
    <w:unhideWhenUsed/>
    <w:qFormat/>
    <w:pPr>
      <w:widowControl w:val="0"/>
      <w:adjustRightInd w:val="0"/>
      <w:ind w:firstLine="539"/>
      <w:jc w:val="both"/>
      <w:textAlignment w:val="baseline"/>
    </w:pPr>
    <w:rPr>
      <w:szCs w:val="20"/>
    </w:rPr>
  </w:style>
  <w:style w:type="paragraph" w:customStyle="1" w:styleId="3f0">
    <w:name w:val="正文样式3"/>
    <w:basedOn w:val="a3"/>
    <w:unhideWhenUsed/>
    <w:qFormat/>
    <w:pPr>
      <w:keepLines/>
      <w:adjustRightInd w:val="0"/>
      <w:spacing w:line="20" w:lineRule="atLeast"/>
      <w:jc w:val="center"/>
      <w:textAlignment w:val="baseline"/>
    </w:pPr>
    <w:rPr>
      <w:rFonts w:hint="eastAsia"/>
      <w:szCs w:val="20"/>
    </w:rPr>
  </w:style>
  <w:style w:type="paragraph" w:customStyle="1" w:styleId="2fc">
    <w:name w:val="正文样式2"/>
    <w:basedOn w:val="a3"/>
    <w:unhideWhenUsed/>
    <w:qFormat/>
    <w:pPr>
      <w:adjustRightInd w:val="0"/>
      <w:snapToGrid w:val="0"/>
      <w:ind w:firstLine="510"/>
      <w:textAlignment w:val="baseline"/>
    </w:pPr>
    <w:rPr>
      <w:rFonts w:ascii="宋体" w:hint="eastAsia"/>
      <w:kern w:val="24"/>
      <w:szCs w:val="20"/>
    </w:rPr>
  </w:style>
  <w:style w:type="paragraph" w:customStyle="1" w:styleId="afffffffffff0">
    <w:name w:val="报告一"/>
    <w:basedOn w:val="a3"/>
    <w:next w:val="a3"/>
    <w:unhideWhenUsed/>
    <w:qFormat/>
    <w:pPr>
      <w:ind w:firstLineChars="198" w:firstLine="539"/>
      <w:outlineLvl w:val="3"/>
    </w:pPr>
    <w:rPr>
      <w:rFonts w:ascii="仿宋_GB2312" w:eastAsia="仿宋_GB2312" w:hint="eastAsia"/>
      <w:spacing w:val="-4"/>
      <w:sz w:val="28"/>
      <w:szCs w:val="20"/>
    </w:rPr>
  </w:style>
  <w:style w:type="paragraph" w:customStyle="1" w:styleId="08515">
    <w:name w:val="样式 小四 加粗 左侧:  0.85 厘米 行距: 1.5 倍行距"/>
    <w:basedOn w:val="a3"/>
    <w:unhideWhenUsed/>
    <w:qFormat/>
    <w:pPr>
      <w:adjustRightInd w:val="0"/>
      <w:snapToGrid w:val="0"/>
    </w:pPr>
    <w:rPr>
      <w:rFonts w:hint="eastAsia"/>
      <w:b/>
      <w:szCs w:val="20"/>
    </w:rPr>
  </w:style>
  <w:style w:type="paragraph" w:customStyle="1" w:styleId="CharCharCharCharCharCharCharCharChar1CharCharCharChar1">
    <w:name w:val="Char Char Char Char Char Char Char Char Char1 Char Char Char Char1"/>
    <w:basedOn w:val="a3"/>
    <w:unhideWhenUsed/>
    <w:qFormat/>
    <w:rPr>
      <w:rFonts w:ascii="宋体" w:hAnsi="宋体" w:cs="宋体" w:hint="eastAsia"/>
      <w:szCs w:val="26"/>
    </w:rPr>
  </w:style>
  <w:style w:type="paragraph" w:customStyle="1" w:styleId="085">
    <w:name w:val="样式 (符号) 宋体 首行缩进:  0.85 厘米"/>
    <w:basedOn w:val="a3"/>
    <w:unhideWhenUsed/>
    <w:qFormat/>
    <w:pPr>
      <w:spacing w:line="500" w:lineRule="exact"/>
    </w:pPr>
    <w:rPr>
      <w:rFonts w:hAnsi="宋体" w:cs="宋体" w:hint="eastAsia"/>
      <w:szCs w:val="20"/>
    </w:rPr>
  </w:style>
  <w:style w:type="paragraph" w:customStyle="1" w:styleId="12CharCharCharCharCharCharCharCharCharChar">
    <w:name w:val="12 Char Char Char Char Char Char Char Char Char Char"/>
    <w:basedOn w:val="a3"/>
    <w:unhideWhenUsed/>
    <w:qFormat/>
    <w:pPr>
      <w:jc w:val="left"/>
    </w:pPr>
    <w:rPr>
      <w:rFonts w:ascii="宋体" w:hAnsi="宋体" w:hint="eastAsia"/>
      <w:position w:val="-6"/>
      <w:sz w:val="28"/>
      <w:szCs w:val="20"/>
      <w:u w:val="single"/>
    </w:rPr>
  </w:style>
  <w:style w:type="paragraph" w:customStyle="1" w:styleId="CharCharCharCharCharCharCharCharCharCharChar">
    <w:name w:val="Char Char Char Char Char Char Char Char Char Char Char"/>
    <w:basedOn w:val="BodyTextIndent1"/>
    <w:unhideWhenUsed/>
    <w:qFormat/>
    <w:pPr>
      <w:ind w:left="0"/>
    </w:pPr>
  </w:style>
  <w:style w:type="paragraph" w:customStyle="1" w:styleId="afffffffffff1">
    <w:name w:val="表格小"/>
    <w:basedOn w:val="a3"/>
    <w:unhideWhenUsed/>
    <w:qFormat/>
    <w:pPr>
      <w:jc w:val="center"/>
    </w:pPr>
    <w:rPr>
      <w:rFonts w:hint="eastAsia"/>
      <w:sz w:val="18"/>
      <w:szCs w:val="24"/>
    </w:rPr>
  </w:style>
  <w:style w:type="paragraph" w:customStyle="1" w:styleId="afffffffffff2">
    <w:name w:val="表格注"/>
    <w:basedOn w:val="a3"/>
    <w:next w:val="a3"/>
    <w:unhideWhenUsed/>
    <w:qFormat/>
    <w:pPr>
      <w:spacing w:line="240" w:lineRule="exact"/>
      <w:jc w:val="left"/>
    </w:pPr>
    <w:rPr>
      <w:rFonts w:hint="eastAsia"/>
      <w:sz w:val="18"/>
      <w:szCs w:val="24"/>
    </w:rPr>
  </w:style>
  <w:style w:type="paragraph" w:customStyle="1" w:styleId="Char60">
    <w:name w:val="Char6"/>
    <w:basedOn w:val="a3"/>
    <w:unhideWhenUsed/>
    <w:qFormat/>
    <w:rPr>
      <w:rFonts w:ascii="宋体" w:hAnsi="宋体" w:cs="宋体" w:hint="eastAsia"/>
      <w:szCs w:val="24"/>
    </w:rPr>
  </w:style>
  <w:style w:type="paragraph" w:customStyle="1" w:styleId="CharCharCharCharCharChar1Char">
    <w:name w:val="Char Char Char Char Char Char1 Char"/>
    <w:basedOn w:val="a3"/>
    <w:unhideWhenUsed/>
    <w:qFormat/>
    <w:rPr>
      <w:rFonts w:hint="eastAsia"/>
      <w:sz w:val="21"/>
      <w:szCs w:val="24"/>
    </w:rPr>
  </w:style>
  <w:style w:type="paragraph" w:customStyle="1" w:styleId="afffffffffff3">
    <w:name w:val="水利部"/>
    <w:basedOn w:val="a3"/>
    <w:link w:val="Charfff4"/>
    <w:unhideWhenUsed/>
    <w:qFormat/>
    <w:pPr>
      <w:adjustRightInd w:val="0"/>
      <w:snapToGrid w:val="0"/>
      <w:spacing w:line="500" w:lineRule="exact"/>
      <w:ind w:firstLineChars="400" w:firstLine="1205"/>
    </w:pPr>
    <w:rPr>
      <w:rFonts w:hint="eastAsia"/>
      <w:b/>
      <w:sz w:val="30"/>
      <w:szCs w:val="20"/>
    </w:rPr>
  </w:style>
  <w:style w:type="paragraph" w:customStyle="1" w:styleId="130">
    <w:name w:val="正文13"/>
    <w:basedOn w:val="a3"/>
    <w:link w:val="13CharChar"/>
    <w:unhideWhenUsed/>
    <w:qFormat/>
    <w:pPr>
      <w:adjustRightInd w:val="0"/>
      <w:snapToGrid w:val="0"/>
      <w:ind w:firstLine="510"/>
    </w:pPr>
    <w:rPr>
      <w:rFonts w:ascii="宋体" w:hAnsi="宋体" w:hint="eastAsia"/>
      <w:szCs w:val="24"/>
    </w:rPr>
  </w:style>
  <w:style w:type="paragraph" w:customStyle="1" w:styleId="L1">
    <w:name w:val="L图表名"/>
    <w:basedOn w:val="a3"/>
    <w:next w:val="a3"/>
    <w:unhideWhenUsed/>
    <w:qFormat/>
    <w:pPr>
      <w:keepNext/>
      <w:adjustRightInd w:val="0"/>
      <w:snapToGrid w:val="0"/>
      <w:spacing w:beforeLines="50"/>
      <w:jc w:val="center"/>
    </w:pPr>
    <w:rPr>
      <w:rFonts w:eastAsia="黑体" w:hint="eastAsia"/>
      <w:b/>
      <w:sz w:val="28"/>
      <w:szCs w:val="28"/>
    </w:rPr>
  </w:style>
  <w:style w:type="paragraph" w:customStyle="1" w:styleId="Para">
    <w:name w:val="默认段落字体 Para"/>
    <w:basedOn w:val="a3"/>
    <w:unhideWhenUsed/>
    <w:qFormat/>
    <w:rPr>
      <w:rFonts w:hint="eastAsia"/>
      <w:sz w:val="21"/>
      <w:szCs w:val="24"/>
    </w:rPr>
  </w:style>
  <w:style w:type="paragraph" w:customStyle="1" w:styleId="Char1CharCharCharCharChar">
    <w:name w:val="Char1 Char Char Char Char Char"/>
    <w:basedOn w:val="a3"/>
    <w:unhideWhenUsed/>
    <w:qFormat/>
    <w:pPr>
      <w:spacing w:beforeLines="1000" w:afterLines="1000" w:line="400" w:lineRule="exact"/>
    </w:pPr>
    <w:rPr>
      <w:rFonts w:hint="eastAsia"/>
      <w:sz w:val="21"/>
      <w:szCs w:val="24"/>
    </w:rPr>
  </w:style>
  <w:style w:type="paragraph" w:customStyle="1" w:styleId="CharCharCharCharCharCharCharCharChar1CharCharCharCharCharChar">
    <w:name w:val="Char Char Char Char Char Char Char Char Char1 Char Char Char Char Char Char"/>
    <w:basedOn w:val="a3"/>
    <w:unhideWhenUsed/>
    <w:qFormat/>
    <w:pPr>
      <w:adjustRightInd w:val="0"/>
    </w:pPr>
    <w:rPr>
      <w:rFonts w:hint="eastAsia"/>
      <w:szCs w:val="20"/>
    </w:rPr>
  </w:style>
  <w:style w:type="paragraph" w:customStyle="1" w:styleId="CharChar7Char">
    <w:name w:val="Char Char7 Char"/>
    <w:basedOn w:val="a3"/>
    <w:unhideWhenUsed/>
    <w:qFormat/>
    <w:pPr>
      <w:widowControl/>
      <w:spacing w:after="160" w:line="240" w:lineRule="exact"/>
      <w:jc w:val="left"/>
    </w:pPr>
    <w:rPr>
      <w:rFonts w:ascii="Verdana" w:hAnsi="Verdana" w:hint="eastAsia"/>
      <w:sz w:val="20"/>
      <w:szCs w:val="20"/>
      <w:lang w:eastAsia="en-US"/>
    </w:rPr>
  </w:style>
  <w:style w:type="paragraph" w:customStyle="1" w:styleId="afffffffffff4">
    <w:name w:val="文本框小四"/>
    <w:basedOn w:val="a3"/>
    <w:unhideWhenUsed/>
    <w:qFormat/>
    <w:pPr>
      <w:jc w:val="center"/>
    </w:pPr>
    <w:rPr>
      <w:rFonts w:hint="eastAsia"/>
      <w:sz w:val="21"/>
    </w:rPr>
  </w:style>
  <w:style w:type="paragraph" w:customStyle="1" w:styleId="108527878">
    <w:name w:val="样式 目录 1 + 两端对齐 左侧:  0.85 厘米 首行缩进:  2 字符 段前: 7.8 磅 段后: 7.8 磅"/>
    <w:basedOn w:val="112"/>
    <w:unhideWhenUsed/>
    <w:qFormat/>
    <w:pPr>
      <w:tabs>
        <w:tab w:val="right" w:leader="dot" w:pos="8834"/>
      </w:tabs>
      <w:spacing w:before="0" w:after="0"/>
      <w:jc w:val="both"/>
    </w:pPr>
    <w:rPr>
      <w:rFonts w:cs="宋体"/>
      <w:caps w:val="0"/>
    </w:rPr>
  </w:style>
  <w:style w:type="paragraph" w:customStyle="1" w:styleId="afffffffffff5">
    <w:name w:val="流程图文字"/>
    <w:basedOn w:val="a3"/>
    <w:unhideWhenUsed/>
    <w:qFormat/>
    <w:pPr>
      <w:adjustRightInd w:val="0"/>
      <w:snapToGrid w:val="0"/>
      <w:jc w:val="center"/>
    </w:pPr>
    <w:rPr>
      <w:rFonts w:ascii="宋体" w:hAnsi="宋体" w:hint="eastAsia"/>
      <w:color w:val="000000"/>
      <w:sz w:val="21"/>
    </w:rPr>
  </w:style>
  <w:style w:type="paragraph" w:customStyle="1" w:styleId="1CharCharCharCharCharCharChar">
    <w:name w:val="1 Char Char Char Char Char Char Char"/>
    <w:basedOn w:val="a3"/>
    <w:unhideWhenUsed/>
    <w:qFormat/>
    <w:rPr>
      <w:rFonts w:hint="eastAsia"/>
      <w:sz w:val="21"/>
      <w:szCs w:val="24"/>
    </w:rPr>
  </w:style>
  <w:style w:type="paragraph" w:customStyle="1" w:styleId="222">
    <w:name w:val="样式 样式 设计正文 + 首行缩进:  2 字符 + 首行缩进:  2 字符"/>
    <w:basedOn w:val="a3"/>
    <w:unhideWhenUsed/>
    <w:qFormat/>
    <w:pPr>
      <w:tabs>
        <w:tab w:val="left" w:pos="-360"/>
        <w:tab w:val="left" w:pos="0"/>
      </w:tabs>
      <w:autoSpaceDE w:val="0"/>
      <w:autoSpaceDN w:val="0"/>
      <w:ind w:firstLine="480"/>
    </w:pPr>
    <w:rPr>
      <w:rFonts w:ascii="宋体" w:hAnsi="宋体" w:cs="宋体" w:hint="eastAsia"/>
      <w:szCs w:val="24"/>
    </w:rPr>
  </w:style>
  <w:style w:type="paragraph" w:customStyle="1" w:styleId="y">
    <w:name w:val="?y??"/>
    <w:link w:val="yChar"/>
    <w:unhideWhenUsed/>
    <w:qFormat/>
    <w:pPr>
      <w:widowControl w:val="0"/>
      <w:overflowPunct w:val="0"/>
      <w:autoSpaceDE w:val="0"/>
      <w:autoSpaceDN w:val="0"/>
      <w:adjustRightInd w:val="0"/>
      <w:spacing w:line="351" w:lineRule="atLeast"/>
      <w:ind w:firstLine="419"/>
      <w:jc w:val="both"/>
      <w:textAlignment w:val="baseline"/>
    </w:pPr>
    <w:rPr>
      <w:rFonts w:hint="eastAsia"/>
      <w:color w:val="000000"/>
      <w:sz w:val="21"/>
    </w:rPr>
  </w:style>
  <w:style w:type="paragraph" w:customStyle="1" w:styleId="afffffffffff6">
    <w:name w:val="样式 表头 + 小五"/>
    <w:basedOn w:val="afff3"/>
    <w:link w:val="Charfff5"/>
    <w:unhideWhenUsed/>
    <w:qFormat/>
    <w:pPr>
      <w:ind w:firstLineChars="100" w:firstLine="240"/>
      <w:jc w:val="right"/>
    </w:pPr>
    <w:rPr>
      <w:rFonts w:ascii="宋体" w:hint="eastAsia"/>
      <w:b w:val="0"/>
      <w:sz w:val="18"/>
    </w:rPr>
  </w:style>
  <w:style w:type="paragraph" w:customStyle="1" w:styleId="2fd">
    <w:name w:val="样式 设计正文 + 首行缩进:  2 字符"/>
    <w:basedOn w:val="a3"/>
    <w:link w:val="2CharChar3"/>
    <w:unhideWhenUsed/>
    <w:qFormat/>
    <w:pPr>
      <w:tabs>
        <w:tab w:val="left" w:pos="-360"/>
        <w:tab w:val="left" w:pos="0"/>
      </w:tabs>
      <w:autoSpaceDE w:val="0"/>
      <w:autoSpaceDN w:val="0"/>
      <w:ind w:firstLine="480"/>
    </w:pPr>
    <w:rPr>
      <w:rFonts w:ascii="宋体" w:hAnsi="宋体" w:hint="eastAsia"/>
      <w:szCs w:val="24"/>
    </w:rPr>
  </w:style>
  <w:style w:type="paragraph" w:customStyle="1" w:styleId="11b1H111otesTITULO-11H11H12">
    <w:name w:val="样式 标题 1章标题 1章节标题b1封面大标题H11标题 1otesTITULO-1河石1H11H12章..."/>
    <w:basedOn w:val="110"/>
    <w:unhideWhenUsed/>
    <w:qFormat/>
    <w:pPr>
      <w:widowControl/>
      <w:spacing w:beforeLines="0" w:afterLines="0"/>
      <w:ind w:firstLineChars="0" w:firstLine="0"/>
    </w:pPr>
    <w:rPr>
      <w:rFonts w:ascii="宋体" w:hAnsi="宋体" w:cs="宋体"/>
      <w:sz w:val="32"/>
      <w:szCs w:val="20"/>
    </w:rPr>
  </w:style>
  <w:style w:type="paragraph" w:customStyle="1" w:styleId="211112112Charb2W2H22CharCh">
    <w:name w:val="样式 标题 2节标题 1.11.1标题2例如：1.1 内容标题 2 Charb2W2H2标题 2 Char Ch..."/>
    <w:basedOn w:val="213"/>
    <w:link w:val="211112112Charb2W2H22CharChChar"/>
    <w:unhideWhenUsed/>
    <w:qFormat/>
    <w:pPr>
      <w:tabs>
        <w:tab w:val="left" w:pos="1322"/>
      </w:tabs>
      <w:spacing w:beforeLines="0" w:afterLines="0"/>
      <w:ind w:firstLineChars="0" w:firstLine="0"/>
    </w:pPr>
    <w:rPr>
      <w:rFonts w:ascii="宋体" w:hAnsi="宋体"/>
      <w:sz w:val="30"/>
    </w:rPr>
  </w:style>
  <w:style w:type="paragraph" w:customStyle="1" w:styleId="211112112Charb2W2H22CharCh1">
    <w:name w:val="样式 标题 2节标题 1.11.1标题2例如：1.1 内容标题 2 Charb2W2H2标题 2 Char Ch...1"/>
    <w:basedOn w:val="213"/>
    <w:link w:val="211112112Charb2W2H22CharCh1Char"/>
    <w:unhideWhenUsed/>
    <w:qFormat/>
    <w:pPr>
      <w:tabs>
        <w:tab w:val="left" w:pos="1322"/>
      </w:tabs>
      <w:spacing w:beforeLines="0" w:afterLines="0"/>
      <w:ind w:firstLineChars="0" w:firstLine="0"/>
    </w:pPr>
    <w:rPr>
      <w:rFonts w:ascii="宋体" w:hAnsi="宋体"/>
      <w:sz w:val="30"/>
    </w:rPr>
  </w:style>
  <w:style w:type="paragraph" w:customStyle="1" w:styleId="11b1H111otesTITULO-11H11H121">
    <w:name w:val="样式 标题 1章标题 1章节标题b1封面大标题H11标题 1otesTITULO-1河石1H11H12章...1"/>
    <w:basedOn w:val="110"/>
    <w:unhideWhenUsed/>
    <w:qFormat/>
    <w:pPr>
      <w:widowControl/>
      <w:spacing w:beforeLines="0" w:afterLines="0"/>
      <w:ind w:firstLineChars="0" w:firstLine="0"/>
    </w:pPr>
    <w:rPr>
      <w:rFonts w:ascii="黑体" w:hAnsi="宋体" w:cs="宋体"/>
      <w:sz w:val="32"/>
      <w:szCs w:val="20"/>
    </w:rPr>
  </w:style>
  <w:style w:type="paragraph" w:customStyle="1" w:styleId="11b1H111otesTITULO-11H11H122">
    <w:name w:val="样式 标题 1章标题 1章节标题b1封面大标题H11标题 1otesTITULO-1河石1H11H12章...2"/>
    <w:basedOn w:val="110"/>
    <w:unhideWhenUsed/>
    <w:qFormat/>
    <w:pPr>
      <w:widowControl/>
      <w:spacing w:beforeLines="0" w:afterLines="0"/>
      <w:ind w:firstLineChars="0" w:firstLine="0"/>
    </w:pPr>
    <w:rPr>
      <w:rFonts w:ascii="黑体" w:eastAsia="黑体" w:hAnsi="宋体" w:cs="宋体"/>
      <w:sz w:val="32"/>
      <w:szCs w:val="20"/>
    </w:rPr>
  </w:style>
  <w:style w:type="paragraph" w:customStyle="1" w:styleId="afffffffffff7">
    <w:name w:val="标准条文"/>
    <w:unhideWhenUsed/>
    <w:qFormat/>
    <w:pPr>
      <w:spacing w:beforeLines="20" w:afterLines="20"/>
      <w:ind w:firstLineChars="200" w:firstLine="200"/>
    </w:pPr>
    <w:rPr>
      <w:rFonts w:hint="eastAsia"/>
      <w:kern w:val="2"/>
      <w:sz w:val="21"/>
    </w:rPr>
  </w:style>
  <w:style w:type="paragraph" w:customStyle="1" w:styleId="afffffffffff8">
    <w:name w:val="陈表格中内容"/>
    <w:basedOn w:val="a3"/>
    <w:next w:val="a3"/>
    <w:link w:val="Charfff6"/>
    <w:unhideWhenUsed/>
    <w:qFormat/>
    <w:pPr>
      <w:jc w:val="center"/>
    </w:pPr>
    <w:rPr>
      <w:rFonts w:ascii="宋体" w:hAnsi="宋体" w:hint="eastAsia"/>
      <w:spacing w:val="-6"/>
      <w:sz w:val="21"/>
      <w:szCs w:val="20"/>
    </w:rPr>
  </w:style>
  <w:style w:type="paragraph" w:customStyle="1" w:styleId="223">
    <w:name w:val="准 正文 左侧:  2 字符 + 首行缩进:  2 字符"/>
    <w:basedOn w:val="a3"/>
    <w:link w:val="22Char"/>
    <w:unhideWhenUsed/>
    <w:qFormat/>
    <w:pPr>
      <w:ind w:firstLine="480"/>
    </w:pPr>
    <w:rPr>
      <w:rFonts w:hint="eastAsia"/>
      <w:szCs w:val="20"/>
    </w:rPr>
  </w:style>
  <w:style w:type="paragraph" w:customStyle="1" w:styleId="1ff9">
    <w:name w:val="列出段落1"/>
    <w:basedOn w:val="a3"/>
    <w:unhideWhenUsed/>
    <w:qFormat/>
    <w:pPr>
      <w:ind w:firstLine="420"/>
    </w:pPr>
    <w:rPr>
      <w:rFonts w:ascii="Calibri" w:hAnsi="Calibri" w:hint="eastAsia"/>
      <w:sz w:val="21"/>
      <w:szCs w:val="20"/>
    </w:rPr>
  </w:style>
  <w:style w:type="paragraph" w:customStyle="1" w:styleId="140">
    <w:name w:val="14"/>
    <w:basedOn w:val="a3"/>
    <w:next w:val="af2"/>
    <w:unhideWhenUsed/>
    <w:qFormat/>
    <w:rPr>
      <w:rFonts w:ascii="宋体" w:hAnsi="Courier New" w:hint="eastAsia"/>
      <w:sz w:val="21"/>
      <w:szCs w:val="20"/>
    </w:rPr>
  </w:style>
  <w:style w:type="paragraph" w:customStyle="1" w:styleId="niloCharCharCharChar">
    <w:name w:val="nilo_正文 Char Char Char Char"/>
    <w:basedOn w:val="a3"/>
    <w:unhideWhenUsed/>
    <w:qFormat/>
    <w:pPr>
      <w:ind w:left="1031" w:hanging="851"/>
    </w:pPr>
    <w:rPr>
      <w:rFonts w:ascii="Arial" w:hAnsi="Arial" w:hint="eastAsia"/>
      <w:sz w:val="21"/>
    </w:rPr>
  </w:style>
  <w:style w:type="paragraph" w:customStyle="1" w:styleId="205">
    <w:name w:val="样式 标题 2 + 段前: 0.5 行"/>
    <w:basedOn w:val="213"/>
    <w:unhideWhenUsed/>
    <w:qFormat/>
    <w:pPr>
      <w:tabs>
        <w:tab w:val="left" w:pos="1322"/>
      </w:tabs>
      <w:adjustRightInd w:val="0"/>
      <w:snapToGrid w:val="0"/>
      <w:spacing w:before="50" w:afterLines="0" w:line="415" w:lineRule="auto"/>
      <w:jc w:val="left"/>
    </w:pPr>
    <w:rPr>
      <w:rFonts w:ascii="Arial" w:eastAsia="黑体" w:hAnsi="Arial" w:cs="宋体"/>
      <w:szCs w:val="20"/>
    </w:rPr>
  </w:style>
  <w:style w:type="paragraph" w:customStyle="1" w:styleId="afffffffffff9">
    <w:name w:val="样式 普通文字 + (符号) 宋体 小四"/>
    <w:basedOn w:val="PlainText1"/>
    <w:unhideWhenUsed/>
    <w:qFormat/>
    <w:rPr>
      <w:rFonts w:cs="Times New Roman"/>
      <w:sz w:val="24"/>
    </w:rPr>
  </w:style>
  <w:style w:type="paragraph" w:customStyle="1" w:styleId="afffffffffffa">
    <w:name w:val="表格五号修"/>
    <w:basedOn w:val="a3"/>
    <w:unhideWhenUsed/>
    <w:qFormat/>
    <w:pPr>
      <w:spacing w:line="360" w:lineRule="exact"/>
    </w:pPr>
    <w:rPr>
      <w:rFonts w:hint="eastAsia"/>
      <w:color w:val="000000"/>
      <w:sz w:val="21"/>
      <w:szCs w:val="24"/>
    </w:rPr>
  </w:style>
  <w:style w:type="paragraph" w:customStyle="1" w:styleId="afffffffffffb">
    <w:name w:val="报告名"/>
    <w:basedOn w:val="a3"/>
    <w:unhideWhenUsed/>
    <w:qFormat/>
    <w:pPr>
      <w:adjustRightInd w:val="0"/>
      <w:snapToGrid w:val="0"/>
      <w:spacing w:line="300" w:lineRule="auto"/>
      <w:jc w:val="center"/>
    </w:pPr>
    <w:rPr>
      <w:rFonts w:cs="宋体" w:hint="eastAsia"/>
      <w:b/>
      <w:sz w:val="56"/>
      <w:szCs w:val="56"/>
    </w:rPr>
  </w:style>
  <w:style w:type="paragraph" w:customStyle="1" w:styleId="CharCharCharCharCharCharCharChar0">
    <w:name w:val="Char Char Char Char Char Char Char Char"/>
    <w:basedOn w:val="a3"/>
    <w:unhideWhenUsed/>
    <w:qFormat/>
    <w:rPr>
      <w:rFonts w:hint="eastAsia"/>
      <w:sz w:val="21"/>
      <w:szCs w:val="24"/>
    </w:rPr>
  </w:style>
  <w:style w:type="paragraph" w:customStyle="1" w:styleId="Char3CharCharChar">
    <w:name w:val="Char3 Char Char Char"/>
    <w:basedOn w:val="a3"/>
    <w:unhideWhenUsed/>
    <w:qFormat/>
    <w:rPr>
      <w:rFonts w:hint="eastAsia"/>
      <w:sz w:val="21"/>
      <w:szCs w:val="24"/>
    </w:rPr>
  </w:style>
  <w:style w:type="paragraph" w:customStyle="1" w:styleId="2081101">
    <w:name w:val="样式 样式 审签页 审签字 + 20 磅 非加粗 左侧:  8 字符 段前: 1 行 + 左侧:  10 字符 段前: 1 行"/>
    <w:basedOn w:val="a3"/>
    <w:unhideWhenUsed/>
    <w:qFormat/>
    <w:pPr>
      <w:adjustRightInd w:val="0"/>
      <w:snapToGrid w:val="0"/>
      <w:spacing w:beforeLines="100" w:line="700" w:lineRule="exact"/>
      <w:ind w:leftChars="1100" w:left="1100"/>
    </w:pPr>
    <w:rPr>
      <w:rFonts w:eastAsia="楷体_GB2312" w:cs="宋体" w:hint="eastAsia"/>
      <w:b/>
      <w:sz w:val="32"/>
      <w:szCs w:val="32"/>
    </w:rPr>
  </w:style>
  <w:style w:type="paragraph" w:customStyle="1" w:styleId="afffffffffffc">
    <w:name w:val="报告大标题"/>
    <w:basedOn w:val="110"/>
    <w:unhideWhenUsed/>
    <w:qFormat/>
    <w:pPr>
      <w:spacing w:beforeLines="0" w:afterLines="0" w:line="240" w:lineRule="auto"/>
      <w:ind w:firstLineChars="0" w:firstLine="0"/>
      <w:jc w:val="center"/>
      <w:textAlignment w:val="baseline"/>
    </w:pPr>
    <w:rPr>
      <w:rFonts w:ascii="黑体" w:eastAsia="黑体" w:hAnsi="宋体" w:cs="Arial"/>
      <w:b w:val="0"/>
      <w:spacing w:val="10"/>
      <w:kern w:val="56"/>
      <w:sz w:val="40"/>
      <w:szCs w:val="40"/>
    </w:rPr>
  </w:style>
  <w:style w:type="paragraph" w:customStyle="1" w:styleId="Charfff7">
    <w:name w:val="样式  Char + 宋体 小四"/>
    <w:basedOn w:val="a3"/>
    <w:link w:val="CharChar2"/>
    <w:unhideWhenUsed/>
    <w:qFormat/>
    <w:pPr>
      <w:snapToGrid w:val="0"/>
      <w:ind w:firstLine="480"/>
    </w:pPr>
    <w:rPr>
      <w:rFonts w:ascii="宋体" w:hAnsi="宋体" w:hint="eastAsia"/>
      <w:szCs w:val="24"/>
    </w:rPr>
  </w:style>
  <w:style w:type="paragraph" w:customStyle="1" w:styleId="CharCharCharCharCharCharCharCharCharCharCharChar">
    <w:name w:val="Char Char Char Char Char Char Char Char Char Char Char Char"/>
    <w:basedOn w:val="a3"/>
    <w:unhideWhenUsed/>
    <w:qFormat/>
    <w:rPr>
      <w:rFonts w:ascii="宋体" w:hint="eastAsia"/>
      <w:sz w:val="21"/>
      <w:szCs w:val="24"/>
    </w:rPr>
  </w:style>
  <w:style w:type="paragraph" w:customStyle="1" w:styleId="afffffffffffd">
    <w:name w:val="南郊正文"/>
    <w:basedOn w:val="a3"/>
    <w:next w:val="a3"/>
    <w:unhideWhenUsed/>
    <w:qFormat/>
    <w:rPr>
      <w:rFonts w:hint="eastAsia"/>
      <w:szCs w:val="24"/>
    </w:rPr>
  </w:style>
  <w:style w:type="paragraph" w:customStyle="1" w:styleId="afffffffffffe">
    <w:name w:val="表内容"/>
    <w:unhideWhenUsed/>
    <w:qFormat/>
    <w:pPr>
      <w:jc w:val="center"/>
    </w:pPr>
    <w:rPr>
      <w:rFonts w:hint="eastAsia"/>
      <w:kern w:val="2"/>
      <w:sz w:val="21"/>
    </w:rPr>
  </w:style>
  <w:style w:type="paragraph" w:customStyle="1" w:styleId="affffffffffff">
    <w:name w:val="【图片】"/>
    <w:next w:val="1fb"/>
    <w:link w:val="Charfff8"/>
    <w:unhideWhenUsed/>
    <w:qFormat/>
    <w:pPr>
      <w:jc w:val="center"/>
    </w:pPr>
    <w:rPr>
      <w:rFonts w:ascii="宋体" w:hAnsi="宋体" w:hint="eastAsia"/>
      <w:kern w:val="2"/>
      <w:sz w:val="24"/>
    </w:rPr>
  </w:style>
  <w:style w:type="paragraph" w:customStyle="1" w:styleId="wwww">
    <w:name w:val="wwww"/>
    <w:link w:val="wwwwChar"/>
    <w:unhideWhenUsed/>
    <w:qFormat/>
    <w:pPr>
      <w:ind w:firstLineChars="200" w:firstLine="200"/>
    </w:pPr>
    <w:rPr>
      <w:rFonts w:ascii="宋体" w:hAnsi="宋体" w:hint="eastAsia"/>
      <w:kern w:val="2"/>
      <w:sz w:val="28"/>
    </w:rPr>
  </w:style>
  <w:style w:type="paragraph" w:customStyle="1" w:styleId="TimesNewRoman">
    <w:name w:val="样式 (西文) Times New Roman (符号) 华文中宋"/>
    <w:basedOn w:val="a3"/>
    <w:link w:val="TimesNewRomanChar"/>
    <w:unhideWhenUsed/>
    <w:qFormat/>
    <w:pPr>
      <w:spacing w:line="500" w:lineRule="exact"/>
    </w:pPr>
    <w:rPr>
      <w:rFonts w:ascii="Calibri" w:eastAsia="华文中宋" w:hAnsi="华文中宋" w:hint="eastAsia"/>
      <w:szCs w:val="20"/>
    </w:rPr>
  </w:style>
  <w:style w:type="paragraph" w:customStyle="1" w:styleId="CharCharCharCharCharCharCharCharCh">
    <w:name w:val="样式 纯文本普通文字 Char普通文字 Char Char Char普通文字 Char Char Char Char Ch..."/>
    <w:basedOn w:val="PlainText1"/>
    <w:unhideWhenUsed/>
    <w:qFormat/>
    <w:pPr>
      <w:ind w:left="-14" w:firstLineChars="230" w:firstLine="552"/>
    </w:pPr>
    <w:rPr>
      <w:rFonts w:ascii="Times New Roman" w:hAnsi="Times New Roman" w:cs="宋体"/>
      <w:sz w:val="24"/>
      <w:szCs w:val="24"/>
    </w:rPr>
  </w:style>
  <w:style w:type="paragraph" w:customStyle="1" w:styleId="03030303">
    <w:name w:val="样式 样式 样式 标题四 + 非加粗 + 段前: 0.3 行 段后: 0.3 行 + 段前: 0.3 行 段后: 0.3 行"/>
    <w:basedOn w:val="a3"/>
    <w:unhideWhenUsed/>
    <w:qFormat/>
    <w:pPr>
      <w:autoSpaceDE w:val="0"/>
      <w:autoSpaceDN w:val="0"/>
      <w:adjustRightInd w:val="0"/>
      <w:snapToGrid w:val="0"/>
      <w:textAlignment w:val="baseline"/>
    </w:pPr>
    <w:rPr>
      <w:rFonts w:ascii="宋体" w:hAnsi="宋体" w:hint="eastAsia"/>
      <w:b/>
      <w:sz w:val="18"/>
      <w:szCs w:val="18"/>
    </w:rPr>
  </w:style>
  <w:style w:type="paragraph" w:customStyle="1" w:styleId="affffffffffff0">
    <w:name w:val="表标号"/>
    <w:link w:val="Charfff9"/>
    <w:unhideWhenUsed/>
    <w:qFormat/>
    <w:pPr>
      <w:adjustRightInd w:val="0"/>
      <w:spacing w:beforeLines="10" w:afterLines="10" w:line="360" w:lineRule="auto"/>
      <w:ind w:firstLineChars="200" w:firstLine="480"/>
      <w:jc w:val="both"/>
    </w:pPr>
    <w:rPr>
      <w:rFonts w:eastAsia="黑体" w:hint="eastAsia"/>
      <w:sz w:val="24"/>
      <w:szCs w:val="24"/>
    </w:rPr>
  </w:style>
  <w:style w:type="paragraph" w:customStyle="1" w:styleId="affffffffffff1">
    <w:name w:val="准 表头"/>
    <w:link w:val="Charfffa"/>
    <w:unhideWhenUsed/>
    <w:qFormat/>
    <w:pPr>
      <w:spacing w:line="360" w:lineRule="auto"/>
      <w:jc w:val="center"/>
    </w:pPr>
    <w:rPr>
      <w:rFonts w:eastAsia="黑体" w:hint="eastAsia"/>
      <w:szCs w:val="21"/>
    </w:rPr>
  </w:style>
  <w:style w:type="paragraph" w:customStyle="1" w:styleId="CharChar1CharCharCharCharCharChar">
    <w:name w:val="Char Char1 Char Char Char Char Char Char"/>
    <w:basedOn w:val="a3"/>
    <w:unhideWhenUsed/>
    <w:qFormat/>
    <w:rPr>
      <w:rFonts w:ascii="宋体" w:hAnsi="宋体" w:cs="宋体" w:hint="eastAsia"/>
      <w:szCs w:val="24"/>
    </w:rPr>
  </w:style>
  <w:style w:type="paragraph" w:customStyle="1" w:styleId="CharCharCharCharCharChar1CharCharCharCharCharCharChar">
    <w:name w:val="Char Char Char Char Char Char1 Char Char Char Char Char Char Char"/>
    <w:basedOn w:val="a3"/>
    <w:unhideWhenUsed/>
    <w:qFormat/>
    <w:rPr>
      <w:rFonts w:hint="eastAsia"/>
      <w:sz w:val="21"/>
      <w:szCs w:val="20"/>
    </w:rPr>
  </w:style>
  <w:style w:type="paragraph" w:customStyle="1" w:styleId="CharCharCharCharCharCharCharCharCharCharCharCharChar1">
    <w:name w:val="Char Char Char Char Char Char Char Char Char Char Char Char Char1"/>
    <w:basedOn w:val="a3"/>
    <w:unhideWhenUsed/>
    <w:qFormat/>
    <w:rPr>
      <w:rFonts w:hint="eastAsia"/>
      <w:sz w:val="21"/>
      <w:szCs w:val="24"/>
    </w:rPr>
  </w:style>
  <w:style w:type="paragraph" w:customStyle="1" w:styleId="CharCharChar1CharCharChar1">
    <w:name w:val="Char Char Char1 Char Char Char1"/>
    <w:basedOn w:val="a3"/>
    <w:unhideWhenUsed/>
    <w:qFormat/>
    <w:rPr>
      <w:rFonts w:hint="eastAsia"/>
      <w:sz w:val="21"/>
      <w:szCs w:val="24"/>
    </w:rPr>
  </w:style>
  <w:style w:type="paragraph" w:customStyle="1" w:styleId="CharCharChar1CharCharCharCharCharCharChar1">
    <w:name w:val="Char Char Char1 Char Char Char Char Char Char Char1"/>
    <w:basedOn w:val="a3"/>
    <w:unhideWhenUsed/>
    <w:qFormat/>
    <w:rPr>
      <w:rFonts w:hint="eastAsia"/>
      <w:sz w:val="21"/>
      <w:szCs w:val="20"/>
    </w:rPr>
  </w:style>
  <w:style w:type="paragraph" w:customStyle="1" w:styleId="CharCharCharChar1CharCharChar1">
    <w:name w:val="Char Char Char Char1 Char Char Char1"/>
    <w:basedOn w:val="a3"/>
    <w:unhideWhenUsed/>
    <w:qFormat/>
    <w:rPr>
      <w:rFonts w:hint="eastAsia"/>
      <w:sz w:val="21"/>
      <w:szCs w:val="20"/>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3"/>
    <w:unhideWhenUsed/>
    <w:qFormat/>
    <w:rPr>
      <w:rFonts w:hint="eastAsia"/>
      <w:sz w:val="21"/>
      <w:szCs w:val="24"/>
    </w:rPr>
  </w:style>
  <w:style w:type="paragraph" w:customStyle="1" w:styleId="CharCharCharCharCharChar1Char1">
    <w:name w:val="Char Char Char Char Char Char1 Char1"/>
    <w:basedOn w:val="a3"/>
    <w:unhideWhenUsed/>
    <w:qFormat/>
    <w:rPr>
      <w:rFonts w:ascii="宋体" w:hAnsi="宋体" w:hint="eastAsia"/>
      <w:position w:val="-6"/>
      <w:sz w:val="28"/>
      <w:szCs w:val="28"/>
    </w:rPr>
  </w:style>
  <w:style w:type="paragraph" w:customStyle="1" w:styleId="CharChar1CharCharCharCharCharChar1">
    <w:name w:val="Char Char1 Char Char Char Char Char Char1"/>
    <w:basedOn w:val="a3"/>
    <w:unhideWhenUsed/>
    <w:qFormat/>
    <w:rPr>
      <w:rFonts w:ascii="宋体" w:hAnsi="宋体" w:cs="宋体" w:hint="eastAsia"/>
      <w:szCs w:val="24"/>
    </w:rPr>
  </w:style>
  <w:style w:type="paragraph" w:customStyle="1" w:styleId="Char61">
    <w:name w:val="Char61"/>
    <w:basedOn w:val="a3"/>
    <w:unhideWhenUsed/>
    <w:qFormat/>
    <w:rPr>
      <w:rFonts w:ascii="宋体" w:hAnsi="宋体" w:cs="宋体" w:hint="eastAsia"/>
      <w:szCs w:val="24"/>
    </w:rPr>
  </w:style>
  <w:style w:type="paragraph" w:customStyle="1" w:styleId="CharChar7Char1">
    <w:name w:val="Char Char7 Char1"/>
    <w:basedOn w:val="a3"/>
    <w:unhideWhenUsed/>
    <w:qFormat/>
    <w:pPr>
      <w:widowControl/>
      <w:spacing w:after="160" w:line="240" w:lineRule="exact"/>
      <w:jc w:val="left"/>
    </w:pPr>
    <w:rPr>
      <w:rFonts w:ascii="Verdana" w:hAnsi="Verdana" w:hint="eastAsia"/>
      <w:sz w:val="20"/>
      <w:szCs w:val="20"/>
      <w:lang w:eastAsia="en-US"/>
    </w:rPr>
  </w:style>
  <w:style w:type="paragraph" w:customStyle="1" w:styleId="Char3CharCharChar1">
    <w:name w:val="Char3 Char Char Char1"/>
    <w:basedOn w:val="a3"/>
    <w:unhideWhenUsed/>
    <w:qFormat/>
    <w:rPr>
      <w:rFonts w:hint="eastAsia"/>
      <w:sz w:val="21"/>
      <w:szCs w:val="24"/>
    </w:rPr>
  </w:style>
  <w:style w:type="paragraph" w:customStyle="1" w:styleId="CharCharCharCharCharChar1CharCharCharCharCharCharChar1">
    <w:name w:val="Char Char Char Char Char Char1 Char Char Char Char Char Char Char1"/>
    <w:basedOn w:val="a3"/>
    <w:unhideWhenUsed/>
    <w:qFormat/>
    <w:rPr>
      <w:rFonts w:hint="eastAsia"/>
      <w:sz w:val="21"/>
      <w:szCs w:val="20"/>
    </w:rPr>
  </w:style>
  <w:style w:type="paragraph" w:customStyle="1" w:styleId="affffffffffff2">
    <w:name w:val="陈表头文字"/>
    <w:basedOn w:val="a3"/>
    <w:next w:val="a3"/>
    <w:link w:val="Charfffb"/>
    <w:unhideWhenUsed/>
    <w:qFormat/>
    <w:pPr>
      <w:keepNext/>
      <w:spacing w:line="288" w:lineRule="auto"/>
      <w:jc w:val="center"/>
    </w:pPr>
    <w:rPr>
      <w:rFonts w:ascii="宋体" w:hAnsi="宋体" w:hint="eastAsia"/>
      <w:b/>
      <w:szCs w:val="24"/>
    </w:rPr>
  </w:style>
  <w:style w:type="paragraph" w:customStyle="1" w:styleId="3030">
    <w:name w:val="样式 样式 标题 3 + 段前: 0.3 行 + 首行缩进:  0 厘米"/>
    <w:basedOn w:val="a3"/>
    <w:unhideWhenUsed/>
    <w:qFormat/>
    <w:pPr>
      <w:keepLines/>
      <w:spacing w:before="60" w:after="60"/>
      <w:jc w:val="left"/>
      <w:outlineLvl w:val="2"/>
    </w:pPr>
    <w:rPr>
      <w:rFonts w:cs="宋体" w:hint="eastAsia"/>
      <w:b/>
      <w:spacing w:val="16"/>
      <w:w w:val="95"/>
      <w:szCs w:val="20"/>
    </w:rPr>
  </w:style>
  <w:style w:type="paragraph" w:customStyle="1" w:styleId="2Char2CharCF22-11112b">
    <w:name w:val="样式 标题 2 Char标题 2 Char节(C+F2)节，一宋三标题 2-王鹏节标题 1.11.1标题2b..."/>
    <w:basedOn w:val="213"/>
    <w:unhideWhenUsed/>
    <w:qFormat/>
    <w:pPr>
      <w:tabs>
        <w:tab w:val="left" w:pos="1322"/>
      </w:tabs>
      <w:adjustRightInd w:val="0"/>
      <w:snapToGrid w:val="0"/>
      <w:spacing w:beforeLines="0" w:afterLines="0"/>
      <w:ind w:firstLineChars="0" w:firstLine="0"/>
      <w:jc w:val="left"/>
      <w:outlineLvl w:val="2"/>
    </w:pPr>
    <w:rPr>
      <w:rFonts w:ascii="宋体" w:hAnsi="宋体"/>
      <w:sz w:val="24"/>
      <w:szCs w:val="24"/>
    </w:rPr>
  </w:style>
  <w:style w:type="paragraph" w:customStyle="1" w:styleId="yyp">
    <w:name w:val="yyp"/>
    <w:basedOn w:val="1fb"/>
    <w:link w:val="yypChar"/>
    <w:unhideWhenUsed/>
    <w:qFormat/>
    <w:pPr>
      <w:spacing w:after="120"/>
    </w:pPr>
  </w:style>
  <w:style w:type="paragraph" w:customStyle="1" w:styleId="Arial2415">
    <w:name w:val="样式 Arial 小四 黑色 首行缩进:  24 磅 行距: 1.5 倍行距"/>
    <w:basedOn w:val="a3"/>
    <w:link w:val="Arial2415Char"/>
    <w:unhideWhenUsed/>
    <w:qFormat/>
    <w:pPr>
      <w:adjustRightInd w:val="0"/>
      <w:snapToGrid w:val="0"/>
    </w:pPr>
    <w:rPr>
      <w:rFonts w:ascii="Arial" w:hAnsi="Arial" w:hint="eastAsia"/>
      <w:color w:val="000000"/>
      <w:szCs w:val="20"/>
    </w:rPr>
  </w:style>
  <w:style w:type="paragraph" w:customStyle="1" w:styleId="TimesNewRoman15">
    <w:name w:val="样式 Times New Roman 行距: 1.5 倍行距"/>
    <w:basedOn w:val="a3"/>
    <w:link w:val="TimesNewRoman15Char"/>
    <w:unhideWhenUsed/>
    <w:qFormat/>
    <w:pPr>
      <w:ind w:firstLine="480"/>
    </w:pPr>
    <w:rPr>
      <w:rFonts w:hint="eastAsia"/>
      <w:kern w:val="24"/>
      <w:sz w:val="28"/>
      <w:szCs w:val="28"/>
    </w:rPr>
  </w:style>
  <w:style w:type="paragraph" w:customStyle="1" w:styleId="CharCharChar3CharCharCharCharCharCharCharCharCharCharCharCharChar">
    <w:name w:val="Char Char Char3 Char Char Char Char Char Char Char Char Char Char Char Char Char"/>
    <w:basedOn w:val="a3"/>
    <w:unhideWhenUsed/>
    <w:qFormat/>
    <w:rPr>
      <w:rFonts w:hint="eastAsia"/>
      <w:sz w:val="21"/>
      <w:szCs w:val="20"/>
    </w:rPr>
  </w:style>
  <w:style w:type="paragraph" w:customStyle="1" w:styleId="z-1">
    <w:name w:val="z-窗体顶端1"/>
    <w:basedOn w:val="a3"/>
    <w:next w:val="a3"/>
    <w:unhideWhenUsed/>
    <w:qFormat/>
    <w:pPr>
      <w:pBdr>
        <w:bottom w:val="single" w:sz="6" w:space="1" w:color="auto"/>
      </w:pBdr>
      <w:jc w:val="center"/>
    </w:pPr>
    <w:rPr>
      <w:rFonts w:ascii="Arial" w:hAnsi="Arial" w:hint="eastAsia"/>
      <w:vanish/>
      <w:sz w:val="16"/>
      <w:szCs w:val="16"/>
    </w:rPr>
  </w:style>
  <w:style w:type="paragraph" w:customStyle="1" w:styleId="110028">
    <w:name w:val="样式 标题 1章标题 1 + (符号) 宋体 四号 段前: 0 磅 段后: 0 磅 行距: 最小值 28 磅"/>
    <w:basedOn w:val="110"/>
    <w:unhideWhenUsed/>
    <w:qFormat/>
    <w:pPr>
      <w:keepNext w:val="0"/>
      <w:tabs>
        <w:tab w:val="left" w:pos="425"/>
      </w:tabs>
      <w:autoSpaceDE w:val="0"/>
      <w:autoSpaceDN w:val="0"/>
      <w:adjustRightInd w:val="0"/>
      <w:snapToGrid w:val="0"/>
      <w:spacing w:beforeLines="0" w:afterLines="0" w:line="560" w:lineRule="atLeast"/>
      <w:ind w:firstLineChars="0" w:firstLine="0"/>
      <w:textAlignment w:val="baseline"/>
    </w:pPr>
    <w:rPr>
      <w:rFonts w:ascii="黑体" w:eastAsia="黑体" w:hAnsi="宋体" w:cs="宋体"/>
      <w:sz w:val="30"/>
      <w:szCs w:val="20"/>
    </w:rPr>
  </w:style>
  <w:style w:type="paragraph" w:customStyle="1" w:styleId="affffffffffff3">
    <w:name w:val="样式 小四"/>
    <w:basedOn w:val="a3"/>
    <w:unhideWhenUsed/>
    <w:qFormat/>
    <w:rPr>
      <w:rFonts w:hint="eastAsia"/>
      <w:szCs w:val="24"/>
    </w:rPr>
  </w:style>
  <w:style w:type="paragraph" w:customStyle="1" w:styleId="75">
    <w:name w:val="样式7"/>
    <w:basedOn w:val="1fd"/>
    <w:link w:val="7Char0"/>
    <w:unhideWhenUsed/>
    <w:qFormat/>
    <w:pPr>
      <w:pBdr>
        <w:bottom w:val="none" w:sz="0" w:space="0" w:color="auto"/>
      </w:pBdr>
    </w:pPr>
  </w:style>
  <w:style w:type="paragraph" w:customStyle="1" w:styleId="95">
    <w:name w:val="样式9"/>
    <w:basedOn w:val="1f"/>
    <w:link w:val="9Char0"/>
    <w:unhideWhenUsed/>
    <w:qFormat/>
    <w:pPr>
      <w:autoSpaceDE w:val="0"/>
      <w:autoSpaceDN w:val="0"/>
      <w:adjustRightInd w:val="0"/>
      <w:spacing w:before="72" w:line="240" w:lineRule="atLeast"/>
      <w:jc w:val="right"/>
      <w:textAlignment w:val="bottom"/>
    </w:pPr>
    <w:rPr>
      <w:rFonts w:ascii="宋体" w:hAnsi="宋体"/>
      <w:b/>
    </w:rPr>
  </w:style>
  <w:style w:type="paragraph" w:customStyle="1" w:styleId="1ffa">
    <w:name w:val="修订1"/>
    <w:hidden/>
    <w:uiPriority w:val="99"/>
    <w:unhideWhenUsed/>
    <w:qFormat/>
    <w:rPr>
      <w:rFonts w:hint="eastAsia"/>
      <w:sz w:val="21"/>
    </w:rPr>
  </w:style>
  <w:style w:type="paragraph" w:customStyle="1" w:styleId="Char1CharCharCharCharCharCharCharCharCharCharChar1Char">
    <w:name w:val="Char1 Char Char Char Char Char Char Char Char Char Char Char1 Char"/>
    <w:basedOn w:val="a3"/>
    <w:unhideWhenUsed/>
    <w:qFormat/>
    <w:rPr>
      <w:rFonts w:hint="eastAsia"/>
      <w:sz w:val="21"/>
      <w:szCs w:val="24"/>
    </w:rPr>
  </w:style>
  <w:style w:type="paragraph" w:customStyle="1" w:styleId="CharCharCharCharCharCharCharCharCharCharCharChar1">
    <w:name w:val="Char Char Char Char Char Char Char Char Char Char Char Char1"/>
    <w:basedOn w:val="a3"/>
    <w:unhideWhenUsed/>
    <w:qFormat/>
    <w:rPr>
      <w:rFonts w:ascii="宋体" w:hint="eastAsia"/>
      <w:sz w:val="21"/>
      <w:szCs w:val="24"/>
    </w:rPr>
  </w:style>
  <w:style w:type="paragraph" w:customStyle="1" w:styleId="21111212Heading2HiddenHeading2">
    <w:name w:val="样式 标题 2节标题 1.11.1标题2第*章第*章1第*章2Heading 2 HiddenHeading 2 ..."/>
    <w:basedOn w:val="213"/>
    <w:unhideWhenUsed/>
    <w:qFormat/>
    <w:pPr>
      <w:keepNext w:val="0"/>
      <w:widowControl/>
      <w:tabs>
        <w:tab w:val="left" w:pos="1322"/>
      </w:tabs>
      <w:adjustRightInd w:val="0"/>
      <w:snapToGrid w:val="0"/>
      <w:spacing w:beforeLines="0" w:afterLines="0" w:line="440" w:lineRule="atLeast"/>
      <w:ind w:firstLineChars="0" w:firstLine="0"/>
    </w:pPr>
    <w:rPr>
      <w:rFonts w:ascii="黑体" w:eastAsia="黑体" w:hAnsi="宋体" w:cs="宋体"/>
      <w:b w:val="0"/>
      <w:sz w:val="24"/>
      <w:szCs w:val="24"/>
    </w:rPr>
  </w:style>
  <w:style w:type="paragraph" w:customStyle="1" w:styleId="11b1111">
    <w:name w:val="样式 标题 1章标题 1章节标题b111标题 1 + 非加粗 自动设置"/>
    <w:basedOn w:val="110"/>
    <w:link w:val="11b1111Char"/>
    <w:unhideWhenUsed/>
    <w:qFormat/>
    <w:pPr>
      <w:tabs>
        <w:tab w:val="left" w:pos="567"/>
      </w:tabs>
      <w:adjustRightInd w:val="0"/>
      <w:snapToGrid w:val="0"/>
      <w:spacing w:beforeLines="0" w:afterLines="0" w:line="440" w:lineRule="atLeast"/>
      <w:ind w:firstLineChars="0" w:firstLine="0"/>
      <w:textAlignment w:val="baseline"/>
    </w:pPr>
    <w:rPr>
      <w:rFonts w:ascii="黑体" w:eastAsia="黑体" w:hAnsi="宋体"/>
      <w:b w:val="0"/>
      <w:sz w:val="28"/>
      <w:szCs w:val="32"/>
    </w:rPr>
  </w:style>
  <w:style w:type="paragraph" w:customStyle="1" w:styleId="TOC1">
    <w:name w:val="TOC 标题1"/>
    <w:basedOn w:val="110"/>
    <w:next w:val="a3"/>
    <w:uiPriority w:val="39"/>
    <w:unhideWhenUsed/>
    <w:qFormat/>
    <w:pPr>
      <w:widowControl/>
      <w:spacing w:beforeLines="0" w:afterLines="0" w:line="276" w:lineRule="auto"/>
      <w:ind w:firstLineChars="0" w:firstLine="0"/>
      <w:jc w:val="left"/>
    </w:pPr>
    <w:rPr>
      <w:rFonts w:ascii="Cambria" w:hAnsi="Cambria"/>
      <w:color w:val="365F91"/>
      <w:sz w:val="28"/>
      <w:szCs w:val="28"/>
    </w:rPr>
  </w:style>
  <w:style w:type="paragraph" w:customStyle="1" w:styleId="xl92">
    <w:name w:val="xl92"/>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szCs w:val="24"/>
    </w:rPr>
  </w:style>
  <w:style w:type="paragraph" w:customStyle="1" w:styleId="xl93">
    <w:name w:val="xl93"/>
    <w:basedOn w:val="a3"/>
    <w:unhideWhenUsed/>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hint="eastAsia"/>
      <w:color w:val="000000"/>
      <w:szCs w:val="24"/>
    </w:rPr>
  </w:style>
  <w:style w:type="paragraph" w:customStyle="1" w:styleId="xl94">
    <w:name w:val="xl94"/>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color w:val="000000"/>
      <w:szCs w:val="24"/>
    </w:rPr>
  </w:style>
  <w:style w:type="paragraph" w:customStyle="1" w:styleId="xl95">
    <w:name w:val="xl9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hint="eastAsia"/>
      <w:color w:val="000000"/>
      <w:szCs w:val="24"/>
    </w:rPr>
  </w:style>
  <w:style w:type="paragraph" w:customStyle="1" w:styleId="xl96">
    <w:name w:val="xl9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b/>
      <w:color w:val="000000"/>
      <w:szCs w:val="24"/>
    </w:rPr>
  </w:style>
  <w:style w:type="paragraph" w:customStyle="1" w:styleId="affffffffffff4">
    <w:name w:val="表格头"/>
    <w:basedOn w:val="a3"/>
    <w:unhideWhenUsed/>
    <w:qFormat/>
    <w:pPr>
      <w:adjustRightInd w:val="0"/>
      <w:snapToGrid w:val="0"/>
      <w:spacing w:line="240" w:lineRule="atLeast"/>
      <w:jc w:val="right"/>
    </w:pPr>
    <w:rPr>
      <w:rFonts w:hAnsi="宋体" w:hint="eastAsia"/>
      <w:sz w:val="21"/>
    </w:rPr>
  </w:style>
  <w:style w:type="paragraph" w:customStyle="1" w:styleId="affffffffffff5">
    <w:name w:val="朔电正文"/>
    <w:basedOn w:val="a3"/>
    <w:unhideWhenUsed/>
    <w:qFormat/>
    <w:pPr>
      <w:adjustRightInd w:val="0"/>
      <w:snapToGrid w:val="0"/>
      <w:spacing w:beforeLines="25" w:line="440" w:lineRule="exact"/>
      <w:ind w:firstLine="480"/>
    </w:pPr>
    <w:rPr>
      <w:rFonts w:hint="eastAsia"/>
      <w:color w:val="000000"/>
      <w:kern w:val="32"/>
      <w:szCs w:val="24"/>
    </w:rPr>
  </w:style>
  <w:style w:type="paragraph" w:customStyle="1" w:styleId="3f1">
    <w:name w:val="宁标题3"/>
    <w:basedOn w:val="310"/>
    <w:unhideWhenUsed/>
    <w:qFormat/>
    <w:pPr>
      <w:spacing w:beforeLines="0" w:afterLines="0"/>
      <w:ind w:firstLineChars="0" w:firstLine="0"/>
      <w:jc w:val="left"/>
    </w:pPr>
    <w:rPr>
      <w:rFonts w:eastAsia="黑体"/>
      <w:b w:val="0"/>
      <w:sz w:val="30"/>
      <w:szCs w:val="30"/>
    </w:rPr>
  </w:style>
  <w:style w:type="paragraph" w:customStyle="1" w:styleId="1ffb">
    <w:name w:val="正文水资源论证1"/>
    <w:basedOn w:val="a3"/>
    <w:unhideWhenUsed/>
    <w:qFormat/>
    <w:pPr>
      <w:spacing w:line="520" w:lineRule="exact"/>
      <w:ind w:firstLine="560"/>
    </w:pPr>
    <w:rPr>
      <w:rFonts w:ascii="宋体" w:hAnsi="宋体" w:hint="eastAsia"/>
      <w:sz w:val="28"/>
      <w:szCs w:val="24"/>
    </w:rPr>
  </w:style>
  <w:style w:type="paragraph" w:customStyle="1" w:styleId="affffffffffff6">
    <w:name w:val="表注"/>
    <w:basedOn w:val="a3"/>
    <w:link w:val="Charfffc"/>
    <w:unhideWhenUsed/>
    <w:qFormat/>
    <w:pPr>
      <w:widowControl/>
      <w:adjustRightInd w:val="0"/>
      <w:snapToGrid w:val="0"/>
      <w:spacing w:before="60" w:line="280" w:lineRule="exact"/>
      <w:ind w:firstLine="300"/>
      <w:jc w:val="left"/>
    </w:pPr>
    <w:rPr>
      <w:rFonts w:ascii="Calibri" w:hAnsi="Calibri" w:hint="eastAsia"/>
      <w:kern w:val="32"/>
      <w:sz w:val="15"/>
      <w:szCs w:val="24"/>
      <w:lang w:eastAsia="en-US"/>
    </w:rPr>
  </w:style>
  <w:style w:type="paragraph" w:customStyle="1" w:styleId="290">
    <w:name w:val="样式29"/>
    <w:basedOn w:val="a3"/>
    <w:unhideWhenUsed/>
    <w:qFormat/>
    <w:pPr>
      <w:widowControl/>
      <w:tabs>
        <w:tab w:val="left" w:pos="45"/>
      </w:tabs>
      <w:spacing w:line="240" w:lineRule="exact"/>
      <w:jc w:val="center"/>
    </w:pPr>
    <w:rPr>
      <w:rFonts w:ascii="Calibri" w:hAnsi="Calibri" w:hint="eastAsia"/>
      <w:b/>
      <w:szCs w:val="24"/>
      <w:lang w:eastAsia="en-US"/>
    </w:rPr>
  </w:style>
  <w:style w:type="paragraph" w:customStyle="1" w:styleId="z-10">
    <w:name w:val="z-窗体底端1"/>
    <w:basedOn w:val="a3"/>
    <w:next w:val="a3"/>
    <w:unhideWhenUsed/>
    <w:qFormat/>
    <w:pPr>
      <w:pBdr>
        <w:top w:val="single" w:sz="6" w:space="1" w:color="auto"/>
      </w:pBdr>
      <w:jc w:val="center"/>
    </w:pPr>
    <w:rPr>
      <w:rFonts w:ascii="宋体" w:hAnsi="Courier New" w:hint="eastAsia"/>
      <w:sz w:val="21"/>
      <w:szCs w:val="20"/>
    </w:rPr>
  </w:style>
  <w:style w:type="paragraph" w:customStyle="1" w:styleId="CharCharChar1">
    <w:name w:val="Char Char Char1"/>
    <w:basedOn w:val="a3"/>
    <w:next w:val="a3"/>
    <w:unhideWhenUsed/>
    <w:qFormat/>
    <w:pPr>
      <w:keepNext/>
      <w:keepLines/>
      <w:widowControl/>
      <w:adjustRightInd w:val="0"/>
      <w:spacing w:before="40" w:after="40"/>
      <w:textAlignment w:val="baseline"/>
      <w:outlineLvl w:val="3"/>
    </w:pPr>
    <w:rPr>
      <w:rFonts w:eastAsia="仿宋_GB2312" w:cs="宋体" w:hint="eastAsia"/>
      <w:b/>
      <w:szCs w:val="28"/>
    </w:rPr>
  </w:style>
  <w:style w:type="paragraph" w:customStyle="1" w:styleId="300">
    <w:name w:val="样式 四号 加粗 左 行距: 固定值 30 磅"/>
    <w:basedOn w:val="310"/>
    <w:unhideWhenUsed/>
    <w:qFormat/>
    <w:pPr>
      <w:spacing w:beforeLines="0" w:afterLines="0" w:line="300" w:lineRule="exact"/>
      <w:ind w:firstLineChars="128" w:firstLine="360"/>
      <w:jc w:val="left"/>
    </w:pPr>
    <w:rPr>
      <w:sz w:val="28"/>
      <w:szCs w:val="20"/>
    </w:rPr>
  </w:style>
  <w:style w:type="paragraph" w:customStyle="1" w:styleId="Frontmatter">
    <w:name w:val="Frontmatter"/>
    <w:basedOn w:val="a3"/>
    <w:unhideWhenUsed/>
    <w:qFormat/>
    <w:pPr>
      <w:widowControl/>
      <w:spacing w:afterLines="200"/>
      <w:jc w:val="center"/>
      <w:outlineLvl w:val="0"/>
    </w:pPr>
    <w:rPr>
      <w:sz w:val="28"/>
      <w:szCs w:val="20"/>
    </w:rPr>
  </w:style>
  <w:style w:type="paragraph" w:customStyle="1" w:styleId="522">
    <w:name w:val="样式 样式 样式5 + 首行缩进:  2 字符2 +"/>
    <w:basedOn w:val="5220"/>
    <w:unhideWhenUsed/>
    <w:qFormat/>
    <w:pPr>
      <w:spacing w:line="500" w:lineRule="exact"/>
    </w:pPr>
  </w:style>
  <w:style w:type="paragraph" w:customStyle="1" w:styleId="5220">
    <w:name w:val="样式 样式5 + 首行缩进:  2 字符2"/>
    <w:basedOn w:val="5a"/>
    <w:unhideWhenUsed/>
    <w:qFormat/>
    <w:pPr>
      <w:spacing w:line="560" w:lineRule="exact"/>
      <w:ind w:firstLineChars="0" w:firstLine="200"/>
      <w:textAlignment w:val="baseline"/>
    </w:pPr>
    <w:rPr>
      <w:rFonts w:ascii="Times New Roman" w:hAnsi="Times New Roman"/>
      <w:b/>
      <w:sz w:val="26"/>
      <w:szCs w:val="20"/>
    </w:rPr>
  </w:style>
  <w:style w:type="paragraph" w:customStyle="1" w:styleId="5b">
    <w:name w:val="表格5"/>
    <w:unhideWhenUsed/>
    <w:qFormat/>
    <w:pPr>
      <w:jc w:val="both"/>
    </w:pPr>
    <w:rPr>
      <w:rFonts w:ascii="宋体" w:hAnsi="宋体" w:hint="eastAsia"/>
      <w:color w:val="000000"/>
      <w:sz w:val="24"/>
    </w:rPr>
  </w:style>
  <w:style w:type="paragraph" w:customStyle="1" w:styleId="MTDisplayEquation">
    <w:name w:val="MTDisplayEquation"/>
    <w:basedOn w:val="a3"/>
    <w:next w:val="a3"/>
    <w:link w:val="MTDisplayEquationChar"/>
    <w:unhideWhenUsed/>
    <w:qFormat/>
    <w:pPr>
      <w:widowControl/>
      <w:tabs>
        <w:tab w:val="center" w:pos="4500"/>
        <w:tab w:val="right" w:pos="9000"/>
      </w:tabs>
      <w:spacing w:before="60" w:after="120"/>
      <w:jc w:val="left"/>
    </w:pPr>
    <w:rPr>
      <w:rFonts w:hint="eastAsia"/>
      <w:szCs w:val="20"/>
    </w:rPr>
  </w:style>
  <w:style w:type="paragraph" w:customStyle="1" w:styleId="Preformatted">
    <w:name w:val="Preformatted"/>
    <w:basedOn w:val="a3"/>
    <w:unhideWhenUsed/>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hint="eastAsia"/>
      <w:sz w:val="20"/>
      <w:szCs w:val="20"/>
    </w:rPr>
  </w:style>
  <w:style w:type="paragraph" w:customStyle="1" w:styleId="2fe">
    <w:name w:val="目录2"/>
    <w:basedOn w:val="112"/>
    <w:unhideWhenUsed/>
    <w:qFormat/>
    <w:pPr>
      <w:tabs>
        <w:tab w:val="left" w:pos="0"/>
        <w:tab w:val="right" w:leader="dot" w:pos="8260"/>
        <w:tab w:val="right" w:leader="dot" w:pos="8296"/>
        <w:tab w:val="right" w:leader="dot" w:pos="8349"/>
      </w:tabs>
      <w:autoSpaceDE w:val="0"/>
      <w:autoSpaceDN w:val="0"/>
      <w:adjustRightInd w:val="0"/>
      <w:snapToGrid w:val="0"/>
      <w:spacing w:line="500" w:lineRule="exact"/>
      <w:jc w:val="both"/>
      <w:textAlignment w:val="baseline"/>
    </w:pPr>
    <w:rPr>
      <w:rFonts w:ascii="黑体" w:eastAsia="黑体" w:hAnsi="宋体"/>
      <w:spacing w:val="10"/>
      <w:kern w:val="10"/>
      <w:sz w:val="23"/>
    </w:rPr>
  </w:style>
  <w:style w:type="paragraph" w:customStyle="1" w:styleId="reference">
    <w:name w:val="reference"/>
    <w:basedOn w:val="icsptext"/>
    <w:unhideWhenUsed/>
    <w:qFormat/>
    <w:pPr>
      <w:tabs>
        <w:tab w:val="left" w:pos="720"/>
      </w:tabs>
      <w:adjustRightInd/>
      <w:snapToGrid/>
      <w:spacing w:line="240" w:lineRule="auto"/>
      <w:ind w:left="720" w:firstLineChars="0" w:hanging="720"/>
    </w:pPr>
    <w:rPr>
      <w:rFonts w:ascii="Times New Roman" w:eastAsia="仿宋_GB2312" w:hAnsi="Times New Roman" w:cs="Times New Roman"/>
      <w:color w:val="000000"/>
      <w:sz w:val="30"/>
      <w:szCs w:val="20"/>
    </w:rPr>
  </w:style>
  <w:style w:type="paragraph" w:customStyle="1" w:styleId="Figure">
    <w:name w:val="Figure"/>
    <w:basedOn w:val="a3"/>
    <w:unhideWhenUsed/>
    <w:qFormat/>
    <w:pPr>
      <w:widowControl/>
      <w:jc w:val="center"/>
    </w:pPr>
    <w:rPr>
      <w:rFonts w:hint="eastAsia"/>
      <w:szCs w:val="20"/>
    </w:rPr>
  </w:style>
  <w:style w:type="paragraph" w:customStyle="1" w:styleId="032251">
    <w:name w:val="样式 小三 加粗 左 首行缩进:  0.32 厘米 行距: 固定值 25 磅1"/>
    <w:basedOn w:val="213"/>
    <w:unhideWhenUsed/>
    <w:qFormat/>
    <w:pPr>
      <w:tabs>
        <w:tab w:val="left" w:pos="1322"/>
      </w:tabs>
      <w:adjustRightInd w:val="0"/>
      <w:spacing w:beforeLines="0" w:afterLines="0" w:line="300" w:lineRule="exact"/>
      <w:ind w:firstLineChars="0" w:firstLine="0"/>
      <w:jc w:val="left"/>
    </w:pPr>
    <w:rPr>
      <w:rFonts w:ascii="仿宋_GB2312" w:eastAsia="仿宋_GB2312" w:hAnsi="Arial"/>
      <w:sz w:val="30"/>
      <w:szCs w:val="20"/>
      <w:lang w:val="zh-CN"/>
    </w:rPr>
  </w:style>
  <w:style w:type="paragraph" w:customStyle="1" w:styleId="520">
    <w:name w:val="样式 样式5 + 首行缩进:  2 字符"/>
    <w:basedOn w:val="5a"/>
    <w:unhideWhenUsed/>
    <w:qFormat/>
    <w:pPr>
      <w:autoSpaceDE w:val="0"/>
      <w:autoSpaceDN w:val="0"/>
      <w:spacing w:line="276" w:lineRule="auto"/>
      <w:ind w:firstLineChars="0" w:firstLine="600"/>
      <w:textAlignment w:val="center"/>
    </w:pPr>
    <w:rPr>
      <w:rFonts w:ascii="Times New Roman" w:hAnsi="Times New Roman"/>
      <w:b/>
      <w:spacing w:val="10"/>
      <w:kern w:val="28"/>
      <w:sz w:val="26"/>
      <w:szCs w:val="20"/>
    </w:rPr>
  </w:style>
  <w:style w:type="paragraph" w:customStyle="1" w:styleId="affffffffffff7">
    <w:name w:val="表格内容格式"/>
    <w:basedOn w:val="a3"/>
    <w:unhideWhenUsed/>
    <w:qFormat/>
    <w:pPr>
      <w:widowControl/>
      <w:jc w:val="left"/>
    </w:pPr>
    <w:rPr>
      <w:rFonts w:hint="eastAsia"/>
      <w:sz w:val="21"/>
      <w:szCs w:val="20"/>
    </w:rPr>
  </w:style>
  <w:style w:type="paragraph" w:customStyle="1" w:styleId="1ffc">
    <w:name w:val="样式 标题 1封面大标题 + 三号"/>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4-105">
    <w:name w:val="样式 标题4 + 左侧:  -1.05 字符"/>
    <w:basedOn w:val="a3"/>
    <w:unhideWhenUsed/>
    <w:qFormat/>
    <w:pPr>
      <w:spacing w:line="600" w:lineRule="exact"/>
      <w:ind w:left="595"/>
    </w:pPr>
    <w:rPr>
      <w:rFonts w:eastAsia="黑体" w:hint="eastAsia"/>
      <w:szCs w:val="20"/>
    </w:rPr>
  </w:style>
  <w:style w:type="paragraph" w:customStyle="1" w:styleId="affffffffffff8">
    <w:name w:val="样式 宋体 四号"/>
    <w:basedOn w:val="a3"/>
    <w:unhideWhenUsed/>
    <w:qFormat/>
    <w:pPr>
      <w:spacing w:beforeLines="50" w:afterLines="50" w:line="560" w:lineRule="exact"/>
    </w:pPr>
    <w:rPr>
      <w:rFonts w:ascii="宋体" w:hint="eastAsia"/>
      <w:b/>
      <w:sz w:val="28"/>
      <w:szCs w:val="20"/>
    </w:rPr>
  </w:style>
  <w:style w:type="paragraph" w:customStyle="1" w:styleId="StyletitleNotBoldAllcaps">
    <w:name w:val="Style title + Not Bold All caps"/>
    <w:basedOn w:val="213"/>
    <w:unhideWhenUsed/>
    <w:qFormat/>
    <w:pPr>
      <w:keepNext w:val="0"/>
      <w:widowControl/>
      <w:tabs>
        <w:tab w:val="left" w:pos="1322"/>
      </w:tabs>
      <w:spacing w:beforeLines="0" w:afterLines="0"/>
      <w:ind w:firstLineChars="0" w:firstLine="0"/>
      <w:jc w:val="center"/>
    </w:pPr>
    <w:rPr>
      <w:caps/>
      <w:sz w:val="28"/>
      <w:szCs w:val="20"/>
    </w:rPr>
  </w:style>
  <w:style w:type="paragraph" w:customStyle="1" w:styleId="Table10">
    <w:name w:val="Table 10"/>
    <w:basedOn w:val="Tablecontents"/>
    <w:unhideWhenUsed/>
    <w:qFormat/>
    <w:pPr>
      <w:jc w:val="left"/>
    </w:pPr>
    <w:rPr>
      <w:sz w:val="20"/>
    </w:rPr>
  </w:style>
  <w:style w:type="paragraph" w:customStyle="1" w:styleId="Tablecontents">
    <w:name w:val="Table contents"/>
    <w:basedOn w:val="a3"/>
    <w:unhideWhenUsed/>
    <w:qFormat/>
    <w:pPr>
      <w:widowControl/>
      <w:jc w:val="center"/>
    </w:pPr>
    <w:rPr>
      <w:rFonts w:hint="eastAsia"/>
      <w:kern w:val="24"/>
      <w:szCs w:val="20"/>
      <w:lang w:eastAsia="en-US"/>
    </w:rPr>
  </w:style>
  <w:style w:type="paragraph" w:customStyle="1" w:styleId="affffffffffff9">
    <w:name w:val="样式 五号 居中"/>
    <w:basedOn w:val="a3"/>
    <w:unhideWhenUsed/>
    <w:qFormat/>
    <w:pPr>
      <w:spacing w:line="280" w:lineRule="exact"/>
      <w:jc w:val="center"/>
    </w:pPr>
    <w:rPr>
      <w:rFonts w:hint="eastAsia"/>
      <w:sz w:val="21"/>
      <w:szCs w:val="20"/>
    </w:rPr>
  </w:style>
  <w:style w:type="paragraph" w:customStyle="1" w:styleId="TimesNewRoman-12212">
    <w:name w:val="样式 表 + Times New Roman 左侧:  -1.22 厘米 行距: 最小值 12 磅"/>
    <w:basedOn w:val="affffffa"/>
    <w:unhideWhenUsed/>
    <w:qFormat/>
    <w:pPr>
      <w:keepLines/>
      <w:tabs>
        <w:tab w:val="left" w:pos="369"/>
        <w:tab w:val="left" w:pos="7740"/>
      </w:tabs>
      <w:adjustRightInd w:val="0"/>
      <w:spacing w:line="240" w:lineRule="atLeast"/>
    </w:pPr>
    <w:rPr>
      <w:rFonts w:ascii="宋体" w:hAnsi="宋体"/>
      <w:color w:val="FF0000"/>
      <w:sz w:val="24"/>
    </w:rPr>
  </w:style>
  <w:style w:type="paragraph" w:customStyle="1" w:styleId="affffffffffffa">
    <w:name w:val="表图名"/>
    <w:unhideWhenUsed/>
    <w:qFormat/>
    <w:pPr>
      <w:spacing w:beforeLines="50" w:afterLines="50" w:line="360" w:lineRule="auto"/>
      <w:jc w:val="center"/>
    </w:pPr>
    <w:rPr>
      <w:rFonts w:hint="eastAsia"/>
      <w:b/>
      <w:kern w:val="2"/>
      <w:sz w:val="21"/>
    </w:rPr>
  </w:style>
  <w:style w:type="paragraph" w:customStyle="1" w:styleId="TableFigureCaption">
    <w:name w:val="Table Figure Caption"/>
    <w:basedOn w:val="a3"/>
    <w:link w:val="TableFigureCaptionChar"/>
    <w:unhideWhenUsed/>
    <w:qFormat/>
    <w:pPr>
      <w:widowControl/>
      <w:jc w:val="center"/>
    </w:pPr>
    <w:rPr>
      <w:rFonts w:hint="eastAsia"/>
      <w:szCs w:val="20"/>
    </w:rPr>
  </w:style>
  <w:style w:type="paragraph" w:customStyle="1" w:styleId="Style1">
    <w:name w:val="Style1"/>
    <w:basedOn w:val="a3"/>
    <w:unhideWhenUsed/>
    <w:qFormat/>
    <w:pPr>
      <w:widowControl/>
      <w:tabs>
        <w:tab w:val="left" w:pos="-720"/>
      </w:tabs>
      <w:spacing w:after="120"/>
    </w:pPr>
    <w:rPr>
      <w:rFonts w:hint="eastAsia"/>
      <w:spacing w:val="-3"/>
      <w:szCs w:val="20"/>
      <w:lang w:val="en-AU" w:eastAsia="en-US"/>
    </w:rPr>
  </w:style>
  <w:style w:type="paragraph" w:customStyle="1" w:styleId="singlespace">
    <w:name w:val="single space"/>
    <w:basedOn w:val="a3"/>
    <w:unhideWhenUsed/>
    <w:qFormat/>
    <w:pPr>
      <w:widowControl/>
      <w:jc w:val="center"/>
    </w:pPr>
    <w:rPr>
      <w:rFonts w:hint="eastAsia"/>
      <w:szCs w:val="20"/>
    </w:rPr>
  </w:style>
  <w:style w:type="paragraph" w:customStyle="1" w:styleId="305">
    <w:name w:val="样式 标题 3 + 段前: 0.5 行"/>
    <w:basedOn w:val="310"/>
    <w:unhideWhenUsed/>
    <w:qFormat/>
    <w:pPr>
      <w:spacing w:beforeLines="100" w:line="240" w:lineRule="auto"/>
      <w:ind w:left="-288" w:firstLineChars="0" w:firstLine="0"/>
    </w:pPr>
    <w:rPr>
      <w:rFonts w:ascii="宋体" w:eastAsia="黑体" w:hAnsi="宋体"/>
      <w:sz w:val="28"/>
      <w:szCs w:val="20"/>
    </w:rPr>
  </w:style>
  <w:style w:type="paragraph" w:customStyle="1" w:styleId="1156">
    <w:name w:val="样式 标题 1封面大标题 + 段后: 15.6 磅"/>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28050">
    <w:name w:val="样式 (中文) 黑体 28 磅 居中 段前: 0.5 行 首行缩进:  0 字符"/>
    <w:unhideWhenUsed/>
    <w:qFormat/>
    <w:pPr>
      <w:spacing w:before="652"/>
      <w:jc w:val="center"/>
    </w:pPr>
    <w:rPr>
      <w:rFonts w:eastAsia="黑体" w:hint="eastAsia"/>
      <w:kern w:val="2"/>
      <w:sz w:val="56"/>
    </w:rPr>
  </w:style>
  <w:style w:type="paragraph" w:customStyle="1" w:styleId="tempheading1">
    <w:name w:val="temp heading1"/>
    <w:basedOn w:val="310"/>
    <w:unhideWhenUsed/>
    <w:qFormat/>
    <w:pPr>
      <w:jc w:val="left"/>
      <w:outlineLvl w:val="0"/>
    </w:pPr>
    <w:rPr>
      <w:sz w:val="28"/>
      <w:szCs w:val="20"/>
    </w:rPr>
  </w:style>
  <w:style w:type="paragraph" w:customStyle="1" w:styleId="105050">
    <w:name w:val="样式 样式 样式 标题 1封面大标题 + 段前: 0.5 行 段后: 0.5 行 + +"/>
    <w:basedOn w:val="105051"/>
    <w:unhideWhenUsed/>
    <w:qFormat/>
    <w:pPr>
      <w:spacing w:beforeLines="100" w:afterLines="100"/>
    </w:pPr>
  </w:style>
  <w:style w:type="paragraph" w:customStyle="1" w:styleId="105051">
    <w:name w:val="样式 样式 标题 1封面大标题 + 段前: 0.5 行 段后: 0.5 行 +"/>
    <w:basedOn w:val="105052"/>
    <w:unhideWhenUsed/>
    <w:qFormat/>
    <w:pPr>
      <w:spacing w:beforeLines="60" w:afterLines="60"/>
    </w:pPr>
  </w:style>
  <w:style w:type="paragraph" w:customStyle="1" w:styleId="105052">
    <w:name w:val="样式 标题 1封面大标题 + 段前: 0.5 行 段后: 0.5 行"/>
    <w:basedOn w:val="110"/>
    <w:unhideWhenUsed/>
    <w:qFormat/>
    <w:pPr>
      <w:spacing w:beforeLines="50" w:line="600" w:lineRule="exact"/>
      <w:ind w:firstLineChars="0" w:firstLine="0"/>
      <w:jc w:val="center"/>
      <w:textAlignment w:val="baseline"/>
    </w:pPr>
    <w:rPr>
      <w:rFonts w:ascii="宋体" w:hAnsi="宋体"/>
      <w:b w:val="0"/>
      <w:spacing w:val="10"/>
      <w:sz w:val="40"/>
      <w:szCs w:val="20"/>
    </w:rPr>
  </w:style>
  <w:style w:type="paragraph" w:customStyle="1" w:styleId="251">
    <w:name w:val="样式 四号 行距: 固定值 25 磅"/>
    <w:basedOn w:val="a3"/>
    <w:unhideWhenUsed/>
    <w:qFormat/>
    <w:pPr>
      <w:spacing w:line="480" w:lineRule="exact"/>
      <w:ind w:firstLine="420"/>
    </w:pPr>
    <w:rPr>
      <w:rFonts w:ascii="宋体" w:hAnsi="宋体" w:hint="eastAsia"/>
      <w:szCs w:val="20"/>
    </w:rPr>
  </w:style>
  <w:style w:type="paragraph" w:customStyle="1" w:styleId="225">
    <w:name w:val="样式 分目录2 + 首行缩进:  2 字符"/>
    <w:basedOn w:val="2ff"/>
    <w:unhideWhenUsed/>
    <w:qFormat/>
    <w:pPr>
      <w:spacing w:line="360" w:lineRule="auto"/>
      <w:ind w:firstLine="482"/>
    </w:pPr>
    <w:rPr>
      <w:sz w:val="24"/>
    </w:rPr>
  </w:style>
  <w:style w:type="paragraph" w:customStyle="1" w:styleId="2ff">
    <w:name w:val="分目录2"/>
    <w:basedOn w:val="1ff6"/>
    <w:link w:val="2Chara"/>
    <w:unhideWhenUsed/>
    <w:qFormat/>
    <w:pPr>
      <w:spacing w:line="500" w:lineRule="exact"/>
      <w:ind w:firstLine="480"/>
    </w:pPr>
    <w:rPr>
      <w:color w:val="000000"/>
    </w:rPr>
  </w:style>
  <w:style w:type="paragraph" w:customStyle="1" w:styleId="affffffffffffb">
    <w:name w:val="参考文献"/>
    <w:basedOn w:val="a3"/>
    <w:unhideWhenUsed/>
    <w:qFormat/>
    <w:pPr>
      <w:adjustRightInd w:val="0"/>
      <w:snapToGrid w:val="0"/>
      <w:spacing w:line="500" w:lineRule="exact"/>
      <w:ind w:firstLine="480"/>
    </w:pPr>
    <w:rPr>
      <w:rFonts w:hint="eastAsia"/>
      <w:szCs w:val="20"/>
    </w:rPr>
  </w:style>
  <w:style w:type="paragraph" w:customStyle="1" w:styleId="11561">
    <w:name w:val="样式 标题 1封面大标题 + 段后: 15.6 磅1"/>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5c">
    <w:name w:val="表5号字"/>
    <w:basedOn w:val="a3"/>
    <w:unhideWhenUsed/>
    <w:qFormat/>
    <w:pPr>
      <w:widowControl/>
      <w:jc w:val="left"/>
    </w:pPr>
    <w:rPr>
      <w:rFonts w:hint="eastAsia"/>
      <w:sz w:val="21"/>
      <w:szCs w:val="20"/>
    </w:rPr>
  </w:style>
  <w:style w:type="paragraph" w:customStyle="1" w:styleId="2ff0">
    <w:name w:val="正文首行缩进2字符"/>
    <w:basedOn w:val="BodyTextIndent1"/>
    <w:link w:val="2CharChar4"/>
    <w:unhideWhenUsed/>
    <w:qFormat/>
    <w:pPr>
      <w:spacing w:beforeLines="50" w:after="0"/>
      <w:ind w:leftChars="0" w:left="0"/>
    </w:pPr>
    <w:rPr>
      <w:sz w:val="24"/>
      <w:szCs w:val="20"/>
    </w:rPr>
  </w:style>
  <w:style w:type="paragraph" w:customStyle="1" w:styleId="423">
    <w:name w:val="正文格式42"/>
    <w:basedOn w:val="a3"/>
    <w:unhideWhenUsed/>
    <w:qFormat/>
    <w:pPr>
      <w:widowControl/>
      <w:spacing w:beforeLines="50" w:afterLines="50"/>
      <w:ind w:firstLine="482"/>
      <w:jc w:val="left"/>
    </w:pPr>
    <w:rPr>
      <w:rFonts w:ascii="宋体" w:hAnsi="宋体" w:hint="eastAsia"/>
      <w:szCs w:val="20"/>
    </w:rPr>
  </w:style>
  <w:style w:type="paragraph" w:customStyle="1" w:styleId="320">
    <w:name w:val="样式 目录3 + 首行缩进:  2 字符"/>
    <w:basedOn w:val="3f2"/>
    <w:unhideWhenUsed/>
    <w:qFormat/>
    <w:pPr>
      <w:ind w:firstLine="560"/>
    </w:pPr>
    <w:rPr>
      <w:b w:val="0"/>
    </w:rPr>
  </w:style>
  <w:style w:type="paragraph" w:customStyle="1" w:styleId="3f2">
    <w:name w:val="目录3"/>
    <w:basedOn w:val="a3"/>
    <w:unhideWhenUsed/>
    <w:qFormat/>
    <w:pPr>
      <w:tabs>
        <w:tab w:val="right" w:leader="dot" w:pos="8777"/>
      </w:tabs>
      <w:spacing w:line="400" w:lineRule="exact"/>
    </w:pPr>
    <w:rPr>
      <w:rFonts w:hint="eastAsia"/>
      <w:b/>
      <w:szCs w:val="20"/>
    </w:rPr>
  </w:style>
  <w:style w:type="paragraph" w:customStyle="1" w:styleId="810851">
    <w:name w:val="样式 样式 样式 样式 审签页 审签字 + 左侧:  8 字符 段前: 1 行 + 首行缩进:  0.85 厘米 段前: 1 行..."/>
    <w:basedOn w:val="a3"/>
    <w:unhideWhenUsed/>
    <w:qFormat/>
    <w:pPr>
      <w:adjustRightInd w:val="0"/>
      <w:snapToGrid w:val="0"/>
      <w:spacing w:beforeLines="100" w:line="700" w:lineRule="exact"/>
      <w:ind w:leftChars="1000" w:left="1000"/>
    </w:pPr>
    <w:rPr>
      <w:rFonts w:eastAsia="楷体_GB2312" w:hint="eastAsia"/>
      <w:color w:val="000000"/>
      <w:sz w:val="21"/>
      <w:szCs w:val="20"/>
    </w:rPr>
  </w:style>
  <w:style w:type="paragraph" w:customStyle="1" w:styleId="524">
    <w:name w:val="样式 样式5 + 首行缩进:  2 字符4"/>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30505">
    <w:name w:val="样式 标题 3 + 段前: 0.5 行 段后: 0.5 行"/>
    <w:basedOn w:val="310"/>
    <w:unhideWhenUsed/>
    <w:qFormat/>
    <w:pPr>
      <w:spacing w:beforeLines="100" w:afterLines="40" w:line="240" w:lineRule="auto"/>
      <w:ind w:left="-288" w:firstLineChars="0" w:firstLine="0"/>
    </w:pPr>
    <w:rPr>
      <w:rFonts w:ascii="宋体" w:eastAsia="黑体" w:hAnsi="宋体"/>
      <w:sz w:val="28"/>
      <w:szCs w:val="20"/>
    </w:rPr>
  </w:style>
  <w:style w:type="paragraph" w:customStyle="1" w:styleId="4f0">
    <w:name w:val="陈标题4"/>
    <w:basedOn w:val="a3"/>
    <w:next w:val="a3"/>
    <w:link w:val="4Char2"/>
    <w:unhideWhenUsed/>
    <w:qFormat/>
    <w:pPr>
      <w:keepNext/>
      <w:keepLines/>
      <w:spacing w:line="288" w:lineRule="auto"/>
      <w:outlineLvl w:val="3"/>
    </w:pPr>
    <w:rPr>
      <w:rFonts w:hint="eastAsia"/>
      <w:b/>
      <w:szCs w:val="20"/>
    </w:rPr>
  </w:style>
  <w:style w:type="paragraph" w:customStyle="1" w:styleId="3-1031-103">
    <w:name w:val="样式 样式 样式 样式 标题 3 + 左  -1.03 字符 首行缩进:  1 字符 + 左侧:  -1.03 字符 + 左侧:..."/>
    <w:basedOn w:val="a3"/>
    <w:unhideWhenUsed/>
    <w:qFormat/>
    <w:pPr>
      <w:spacing w:line="600" w:lineRule="exact"/>
      <w:ind w:firstLine="560"/>
    </w:pPr>
    <w:rPr>
      <w:rFonts w:hint="eastAsia"/>
      <w:sz w:val="28"/>
      <w:szCs w:val="20"/>
    </w:rPr>
  </w:style>
  <w:style w:type="paragraph" w:customStyle="1" w:styleId="2W200">
    <w:name w:val="样式 标题 2W2 + (西文) 宋体 四号 段前: 0 磅 段后: 0 磅 行距: 单倍行距"/>
    <w:basedOn w:val="213"/>
    <w:unhideWhenUsed/>
    <w:qFormat/>
    <w:pPr>
      <w:tabs>
        <w:tab w:val="left" w:pos="360"/>
        <w:tab w:val="left" w:pos="1320"/>
        <w:tab w:val="left" w:pos="1322"/>
      </w:tabs>
      <w:spacing w:line="240" w:lineRule="auto"/>
      <w:ind w:left="1320" w:firstLineChars="0" w:hanging="420"/>
    </w:pPr>
    <w:rPr>
      <w:rFonts w:ascii="黑体" w:eastAsia="黑体" w:hAnsi="宋体"/>
      <w:b w:val="0"/>
      <w:spacing w:val="10"/>
      <w:sz w:val="30"/>
      <w:szCs w:val="20"/>
    </w:rPr>
  </w:style>
  <w:style w:type="paragraph" w:customStyle="1" w:styleId="Text">
    <w:name w:val="Text"/>
    <w:basedOn w:val="a3"/>
    <w:unhideWhenUsed/>
    <w:qFormat/>
    <w:pPr>
      <w:widowControl/>
      <w:spacing w:before="240"/>
      <w:jc w:val="left"/>
    </w:pPr>
    <w:rPr>
      <w:rFonts w:hint="eastAsia"/>
      <w:szCs w:val="20"/>
    </w:rPr>
  </w:style>
  <w:style w:type="paragraph" w:customStyle="1" w:styleId="StyleTextItalic">
    <w:name w:val="Style Text + Italic"/>
    <w:basedOn w:val="Text"/>
    <w:unhideWhenUsed/>
    <w:qFormat/>
    <w:rPr>
      <w:i/>
    </w:rPr>
  </w:style>
  <w:style w:type="paragraph" w:customStyle="1" w:styleId="CharCharCharChar11">
    <w:name w:val="Char Char Char Char11"/>
    <w:basedOn w:val="a3"/>
    <w:unhideWhenUsed/>
    <w:qFormat/>
    <w:rPr>
      <w:rFonts w:hint="eastAsia"/>
      <w:sz w:val="21"/>
      <w:szCs w:val="20"/>
    </w:rPr>
  </w:style>
  <w:style w:type="paragraph" w:customStyle="1" w:styleId="3f3">
    <w:name w:val="样式 标题 3 + 黑体 小四"/>
    <w:basedOn w:val="a3"/>
    <w:link w:val="3Char2"/>
    <w:unhideWhenUsed/>
    <w:qFormat/>
    <w:pPr>
      <w:spacing w:line="600" w:lineRule="exact"/>
    </w:pPr>
    <w:rPr>
      <w:rFonts w:ascii="黑体" w:hAnsi="黑体" w:hint="eastAsia"/>
      <w:szCs w:val="20"/>
    </w:rPr>
  </w:style>
  <w:style w:type="paragraph" w:customStyle="1" w:styleId="3180">
    <w:name w:val="样式 标题3 + 小四 左侧:  1.8 字符"/>
    <w:basedOn w:val="3c"/>
    <w:unhideWhenUsed/>
    <w:qFormat/>
    <w:pPr>
      <w:snapToGrid/>
      <w:spacing w:line="480" w:lineRule="exact"/>
      <w:ind w:leftChars="180" w:left="504" w:firstLine="0"/>
    </w:pPr>
    <w:rPr>
      <w:rFonts w:eastAsia="黑体"/>
      <w:sz w:val="30"/>
    </w:rPr>
  </w:style>
  <w:style w:type="paragraph" w:customStyle="1" w:styleId="subhead1">
    <w:name w:val="subhead1"/>
    <w:basedOn w:val="a3"/>
    <w:unhideWhenUsed/>
    <w:qFormat/>
    <w:pPr>
      <w:widowControl/>
      <w:jc w:val="left"/>
    </w:pPr>
    <w:rPr>
      <w:rFonts w:hint="eastAsia"/>
      <w:szCs w:val="20"/>
    </w:rPr>
  </w:style>
  <w:style w:type="paragraph" w:customStyle="1" w:styleId="StyleTextCenteredLinespacingsingle">
    <w:name w:val="Style Text + Centered Line spacing:  single"/>
    <w:basedOn w:val="Text"/>
    <w:unhideWhenUsed/>
    <w:qFormat/>
    <w:pPr>
      <w:spacing w:beforeLines="60" w:line="240" w:lineRule="auto"/>
      <w:jc w:val="center"/>
    </w:pPr>
  </w:style>
  <w:style w:type="paragraph" w:customStyle="1" w:styleId="c1">
    <w:name w:val="正文c"/>
    <w:basedOn w:val="a3"/>
    <w:link w:val="cChar"/>
    <w:unhideWhenUsed/>
    <w:qFormat/>
    <w:pPr>
      <w:jc w:val="center"/>
    </w:pPr>
    <w:rPr>
      <w:rFonts w:eastAsia="仿宋_GB2312" w:hint="eastAsia"/>
      <w:sz w:val="28"/>
      <w:szCs w:val="20"/>
    </w:rPr>
  </w:style>
  <w:style w:type="paragraph" w:customStyle="1" w:styleId="2W205050505">
    <w:name w:val="样式 样式 标题 2W2 + 段前: 0.5 行 段后: 0.5 行 + 段前: 0.5 行 段后: 0.5 行"/>
    <w:basedOn w:val="2W20505"/>
    <w:unhideWhenUsed/>
    <w:qFormat/>
    <w:pPr>
      <w:spacing w:beforeLines="100"/>
    </w:pPr>
  </w:style>
  <w:style w:type="paragraph" w:customStyle="1" w:styleId="2W20505">
    <w:name w:val="样式 标题 2W2 + 段前: 0.5 行 段后: 0.5 行"/>
    <w:basedOn w:val="213"/>
    <w:unhideWhenUsed/>
    <w:qFormat/>
    <w:pPr>
      <w:tabs>
        <w:tab w:val="left" w:pos="1322"/>
      </w:tabs>
      <w:spacing w:line="400" w:lineRule="exact"/>
      <w:ind w:left="-288" w:firstLineChars="0" w:firstLine="0"/>
    </w:pPr>
    <w:rPr>
      <w:rFonts w:eastAsia="黑体"/>
      <w:spacing w:val="10"/>
      <w:sz w:val="30"/>
      <w:szCs w:val="20"/>
    </w:rPr>
  </w:style>
  <w:style w:type="paragraph" w:customStyle="1" w:styleId="affffffffffffc">
    <w:name w:val="样式 正文缩进 + 宋体 小四"/>
    <w:basedOn w:val="1b"/>
    <w:unhideWhenUsed/>
    <w:qFormat/>
    <w:pPr>
      <w:spacing w:line="600" w:lineRule="exact"/>
    </w:pPr>
    <w:rPr>
      <w:rFonts w:ascii="宋体" w:hAnsi="宋体"/>
      <w:spacing w:val="-2"/>
      <w:sz w:val="28"/>
    </w:rPr>
  </w:style>
  <w:style w:type="paragraph" w:customStyle="1" w:styleId="affffffffffffd">
    <w:name w:val="居中 单倍行距"/>
    <w:basedOn w:val="154"/>
    <w:unhideWhenUsed/>
    <w:qFormat/>
    <w:pPr>
      <w:spacing w:line="240" w:lineRule="auto"/>
    </w:pPr>
  </w:style>
  <w:style w:type="paragraph" w:customStyle="1" w:styleId="154">
    <w:name w:val="居中 1.5 倍行距"/>
    <w:basedOn w:val="a3"/>
    <w:unhideWhenUsed/>
    <w:qFormat/>
    <w:pPr>
      <w:spacing w:beforeLines="50"/>
      <w:jc w:val="center"/>
    </w:pPr>
    <w:rPr>
      <w:rFonts w:hint="eastAsia"/>
      <w:szCs w:val="20"/>
    </w:rPr>
  </w:style>
  <w:style w:type="paragraph" w:customStyle="1" w:styleId="affffffffffffe">
    <w:name w:val="附录标识"/>
    <w:basedOn w:val="a3"/>
    <w:next w:val="a3"/>
    <w:unhideWhenUsed/>
    <w:qFormat/>
    <w:pPr>
      <w:widowControl/>
      <w:shd w:val="clear" w:color="FFFFFF" w:fill="FFFFFF"/>
      <w:spacing w:before="120" w:line="460" w:lineRule="exact"/>
      <w:ind w:right="420" w:firstLine="480"/>
      <w:outlineLvl w:val="0"/>
    </w:pPr>
    <w:rPr>
      <w:rFonts w:ascii="宋体" w:hAnsi="宋体" w:hint="eastAsia"/>
      <w:spacing w:val="10"/>
      <w:sz w:val="18"/>
      <w:szCs w:val="20"/>
    </w:rPr>
  </w:style>
  <w:style w:type="paragraph" w:customStyle="1" w:styleId="ParaCharCharCharCharCharCharChar">
    <w:name w:val="默认段落字体 Para Char Char Char Char Char Char Char"/>
    <w:basedOn w:val="a3"/>
    <w:unhideWhenUsed/>
    <w:qFormat/>
    <w:rPr>
      <w:rFonts w:ascii="宋体" w:hint="eastAsia"/>
      <w:szCs w:val="20"/>
    </w:rPr>
  </w:style>
  <w:style w:type="paragraph" w:customStyle="1" w:styleId="2113">
    <w:name w:val="2.1.1 标题 3"/>
    <w:basedOn w:val="310"/>
    <w:unhideWhenUsed/>
    <w:qFormat/>
    <w:pPr>
      <w:ind w:firstLineChars="0" w:firstLine="0"/>
      <w:jc w:val="left"/>
    </w:pPr>
    <w:rPr>
      <w:b w:val="0"/>
      <w:color w:val="FF0000"/>
      <w:sz w:val="28"/>
      <w:szCs w:val="20"/>
    </w:rPr>
  </w:style>
  <w:style w:type="paragraph" w:customStyle="1" w:styleId="afffffffffffff">
    <w:name w:val="分目录"/>
    <w:basedOn w:val="a3"/>
    <w:unhideWhenUsed/>
    <w:qFormat/>
    <w:pPr>
      <w:adjustRightInd w:val="0"/>
      <w:snapToGrid w:val="0"/>
      <w:spacing w:line="500" w:lineRule="exact"/>
      <w:jc w:val="center"/>
    </w:pPr>
    <w:rPr>
      <w:rFonts w:hint="eastAsia"/>
      <w:b/>
      <w:color w:val="000000"/>
      <w:sz w:val="32"/>
      <w:szCs w:val="20"/>
    </w:rPr>
  </w:style>
  <w:style w:type="paragraph" w:customStyle="1" w:styleId="StyleTablecontentsLeft">
    <w:name w:val="Style Table contents + Left"/>
    <w:basedOn w:val="Tablecontents"/>
    <w:unhideWhenUsed/>
    <w:qFormat/>
    <w:pPr>
      <w:jc w:val="left"/>
    </w:pPr>
    <w:rPr>
      <w:rFonts w:hint="default"/>
    </w:rPr>
  </w:style>
  <w:style w:type="paragraph" w:customStyle="1" w:styleId="2ff1">
    <w:name w:val="题注2"/>
    <w:basedOn w:val="a3"/>
    <w:unhideWhenUsed/>
    <w:qFormat/>
    <w:pPr>
      <w:suppressLineNumbers/>
      <w:suppressAutoHyphens/>
      <w:spacing w:beforeLines="50" w:afterLines="50"/>
      <w:jc w:val="left"/>
    </w:pPr>
    <w:rPr>
      <w:rFonts w:hint="eastAsia"/>
      <w:i/>
      <w:szCs w:val="20"/>
    </w:rPr>
  </w:style>
  <w:style w:type="paragraph" w:customStyle="1" w:styleId="2ff2">
    <w:name w:val="封面2"/>
    <w:unhideWhenUsed/>
    <w:qFormat/>
    <w:pPr>
      <w:tabs>
        <w:tab w:val="left" w:pos="6083"/>
      </w:tabs>
      <w:snapToGrid w:val="0"/>
      <w:spacing w:line="360" w:lineRule="auto"/>
      <w:jc w:val="center"/>
    </w:pPr>
    <w:rPr>
      <w:rFonts w:eastAsia="仿宋_GB2312" w:hint="eastAsia"/>
      <w:b/>
      <w:sz w:val="52"/>
    </w:rPr>
  </w:style>
  <w:style w:type="paragraph" w:customStyle="1" w:styleId="CM9">
    <w:name w:val="CM9"/>
    <w:basedOn w:val="Default"/>
    <w:next w:val="Default"/>
    <w:unhideWhenUsed/>
    <w:qFormat/>
    <w:pPr>
      <w:spacing w:line="540" w:lineRule="atLeast"/>
    </w:pPr>
    <w:rPr>
      <w:rFonts w:ascii="Arial" w:hAnsi="Arial" w:hint="eastAsia"/>
      <w:sz w:val="20"/>
      <w:szCs w:val="20"/>
    </w:rPr>
  </w:style>
  <w:style w:type="paragraph" w:customStyle="1" w:styleId="420505">
    <w:name w:val="样式 样式 样式 标题 4 + 首行缩进:  2 字符 段前: 0.5 行 段后: 0.5 行 + +"/>
    <w:basedOn w:val="4205050"/>
    <w:unhideWhenUsed/>
    <w:qFormat/>
  </w:style>
  <w:style w:type="paragraph" w:customStyle="1" w:styleId="4205050">
    <w:name w:val="样式 样式 标题 4 + 首行缩进:  2 字符 段前: 0.5 行 段后: 0.5 行 +"/>
    <w:basedOn w:val="4205051"/>
    <w:unhideWhenUsed/>
    <w:qFormat/>
    <w:pPr>
      <w:spacing w:beforeLines="0" w:after="50"/>
      <w:ind w:firstLine="200"/>
    </w:pPr>
  </w:style>
  <w:style w:type="paragraph" w:customStyle="1" w:styleId="4205051">
    <w:name w:val="样式 标题 4 + 首行缩进:  2 字符 段前: 0.5 行 段后: 0.5 行"/>
    <w:basedOn w:val="410"/>
    <w:unhideWhenUsed/>
    <w:qFormat/>
    <w:pPr>
      <w:keepNext w:val="0"/>
      <w:tabs>
        <w:tab w:val="left" w:pos="2880"/>
      </w:tabs>
      <w:topLinePunct/>
      <w:snapToGrid w:val="0"/>
      <w:spacing w:afterLines="0" w:line="460" w:lineRule="exact"/>
      <w:ind w:firstLineChars="0" w:firstLine="560"/>
    </w:pPr>
    <w:rPr>
      <w:rFonts w:ascii="宋体" w:eastAsia="黑体"/>
      <w:b w:val="0"/>
      <w:kern w:val="4"/>
      <w:sz w:val="26"/>
      <w:szCs w:val="20"/>
    </w:rPr>
  </w:style>
  <w:style w:type="paragraph" w:customStyle="1" w:styleId="1ffd">
    <w:name w:val="样式 标题 1封面大标题 +"/>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afffffffffffff0">
    <w:name w:val="主标题"/>
    <w:basedOn w:val="a3"/>
    <w:unhideWhenUsed/>
    <w:qFormat/>
    <w:pPr>
      <w:autoSpaceDE w:val="0"/>
      <w:autoSpaceDN w:val="0"/>
      <w:adjustRightInd w:val="0"/>
      <w:snapToGrid w:val="0"/>
      <w:jc w:val="center"/>
    </w:pPr>
    <w:rPr>
      <w:rFonts w:eastAsia="黑体" w:hint="eastAsia"/>
      <w:sz w:val="52"/>
      <w:szCs w:val="20"/>
    </w:rPr>
  </w:style>
  <w:style w:type="paragraph" w:customStyle="1" w:styleId="5d">
    <w:name w:val="表格小5"/>
    <w:unhideWhenUsed/>
    <w:qFormat/>
    <w:pPr>
      <w:jc w:val="center"/>
    </w:pPr>
    <w:rPr>
      <w:rFonts w:hint="eastAsia"/>
      <w:sz w:val="18"/>
    </w:rPr>
  </w:style>
  <w:style w:type="paragraph" w:customStyle="1" w:styleId="2ff3">
    <w:name w:val="样式 手册正文 + 首行缩进:  2 字符"/>
    <w:basedOn w:val="a3"/>
    <w:unhideWhenUsed/>
    <w:qFormat/>
    <w:pPr>
      <w:adjustRightInd w:val="0"/>
      <w:spacing w:line="60" w:lineRule="atLeast"/>
      <w:ind w:firstLine="420"/>
    </w:pPr>
    <w:rPr>
      <w:rFonts w:hint="eastAsia"/>
      <w:color w:val="000000"/>
      <w:sz w:val="21"/>
      <w:szCs w:val="20"/>
    </w:rPr>
  </w:style>
  <w:style w:type="paragraph" w:customStyle="1" w:styleId="4205052">
    <w:name w:val="样式 标题 4 + 首行缩进:  2 字符 段前: 0.5 行 段后: 0.5 行2"/>
    <w:basedOn w:val="410"/>
    <w:unhideWhenUsed/>
    <w:qFormat/>
    <w:pPr>
      <w:tabs>
        <w:tab w:val="left" w:pos="360"/>
        <w:tab w:val="left" w:pos="1680"/>
        <w:tab w:val="left" w:pos="2880"/>
      </w:tabs>
      <w:ind w:firstLineChars="0" w:firstLine="0"/>
    </w:pPr>
    <w:rPr>
      <w:rFonts w:ascii="宋体" w:eastAsia="黑体"/>
      <w:kern w:val="4"/>
      <w:sz w:val="26"/>
      <w:szCs w:val="20"/>
    </w:rPr>
  </w:style>
  <w:style w:type="paragraph" w:customStyle="1" w:styleId="2W2">
    <w:name w:val="样式 标题 2W2 + 非加粗"/>
    <w:basedOn w:val="213"/>
    <w:unhideWhenUsed/>
    <w:qFormat/>
    <w:pPr>
      <w:tabs>
        <w:tab w:val="left" w:pos="1322"/>
      </w:tabs>
      <w:spacing w:line="240" w:lineRule="auto"/>
      <w:ind w:left="-288" w:firstLineChars="0" w:firstLine="0"/>
    </w:pPr>
    <w:rPr>
      <w:rFonts w:eastAsia="黑体"/>
      <w:spacing w:val="10"/>
      <w:sz w:val="30"/>
      <w:szCs w:val="20"/>
    </w:rPr>
  </w:style>
  <w:style w:type="paragraph" w:customStyle="1" w:styleId="Referencelist">
    <w:name w:val="Reference list"/>
    <w:basedOn w:val="a3"/>
    <w:unhideWhenUsed/>
    <w:qFormat/>
    <w:pPr>
      <w:widowControl/>
      <w:ind w:left="720" w:hanging="720"/>
      <w:jc w:val="left"/>
    </w:pPr>
    <w:rPr>
      <w:rFonts w:hint="eastAsia"/>
      <w:szCs w:val="20"/>
    </w:rPr>
  </w:style>
  <w:style w:type="paragraph" w:customStyle="1" w:styleId="Book">
    <w:name w:val="Book"/>
    <w:basedOn w:val="a3"/>
    <w:unhideWhenUsed/>
    <w:qFormat/>
    <w:rPr>
      <w:rFonts w:hint="eastAsia"/>
      <w:szCs w:val="20"/>
    </w:rPr>
  </w:style>
  <w:style w:type="paragraph" w:customStyle="1" w:styleId="afffffffffffff1">
    <w:name w:val="样式一——标题"/>
    <w:basedOn w:val="Default"/>
    <w:unhideWhenUsed/>
    <w:qFormat/>
    <w:rPr>
      <w:rFonts w:ascii="Arial" w:hAnsi="Arial" w:hint="eastAsia"/>
      <w:szCs w:val="20"/>
    </w:rPr>
  </w:style>
  <w:style w:type="paragraph" w:customStyle="1" w:styleId="155">
    <w:name w:val="样式 宋体 小四 行距: 1.5 倍行距"/>
    <w:basedOn w:val="a3"/>
    <w:unhideWhenUsed/>
    <w:qFormat/>
    <w:pPr>
      <w:ind w:firstLine="480"/>
    </w:pPr>
    <w:rPr>
      <w:rFonts w:ascii="宋体" w:hAnsi="宋体" w:hint="eastAsia"/>
      <w:szCs w:val="20"/>
    </w:rPr>
  </w:style>
  <w:style w:type="paragraph" w:customStyle="1" w:styleId="4105">
    <w:name w:val="样式 标题4 + 左侧:  1.05 字符"/>
    <w:basedOn w:val="1b"/>
    <w:unhideWhenUsed/>
    <w:qFormat/>
    <w:pPr>
      <w:keepNext/>
      <w:keepLines/>
      <w:tabs>
        <w:tab w:val="left" w:pos="2310"/>
      </w:tabs>
      <w:spacing w:beforeLines="50"/>
      <w:ind w:leftChars="120" w:left="120" w:firstLine="200"/>
      <w:outlineLvl w:val="3"/>
    </w:pPr>
    <w:rPr>
      <w:rFonts w:eastAsia="黑体"/>
      <w:b/>
      <w:sz w:val="26"/>
    </w:rPr>
  </w:style>
  <w:style w:type="paragraph" w:customStyle="1" w:styleId="1ffe">
    <w:name w:val="样式 标题 1 + 黑体 四号"/>
    <w:basedOn w:val="110"/>
    <w:unhideWhenUsed/>
    <w:qFormat/>
    <w:pPr>
      <w:spacing w:beforeLines="0" w:afterLines="0" w:line="576" w:lineRule="auto"/>
      <w:ind w:firstLineChars="0" w:firstLine="0"/>
    </w:pPr>
    <w:rPr>
      <w:rFonts w:ascii="宋体" w:hAnsi="黑体"/>
      <w:sz w:val="21"/>
      <w:szCs w:val="20"/>
    </w:rPr>
  </w:style>
  <w:style w:type="paragraph" w:customStyle="1" w:styleId="afffffffffffff2">
    <w:name w:val="表后标题"/>
    <w:basedOn w:val="a3"/>
    <w:next w:val="a3"/>
    <w:link w:val="Charfffd"/>
    <w:unhideWhenUsed/>
    <w:qFormat/>
    <w:pPr>
      <w:spacing w:line="480" w:lineRule="exact"/>
      <w:ind w:firstLine="482"/>
      <w:textAlignment w:val="center"/>
    </w:pPr>
    <w:rPr>
      <w:rFonts w:hAnsi="宋体" w:hint="eastAsia"/>
      <w:b/>
      <w:sz w:val="21"/>
      <w:szCs w:val="20"/>
    </w:rPr>
  </w:style>
  <w:style w:type="paragraph" w:customStyle="1" w:styleId="4205">
    <w:name w:val="样式 标题 4 + 首行缩进:  2 字符 段前: 0.5 行"/>
    <w:basedOn w:val="410"/>
    <w:unhideWhenUsed/>
    <w:qFormat/>
    <w:pPr>
      <w:keepNext w:val="0"/>
      <w:tabs>
        <w:tab w:val="left" w:pos="2880"/>
      </w:tabs>
      <w:topLinePunct/>
      <w:snapToGrid w:val="0"/>
      <w:spacing w:beforeLines="100"/>
      <w:ind w:firstLineChars="0" w:firstLine="0"/>
    </w:pPr>
    <w:rPr>
      <w:rFonts w:ascii="宋体" w:eastAsia="黑体"/>
      <w:kern w:val="4"/>
      <w:sz w:val="26"/>
      <w:szCs w:val="20"/>
    </w:rPr>
  </w:style>
  <w:style w:type="paragraph" w:customStyle="1" w:styleId="afffffffffffff3">
    <w:name w:val="目录三级"/>
    <w:basedOn w:val="zjj2"/>
    <w:unhideWhenUsed/>
    <w:qFormat/>
    <w:pPr>
      <w:autoSpaceDE/>
      <w:autoSpaceDN/>
      <w:adjustRightInd/>
      <w:snapToGrid/>
      <w:spacing w:beforeLines="50" w:afterLines="50" w:line="420" w:lineRule="exact"/>
      <w:ind w:firstLineChars="400" w:firstLine="1120"/>
      <w:textAlignment w:val="auto"/>
    </w:pPr>
    <w:rPr>
      <w:rFonts w:eastAsia="宋体"/>
      <w:kern w:val="2"/>
      <w:sz w:val="28"/>
    </w:rPr>
  </w:style>
  <w:style w:type="paragraph" w:customStyle="1" w:styleId="zjj2">
    <w:name w:val="目录zjj2"/>
    <w:basedOn w:val="112"/>
    <w:unhideWhenUsed/>
    <w:qFormat/>
    <w:pPr>
      <w:tabs>
        <w:tab w:val="left" w:pos="0"/>
        <w:tab w:val="right" w:leader="dot" w:pos="8260"/>
        <w:tab w:val="right" w:leader="dot" w:pos="8303"/>
        <w:tab w:val="right" w:leader="dot" w:pos="8349"/>
      </w:tabs>
      <w:autoSpaceDE w:val="0"/>
      <w:autoSpaceDN w:val="0"/>
      <w:adjustRightInd w:val="0"/>
      <w:snapToGrid w:val="0"/>
      <w:spacing w:before="156" w:after="156" w:line="440" w:lineRule="exact"/>
      <w:textAlignment w:val="baseline"/>
    </w:pPr>
    <w:rPr>
      <w:rFonts w:ascii="黑体" w:eastAsia="黑体" w:hAnsi="宋体"/>
      <w:spacing w:val="10"/>
      <w:kern w:val="10"/>
    </w:rPr>
  </w:style>
  <w:style w:type="paragraph" w:customStyle="1" w:styleId="395">
    <w:name w:val="样式 标题 3 + 段后: 9.5 磅"/>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www">
    <w:name w:val="www"/>
    <w:basedOn w:val="a3"/>
    <w:unhideWhenUsed/>
    <w:qFormat/>
    <w:pPr>
      <w:adjustRightInd w:val="0"/>
      <w:snapToGrid w:val="0"/>
      <w:ind w:firstLine="560"/>
    </w:pPr>
    <w:rPr>
      <w:rFonts w:ascii="宋体" w:hint="eastAsia"/>
      <w:sz w:val="28"/>
      <w:szCs w:val="20"/>
    </w:rPr>
  </w:style>
  <w:style w:type="paragraph" w:customStyle="1" w:styleId="22-21212">
    <w:name w:val="样式 样式 标题22 + 左侧:  -2.1 字符 首行缩进:  2 字符1 + 首行缩进:  2 字符"/>
    <w:basedOn w:val="22-2121"/>
    <w:unhideWhenUsed/>
    <w:qFormat/>
    <w:pPr>
      <w:ind w:left="-454"/>
    </w:pPr>
  </w:style>
  <w:style w:type="paragraph" w:customStyle="1" w:styleId="22-2121">
    <w:name w:val="样式 标题22 + 左侧:  -2.1 字符 首行缩进:  2 字符1"/>
    <w:basedOn w:val="a3"/>
    <w:unhideWhenUsed/>
    <w:qFormat/>
    <w:pPr>
      <w:spacing w:before="120" w:after="120" w:line="600" w:lineRule="exact"/>
      <w:ind w:left="-397"/>
    </w:pPr>
    <w:rPr>
      <w:rFonts w:eastAsia="黑体" w:hint="eastAsia"/>
      <w:sz w:val="32"/>
      <w:szCs w:val="20"/>
    </w:rPr>
  </w:style>
  <w:style w:type="paragraph" w:customStyle="1" w:styleId="afffffffffffff4">
    <w:name w:val="表图"/>
    <w:basedOn w:val="a3"/>
    <w:unhideWhenUsed/>
    <w:qFormat/>
    <w:pPr>
      <w:widowControl/>
      <w:jc w:val="left"/>
    </w:pPr>
    <w:rPr>
      <w:rFonts w:hint="eastAsia"/>
      <w:sz w:val="20"/>
      <w:szCs w:val="20"/>
    </w:rPr>
  </w:style>
  <w:style w:type="paragraph" w:customStyle="1" w:styleId="1fff">
    <w:name w:val="表标题1"/>
    <w:basedOn w:val="a3"/>
    <w:link w:val="1Char5"/>
    <w:unhideWhenUsed/>
    <w:qFormat/>
    <w:pPr>
      <w:spacing w:line="480" w:lineRule="exact"/>
    </w:pPr>
    <w:rPr>
      <w:rFonts w:hint="eastAsia"/>
      <w:b/>
      <w:szCs w:val="20"/>
    </w:rPr>
  </w:style>
  <w:style w:type="paragraph" w:customStyle="1" w:styleId="131">
    <w:name w:val="样式13"/>
    <w:basedOn w:val="a3"/>
    <w:unhideWhenUsed/>
    <w:qFormat/>
    <w:pPr>
      <w:ind w:leftChars="200" w:left="420" w:rightChars="200" w:right="200" w:firstLineChars="428" w:firstLine="1198"/>
      <w:jc w:val="center"/>
    </w:pPr>
    <w:rPr>
      <w:rFonts w:ascii="宋体" w:hAnsi="宋体" w:hint="eastAsia"/>
      <w:sz w:val="28"/>
      <w:szCs w:val="20"/>
    </w:rPr>
  </w:style>
  <w:style w:type="paragraph" w:customStyle="1" w:styleId="StyleStyleHeading5Left05ch1Left15ch">
    <w:name w:val="Style Style Heading 5 + Left:  0.5 ch1 + Left:  1.5 ch"/>
    <w:basedOn w:val="StyleHeading5Left05ch1"/>
    <w:unhideWhenUsed/>
    <w:qFormat/>
    <w:pPr>
      <w:ind w:leftChars="250" w:left="250"/>
    </w:pPr>
  </w:style>
  <w:style w:type="paragraph" w:customStyle="1" w:styleId="StyleHeading5Left05ch1">
    <w:name w:val="Style Heading 5 + Left:  0.5 ch1"/>
    <w:basedOn w:val="51"/>
    <w:unhideWhenUsed/>
    <w:qFormat/>
    <w:pPr>
      <w:keepNext w:val="0"/>
      <w:widowControl/>
      <w:numPr>
        <w:ilvl w:val="0"/>
        <w:numId w:val="0"/>
      </w:numPr>
      <w:spacing w:before="240" w:after="60" w:line="360" w:lineRule="auto"/>
      <w:ind w:leftChars="150" w:left="150"/>
    </w:pPr>
    <w:rPr>
      <w:i/>
      <w:sz w:val="24"/>
      <w:szCs w:val="20"/>
      <w:u w:val="single"/>
    </w:rPr>
  </w:style>
  <w:style w:type="paragraph" w:customStyle="1" w:styleId="2W20">
    <w:name w:val="样式 标题 2W2 + (西文) 宋体 四号 行距: 单倍行距"/>
    <w:basedOn w:val="213"/>
    <w:unhideWhenUsed/>
    <w:qFormat/>
    <w:pPr>
      <w:tabs>
        <w:tab w:val="left" w:pos="1322"/>
      </w:tabs>
      <w:spacing w:line="240" w:lineRule="auto"/>
      <w:ind w:left="-288" w:firstLineChars="0" w:firstLine="0"/>
    </w:pPr>
    <w:rPr>
      <w:rFonts w:ascii="黑体" w:eastAsia="黑体" w:hAnsi="宋体"/>
      <w:spacing w:val="10"/>
      <w:sz w:val="30"/>
      <w:szCs w:val="20"/>
    </w:rPr>
  </w:style>
  <w:style w:type="paragraph" w:customStyle="1" w:styleId="5221">
    <w:name w:val="样式 样式 样式5 + 首行缩进:  2 字符 + 首行缩进:  2 字符"/>
    <w:basedOn w:val="520"/>
    <w:unhideWhenUsed/>
    <w:qFormat/>
    <w:pPr>
      <w:spacing w:line="600" w:lineRule="exact"/>
      <w:ind w:firstLine="200"/>
    </w:pPr>
  </w:style>
  <w:style w:type="paragraph" w:customStyle="1" w:styleId="afffffffffffff5">
    <w:name w:val="正文二"/>
    <w:basedOn w:val="a3"/>
    <w:unhideWhenUsed/>
    <w:qFormat/>
    <w:pPr>
      <w:spacing w:after="120"/>
    </w:pPr>
    <w:rPr>
      <w:rFonts w:ascii="Arial" w:hAnsi="Arial" w:hint="eastAsia"/>
      <w:szCs w:val="20"/>
    </w:rPr>
  </w:style>
  <w:style w:type="paragraph" w:customStyle="1" w:styleId="WPSPlain">
    <w:name w:val="WPS Plain"/>
    <w:unhideWhenUsed/>
    <w:qFormat/>
    <w:rPr>
      <w:rFonts w:hint="eastAsia"/>
    </w:rPr>
  </w:style>
  <w:style w:type="paragraph" w:customStyle="1" w:styleId="Style">
    <w:name w:val="Style 正文文本 +"/>
    <w:basedOn w:val="a3"/>
    <w:link w:val="StyleChar"/>
    <w:unhideWhenUsed/>
    <w:qFormat/>
    <w:pPr>
      <w:widowControl/>
      <w:spacing w:beforeLines="50" w:afterLines="50"/>
      <w:ind w:leftChars="50" w:left="50"/>
      <w:jc w:val="left"/>
    </w:pPr>
    <w:rPr>
      <w:rFonts w:hint="eastAsia"/>
      <w:szCs w:val="20"/>
    </w:rPr>
  </w:style>
  <w:style w:type="paragraph" w:customStyle="1" w:styleId="afffffffffffff6">
    <w:name w:val="目录二级"/>
    <w:basedOn w:val="zjj2"/>
    <w:unhideWhenUsed/>
    <w:qFormat/>
    <w:pPr>
      <w:tabs>
        <w:tab w:val="clear" w:pos="0"/>
      </w:tabs>
      <w:autoSpaceDE/>
      <w:autoSpaceDN/>
      <w:adjustRightInd/>
      <w:snapToGrid/>
      <w:spacing w:beforeLines="50" w:afterLines="50" w:line="420" w:lineRule="exact"/>
      <w:textAlignment w:val="auto"/>
    </w:pPr>
    <w:rPr>
      <w:rFonts w:eastAsia="宋体"/>
      <w:kern w:val="2"/>
      <w:sz w:val="28"/>
    </w:rPr>
  </w:style>
  <w:style w:type="paragraph" w:customStyle="1" w:styleId="CharCharChar1Char1">
    <w:name w:val="Char Char Char1 Char1"/>
    <w:basedOn w:val="a3"/>
    <w:unhideWhenUsed/>
    <w:qFormat/>
    <w:rPr>
      <w:rFonts w:hint="eastAsia"/>
      <w:szCs w:val="20"/>
    </w:rPr>
  </w:style>
  <w:style w:type="paragraph" w:customStyle="1" w:styleId="2W205">
    <w:name w:val="样式 标题 2W2 + 段前: 0.5 行"/>
    <w:basedOn w:val="213"/>
    <w:unhideWhenUsed/>
    <w:qFormat/>
    <w:pPr>
      <w:tabs>
        <w:tab w:val="left" w:pos="1322"/>
      </w:tabs>
      <w:spacing w:beforeLines="100" w:line="240" w:lineRule="auto"/>
      <w:ind w:left="-288" w:firstLineChars="0" w:firstLine="0"/>
    </w:pPr>
    <w:rPr>
      <w:rFonts w:ascii="黑体" w:eastAsia="黑体" w:hAnsi="宋体"/>
      <w:spacing w:val="10"/>
      <w:sz w:val="30"/>
      <w:szCs w:val="20"/>
    </w:rPr>
  </w:style>
  <w:style w:type="paragraph" w:customStyle="1" w:styleId="07">
    <w:name w:val="样式 表后标题 + 首行缩进:  0 厘米"/>
    <w:basedOn w:val="afffffffffffff2"/>
    <w:unhideWhenUsed/>
    <w:qFormat/>
  </w:style>
  <w:style w:type="paragraph" w:customStyle="1" w:styleId="11560">
    <w:name w:val="样式 标题 1封面大标题 + 三号 段后: 15.6 磅"/>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CM38">
    <w:name w:val="CM38"/>
    <w:basedOn w:val="a3"/>
    <w:next w:val="a3"/>
    <w:unhideWhenUsed/>
    <w:qFormat/>
    <w:pPr>
      <w:autoSpaceDE w:val="0"/>
      <w:autoSpaceDN w:val="0"/>
      <w:adjustRightInd w:val="0"/>
      <w:spacing w:line="440" w:lineRule="atLeast"/>
      <w:jc w:val="left"/>
    </w:pPr>
    <w:rPr>
      <w:rFonts w:ascii="华文中宋" w:eastAsia="华文中宋" w:hint="eastAsia"/>
      <w:sz w:val="20"/>
      <w:szCs w:val="20"/>
    </w:rPr>
  </w:style>
  <w:style w:type="paragraph" w:customStyle="1" w:styleId="1fff0">
    <w:name w:val="(1)"/>
    <w:basedOn w:val="a3"/>
    <w:unhideWhenUsed/>
    <w:qFormat/>
    <w:pPr>
      <w:autoSpaceDE w:val="0"/>
      <w:autoSpaceDN w:val="0"/>
      <w:jc w:val="center"/>
    </w:pPr>
    <w:rPr>
      <w:rFonts w:ascii="宋体" w:hAnsi="宋体" w:hint="eastAsia"/>
      <w:szCs w:val="20"/>
    </w:rPr>
  </w:style>
  <w:style w:type="paragraph" w:customStyle="1" w:styleId="2ff4">
    <w:name w:val="公式2"/>
    <w:basedOn w:val="afffffffffffff7"/>
    <w:unhideWhenUsed/>
    <w:qFormat/>
    <w:pPr>
      <w:spacing w:beforeLines="0" w:afterLines="0" w:line="700" w:lineRule="exact"/>
    </w:pPr>
  </w:style>
  <w:style w:type="paragraph" w:customStyle="1" w:styleId="afffffffffffff7">
    <w:name w:val="公式"/>
    <w:basedOn w:val="5a"/>
    <w:unhideWhenUsed/>
    <w:qFormat/>
    <w:pPr>
      <w:spacing w:beforeLines="50" w:afterLines="50" w:line="1000" w:lineRule="exact"/>
      <w:ind w:firstLineChars="400" w:firstLine="400"/>
      <w:textAlignment w:val="center"/>
    </w:pPr>
    <w:rPr>
      <w:rFonts w:ascii="Times New Roman" w:hAnsi="Times New Roman"/>
      <w:b/>
      <w:sz w:val="28"/>
      <w:szCs w:val="20"/>
    </w:rPr>
  </w:style>
  <w:style w:type="paragraph" w:customStyle="1" w:styleId="37825">
    <w:name w:val="样式 标题 3 + 段后: 7.8 磅 行距: 固定值 25 磅"/>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305051">
    <w:name w:val="样式 标题 3 + 段前: 0.5 行 段后: 0.5 行1"/>
    <w:basedOn w:val="310"/>
    <w:unhideWhenUsed/>
    <w:qFormat/>
    <w:pPr>
      <w:spacing w:afterLines="40" w:line="240" w:lineRule="auto"/>
      <w:ind w:left="-288" w:firstLineChars="0" w:firstLine="0"/>
    </w:pPr>
    <w:rPr>
      <w:rFonts w:ascii="宋体" w:eastAsia="黑体" w:hAnsi="宋体"/>
      <w:sz w:val="28"/>
      <w:szCs w:val="20"/>
    </w:rPr>
  </w:style>
  <w:style w:type="paragraph" w:customStyle="1" w:styleId="afffffffffffff8">
    <w:name w:val="小点"/>
    <w:basedOn w:val="a3"/>
    <w:unhideWhenUsed/>
    <w:qFormat/>
    <w:pPr>
      <w:wordWrap w:val="0"/>
      <w:autoSpaceDE w:val="0"/>
      <w:autoSpaceDN w:val="0"/>
      <w:adjustRightInd w:val="0"/>
      <w:snapToGrid w:val="0"/>
      <w:textAlignment w:val="baseline"/>
    </w:pPr>
    <w:rPr>
      <w:rFonts w:ascii="Arial" w:hAnsi="Arial" w:hint="eastAsia"/>
      <w:sz w:val="26"/>
      <w:szCs w:val="20"/>
    </w:rPr>
  </w:style>
  <w:style w:type="paragraph" w:customStyle="1" w:styleId="afffffffffffff9">
    <w:name w:val="正文表标题"/>
    <w:next w:val="affffffffff1"/>
    <w:unhideWhenUsed/>
    <w:qFormat/>
    <w:pPr>
      <w:jc w:val="center"/>
    </w:pPr>
    <w:rPr>
      <w:rFonts w:ascii="黑体" w:eastAsia="黑体" w:hint="eastAsia"/>
      <w:sz w:val="21"/>
    </w:rPr>
  </w:style>
  <w:style w:type="paragraph" w:customStyle="1" w:styleId="CharCharChar1CharCharCharChar1CharChar">
    <w:name w:val="Char Char Char1 Char Char Char Char1 Char Char"/>
    <w:basedOn w:val="a3"/>
    <w:unhideWhenUsed/>
    <w:qFormat/>
    <w:rPr>
      <w:rFonts w:hint="eastAsia"/>
      <w:sz w:val="21"/>
      <w:szCs w:val="20"/>
    </w:rPr>
  </w:style>
  <w:style w:type="paragraph" w:customStyle="1" w:styleId="42105">
    <w:name w:val="样式 标题 4 + 首行缩进:  2 字符 段前: 1 行 段后: 0.5 行"/>
    <w:basedOn w:val="410"/>
    <w:unhideWhenUsed/>
    <w:qFormat/>
    <w:pPr>
      <w:keepNext w:val="0"/>
      <w:tabs>
        <w:tab w:val="left" w:pos="2880"/>
      </w:tabs>
      <w:topLinePunct/>
      <w:snapToGrid w:val="0"/>
      <w:spacing w:afterLines="0" w:line="440" w:lineRule="exact"/>
      <w:ind w:firstLineChars="0" w:firstLine="0"/>
    </w:pPr>
    <w:rPr>
      <w:rFonts w:ascii="宋体" w:eastAsia="黑体"/>
      <w:kern w:val="4"/>
      <w:sz w:val="26"/>
      <w:szCs w:val="20"/>
    </w:rPr>
  </w:style>
  <w:style w:type="paragraph" w:customStyle="1" w:styleId="22-212121">
    <w:name w:val="样式 样式 标题22 + 左侧:  -2.1 字符 首行缩进:  2 字符1 + 首行缩进:  2 字符1"/>
    <w:basedOn w:val="a3"/>
    <w:unhideWhenUsed/>
    <w:qFormat/>
    <w:pPr>
      <w:spacing w:before="120" w:after="120" w:line="600" w:lineRule="exact"/>
      <w:ind w:leftChars="-105" w:left="-105"/>
    </w:pPr>
    <w:rPr>
      <w:rFonts w:eastAsia="黑体" w:hint="eastAsia"/>
      <w:sz w:val="32"/>
      <w:szCs w:val="20"/>
    </w:rPr>
  </w:style>
  <w:style w:type="paragraph" w:customStyle="1" w:styleId="CM11">
    <w:name w:val="CM11"/>
    <w:basedOn w:val="Default"/>
    <w:next w:val="Default"/>
    <w:unhideWhenUsed/>
    <w:qFormat/>
    <w:pPr>
      <w:spacing w:line="540" w:lineRule="atLeast"/>
    </w:pPr>
    <w:rPr>
      <w:rFonts w:ascii="Arial" w:hAnsi="Arial" w:hint="eastAsia"/>
      <w:sz w:val="20"/>
      <w:szCs w:val="20"/>
    </w:rPr>
  </w:style>
  <w:style w:type="paragraph" w:customStyle="1" w:styleId="afffffffffffffa">
    <w:name w:val="标题二"/>
    <w:basedOn w:val="a3"/>
    <w:unhideWhenUsed/>
    <w:qFormat/>
    <w:pPr>
      <w:jc w:val="center"/>
      <w:outlineLvl w:val="1"/>
    </w:pPr>
    <w:rPr>
      <w:rFonts w:eastAsia="黑体" w:hint="eastAsia"/>
      <w:color w:val="000000"/>
      <w:sz w:val="30"/>
      <w:szCs w:val="20"/>
    </w:rPr>
  </w:style>
  <w:style w:type="paragraph" w:customStyle="1" w:styleId="CharCharCharChar1CharCharCharCharCharChar">
    <w:name w:val="Char Char Char Char1 Char Char Char Char Char Char"/>
    <w:basedOn w:val="a3"/>
    <w:unhideWhenUsed/>
    <w:qFormat/>
    <w:rPr>
      <w:rFonts w:hint="eastAsia"/>
      <w:sz w:val="21"/>
      <w:szCs w:val="20"/>
    </w:rPr>
  </w:style>
  <w:style w:type="paragraph" w:customStyle="1" w:styleId="5-043">
    <w:name w:val="样式 样式5 + 右侧:  -0.43 厘米"/>
    <w:basedOn w:val="5a"/>
    <w:unhideWhenUsed/>
    <w:qFormat/>
    <w:pPr>
      <w:spacing w:line="460" w:lineRule="exact"/>
      <w:ind w:firstLineChars="0" w:firstLine="200"/>
      <w:textAlignment w:val="baseline"/>
    </w:pPr>
    <w:rPr>
      <w:rFonts w:ascii="Times New Roman" w:hAnsi="Times New Roman"/>
      <w:b/>
      <w:sz w:val="26"/>
      <w:szCs w:val="20"/>
    </w:rPr>
  </w:style>
  <w:style w:type="paragraph" w:customStyle="1" w:styleId="afffffffffffffb">
    <w:name w:val="目录样式"/>
    <w:basedOn w:val="24"/>
    <w:unhideWhenUsed/>
    <w:qFormat/>
    <w:pPr>
      <w:tabs>
        <w:tab w:val="clear" w:pos="8296"/>
        <w:tab w:val="right" w:leader="dot" w:pos="8260"/>
        <w:tab w:val="right" w:leader="dot" w:pos="8302"/>
        <w:tab w:val="right" w:leader="dot" w:pos="8349"/>
        <w:tab w:val="right" w:leader="dot" w:pos="8777"/>
        <w:tab w:val="right" w:leader="dot" w:pos="8834"/>
      </w:tabs>
      <w:adjustRightInd w:val="0"/>
      <w:spacing w:before="120" w:after="120" w:line="360" w:lineRule="auto"/>
      <w:ind w:firstLine="200"/>
    </w:pPr>
    <w:rPr>
      <w:rFonts w:ascii="宋体" w:hAnsi="宋体" w:hint="eastAsia"/>
      <w:caps/>
      <w:smallCaps/>
      <w:color w:val="000000"/>
      <w:szCs w:val="20"/>
    </w:rPr>
  </w:style>
  <w:style w:type="paragraph" w:customStyle="1" w:styleId="StyleDefaultTimesNewRoman">
    <w:name w:val="Style Default + Times New Roman"/>
    <w:basedOn w:val="a3"/>
    <w:unhideWhenUsed/>
    <w:qFormat/>
    <w:pPr>
      <w:widowControl/>
      <w:autoSpaceDE w:val="0"/>
      <w:autoSpaceDN w:val="0"/>
      <w:adjustRightInd w:val="0"/>
      <w:jc w:val="left"/>
    </w:pPr>
    <w:rPr>
      <w:sz w:val="20"/>
      <w:szCs w:val="20"/>
      <w:lang w:eastAsia="en-US"/>
    </w:rPr>
  </w:style>
  <w:style w:type="paragraph" w:customStyle="1" w:styleId="afffffffffffffc">
    <w:name w:val="列项——"/>
    <w:unhideWhenUsed/>
    <w:qFormat/>
    <w:pPr>
      <w:widowControl w:val="0"/>
      <w:tabs>
        <w:tab w:val="left" w:pos="1011"/>
      </w:tabs>
      <w:ind w:left="1011" w:hanging="420"/>
      <w:jc w:val="both"/>
    </w:pPr>
    <w:rPr>
      <w:rFonts w:ascii="宋体" w:hint="eastAsia"/>
      <w:sz w:val="21"/>
    </w:rPr>
  </w:style>
  <w:style w:type="paragraph" w:customStyle="1" w:styleId="8108510">
    <w:name w:val="样式 样式 样式 审签页 审签字 + 左侧:  8 字符 段前: 1 行 + 首行缩进:  0.85 厘米 段前: 1 行 + ..."/>
    <w:basedOn w:val="a3"/>
    <w:unhideWhenUsed/>
    <w:qFormat/>
    <w:pPr>
      <w:adjustRightInd w:val="0"/>
      <w:snapToGrid w:val="0"/>
      <w:spacing w:beforeLines="100" w:line="700" w:lineRule="exact"/>
      <w:ind w:leftChars="1200" w:left="1200"/>
    </w:pPr>
    <w:rPr>
      <w:rFonts w:eastAsia="楷体_GB2312" w:hint="eastAsia"/>
      <w:sz w:val="30"/>
      <w:szCs w:val="20"/>
    </w:rPr>
  </w:style>
  <w:style w:type="paragraph" w:customStyle="1" w:styleId="42222">
    <w:name w:val="样式 样式 标题4 + 加粗 首行缩进:  2.2 字符 + 首行缩进:  2.2 字符"/>
    <w:basedOn w:val="a3"/>
    <w:unhideWhenUsed/>
    <w:qFormat/>
    <w:pPr>
      <w:adjustRightInd w:val="0"/>
      <w:snapToGrid w:val="0"/>
    </w:pPr>
    <w:rPr>
      <w:rFonts w:eastAsia="黑体" w:hint="eastAsia"/>
      <w:b/>
      <w:szCs w:val="20"/>
    </w:rPr>
  </w:style>
  <w:style w:type="paragraph" w:customStyle="1" w:styleId="CharCharCharCharCharChar1">
    <w:name w:val="Char Char Char Char Char Char1"/>
    <w:basedOn w:val="a3"/>
    <w:unhideWhenUsed/>
    <w:qFormat/>
    <w:rPr>
      <w:rFonts w:hint="eastAsia"/>
      <w:sz w:val="21"/>
      <w:szCs w:val="20"/>
    </w:rPr>
  </w:style>
  <w:style w:type="paragraph" w:customStyle="1" w:styleId="afffffffffffffd">
    <w:name w:val="文章题目"/>
    <w:basedOn w:val="a3"/>
    <w:unhideWhenUsed/>
    <w:qFormat/>
    <w:pPr>
      <w:spacing w:beforeLines="150" w:afterLines="100"/>
      <w:jc w:val="center"/>
    </w:pPr>
    <w:rPr>
      <w:rFonts w:eastAsia="黑体" w:hint="eastAsia"/>
      <w:sz w:val="32"/>
      <w:szCs w:val="20"/>
    </w:rPr>
  </w:style>
  <w:style w:type="paragraph" w:customStyle="1" w:styleId="ZUOCharChar">
    <w:name w:val="ZUO Char Char"/>
    <w:basedOn w:val="a3"/>
    <w:unhideWhenUsed/>
    <w:qFormat/>
    <w:rPr>
      <w:rFonts w:hint="eastAsia"/>
      <w:szCs w:val="20"/>
    </w:rPr>
  </w:style>
  <w:style w:type="paragraph" w:customStyle="1" w:styleId="521">
    <w:name w:val="样式 样式 样式5 + 首行缩进:  2 字符1 +"/>
    <w:basedOn w:val="5210"/>
    <w:unhideWhenUsed/>
    <w:qFormat/>
    <w:pPr>
      <w:spacing w:line="500" w:lineRule="exact"/>
      <w:ind w:firstLine="200"/>
    </w:pPr>
  </w:style>
  <w:style w:type="paragraph" w:customStyle="1" w:styleId="5210">
    <w:name w:val="样式 样式5 + 首行缩进:  2 字符1"/>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121">
    <w:name w:val="样式 公式1 + 首行缩进:  2 字符"/>
    <w:basedOn w:val="1fff1"/>
    <w:unhideWhenUsed/>
    <w:qFormat/>
    <w:pPr>
      <w:tabs>
        <w:tab w:val="left" w:pos="0"/>
      </w:tabs>
      <w:textAlignment w:val="baseline"/>
    </w:pPr>
  </w:style>
  <w:style w:type="paragraph" w:customStyle="1" w:styleId="1fff1">
    <w:name w:val="公式1"/>
    <w:basedOn w:val="2ff4"/>
    <w:unhideWhenUsed/>
    <w:qFormat/>
    <w:pPr>
      <w:spacing w:line="1000" w:lineRule="exact"/>
    </w:pPr>
  </w:style>
  <w:style w:type="paragraph" w:customStyle="1" w:styleId="4f1">
    <w:name w:val="表格小4居中"/>
    <w:basedOn w:val="a3"/>
    <w:unhideWhenUsed/>
    <w:qFormat/>
    <w:pPr>
      <w:ind w:left="70" w:hangingChars="29" w:hanging="70"/>
      <w:jc w:val="center"/>
    </w:pPr>
    <w:rPr>
      <w:rFonts w:ascii="宋体" w:hAnsi="宋体" w:hint="eastAsia"/>
      <w:color w:val="000000"/>
      <w:szCs w:val="20"/>
    </w:rPr>
  </w:style>
  <w:style w:type="paragraph" w:customStyle="1" w:styleId="CharCharChar1CharCharCharChar1">
    <w:name w:val="Char Char Char1 Char Char Char Char1"/>
    <w:basedOn w:val="a3"/>
    <w:unhideWhenUsed/>
    <w:qFormat/>
    <w:rPr>
      <w:rFonts w:hint="eastAsia"/>
      <w:sz w:val="21"/>
      <w:szCs w:val="20"/>
    </w:rPr>
  </w:style>
  <w:style w:type="paragraph" w:customStyle="1" w:styleId="252523">
    <w:name w:val="样式 黑体 加粗 黑色 左 段前: 2.5 磅 段后: 2.5 磅 行距: 固定值 23 磅"/>
    <w:basedOn w:val="213"/>
    <w:unhideWhenUsed/>
    <w:qFormat/>
    <w:pPr>
      <w:tabs>
        <w:tab w:val="left" w:pos="1322"/>
      </w:tabs>
      <w:spacing w:beforeLines="0" w:afterLines="0" w:line="460" w:lineRule="exact"/>
      <w:ind w:left="57" w:right="-123" w:firstLineChars="0" w:firstLine="0"/>
      <w:jc w:val="left"/>
      <w:textAlignment w:val="baseline"/>
    </w:pPr>
    <w:rPr>
      <w:rFonts w:ascii="宋体" w:hAnsi="黑体"/>
      <w:color w:val="000000"/>
      <w:kern w:val="28"/>
      <w:sz w:val="28"/>
      <w:szCs w:val="20"/>
    </w:rPr>
  </w:style>
  <w:style w:type="paragraph" w:customStyle="1" w:styleId="3050">
    <w:name w:val="样式 标题3 + 段后: 0.5 行"/>
    <w:basedOn w:val="3c"/>
    <w:unhideWhenUsed/>
    <w:qFormat/>
    <w:pPr>
      <w:keepNext/>
      <w:keepLines/>
      <w:snapToGrid/>
      <w:spacing w:beforeLines="50" w:line="480" w:lineRule="exact"/>
      <w:ind w:firstLine="0"/>
      <w:textAlignment w:val="baseline"/>
      <w:outlineLvl w:val="1"/>
    </w:pPr>
    <w:rPr>
      <w:rFonts w:ascii="黑体" w:eastAsia="黑体" w:hAnsi="宋体"/>
      <w:b w:val="0"/>
      <w:sz w:val="30"/>
    </w:rPr>
  </w:style>
  <w:style w:type="paragraph" w:customStyle="1" w:styleId="42050">
    <w:name w:val="样式 标题4 + 首行缩进:  2 字符 段前: 0.5 行"/>
    <w:basedOn w:val="a3"/>
    <w:unhideWhenUsed/>
    <w:qFormat/>
    <w:pPr>
      <w:keepNext/>
      <w:keepLines/>
      <w:spacing w:beforeLines="30" w:afterLines="20" w:line="500" w:lineRule="exact"/>
      <w:ind w:firstLine="482"/>
      <w:outlineLvl w:val="3"/>
    </w:pPr>
    <w:rPr>
      <w:rFonts w:eastAsia="黑体" w:hint="eastAsia"/>
      <w:b/>
      <w:szCs w:val="20"/>
    </w:rPr>
  </w:style>
  <w:style w:type="paragraph" w:customStyle="1" w:styleId="afffffffffffffe">
    <w:name w:val="公式行"/>
    <w:unhideWhenUsed/>
    <w:qFormat/>
    <w:pPr>
      <w:spacing w:beforeLines="50" w:afterLines="50" w:line="360" w:lineRule="auto"/>
      <w:jc w:val="right"/>
    </w:pPr>
    <w:rPr>
      <w:rFonts w:hint="eastAsia"/>
      <w:kern w:val="2"/>
      <w:sz w:val="24"/>
    </w:rPr>
  </w:style>
  <w:style w:type="paragraph" w:customStyle="1" w:styleId="3f4">
    <w:name w:val="封面3"/>
    <w:unhideWhenUsed/>
    <w:qFormat/>
    <w:pPr>
      <w:jc w:val="center"/>
    </w:pPr>
    <w:rPr>
      <w:rFonts w:eastAsia="华文中宋" w:hint="eastAsia"/>
      <w:b/>
      <w:color w:val="000000"/>
      <w:sz w:val="44"/>
    </w:rPr>
  </w:style>
  <w:style w:type="paragraph" w:customStyle="1" w:styleId="22-212120">
    <w:name w:val="样式 样式 样式 标题22 + 左侧:  -2.1 字符 首行缩进:  2 字符1 + 首行缩进:  2 字符 + 首行缩进: ..."/>
    <w:basedOn w:val="22-21212"/>
    <w:unhideWhenUsed/>
    <w:qFormat/>
    <w:pPr>
      <w:ind w:left="-595"/>
    </w:pPr>
  </w:style>
  <w:style w:type="paragraph" w:customStyle="1" w:styleId="2W22">
    <w:name w:val="样式 标题 2W2 +2"/>
    <w:basedOn w:val="213"/>
    <w:unhideWhenUsed/>
    <w:qFormat/>
    <w:pPr>
      <w:tabs>
        <w:tab w:val="left" w:pos="1322"/>
      </w:tabs>
      <w:spacing w:line="240" w:lineRule="auto"/>
      <w:ind w:left="-288" w:firstLineChars="0" w:firstLine="0"/>
    </w:pPr>
    <w:rPr>
      <w:rFonts w:ascii="黑体" w:eastAsia="黑体" w:hAnsi="宋体"/>
      <w:spacing w:val="10"/>
      <w:sz w:val="30"/>
      <w:szCs w:val="20"/>
    </w:rPr>
  </w:style>
  <w:style w:type="paragraph" w:customStyle="1" w:styleId="260">
    <w:name w:val="样式 四号 行距: 固定值 26 磅"/>
    <w:basedOn w:val="a3"/>
    <w:unhideWhenUsed/>
    <w:qFormat/>
    <w:pPr>
      <w:spacing w:before="60" w:line="520" w:lineRule="exact"/>
      <w:ind w:firstLine="594"/>
    </w:pPr>
    <w:rPr>
      <w:rFonts w:ascii="仿宋_GB2312" w:eastAsia="仿宋_GB2312" w:hAnsi="宋体" w:hint="eastAsia"/>
      <w:sz w:val="28"/>
      <w:szCs w:val="20"/>
    </w:rPr>
  </w:style>
  <w:style w:type="paragraph" w:customStyle="1" w:styleId="527">
    <w:name w:val="样式 样式5 + 首行缩进:  2 字符7"/>
    <w:basedOn w:val="5a"/>
    <w:unhideWhenUsed/>
    <w:qFormat/>
    <w:pPr>
      <w:spacing w:line="520" w:lineRule="exact"/>
      <w:ind w:firstLineChars="0" w:firstLine="560"/>
      <w:textAlignment w:val="baseline"/>
    </w:pPr>
    <w:rPr>
      <w:rFonts w:ascii="Times New Roman" w:hAnsi="Times New Roman"/>
      <w:sz w:val="26"/>
      <w:szCs w:val="20"/>
    </w:rPr>
  </w:style>
  <w:style w:type="paragraph" w:customStyle="1" w:styleId="chapterreferences">
    <w:name w:val="chapterreferences"/>
    <w:basedOn w:val="213"/>
    <w:unhideWhenUsed/>
    <w:qFormat/>
    <w:pPr>
      <w:widowControl/>
      <w:tabs>
        <w:tab w:val="left" w:pos="1322"/>
      </w:tabs>
      <w:spacing w:beforeLines="0" w:afterLines="0" w:line="240" w:lineRule="auto"/>
      <w:ind w:firstLineChars="0" w:firstLine="0"/>
      <w:jc w:val="center"/>
    </w:pPr>
    <w:rPr>
      <w:sz w:val="28"/>
      <w:szCs w:val="20"/>
      <w:u w:val="single"/>
    </w:rPr>
  </w:style>
  <w:style w:type="paragraph" w:customStyle="1" w:styleId="122">
    <w:name w:val="样式 目录1——2 + 首行缩进:  2 字符"/>
    <w:basedOn w:val="123"/>
    <w:unhideWhenUsed/>
    <w:qFormat/>
    <w:pPr>
      <w:ind w:firstLine="520"/>
    </w:pPr>
    <w:rPr>
      <w:rFonts w:eastAsia="宋体"/>
    </w:rPr>
  </w:style>
  <w:style w:type="paragraph" w:customStyle="1" w:styleId="123">
    <w:name w:val="目录1——2"/>
    <w:basedOn w:val="1fff2"/>
    <w:unhideWhenUsed/>
    <w:qFormat/>
    <w:pPr>
      <w:ind w:firstLine="480"/>
    </w:pPr>
  </w:style>
  <w:style w:type="paragraph" w:customStyle="1" w:styleId="1fff2">
    <w:name w:val="目录1"/>
    <w:basedOn w:val="3f2"/>
    <w:unhideWhenUsed/>
    <w:qFormat/>
    <w:pPr>
      <w:spacing w:line="600" w:lineRule="exact"/>
    </w:pPr>
    <w:rPr>
      <w:rFonts w:eastAsia="黑体"/>
      <w:b w:val="0"/>
      <w:sz w:val="26"/>
    </w:rPr>
  </w:style>
  <w:style w:type="paragraph" w:customStyle="1" w:styleId="affffffffffffff">
    <w:name w:val="图形框文字"/>
    <w:unhideWhenUsed/>
    <w:qFormat/>
    <w:pPr>
      <w:widowControl w:val="0"/>
      <w:adjustRightInd w:val="0"/>
      <w:spacing w:line="360" w:lineRule="auto"/>
      <w:jc w:val="both"/>
    </w:pPr>
    <w:rPr>
      <w:rFonts w:hint="eastAsia"/>
      <w:kern w:val="2"/>
      <w:sz w:val="24"/>
    </w:rPr>
  </w:style>
  <w:style w:type="paragraph" w:customStyle="1" w:styleId="3105">
    <w:name w:val="样式 标题3 + 段前: 1 行 段后: 0.5 行"/>
    <w:basedOn w:val="3c"/>
    <w:unhideWhenUsed/>
    <w:qFormat/>
    <w:pPr>
      <w:keepNext/>
      <w:keepLines/>
      <w:snapToGrid/>
      <w:spacing w:beforeLines="60" w:after="50" w:line="480" w:lineRule="exact"/>
      <w:ind w:firstLine="0"/>
      <w:textAlignment w:val="baseline"/>
      <w:outlineLvl w:val="1"/>
    </w:pPr>
    <w:rPr>
      <w:rFonts w:ascii="黑体" w:eastAsia="黑体" w:hAnsi="宋体"/>
      <w:b w:val="0"/>
      <w:sz w:val="30"/>
    </w:rPr>
  </w:style>
  <w:style w:type="paragraph" w:customStyle="1" w:styleId="3211">
    <w:name w:val="样式 目录3 + 首行缩进:  2 字符1"/>
    <w:basedOn w:val="3f2"/>
    <w:unhideWhenUsed/>
    <w:qFormat/>
    <w:pPr>
      <w:ind w:firstLine="560"/>
    </w:pPr>
    <w:rPr>
      <w:b w:val="0"/>
    </w:rPr>
  </w:style>
  <w:style w:type="paragraph" w:customStyle="1" w:styleId="StyleHeading3Firstline2chBefore05lineAfter05">
    <w:name w:val="Style Heading 3 + First line:  2 ch Before:  0.5 line After:  0.5..."/>
    <w:basedOn w:val="310"/>
    <w:unhideWhenUsed/>
    <w:qFormat/>
    <w:pPr>
      <w:tabs>
        <w:tab w:val="left" w:pos="240"/>
      </w:tabs>
      <w:spacing w:line="413" w:lineRule="auto"/>
      <w:ind w:left="293" w:firstLineChars="0" w:hanging="173"/>
      <w:jc w:val="left"/>
    </w:pPr>
    <w:rPr>
      <w:sz w:val="28"/>
      <w:szCs w:val="20"/>
    </w:rPr>
  </w:style>
  <w:style w:type="paragraph" w:customStyle="1" w:styleId="CharCharCharCharCharCharCharCharCharCharChar2">
    <w:name w:val="Char Char Char Char Char Char Char Char Char Char Char2"/>
    <w:basedOn w:val="a3"/>
    <w:unhideWhenUsed/>
    <w:qFormat/>
    <w:rPr>
      <w:rFonts w:hint="eastAsia"/>
      <w:sz w:val="21"/>
      <w:szCs w:val="20"/>
    </w:rPr>
  </w:style>
  <w:style w:type="paragraph" w:customStyle="1" w:styleId="HTML9">
    <w:name w:val="HTML 预先格式化"/>
    <w:basedOn w:val="a3"/>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hint="eastAsia"/>
      <w:sz w:val="20"/>
      <w:szCs w:val="20"/>
    </w:rPr>
  </w:style>
  <w:style w:type="paragraph" w:customStyle="1" w:styleId="30605">
    <w:name w:val="样式 标题 3 + 段前: 0.6 行 段后: 0.5 行"/>
    <w:basedOn w:val="310"/>
    <w:unhideWhenUsed/>
    <w:qFormat/>
    <w:pPr>
      <w:spacing w:beforeLines="40" w:afterLines="40" w:line="240" w:lineRule="auto"/>
      <w:ind w:left="-288" w:firstLineChars="0" w:firstLine="0"/>
    </w:pPr>
    <w:rPr>
      <w:rFonts w:ascii="宋体" w:eastAsia="黑体" w:hAnsi="宋体"/>
      <w:b w:val="0"/>
      <w:sz w:val="28"/>
      <w:szCs w:val="20"/>
    </w:rPr>
  </w:style>
  <w:style w:type="paragraph" w:customStyle="1" w:styleId="4f2">
    <w:name w:val="正文小4"/>
    <w:basedOn w:val="a3"/>
    <w:unhideWhenUsed/>
    <w:qFormat/>
    <w:pPr>
      <w:ind w:firstLine="560"/>
    </w:pPr>
    <w:rPr>
      <w:rFonts w:ascii="宋体" w:hAnsi="宋体" w:hint="eastAsia"/>
      <w:szCs w:val="20"/>
    </w:rPr>
  </w:style>
  <w:style w:type="paragraph" w:customStyle="1" w:styleId="Style6">
    <w:name w:val="Style6"/>
    <w:basedOn w:val="a3"/>
    <w:unhideWhenUsed/>
    <w:qFormat/>
    <w:pPr>
      <w:widowControl/>
      <w:tabs>
        <w:tab w:val="left" w:pos="720"/>
      </w:tabs>
      <w:ind w:left="720" w:hanging="360"/>
      <w:jc w:val="left"/>
    </w:pPr>
    <w:rPr>
      <w:rFonts w:hint="eastAsia"/>
      <w:szCs w:val="20"/>
    </w:rPr>
  </w:style>
  <w:style w:type="paragraph" w:customStyle="1" w:styleId="2W21">
    <w:name w:val="样式 标题 2W2 +"/>
    <w:basedOn w:val="213"/>
    <w:unhideWhenUsed/>
    <w:qFormat/>
    <w:pPr>
      <w:tabs>
        <w:tab w:val="left" w:pos="1322"/>
      </w:tabs>
      <w:spacing w:beforeLines="100" w:line="240" w:lineRule="auto"/>
      <w:ind w:left="-288" w:firstLineChars="0" w:firstLine="0"/>
    </w:pPr>
    <w:rPr>
      <w:rFonts w:ascii="黑体" w:eastAsia="黑体" w:hAnsi="宋体"/>
      <w:spacing w:val="10"/>
      <w:sz w:val="30"/>
      <w:szCs w:val="20"/>
    </w:rPr>
  </w:style>
  <w:style w:type="paragraph" w:customStyle="1" w:styleId="StyleHeading5Left05ch">
    <w:name w:val="Style Heading 5 + Left:  0.5 ch"/>
    <w:basedOn w:val="51"/>
    <w:unhideWhenUsed/>
    <w:qFormat/>
    <w:pPr>
      <w:keepNext w:val="0"/>
      <w:widowControl/>
      <w:numPr>
        <w:ilvl w:val="0"/>
        <w:numId w:val="0"/>
      </w:numPr>
      <w:spacing w:before="240" w:after="60" w:line="240" w:lineRule="auto"/>
      <w:jc w:val="left"/>
    </w:pPr>
    <w:rPr>
      <w:i/>
      <w:sz w:val="24"/>
      <w:szCs w:val="20"/>
      <w:u w:val="single"/>
    </w:rPr>
  </w:style>
  <w:style w:type="paragraph" w:customStyle="1" w:styleId="1222">
    <w:name w:val="样式 样式 目录1——2 + 首行缩进:  2 字符 + 首行缩进:  2 字符"/>
    <w:basedOn w:val="122"/>
    <w:unhideWhenUsed/>
    <w:qFormat/>
  </w:style>
  <w:style w:type="paragraph" w:customStyle="1" w:styleId="42050510">
    <w:name w:val="样式 样式 标题 4 + 首行缩进:  2 字符 段前: 0.5 行 段后: 0.5 行1 +"/>
    <w:basedOn w:val="42050511"/>
    <w:unhideWhenUsed/>
    <w:qFormat/>
    <w:pPr>
      <w:ind w:firstLineChars="200" w:firstLine="200"/>
      <w:textAlignment w:val="center"/>
    </w:pPr>
    <w:rPr>
      <w:rFonts w:eastAsia="宋体"/>
    </w:rPr>
  </w:style>
  <w:style w:type="paragraph" w:customStyle="1" w:styleId="42050511">
    <w:name w:val="样式 标题 4 + 首行缩进:  2 字符 段前: 0.5 行 段后: 0.5 行1"/>
    <w:basedOn w:val="410"/>
    <w:unhideWhenUsed/>
    <w:qFormat/>
    <w:pPr>
      <w:tabs>
        <w:tab w:val="left" w:pos="360"/>
        <w:tab w:val="left" w:pos="1680"/>
        <w:tab w:val="left" w:pos="2880"/>
      </w:tabs>
      <w:ind w:left="1680" w:firstLineChars="0" w:hanging="420"/>
    </w:pPr>
    <w:rPr>
      <w:rFonts w:ascii="宋体" w:eastAsia="黑体"/>
      <w:kern w:val="4"/>
      <w:sz w:val="26"/>
      <w:szCs w:val="20"/>
    </w:rPr>
  </w:style>
  <w:style w:type="paragraph" w:customStyle="1" w:styleId="5242">
    <w:name w:val="样式 样式 样式5 + 首行缩进:  2 字符4 + 首行缩进:  2 字符"/>
    <w:basedOn w:val="524"/>
    <w:unhideWhenUsed/>
    <w:qFormat/>
    <w:pPr>
      <w:spacing w:line="500" w:lineRule="exact"/>
      <w:ind w:firstLine="200"/>
    </w:pPr>
    <w:rPr>
      <w:sz w:val="28"/>
    </w:rPr>
  </w:style>
  <w:style w:type="paragraph" w:customStyle="1" w:styleId="160">
    <w:name w:val="样式 表格样式 + 宋体 行距: 固定值 16 磅"/>
    <w:basedOn w:val="affffffff8"/>
    <w:unhideWhenUsed/>
    <w:qFormat/>
    <w:pPr>
      <w:snapToGrid w:val="0"/>
      <w:spacing w:before="312" w:after="312" w:line="320" w:lineRule="exact"/>
      <w:jc w:val="left"/>
    </w:pPr>
    <w:rPr>
      <w:rFonts w:ascii="宋体" w:hAnsi="宋体" w:cs="Times New Roman"/>
    </w:rPr>
  </w:style>
  <w:style w:type="paragraph" w:customStyle="1" w:styleId="421050">
    <w:name w:val="样式 样式 标题 4 + 首行缩进:  2 字符 段前: 1 行 段后: 0.5 行 +"/>
    <w:basedOn w:val="42105"/>
    <w:unhideWhenUsed/>
    <w:qFormat/>
    <w:pPr>
      <w:keepNext/>
      <w:keepLines/>
      <w:adjustRightInd/>
      <w:snapToGrid/>
      <w:spacing w:afterLines="50"/>
      <w:ind w:firstLine="562"/>
    </w:pPr>
  </w:style>
  <w:style w:type="paragraph" w:customStyle="1" w:styleId="3051">
    <w:name w:val="样式 标题3 + 段前: 0.5 行"/>
    <w:basedOn w:val="3c"/>
    <w:unhideWhenUsed/>
    <w:qFormat/>
    <w:pPr>
      <w:keepNext/>
      <w:keepLines/>
      <w:snapToGrid/>
      <w:spacing w:before="130" w:after="97" w:line="480" w:lineRule="exact"/>
      <w:ind w:firstLine="0"/>
      <w:textAlignment w:val="baseline"/>
      <w:outlineLvl w:val="1"/>
    </w:pPr>
    <w:rPr>
      <w:rFonts w:ascii="黑体" w:eastAsia="黑体" w:hAnsi="宋体"/>
      <w:b w:val="0"/>
      <w:sz w:val="30"/>
    </w:rPr>
  </w:style>
  <w:style w:type="paragraph" w:customStyle="1" w:styleId="322">
    <w:name w:val="标题 32"/>
    <w:basedOn w:val="a3"/>
    <w:unhideWhenUsed/>
    <w:qFormat/>
    <w:pPr>
      <w:keepNext/>
      <w:keepLines/>
      <w:tabs>
        <w:tab w:val="left" w:pos="709"/>
      </w:tabs>
      <w:spacing w:beforeLines="100" w:afterLines="50"/>
      <w:ind w:left="720" w:hanging="720"/>
      <w:jc w:val="left"/>
      <w:outlineLvl w:val="2"/>
    </w:pPr>
    <w:rPr>
      <w:rFonts w:hint="eastAsia"/>
      <w:b/>
      <w:szCs w:val="20"/>
    </w:rPr>
  </w:style>
  <w:style w:type="paragraph" w:customStyle="1" w:styleId="StyleHeading5Left008">
    <w:name w:val="Style Heading 5 + Left:  0.08&quot;"/>
    <w:basedOn w:val="51"/>
    <w:unhideWhenUsed/>
    <w:qFormat/>
    <w:pPr>
      <w:keepNext w:val="0"/>
      <w:widowControl/>
      <w:numPr>
        <w:ilvl w:val="0"/>
        <w:numId w:val="0"/>
      </w:numPr>
      <w:spacing w:before="240" w:after="60" w:line="360" w:lineRule="auto"/>
      <w:ind w:left="120"/>
      <w:jc w:val="left"/>
    </w:pPr>
    <w:rPr>
      <w:b w:val="0"/>
      <w:i/>
      <w:sz w:val="24"/>
      <w:szCs w:val="20"/>
    </w:rPr>
  </w:style>
  <w:style w:type="paragraph" w:customStyle="1" w:styleId="4220">
    <w:name w:val="样式 样式 标题 4 + 首行缩进:  2 字符 + 首行缩进:  2 字符"/>
    <w:basedOn w:val="420"/>
    <w:unhideWhenUsed/>
    <w:qFormat/>
    <w:pPr>
      <w:tabs>
        <w:tab w:val="left" w:pos="1320"/>
      </w:tabs>
      <w:spacing w:beforeLines="100"/>
      <w:ind w:left="1320" w:hanging="420"/>
    </w:pPr>
    <w:rPr>
      <w:rFonts w:ascii="宋体" w:cs="Times New Roman"/>
      <w:kern w:val="4"/>
    </w:rPr>
  </w:style>
  <w:style w:type="paragraph" w:customStyle="1" w:styleId="22-212">
    <w:name w:val="样式 标题22 + 左侧:  -2.1 字符 首行缩进:  2 字符"/>
    <w:basedOn w:val="213"/>
    <w:unhideWhenUsed/>
    <w:qFormat/>
    <w:pPr>
      <w:keepNext w:val="0"/>
      <w:tabs>
        <w:tab w:val="left" w:pos="1322"/>
      </w:tabs>
      <w:spacing w:beforeLines="0" w:afterLines="0" w:line="600" w:lineRule="exact"/>
      <w:ind w:leftChars="-210" w:left="-588" w:firstLine="640"/>
    </w:pPr>
    <w:rPr>
      <w:rFonts w:eastAsia="黑体"/>
      <w:b w:val="0"/>
      <w:szCs w:val="20"/>
    </w:rPr>
  </w:style>
  <w:style w:type="paragraph" w:customStyle="1" w:styleId="2063">
    <w:name w:val="样式 标题 2 + 左侧:  0.63 厘米"/>
    <w:basedOn w:val="213"/>
    <w:unhideWhenUsed/>
    <w:qFormat/>
    <w:pPr>
      <w:tabs>
        <w:tab w:val="left" w:pos="1322"/>
      </w:tabs>
      <w:spacing w:line="240" w:lineRule="auto"/>
      <w:ind w:left="-288" w:firstLineChars="0" w:firstLine="0"/>
    </w:pPr>
    <w:rPr>
      <w:rFonts w:ascii="黑体" w:eastAsia="黑体" w:hAnsi="宋体"/>
      <w:spacing w:val="10"/>
      <w:szCs w:val="20"/>
    </w:rPr>
  </w:style>
  <w:style w:type="paragraph" w:customStyle="1" w:styleId="Einrck1">
    <w:name w:val="Einrück 1"/>
    <w:basedOn w:val="a3"/>
    <w:unhideWhenUsed/>
    <w:qFormat/>
    <w:pPr>
      <w:widowControl/>
      <w:tabs>
        <w:tab w:val="left" w:pos="6237"/>
        <w:tab w:val="decimal" w:pos="7088"/>
        <w:tab w:val="left" w:pos="7655"/>
      </w:tabs>
      <w:spacing w:line="320" w:lineRule="exact"/>
      <w:ind w:left="851"/>
      <w:jc w:val="left"/>
    </w:pPr>
    <w:rPr>
      <w:rFonts w:ascii="Arial" w:hAnsi="Arial" w:hint="eastAsia"/>
      <w:sz w:val="22"/>
      <w:szCs w:val="20"/>
      <w:lang w:val="en-GB" w:eastAsia="de-DE"/>
    </w:rPr>
  </w:style>
  <w:style w:type="paragraph" w:customStyle="1" w:styleId="affffffffffffff0">
    <w:name w:val="空格"/>
    <w:basedOn w:val="a3"/>
    <w:unhideWhenUsed/>
    <w:qFormat/>
    <w:pPr>
      <w:ind w:firstLine="540"/>
    </w:pPr>
    <w:rPr>
      <w:rFonts w:hint="eastAsia"/>
      <w:sz w:val="28"/>
      <w:szCs w:val="20"/>
    </w:rPr>
  </w:style>
  <w:style w:type="paragraph" w:customStyle="1" w:styleId="table">
    <w:name w:val="table"/>
    <w:basedOn w:val="a3"/>
    <w:unhideWhenUsed/>
    <w:qFormat/>
    <w:pPr>
      <w:widowControl/>
      <w:spacing w:before="60"/>
      <w:jc w:val="center"/>
    </w:pPr>
    <w:rPr>
      <w:rFonts w:hint="eastAsia"/>
      <w:szCs w:val="20"/>
    </w:rPr>
  </w:style>
  <w:style w:type="paragraph" w:customStyle="1" w:styleId="affffffffffffff1">
    <w:name w:val="日期与出版地"/>
    <w:basedOn w:val="a3"/>
    <w:unhideWhenUsed/>
    <w:qFormat/>
    <w:pPr>
      <w:adjustRightInd w:val="0"/>
      <w:snapToGrid w:val="0"/>
      <w:spacing w:line="500" w:lineRule="exact"/>
      <w:jc w:val="center"/>
    </w:pPr>
    <w:rPr>
      <w:rFonts w:hint="eastAsia"/>
      <w:b/>
      <w:sz w:val="28"/>
      <w:szCs w:val="20"/>
    </w:rPr>
  </w:style>
  <w:style w:type="paragraph" w:customStyle="1" w:styleId="affffffffffffff2">
    <w:name w:val="临时内容"/>
    <w:basedOn w:val="a3"/>
    <w:link w:val="CharChar3"/>
    <w:unhideWhenUsed/>
    <w:qFormat/>
    <w:pPr>
      <w:spacing w:beforeLines="50" w:afterLines="50"/>
      <w:ind w:firstLine="480"/>
      <w:jc w:val="left"/>
    </w:pPr>
    <w:rPr>
      <w:rFonts w:hint="eastAsia"/>
      <w:color w:val="FF0000"/>
      <w:szCs w:val="20"/>
    </w:rPr>
  </w:style>
  <w:style w:type="paragraph" w:customStyle="1" w:styleId="CharCharCharCharChar2CharCharCharChar">
    <w:name w:val="Char Char Char Char Char2 Char Char Char Char"/>
    <w:basedOn w:val="a3"/>
    <w:unhideWhenUsed/>
    <w:qFormat/>
    <w:pPr>
      <w:adjustRightInd w:val="0"/>
      <w:snapToGrid w:val="0"/>
    </w:pPr>
    <w:rPr>
      <w:rFonts w:ascii="宋体" w:hAnsi="宋体" w:hint="eastAsia"/>
      <w:szCs w:val="20"/>
    </w:rPr>
  </w:style>
  <w:style w:type="paragraph" w:customStyle="1" w:styleId="526">
    <w:name w:val="样式 样式5 + 首行缩进:  2 字符6"/>
    <w:basedOn w:val="5a"/>
    <w:unhideWhenUsed/>
    <w:qFormat/>
    <w:pPr>
      <w:spacing w:line="520" w:lineRule="exact"/>
      <w:ind w:firstLineChars="0" w:firstLine="0"/>
      <w:textAlignment w:val="baseline"/>
    </w:pPr>
    <w:rPr>
      <w:rFonts w:ascii="Times New Roman" w:hAnsi="Times New Roman"/>
      <w:b/>
      <w:sz w:val="26"/>
      <w:szCs w:val="20"/>
    </w:rPr>
  </w:style>
  <w:style w:type="paragraph" w:customStyle="1" w:styleId="3f5">
    <w:name w:val="正文3"/>
    <w:unhideWhenUsed/>
    <w:qFormat/>
    <w:pPr>
      <w:widowControl w:val="0"/>
      <w:adjustRightInd w:val="0"/>
      <w:spacing w:line="360" w:lineRule="atLeast"/>
      <w:jc w:val="both"/>
      <w:textAlignment w:val="baseline"/>
    </w:pPr>
    <w:rPr>
      <w:rFonts w:ascii="宋体" w:hint="eastAsia"/>
      <w:sz w:val="24"/>
    </w:rPr>
  </w:style>
  <w:style w:type="paragraph" w:customStyle="1" w:styleId="affffffffffffff3">
    <w:name w:val="正文排版"/>
    <w:basedOn w:val="PlainText1"/>
    <w:unhideWhenUsed/>
    <w:qFormat/>
    <w:pPr>
      <w:tabs>
        <w:tab w:val="left" w:pos="0"/>
      </w:tabs>
      <w:autoSpaceDE w:val="0"/>
      <w:autoSpaceDN w:val="0"/>
      <w:spacing w:line="500" w:lineRule="exact"/>
    </w:pPr>
    <w:rPr>
      <w:rFonts w:ascii="Times New Roman" w:hAnsi="Times New Roman" w:cs="Times New Roman"/>
      <w:sz w:val="24"/>
    </w:rPr>
  </w:style>
  <w:style w:type="paragraph" w:customStyle="1" w:styleId="323">
    <w:name w:val="样式 目录 3 + 首行缩进:  2 字符"/>
    <w:basedOn w:val="34"/>
    <w:unhideWhenUsed/>
    <w:qFormat/>
    <w:rPr>
      <w:rFonts w:hint="eastAsia"/>
      <w:b/>
      <w:i/>
      <w:sz w:val="20"/>
      <w:szCs w:val="20"/>
    </w:rPr>
  </w:style>
  <w:style w:type="paragraph" w:customStyle="1" w:styleId="StyleTitlePageAfter0ptLinespacingsingle">
    <w:name w:val="Style Title Page + After:  0 pt Line spacing:  single"/>
    <w:basedOn w:val="TitlePage"/>
    <w:unhideWhenUsed/>
    <w:qFormat/>
    <w:pPr>
      <w:spacing w:after="0" w:line="240" w:lineRule="auto"/>
    </w:pPr>
  </w:style>
  <w:style w:type="paragraph" w:customStyle="1" w:styleId="TitlePage">
    <w:name w:val="Title Page"/>
    <w:basedOn w:val="a3"/>
    <w:unhideWhenUsed/>
    <w:qFormat/>
    <w:pPr>
      <w:widowControl/>
      <w:spacing w:before="60" w:after="120"/>
      <w:jc w:val="center"/>
    </w:pPr>
    <w:rPr>
      <w:szCs w:val="20"/>
      <w:lang w:eastAsia="ja-JP"/>
    </w:rPr>
  </w:style>
  <w:style w:type="paragraph" w:customStyle="1" w:styleId="listoffigureandtables">
    <w:name w:val="list of figure and tables"/>
    <w:basedOn w:val="Frontmatter"/>
    <w:unhideWhenUsed/>
    <w:qFormat/>
    <w:pPr>
      <w:spacing w:afterLines="0"/>
    </w:pPr>
  </w:style>
  <w:style w:type="paragraph" w:customStyle="1" w:styleId="324">
    <w:name w:val="样式 标题 3 + 首行缩进:  2 字符"/>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1fff3">
    <w:name w:val="副标题1"/>
    <w:basedOn w:val="a3"/>
    <w:unhideWhenUsed/>
    <w:qFormat/>
    <w:pPr>
      <w:autoSpaceDE w:val="0"/>
      <w:autoSpaceDN w:val="0"/>
      <w:adjustRightInd w:val="0"/>
      <w:snapToGrid w:val="0"/>
      <w:spacing w:line="440" w:lineRule="exact"/>
      <w:jc w:val="center"/>
    </w:pPr>
    <w:rPr>
      <w:rFonts w:eastAsia="黑体" w:hint="eastAsia"/>
      <w:sz w:val="44"/>
      <w:szCs w:val="20"/>
    </w:rPr>
  </w:style>
  <w:style w:type="paragraph" w:customStyle="1" w:styleId="StyleMTDisplayEquationCentered">
    <w:name w:val="Style MTDisplayEquation + Centered"/>
    <w:basedOn w:val="MTDisplayEquation"/>
    <w:unhideWhenUsed/>
    <w:qFormat/>
    <w:pPr>
      <w:jc w:val="center"/>
    </w:pPr>
    <w:rPr>
      <w:vanish/>
    </w:rPr>
  </w:style>
  <w:style w:type="paragraph" w:customStyle="1" w:styleId="StyleHeading2Left0Firstline0">
    <w:name w:val="Style Heading 2 + Left:  0&quot; First line:  0&quot;"/>
    <w:basedOn w:val="213"/>
    <w:unhideWhenUsed/>
    <w:qFormat/>
    <w:pPr>
      <w:widowControl/>
      <w:tabs>
        <w:tab w:val="left" w:pos="0"/>
        <w:tab w:val="left" w:pos="1322"/>
      </w:tabs>
      <w:spacing w:beforeLines="0" w:afterLines="0"/>
      <w:ind w:firstLineChars="0" w:firstLine="0"/>
      <w:jc w:val="center"/>
    </w:pPr>
    <w:rPr>
      <w:b w:val="0"/>
      <w:sz w:val="28"/>
      <w:szCs w:val="20"/>
    </w:rPr>
  </w:style>
  <w:style w:type="paragraph" w:customStyle="1" w:styleId="3-1031">
    <w:name w:val="样式 标题 3 + 左  -1.03 字符 首行缩进:  1 字符"/>
    <w:basedOn w:val="a3"/>
    <w:unhideWhenUsed/>
    <w:qFormat/>
    <w:pPr>
      <w:spacing w:line="600" w:lineRule="exact"/>
      <w:ind w:leftChars="-103" w:left="-103" w:firstLineChars="100" w:firstLine="280"/>
    </w:pPr>
    <w:rPr>
      <w:rFonts w:hint="eastAsia"/>
      <w:sz w:val="28"/>
      <w:szCs w:val="20"/>
    </w:rPr>
  </w:style>
  <w:style w:type="paragraph" w:customStyle="1" w:styleId="affffffffffffff4">
    <w:name w:val="表格 宋体 五号"/>
    <w:basedOn w:val="a3"/>
    <w:link w:val="Charfffe"/>
    <w:unhideWhenUsed/>
    <w:qFormat/>
    <w:pPr>
      <w:jc w:val="center"/>
    </w:pPr>
    <w:rPr>
      <w:rFonts w:ascii="宋体" w:hAnsi="宋体" w:hint="eastAsia"/>
      <w:sz w:val="21"/>
      <w:szCs w:val="20"/>
    </w:rPr>
  </w:style>
  <w:style w:type="paragraph" w:customStyle="1" w:styleId="1fff4">
    <w:name w:val="1、"/>
    <w:basedOn w:val="a3"/>
    <w:next w:val="a3"/>
    <w:unhideWhenUsed/>
    <w:qFormat/>
    <w:pPr>
      <w:tabs>
        <w:tab w:val="left" w:pos="127"/>
      </w:tabs>
      <w:overflowPunct w:val="0"/>
      <w:autoSpaceDE w:val="0"/>
      <w:autoSpaceDN w:val="0"/>
      <w:adjustRightInd w:val="0"/>
      <w:snapToGrid w:val="0"/>
      <w:spacing w:after="120"/>
    </w:pPr>
    <w:rPr>
      <w:rFonts w:ascii="Arial" w:hAnsi="Arial" w:hint="eastAsia"/>
      <w:szCs w:val="20"/>
    </w:rPr>
  </w:style>
  <w:style w:type="paragraph" w:customStyle="1" w:styleId="1fff5">
    <w:name w:val="样式 标题 1封面大标题 + 加粗"/>
    <w:basedOn w:val="110"/>
    <w:link w:val="1Char6"/>
    <w:unhideWhenUsed/>
    <w:qFormat/>
    <w:pPr>
      <w:spacing w:afterLines="100" w:line="240" w:lineRule="auto"/>
      <w:ind w:firstLineChars="0" w:firstLine="0"/>
      <w:jc w:val="center"/>
      <w:textAlignment w:val="baseline"/>
    </w:pPr>
    <w:rPr>
      <w:rFonts w:ascii="宋体" w:eastAsia="黑体" w:hAnsi="宋体"/>
      <w:sz w:val="32"/>
      <w:szCs w:val="20"/>
    </w:rPr>
  </w:style>
  <w:style w:type="paragraph" w:customStyle="1" w:styleId="affffffffffffff5">
    <w:name w:val="基准标题"/>
    <w:basedOn w:val="12"/>
    <w:next w:val="a5"/>
    <w:unhideWhenUsed/>
    <w:qFormat/>
    <w:pPr>
      <w:keepNext/>
      <w:keepLines/>
      <w:snapToGrid w:val="0"/>
      <w:spacing w:after="0" w:line="240" w:lineRule="atLeast"/>
      <w:outlineLvl w:val="0"/>
    </w:pPr>
    <w:rPr>
      <w:rFonts w:ascii="宋体" w:hAnsi="Arial"/>
      <w:b/>
      <w:sz w:val="28"/>
      <w:szCs w:val="20"/>
    </w:rPr>
  </w:style>
  <w:style w:type="paragraph" w:customStyle="1" w:styleId="DocumentMap1">
    <w:name w:val="Document Map1"/>
    <w:basedOn w:val="a3"/>
    <w:unhideWhenUsed/>
    <w:qFormat/>
    <w:pPr>
      <w:shd w:val="clear" w:color="auto" w:fill="000080"/>
      <w:spacing w:beforeLines="50" w:afterLines="50"/>
      <w:jc w:val="left"/>
    </w:pPr>
    <w:rPr>
      <w:rFonts w:hint="eastAsia"/>
      <w:szCs w:val="20"/>
    </w:rPr>
  </w:style>
  <w:style w:type="paragraph" w:customStyle="1" w:styleId="affffffffffffff6">
    <w:name w:val="标题一"/>
    <w:basedOn w:val="a3"/>
    <w:unhideWhenUsed/>
    <w:qFormat/>
    <w:pPr>
      <w:pageBreakBefore/>
      <w:adjustRightInd w:val="0"/>
      <w:snapToGrid w:val="0"/>
      <w:spacing w:beforeLines="100" w:afterLines="100"/>
      <w:jc w:val="center"/>
      <w:outlineLvl w:val="0"/>
    </w:pPr>
    <w:rPr>
      <w:rFonts w:eastAsia="黑体" w:hint="eastAsia"/>
      <w:b/>
      <w:color w:val="000000"/>
      <w:spacing w:val="10"/>
      <w:sz w:val="32"/>
      <w:szCs w:val="20"/>
    </w:rPr>
  </w:style>
  <w:style w:type="paragraph" w:customStyle="1" w:styleId="StyleCaptionCentered">
    <w:name w:val="Style Caption + Centered"/>
    <w:basedOn w:val="a3"/>
    <w:unhideWhenUsed/>
    <w:qFormat/>
    <w:pPr>
      <w:spacing w:beforeLines="50" w:afterLines="50"/>
      <w:jc w:val="center"/>
    </w:pPr>
    <w:rPr>
      <w:rFonts w:ascii="Arial" w:hAnsi="Arial" w:hint="eastAsia"/>
      <w:szCs w:val="20"/>
    </w:rPr>
  </w:style>
  <w:style w:type="paragraph" w:customStyle="1" w:styleId="3-1031-1031">
    <w:name w:val="样式 样式 样式 标题 3 + 左  -1.03 字符 首行缩进:  1 字符 + 左侧:  -1.03 字符 + 左侧:  1..."/>
    <w:basedOn w:val="a3"/>
    <w:unhideWhenUsed/>
    <w:qFormat/>
    <w:pPr>
      <w:spacing w:line="600" w:lineRule="exact"/>
    </w:pPr>
    <w:rPr>
      <w:rFonts w:hint="eastAsia"/>
      <w:sz w:val="28"/>
      <w:szCs w:val="20"/>
    </w:rPr>
  </w:style>
  <w:style w:type="paragraph" w:customStyle="1" w:styleId="3-1031-1030">
    <w:name w:val="样式 样式 标题 3 + 左  -1.03 字符 首行缩进:  1 字符 + 左侧:  -1.03 字符"/>
    <w:basedOn w:val="3-1031"/>
    <w:unhideWhenUsed/>
    <w:qFormat/>
    <w:pPr>
      <w:ind w:leftChars="150" w:left="150" w:firstLineChars="0" w:firstLine="0"/>
    </w:pPr>
  </w:style>
  <w:style w:type="paragraph" w:customStyle="1" w:styleId="CM23">
    <w:name w:val="CM23"/>
    <w:basedOn w:val="a3"/>
    <w:next w:val="a3"/>
    <w:unhideWhenUsed/>
    <w:qFormat/>
    <w:pPr>
      <w:autoSpaceDE w:val="0"/>
      <w:autoSpaceDN w:val="0"/>
      <w:adjustRightInd w:val="0"/>
      <w:spacing w:line="468" w:lineRule="atLeast"/>
      <w:jc w:val="left"/>
    </w:pPr>
    <w:rPr>
      <w:rFonts w:ascii="黑体" w:eastAsia="黑体" w:hint="eastAsia"/>
      <w:szCs w:val="20"/>
    </w:rPr>
  </w:style>
  <w:style w:type="paragraph" w:customStyle="1" w:styleId="4222">
    <w:name w:val="样式 样式 样式 标题 4 + 首行缩进:  2 字符 + 首行缩进:  2 字符 + 首行缩进:  2 字符"/>
    <w:basedOn w:val="4220"/>
    <w:unhideWhenUsed/>
    <w:qFormat/>
    <w:pPr>
      <w:spacing w:beforeLines="0"/>
    </w:pPr>
  </w:style>
  <w:style w:type="paragraph" w:customStyle="1" w:styleId="3222">
    <w:name w:val="样式 样式 样式 目录 3 + 首行缩进:  2 字符 + 首行缩进:  2 字符 + 首行缩进:  2 字符"/>
    <w:basedOn w:val="3220"/>
    <w:unhideWhenUsed/>
    <w:qFormat/>
    <w:pPr>
      <w:ind w:firstLine="200"/>
    </w:pPr>
  </w:style>
  <w:style w:type="paragraph" w:customStyle="1" w:styleId="3220">
    <w:name w:val="样式 样式 目录 3 + 首行缩进:  2 字符 + 首行缩进:  2 字符"/>
    <w:basedOn w:val="323"/>
    <w:unhideWhenUsed/>
    <w:qFormat/>
    <w:pPr>
      <w:ind w:firstLine="420"/>
    </w:pPr>
    <w:rPr>
      <w:sz w:val="28"/>
    </w:rPr>
  </w:style>
  <w:style w:type="paragraph" w:customStyle="1" w:styleId="1A0">
    <w:name w:val="目录1A"/>
    <w:basedOn w:val="24"/>
    <w:unhideWhenUsed/>
    <w:qFormat/>
    <w:pPr>
      <w:tabs>
        <w:tab w:val="clear" w:pos="8296"/>
        <w:tab w:val="right" w:leader="dot" w:pos="8260"/>
        <w:tab w:val="right" w:leader="dot" w:pos="8302"/>
        <w:tab w:val="right" w:leader="dot" w:pos="8349"/>
        <w:tab w:val="right" w:leader="dot" w:pos="8834"/>
      </w:tabs>
      <w:adjustRightInd w:val="0"/>
      <w:spacing w:line="360" w:lineRule="auto"/>
    </w:pPr>
    <w:rPr>
      <w:rFonts w:ascii="宋体" w:hAnsi="宋体" w:hint="eastAsia"/>
      <w:b/>
      <w:caps/>
      <w:color w:val="000000"/>
      <w:szCs w:val="20"/>
    </w:rPr>
  </w:style>
  <w:style w:type="paragraph" w:customStyle="1" w:styleId="1fff6">
    <w:name w:val="样式 标题 1封面大标题 + 两端对齐"/>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4125">
    <w:name w:val="缩进4宋125"/>
    <w:basedOn w:val="a3"/>
    <w:unhideWhenUsed/>
    <w:qFormat/>
    <w:pPr>
      <w:widowControl/>
      <w:snapToGrid w:val="0"/>
      <w:spacing w:line="300" w:lineRule="auto"/>
      <w:ind w:firstLine="539"/>
    </w:pPr>
    <w:rPr>
      <w:rFonts w:hint="eastAsia"/>
      <w:sz w:val="30"/>
      <w:szCs w:val="20"/>
    </w:rPr>
  </w:style>
  <w:style w:type="paragraph" w:customStyle="1" w:styleId="2ff5">
    <w:name w:val="正文首行缩进2 字符"/>
    <w:basedOn w:val="BodyTextIndent1"/>
    <w:link w:val="2CharChar5"/>
    <w:unhideWhenUsed/>
    <w:qFormat/>
    <w:pPr>
      <w:spacing w:beforeLines="50" w:after="0" w:line="520" w:lineRule="atLeast"/>
      <w:ind w:leftChars="0" w:left="0" w:firstLine="560"/>
    </w:pPr>
    <w:rPr>
      <w:sz w:val="28"/>
      <w:szCs w:val="20"/>
    </w:rPr>
  </w:style>
  <w:style w:type="paragraph" w:customStyle="1" w:styleId="2ff6">
    <w:name w:val="样式 题注 + 首行缩进:  2 字符"/>
    <w:basedOn w:val="1c"/>
    <w:unhideWhenUsed/>
    <w:qFormat/>
    <w:pPr>
      <w:adjustRightInd w:val="0"/>
      <w:snapToGrid w:val="0"/>
      <w:jc w:val="center"/>
    </w:pPr>
    <w:rPr>
      <w:rFonts w:ascii="Times New Roman" w:eastAsia="宋体" w:hAnsi="Times New Roman"/>
      <w:sz w:val="18"/>
    </w:rPr>
  </w:style>
  <w:style w:type="paragraph" w:customStyle="1" w:styleId="1fff7">
    <w:name w:val="样式 标题 1封面大标题 + 四号"/>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CharCharChar1CharCharCharCharCharCharCharCharChar">
    <w:name w:val="Char Char Char1 Char Char Char Char Char Char Char Char Char"/>
    <w:basedOn w:val="a3"/>
    <w:unhideWhenUsed/>
    <w:qFormat/>
    <w:rPr>
      <w:rFonts w:hint="eastAsia"/>
      <w:sz w:val="21"/>
      <w:szCs w:val="20"/>
    </w:rPr>
  </w:style>
  <w:style w:type="paragraph" w:customStyle="1" w:styleId="affffffffffffff7">
    <w:name w:val="图片"/>
    <w:basedOn w:val="a3"/>
    <w:unhideWhenUsed/>
    <w:qFormat/>
    <w:rPr>
      <w:rFonts w:ascii="宋体" w:hAnsi="宋体" w:hint="eastAsia"/>
      <w:szCs w:val="20"/>
      <w:shd w:val="clear" w:color="auto" w:fill="FFFFFF"/>
    </w:rPr>
  </w:style>
  <w:style w:type="paragraph" w:customStyle="1" w:styleId="affffffffffffff8">
    <w:name w:val="点"/>
    <w:basedOn w:val="a3"/>
    <w:unhideWhenUsed/>
    <w:qFormat/>
    <w:pPr>
      <w:tabs>
        <w:tab w:val="left" w:pos="425"/>
        <w:tab w:val="left" w:pos="567"/>
        <w:tab w:val="left" w:pos="6521"/>
      </w:tabs>
      <w:autoSpaceDE w:val="0"/>
      <w:autoSpaceDN w:val="0"/>
      <w:adjustRightInd w:val="0"/>
      <w:ind w:left="425" w:hanging="425"/>
      <w:jc w:val="left"/>
      <w:textAlignment w:val="bottom"/>
    </w:pPr>
    <w:rPr>
      <w:rFonts w:ascii="Arial" w:hAnsi="Arial" w:hint="eastAsia"/>
      <w:sz w:val="26"/>
      <w:szCs w:val="20"/>
    </w:rPr>
  </w:style>
  <w:style w:type="paragraph" w:customStyle="1" w:styleId="affffffffffffff9">
    <w:name w:val="目录标题"/>
    <w:basedOn w:val="91"/>
    <w:unhideWhenUsed/>
    <w:qFormat/>
    <w:pPr>
      <w:numPr>
        <w:ilvl w:val="0"/>
        <w:numId w:val="0"/>
      </w:numPr>
      <w:autoSpaceDE w:val="0"/>
      <w:autoSpaceDN w:val="0"/>
      <w:spacing w:beforeLines="50" w:before="80" w:afterLines="50" w:after="60" w:line="320" w:lineRule="atLeast"/>
      <w:ind w:rightChars="100" w:right="100"/>
      <w:jc w:val="center"/>
      <w:textAlignment w:val="baseline"/>
    </w:pPr>
    <w:rPr>
      <w:rFonts w:ascii="宋体" w:hAnsi="宋体"/>
      <w:sz w:val="30"/>
      <w:szCs w:val="20"/>
    </w:rPr>
  </w:style>
  <w:style w:type="paragraph" w:customStyle="1" w:styleId="2ff7">
    <w:name w:val="样式 样式 表格 + 居中 + 首行缩进:  2 字符"/>
    <w:basedOn w:val="afffffffffc"/>
    <w:unhideWhenUsed/>
    <w:qFormat/>
    <w:rPr>
      <w:szCs w:val="20"/>
    </w:rPr>
  </w:style>
  <w:style w:type="paragraph" w:customStyle="1" w:styleId="StyleTextCenteredLinespacingsingle1">
    <w:name w:val="Style Text + Centered Line spacing:  single1"/>
    <w:basedOn w:val="Text"/>
    <w:unhideWhenUsed/>
    <w:qFormat/>
    <w:pPr>
      <w:spacing w:beforeLines="60" w:line="240" w:lineRule="auto"/>
      <w:jc w:val="center"/>
    </w:pPr>
  </w:style>
  <w:style w:type="paragraph" w:customStyle="1" w:styleId="2W210">
    <w:name w:val="样式 标题 2W2 +1"/>
    <w:basedOn w:val="213"/>
    <w:unhideWhenUsed/>
    <w:qFormat/>
    <w:pPr>
      <w:tabs>
        <w:tab w:val="left" w:pos="1322"/>
      </w:tabs>
      <w:spacing w:beforeLines="100" w:afterLines="30" w:line="500" w:lineRule="exact"/>
      <w:ind w:left="-288" w:firstLineChars="0" w:firstLine="0"/>
    </w:pPr>
    <w:rPr>
      <w:rFonts w:ascii="黑体" w:eastAsia="黑体" w:hAnsi="宋体"/>
      <w:b w:val="0"/>
      <w:spacing w:val="10"/>
      <w:sz w:val="28"/>
      <w:szCs w:val="20"/>
    </w:rPr>
  </w:style>
  <w:style w:type="paragraph" w:customStyle="1" w:styleId="3f6">
    <w:name w:val="标题  3"/>
    <w:basedOn w:val="310"/>
    <w:unhideWhenUsed/>
    <w:qFormat/>
    <w:pPr>
      <w:keepNext w:val="0"/>
      <w:tabs>
        <w:tab w:val="left" w:pos="0"/>
      </w:tabs>
      <w:adjustRightInd w:val="0"/>
      <w:snapToGrid w:val="0"/>
      <w:spacing w:beforeLines="0" w:afterLines="0"/>
      <w:ind w:firstLine="564"/>
      <w:jc w:val="left"/>
    </w:pPr>
    <w:rPr>
      <w:rFonts w:eastAsia="黑体"/>
      <w:sz w:val="28"/>
      <w:szCs w:val="20"/>
    </w:rPr>
  </w:style>
  <w:style w:type="paragraph" w:customStyle="1" w:styleId="subheading5">
    <w:name w:val="subheading 5"/>
    <w:basedOn w:val="a3"/>
    <w:unhideWhenUsed/>
    <w:qFormat/>
    <w:pPr>
      <w:widowControl/>
      <w:spacing w:before="240" w:after="120"/>
      <w:ind w:firstLine="720"/>
      <w:jc w:val="left"/>
    </w:pPr>
    <w:rPr>
      <w:rFonts w:hint="eastAsia"/>
      <w:szCs w:val="20"/>
      <w:u w:val="single"/>
    </w:rPr>
  </w:style>
  <w:style w:type="paragraph" w:customStyle="1" w:styleId="CharCharCharCharCharChar2">
    <w:name w:val="Char Char Char Char Char Char2"/>
    <w:basedOn w:val="a3"/>
    <w:unhideWhenUsed/>
    <w:qFormat/>
    <w:rPr>
      <w:rFonts w:hint="eastAsia"/>
      <w:sz w:val="21"/>
      <w:szCs w:val="20"/>
    </w:rPr>
  </w:style>
  <w:style w:type="paragraph" w:customStyle="1" w:styleId="References">
    <w:name w:val="References"/>
    <w:basedOn w:val="a3"/>
    <w:unhideWhenUsed/>
    <w:qFormat/>
    <w:pPr>
      <w:widowControl/>
      <w:spacing w:before="240" w:after="240"/>
      <w:ind w:left="720" w:hanging="720"/>
      <w:jc w:val="left"/>
    </w:pPr>
    <w:rPr>
      <w:rFonts w:hint="eastAsia"/>
      <w:szCs w:val="20"/>
    </w:rPr>
  </w:style>
  <w:style w:type="paragraph" w:customStyle="1" w:styleId="affffffffffffffa">
    <w:name w:val="目录一级"/>
    <w:basedOn w:val="zjj2"/>
    <w:unhideWhenUsed/>
    <w:qFormat/>
    <w:pPr>
      <w:tabs>
        <w:tab w:val="clear" w:pos="0"/>
      </w:tabs>
      <w:autoSpaceDE/>
      <w:autoSpaceDN/>
      <w:adjustRightInd/>
      <w:snapToGrid/>
      <w:spacing w:beforeLines="50" w:afterLines="50" w:line="420" w:lineRule="exact"/>
      <w:textAlignment w:val="auto"/>
    </w:pPr>
    <w:rPr>
      <w:rFonts w:eastAsia="宋体"/>
      <w:kern w:val="2"/>
      <w:sz w:val="28"/>
    </w:rPr>
  </w:style>
  <w:style w:type="paragraph" w:customStyle="1" w:styleId="5230">
    <w:name w:val="样式 样式5 + 首行缩进:  2 字符3"/>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affffffffffffffb">
    <w:name w:val="报告编号"/>
    <w:basedOn w:val="a3"/>
    <w:unhideWhenUsed/>
    <w:qFormat/>
    <w:pPr>
      <w:adjustRightInd w:val="0"/>
      <w:snapToGrid w:val="0"/>
      <w:spacing w:line="360" w:lineRule="exact"/>
      <w:jc w:val="center"/>
    </w:pPr>
    <w:rPr>
      <w:rFonts w:eastAsia="黑体" w:hint="eastAsia"/>
      <w:b/>
      <w:sz w:val="28"/>
      <w:szCs w:val="20"/>
    </w:rPr>
  </w:style>
  <w:style w:type="paragraph" w:customStyle="1" w:styleId="affffffffffffffc">
    <w:name w:val="公式下行"/>
    <w:unhideWhenUsed/>
    <w:qFormat/>
    <w:pPr>
      <w:spacing w:beforeLines="50" w:afterLines="50" w:line="360" w:lineRule="auto"/>
      <w:jc w:val="both"/>
    </w:pPr>
    <w:rPr>
      <w:rFonts w:hint="eastAsia"/>
      <w:kern w:val="2"/>
      <w:sz w:val="24"/>
    </w:rPr>
  </w:style>
  <w:style w:type="paragraph" w:customStyle="1" w:styleId="5e">
    <w:name w:val="样式 样式5 + 宋体"/>
    <w:basedOn w:val="5a"/>
    <w:link w:val="5Char2"/>
    <w:unhideWhenUsed/>
    <w:qFormat/>
    <w:pPr>
      <w:spacing w:line="560" w:lineRule="exact"/>
      <w:ind w:firstLineChars="0" w:firstLine="560"/>
      <w:textAlignment w:val="baseline"/>
    </w:pPr>
    <w:rPr>
      <w:rFonts w:ascii="Times New Roman" w:hAnsi="Times New Roman"/>
      <w:b/>
      <w:sz w:val="26"/>
      <w:szCs w:val="26"/>
    </w:rPr>
  </w:style>
  <w:style w:type="paragraph" w:customStyle="1" w:styleId="5037">
    <w:name w:val="样式 表格5 + 首行缩进:  0.37 厘米"/>
    <w:basedOn w:val="5b"/>
    <w:unhideWhenUsed/>
    <w:qFormat/>
    <w:rPr>
      <w:color w:val="FF0000"/>
    </w:rPr>
  </w:style>
  <w:style w:type="paragraph" w:customStyle="1" w:styleId="525">
    <w:name w:val="样式 样式5 + 首行缩进:  2 字符5"/>
    <w:basedOn w:val="5a"/>
    <w:unhideWhenUsed/>
    <w:qFormat/>
    <w:pPr>
      <w:spacing w:line="560" w:lineRule="exact"/>
      <w:ind w:firstLineChars="0" w:firstLine="200"/>
      <w:textAlignment w:val="baseline"/>
    </w:pPr>
    <w:rPr>
      <w:rFonts w:ascii="Times New Roman" w:hAnsi="Times New Roman"/>
      <w:b/>
      <w:sz w:val="26"/>
      <w:szCs w:val="20"/>
    </w:rPr>
  </w:style>
  <w:style w:type="paragraph" w:customStyle="1" w:styleId="3181">
    <w:name w:val="样式 标题3 + 左侧:  1.8 字符"/>
    <w:basedOn w:val="3c"/>
    <w:unhideWhenUsed/>
    <w:qFormat/>
    <w:pPr>
      <w:snapToGrid/>
      <w:spacing w:line="480" w:lineRule="exact"/>
      <w:ind w:leftChars="180" w:left="504" w:firstLine="0"/>
    </w:pPr>
    <w:rPr>
      <w:rFonts w:eastAsia="黑体"/>
      <w:sz w:val="30"/>
    </w:rPr>
  </w:style>
  <w:style w:type="paragraph" w:customStyle="1" w:styleId="affffffffffffffd">
    <w:name w:val="表左"/>
    <w:basedOn w:val="a3"/>
    <w:unhideWhenUsed/>
    <w:qFormat/>
    <w:pPr>
      <w:spacing w:line="280" w:lineRule="exact"/>
      <w:jc w:val="left"/>
    </w:pPr>
    <w:rPr>
      <w:rFonts w:ascii="宋体" w:hint="eastAsia"/>
      <w:color w:val="000000"/>
      <w:sz w:val="18"/>
      <w:szCs w:val="20"/>
    </w:rPr>
  </w:style>
  <w:style w:type="paragraph" w:customStyle="1" w:styleId="301">
    <w:name w:val="样式 标题 3 + 左侧:  0 厘米"/>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affffffffffffffe">
    <w:name w:val="样式 表后标题 + (西文) 宋体"/>
    <w:basedOn w:val="afffffffffffff2"/>
    <w:unhideWhenUsed/>
    <w:qFormat/>
    <w:pPr>
      <w:ind w:right="420"/>
    </w:pPr>
    <w:rPr>
      <w:rFonts w:ascii="宋体"/>
      <w:b w:val="0"/>
    </w:rPr>
  </w:style>
  <w:style w:type="paragraph" w:customStyle="1" w:styleId="pa-57">
    <w:name w:val="pa-57"/>
    <w:basedOn w:val="a3"/>
    <w:unhideWhenUsed/>
    <w:qFormat/>
    <w:pPr>
      <w:widowControl/>
      <w:spacing w:line="360" w:lineRule="atLeast"/>
      <w:ind w:firstLine="500"/>
    </w:pPr>
    <w:rPr>
      <w:rFonts w:ascii="宋体" w:hAnsi="宋体" w:hint="eastAsia"/>
      <w:szCs w:val="20"/>
    </w:rPr>
  </w:style>
  <w:style w:type="paragraph" w:customStyle="1" w:styleId="StyleCenteredLinespacingsingle">
    <w:name w:val="Style Centered Line spacing:  single"/>
    <w:basedOn w:val="a3"/>
    <w:unhideWhenUsed/>
    <w:qFormat/>
    <w:pPr>
      <w:widowControl/>
      <w:jc w:val="center"/>
    </w:pPr>
    <w:rPr>
      <w:rFonts w:hint="eastAsia"/>
      <w:szCs w:val="20"/>
    </w:rPr>
  </w:style>
  <w:style w:type="paragraph" w:customStyle="1" w:styleId="0856615">
    <w:name w:val="样式 小四 非加粗 首行缩进:  0.85 厘米 段前: 6 磅 段后: 6 磅 行距: 1.5 倍行距"/>
    <w:basedOn w:val="a3"/>
    <w:link w:val="0856615Char"/>
    <w:unhideWhenUsed/>
    <w:qFormat/>
    <w:pPr>
      <w:spacing w:line="500" w:lineRule="atLeast"/>
      <w:ind w:firstLine="561"/>
    </w:pPr>
    <w:rPr>
      <w:rFonts w:hint="eastAsia"/>
      <w:sz w:val="28"/>
      <w:szCs w:val="28"/>
    </w:rPr>
  </w:style>
  <w:style w:type="paragraph" w:customStyle="1" w:styleId="CharCharChar0">
    <w:name w:val="默认段落字体 Char Char Char"/>
    <w:basedOn w:val="a3"/>
    <w:unhideWhenUsed/>
    <w:qFormat/>
    <w:rPr>
      <w:rFonts w:hint="eastAsia"/>
      <w:szCs w:val="24"/>
    </w:rPr>
  </w:style>
  <w:style w:type="paragraph" w:customStyle="1" w:styleId="afffffffffffffff">
    <w:name w:val="表格（小）"/>
    <w:basedOn w:val="a3"/>
    <w:unhideWhenUsed/>
    <w:qFormat/>
    <w:pPr>
      <w:adjustRightInd w:val="0"/>
      <w:snapToGrid w:val="0"/>
    </w:pPr>
    <w:rPr>
      <w:rFonts w:hint="eastAsia"/>
      <w:sz w:val="21"/>
      <w:szCs w:val="20"/>
    </w:rPr>
  </w:style>
  <w:style w:type="paragraph" w:customStyle="1" w:styleId="125">
    <w:name w:val="12"/>
    <w:basedOn w:val="a3"/>
    <w:next w:val="af2"/>
    <w:unhideWhenUsed/>
    <w:qFormat/>
    <w:rPr>
      <w:rFonts w:ascii="宋体" w:hAnsi="Courier New" w:hint="eastAsia"/>
      <w:sz w:val="21"/>
      <w:szCs w:val="20"/>
    </w:rPr>
  </w:style>
  <w:style w:type="paragraph" w:customStyle="1" w:styleId="156">
    <w:name w:val="样式 宋体 四号 行距: 1.5 倍行距"/>
    <w:basedOn w:val="a3"/>
    <w:unhideWhenUsed/>
    <w:qFormat/>
    <w:pPr>
      <w:ind w:right="-169" w:firstLine="482"/>
    </w:pPr>
    <w:rPr>
      <w:rFonts w:ascii="宋体" w:hAnsi="Arial" w:cs="宋体" w:hint="eastAsia"/>
      <w:color w:val="FF0000"/>
      <w:szCs w:val="24"/>
      <w:lang w:val="zh-CN"/>
    </w:rPr>
  </w:style>
  <w:style w:type="paragraph" w:customStyle="1" w:styleId="3212">
    <w:name w:val="样式 标题 3 + 首行缩进:  2 字符1"/>
    <w:basedOn w:val="310"/>
    <w:unhideWhenUsed/>
    <w:qFormat/>
    <w:pPr>
      <w:adjustRightInd w:val="0"/>
      <w:snapToGrid w:val="0"/>
      <w:spacing w:beforeLines="0" w:afterLines="0"/>
      <w:ind w:firstLine="422"/>
      <w:jc w:val="left"/>
    </w:pPr>
    <w:rPr>
      <w:rFonts w:eastAsia="黑体"/>
      <w:sz w:val="28"/>
      <w:szCs w:val="28"/>
    </w:rPr>
  </w:style>
  <w:style w:type="paragraph" w:customStyle="1" w:styleId="132">
    <w:name w:val="正文13号缩进"/>
    <w:basedOn w:val="a3"/>
    <w:unhideWhenUsed/>
    <w:qFormat/>
    <w:pPr>
      <w:ind w:firstLine="520"/>
    </w:pPr>
    <w:rPr>
      <w:rFonts w:cs="宋体" w:hint="eastAsia"/>
      <w:sz w:val="26"/>
      <w:szCs w:val="20"/>
    </w:rPr>
  </w:style>
  <w:style w:type="paragraph" w:customStyle="1" w:styleId="CharCharChar1CharCharChar1CharCharCharCharCharChar1CharCharChar1Char">
    <w:name w:val="Char Char Char1 Char Char Char1 Char Char Char Char Char Char1 Char Char Char1 Char"/>
    <w:basedOn w:val="a3"/>
    <w:unhideWhenUsed/>
    <w:qFormat/>
    <w:rPr>
      <w:rFonts w:hint="eastAsia"/>
      <w:sz w:val="21"/>
      <w:szCs w:val="24"/>
    </w:rPr>
  </w:style>
  <w:style w:type="paragraph" w:customStyle="1" w:styleId="4f3">
    <w:name w:val="+标题4"/>
    <w:basedOn w:val="410"/>
    <w:unhideWhenUsed/>
    <w:qFormat/>
    <w:pPr>
      <w:keepNext w:val="0"/>
      <w:tabs>
        <w:tab w:val="left" w:pos="709"/>
        <w:tab w:val="left" w:pos="2880"/>
      </w:tabs>
      <w:spacing w:beforeLines="0" w:afterLines="0" w:line="240" w:lineRule="auto"/>
      <w:ind w:firstLineChars="0" w:firstLine="0"/>
      <w:jc w:val="left"/>
    </w:pPr>
    <w:rPr>
      <w:rFonts w:ascii="宋体" w:hAnsi="宋体"/>
    </w:rPr>
  </w:style>
  <w:style w:type="paragraph" w:customStyle="1" w:styleId="280">
    <w:name w:val="28"/>
    <w:basedOn w:val="a3"/>
    <w:next w:val="af2"/>
    <w:unhideWhenUsed/>
    <w:qFormat/>
    <w:rPr>
      <w:rFonts w:ascii="宋体" w:hAnsi="Courier New" w:hint="eastAsia"/>
      <w:sz w:val="28"/>
      <w:szCs w:val="20"/>
    </w:rPr>
  </w:style>
  <w:style w:type="paragraph" w:customStyle="1" w:styleId="BodyText">
    <w:name w:val="BodyText"/>
    <w:basedOn w:val="a3"/>
    <w:unhideWhenUsed/>
    <w:qFormat/>
    <w:pPr>
      <w:tabs>
        <w:tab w:val="left" w:pos="737"/>
      </w:tabs>
      <w:adjustRightInd w:val="0"/>
      <w:snapToGrid w:val="0"/>
      <w:spacing w:before="120"/>
      <w:jc w:val="left"/>
      <w:textAlignment w:val="baseline"/>
    </w:pPr>
    <w:rPr>
      <w:rFonts w:ascii="宋体" w:hAnsi="宋体" w:hint="eastAsia"/>
      <w:color w:val="000000"/>
      <w:sz w:val="28"/>
      <w:szCs w:val="20"/>
    </w:rPr>
  </w:style>
  <w:style w:type="paragraph" w:customStyle="1" w:styleId="133">
    <w:name w:val="13"/>
    <w:basedOn w:val="a3"/>
    <w:next w:val="af2"/>
    <w:unhideWhenUsed/>
    <w:qFormat/>
    <w:rPr>
      <w:rFonts w:ascii="宋体" w:hAnsi="Courier New" w:hint="eastAsia"/>
      <w:sz w:val="21"/>
      <w:szCs w:val="20"/>
    </w:rPr>
  </w:style>
  <w:style w:type="paragraph" w:customStyle="1" w:styleId="8-2Char">
    <w:name w:val="8-2 Char"/>
    <w:basedOn w:val="a3"/>
    <w:link w:val="8-2CharCharChar"/>
    <w:unhideWhenUsed/>
    <w:qFormat/>
    <w:pPr>
      <w:spacing w:line="440" w:lineRule="exact"/>
      <w:ind w:firstLine="480"/>
      <w:jc w:val="left"/>
    </w:pPr>
    <w:rPr>
      <w:rFonts w:ascii="宋体" w:hAnsi="宋体" w:cs="宋体" w:hint="eastAsia"/>
      <w:szCs w:val="24"/>
    </w:rPr>
  </w:style>
  <w:style w:type="paragraph" w:customStyle="1" w:styleId="CharCharChar3CharCharCharCharCharCharCharCharCharCharCharCharChar1">
    <w:name w:val="Char Char Char3 Char Char Char Char Char Char Char Char Char Char Char Char Char1"/>
    <w:basedOn w:val="a3"/>
    <w:unhideWhenUsed/>
    <w:qFormat/>
    <w:rPr>
      <w:rFonts w:hint="eastAsia"/>
      <w:sz w:val="21"/>
      <w:szCs w:val="20"/>
    </w:rPr>
  </w:style>
  <w:style w:type="paragraph" w:customStyle="1" w:styleId="CharCharChar1Char11">
    <w:name w:val="Char Char Char1 Char11"/>
    <w:basedOn w:val="a3"/>
    <w:unhideWhenUsed/>
    <w:qFormat/>
    <w:rPr>
      <w:rFonts w:hint="eastAsia"/>
      <w:szCs w:val="20"/>
    </w:rPr>
  </w:style>
  <w:style w:type="paragraph" w:customStyle="1" w:styleId="CharCharChar1CharCharCharChar1CharChar1">
    <w:name w:val="Char Char Char1 Char Char Char Char1 Char Char1"/>
    <w:basedOn w:val="a3"/>
    <w:unhideWhenUsed/>
    <w:qFormat/>
    <w:rPr>
      <w:rFonts w:hint="eastAsia"/>
      <w:sz w:val="21"/>
      <w:szCs w:val="20"/>
    </w:rPr>
  </w:style>
  <w:style w:type="paragraph" w:customStyle="1" w:styleId="CharCharChar1CharCharCharChar11">
    <w:name w:val="Char Char Char1 Char Char Char Char11"/>
    <w:basedOn w:val="a3"/>
    <w:unhideWhenUsed/>
    <w:qFormat/>
    <w:rPr>
      <w:rFonts w:hint="eastAsia"/>
      <w:sz w:val="21"/>
      <w:szCs w:val="20"/>
    </w:rPr>
  </w:style>
  <w:style w:type="paragraph" w:customStyle="1" w:styleId="CharCharCharCharChar2CharCharCharChar1">
    <w:name w:val="Char Char Char Char Char2 Char Char Char Char1"/>
    <w:basedOn w:val="a3"/>
    <w:unhideWhenUsed/>
    <w:qFormat/>
    <w:pPr>
      <w:adjustRightInd w:val="0"/>
      <w:snapToGrid w:val="0"/>
    </w:pPr>
    <w:rPr>
      <w:rFonts w:ascii="宋体" w:hAnsi="宋体" w:hint="eastAsia"/>
      <w:szCs w:val="20"/>
    </w:rPr>
  </w:style>
  <w:style w:type="paragraph" w:customStyle="1" w:styleId="CharChar7CharCharCharChar1">
    <w:name w:val="Char Char7 Char Char Char Char1"/>
    <w:basedOn w:val="a3"/>
    <w:unhideWhenUsed/>
    <w:qFormat/>
    <w:pPr>
      <w:widowControl/>
      <w:spacing w:after="160" w:line="240" w:lineRule="exact"/>
      <w:jc w:val="left"/>
    </w:pPr>
    <w:rPr>
      <w:rFonts w:ascii="Verdana" w:hAnsi="Verdana" w:hint="eastAsia"/>
      <w:sz w:val="20"/>
      <w:szCs w:val="20"/>
      <w:lang w:eastAsia="en-US"/>
    </w:rPr>
  </w:style>
  <w:style w:type="paragraph" w:customStyle="1" w:styleId="CharCharChar1CharCharCharCharCharCharCharCharChar1">
    <w:name w:val="Char Char Char1 Char Char Char Char Char Char Char Char Char1"/>
    <w:basedOn w:val="a3"/>
    <w:unhideWhenUsed/>
    <w:qFormat/>
    <w:rPr>
      <w:rFonts w:hint="eastAsia"/>
      <w:sz w:val="21"/>
      <w:szCs w:val="20"/>
    </w:rPr>
  </w:style>
  <w:style w:type="paragraph" w:customStyle="1" w:styleId="CharCharChar1CharCharChar1CharCharCharCharCharChar1CharCharChar1Char1">
    <w:name w:val="Char Char Char1 Char Char Char1 Char Char Char Char Char Char1 Char Char Char1 Char1"/>
    <w:basedOn w:val="a3"/>
    <w:unhideWhenUsed/>
    <w:qFormat/>
    <w:rPr>
      <w:rFonts w:hint="eastAsia"/>
      <w:sz w:val="21"/>
      <w:szCs w:val="24"/>
    </w:rPr>
  </w:style>
  <w:style w:type="paragraph" w:customStyle="1" w:styleId="afffffffffffffff0">
    <w:name w:val="不缩进"/>
    <w:basedOn w:val="a3"/>
    <w:unhideWhenUsed/>
    <w:qFormat/>
    <w:pPr>
      <w:autoSpaceDE w:val="0"/>
      <w:autoSpaceDN w:val="0"/>
      <w:adjustRightInd w:val="0"/>
      <w:snapToGrid w:val="0"/>
      <w:spacing w:before="20" w:after="20"/>
      <w:jc w:val="center"/>
    </w:pPr>
    <w:rPr>
      <w:rFonts w:ascii="宋体" w:hAnsi="宋体" w:hint="eastAsia"/>
      <w:sz w:val="22"/>
      <w:szCs w:val="20"/>
    </w:rPr>
  </w:style>
  <w:style w:type="paragraph" w:customStyle="1" w:styleId="Times">
    <w:name w:val="样式 表头 + (符号) Times"/>
    <w:basedOn w:val="afff3"/>
    <w:link w:val="TimesChar"/>
    <w:unhideWhenUsed/>
    <w:qFormat/>
    <w:pPr>
      <w:spacing w:line="400" w:lineRule="exact"/>
      <w:ind w:firstLineChars="100" w:firstLine="240"/>
      <w:jc w:val="right"/>
    </w:pPr>
    <w:rPr>
      <w:rFonts w:ascii="仿宋_GB2312" w:eastAsia="仿宋_GB2312" w:hAnsi="宋体" w:hint="eastAsia"/>
      <w:color w:val="000000"/>
      <w:szCs w:val="24"/>
    </w:rPr>
  </w:style>
  <w:style w:type="paragraph" w:customStyle="1" w:styleId="141">
    <w:name w:val="样式14"/>
    <w:basedOn w:val="a3"/>
    <w:link w:val="14Char"/>
    <w:unhideWhenUsed/>
    <w:qFormat/>
    <w:pPr>
      <w:spacing w:line="500" w:lineRule="exact"/>
      <w:ind w:firstLine="480"/>
      <w:jc w:val="left"/>
    </w:pPr>
    <w:rPr>
      <w:rFonts w:eastAsia="华文中宋" w:hint="eastAsia"/>
      <w:color w:val="000000"/>
      <w:szCs w:val="24"/>
    </w:rPr>
  </w:style>
  <w:style w:type="paragraph" w:customStyle="1" w:styleId="afffffffffffffff1">
    <w:name w:val="文本框文字"/>
    <w:basedOn w:val="a3"/>
    <w:next w:val="a4"/>
    <w:unhideWhenUsed/>
    <w:qFormat/>
    <w:pPr>
      <w:spacing w:line="240" w:lineRule="atLeast"/>
    </w:pPr>
    <w:rPr>
      <w:rFonts w:ascii="Arial" w:hAnsi="Arial" w:hint="eastAsia"/>
      <w:sz w:val="21"/>
      <w:szCs w:val="24"/>
    </w:rPr>
  </w:style>
  <w:style w:type="paragraph" w:customStyle="1" w:styleId="afffffffffffffff2">
    <w:name w:val="表格目录"/>
    <w:basedOn w:val="a3"/>
    <w:next w:val="a3"/>
    <w:unhideWhenUsed/>
    <w:qFormat/>
    <w:pPr>
      <w:spacing w:line="440" w:lineRule="exact"/>
      <w:jc w:val="center"/>
    </w:pPr>
    <w:rPr>
      <w:rFonts w:ascii="宋体" w:hAnsi="宋体" w:hint="eastAsia"/>
      <w:b/>
      <w:sz w:val="21"/>
      <w:szCs w:val="24"/>
    </w:rPr>
  </w:style>
  <w:style w:type="paragraph" w:customStyle="1" w:styleId="afffffffffffffff3">
    <w:name w:val="符号后文字"/>
    <w:basedOn w:val="1b"/>
    <w:unhideWhenUsed/>
    <w:qFormat/>
    <w:pPr>
      <w:spacing w:line="440" w:lineRule="exact"/>
      <w:ind w:firstLine="482"/>
    </w:pPr>
    <w:rPr>
      <w:rFonts w:ascii="宋体" w:hAnsi="宋体"/>
      <w:b/>
      <w:color w:val="0000FF"/>
      <w:sz w:val="24"/>
      <w:szCs w:val="24"/>
      <w:u w:val="wave"/>
    </w:rPr>
  </w:style>
  <w:style w:type="paragraph" w:customStyle="1" w:styleId="afffffffffffffff4">
    <w:name w:val="索引"/>
    <w:basedOn w:val="27"/>
    <w:next w:val="1b"/>
    <w:unhideWhenUsed/>
    <w:qFormat/>
    <w:pPr>
      <w:keepNext/>
      <w:keepLines/>
      <w:tabs>
        <w:tab w:val="left" w:pos="0"/>
        <w:tab w:val="left" w:pos="360"/>
      </w:tabs>
      <w:spacing w:line="400" w:lineRule="exact"/>
      <w:ind w:leftChars="0" w:left="340" w:hanging="340"/>
    </w:pPr>
    <w:rPr>
      <w:sz w:val="24"/>
      <w:szCs w:val="20"/>
    </w:rPr>
  </w:style>
  <w:style w:type="paragraph" w:customStyle="1" w:styleId="StyleHeading1TimesNewRomanJustifiedBefore05line">
    <w:name w:val="Style Heading 1 + Times New Roman Justified Before:  0.5 line"/>
    <w:basedOn w:val="110"/>
    <w:unhideWhenUsed/>
    <w:qFormat/>
    <w:pPr>
      <w:tabs>
        <w:tab w:val="left" w:pos="900"/>
      </w:tabs>
      <w:spacing w:beforeLines="50" w:afterLines="0" w:line="480" w:lineRule="auto"/>
      <w:ind w:left="900" w:firstLineChars="0" w:hanging="420"/>
    </w:pPr>
    <w:rPr>
      <w:sz w:val="28"/>
      <w:szCs w:val="20"/>
    </w:rPr>
  </w:style>
  <w:style w:type="paragraph" w:customStyle="1" w:styleId="360">
    <w:name w:val="标题3，小四黑体，6磅"/>
    <w:basedOn w:val="a3"/>
    <w:unhideWhenUsed/>
    <w:qFormat/>
    <w:pPr>
      <w:keepNext/>
      <w:keepLines/>
      <w:spacing w:before="120" w:after="120" w:line="415" w:lineRule="auto"/>
      <w:outlineLvl w:val="2"/>
    </w:pPr>
    <w:rPr>
      <w:rFonts w:ascii="黑体" w:eastAsia="黑体" w:hint="eastAsia"/>
      <w:b/>
      <w:szCs w:val="32"/>
    </w:rPr>
  </w:style>
  <w:style w:type="paragraph" w:customStyle="1" w:styleId="2130">
    <w:name w:val="标题2，四号黑体，13磅，"/>
    <w:basedOn w:val="213"/>
    <w:unhideWhenUsed/>
    <w:qFormat/>
    <w:pPr>
      <w:tabs>
        <w:tab w:val="left" w:pos="1322"/>
      </w:tabs>
      <w:spacing w:beforeLines="0" w:afterLines="0"/>
      <w:ind w:firstLineChars="0" w:firstLine="0"/>
    </w:pPr>
    <w:rPr>
      <w:rFonts w:ascii="黑体" w:eastAsia="黑体" w:hAnsi="Arial"/>
      <w:color w:val="FF00FF"/>
      <w:sz w:val="28"/>
    </w:rPr>
  </w:style>
  <w:style w:type="paragraph" w:customStyle="1" w:styleId="1fff8">
    <w:name w:val="标题1，三号黑体，居中，"/>
    <w:basedOn w:val="110"/>
    <w:unhideWhenUsed/>
    <w:qFormat/>
    <w:pPr>
      <w:spacing w:beforeLines="0" w:afterLines="0"/>
      <w:ind w:firstLineChars="0" w:firstLine="0"/>
      <w:jc w:val="center"/>
    </w:pPr>
    <w:rPr>
      <w:rFonts w:ascii="黑体" w:eastAsia="黑体" w:hAnsi="宋体"/>
      <w:sz w:val="32"/>
    </w:rPr>
  </w:style>
  <w:style w:type="paragraph" w:customStyle="1" w:styleId="226">
    <w:name w:val="样式 宋体 小四 左 行距: 固定值 22 磅"/>
    <w:basedOn w:val="a3"/>
    <w:unhideWhenUsed/>
    <w:qFormat/>
    <w:pPr>
      <w:spacing w:line="440" w:lineRule="exact"/>
      <w:jc w:val="left"/>
    </w:pPr>
    <w:rPr>
      <w:rFonts w:ascii="宋体" w:hAnsi="宋体" w:cs="宋体" w:hint="eastAsia"/>
      <w:szCs w:val="20"/>
    </w:rPr>
  </w:style>
  <w:style w:type="paragraph" w:customStyle="1" w:styleId="1220">
    <w:name w:val="样式 样式 样式1 + 首行缩进:  2 字符 + 首行缩进:  2 字符"/>
    <w:basedOn w:val="a3"/>
    <w:unhideWhenUsed/>
    <w:qFormat/>
    <w:pPr>
      <w:spacing w:line="240" w:lineRule="atLeast"/>
      <w:jc w:val="left"/>
    </w:pPr>
    <w:rPr>
      <w:rFonts w:hAnsi="宋体" w:cs="宋体" w:hint="eastAsia"/>
      <w:color w:val="FF0000"/>
      <w:szCs w:val="24"/>
    </w:rPr>
  </w:style>
  <w:style w:type="paragraph" w:customStyle="1" w:styleId="afffffffffffffff5">
    <w:name w:val="方案正文样式"/>
    <w:basedOn w:val="a3"/>
    <w:link w:val="Charffff"/>
    <w:unhideWhenUsed/>
    <w:qFormat/>
    <w:pPr>
      <w:adjustRightInd w:val="0"/>
      <w:snapToGrid w:val="0"/>
      <w:ind w:firstLine="454"/>
      <w:textAlignment w:val="baseline"/>
    </w:pPr>
    <w:rPr>
      <w:rFonts w:hint="eastAsia"/>
      <w:szCs w:val="24"/>
    </w:rPr>
  </w:style>
  <w:style w:type="paragraph" w:customStyle="1" w:styleId="StyleHeading2Char2CharCF2Left0cmFirstline">
    <w:name w:val="Style Heading 2 Char标题 2 Char节(C+F2) + Left:  0 cm First line:..."/>
    <w:basedOn w:val="213"/>
    <w:unhideWhenUsed/>
    <w:qFormat/>
    <w:pPr>
      <w:tabs>
        <w:tab w:val="left" w:pos="576"/>
        <w:tab w:val="left" w:pos="1322"/>
      </w:tabs>
      <w:spacing w:beforeLines="0" w:afterLines="0" w:line="500" w:lineRule="exact"/>
      <w:ind w:left="576" w:firstLineChars="0" w:hanging="576"/>
    </w:pPr>
    <w:rPr>
      <w:rFonts w:ascii="Arial" w:hAnsi="Arial"/>
      <w:sz w:val="24"/>
      <w:szCs w:val="20"/>
    </w:rPr>
  </w:style>
  <w:style w:type="paragraph" w:customStyle="1" w:styleId="StyleHeading34CF3BoldBefore05line">
    <w:name w:val="Style Heading 3小节标题4(C+F3) + 宋体 Bold Before:  0.5 line"/>
    <w:basedOn w:val="310"/>
    <w:unhideWhenUsed/>
    <w:qFormat/>
    <w:pPr>
      <w:spacing w:before="120" w:afterLines="0" w:line="400" w:lineRule="exact"/>
      <w:ind w:firstLineChars="0" w:firstLine="0"/>
    </w:pPr>
    <w:rPr>
      <w:rFonts w:ascii="宋体" w:hAnsi="宋体"/>
      <w:sz w:val="24"/>
      <w:szCs w:val="20"/>
    </w:rPr>
  </w:style>
  <w:style w:type="paragraph" w:customStyle="1" w:styleId="StyleStyleHeading34CF3BoldBefore05lineBefo">
    <w:name w:val="Style Style Heading 3小节标题4(C+F3) + 宋体 Bold Before:  0.5 line + Befo..."/>
    <w:basedOn w:val="StyleHeading34CF3BoldBefore05line"/>
    <w:unhideWhenUsed/>
    <w:qFormat/>
    <w:pPr>
      <w:tabs>
        <w:tab w:val="left" w:pos="720"/>
      </w:tabs>
      <w:spacing w:before="156"/>
      <w:ind w:left="720" w:hanging="720"/>
    </w:pPr>
  </w:style>
  <w:style w:type="paragraph" w:customStyle="1" w:styleId="StyleHeading1LeftBefore05line">
    <w:name w:val="Style Heading 1 + Left Before:  0.5 line"/>
    <w:basedOn w:val="110"/>
    <w:next w:val="1"/>
    <w:link w:val="StyleHeading1LeftBefore05lineChar"/>
    <w:unhideWhenUsed/>
    <w:qFormat/>
    <w:pPr>
      <w:tabs>
        <w:tab w:val="left" w:pos="927"/>
      </w:tabs>
      <w:spacing w:beforeLines="50" w:afterLines="0" w:line="480" w:lineRule="auto"/>
      <w:ind w:left="711" w:firstLineChars="0" w:hanging="144"/>
      <w:jc w:val="left"/>
    </w:pPr>
    <w:rPr>
      <w:rFonts w:ascii="Arial" w:hAnsi="Arial"/>
      <w:b w:val="0"/>
      <w:sz w:val="28"/>
      <w:szCs w:val="24"/>
    </w:rPr>
  </w:style>
  <w:style w:type="paragraph" w:customStyle="1" w:styleId="StyleHeading2Char2CharCF22-1111">
    <w:name w:val="Style Heading 2 Char标题 2 Char节(C+F2)节，一宋三标题 2-王鹏节标题 1.11.1..."/>
    <w:basedOn w:val="213"/>
    <w:unhideWhenUsed/>
    <w:qFormat/>
    <w:pPr>
      <w:tabs>
        <w:tab w:val="left" w:pos="1322"/>
      </w:tabs>
      <w:spacing w:beforeLines="0" w:afterLines="0" w:line="300" w:lineRule="auto"/>
      <w:ind w:firstLineChars="0" w:firstLine="0"/>
      <w:jc w:val="left"/>
    </w:pPr>
    <w:rPr>
      <w:rFonts w:ascii="宋体" w:hAnsi="宋体"/>
      <w:smallCaps/>
      <w:kern w:val="28"/>
      <w:sz w:val="24"/>
      <w:szCs w:val="20"/>
    </w:rPr>
  </w:style>
  <w:style w:type="paragraph" w:customStyle="1" w:styleId="StyleStyleHeading2Char2CharCF22-1111">
    <w:name w:val="Style Style Heading 2 Char标题 2 Char节(C+F2)节，一宋三标题 2-王鹏节标题 1.11.1......"/>
    <w:basedOn w:val="StyleHeading2Char2CharCF22-1111"/>
    <w:unhideWhenUsed/>
    <w:qFormat/>
    <w:pPr>
      <w:tabs>
        <w:tab w:val="left" w:pos="851"/>
      </w:tabs>
      <w:ind w:left="567" w:hanging="567"/>
    </w:pPr>
    <w:rPr>
      <w:sz w:val="28"/>
    </w:rPr>
  </w:style>
  <w:style w:type="paragraph" w:customStyle="1" w:styleId="StyleHeading1H11-1-h11stlevelSectionHeadl1b">
    <w:name w:val="Style Heading 1H1标题 1-王鹏章标题 1-*+h11st levelSection Headl1b..."/>
    <w:basedOn w:val="110"/>
    <w:unhideWhenUsed/>
    <w:qFormat/>
    <w:pPr>
      <w:tabs>
        <w:tab w:val="left" w:pos="567"/>
      </w:tabs>
      <w:spacing w:beforeLines="50" w:afterLines="0" w:line="300" w:lineRule="auto"/>
      <w:ind w:left="432" w:firstLineChars="0" w:hanging="432"/>
      <w:jc w:val="left"/>
    </w:pPr>
    <w:rPr>
      <w:rFonts w:ascii="宋体" w:hAnsi="宋体"/>
      <w:caps/>
      <w:kern w:val="28"/>
      <w:sz w:val="30"/>
      <w:szCs w:val="20"/>
    </w:rPr>
  </w:style>
  <w:style w:type="paragraph" w:customStyle="1" w:styleId="afffffffffffffff6">
    <w:name w:val="封面工程项目名称"/>
    <w:basedOn w:val="a3"/>
    <w:unhideWhenUsed/>
    <w:qFormat/>
    <w:pPr>
      <w:jc w:val="center"/>
    </w:pPr>
    <w:rPr>
      <w:rFonts w:eastAsia="楷体_GB2312" w:cs="宋体" w:hint="eastAsia"/>
      <w:b/>
      <w:spacing w:val="24"/>
      <w:sz w:val="52"/>
      <w:szCs w:val="20"/>
    </w:rPr>
  </w:style>
  <w:style w:type="paragraph" w:customStyle="1" w:styleId="afffffffffffffff7">
    <w:name w:val="环境影响报告书"/>
    <w:basedOn w:val="a3"/>
    <w:next w:val="a3"/>
    <w:unhideWhenUsed/>
    <w:qFormat/>
    <w:pPr>
      <w:jc w:val="center"/>
    </w:pPr>
    <w:rPr>
      <w:rFonts w:eastAsia="黑体" w:cs="宋体" w:hint="eastAsia"/>
      <w:b/>
      <w:spacing w:val="30"/>
      <w:sz w:val="52"/>
      <w:szCs w:val="20"/>
    </w:rPr>
  </w:style>
  <w:style w:type="paragraph" w:customStyle="1" w:styleId="2TimesNewRoman0">
    <w:name w:val="正文首行缩进 2 + Times New Roman"/>
    <w:basedOn w:val="a3"/>
    <w:link w:val="2TimesNewRomanChar"/>
    <w:unhideWhenUsed/>
    <w:qFormat/>
    <w:pPr>
      <w:tabs>
        <w:tab w:val="left" w:pos="-57"/>
        <w:tab w:val="left" w:pos="0"/>
      </w:tabs>
      <w:autoSpaceDE w:val="0"/>
      <w:autoSpaceDN w:val="0"/>
      <w:ind w:firstLine="360"/>
    </w:pPr>
    <w:rPr>
      <w:rFonts w:ascii="宋体" w:hAnsi="宋体" w:hint="eastAsia"/>
      <w:color w:val="000000"/>
      <w:sz w:val="18"/>
      <w:szCs w:val="18"/>
    </w:rPr>
  </w:style>
  <w:style w:type="paragraph" w:customStyle="1" w:styleId="1fff9">
    <w:name w:val="表格文字1"/>
    <w:basedOn w:val="a3"/>
    <w:unhideWhenUsed/>
    <w:qFormat/>
    <w:pPr>
      <w:tabs>
        <w:tab w:val="left" w:pos="277"/>
        <w:tab w:val="left" w:pos="600"/>
        <w:tab w:val="left" w:pos="780"/>
        <w:tab w:val="left" w:pos="2517"/>
      </w:tabs>
      <w:adjustRightInd w:val="0"/>
      <w:snapToGrid w:val="0"/>
      <w:jc w:val="center"/>
      <w:textAlignment w:val="baseline"/>
    </w:pPr>
    <w:rPr>
      <w:rFonts w:cs="宋体" w:hint="eastAsia"/>
      <w:i/>
      <w:spacing w:val="5"/>
      <w:sz w:val="21"/>
    </w:rPr>
  </w:style>
  <w:style w:type="paragraph" w:customStyle="1" w:styleId="afffffffffffffff8">
    <w:name w:val="送审/报批稿"/>
    <w:basedOn w:val="a3"/>
    <w:next w:val="a3"/>
    <w:unhideWhenUsed/>
    <w:qFormat/>
    <w:pPr>
      <w:jc w:val="center"/>
    </w:pPr>
    <w:rPr>
      <w:rFonts w:ascii="华文新魏" w:eastAsia="华文新魏" w:cs="宋体" w:hint="eastAsia"/>
      <w:sz w:val="44"/>
      <w:szCs w:val="20"/>
    </w:rPr>
  </w:style>
  <w:style w:type="paragraph" w:customStyle="1" w:styleId="afffffffffffffff9">
    <w:name w:val="环科院名称"/>
    <w:basedOn w:val="a3"/>
    <w:unhideWhenUsed/>
    <w:qFormat/>
    <w:pPr>
      <w:ind w:leftChars="-10" w:left="-7" w:hangingChars="4" w:hanging="14"/>
      <w:jc w:val="center"/>
    </w:pPr>
    <w:rPr>
      <w:rFonts w:ascii="楷体_GB2312" w:eastAsia="楷体_GB2312" w:hAnsi="华文楷体" w:cs="宋体" w:hint="eastAsia"/>
      <w:b/>
      <w:spacing w:val="20"/>
      <w:sz w:val="32"/>
      <w:szCs w:val="20"/>
    </w:rPr>
  </w:style>
  <w:style w:type="paragraph" w:customStyle="1" w:styleId="afffffffffffffffa">
    <w:name w:val="环科院英文名称"/>
    <w:basedOn w:val="a3"/>
    <w:unhideWhenUsed/>
    <w:qFormat/>
    <w:pPr>
      <w:pBdr>
        <w:top w:val="single" w:sz="4" w:space="1" w:color="auto"/>
        <w:between w:val="single" w:sz="4" w:space="1" w:color="auto"/>
      </w:pBdr>
      <w:ind w:firstLineChars="10" w:firstLine="21"/>
      <w:jc w:val="center"/>
    </w:pPr>
    <w:rPr>
      <w:rFonts w:cs="宋体" w:hint="eastAsia"/>
      <w:sz w:val="21"/>
      <w:szCs w:val="20"/>
    </w:rPr>
  </w:style>
  <w:style w:type="paragraph" w:customStyle="1" w:styleId="AnnexLetter">
    <w:name w:val="AnnexLetter"/>
    <w:basedOn w:val="a3"/>
    <w:unhideWhenUsed/>
    <w:qFormat/>
    <w:pPr>
      <w:widowControl/>
      <w:overflowPunct w:val="0"/>
      <w:autoSpaceDE w:val="0"/>
      <w:autoSpaceDN w:val="0"/>
      <w:adjustRightInd w:val="0"/>
      <w:spacing w:before="2400" w:line="264" w:lineRule="auto"/>
      <w:ind w:left="1418" w:right="1418"/>
      <w:jc w:val="left"/>
      <w:textAlignment w:val="baseline"/>
    </w:pPr>
    <w:rPr>
      <w:rFonts w:ascii="Book Antiqua" w:hAnsi="Book Antiqua" w:hint="eastAsia"/>
      <w:sz w:val="22"/>
      <w:szCs w:val="20"/>
      <w:lang w:val="en-GB"/>
    </w:rPr>
  </w:style>
  <w:style w:type="paragraph" w:customStyle="1" w:styleId="AnnexTitle">
    <w:name w:val="AnnexTitle"/>
    <w:basedOn w:val="a3"/>
    <w:next w:val="a3"/>
    <w:unhideWhenUsed/>
    <w:qFormat/>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hint="eastAsia"/>
      <w:sz w:val="36"/>
      <w:szCs w:val="20"/>
      <w:lang w:val="en-GB"/>
    </w:rPr>
  </w:style>
  <w:style w:type="paragraph" w:customStyle="1" w:styleId="CoverClientName">
    <w:name w:val="CoverClientName"/>
    <w:basedOn w:val="a3"/>
    <w:next w:val="a3"/>
    <w:unhideWhenUsed/>
    <w:qFormat/>
    <w:pPr>
      <w:widowControl/>
      <w:overflowPunct w:val="0"/>
      <w:autoSpaceDE w:val="0"/>
      <w:autoSpaceDN w:val="0"/>
      <w:adjustRightInd w:val="0"/>
      <w:spacing w:after="480" w:line="264" w:lineRule="auto"/>
      <w:jc w:val="left"/>
      <w:textAlignment w:val="baseline"/>
    </w:pPr>
    <w:rPr>
      <w:rFonts w:ascii="Book Antiqua" w:hAnsi="Book Antiqua" w:hint="eastAsia"/>
      <w:sz w:val="22"/>
      <w:szCs w:val="20"/>
      <w:lang w:val="en-GB"/>
    </w:rPr>
  </w:style>
  <w:style w:type="paragraph" w:customStyle="1" w:styleId="CoverDate">
    <w:name w:val="CoverDate"/>
    <w:basedOn w:val="a3"/>
    <w:unhideWhenUsed/>
    <w:qFormat/>
    <w:pPr>
      <w:widowControl/>
      <w:overflowPunct w:val="0"/>
      <w:autoSpaceDE w:val="0"/>
      <w:autoSpaceDN w:val="0"/>
      <w:adjustRightInd w:val="0"/>
      <w:spacing w:before="1200" w:line="264" w:lineRule="auto"/>
      <w:jc w:val="left"/>
      <w:textAlignment w:val="baseline"/>
    </w:pPr>
    <w:rPr>
      <w:rFonts w:ascii="Book Antiqua" w:hAnsi="Book Antiqua" w:hint="eastAsia"/>
      <w:sz w:val="22"/>
      <w:szCs w:val="20"/>
      <w:lang w:val="en-GB"/>
    </w:rPr>
  </w:style>
  <w:style w:type="paragraph" w:customStyle="1" w:styleId="CoverMainTitle">
    <w:name w:val="CoverMainTitle"/>
    <w:basedOn w:val="a3"/>
    <w:next w:val="a3"/>
    <w:unhideWhenUsed/>
    <w:qFormat/>
    <w:pPr>
      <w:widowControl/>
      <w:overflowPunct w:val="0"/>
      <w:autoSpaceDE w:val="0"/>
      <w:autoSpaceDN w:val="0"/>
      <w:adjustRightInd w:val="0"/>
      <w:spacing w:before="480" w:line="264" w:lineRule="auto"/>
      <w:jc w:val="left"/>
      <w:textAlignment w:val="baseline"/>
    </w:pPr>
    <w:rPr>
      <w:rFonts w:ascii="Book Antiqua" w:hAnsi="Book Antiqua" w:hint="eastAsia"/>
      <w:sz w:val="28"/>
      <w:szCs w:val="20"/>
      <w:lang w:val="en-GB"/>
    </w:rPr>
  </w:style>
  <w:style w:type="paragraph" w:customStyle="1" w:styleId="CoverReverseHeader">
    <w:name w:val="CoverReverseHeader"/>
    <w:basedOn w:val="a3"/>
    <w:next w:val="CoverClientName"/>
    <w:unhideWhenUsed/>
    <w:qFormat/>
    <w:pPr>
      <w:widowControl/>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hint="eastAsia"/>
      <w:caps/>
      <w:color w:val="FFFFFF"/>
      <w:sz w:val="22"/>
      <w:szCs w:val="20"/>
      <w:lang w:val="en-GB"/>
    </w:rPr>
  </w:style>
  <w:style w:type="paragraph" w:customStyle="1" w:styleId="GraphicsText">
    <w:name w:val="Graphics Text"/>
    <w:basedOn w:val="a3"/>
    <w:unhideWhenUsed/>
    <w:qFormat/>
    <w:pPr>
      <w:widowControl/>
      <w:overflowPunct w:val="0"/>
      <w:autoSpaceDE w:val="0"/>
      <w:autoSpaceDN w:val="0"/>
      <w:adjustRightInd w:val="0"/>
      <w:spacing w:line="264" w:lineRule="auto"/>
      <w:jc w:val="left"/>
      <w:textAlignment w:val="baseline"/>
    </w:pPr>
    <w:rPr>
      <w:rFonts w:ascii="Arial Narrow" w:hAnsi="Arial Narrow" w:hint="eastAsia"/>
      <w:sz w:val="18"/>
      <w:szCs w:val="20"/>
      <w:lang w:val="en-GB"/>
    </w:rPr>
  </w:style>
  <w:style w:type="paragraph" w:customStyle="1" w:styleId="Heading4">
    <w:name w:val="Heading4"/>
    <w:basedOn w:val="a3"/>
    <w:unhideWhenUsed/>
    <w:qFormat/>
    <w:pPr>
      <w:widowControl/>
      <w:overflowPunct w:val="0"/>
      <w:autoSpaceDE w:val="0"/>
      <w:autoSpaceDN w:val="0"/>
      <w:adjustRightInd w:val="0"/>
      <w:spacing w:after="240" w:line="264" w:lineRule="auto"/>
      <w:jc w:val="left"/>
      <w:textAlignment w:val="baseline"/>
    </w:pPr>
    <w:rPr>
      <w:rFonts w:ascii="Book Antiqua" w:hAnsi="Book Antiqua" w:hint="eastAsia"/>
      <w:i/>
      <w:sz w:val="22"/>
      <w:szCs w:val="20"/>
      <w:lang w:val="en-GB"/>
    </w:rPr>
  </w:style>
  <w:style w:type="paragraph" w:customStyle="1" w:styleId="MarginRelease">
    <w:name w:val="MarginRelease"/>
    <w:basedOn w:val="a3"/>
    <w:next w:val="a3"/>
    <w:unhideWhenUsed/>
    <w:qFormat/>
    <w:pPr>
      <w:widowControl/>
      <w:overflowPunct w:val="0"/>
      <w:autoSpaceDE w:val="0"/>
      <w:autoSpaceDN w:val="0"/>
      <w:adjustRightInd w:val="0"/>
      <w:spacing w:line="264" w:lineRule="auto"/>
      <w:ind w:hanging="1418"/>
      <w:jc w:val="left"/>
      <w:textAlignment w:val="baseline"/>
    </w:pPr>
    <w:rPr>
      <w:rFonts w:ascii="Book Antiqua" w:hAnsi="Book Antiqua" w:hint="eastAsia"/>
      <w:sz w:val="22"/>
      <w:szCs w:val="20"/>
      <w:lang w:val="en-GB"/>
    </w:rPr>
  </w:style>
  <w:style w:type="paragraph" w:customStyle="1" w:styleId="OtherHeader">
    <w:name w:val="OtherHeader"/>
    <w:basedOn w:val="1fd"/>
    <w:next w:val="a3"/>
    <w:unhideWhenUsed/>
    <w:qFormat/>
    <w:pPr>
      <w:widowControl/>
      <w:pBdr>
        <w:bottom w:val="none" w:sz="0" w:space="0" w:color="auto"/>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sz w:val="22"/>
      <w:szCs w:val="20"/>
      <w:lang w:val="en-GB"/>
    </w:rPr>
  </w:style>
  <w:style w:type="paragraph" w:customStyle="1" w:styleId="Subtext">
    <w:name w:val="Subtext"/>
    <w:basedOn w:val="a3"/>
    <w:unhideWhenUsed/>
    <w:qFormat/>
    <w:pPr>
      <w:widowControl/>
      <w:overflowPunct w:val="0"/>
      <w:autoSpaceDE w:val="0"/>
      <w:autoSpaceDN w:val="0"/>
      <w:adjustRightInd w:val="0"/>
      <w:spacing w:line="264" w:lineRule="auto"/>
      <w:jc w:val="left"/>
      <w:textAlignment w:val="baseline"/>
    </w:pPr>
    <w:rPr>
      <w:rFonts w:ascii="Book Antiqua" w:hAnsi="Book Antiqua" w:hint="eastAsia"/>
      <w:sz w:val="18"/>
      <w:szCs w:val="20"/>
      <w:lang w:val="en-GB"/>
    </w:rPr>
  </w:style>
  <w:style w:type="paragraph" w:customStyle="1" w:styleId="XecSumm">
    <w:name w:val="XecSumm"/>
    <w:basedOn w:val="a3"/>
    <w:unhideWhenUsed/>
    <w:qFormat/>
    <w:pPr>
      <w:widowControl/>
      <w:overflowPunct w:val="0"/>
      <w:autoSpaceDE w:val="0"/>
      <w:autoSpaceDN w:val="0"/>
      <w:adjustRightInd w:val="0"/>
      <w:spacing w:line="264" w:lineRule="auto"/>
      <w:jc w:val="left"/>
      <w:textAlignment w:val="baseline"/>
    </w:pPr>
    <w:rPr>
      <w:rFonts w:ascii="Book Antiqua" w:hAnsi="Book Antiqua" w:hint="eastAsia"/>
      <w:i/>
      <w:sz w:val="22"/>
      <w:szCs w:val="20"/>
      <w:lang w:val="en-GB"/>
    </w:rPr>
  </w:style>
  <w:style w:type="paragraph" w:customStyle="1" w:styleId="StyleHeading21111H212CharChar11Underrub3">
    <w:name w:val="Style Heading 2§1.1§1.1.H21标题 2 Char Char节标题 1.1（一）Underrub...3"/>
    <w:basedOn w:val="213"/>
    <w:unhideWhenUsed/>
    <w:qFormat/>
    <w:pPr>
      <w:tabs>
        <w:tab w:val="left" w:pos="-1418"/>
        <w:tab w:val="left" w:pos="1322"/>
        <w:tab w:val="left" w:pos="2835"/>
      </w:tabs>
      <w:spacing w:beforeLines="0" w:afterLines="0"/>
      <w:ind w:firstLineChars="0" w:hanging="1412"/>
    </w:pPr>
    <w:rPr>
      <w:rFonts w:ascii="宋体" w:hAnsi="宋体"/>
      <w:smallCaps/>
      <w:kern w:val="28"/>
      <w:sz w:val="28"/>
      <w:szCs w:val="28"/>
    </w:rPr>
  </w:style>
  <w:style w:type="paragraph" w:customStyle="1" w:styleId="StyleHeading3111H33zym1113Charh3level3PI">
    <w:name w:val="Style Heading 3§1.1.1.H3标题 3zym条标题1.1.1标题 3 Charh3level_3PI..."/>
    <w:basedOn w:val="310"/>
    <w:unhideWhenUsed/>
    <w:qFormat/>
    <w:pPr>
      <w:tabs>
        <w:tab w:val="left" w:pos="-1418"/>
        <w:tab w:val="left" w:pos="851"/>
      </w:tabs>
      <w:spacing w:beforeLines="0" w:afterLines="0"/>
      <w:ind w:firstLineChars="0" w:hanging="720"/>
    </w:pPr>
    <w:rPr>
      <w:rFonts w:ascii="黑体" w:eastAsia="黑体"/>
      <w:kern w:val="28"/>
      <w:sz w:val="24"/>
      <w:szCs w:val="24"/>
    </w:rPr>
  </w:style>
  <w:style w:type="paragraph" w:customStyle="1" w:styleId="afffffffffffffffb">
    <w:name w:val="河石管道 表头"/>
    <w:unhideWhenUsed/>
    <w:qFormat/>
    <w:pPr>
      <w:jc w:val="center"/>
    </w:pPr>
    <w:rPr>
      <w:rFonts w:hint="eastAsia"/>
      <w:b/>
      <w:sz w:val="18"/>
    </w:rPr>
  </w:style>
  <w:style w:type="paragraph" w:customStyle="1" w:styleId="afffffffffffffffc">
    <w:name w:val="小四正文"/>
    <w:link w:val="Charffff0"/>
    <w:unhideWhenUsed/>
    <w:qFormat/>
    <w:pPr>
      <w:spacing w:line="480" w:lineRule="exact"/>
      <w:ind w:firstLineChars="200" w:firstLine="480"/>
      <w:jc w:val="both"/>
    </w:pPr>
    <w:rPr>
      <w:rFonts w:hint="eastAsia"/>
      <w:kern w:val="2"/>
      <w:sz w:val="24"/>
      <w:szCs w:val="24"/>
    </w:rPr>
  </w:style>
  <w:style w:type="paragraph" w:customStyle="1" w:styleId="1fffa">
    <w:name w:val="报告1"/>
    <w:basedOn w:val="a3"/>
    <w:unhideWhenUsed/>
    <w:qFormat/>
    <w:pPr>
      <w:ind w:firstLine="505"/>
    </w:pPr>
    <w:rPr>
      <w:rFonts w:hint="eastAsia"/>
      <w:kern w:val="24"/>
      <w:szCs w:val="24"/>
    </w:rPr>
  </w:style>
  <w:style w:type="paragraph" w:customStyle="1" w:styleId="SouthSuligeMainText">
    <w:name w:val="South Sulige Main Text"/>
    <w:basedOn w:val="1b"/>
    <w:unhideWhenUsed/>
    <w:qFormat/>
    <w:pPr>
      <w:widowControl/>
      <w:spacing w:beforeLines="50" w:afterLines="50"/>
      <w:ind w:firstLine="480"/>
    </w:pPr>
    <w:rPr>
      <w:kern w:val="28"/>
      <w:sz w:val="24"/>
    </w:rPr>
  </w:style>
  <w:style w:type="paragraph" w:customStyle="1" w:styleId="afffffffffffffffd">
    <w:name w:val="论文正文文字"/>
    <w:basedOn w:val="a3"/>
    <w:link w:val="Charffff1"/>
    <w:unhideWhenUsed/>
    <w:qFormat/>
    <w:pPr>
      <w:spacing w:line="400" w:lineRule="exact"/>
    </w:pPr>
    <w:rPr>
      <w:rFonts w:cs="宋体" w:hint="eastAsia"/>
      <w:szCs w:val="24"/>
    </w:rPr>
  </w:style>
  <w:style w:type="paragraph" w:customStyle="1" w:styleId="303">
    <w:name w:val="样式 标题 3 + 段前: 0.3 行"/>
    <w:basedOn w:val="310"/>
    <w:next w:val="a3"/>
    <w:unhideWhenUsed/>
    <w:qFormat/>
    <w:pPr>
      <w:keepNext w:val="0"/>
      <w:spacing w:beforeLines="0" w:afterLines="0"/>
      <w:ind w:firstLineChars="0" w:firstLine="493"/>
      <w:jc w:val="left"/>
    </w:pPr>
    <w:rPr>
      <w:b w:val="0"/>
      <w:spacing w:val="16"/>
      <w:w w:val="95"/>
      <w:sz w:val="24"/>
      <w:szCs w:val="24"/>
    </w:rPr>
  </w:style>
  <w:style w:type="paragraph" w:customStyle="1" w:styleId="21a">
    <w:name w:val="样式 正文首行缩进 + 首行缩进:  2 字符1"/>
    <w:basedOn w:val="1fb"/>
    <w:unhideWhenUsed/>
    <w:qFormat/>
  </w:style>
  <w:style w:type="paragraph" w:customStyle="1" w:styleId="2ff8">
    <w:name w:val="标题2，第二标题"/>
    <w:basedOn w:val="1fb"/>
    <w:next w:val="1fb"/>
    <w:unhideWhenUsed/>
    <w:qFormat/>
    <w:pPr>
      <w:tabs>
        <w:tab w:val="left" w:pos="628"/>
        <w:tab w:val="left" w:pos="1727"/>
        <w:tab w:val="left" w:pos="1884"/>
        <w:tab w:val="left" w:pos="2660"/>
        <w:tab w:val="left" w:pos="5460"/>
      </w:tabs>
      <w:snapToGrid w:val="0"/>
      <w:spacing w:beforeLines="30" w:afterLines="30" w:line="440" w:lineRule="exact"/>
      <w:ind w:firstLineChars="0" w:firstLine="0"/>
      <w:outlineLvl w:val="1"/>
    </w:pPr>
    <w:rPr>
      <w:rFonts w:eastAsia="黑体"/>
      <w:sz w:val="28"/>
      <w:szCs w:val="20"/>
    </w:rPr>
  </w:style>
  <w:style w:type="paragraph" w:customStyle="1" w:styleId="afffffffffffffffe">
    <w:name w:val="表格文字居中"/>
    <w:basedOn w:val="1fb"/>
    <w:unhideWhenUsed/>
    <w:qFormat/>
    <w:pPr>
      <w:tabs>
        <w:tab w:val="left" w:pos="628"/>
        <w:tab w:val="left" w:pos="1727"/>
        <w:tab w:val="left" w:pos="1884"/>
      </w:tabs>
      <w:snapToGrid w:val="0"/>
      <w:spacing w:line="240" w:lineRule="auto"/>
      <w:ind w:firstLineChars="0" w:firstLine="0"/>
      <w:jc w:val="center"/>
    </w:pPr>
    <w:rPr>
      <w:sz w:val="18"/>
      <w:szCs w:val="18"/>
    </w:rPr>
  </w:style>
  <w:style w:type="paragraph" w:customStyle="1" w:styleId="3000">
    <w:name w:val="样式 标题 3 + 左侧:  0 厘米 首行缩进:  0 厘米"/>
    <w:basedOn w:val="310"/>
    <w:unhideWhenUsed/>
    <w:qFormat/>
    <w:pPr>
      <w:spacing w:beforeLines="0" w:afterLines="0" w:line="300" w:lineRule="auto"/>
      <w:ind w:firstLineChars="0" w:firstLine="0"/>
    </w:pPr>
    <w:rPr>
      <w:rFonts w:ascii="Arial" w:eastAsia="黑体" w:hAnsi="Arial" w:cs="宋体"/>
      <w:b w:val="0"/>
      <w:sz w:val="30"/>
      <w:szCs w:val="24"/>
    </w:rPr>
  </w:style>
  <w:style w:type="paragraph" w:customStyle="1" w:styleId="TimesNewRoman78622">
    <w:name w:val="样式 表头 + Times New Roman 两端对齐 段前: 7.8 磅 段后: 6 磅 行距: 固定值 22 磅"/>
    <w:basedOn w:val="afff3"/>
    <w:unhideWhenUsed/>
    <w:qFormat/>
    <w:pPr>
      <w:keepNext/>
      <w:tabs>
        <w:tab w:val="left" w:pos="720"/>
        <w:tab w:val="left" w:pos="3319"/>
      </w:tabs>
      <w:spacing w:after="120" w:line="440" w:lineRule="exact"/>
      <w:ind w:firstLineChars="418" w:firstLine="945"/>
      <w:jc w:val="both"/>
    </w:pPr>
    <w:rPr>
      <w:rFonts w:cs="宋体" w:hint="eastAsia"/>
      <w:color w:val="FF0000"/>
      <w:spacing w:val="8"/>
      <w:kern w:val="21"/>
      <w:szCs w:val="20"/>
    </w:rPr>
  </w:style>
  <w:style w:type="paragraph" w:customStyle="1" w:styleId="142">
    <w:name w:val="样式 报告正文 + 行距: 多倍行距 1.4 字行"/>
    <w:basedOn w:val="a3"/>
    <w:unhideWhenUsed/>
    <w:qFormat/>
    <w:pPr>
      <w:adjustRightInd w:val="0"/>
      <w:snapToGrid w:val="0"/>
      <w:spacing w:line="336" w:lineRule="auto"/>
    </w:pPr>
    <w:rPr>
      <w:rFonts w:ascii="宋体" w:cs="宋体" w:hint="eastAsia"/>
      <w:sz w:val="28"/>
      <w:szCs w:val="20"/>
    </w:rPr>
  </w:style>
  <w:style w:type="paragraph" w:customStyle="1" w:styleId="BodyTextFirstIndent3">
    <w:name w:val="Body Text First Indent3"/>
    <w:basedOn w:val="12"/>
    <w:unhideWhenUsed/>
    <w:qFormat/>
    <w:pPr>
      <w:widowControl w:val="0"/>
      <w:tabs>
        <w:tab w:val="left" w:pos="7840"/>
      </w:tabs>
      <w:adjustRightInd w:val="0"/>
      <w:spacing w:before="120"/>
      <w:ind w:firstLine="567"/>
      <w:jc w:val="both"/>
      <w:textAlignment w:val="baseline"/>
    </w:pPr>
    <w:rPr>
      <w:kern w:val="28"/>
      <w:sz w:val="28"/>
      <w:szCs w:val="20"/>
    </w:rPr>
  </w:style>
  <w:style w:type="paragraph" w:customStyle="1" w:styleId="affffffffffffffff">
    <w:name w:val="责任表文"/>
    <w:basedOn w:val="a3"/>
    <w:unhideWhenUsed/>
    <w:qFormat/>
    <w:pPr>
      <w:adjustRightInd w:val="0"/>
      <w:snapToGrid w:val="0"/>
      <w:spacing w:before="120" w:after="120"/>
      <w:ind w:firstLine="480"/>
      <w:jc w:val="center"/>
      <w:textAlignment w:val="baseline"/>
    </w:pPr>
    <w:rPr>
      <w:rFonts w:ascii="宋体" w:hint="eastAsia"/>
      <w:kern w:val="24"/>
      <w:szCs w:val="20"/>
    </w:rPr>
  </w:style>
  <w:style w:type="paragraph" w:customStyle="1" w:styleId="BodyTextFirstIndent1">
    <w:name w:val="Body Text First Indent1"/>
    <w:basedOn w:val="12"/>
    <w:unhideWhenUsed/>
    <w:qFormat/>
    <w:pPr>
      <w:widowControl w:val="0"/>
      <w:tabs>
        <w:tab w:val="left" w:pos="7840"/>
      </w:tabs>
      <w:adjustRightInd w:val="0"/>
      <w:ind w:firstLine="567"/>
      <w:jc w:val="both"/>
      <w:textAlignment w:val="baseline"/>
    </w:pPr>
    <w:rPr>
      <w:kern w:val="28"/>
      <w:sz w:val="28"/>
      <w:szCs w:val="20"/>
    </w:rPr>
  </w:style>
  <w:style w:type="paragraph" w:customStyle="1" w:styleId="affffffffffffffff0">
    <w:name w:val="下标"/>
    <w:basedOn w:val="1fb"/>
    <w:unhideWhenUsed/>
    <w:qFormat/>
    <w:pPr>
      <w:tabs>
        <w:tab w:val="left" w:pos="0"/>
      </w:tabs>
      <w:autoSpaceDE w:val="0"/>
      <w:autoSpaceDN w:val="0"/>
      <w:spacing w:before="60" w:after="60"/>
      <w:ind w:firstLineChars="0" w:firstLine="567"/>
    </w:pPr>
    <w:rPr>
      <w:rFonts w:ascii="宋体"/>
      <w:spacing w:val="20"/>
      <w:vertAlign w:val="subscript"/>
    </w:rPr>
  </w:style>
  <w:style w:type="paragraph" w:customStyle="1" w:styleId="2ff9">
    <w:name w:val="页面标题2"/>
    <w:basedOn w:val="a3"/>
    <w:unhideWhenUsed/>
    <w:qFormat/>
    <w:pPr>
      <w:overflowPunct w:val="0"/>
      <w:topLinePunct/>
      <w:adjustRightInd w:val="0"/>
      <w:ind w:firstLine="480"/>
      <w:jc w:val="center"/>
      <w:textAlignment w:val="baseline"/>
    </w:pPr>
    <w:rPr>
      <w:rFonts w:ascii="黑体" w:eastAsia="黑体" w:hAnsi="宋体" w:hint="eastAsia"/>
      <w:b/>
      <w:kern w:val="24"/>
      <w:sz w:val="44"/>
      <w:szCs w:val="20"/>
    </w:rPr>
  </w:style>
  <w:style w:type="paragraph" w:customStyle="1" w:styleId="affffffffffffffff1">
    <w:name w:val="格式"/>
    <w:basedOn w:val="a3"/>
    <w:unhideWhenUsed/>
    <w:qFormat/>
    <w:pPr>
      <w:widowControl/>
      <w:snapToGrid w:val="0"/>
      <w:spacing w:line="400" w:lineRule="atLeast"/>
      <w:ind w:firstLine="567"/>
      <w:jc w:val="center"/>
    </w:pPr>
    <w:rPr>
      <w:rFonts w:eastAsia="仿宋_GB2312" w:hint="eastAsia"/>
      <w:szCs w:val="20"/>
    </w:rPr>
  </w:style>
  <w:style w:type="paragraph" w:customStyle="1" w:styleId="0741">
    <w:name w:val="样式 两端对齐 首行缩进:  0.74 厘米 段后: 1 行"/>
    <w:basedOn w:val="a3"/>
    <w:unhideWhenUsed/>
    <w:qFormat/>
    <w:pPr>
      <w:widowControl/>
      <w:ind w:firstLine="420"/>
    </w:pPr>
    <w:rPr>
      <w:rFonts w:ascii="Arial" w:hAnsi="Arial" w:hint="eastAsia"/>
      <w:szCs w:val="20"/>
      <w:lang w:val="zh-CN"/>
    </w:rPr>
  </w:style>
  <w:style w:type="paragraph" w:customStyle="1" w:styleId="11110">
    <w:name w:val="1111"/>
    <w:basedOn w:val="a3"/>
    <w:unhideWhenUsed/>
    <w:qFormat/>
    <w:pPr>
      <w:adjustRightInd w:val="0"/>
      <w:spacing w:line="360" w:lineRule="exact"/>
      <w:jc w:val="center"/>
      <w:textAlignment w:val="baseline"/>
    </w:pPr>
    <w:rPr>
      <w:rFonts w:ascii="宋体" w:hAnsi="宋体" w:hint="eastAsia"/>
      <w:sz w:val="21"/>
      <w:szCs w:val="24"/>
    </w:rPr>
  </w:style>
  <w:style w:type="paragraph" w:customStyle="1" w:styleId="227">
    <w:name w:val="样式 样式 正文首行缩进 + 首行缩进:  2 字符 + 首行缩进:  2 字符"/>
    <w:basedOn w:val="a3"/>
    <w:unhideWhenUsed/>
    <w:qFormat/>
    <w:pPr>
      <w:topLinePunct/>
      <w:adjustRightInd w:val="0"/>
      <w:snapToGrid w:val="0"/>
      <w:ind w:firstLine="480"/>
      <w:textAlignment w:val="baseline"/>
    </w:pPr>
    <w:rPr>
      <w:rFonts w:eastAsia="Times New Roman" w:hAnsi="宋体" w:hint="eastAsia"/>
      <w:szCs w:val="24"/>
    </w:rPr>
  </w:style>
  <w:style w:type="paragraph" w:customStyle="1" w:styleId="411">
    <w:name w:val="样式 标题 4 + 段后: 1 行"/>
    <w:basedOn w:val="410"/>
    <w:unhideWhenUsed/>
    <w:qFormat/>
    <w:pPr>
      <w:tabs>
        <w:tab w:val="left" w:pos="1931"/>
        <w:tab w:val="left" w:pos="2880"/>
      </w:tabs>
      <w:spacing w:beforeLines="0" w:afterLines="100"/>
      <w:ind w:left="1559" w:firstLineChars="0" w:firstLine="0"/>
    </w:pPr>
    <w:rPr>
      <w:rFonts w:ascii="Arial" w:hAnsi="Arial"/>
      <w:lang w:val="zh-CN"/>
    </w:rPr>
  </w:style>
  <w:style w:type="paragraph" w:customStyle="1" w:styleId="313">
    <w:name w:val="正文31"/>
    <w:basedOn w:val="a3"/>
    <w:unhideWhenUsed/>
    <w:qFormat/>
    <w:pPr>
      <w:keepNext/>
      <w:adjustRightInd w:val="0"/>
      <w:jc w:val="center"/>
      <w:textAlignment w:val="baseline"/>
    </w:pPr>
    <w:rPr>
      <w:rFonts w:hint="eastAsia"/>
      <w:sz w:val="28"/>
      <w:szCs w:val="20"/>
    </w:rPr>
  </w:style>
  <w:style w:type="paragraph" w:customStyle="1" w:styleId="1fffb">
    <w:name w:val="样式 正文首行缩进 + 首行缩进:  1 字符"/>
    <w:basedOn w:val="1fb"/>
    <w:unhideWhenUsed/>
    <w:qFormat/>
    <w:rPr>
      <w:rFonts w:cs="宋体"/>
    </w:rPr>
  </w:style>
  <w:style w:type="paragraph" w:customStyle="1" w:styleId="affffffffffffffff2">
    <w:name w:val="条目"/>
    <w:basedOn w:val="afffffc"/>
    <w:unhideWhenUsed/>
    <w:qFormat/>
    <w:pPr>
      <w:widowControl/>
      <w:tabs>
        <w:tab w:val="left" w:pos="1134"/>
      </w:tabs>
      <w:overflowPunct w:val="0"/>
      <w:autoSpaceDE w:val="0"/>
      <w:autoSpaceDN w:val="0"/>
      <w:adjustRightInd/>
      <w:spacing w:before="60" w:after="60" w:line="400" w:lineRule="atLeast"/>
      <w:ind w:firstLine="482"/>
      <w:textAlignment w:val="auto"/>
    </w:pPr>
    <w:rPr>
      <w:szCs w:val="24"/>
    </w:rPr>
  </w:style>
  <w:style w:type="paragraph" w:customStyle="1" w:styleId="252">
    <w:name w:val="样式 表头 + 黑色 行距: 固定值 25 磅"/>
    <w:basedOn w:val="afff3"/>
    <w:unhideWhenUsed/>
    <w:qFormat/>
    <w:pPr>
      <w:tabs>
        <w:tab w:val="left" w:pos="720"/>
        <w:tab w:val="left" w:pos="3319"/>
      </w:tabs>
      <w:ind w:firstLineChars="100" w:firstLine="240"/>
      <w:jc w:val="both"/>
    </w:pPr>
    <w:rPr>
      <w:rFonts w:ascii="黑体" w:hint="eastAsia"/>
      <w:color w:val="000000"/>
    </w:rPr>
  </w:style>
  <w:style w:type="paragraph" w:customStyle="1" w:styleId="zhengwen">
    <w:name w:val="zhengwen"/>
    <w:basedOn w:val="a3"/>
    <w:unhideWhenUsed/>
    <w:qFormat/>
    <w:pPr>
      <w:jc w:val="left"/>
    </w:pPr>
    <w:rPr>
      <w:rFonts w:ascii="Times" w:hAnsi="Times" w:hint="eastAsia"/>
      <w:spacing w:val="8"/>
      <w:szCs w:val="24"/>
    </w:rPr>
  </w:style>
  <w:style w:type="paragraph" w:customStyle="1" w:styleId="affffffffffffffff3">
    <w:name w:val="－正文"/>
    <w:basedOn w:val="a3"/>
    <w:unhideWhenUsed/>
    <w:qFormat/>
    <w:pPr>
      <w:spacing w:line="540" w:lineRule="atLeast"/>
      <w:jc w:val="left"/>
    </w:pPr>
    <w:rPr>
      <w:rFonts w:hint="eastAsia"/>
      <w:spacing w:val="8"/>
      <w:sz w:val="28"/>
      <w:szCs w:val="28"/>
    </w:rPr>
  </w:style>
  <w:style w:type="paragraph" w:customStyle="1" w:styleId="wenjian">
    <w:name w:val="wenjian"/>
    <w:basedOn w:val="zhengwen"/>
    <w:unhideWhenUsed/>
    <w:qFormat/>
    <w:pPr>
      <w:ind w:firstLine="512"/>
    </w:pPr>
    <w:rPr>
      <w:sz w:val="21"/>
    </w:rPr>
  </w:style>
  <w:style w:type="paragraph" w:customStyle="1" w:styleId="shu">
    <w:name w:val="shu 表题"/>
    <w:basedOn w:val="a3"/>
    <w:unhideWhenUsed/>
    <w:qFormat/>
    <w:pPr>
      <w:autoSpaceDE w:val="0"/>
      <w:autoSpaceDN w:val="0"/>
      <w:adjustRightInd w:val="0"/>
      <w:jc w:val="center"/>
    </w:pPr>
    <w:rPr>
      <w:rFonts w:ascii="Times" w:hAnsi="Times" w:hint="eastAsia"/>
      <w:b/>
      <w:spacing w:val="20"/>
      <w:szCs w:val="23"/>
    </w:rPr>
  </w:style>
  <w:style w:type="paragraph" w:customStyle="1" w:styleId="shu0">
    <w:name w:val="shu表文"/>
    <w:basedOn w:val="a3"/>
    <w:unhideWhenUsed/>
    <w:qFormat/>
    <w:pPr>
      <w:autoSpaceDE w:val="0"/>
      <w:autoSpaceDN w:val="0"/>
      <w:adjustRightInd w:val="0"/>
      <w:jc w:val="center"/>
    </w:pPr>
    <w:rPr>
      <w:rFonts w:ascii="Times" w:hAnsi="Times" w:hint="eastAsia"/>
      <w:spacing w:val="20"/>
      <w:sz w:val="21"/>
      <w:szCs w:val="23"/>
    </w:rPr>
  </w:style>
  <w:style w:type="paragraph" w:customStyle="1" w:styleId="2ffa">
    <w:name w:val="+标题2"/>
    <w:basedOn w:val="213"/>
    <w:unhideWhenUsed/>
    <w:qFormat/>
    <w:pPr>
      <w:tabs>
        <w:tab w:val="left" w:pos="567"/>
        <w:tab w:val="left" w:pos="1322"/>
      </w:tabs>
      <w:spacing w:beforeLines="0" w:afterLines="0"/>
      <w:ind w:firstLineChars="0" w:firstLine="0"/>
    </w:pPr>
    <w:rPr>
      <w:rFonts w:ascii="黑体" w:eastAsia="黑体" w:hAnsi="宋体"/>
      <w:sz w:val="28"/>
      <w:szCs w:val="28"/>
    </w:rPr>
  </w:style>
  <w:style w:type="paragraph" w:customStyle="1" w:styleId="CharChar4">
    <w:name w:val="报告正文 Char Char"/>
    <w:basedOn w:val="a3"/>
    <w:link w:val="CharCharChar2"/>
    <w:unhideWhenUsed/>
    <w:qFormat/>
    <w:pPr>
      <w:adjustRightInd w:val="0"/>
      <w:spacing w:beforeLines="25"/>
      <w:ind w:firstLine="482"/>
      <w:textAlignment w:val="baseline"/>
    </w:pPr>
    <w:rPr>
      <w:rFonts w:hint="eastAsia"/>
      <w:kern w:val="24"/>
      <w:szCs w:val="20"/>
    </w:rPr>
  </w:style>
  <w:style w:type="paragraph" w:customStyle="1" w:styleId="253">
    <w:name w:val="样式 表头 + 行距: 固定值 25 磅"/>
    <w:basedOn w:val="afff3"/>
    <w:unhideWhenUsed/>
    <w:qFormat/>
    <w:pPr>
      <w:tabs>
        <w:tab w:val="left" w:pos="720"/>
        <w:tab w:val="left" w:pos="3319"/>
      </w:tabs>
      <w:ind w:left="539" w:firstLineChars="100" w:firstLine="240"/>
      <w:jc w:val="both"/>
    </w:pPr>
    <w:rPr>
      <w:rFonts w:cs="宋体" w:hint="eastAsia"/>
      <w:color w:val="FF0000"/>
      <w:szCs w:val="20"/>
    </w:rPr>
  </w:style>
  <w:style w:type="paragraph" w:customStyle="1" w:styleId="affffffffffffffff4">
    <w:name w:val="表问"/>
    <w:basedOn w:val="a3"/>
    <w:unhideWhenUsed/>
    <w:qFormat/>
    <w:pPr>
      <w:spacing w:line="240" w:lineRule="atLeast"/>
      <w:jc w:val="center"/>
    </w:pPr>
    <w:rPr>
      <w:rFonts w:hint="eastAsia"/>
      <w:sz w:val="21"/>
      <w:szCs w:val="28"/>
    </w:rPr>
  </w:style>
  <w:style w:type="paragraph" w:customStyle="1" w:styleId="xl428">
    <w:name w:val="xl428"/>
    <w:basedOn w:val="a3"/>
    <w:unhideWhenUsed/>
    <w:qFormat/>
    <w:pPr>
      <w:widowControl/>
      <w:spacing w:before="100" w:beforeAutospacing="1" w:after="100" w:afterAutospacing="1"/>
      <w:jc w:val="center"/>
      <w:textAlignment w:val="center"/>
    </w:pPr>
    <w:rPr>
      <w:rFonts w:ascii="宋体" w:hAnsi="宋体" w:hint="eastAsia"/>
      <w:szCs w:val="24"/>
    </w:rPr>
  </w:style>
  <w:style w:type="paragraph" w:customStyle="1" w:styleId="08">
    <w:name w:val="样式 左  0 字符"/>
    <w:basedOn w:val="a3"/>
    <w:unhideWhenUsed/>
    <w:qFormat/>
    <w:pPr>
      <w:ind w:firstLineChars="225" w:firstLine="225"/>
    </w:pPr>
    <w:rPr>
      <w:rFonts w:cs="宋体" w:hint="eastAsia"/>
      <w:szCs w:val="20"/>
    </w:rPr>
  </w:style>
  <w:style w:type="paragraph" w:customStyle="1" w:styleId="affffffffffffffff5">
    <w:name w:val="依据文字"/>
    <w:basedOn w:val="28"/>
    <w:unhideWhenUsed/>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hint="eastAsia"/>
      <w:szCs w:val="28"/>
    </w:rPr>
  </w:style>
  <w:style w:type="paragraph" w:customStyle="1" w:styleId="affffffffffffffff6">
    <w:name w:val="总标题"/>
    <w:basedOn w:val="a3"/>
    <w:unhideWhenUsed/>
    <w:qFormat/>
    <w:pPr>
      <w:adjustRightInd w:val="0"/>
      <w:ind w:left="85" w:right="-488"/>
      <w:jc w:val="center"/>
      <w:textAlignment w:val="baseline"/>
    </w:pPr>
    <w:rPr>
      <w:rFonts w:ascii="方正魏碑简体" w:eastAsia="方正魏碑简体" w:hAnsi="Bookman Old Style" w:hint="eastAsia"/>
      <w:b/>
      <w:spacing w:val="5"/>
      <w:kern w:val="44"/>
      <w:sz w:val="32"/>
    </w:rPr>
  </w:style>
  <w:style w:type="paragraph" w:customStyle="1" w:styleId="20251">
    <w:name w:val="样式 正文首行缩进 2 + 段前: 0.25 行1"/>
    <w:basedOn w:val="28"/>
    <w:unhideWhenUsed/>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hint="eastAsia"/>
      <w:szCs w:val="20"/>
    </w:rPr>
  </w:style>
  <w:style w:type="paragraph" w:customStyle="1" w:styleId="1230">
    <w:name w:val="123"/>
    <w:basedOn w:val="a3"/>
    <w:unhideWhenUsed/>
    <w:qFormat/>
    <w:pPr>
      <w:ind w:firstLine="454"/>
    </w:pPr>
    <w:rPr>
      <w:rFonts w:hint="eastAsia"/>
    </w:rPr>
  </w:style>
  <w:style w:type="paragraph" w:customStyle="1" w:styleId="affffffffffffffff7">
    <w:name w:val="正文中对齐"/>
    <w:basedOn w:val="a3"/>
    <w:unhideWhenUsed/>
    <w:qFormat/>
    <w:pPr>
      <w:snapToGrid w:val="0"/>
      <w:spacing w:before="60" w:after="60" w:line="60" w:lineRule="atLeast"/>
      <w:jc w:val="center"/>
    </w:pPr>
    <w:rPr>
      <w:rFonts w:hint="eastAsia"/>
    </w:rPr>
  </w:style>
  <w:style w:type="paragraph" w:customStyle="1" w:styleId="-20">
    <w:name w:val="宏福正文-2"/>
    <w:basedOn w:val="1fb"/>
    <w:unhideWhenUsed/>
    <w:qFormat/>
    <w:pPr>
      <w:snapToGrid w:val="0"/>
      <w:spacing w:before="240" w:line="400" w:lineRule="atLeast"/>
      <w:ind w:firstLineChars="0" w:firstLine="567"/>
    </w:pPr>
    <w:rPr>
      <w:sz w:val="28"/>
      <w:szCs w:val="28"/>
    </w:rPr>
  </w:style>
  <w:style w:type="paragraph" w:customStyle="1" w:styleId="4f4">
    <w:name w:val="宏福4"/>
    <w:basedOn w:val="-20"/>
    <w:unhideWhenUsed/>
    <w:qFormat/>
    <w:pPr>
      <w:spacing w:before="0"/>
    </w:pPr>
  </w:style>
  <w:style w:type="paragraph" w:customStyle="1" w:styleId="affffffffffffffff8">
    <w:name w:val="图文"/>
    <w:unhideWhenUsed/>
    <w:qFormat/>
    <w:pPr>
      <w:overflowPunct w:val="0"/>
      <w:autoSpaceDE w:val="0"/>
      <w:autoSpaceDN w:val="0"/>
      <w:adjustRightInd w:val="0"/>
      <w:spacing w:line="160" w:lineRule="atLeast"/>
      <w:ind w:firstLineChars="100" w:firstLine="240"/>
      <w:jc w:val="both"/>
      <w:textAlignment w:val="bottom"/>
    </w:pPr>
    <w:rPr>
      <w:rFonts w:hint="eastAsia"/>
      <w:sz w:val="21"/>
      <w:szCs w:val="24"/>
    </w:rPr>
  </w:style>
  <w:style w:type="paragraph" w:customStyle="1" w:styleId="TimesNewRoman2">
    <w:name w:val="样式 样式 正文首行缩进 + Times New Roman + 首行缩进:  2 字符"/>
    <w:basedOn w:val="a3"/>
    <w:unhideWhenUsed/>
    <w:qFormat/>
    <w:pPr>
      <w:tabs>
        <w:tab w:val="left" w:pos="0"/>
      </w:tabs>
      <w:autoSpaceDE w:val="0"/>
      <w:autoSpaceDN w:val="0"/>
      <w:adjustRightInd w:val="0"/>
      <w:textAlignment w:val="baseline"/>
    </w:pPr>
    <w:rPr>
      <w:rFonts w:hint="eastAsia"/>
      <w:szCs w:val="20"/>
    </w:rPr>
  </w:style>
  <w:style w:type="paragraph" w:customStyle="1" w:styleId="InTable">
    <w:name w:val="In Table"/>
    <w:basedOn w:val="a3"/>
    <w:unhideWhenUsed/>
    <w:qFormat/>
    <w:pPr>
      <w:tabs>
        <w:tab w:val="left" w:pos="2200"/>
        <w:tab w:val="left" w:pos="3960"/>
        <w:tab w:val="left" w:pos="5280"/>
      </w:tabs>
      <w:spacing w:before="96" w:after="96" w:line="240" w:lineRule="atLeast"/>
      <w:jc w:val="center"/>
    </w:pPr>
    <w:rPr>
      <w:rFonts w:ascii="Tahoma" w:eastAsia="华文中宋" w:hAnsi="Tahoma" w:hint="eastAsia"/>
      <w:sz w:val="21"/>
      <w:szCs w:val="20"/>
    </w:rPr>
  </w:style>
  <w:style w:type="paragraph" w:customStyle="1" w:styleId="affffffffffffffff9">
    <w:name w:val="基准篇眉"/>
    <w:basedOn w:val="a3"/>
    <w:unhideWhenUsed/>
    <w:qFormat/>
    <w:pPr>
      <w:keepLines/>
      <w:widowControl/>
      <w:tabs>
        <w:tab w:val="center" w:pos="7200"/>
        <w:tab w:val="right" w:pos="14400"/>
      </w:tabs>
      <w:overflowPunct w:val="0"/>
      <w:autoSpaceDE w:val="0"/>
      <w:autoSpaceDN w:val="0"/>
      <w:adjustRightInd w:val="0"/>
      <w:jc w:val="center"/>
      <w:textAlignment w:val="baseline"/>
    </w:pPr>
    <w:rPr>
      <w:rFonts w:hint="eastAsia"/>
      <w:spacing w:val="80"/>
      <w:sz w:val="20"/>
      <w:szCs w:val="20"/>
    </w:rPr>
  </w:style>
  <w:style w:type="paragraph" w:customStyle="1" w:styleId="affffffffffffffffa">
    <w:name w:val="首页脚注"/>
    <w:basedOn w:val="1f"/>
    <w:unhideWhenUsed/>
    <w:qFormat/>
    <w:pPr>
      <w:keepLines/>
      <w:tabs>
        <w:tab w:val="clear" w:pos="4153"/>
        <w:tab w:val="clear" w:pos="8306"/>
        <w:tab w:val="center" w:pos="4320"/>
      </w:tabs>
      <w:snapToGrid/>
      <w:jc w:val="center"/>
    </w:pPr>
    <w:rPr>
      <w:sz w:val="28"/>
      <w:szCs w:val="28"/>
    </w:rPr>
  </w:style>
  <w:style w:type="paragraph" w:customStyle="1" w:styleId="2ffb">
    <w:name w:val="样式 左侧:  2 字符"/>
    <w:basedOn w:val="a3"/>
    <w:unhideWhenUsed/>
    <w:qFormat/>
    <w:pPr>
      <w:ind w:firstLine="480"/>
    </w:pPr>
    <w:rPr>
      <w:rFonts w:hint="eastAsia"/>
      <w:szCs w:val="20"/>
    </w:rPr>
  </w:style>
  <w:style w:type="paragraph" w:customStyle="1" w:styleId="3f7">
    <w:name w:val="页面标题3"/>
    <w:basedOn w:val="2ff9"/>
    <w:unhideWhenUsed/>
    <w:qFormat/>
    <w:pPr>
      <w:ind w:leftChars="200" w:left="200"/>
    </w:pPr>
    <w:rPr>
      <w:sz w:val="32"/>
    </w:rPr>
  </w:style>
  <w:style w:type="paragraph" w:customStyle="1" w:styleId="1TimesNewRoman">
    <w:name w:val="样式 标题 1 + Times New Roman"/>
    <w:basedOn w:val="110"/>
    <w:next w:val="23"/>
    <w:unhideWhenUsed/>
    <w:qFormat/>
    <w:pPr>
      <w:spacing w:beforeLines="0" w:afterLines="0"/>
      <w:ind w:firstLineChars="0" w:firstLine="0"/>
      <w:jc w:val="left"/>
    </w:pPr>
    <w:rPr>
      <w:sz w:val="32"/>
      <w:szCs w:val="21"/>
    </w:rPr>
  </w:style>
  <w:style w:type="paragraph" w:customStyle="1" w:styleId="261">
    <w:name w:val="样式 标题 2 + 段后: 6 磅"/>
    <w:basedOn w:val="213"/>
    <w:next w:val="28"/>
    <w:unhideWhenUsed/>
    <w:qFormat/>
    <w:pPr>
      <w:tabs>
        <w:tab w:val="left" w:pos="1322"/>
      </w:tabs>
      <w:spacing w:beforeLines="0" w:beforeAutospacing="1" w:after="120"/>
      <w:ind w:firstLineChars="0" w:firstLine="0"/>
    </w:pPr>
    <w:rPr>
      <w:smallCaps/>
      <w:sz w:val="28"/>
      <w:szCs w:val="24"/>
    </w:rPr>
  </w:style>
  <w:style w:type="paragraph" w:customStyle="1" w:styleId="affffffffffffffffb">
    <w:name w:val="正文缩"/>
    <w:basedOn w:val="a3"/>
    <w:next w:val="a3"/>
    <w:unhideWhenUsed/>
    <w:qFormat/>
    <w:pPr>
      <w:adjustRightInd w:val="0"/>
      <w:snapToGrid w:val="0"/>
      <w:spacing w:line="480" w:lineRule="atLeast"/>
      <w:ind w:firstLine="567"/>
      <w:textAlignment w:val="baseline"/>
    </w:pPr>
    <w:rPr>
      <w:rFonts w:ascii="宋体" w:hint="eastAsia"/>
      <w:spacing w:val="6"/>
      <w:sz w:val="28"/>
      <w:szCs w:val="20"/>
    </w:rPr>
  </w:style>
  <w:style w:type="paragraph" w:customStyle="1" w:styleId="15218218">
    <w:name w:val="样式 样式 正文文字缩进 + 行距: 1.5 倍行距 首行缩进:  2.18 字符 + 首行缩进:  2.18 字符"/>
    <w:basedOn w:val="a3"/>
    <w:unhideWhenUsed/>
    <w:qFormat/>
    <w:pPr>
      <w:ind w:firstLineChars="218" w:firstLine="523"/>
    </w:pPr>
    <w:rPr>
      <w:rFonts w:hint="eastAsia"/>
      <w:szCs w:val="20"/>
    </w:rPr>
  </w:style>
  <w:style w:type="paragraph" w:customStyle="1" w:styleId="0515">
    <w:name w:val="样式 正文文字缩进 + 紧缩量  0.5 磅 行距: 1.5 倍行距"/>
    <w:basedOn w:val="BodyTextIndent1"/>
    <w:unhideWhenUsed/>
    <w:qFormat/>
    <w:pPr>
      <w:spacing w:after="0"/>
      <w:ind w:leftChars="0" w:left="0" w:firstLineChars="218" w:firstLine="567"/>
    </w:pPr>
    <w:rPr>
      <w:spacing w:val="-10"/>
      <w:sz w:val="24"/>
      <w:szCs w:val="20"/>
    </w:rPr>
  </w:style>
  <w:style w:type="paragraph" w:customStyle="1" w:styleId="15437">
    <w:name w:val="样式 正文文字缩进 + 行距: 1.5 倍行距 首行缩进:  4.37 字符"/>
    <w:basedOn w:val="BodyTextIndent1"/>
    <w:unhideWhenUsed/>
    <w:qFormat/>
    <w:pPr>
      <w:spacing w:after="0"/>
      <w:ind w:leftChars="0" w:left="0" w:firstLineChars="437" w:firstLine="1224"/>
    </w:pPr>
    <w:rPr>
      <w:sz w:val="24"/>
      <w:szCs w:val="20"/>
    </w:rPr>
  </w:style>
  <w:style w:type="paragraph" w:customStyle="1" w:styleId="305050505">
    <w:name w:val="样式 样式 标题 3 + 段前: 0.5 行 段后: 0.5 行 + 段前: 0.5 行 段后: 0.5 行"/>
    <w:basedOn w:val="a3"/>
    <w:unhideWhenUsed/>
    <w:qFormat/>
    <w:rPr>
      <w:rFonts w:hint="eastAsia"/>
      <w:sz w:val="21"/>
    </w:rPr>
  </w:style>
  <w:style w:type="paragraph" w:customStyle="1" w:styleId="2050">
    <w:name w:val="样式 标题 2 + 段后: 0.5 行"/>
    <w:basedOn w:val="213"/>
    <w:next w:val="a3"/>
    <w:unhideWhenUsed/>
    <w:qFormat/>
    <w:pPr>
      <w:tabs>
        <w:tab w:val="left" w:pos="1200"/>
        <w:tab w:val="left" w:pos="1322"/>
      </w:tabs>
      <w:spacing w:beforeLines="0" w:afterLines="0"/>
      <w:ind w:hangingChars="343" w:hanging="720"/>
      <w:jc w:val="left"/>
    </w:pPr>
    <w:rPr>
      <w:smallCaps/>
      <w:sz w:val="28"/>
      <w:szCs w:val="24"/>
    </w:rPr>
  </w:style>
  <w:style w:type="paragraph" w:customStyle="1" w:styleId="220505">
    <w:name w:val="样式 正文文本缩进 2 + 首行缩进:  2 字符 段前: 0.5 行 段后: 0.5 行"/>
    <w:basedOn w:val="215"/>
    <w:unhideWhenUsed/>
    <w:qFormat/>
    <w:pPr>
      <w:adjustRightInd/>
      <w:snapToGrid/>
      <w:spacing w:after="0" w:line="348" w:lineRule="auto"/>
      <w:ind w:leftChars="0" w:left="0"/>
    </w:pPr>
    <w:rPr>
      <w:szCs w:val="20"/>
    </w:rPr>
  </w:style>
  <w:style w:type="paragraph" w:customStyle="1" w:styleId="affffffffffffffffc">
    <w:name w:val="样式 题注 + (中文) 黑体 加粗"/>
    <w:basedOn w:val="1c"/>
    <w:unhideWhenUsed/>
    <w:qFormat/>
    <w:pPr>
      <w:spacing w:before="100" w:beforeAutospacing="1" w:after="120"/>
      <w:ind w:firstLineChars="990" w:firstLine="2087"/>
    </w:pPr>
    <w:rPr>
      <w:rFonts w:eastAsia="宋体"/>
      <w:b/>
      <w:sz w:val="21"/>
    </w:rPr>
  </w:style>
  <w:style w:type="paragraph" w:customStyle="1" w:styleId="affffffffffffffffd">
    <w:name w:val="样式 题注 + (中文) 黑体"/>
    <w:basedOn w:val="1c"/>
    <w:unhideWhenUsed/>
    <w:qFormat/>
    <w:pPr>
      <w:spacing w:before="100" w:beforeAutospacing="1" w:after="120"/>
      <w:ind w:firstLineChars="990" w:firstLine="2087"/>
    </w:pPr>
    <w:rPr>
      <w:rFonts w:eastAsia="宋体"/>
      <w:sz w:val="21"/>
    </w:rPr>
  </w:style>
  <w:style w:type="paragraph" w:customStyle="1" w:styleId="1ChChapterHeadingIBMSectionHead1CharChar">
    <w:name w:val="样式 标题 1章标题章ChChapter HeadingIBM Section Head标题 1 Char Char..."/>
    <w:basedOn w:val="110"/>
    <w:unhideWhenUsed/>
    <w:qFormat/>
    <w:pPr>
      <w:tabs>
        <w:tab w:val="left" w:pos="532"/>
      </w:tabs>
      <w:spacing w:afterLines="0"/>
      <w:ind w:left="532" w:firstLineChars="0" w:hanging="432"/>
    </w:pPr>
    <w:rPr>
      <w:rFonts w:ascii="宋体" w:eastAsia="黑体" w:hAnsi="宋体" w:cs="宋体"/>
      <w:szCs w:val="24"/>
    </w:rPr>
  </w:style>
  <w:style w:type="paragraph" w:customStyle="1" w:styleId="affffffffffffffffe">
    <w:name w:val="密级编号"/>
    <w:basedOn w:val="a3"/>
    <w:unhideWhenUsed/>
    <w:qFormat/>
    <w:pPr>
      <w:adjustRightInd w:val="0"/>
      <w:jc w:val="center"/>
      <w:textAlignment w:val="baseline"/>
    </w:pPr>
    <w:rPr>
      <w:rFonts w:ascii="仿宋_GB2312" w:eastAsia="仿宋_GB2312" w:hint="eastAsia"/>
      <w:szCs w:val="20"/>
    </w:rPr>
  </w:style>
  <w:style w:type="paragraph" w:customStyle="1" w:styleId="3f8">
    <w:name w:val="文3"/>
    <w:basedOn w:val="a3"/>
    <w:unhideWhenUsed/>
    <w:qFormat/>
    <w:pPr>
      <w:tabs>
        <w:tab w:val="left" w:pos="425"/>
      </w:tabs>
      <w:adjustRightInd w:val="0"/>
      <w:spacing w:line="500" w:lineRule="atLeast"/>
      <w:ind w:left="425" w:hanging="425"/>
      <w:textAlignment w:val="baseline"/>
    </w:pPr>
    <w:rPr>
      <w:rFonts w:hint="eastAsia"/>
      <w:sz w:val="28"/>
      <w:szCs w:val="20"/>
    </w:rPr>
  </w:style>
  <w:style w:type="paragraph" w:customStyle="1" w:styleId="afffffffffffffffff">
    <w:name w:val="文"/>
    <w:basedOn w:val="a3"/>
    <w:unhideWhenUsed/>
    <w:qFormat/>
    <w:pPr>
      <w:adjustRightInd w:val="0"/>
      <w:spacing w:line="500" w:lineRule="atLeast"/>
      <w:ind w:firstLine="540"/>
      <w:textAlignment w:val="baseline"/>
    </w:pPr>
    <w:rPr>
      <w:rFonts w:hint="eastAsia"/>
      <w:sz w:val="28"/>
      <w:szCs w:val="20"/>
    </w:rPr>
  </w:style>
  <w:style w:type="paragraph" w:customStyle="1" w:styleId="xl120">
    <w:name w:val="xl120"/>
    <w:basedOn w:val="a3"/>
    <w:unhideWhenUsed/>
    <w:qFormat/>
    <w:pPr>
      <w:widowControl/>
      <w:pBdr>
        <w:left w:val="single" w:sz="8" w:space="0" w:color="auto"/>
        <w:bottom w:val="single" w:sz="8" w:space="0" w:color="auto"/>
        <w:right w:val="single" w:sz="4" w:space="0" w:color="auto"/>
      </w:pBdr>
      <w:spacing w:before="100" w:beforeAutospacing="1" w:after="100" w:afterAutospacing="1"/>
      <w:jc w:val="center"/>
    </w:pPr>
    <w:rPr>
      <w:rFonts w:ascii="宋体" w:hAnsi="宋体" w:cs="Arial Unicode MS" w:hint="eastAsia"/>
      <w:sz w:val="20"/>
      <w:szCs w:val="20"/>
    </w:rPr>
  </w:style>
  <w:style w:type="paragraph" w:customStyle="1" w:styleId="3CharChar">
    <w:name w:val="样式3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Char">
    <w:name w:val="样式 Char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afffffffffffffffff0">
    <w:name w:val="样式 正文缩进 + 五号"/>
    <w:basedOn w:val="1b"/>
    <w:unhideWhenUsed/>
    <w:qFormat/>
    <w:pPr>
      <w:widowControl/>
      <w:overflowPunct w:val="0"/>
      <w:autoSpaceDE w:val="0"/>
      <w:autoSpaceDN w:val="0"/>
      <w:adjustRightInd w:val="0"/>
      <w:ind w:firstLineChars="0" w:firstLine="0"/>
      <w:jc w:val="left"/>
      <w:textAlignment w:val="baseline"/>
    </w:pPr>
    <w:rPr>
      <w:sz w:val="24"/>
    </w:rPr>
  </w:style>
  <w:style w:type="paragraph" w:customStyle="1" w:styleId="3CharCharChar">
    <w:name w:val="样式3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0">
    <w:name w:val="样式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
    <w:name w:val="样式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CharCharCharCharCharCharCharCharCharCharCharCharCharCharCharCharCharCharCharCharCharCharCharCharCharCharCharCharCharCharChar">
    <w:name w:val="样式 正文缩进 + 五号 Char Char Char Char Char Char Char Char Char Char Char Char Char Char Char Char Char Char Char Char Char Char Char Char Char Char Char Char Char Char Char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rPr>
  </w:style>
  <w:style w:type="paragraph" w:customStyle="1" w:styleId="afffffffffffffffff1">
    <w:name w:val="新表格"/>
    <w:basedOn w:val="a3"/>
    <w:unhideWhenUsed/>
    <w:qFormat/>
    <w:pPr>
      <w:ind w:left="420"/>
      <w:jc w:val="center"/>
    </w:pPr>
    <w:rPr>
      <w:rFonts w:hint="eastAsia"/>
      <w:b/>
      <w:szCs w:val="24"/>
    </w:rPr>
  </w:style>
  <w:style w:type="paragraph" w:customStyle="1" w:styleId="307105107105">
    <w:name w:val="样式 标题（3）新 + 首行缩进:  0.71 字符 段后: 0.5 行1 + 首行缩进:  0.71 字符 段后: 0.5 行"/>
    <w:basedOn w:val="a3"/>
    <w:unhideWhenUsed/>
    <w:qFormat/>
    <w:pPr>
      <w:keepNext/>
      <w:keepLines/>
      <w:spacing w:before="120" w:afterLines="50"/>
      <w:ind w:firstLineChars="71" w:firstLine="213"/>
      <w:outlineLvl w:val="2"/>
    </w:pPr>
    <w:rPr>
      <w:rFonts w:ascii="宋体" w:hAnsi="宋体" w:hint="eastAsia"/>
      <w:b/>
      <w:sz w:val="30"/>
      <w:szCs w:val="20"/>
    </w:rPr>
  </w:style>
  <w:style w:type="paragraph" w:customStyle="1" w:styleId="3f9">
    <w:name w:val="样式 标题 3头小标题 + 自动设置"/>
    <w:basedOn w:val="310"/>
    <w:unhideWhenUsed/>
    <w:qFormat/>
    <w:pPr>
      <w:spacing w:beforeLines="0" w:afterLines="0"/>
      <w:ind w:firstLineChars="71" w:firstLine="213"/>
    </w:pPr>
    <w:rPr>
      <w:rFonts w:ascii="宋体" w:hAnsi="宋体"/>
      <w:sz w:val="30"/>
      <w:szCs w:val="24"/>
    </w:rPr>
  </w:style>
  <w:style w:type="paragraph" w:customStyle="1" w:styleId="afffffffffffffffff2">
    <w:name w:val="方程式"/>
    <w:basedOn w:val="a3"/>
    <w:unhideWhenUsed/>
    <w:qFormat/>
    <w:pPr>
      <w:overflowPunct w:val="0"/>
      <w:autoSpaceDE w:val="0"/>
      <w:autoSpaceDN w:val="0"/>
      <w:adjustRightInd w:val="0"/>
      <w:spacing w:before="60" w:after="60"/>
      <w:jc w:val="left"/>
      <w:textAlignment w:val="bottom"/>
    </w:pPr>
    <w:rPr>
      <w:rFonts w:ascii="宋体" w:hint="eastAsia"/>
      <w:spacing w:val="24"/>
      <w:szCs w:val="20"/>
    </w:rPr>
  </w:style>
  <w:style w:type="paragraph" w:customStyle="1" w:styleId="1-10316">
    <w:name w:val="样式 标题 1-*+章标题 1 + (中文) 宋体 三号 加粗 首行缩进:  0.31 字符 段前: 6 磅 行距..."/>
    <w:basedOn w:val="110"/>
    <w:unhideWhenUsed/>
    <w:qFormat/>
    <w:pPr>
      <w:tabs>
        <w:tab w:val="left" w:pos="532"/>
      </w:tabs>
      <w:spacing w:beforeLines="0" w:afterLines="0"/>
      <w:ind w:left="532" w:firstLineChars="0" w:hanging="432"/>
    </w:pPr>
    <w:rPr>
      <w:rFonts w:eastAsia="黑体" w:cs="宋体"/>
      <w:kern w:val="2"/>
    </w:rPr>
  </w:style>
  <w:style w:type="paragraph" w:customStyle="1" w:styleId="2110015">
    <w:name w:val="样式 标题 2节标题 1.1 + 小三 加粗 段前: 0 磅 段后: 0 磅 行距: 1.5 倍行距"/>
    <w:basedOn w:val="213"/>
    <w:unhideWhenUsed/>
    <w:qFormat/>
    <w:pPr>
      <w:tabs>
        <w:tab w:val="left" w:pos="-426"/>
        <w:tab w:val="left" w:pos="360"/>
        <w:tab w:val="left" w:pos="1322"/>
      </w:tabs>
      <w:spacing w:beforeLines="0" w:afterLines="0"/>
      <w:ind w:left="-426" w:firstLineChars="0" w:hanging="357"/>
    </w:pPr>
    <w:rPr>
      <w:rFonts w:eastAsia="黑体" w:cs="宋体"/>
      <w:sz w:val="30"/>
      <w:szCs w:val="24"/>
    </w:rPr>
  </w:style>
  <w:style w:type="paragraph" w:customStyle="1" w:styleId="31113h33rdlevelH3l3CT33">
    <w:name w:val="样式 标题 3条标题1.1.13h33rd levelH3l3CT头小标题 + 段前: 3 磅 段后: 3 ..."/>
    <w:basedOn w:val="310"/>
    <w:unhideWhenUsed/>
    <w:qFormat/>
    <w:pPr>
      <w:tabs>
        <w:tab w:val="left" w:pos="0"/>
      </w:tabs>
      <w:spacing w:beforeLines="0" w:afterLines="0"/>
      <w:ind w:firstLineChars="0" w:firstLine="0"/>
    </w:pPr>
    <w:rPr>
      <w:rFonts w:cs="宋体"/>
      <w:sz w:val="24"/>
      <w:szCs w:val="24"/>
    </w:rPr>
  </w:style>
  <w:style w:type="paragraph" w:customStyle="1" w:styleId="411117878">
    <w:name w:val="样式 标题 4款标题1.1.1.1 + 段前: 7.8 磅 段后: 7.8 磅"/>
    <w:basedOn w:val="410"/>
    <w:unhideWhenUsed/>
    <w:qFormat/>
    <w:pPr>
      <w:keepNext w:val="0"/>
      <w:tabs>
        <w:tab w:val="left" w:pos="964"/>
        <w:tab w:val="left" w:pos="2880"/>
      </w:tabs>
      <w:spacing w:beforeLines="0" w:afterLines="0"/>
      <w:ind w:left="964" w:firstLineChars="0" w:hanging="864"/>
    </w:pPr>
    <w:rPr>
      <w:rFonts w:cs="宋体"/>
    </w:rPr>
  </w:style>
  <w:style w:type="paragraph" w:customStyle="1" w:styleId="211SeMajorHeadingIBMSubhead2h22Cha">
    <w:name w:val="样式 标题 2节标题 1.1节标题节SeMajor HeadingIBM Subhead 2h2标题 2 Cha..."/>
    <w:basedOn w:val="213"/>
    <w:unhideWhenUsed/>
    <w:qFormat/>
    <w:pPr>
      <w:keepNext w:val="0"/>
      <w:tabs>
        <w:tab w:val="left" w:pos="576"/>
        <w:tab w:val="left" w:pos="851"/>
        <w:tab w:val="left" w:pos="1322"/>
      </w:tabs>
      <w:snapToGrid w:val="0"/>
      <w:spacing w:beforeLines="0" w:afterLines="0"/>
      <w:ind w:left="578" w:firstLineChars="0" w:hanging="578"/>
    </w:pPr>
    <w:rPr>
      <w:rFonts w:ascii="Arial" w:eastAsia="黑体" w:hAnsi="Arial" w:cs="宋体"/>
      <w:sz w:val="30"/>
      <w:szCs w:val="24"/>
    </w:rPr>
  </w:style>
  <w:style w:type="paragraph" w:customStyle="1" w:styleId="31113h33rdlevelH3l3CTChar31">
    <w:name w:val="样式 标题 3条标题1.1.13h33rd levelH3l3CT头小标题小节标题头 Char标题 31..."/>
    <w:basedOn w:val="310"/>
    <w:unhideWhenUsed/>
    <w:qFormat/>
    <w:pPr>
      <w:keepNext w:val="0"/>
      <w:tabs>
        <w:tab w:val="left" w:pos="720"/>
        <w:tab w:val="left" w:pos="851"/>
        <w:tab w:val="left" w:pos="907"/>
      </w:tabs>
      <w:spacing w:beforeLines="0" w:afterLines="0"/>
      <w:ind w:firstLineChars="0" w:hanging="720"/>
    </w:pPr>
    <w:rPr>
      <w:rFonts w:eastAsia="黑体" w:cs="宋体"/>
      <w:sz w:val="24"/>
      <w:szCs w:val="24"/>
    </w:rPr>
  </w:style>
  <w:style w:type="paragraph" w:customStyle="1" w:styleId="21115">
    <w:name w:val="样式 标题 2节标题 1.1 + 加粗 行距: 1.5 倍行距"/>
    <w:basedOn w:val="213"/>
    <w:unhideWhenUsed/>
    <w:qFormat/>
    <w:pPr>
      <w:tabs>
        <w:tab w:val="left" w:pos="576"/>
        <w:tab w:val="left" w:pos="851"/>
        <w:tab w:val="left" w:pos="1322"/>
      </w:tabs>
      <w:spacing w:beforeLines="0" w:afterLines="0"/>
      <w:ind w:firstLineChars="0" w:firstLine="0"/>
    </w:pPr>
    <w:rPr>
      <w:rFonts w:eastAsia="黑体" w:cs="宋体"/>
      <w:sz w:val="30"/>
      <w:szCs w:val="24"/>
    </w:rPr>
  </w:style>
  <w:style w:type="paragraph" w:customStyle="1" w:styleId="31113h33rdlevelH3l3CT31">
    <w:name w:val="样式 标题 3条标题1.1.13h33rd levelH3l3CT头小标题 + 段后: 3 磅 行距: 1...."/>
    <w:basedOn w:val="310"/>
    <w:unhideWhenUsed/>
    <w:qFormat/>
    <w:pPr>
      <w:tabs>
        <w:tab w:val="left" w:pos="1"/>
        <w:tab w:val="left" w:pos="851"/>
        <w:tab w:val="left" w:pos="907"/>
      </w:tabs>
      <w:spacing w:beforeLines="0" w:afterLines="0"/>
      <w:ind w:left="1" w:firstLineChars="0" w:hanging="720"/>
    </w:pPr>
    <w:rPr>
      <w:rFonts w:cs="宋体"/>
      <w:sz w:val="24"/>
      <w:szCs w:val="24"/>
    </w:rPr>
  </w:style>
  <w:style w:type="paragraph" w:customStyle="1" w:styleId="095323">
    <w:name w:val="样式 首行缩进:  0.95 厘米 段前: 3 磅 行距: 固定值 23 磅"/>
    <w:basedOn w:val="a3"/>
    <w:unhideWhenUsed/>
    <w:qFormat/>
    <w:pPr>
      <w:adjustRightInd w:val="0"/>
      <w:ind w:firstLine="539"/>
      <w:textAlignment w:val="baseline"/>
    </w:pPr>
    <w:rPr>
      <w:rFonts w:cs="宋体" w:hint="eastAsia"/>
      <w:szCs w:val="24"/>
    </w:rPr>
  </w:style>
  <w:style w:type="paragraph" w:customStyle="1" w:styleId="3Char31111CharCharChar">
    <w:name w:val="样式 标题 3小标题小节标题头 Char标题 31小标题1小节标题1小节标题1 Char Char头 Char ..."/>
    <w:basedOn w:val="310"/>
    <w:unhideWhenUsed/>
    <w:qFormat/>
    <w:pPr>
      <w:tabs>
        <w:tab w:val="left" w:pos="720"/>
        <w:tab w:val="left" w:pos="851"/>
        <w:tab w:val="left" w:pos="907"/>
      </w:tabs>
      <w:spacing w:beforeLines="0" w:afterLines="0"/>
      <w:ind w:firstLineChars="0" w:hanging="720"/>
    </w:pPr>
    <w:rPr>
      <w:rFonts w:cs="宋体"/>
      <w:sz w:val="24"/>
      <w:szCs w:val="24"/>
    </w:rPr>
  </w:style>
  <w:style w:type="paragraph" w:customStyle="1" w:styleId="4L4MinorHeadingTimesNewRoman">
    <w:name w:val="样式 标题 4L4Minor Heading + Times New Roman"/>
    <w:basedOn w:val="410"/>
    <w:next w:val="23"/>
    <w:unhideWhenUsed/>
    <w:qFormat/>
    <w:pPr>
      <w:tabs>
        <w:tab w:val="left" w:pos="964"/>
        <w:tab w:val="left" w:pos="2880"/>
      </w:tabs>
      <w:spacing w:beforeLines="25" w:line="240" w:lineRule="auto"/>
      <w:ind w:left="964" w:firstLineChars="0" w:hanging="864"/>
    </w:pPr>
    <w:rPr>
      <w:szCs w:val="28"/>
    </w:rPr>
  </w:style>
  <w:style w:type="paragraph" w:customStyle="1" w:styleId="afffffffffffffffff3">
    <w:name w:val="样式 标题"/>
    <w:basedOn w:val="410"/>
    <w:unhideWhenUsed/>
    <w:qFormat/>
    <w:pPr>
      <w:tabs>
        <w:tab w:val="left" w:pos="964"/>
        <w:tab w:val="left" w:pos="2880"/>
      </w:tabs>
      <w:spacing w:beforeLines="25" w:line="240" w:lineRule="auto"/>
      <w:ind w:left="964" w:firstLineChars="0" w:hanging="864"/>
    </w:pPr>
    <w:rPr>
      <w:rFonts w:eastAsia="黑体"/>
      <w:szCs w:val="28"/>
    </w:rPr>
  </w:style>
  <w:style w:type="paragraph" w:customStyle="1" w:styleId="2ffc">
    <w:name w:val="样式 图表目录 + 左侧:  2 字符"/>
    <w:basedOn w:val="aff2"/>
    <w:unhideWhenUsed/>
    <w:qFormat/>
    <w:pPr>
      <w:spacing w:line="300" w:lineRule="auto"/>
      <w:ind w:left="0" w:firstLine="0"/>
      <w:jc w:val="both"/>
    </w:pPr>
    <w:rPr>
      <w:rFonts w:cs="宋体"/>
      <w:smallCaps w:val="0"/>
      <w:sz w:val="24"/>
    </w:rPr>
  </w:style>
  <w:style w:type="paragraph" w:customStyle="1" w:styleId="3133Char0505">
    <w:name w:val="样式 样式 标题 3标题 13标题 3 Char + (中文) 黑体 小三 加粗 段前: 0.5 行 段后: 0.5 行 + 宋..."/>
    <w:basedOn w:val="a3"/>
    <w:unhideWhenUsed/>
    <w:qFormat/>
    <w:pPr>
      <w:keepNext/>
      <w:keepLines/>
      <w:tabs>
        <w:tab w:val="left" w:pos="1080"/>
      </w:tabs>
      <w:spacing w:beforeLines="50" w:afterLines="50" w:line="500" w:lineRule="exact"/>
      <w:ind w:leftChars="200" w:left="625" w:hanging="425"/>
      <w:jc w:val="left"/>
      <w:outlineLvl w:val="2"/>
    </w:pPr>
    <w:rPr>
      <w:rFonts w:ascii="宋体" w:hAnsi="宋体" w:cs="宋体" w:hint="eastAsia"/>
      <w:b/>
      <w:szCs w:val="20"/>
    </w:rPr>
  </w:style>
  <w:style w:type="paragraph" w:customStyle="1" w:styleId="228">
    <w:name w:val="样式 正文首行缩进 2 + 首行缩进:  2 字符"/>
    <w:basedOn w:val="28"/>
    <w:unhideWhenUsed/>
    <w:qFormat/>
    <w:pPr>
      <w:widowControl/>
      <w:spacing w:after="0" w:line="460" w:lineRule="exact"/>
      <w:ind w:leftChars="0" w:left="0" w:firstLine="480"/>
    </w:pPr>
    <w:rPr>
      <w:rFonts w:hint="eastAsia"/>
      <w:szCs w:val="24"/>
    </w:rPr>
  </w:style>
  <w:style w:type="paragraph" w:customStyle="1" w:styleId="4L4MinorHeading4CharChar11110">
    <w:name w:val="样式 标题 4L4Minor Heading标题 4 Char Char款标题1.1.1.1 + 左侧:  0 厘米 ..."/>
    <w:basedOn w:val="410"/>
    <w:unhideWhenUsed/>
    <w:qFormat/>
    <w:pPr>
      <w:tabs>
        <w:tab w:val="left" w:pos="2880"/>
      </w:tabs>
      <w:spacing w:beforeLines="0" w:afterLines="0" w:line="376" w:lineRule="atLeast"/>
      <w:ind w:firstLineChars="0" w:hanging="864"/>
    </w:pPr>
    <w:rPr>
      <w:rFonts w:eastAsia="黑体" w:hAnsi="Arial" w:cs="宋体"/>
    </w:rPr>
  </w:style>
  <w:style w:type="paragraph" w:customStyle="1" w:styleId="afffffffffffffffff4">
    <w:name w:val="宝钢正文"/>
    <w:basedOn w:val="a3"/>
    <w:unhideWhenUsed/>
    <w:qFormat/>
    <w:pPr>
      <w:tabs>
        <w:tab w:val="left" w:pos="3060"/>
      </w:tabs>
      <w:spacing w:beforeLines="50" w:afterLines="50" w:line="440" w:lineRule="exact"/>
      <w:ind w:firstLine="480"/>
      <w:outlineLvl w:val="3"/>
    </w:pPr>
    <w:rPr>
      <w:rFonts w:ascii="宋体" w:hAnsi="宋体" w:cs="宋体" w:hint="eastAsia"/>
      <w:b/>
      <w:sz w:val="21"/>
      <w:szCs w:val="20"/>
    </w:rPr>
  </w:style>
  <w:style w:type="paragraph" w:customStyle="1" w:styleId="afffffffffffffffff5">
    <w:name w:val="正文正文正文正文"/>
    <w:basedOn w:val="a3"/>
    <w:next w:val="a3"/>
    <w:unhideWhenUsed/>
    <w:qFormat/>
    <w:pPr>
      <w:keepNext/>
      <w:keepLines/>
      <w:widowControl/>
      <w:adjustRightInd w:val="0"/>
      <w:spacing w:before="40" w:after="40"/>
      <w:jc w:val="left"/>
      <w:textAlignment w:val="baseline"/>
    </w:pPr>
    <w:rPr>
      <w:rFonts w:cs="宋体" w:hint="eastAsia"/>
      <w:szCs w:val="28"/>
    </w:rPr>
  </w:style>
  <w:style w:type="paragraph" w:customStyle="1" w:styleId="TABLE2">
    <w:name w:val="TABLE2"/>
    <w:basedOn w:val="a3"/>
    <w:unhideWhenUsed/>
    <w:qFormat/>
    <w:pPr>
      <w:adjustRightInd w:val="0"/>
      <w:spacing w:line="240" w:lineRule="atLeast"/>
      <w:jc w:val="center"/>
      <w:textAlignment w:val="baseline"/>
    </w:pPr>
    <w:rPr>
      <w:rFonts w:hint="eastAsia"/>
      <w:szCs w:val="24"/>
    </w:rPr>
  </w:style>
  <w:style w:type="paragraph" w:customStyle="1" w:styleId="LNG">
    <w:name w:val="LNG－表格"/>
    <w:basedOn w:val="a3"/>
    <w:unhideWhenUsed/>
    <w:qFormat/>
    <w:pPr>
      <w:jc w:val="center"/>
    </w:pPr>
    <w:rPr>
      <w:rFonts w:hint="eastAsia"/>
      <w:sz w:val="21"/>
    </w:rPr>
  </w:style>
  <w:style w:type="paragraph" w:customStyle="1" w:styleId="afffffffffffffffff6">
    <w:name w:val="样式 正文首行缩进 + 黑色"/>
    <w:basedOn w:val="1fb"/>
    <w:link w:val="Charffff2"/>
    <w:unhideWhenUsed/>
    <w:qFormat/>
    <w:pPr>
      <w:widowControl/>
      <w:topLinePunct/>
      <w:snapToGrid w:val="0"/>
      <w:spacing w:line="420" w:lineRule="exact"/>
      <w:jc w:val="left"/>
    </w:pPr>
    <w:rPr>
      <w:color w:val="000000"/>
    </w:rPr>
  </w:style>
  <w:style w:type="paragraph" w:customStyle="1" w:styleId="afffffffffffffffff7">
    <w:name w:val="中远正文"/>
    <w:basedOn w:val="a3"/>
    <w:link w:val="Charffff3"/>
    <w:unhideWhenUsed/>
    <w:qFormat/>
    <w:pPr>
      <w:adjustRightInd w:val="0"/>
      <w:ind w:rightChars="-10" w:right="-21" w:firstLineChars="300" w:firstLine="720"/>
      <w:textAlignment w:val="baseline"/>
    </w:pPr>
    <w:rPr>
      <w:rFonts w:hint="eastAsia"/>
      <w:kern w:val="24"/>
      <w:szCs w:val="20"/>
    </w:rPr>
  </w:style>
  <w:style w:type="paragraph" w:customStyle="1" w:styleId="table1">
    <w:name w:val="table1"/>
    <w:basedOn w:val="a3"/>
    <w:unhideWhenUsed/>
    <w:qFormat/>
    <w:pPr>
      <w:adjustRightInd w:val="0"/>
      <w:spacing w:line="240" w:lineRule="atLeast"/>
      <w:jc w:val="center"/>
      <w:textAlignment w:val="baseline"/>
    </w:pPr>
    <w:rPr>
      <w:rFonts w:eastAsia="黑体" w:hint="eastAsia"/>
      <w:szCs w:val="24"/>
    </w:rPr>
  </w:style>
  <w:style w:type="paragraph" w:customStyle="1" w:styleId="afffffffffffffffff8">
    <w:name w:val="表格题注"/>
    <w:basedOn w:val="a3"/>
    <w:link w:val="Charffff4"/>
    <w:unhideWhenUsed/>
    <w:qFormat/>
    <w:pPr>
      <w:adjustRightInd w:val="0"/>
      <w:jc w:val="center"/>
      <w:textAlignment w:val="baseline"/>
    </w:pPr>
    <w:rPr>
      <w:rFonts w:hint="eastAsia"/>
      <w:b/>
      <w:kern w:val="24"/>
      <w:sz w:val="21"/>
    </w:rPr>
  </w:style>
  <w:style w:type="paragraph" w:customStyle="1" w:styleId="afffffffffffffffff9">
    <w:name w:val="表中文字居中"/>
    <w:basedOn w:val="a3"/>
    <w:link w:val="Charffff5"/>
    <w:unhideWhenUsed/>
    <w:qFormat/>
    <w:pPr>
      <w:shd w:val="clear" w:color="auto" w:fill="FFFFFF"/>
      <w:tabs>
        <w:tab w:val="left" w:pos="360"/>
        <w:tab w:val="left" w:pos="1727"/>
        <w:tab w:val="left" w:pos="1884"/>
        <w:tab w:val="right" w:pos="9072"/>
      </w:tabs>
      <w:adjustRightInd w:val="0"/>
      <w:snapToGrid w:val="0"/>
      <w:spacing w:line="240" w:lineRule="atLeast"/>
      <w:ind w:leftChars="-34" w:left="1" w:rightChars="-36" w:right="-101" w:hangingChars="40" w:hanging="96"/>
      <w:jc w:val="center"/>
      <w:outlineLvl w:val="0"/>
    </w:pPr>
    <w:rPr>
      <w:rFonts w:ascii="宋体" w:hint="eastAsia"/>
      <w:szCs w:val="20"/>
    </w:rPr>
  </w:style>
  <w:style w:type="paragraph" w:customStyle="1" w:styleId="1410">
    <w:name w:val="样式 报告正文 + 行距: 多倍行距 1.4 字行1"/>
    <w:basedOn w:val="affffffffff5"/>
    <w:unhideWhenUsed/>
    <w:qFormat/>
    <w:pPr>
      <w:adjustRightInd w:val="0"/>
      <w:snapToGrid w:val="0"/>
      <w:spacing w:line="336" w:lineRule="auto"/>
      <w:ind w:firstLineChars="200" w:firstLine="560"/>
    </w:pPr>
    <w:rPr>
      <w:rFonts w:ascii="宋体" w:eastAsia="宋体" w:cs="宋体"/>
      <w:szCs w:val="28"/>
    </w:rPr>
  </w:style>
  <w:style w:type="paragraph" w:customStyle="1" w:styleId="afffffffffffffffffa">
    <w:name w:val="燕山正文"/>
    <w:basedOn w:val="a3"/>
    <w:link w:val="Charffff6"/>
    <w:unhideWhenUsed/>
    <w:qFormat/>
    <w:pPr>
      <w:tabs>
        <w:tab w:val="left" w:pos="4680"/>
      </w:tabs>
      <w:adjustRightInd w:val="0"/>
      <w:snapToGrid w:val="0"/>
      <w:ind w:firstLine="560"/>
    </w:pPr>
    <w:rPr>
      <w:rFonts w:ascii="宋体" w:hAnsi="宋体" w:hint="eastAsia"/>
      <w:color w:val="000000"/>
      <w:szCs w:val="28"/>
    </w:rPr>
  </w:style>
  <w:style w:type="paragraph" w:customStyle="1" w:styleId="2222">
    <w:name w:val="样式 样式 样式 正文首行缩进 2 + 首行缩进:  2 字符 + 首行缩进:  2 字符 + 首行缩进:  2 字符"/>
    <w:basedOn w:val="a3"/>
    <w:unhideWhenUsed/>
    <w:qFormat/>
    <w:pPr>
      <w:spacing w:line="440" w:lineRule="exact"/>
    </w:pPr>
    <w:rPr>
      <w:rFonts w:cs="宋体" w:hint="eastAsia"/>
      <w:szCs w:val="20"/>
    </w:rPr>
  </w:style>
  <w:style w:type="paragraph" w:customStyle="1" w:styleId="afffffffffffffffffb">
    <w:name w:val="表中文字中"/>
    <w:basedOn w:val="a3"/>
    <w:next w:val="a3"/>
    <w:unhideWhenUsed/>
    <w:qFormat/>
    <w:pPr>
      <w:overflowPunct w:val="0"/>
      <w:autoSpaceDE w:val="0"/>
      <w:autoSpaceDN w:val="0"/>
      <w:adjustRightInd w:val="0"/>
      <w:snapToGrid w:val="0"/>
      <w:spacing w:line="240" w:lineRule="atLeast"/>
    </w:pPr>
    <w:rPr>
      <w:rFonts w:ascii="仿宋_GB2312" w:eastAsia="仿宋_GB2312" w:hint="eastAsia"/>
      <w:szCs w:val="24"/>
      <w:lang w:val="zh-CN"/>
    </w:rPr>
  </w:style>
  <w:style w:type="paragraph" w:customStyle="1" w:styleId="11h11stlevelSectionHeadl1b1H11">
    <w:name w:val="样式 标题 1章标题 1文章标题h11st levelSection Headl1章b1H1章节标题1标题..."/>
    <w:basedOn w:val="110"/>
    <w:unhideWhenUsed/>
    <w:qFormat/>
    <w:pPr>
      <w:spacing w:beforeLines="50" w:after="240"/>
      <w:ind w:firstLineChars="0" w:firstLine="0"/>
    </w:pPr>
    <w:rPr>
      <w:rFonts w:eastAsia="黑体"/>
      <w:b w:val="0"/>
      <w:color w:val="000000"/>
      <w:sz w:val="32"/>
      <w:szCs w:val="32"/>
    </w:rPr>
  </w:style>
  <w:style w:type="paragraph" w:customStyle="1" w:styleId="1fffc">
    <w:name w:val="1级样式."/>
    <w:basedOn w:val="a3"/>
    <w:unhideWhenUsed/>
    <w:qFormat/>
    <w:pPr>
      <w:keepNext/>
      <w:keepLines/>
      <w:spacing w:beforeLines="30" w:afterLines="30" w:line="300" w:lineRule="auto"/>
      <w:jc w:val="left"/>
      <w:outlineLvl w:val="0"/>
    </w:pPr>
    <w:rPr>
      <w:rFonts w:eastAsia="黑体" w:cs="宋体" w:hint="eastAsia"/>
      <w:color w:val="000000"/>
      <w:kern w:val="44"/>
      <w:sz w:val="32"/>
      <w:szCs w:val="20"/>
    </w:rPr>
  </w:style>
  <w:style w:type="paragraph" w:customStyle="1" w:styleId="220303">
    <w:name w:val="样式 标题 22级样式 + 段前: 0.3 行 段后: 0.3 行"/>
    <w:basedOn w:val="213"/>
    <w:unhideWhenUsed/>
    <w:qFormat/>
    <w:pPr>
      <w:tabs>
        <w:tab w:val="left" w:pos="1322"/>
      </w:tabs>
      <w:spacing w:beforeLines="30" w:afterLines="30"/>
      <w:ind w:firstLineChars="0" w:firstLine="0"/>
    </w:pPr>
    <w:rPr>
      <w:rFonts w:eastAsia="黑体" w:cs="宋体"/>
      <w:b w:val="0"/>
      <w:color w:val="003300"/>
      <w:sz w:val="30"/>
      <w:szCs w:val="30"/>
    </w:rPr>
  </w:style>
  <w:style w:type="paragraph" w:customStyle="1" w:styleId="41">
    <w:name w:val="4级样式"/>
    <w:basedOn w:val="410"/>
    <w:link w:val="4Char3"/>
    <w:unhideWhenUsed/>
    <w:qFormat/>
    <w:pPr>
      <w:numPr>
        <w:ilvl w:val="2"/>
        <w:numId w:val="12"/>
      </w:numPr>
      <w:tabs>
        <w:tab w:val="left" w:pos="2880"/>
      </w:tabs>
      <w:spacing w:beforeLines="0" w:afterLines="0"/>
    </w:pPr>
    <w:rPr>
      <w:rFonts w:ascii="Arial" w:eastAsia="黑体" w:hAnsi="Arial"/>
      <w:b w:val="0"/>
      <w:color w:val="339966"/>
    </w:rPr>
  </w:style>
  <w:style w:type="paragraph" w:customStyle="1" w:styleId="3fa">
    <w:name w:val="3 级样式"/>
    <w:basedOn w:val="310"/>
    <w:unhideWhenUsed/>
    <w:qFormat/>
    <w:pPr>
      <w:spacing w:beforeLines="20" w:afterLines="30" w:line="300" w:lineRule="auto"/>
      <w:ind w:firstLineChars="0" w:firstLine="0"/>
    </w:pPr>
    <w:rPr>
      <w:rFonts w:eastAsia="黑体" w:cs="宋体"/>
      <w:b w:val="0"/>
      <w:color w:val="339966"/>
      <w:kern w:val="28"/>
      <w:sz w:val="28"/>
      <w:szCs w:val="28"/>
    </w:rPr>
  </w:style>
  <w:style w:type="paragraph" w:customStyle="1" w:styleId="2ffd">
    <w:name w:val="2 级样式"/>
    <w:basedOn w:val="213"/>
    <w:unhideWhenUsed/>
    <w:qFormat/>
    <w:pPr>
      <w:tabs>
        <w:tab w:val="left" w:pos="1322"/>
      </w:tabs>
      <w:spacing w:beforeLines="30" w:before="93" w:afterLines="30" w:after="93" w:line="300" w:lineRule="auto"/>
      <w:ind w:firstLineChars="0" w:firstLine="0"/>
    </w:pPr>
    <w:rPr>
      <w:rFonts w:cs="宋体"/>
      <w:color w:val="000000"/>
      <w:szCs w:val="30"/>
    </w:rPr>
  </w:style>
  <w:style w:type="paragraph" w:customStyle="1" w:styleId="afffffffffffffffffc">
    <w:name w:val="首选正文"/>
    <w:basedOn w:val="a3"/>
    <w:unhideWhenUsed/>
    <w:qFormat/>
    <w:pPr>
      <w:spacing w:line="460" w:lineRule="exact"/>
    </w:pPr>
    <w:rPr>
      <w:rFonts w:cs="宋体" w:hint="eastAsia"/>
      <w:szCs w:val="24"/>
    </w:rPr>
  </w:style>
  <w:style w:type="paragraph" w:customStyle="1" w:styleId="afffffffffffffffffd">
    <w:name w:val="大写标题"/>
    <w:basedOn w:val="a3"/>
    <w:unhideWhenUsed/>
    <w:qFormat/>
    <w:pPr>
      <w:spacing w:beforeLines="50" w:afterLines="100"/>
      <w:jc w:val="center"/>
    </w:pPr>
    <w:rPr>
      <w:rFonts w:eastAsia="黑体" w:cs="宋体" w:hint="eastAsia"/>
      <w:sz w:val="32"/>
      <w:szCs w:val="32"/>
    </w:rPr>
  </w:style>
  <w:style w:type="paragraph" w:customStyle="1" w:styleId="afffffffffffffffffe">
    <w:name w:val="大 写 标 题"/>
    <w:basedOn w:val="afffffffffffffffffd"/>
    <w:unhideWhenUsed/>
    <w:qFormat/>
    <w:pPr>
      <w:spacing w:before="156" w:after="312"/>
    </w:pPr>
    <w:rPr>
      <w:sz w:val="36"/>
      <w:szCs w:val="20"/>
    </w:rPr>
  </w:style>
  <w:style w:type="paragraph" w:customStyle="1" w:styleId="affffffffffffffffff">
    <w:name w:val="表格 文字"/>
    <w:basedOn w:val="1fb"/>
    <w:unhideWhenUsed/>
    <w:qFormat/>
    <w:pPr>
      <w:tabs>
        <w:tab w:val="left" w:pos="628"/>
        <w:tab w:val="left" w:pos="1727"/>
        <w:tab w:val="left" w:pos="1884"/>
      </w:tabs>
      <w:snapToGrid w:val="0"/>
      <w:spacing w:line="240" w:lineRule="auto"/>
      <w:ind w:firstLineChars="0" w:firstLine="0"/>
      <w:jc w:val="center"/>
    </w:pPr>
    <w:rPr>
      <w:sz w:val="18"/>
      <w:szCs w:val="18"/>
    </w:rPr>
  </w:style>
  <w:style w:type="paragraph" w:customStyle="1" w:styleId="affffffffffffffffff0">
    <w:name w:val="表格中的文字"/>
    <w:basedOn w:val="affffffffffffffffff"/>
    <w:unhideWhenUsed/>
    <w:qFormat/>
  </w:style>
  <w:style w:type="paragraph" w:customStyle="1" w:styleId="affffffffffffffffff1">
    <w:name w:val="前言正文"/>
    <w:basedOn w:val="afffffffffffffffffe"/>
    <w:unhideWhenUsed/>
    <w:qFormat/>
    <w:pPr>
      <w:spacing w:beforeLines="0" w:afterLines="0" w:line="300" w:lineRule="auto"/>
      <w:jc w:val="both"/>
    </w:pPr>
    <w:rPr>
      <w:rFonts w:eastAsia="华文楷体"/>
      <w:sz w:val="24"/>
    </w:rPr>
  </w:style>
  <w:style w:type="paragraph" w:customStyle="1" w:styleId="affffffffffffffffff2">
    <w:name w:val="首行缩进正文"/>
    <w:basedOn w:val="1fb"/>
    <w:unhideWhenUsed/>
    <w:qFormat/>
    <w:pPr>
      <w:spacing w:line="460" w:lineRule="exact"/>
    </w:pPr>
    <w:rPr>
      <w:rFonts w:cs="宋体"/>
      <w:color w:val="339966"/>
      <w:szCs w:val="18"/>
    </w:rPr>
  </w:style>
  <w:style w:type="paragraph" w:customStyle="1" w:styleId="7878">
    <w:name w:val="样式 表头 + 海绿 段前: 7.8 磅 段后: 7.8 磅"/>
    <w:basedOn w:val="afff3"/>
    <w:unhideWhenUsed/>
    <w:qFormat/>
    <w:pPr>
      <w:keepNext/>
      <w:tabs>
        <w:tab w:val="left" w:pos="720"/>
        <w:tab w:val="left" w:pos="3319"/>
      </w:tabs>
      <w:spacing w:after="120" w:line="440" w:lineRule="exact"/>
      <w:ind w:firstLineChars="100" w:firstLine="240"/>
      <w:jc w:val="both"/>
    </w:pPr>
    <w:rPr>
      <w:rFonts w:hint="eastAsia"/>
      <w:color w:val="339966"/>
      <w:spacing w:val="8"/>
      <w:kern w:val="21"/>
      <w:szCs w:val="20"/>
    </w:rPr>
  </w:style>
  <w:style w:type="paragraph" w:customStyle="1" w:styleId="affffffffffffffffff3">
    <w:name w:val="表格内容（新）"/>
    <w:basedOn w:val="a3"/>
    <w:unhideWhenUsed/>
    <w:qFormat/>
    <w:pPr>
      <w:jc w:val="center"/>
    </w:pPr>
    <w:rPr>
      <w:rFonts w:cs="宋体" w:hint="eastAsia"/>
      <w:color w:val="339966"/>
      <w:sz w:val="18"/>
      <w:szCs w:val="18"/>
    </w:rPr>
  </w:style>
  <w:style w:type="paragraph" w:customStyle="1" w:styleId="352">
    <w:name w:val="样式 燕山正文 + 首行缩进:  3.5 字符2"/>
    <w:basedOn w:val="afffffffffffffffffa"/>
    <w:unhideWhenUsed/>
    <w:qFormat/>
    <w:pPr>
      <w:spacing w:line="460" w:lineRule="exact"/>
      <w:ind w:firstLine="480"/>
    </w:pPr>
    <w:rPr>
      <w:rFonts w:ascii="Times New Roman" w:hAnsi="Times New Roman"/>
      <w:szCs w:val="24"/>
    </w:rPr>
  </w:style>
  <w:style w:type="paragraph" w:customStyle="1" w:styleId="affffffffffffffffff4">
    <w:name w:val="样式 首行缩进正文 + 小四"/>
    <w:basedOn w:val="affffffffffffffffff2"/>
    <w:unhideWhenUsed/>
    <w:qFormat/>
    <w:rPr>
      <w:rFonts w:cs="Times New Roman"/>
      <w:szCs w:val="24"/>
    </w:rPr>
  </w:style>
  <w:style w:type="paragraph" w:customStyle="1" w:styleId="CharCharChar1CharCharCharCharCharCharCharCharCharChar6">
    <w:name w:val="Char Char Char1 Char Char Char Char Char Char Char Char Char Char6"/>
    <w:basedOn w:val="a3"/>
    <w:unhideWhenUsed/>
    <w:qFormat/>
    <w:rPr>
      <w:rFonts w:hint="eastAsia"/>
      <w:sz w:val="21"/>
    </w:rPr>
  </w:style>
  <w:style w:type="paragraph" w:customStyle="1" w:styleId="affffffffffffffffff5">
    <w:name w:val="表格内部"/>
    <w:basedOn w:val="a3"/>
    <w:unhideWhenUsed/>
    <w:qFormat/>
    <w:pPr>
      <w:adjustRightInd w:val="0"/>
      <w:snapToGrid w:val="0"/>
      <w:spacing w:line="240" w:lineRule="atLeast"/>
      <w:ind w:right="28"/>
      <w:jc w:val="center"/>
      <w:textAlignment w:val="baseline"/>
    </w:pPr>
    <w:rPr>
      <w:rFonts w:ascii="Arial" w:hAnsi="Arial" w:cs="Arial" w:hint="eastAsia"/>
      <w:sz w:val="21"/>
      <w:szCs w:val="20"/>
    </w:rPr>
  </w:style>
  <w:style w:type="paragraph" w:customStyle="1" w:styleId="affffffffffffffffff6">
    <w:name w:val="段落文字"/>
    <w:basedOn w:val="a3"/>
    <w:link w:val="Charffff7"/>
    <w:unhideWhenUsed/>
    <w:qFormat/>
    <w:pPr>
      <w:adjustRightInd w:val="0"/>
      <w:snapToGrid w:val="0"/>
      <w:spacing w:line="520" w:lineRule="exact"/>
      <w:ind w:firstLine="560"/>
    </w:pPr>
    <w:rPr>
      <w:rFonts w:hint="eastAsia"/>
      <w:sz w:val="28"/>
      <w:szCs w:val="24"/>
    </w:rPr>
  </w:style>
  <w:style w:type="paragraph" w:customStyle="1" w:styleId="affffffffffffffffff7">
    <w:name w:val="王秀中"/>
    <w:basedOn w:val="a3"/>
    <w:unhideWhenUsed/>
    <w:qFormat/>
    <w:pPr>
      <w:autoSpaceDE w:val="0"/>
      <w:autoSpaceDN w:val="0"/>
      <w:adjustRightInd w:val="0"/>
      <w:snapToGrid w:val="0"/>
      <w:spacing w:line="312" w:lineRule="auto"/>
      <w:ind w:firstLine="567"/>
    </w:pPr>
    <w:rPr>
      <w:rFonts w:hint="eastAsia"/>
      <w:sz w:val="28"/>
      <w:szCs w:val="20"/>
    </w:rPr>
  </w:style>
  <w:style w:type="paragraph" w:customStyle="1" w:styleId="1fffd">
    <w:name w:val="正文（1）"/>
    <w:basedOn w:val="1b"/>
    <w:next w:val="1fb"/>
    <w:unhideWhenUsed/>
    <w:qFormat/>
    <w:pPr>
      <w:widowControl/>
      <w:adjustRightInd w:val="0"/>
      <w:snapToGrid w:val="0"/>
      <w:ind w:firstLine="520"/>
    </w:pPr>
    <w:rPr>
      <w:spacing w:val="10"/>
      <w:sz w:val="24"/>
      <w:szCs w:val="24"/>
    </w:rPr>
  </w:style>
  <w:style w:type="paragraph" w:customStyle="1" w:styleId="affffffffffffffffff8">
    <w:name w:val="四号 正文"/>
    <w:basedOn w:val="a3"/>
    <w:link w:val="Charffff8"/>
    <w:unhideWhenUsed/>
    <w:qFormat/>
    <w:pPr>
      <w:ind w:firstLine="584"/>
    </w:pPr>
    <w:rPr>
      <w:rFonts w:cs="宋体" w:hint="eastAsia"/>
      <w:spacing w:val="6"/>
      <w:sz w:val="28"/>
      <w:szCs w:val="20"/>
    </w:rPr>
  </w:style>
  <w:style w:type="paragraph" w:customStyle="1" w:styleId="affffffffffffffffff9">
    <w:name w:val="表内字"/>
    <w:unhideWhenUsed/>
    <w:qFormat/>
    <w:pPr>
      <w:spacing w:line="312" w:lineRule="auto"/>
      <w:jc w:val="center"/>
    </w:pPr>
    <w:rPr>
      <w:rFonts w:hint="eastAsia"/>
      <w:color w:val="000000"/>
      <w:sz w:val="21"/>
    </w:rPr>
  </w:style>
  <w:style w:type="paragraph" w:customStyle="1" w:styleId="4f5">
    <w:name w:val="表小4"/>
    <w:basedOn w:val="a3"/>
    <w:link w:val="4Char4"/>
    <w:unhideWhenUsed/>
    <w:qFormat/>
    <w:pPr>
      <w:adjustRightInd w:val="0"/>
      <w:snapToGrid w:val="0"/>
      <w:jc w:val="center"/>
    </w:pPr>
    <w:rPr>
      <w:rFonts w:ascii="宋体" w:hAnsi="宋体" w:hint="eastAsia"/>
    </w:rPr>
  </w:style>
  <w:style w:type="paragraph" w:customStyle="1" w:styleId="affffffffffffffffffa">
    <w:name w:val="表格文字局中"/>
    <w:basedOn w:val="a3"/>
    <w:next w:val="a3"/>
    <w:unhideWhenUsed/>
    <w:qFormat/>
    <w:pPr>
      <w:jc w:val="center"/>
    </w:pPr>
    <w:rPr>
      <w:rFonts w:hint="eastAsia"/>
      <w:sz w:val="21"/>
      <w:szCs w:val="24"/>
    </w:rPr>
  </w:style>
  <w:style w:type="paragraph" w:customStyle="1" w:styleId="-4">
    <w:name w:val="正文首行缩进-修改"/>
    <w:basedOn w:val="a3"/>
    <w:unhideWhenUsed/>
    <w:qFormat/>
    <w:pPr>
      <w:ind w:firstLine="480"/>
    </w:pPr>
    <w:rPr>
      <w:rFonts w:hint="eastAsia"/>
      <w:szCs w:val="24"/>
    </w:rPr>
  </w:style>
  <w:style w:type="paragraph" w:customStyle="1" w:styleId="134">
    <w:name w:val="正文小四首缩1.3行距"/>
    <w:basedOn w:val="a3"/>
    <w:link w:val="13Char"/>
    <w:unhideWhenUsed/>
    <w:qFormat/>
    <w:pPr>
      <w:spacing w:line="312" w:lineRule="auto"/>
      <w:ind w:firstLine="420"/>
    </w:pPr>
    <w:rPr>
      <w:rFonts w:hint="eastAsia"/>
      <w:szCs w:val="24"/>
    </w:rPr>
  </w:style>
  <w:style w:type="paragraph" w:customStyle="1" w:styleId="gb1">
    <w:name w:val="gb1"/>
    <w:basedOn w:val="a3"/>
    <w:unhideWhenUsed/>
    <w:qFormat/>
    <w:pPr>
      <w:widowControl/>
      <w:tabs>
        <w:tab w:val="left" w:pos="227"/>
      </w:tabs>
      <w:overflowPunct w:val="0"/>
      <w:autoSpaceDE w:val="0"/>
      <w:autoSpaceDN w:val="0"/>
      <w:adjustRightInd w:val="0"/>
      <w:spacing w:before="120" w:after="120"/>
      <w:jc w:val="left"/>
      <w:textAlignment w:val="baseline"/>
    </w:pPr>
    <w:rPr>
      <w:rFonts w:ascii="Arial" w:eastAsia="仿宋体" w:hAnsi="Arial" w:hint="eastAsia"/>
      <w:szCs w:val="20"/>
    </w:rPr>
  </w:style>
  <w:style w:type="paragraph" w:customStyle="1" w:styleId="CharCharCharCharCharCharCharCharChar1">
    <w:name w:val="Char Char Char Char Char Char Char Char Char1"/>
    <w:basedOn w:val="a3"/>
    <w:unhideWhenUsed/>
    <w:qFormat/>
    <w:rPr>
      <w:rFonts w:hint="eastAsia"/>
      <w:sz w:val="21"/>
      <w:szCs w:val="24"/>
    </w:rPr>
  </w:style>
  <w:style w:type="paragraph" w:customStyle="1" w:styleId="CharCharCharCharCharCharCharCharChar4">
    <w:name w:val="Char Char Char Char Char Char Char Char Char4"/>
    <w:basedOn w:val="a3"/>
    <w:unhideWhenUsed/>
    <w:qFormat/>
    <w:rPr>
      <w:rFonts w:hint="eastAsia"/>
      <w:sz w:val="21"/>
      <w:szCs w:val="24"/>
    </w:rPr>
  </w:style>
  <w:style w:type="paragraph" w:customStyle="1" w:styleId="CharCharCharCharCharCharCharCharChar3">
    <w:name w:val="Char Char Char Char Char Char Char Char Char3"/>
    <w:basedOn w:val="a3"/>
    <w:unhideWhenUsed/>
    <w:qFormat/>
    <w:rPr>
      <w:rFonts w:hint="eastAsia"/>
      <w:sz w:val="21"/>
      <w:szCs w:val="24"/>
    </w:rPr>
  </w:style>
  <w:style w:type="paragraph" w:customStyle="1" w:styleId="CharCharCharCharCharCharCharCharChar2">
    <w:name w:val="Char Char Char Char Char Char Char Char Char2"/>
    <w:basedOn w:val="a3"/>
    <w:unhideWhenUsed/>
    <w:qFormat/>
    <w:rPr>
      <w:rFonts w:hint="eastAsia"/>
      <w:sz w:val="21"/>
      <w:szCs w:val="24"/>
    </w:rPr>
  </w:style>
  <w:style w:type="paragraph" w:customStyle="1" w:styleId="1H11-1-h11stlevelSectionHeadl1b12">
    <w:name w:val="样式 标题 1H1标题 1-王鹏章标题 1-*+h11st levelSection Headl1b1标题2..."/>
    <w:basedOn w:val="110"/>
    <w:unhideWhenUsed/>
    <w:qFormat/>
    <w:pPr>
      <w:spacing w:beforeLines="0" w:afterLines="0"/>
      <w:ind w:firstLineChars="0" w:firstLine="0"/>
      <w:jc w:val="left"/>
    </w:pPr>
    <w:rPr>
      <w:rFonts w:ascii="宋体" w:hAnsi="宋体" w:cs="宋体"/>
      <w:color w:val="0000FF"/>
      <w:sz w:val="32"/>
      <w:szCs w:val="32"/>
    </w:rPr>
  </w:style>
  <w:style w:type="paragraph" w:customStyle="1" w:styleId="ParaCharCharCharChar0">
    <w:name w:val="样式 默认段落字体 Para Char Char Char Char +"/>
    <w:basedOn w:val="a3"/>
    <w:unhideWhenUsed/>
    <w:qFormat/>
    <w:pPr>
      <w:widowControl/>
      <w:spacing w:beforeLines="50" w:afterLines="50"/>
      <w:jc w:val="left"/>
    </w:pPr>
    <w:rPr>
      <w:rFonts w:ascii="Cambria" w:eastAsia="黑体" w:hAnsi="Cambria" w:hint="eastAsia"/>
      <w:sz w:val="28"/>
      <w:szCs w:val="22"/>
      <w:lang w:eastAsia="en-US"/>
    </w:rPr>
  </w:style>
  <w:style w:type="paragraph" w:customStyle="1" w:styleId="affffffffffffffffffb">
    <w:name w:val="正文表"/>
    <w:basedOn w:val="a3"/>
    <w:unhideWhenUsed/>
    <w:qFormat/>
    <w:pPr>
      <w:jc w:val="center"/>
    </w:pPr>
    <w:rPr>
      <w:rFonts w:ascii="Times" w:eastAsia="仿宋_GB2312" w:hAnsi="Times" w:hint="eastAsia"/>
      <w:sz w:val="18"/>
      <w:szCs w:val="24"/>
    </w:rPr>
  </w:style>
  <w:style w:type="paragraph" w:customStyle="1" w:styleId="affffffffffffffffffc">
    <w:name w:val="文字"/>
    <w:basedOn w:val="a3"/>
    <w:unhideWhenUsed/>
    <w:qFormat/>
    <w:pPr>
      <w:tabs>
        <w:tab w:val="left" w:pos="3780"/>
      </w:tabs>
      <w:spacing w:line="260" w:lineRule="exact"/>
      <w:jc w:val="center"/>
    </w:pPr>
    <w:rPr>
      <w:rFonts w:ascii="Times" w:eastAsia="仿宋_GB2312" w:hAnsi="Times" w:hint="eastAsia"/>
      <w:sz w:val="18"/>
      <w:szCs w:val="20"/>
      <w:u w:color="000000"/>
    </w:rPr>
  </w:style>
  <w:style w:type="paragraph" w:customStyle="1" w:styleId="1fffe">
    <w:name w:val="样式 标题 1 + 居中"/>
    <w:basedOn w:val="110"/>
    <w:unhideWhenUsed/>
    <w:qFormat/>
    <w:pPr>
      <w:widowControl/>
      <w:spacing w:beforeLines="0" w:afterLines="0" w:line="413" w:lineRule="auto"/>
      <w:ind w:firstLine="643"/>
      <w:jc w:val="center"/>
    </w:pPr>
    <w:rPr>
      <w:rFonts w:cs="宋体"/>
      <w:kern w:val="2"/>
      <w:sz w:val="30"/>
      <w:szCs w:val="20"/>
    </w:rPr>
  </w:style>
  <w:style w:type="paragraph" w:customStyle="1" w:styleId="PA">
    <w:name w:val="PA"/>
    <w:basedOn w:val="a3"/>
    <w:unhideWhenUsed/>
    <w:qFormat/>
    <w:pPr>
      <w:widowControl/>
      <w:spacing w:after="120"/>
      <w:ind w:left="1134"/>
    </w:pPr>
    <w:rPr>
      <w:rFonts w:ascii="Arial" w:hAnsi="Arial" w:hint="eastAsia"/>
      <w:sz w:val="22"/>
      <w:szCs w:val="20"/>
      <w:lang w:val="en-GB"/>
    </w:rPr>
  </w:style>
  <w:style w:type="paragraph" w:customStyle="1" w:styleId="zwb-">
    <w:name w:val="zwb-正文"/>
    <w:basedOn w:val="a3"/>
    <w:link w:val="zwb-Char"/>
    <w:unhideWhenUsed/>
    <w:qFormat/>
    <w:rPr>
      <w:rFonts w:hint="eastAsia"/>
      <w:szCs w:val="24"/>
    </w:rPr>
  </w:style>
  <w:style w:type="paragraph" w:customStyle="1" w:styleId="170">
    <w:name w:val="17"/>
    <w:basedOn w:val="a3"/>
    <w:unhideWhenUsed/>
    <w:qFormat/>
    <w:pPr>
      <w:widowControl/>
      <w:jc w:val="left"/>
    </w:pPr>
    <w:rPr>
      <w:rFonts w:hint="eastAsia"/>
      <w:sz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unhideWhenUsed/>
    <w:qFormat/>
    <w:pPr>
      <w:widowControl/>
      <w:jc w:val="left"/>
    </w:pPr>
    <w:rPr>
      <w:rFonts w:hint="eastAsia"/>
      <w:sz w:val="21"/>
    </w:rPr>
  </w:style>
  <w:style w:type="paragraph" w:customStyle="1" w:styleId="3fb">
    <w:name w:val="标题3 节标题"/>
    <w:basedOn w:val="310"/>
    <w:unhideWhenUsed/>
    <w:qFormat/>
    <w:pPr>
      <w:spacing w:beforeLines="0" w:afterLines="0"/>
      <w:ind w:firstLineChars="0" w:firstLine="0"/>
    </w:pPr>
    <w:rPr>
      <w:color w:val="000000"/>
      <w:sz w:val="28"/>
      <w:szCs w:val="28"/>
    </w:rPr>
  </w:style>
  <w:style w:type="paragraph" w:customStyle="1" w:styleId="2ffe">
    <w:name w:val="标题2，节标题"/>
    <w:basedOn w:val="213"/>
    <w:unhideWhenUsed/>
    <w:qFormat/>
    <w:pPr>
      <w:tabs>
        <w:tab w:val="left" w:pos="1322"/>
      </w:tabs>
      <w:spacing w:beforeLines="0" w:afterLines="0"/>
      <w:ind w:firstLineChars="0" w:firstLine="0"/>
    </w:pPr>
    <w:rPr>
      <w:sz w:val="30"/>
    </w:rPr>
  </w:style>
  <w:style w:type="paragraph" w:customStyle="1" w:styleId="affffffffffffffffffd">
    <w:name w:val="标题一，章标题"/>
    <w:basedOn w:val="110"/>
    <w:unhideWhenUsed/>
    <w:qFormat/>
    <w:pPr>
      <w:widowControl/>
      <w:spacing w:beforeLines="0" w:afterLines="0"/>
      <w:ind w:firstLineChars="0" w:firstLine="0"/>
    </w:pPr>
    <w:rPr>
      <w:sz w:val="32"/>
      <w:szCs w:val="20"/>
    </w:rPr>
  </w:style>
  <w:style w:type="paragraph" w:customStyle="1" w:styleId="CharChar2CharChar1">
    <w:name w:val="Char Char2 Char Char1"/>
    <w:basedOn w:val="a3"/>
    <w:unhideWhenUsed/>
    <w:qFormat/>
    <w:rPr>
      <w:rFonts w:hint="eastAsia"/>
      <w:sz w:val="21"/>
      <w:szCs w:val="24"/>
    </w:rPr>
  </w:style>
  <w:style w:type="paragraph" w:customStyle="1" w:styleId="Style53">
    <w:name w:val="_Style 53"/>
    <w:basedOn w:val="a3"/>
    <w:next w:val="af2"/>
    <w:unhideWhenUsed/>
    <w:qFormat/>
    <w:rPr>
      <w:rFonts w:ascii="宋体" w:hAnsi="Courier New" w:hint="eastAsia"/>
      <w:sz w:val="21"/>
      <w:szCs w:val="20"/>
    </w:rPr>
  </w:style>
  <w:style w:type="paragraph" w:customStyle="1" w:styleId="Style26">
    <w:name w:val="_Style 26"/>
    <w:basedOn w:val="a3"/>
    <w:unhideWhenUsed/>
    <w:qFormat/>
    <w:rPr>
      <w:rFonts w:ascii="宋体" w:hint="eastAsia"/>
      <w:szCs w:val="20"/>
    </w:rPr>
  </w:style>
  <w:style w:type="paragraph" w:customStyle="1" w:styleId="Affffffffffffffffffe">
    <w:name w:val="A正文"/>
    <w:basedOn w:val="410"/>
    <w:link w:val="AChar"/>
    <w:unhideWhenUsed/>
    <w:qFormat/>
    <w:pPr>
      <w:keepNext w:val="0"/>
      <w:tabs>
        <w:tab w:val="left" w:pos="2880"/>
      </w:tabs>
      <w:spacing w:beforeLines="0" w:afterLines="0" w:line="460" w:lineRule="atLeast"/>
    </w:pPr>
    <w:rPr>
      <w:b w:val="0"/>
    </w:rPr>
  </w:style>
  <w:style w:type="paragraph" w:customStyle="1" w:styleId="CharCharCharCharCharCharCharCharCharCharChar1">
    <w:name w:val="Char Char Char Char Char Char Char Char Char Char Char1"/>
    <w:basedOn w:val="a3"/>
    <w:unhideWhenUsed/>
    <w:qFormat/>
    <w:rPr>
      <w:rFonts w:hint="eastAsia"/>
      <w:sz w:val="21"/>
      <w:szCs w:val="24"/>
    </w:rPr>
  </w:style>
  <w:style w:type="paragraph" w:customStyle="1" w:styleId="afffffffffffffffffff">
    <w:name w:val="正文(首行缩进)宋旭峰"/>
    <w:basedOn w:val="1b"/>
    <w:link w:val="CharChar5"/>
    <w:unhideWhenUsed/>
    <w:qFormat/>
    <w:pPr>
      <w:spacing w:line="460" w:lineRule="exact"/>
      <w:ind w:firstLine="520"/>
    </w:pPr>
    <w:rPr>
      <w:rFonts w:ascii="宋体" w:hAnsi="宋体"/>
      <w:sz w:val="26"/>
      <w:szCs w:val="26"/>
    </w:rPr>
  </w:style>
  <w:style w:type="paragraph" w:customStyle="1" w:styleId="afffffffffffffffffff0">
    <w:name w:val="表体宋旭峰"/>
    <w:basedOn w:val="a3"/>
    <w:unhideWhenUsed/>
    <w:qFormat/>
    <w:pPr>
      <w:tabs>
        <w:tab w:val="left" w:pos="3685"/>
      </w:tabs>
      <w:overflowPunct w:val="0"/>
      <w:spacing w:line="300" w:lineRule="exact"/>
      <w:jc w:val="center"/>
      <w:textAlignment w:val="baseline"/>
    </w:pPr>
    <w:rPr>
      <w:rFonts w:ascii="宋体" w:hAnsi="Courier New" w:cs="Courier New" w:hint="eastAsia"/>
      <w:sz w:val="18"/>
      <w:szCs w:val="18"/>
    </w:rPr>
  </w:style>
  <w:style w:type="paragraph" w:customStyle="1" w:styleId="afffffffffffffffffff1">
    <w:name w:val="表、图名宋旭峰"/>
    <w:basedOn w:val="a3"/>
    <w:link w:val="Charffff9"/>
    <w:unhideWhenUsed/>
    <w:qFormat/>
    <w:pPr>
      <w:tabs>
        <w:tab w:val="left" w:pos="2178"/>
      </w:tabs>
      <w:spacing w:line="420" w:lineRule="exact"/>
      <w:ind w:firstLine="420"/>
    </w:pPr>
    <w:rPr>
      <w:rFonts w:ascii="黑体" w:eastAsia="黑体" w:hAnsi="宋体" w:hint="eastAsia"/>
      <w:sz w:val="21"/>
    </w:rPr>
  </w:style>
  <w:style w:type="paragraph" w:customStyle="1" w:styleId="CharCharCharCharCharCharCharCharCharCharCharChar1CharCharCharChar">
    <w:name w:val="Char Char Char Char Char Char Char Char Char Char Char Char1 Char Char Char Char"/>
    <w:basedOn w:val="a3"/>
    <w:next w:val="a3"/>
    <w:unhideWhenUsed/>
    <w:qFormat/>
    <w:pPr>
      <w:spacing w:line="336" w:lineRule="auto"/>
    </w:pPr>
    <w:rPr>
      <w:rFonts w:ascii="宋体" w:eastAsia="汉鼎简书宋" w:hAnsi="宋体" w:cs="宋体" w:hint="eastAsia"/>
      <w:szCs w:val="24"/>
    </w:rPr>
  </w:style>
  <w:style w:type="paragraph" w:customStyle="1" w:styleId="ParaCharCharChar1CharCharCharCharCharCharCharCharCharChar">
    <w:name w:val="默认段落字体 Para Char Char Char1 Char Char Char Char Char Char Char Char Char Char"/>
    <w:basedOn w:val="a3"/>
    <w:unhideWhenUsed/>
    <w:qFormat/>
    <w:rPr>
      <w:rFonts w:hint="eastAsia"/>
      <w:sz w:val="21"/>
      <w:szCs w:val="20"/>
    </w:rPr>
  </w:style>
  <w:style w:type="paragraph" w:customStyle="1" w:styleId="CharCharChar1CharCharCharChar">
    <w:name w:val="Char Char Char1 Char Char Char Char"/>
    <w:basedOn w:val="a3"/>
    <w:unhideWhenUsed/>
    <w:qFormat/>
    <w:rPr>
      <w:rFonts w:hint="eastAsia"/>
      <w:sz w:val="21"/>
      <w:szCs w:val="24"/>
    </w:rPr>
  </w:style>
  <w:style w:type="paragraph" w:customStyle="1" w:styleId="CharCharChar11">
    <w:name w:val="Char Char Char11"/>
    <w:basedOn w:val="a3"/>
    <w:unhideWhenUsed/>
    <w:qFormat/>
    <w:rPr>
      <w:rFonts w:hint="eastAsia"/>
      <w:sz w:val="21"/>
      <w:szCs w:val="24"/>
    </w:rPr>
  </w:style>
  <w:style w:type="paragraph" w:customStyle="1" w:styleId="2CharCharCharCharCharCharCharCharCharCharCharCharCharCharCharCharCharCharCharCharCharCharCharCharCharCharCharCharCharCharCharCharCharChar">
    <w:name w:val="2 Char Char Char Char Char Char Char Char Char Char Char Char Char Char Char Char Char Char Char Char Char Char Char Char Char Char Char Char Char Char Char Char Char Char"/>
    <w:basedOn w:val="a3"/>
    <w:unhideWhenUsed/>
    <w:qFormat/>
    <w:rPr>
      <w:rFonts w:ascii="宋体" w:hAnsi="宋体" w:cs="宋体" w:hint="eastAsia"/>
      <w:szCs w:val="24"/>
    </w:rPr>
  </w:style>
  <w:style w:type="paragraph" w:customStyle="1" w:styleId="CharCharCharCharCharCharCharCharCharCharCharCharCharCharCharCharCharCharCharChar">
    <w:name w:val="Char Char Char Char Char Char Char Char Char Char Char Char Char Char Char Char Char Char Char Char"/>
    <w:basedOn w:val="a3"/>
    <w:unhideWhenUsed/>
    <w:qFormat/>
    <w:rPr>
      <w:rFonts w:hint="eastAsia"/>
      <w:sz w:val="21"/>
      <w:szCs w:val="20"/>
    </w:rPr>
  </w:style>
  <w:style w:type="paragraph" w:customStyle="1" w:styleId="nilo2">
    <w:name w:val="nilo_标题2"/>
    <w:basedOn w:val="a3"/>
    <w:unhideWhenUsed/>
    <w:qFormat/>
    <w:pPr>
      <w:tabs>
        <w:tab w:val="left" w:pos="735"/>
      </w:tabs>
      <w:ind w:left="289" w:firstLine="567"/>
      <w:jc w:val="left"/>
      <w:outlineLvl w:val="2"/>
    </w:pPr>
    <w:rPr>
      <w:rFonts w:eastAsia="黑体" w:hint="eastAsia"/>
      <w:b/>
      <w:sz w:val="28"/>
      <w:szCs w:val="20"/>
    </w:rPr>
  </w:style>
  <w:style w:type="paragraph" w:customStyle="1" w:styleId="nilo1Char">
    <w:name w:val="nilo_标题1 Char"/>
    <w:basedOn w:val="a3"/>
    <w:unhideWhenUsed/>
    <w:qFormat/>
    <w:pPr>
      <w:tabs>
        <w:tab w:val="left" w:pos="882"/>
      </w:tabs>
      <w:ind w:left="882" w:hanging="567"/>
      <w:jc w:val="left"/>
      <w:outlineLvl w:val="1"/>
    </w:pPr>
    <w:rPr>
      <w:rFonts w:ascii="黑体" w:eastAsia="黑体" w:hAnsi="宋体" w:hint="eastAsia"/>
      <w:sz w:val="30"/>
      <w:szCs w:val="20"/>
    </w:rPr>
  </w:style>
  <w:style w:type="paragraph" w:customStyle="1" w:styleId="CharCharCharCharCharCharCharCharCharCharCharCharCharCharCharCharCharCharCharChar1">
    <w:name w:val="Char Char Char Char Char Char Char Char Char Char Char Char Char Char Char Char Char Char Char Char1"/>
    <w:basedOn w:val="a3"/>
    <w:unhideWhenUsed/>
    <w:qFormat/>
    <w:rPr>
      <w:rFonts w:hint="eastAsia"/>
      <w:sz w:val="21"/>
      <w:szCs w:val="20"/>
    </w:rPr>
  </w:style>
  <w:style w:type="paragraph" w:customStyle="1" w:styleId="nilo0">
    <w:name w:val="nilo_标题0"/>
    <w:basedOn w:val="a3"/>
    <w:unhideWhenUsed/>
    <w:qFormat/>
    <w:pPr>
      <w:tabs>
        <w:tab w:val="left" w:pos="567"/>
      </w:tabs>
      <w:spacing w:line="300" w:lineRule="auto"/>
      <w:ind w:left="567" w:hanging="367"/>
      <w:jc w:val="center"/>
      <w:outlineLvl w:val="0"/>
    </w:pPr>
    <w:rPr>
      <w:rFonts w:ascii="黑体" w:eastAsia="黑体" w:hAnsi="宋体" w:hint="eastAsia"/>
      <w:b/>
      <w:sz w:val="44"/>
      <w:szCs w:val="20"/>
    </w:rPr>
  </w:style>
  <w:style w:type="paragraph" w:customStyle="1" w:styleId="afffffffffffffffffff2">
    <w:name w:val="正文+三号"/>
    <w:basedOn w:val="a3"/>
    <w:unhideWhenUsed/>
    <w:qFormat/>
    <w:rPr>
      <w:rFonts w:hint="eastAsia"/>
      <w:b/>
      <w:position w:val="6"/>
      <w:szCs w:val="20"/>
    </w:rPr>
  </w:style>
  <w:style w:type="paragraph" w:customStyle="1" w:styleId="afffffffffffffffffff3">
    <w:name w:val="表格正文居中"/>
    <w:basedOn w:val="a3"/>
    <w:unhideWhenUsed/>
    <w:qFormat/>
    <w:pPr>
      <w:ind w:rightChars="-38" w:right="-80"/>
    </w:pPr>
    <w:rPr>
      <w:rFonts w:hint="eastAsia"/>
      <w:sz w:val="21"/>
    </w:rPr>
  </w:style>
  <w:style w:type="paragraph" w:customStyle="1" w:styleId="ch">
    <w:name w:val="ch中文正文"/>
    <w:unhideWhenUsed/>
    <w:qFormat/>
    <w:pPr>
      <w:spacing w:beforeLines="50" w:afterLines="50" w:line="360" w:lineRule="auto"/>
      <w:ind w:firstLineChars="200" w:firstLine="200"/>
    </w:pPr>
    <w:rPr>
      <w:rFonts w:hint="eastAsia"/>
      <w:sz w:val="24"/>
    </w:rPr>
  </w:style>
  <w:style w:type="paragraph" w:customStyle="1" w:styleId="hh">
    <w:name w:val="hh"/>
    <w:basedOn w:val="a3"/>
    <w:unhideWhenUsed/>
    <w:qFormat/>
    <w:pPr>
      <w:adjustRightInd w:val="0"/>
      <w:ind w:firstLine="567"/>
      <w:textAlignment w:val="baseline"/>
    </w:pPr>
    <w:rPr>
      <w:rFonts w:hint="eastAsia"/>
      <w:color w:val="000000"/>
      <w:szCs w:val="20"/>
    </w:rPr>
  </w:style>
  <w:style w:type="paragraph" w:customStyle="1" w:styleId="0020">
    <w:name w:val="002"/>
    <w:basedOn w:val="aff5"/>
    <w:next w:val="aff5"/>
    <w:link w:val="002Char"/>
    <w:unhideWhenUsed/>
    <w:qFormat/>
    <w:pPr>
      <w:tabs>
        <w:tab w:val="center" w:pos="4153"/>
        <w:tab w:val="right" w:pos="8306"/>
      </w:tabs>
      <w:spacing w:beforeLines="50" w:afterLines="50" w:line="240" w:lineRule="auto"/>
      <w:jc w:val="left"/>
    </w:pPr>
    <w:rPr>
      <w:rFonts w:ascii="宋体" w:hAnsi="宋体" w:hint="eastAsia"/>
      <w:b w:val="0"/>
      <w:sz w:val="28"/>
    </w:rPr>
  </w:style>
  <w:style w:type="paragraph" w:customStyle="1" w:styleId="CharCharCharCharCharCharCharCharCharCharCharCharCharCharChar0">
    <w:name w:val="Char Char Char Char Char Char Char Char Char Char Char Char Char Char Char"/>
    <w:basedOn w:val="a3"/>
    <w:unhideWhenUsed/>
    <w:qFormat/>
    <w:rPr>
      <w:rFonts w:hint="eastAsia"/>
      <w:sz w:val="21"/>
      <w:szCs w:val="28"/>
    </w:rPr>
  </w:style>
  <w:style w:type="paragraph" w:customStyle="1" w:styleId="211112H2h2l22ndlevelTitre22Header2">
    <w:name w:val="样式 标题 2节标题 1.11.1标题2H2条标题h2l22nd levelTitre22Header 2 ..."/>
    <w:basedOn w:val="213"/>
    <w:unhideWhenUsed/>
    <w:qFormat/>
    <w:pPr>
      <w:tabs>
        <w:tab w:val="left" w:pos="1322"/>
      </w:tabs>
      <w:snapToGrid w:val="0"/>
      <w:spacing w:beforeLines="0" w:afterLines="0" w:line="560" w:lineRule="atLeast"/>
      <w:ind w:firstLineChars="0" w:firstLine="0"/>
    </w:pPr>
    <w:rPr>
      <w:rFonts w:ascii="黑体" w:eastAsia="黑体" w:hAnsi="宋体" w:cs="宋体"/>
      <w:b w:val="0"/>
      <w:sz w:val="28"/>
      <w:szCs w:val="20"/>
    </w:rPr>
  </w:style>
  <w:style w:type="paragraph" w:customStyle="1" w:styleId="BCD">
    <w:name w:val="BCD表内文稿"/>
    <w:basedOn w:val="a3"/>
    <w:unhideWhenUsed/>
    <w:qFormat/>
    <w:pPr>
      <w:adjustRightInd w:val="0"/>
      <w:snapToGrid w:val="0"/>
      <w:spacing w:line="360" w:lineRule="exact"/>
      <w:jc w:val="center"/>
    </w:pPr>
    <w:rPr>
      <w:rFonts w:eastAsia="仿宋_GB2312" w:hint="eastAsia"/>
      <w:w w:val="90"/>
      <w:szCs w:val="24"/>
    </w:rPr>
  </w:style>
  <w:style w:type="paragraph" w:customStyle="1" w:styleId="afffffffffffffffffff4">
    <w:name w:val="小节标题"/>
    <w:basedOn w:val="a3"/>
    <w:next w:val="a3"/>
    <w:unhideWhenUsed/>
    <w:qFormat/>
    <w:pPr>
      <w:widowControl/>
      <w:spacing w:before="175" w:after="102" w:line="351" w:lineRule="atLeast"/>
      <w:textAlignment w:val="baseline"/>
    </w:pPr>
    <w:rPr>
      <w:rFonts w:eastAsia="黑体" w:hint="eastAsia"/>
      <w:color w:val="000000"/>
      <w:sz w:val="21"/>
      <w:szCs w:val="20"/>
      <w:u w:color="000000"/>
    </w:rPr>
  </w:style>
  <w:style w:type="paragraph" w:customStyle="1" w:styleId="048">
    <w:name w:val="样式 正文首行缩进 + 左侧:  0 厘米 悬挂缩进: 4.8 字符"/>
    <w:basedOn w:val="1fb"/>
    <w:unhideWhenUsed/>
    <w:qFormat/>
    <w:pPr>
      <w:tabs>
        <w:tab w:val="left" w:pos="1701"/>
        <w:tab w:val="left" w:pos="3675"/>
        <w:tab w:val="left" w:pos="4515"/>
        <w:tab w:val="right" w:pos="8505"/>
      </w:tabs>
      <w:adjustRightInd w:val="0"/>
      <w:ind w:firstLineChars="225" w:firstLine="482"/>
      <w:textAlignment w:val="baseline"/>
    </w:pPr>
    <w:rPr>
      <w:rFonts w:ascii="宋体"/>
      <w:szCs w:val="20"/>
    </w:rPr>
  </w:style>
  <w:style w:type="paragraph" w:customStyle="1" w:styleId="afffffffffffffffffff5">
    <w:name w:val="表格侧编号"/>
    <w:next w:val="a3"/>
    <w:unhideWhenUsed/>
    <w:qFormat/>
    <w:pPr>
      <w:widowControl w:val="0"/>
      <w:snapToGrid w:val="0"/>
      <w:jc w:val="center"/>
    </w:pPr>
    <w:rPr>
      <w:rFonts w:ascii="宋体" w:hAnsi="Arial" w:hint="eastAsia"/>
      <w:color w:val="FF0000"/>
      <w:kern w:val="2"/>
      <w:position w:val="-40"/>
      <w:sz w:val="24"/>
    </w:rPr>
  </w:style>
  <w:style w:type="paragraph" w:customStyle="1" w:styleId="5CharCharCharCharCharCharCharCharCharChar">
    <w:name w:val="5 Char Char Char Char Char Char Char Char Char Char"/>
    <w:basedOn w:val="a3"/>
    <w:unhideWhenUsed/>
    <w:qFormat/>
    <w:rPr>
      <w:rFonts w:hint="eastAsia"/>
      <w:sz w:val="21"/>
      <w:szCs w:val="24"/>
    </w:rPr>
  </w:style>
  <w:style w:type="paragraph" w:customStyle="1" w:styleId="1ffff">
    <w:name w:val="日期1"/>
    <w:basedOn w:val="a3"/>
    <w:next w:val="a3"/>
    <w:unhideWhenUsed/>
    <w:qFormat/>
    <w:pPr>
      <w:adjustRightInd w:val="0"/>
      <w:spacing w:line="312" w:lineRule="atLeast"/>
      <w:textAlignment w:val="baseline"/>
    </w:pPr>
    <w:rPr>
      <w:rFonts w:ascii="宋体" w:hint="eastAsia"/>
      <w:szCs w:val="20"/>
    </w:rPr>
  </w:style>
  <w:style w:type="paragraph" w:customStyle="1" w:styleId="157">
    <w:name w:val="样式 纯文本 + 小四 行距: 1.5 倍行距"/>
    <w:basedOn w:val="PlainText1"/>
    <w:unhideWhenUsed/>
    <w:qFormat/>
    <w:pPr>
      <w:snapToGrid w:val="0"/>
    </w:pPr>
    <w:rPr>
      <w:rFonts w:ascii="Arial" w:hAnsi="Arial" w:cs="宋体"/>
      <w:sz w:val="24"/>
      <w:szCs w:val="24"/>
    </w:rPr>
  </w:style>
  <w:style w:type="paragraph" w:customStyle="1" w:styleId="CharChar6">
    <w:name w:val="正文文本最新 Char Char"/>
    <w:basedOn w:val="a3"/>
    <w:link w:val="CharCharChar4"/>
    <w:unhideWhenUsed/>
    <w:qFormat/>
    <w:rPr>
      <w:rFonts w:hint="eastAsia"/>
      <w:sz w:val="28"/>
      <w:szCs w:val="24"/>
    </w:rPr>
  </w:style>
  <w:style w:type="paragraph" w:customStyle="1" w:styleId="afffffffffffffffffff6">
    <w:name w:val="立项正文"/>
    <w:basedOn w:val="a3"/>
    <w:unhideWhenUsed/>
    <w:qFormat/>
    <w:pPr>
      <w:tabs>
        <w:tab w:val="left" w:pos="3420"/>
      </w:tabs>
      <w:spacing w:line="480" w:lineRule="exact"/>
      <w:ind w:firstLine="477"/>
    </w:pPr>
    <w:rPr>
      <w:rFonts w:ascii="宋体" w:hAnsi="宋体" w:cs="Arial" w:hint="eastAsia"/>
      <w:color w:val="000000"/>
      <w:szCs w:val="24"/>
    </w:rPr>
  </w:style>
  <w:style w:type="paragraph" w:customStyle="1" w:styleId="1ffff0">
    <w:name w:val="段落1"/>
    <w:basedOn w:val="a3"/>
    <w:unhideWhenUsed/>
    <w:qFormat/>
    <w:pPr>
      <w:adjustRightInd w:val="0"/>
      <w:ind w:firstLine="624"/>
      <w:jc w:val="left"/>
      <w:textAlignment w:val="baseline"/>
    </w:pPr>
    <w:rPr>
      <w:rFonts w:eastAsia="仿宋_GB2312" w:hint="eastAsia"/>
      <w:sz w:val="28"/>
      <w:szCs w:val="20"/>
    </w:rPr>
  </w:style>
  <w:style w:type="paragraph" w:customStyle="1" w:styleId="afffffffffffffffffff7">
    <w:name w:val="段落"/>
    <w:basedOn w:val="a3"/>
    <w:unhideWhenUsed/>
    <w:qFormat/>
    <w:pPr>
      <w:adjustRightInd w:val="0"/>
      <w:ind w:firstLine="564"/>
      <w:jc w:val="left"/>
      <w:textAlignment w:val="baseline"/>
    </w:pPr>
    <w:rPr>
      <w:rFonts w:ascii="宋体" w:hAnsi="宋体" w:hint="eastAsia"/>
      <w:color w:val="000000"/>
      <w:sz w:val="28"/>
      <w:szCs w:val="20"/>
    </w:rPr>
  </w:style>
  <w:style w:type="paragraph" w:customStyle="1" w:styleId="aa0">
    <w:name w:val="aa"/>
    <w:basedOn w:val="a3"/>
    <w:unhideWhenUsed/>
    <w:qFormat/>
    <w:pPr>
      <w:spacing w:after="60" w:line="400" w:lineRule="exact"/>
      <w:ind w:firstLine="644"/>
    </w:pPr>
    <w:rPr>
      <w:rFonts w:hint="eastAsia"/>
      <w:sz w:val="28"/>
      <w:szCs w:val="20"/>
    </w:rPr>
  </w:style>
  <w:style w:type="paragraph" w:customStyle="1" w:styleId="116">
    <w:name w:val="正文11"/>
    <w:basedOn w:val="a3"/>
    <w:next w:val="a3"/>
    <w:unhideWhenUsed/>
    <w:qFormat/>
    <w:rPr>
      <w:rFonts w:hint="eastAsia"/>
      <w:sz w:val="21"/>
      <w:szCs w:val="24"/>
    </w:rPr>
  </w:style>
  <w:style w:type="paragraph" w:customStyle="1" w:styleId="Char1CharChar1Char">
    <w:name w:val="Char1 Char Char1 Char"/>
    <w:basedOn w:val="a3"/>
    <w:unhideWhenUsed/>
    <w:qFormat/>
    <w:pPr>
      <w:adjustRightInd w:val="0"/>
      <w:spacing w:line="360" w:lineRule="atLeast"/>
      <w:textAlignment w:val="baseline"/>
    </w:pPr>
    <w:rPr>
      <w:rFonts w:hint="eastAsia"/>
      <w:sz w:val="21"/>
      <w:szCs w:val="24"/>
    </w:rPr>
  </w:style>
  <w:style w:type="paragraph" w:customStyle="1" w:styleId="158">
    <w:name w:val="15"/>
    <w:basedOn w:val="a3"/>
    <w:next w:val="312"/>
    <w:unhideWhenUsed/>
    <w:qFormat/>
    <w:pPr>
      <w:spacing w:after="120"/>
      <w:ind w:leftChars="200" w:left="420"/>
    </w:pPr>
    <w:rPr>
      <w:rFonts w:hint="eastAsia"/>
      <w:sz w:val="16"/>
      <w:szCs w:val="16"/>
    </w:rPr>
  </w:style>
  <w:style w:type="paragraph" w:customStyle="1" w:styleId="afffffffffffffffffff8">
    <w:name w:val="符号小标题"/>
    <w:basedOn w:val="a3"/>
    <w:unhideWhenUsed/>
    <w:qFormat/>
    <w:pPr>
      <w:widowControl/>
      <w:tabs>
        <w:tab w:val="left" w:pos="1260"/>
      </w:tabs>
      <w:autoSpaceDE w:val="0"/>
      <w:autoSpaceDN w:val="0"/>
      <w:spacing w:before="120" w:after="120"/>
      <w:ind w:left="1260" w:hanging="420"/>
    </w:pPr>
    <w:rPr>
      <w:rFonts w:eastAsia="仿宋_GB2312" w:hint="eastAsia"/>
      <w:szCs w:val="20"/>
    </w:rPr>
  </w:style>
  <w:style w:type="paragraph" w:customStyle="1" w:styleId="4f6">
    <w:name w:val="正文4号"/>
    <w:basedOn w:val="a3"/>
    <w:unhideWhenUsed/>
    <w:qFormat/>
    <w:rPr>
      <w:rFonts w:hint="eastAsia"/>
      <w:szCs w:val="24"/>
    </w:rPr>
  </w:style>
  <w:style w:type="paragraph" w:customStyle="1" w:styleId="afffffffffffffffffff9">
    <w:name w:val="报告书正文"/>
    <w:basedOn w:val="a3"/>
    <w:link w:val="Charffffa"/>
    <w:unhideWhenUsed/>
    <w:qFormat/>
    <w:pPr>
      <w:adjustRightInd w:val="0"/>
      <w:jc w:val="center"/>
    </w:pPr>
    <w:rPr>
      <w:rFonts w:ascii="宋体" w:hAnsi="宋体" w:hint="eastAsia"/>
      <w:color w:val="000000"/>
      <w:sz w:val="28"/>
      <w:szCs w:val="24"/>
    </w:rPr>
  </w:style>
  <w:style w:type="paragraph" w:customStyle="1" w:styleId="2fff">
    <w:name w:val="表样式2"/>
    <w:basedOn w:val="a3"/>
    <w:unhideWhenUsed/>
    <w:qFormat/>
    <w:pPr>
      <w:jc w:val="center"/>
    </w:pPr>
    <w:rPr>
      <w:rFonts w:ascii="宋体" w:hAnsi="宋体" w:hint="eastAsia"/>
      <w:sz w:val="21"/>
      <w:szCs w:val="24"/>
    </w:rPr>
  </w:style>
  <w:style w:type="paragraph" w:customStyle="1" w:styleId="afffffffffffffffffffa">
    <w:name w:val="流程文字"/>
    <w:basedOn w:val="a3"/>
    <w:unhideWhenUsed/>
    <w:qFormat/>
    <w:pPr>
      <w:tabs>
        <w:tab w:val="left" w:pos="6480"/>
      </w:tabs>
      <w:topLinePunct/>
      <w:adjustRightInd w:val="0"/>
      <w:snapToGrid w:val="0"/>
      <w:jc w:val="center"/>
    </w:pPr>
    <w:rPr>
      <w:rFonts w:eastAsia="仿宋_GB2312" w:hint="eastAsia"/>
      <w:sz w:val="21"/>
      <w:szCs w:val="20"/>
    </w:rPr>
  </w:style>
  <w:style w:type="paragraph" w:customStyle="1" w:styleId="126">
    <w:name w:val="表1表2"/>
    <w:basedOn w:val="a3"/>
    <w:unhideWhenUsed/>
    <w:qFormat/>
    <w:pPr>
      <w:autoSpaceDE w:val="0"/>
      <w:autoSpaceDN w:val="0"/>
      <w:adjustRightInd w:val="0"/>
      <w:jc w:val="center"/>
      <w:textAlignment w:val="center"/>
    </w:pPr>
    <w:rPr>
      <w:rFonts w:hint="eastAsia"/>
      <w:sz w:val="21"/>
      <w:szCs w:val="20"/>
    </w:rPr>
  </w:style>
  <w:style w:type="paragraph" w:customStyle="1" w:styleId="Q">
    <w:name w:val="Q"/>
    <w:basedOn w:val="a3"/>
    <w:unhideWhenUsed/>
    <w:qFormat/>
    <w:pPr>
      <w:adjustRightInd w:val="0"/>
      <w:ind w:firstLine="548"/>
    </w:pPr>
    <w:rPr>
      <w:rFonts w:hint="eastAsia"/>
      <w:sz w:val="28"/>
      <w:szCs w:val="20"/>
    </w:rPr>
  </w:style>
  <w:style w:type="paragraph" w:customStyle="1" w:styleId="GQ">
    <w:name w:val="GQ"/>
    <w:basedOn w:val="a3"/>
    <w:unhideWhenUsed/>
    <w:qFormat/>
    <w:pPr>
      <w:adjustRightInd w:val="0"/>
      <w:ind w:firstLine="567"/>
    </w:pPr>
    <w:rPr>
      <w:rFonts w:hint="eastAsia"/>
      <w:color w:val="FF0000"/>
      <w:sz w:val="28"/>
      <w:szCs w:val="20"/>
    </w:rPr>
  </w:style>
  <w:style w:type="paragraph" w:customStyle="1" w:styleId="2fff0">
    <w:name w:val="样式 小四 居中 首行缩进:  2 字符"/>
    <w:basedOn w:val="a3"/>
    <w:unhideWhenUsed/>
    <w:qFormat/>
    <w:pPr>
      <w:jc w:val="center"/>
    </w:pPr>
    <w:rPr>
      <w:rFonts w:hint="eastAsia"/>
      <w:szCs w:val="20"/>
    </w:rPr>
  </w:style>
  <w:style w:type="paragraph" w:customStyle="1" w:styleId="afffffffffffffffffffb">
    <w:name w:val="表底注"/>
    <w:basedOn w:val="a3"/>
    <w:unhideWhenUsed/>
    <w:qFormat/>
    <w:pPr>
      <w:adjustRightInd w:val="0"/>
      <w:spacing w:after="120" w:line="240" w:lineRule="atLeast"/>
      <w:jc w:val="left"/>
      <w:textAlignment w:val="baseline"/>
    </w:pPr>
    <w:rPr>
      <w:rFonts w:ascii="仿宋_GB2312" w:eastAsia="仿宋_GB2312" w:hint="eastAsia"/>
      <w:sz w:val="21"/>
      <w:szCs w:val="15"/>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unhideWhenUsed/>
    <w:qFormat/>
    <w:rPr>
      <w:rFonts w:hint="eastAsia"/>
      <w:sz w:val="21"/>
      <w:szCs w:val="24"/>
    </w:rPr>
  </w:style>
  <w:style w:type="paragraph" w:customStyle="1" w:styleId="1b1H111CharchapOGHeadi">
    <w:name w:val="样式 标题 1章节标题b1H1章标题 1标题 1 Char一级标题，黑粗，三号，序号章chapOG Headi..."/>
    <w:basedOn w:val="110"/>
    <w:link w:val="1b1H111CharchapOGHeadiChar"/>
    <w:unhideWhenUsed/>
    <w:qFormat/>
    <w:pPr>
      <w:keepNext w:val="0"/>
      <w:tabs>
        <w:tab w:val="left" w:pos="1077"/>
      </w:tabs>
      <w:adjustRightInd w:val="0"/>
      <w:spacing w:beforeLines="0" w:afterLines="0" w:line="240" w:lineRule="auto"/>
      <w:ind w:firstLineChars="0" w:firstLine="0"/>
      <w:jc w:val="left"/>
      <w:textAlignment w:val="baseline"/>
    </w:pPr>
    <w:rPr>
      <w:rFonts w:ascii="宋体" w:hAnsi="宋体"/>
      <w:color w:val="000000"/>
      <w:sz w:val="28"/>
      <w:szCs w:val="32"/>
    </w:rPr>
  </w:style>
  <w:style w:type="paragraph" w:customStyle="1" w:styleId="ww">
    <w:name w:val="ww"/>
    <w:basedOn w:val="a3"/>
    <w:unhideWhenUsed/>
    <w:qFormat/>
    <w:pPr>
      <w:adjustRightInd w:val="0"/>
      <w:snapToGrid w:val="0"/>
      <w:ind w:firstLine="560"/>
    </w:pPr>
    <w:rPr>
      <w:rFonts w:ascii="宋体" w:hint="eastAsia"/>
      <w:sz w:val="28"/>
      <w:szCs w:val="28"/>
    </w:rPr>
  </w:style>
  <w:style w:type="paragraph" w:customStyle="1" w:styleId="afffffffffffffffffffc">
    <w:name w:val="杠"/>
    <w:basedOn w:val="1b"/>
    <w:unhideWhenUsed/>
    <w:qFormat/>
    <w:pPr>
      <w:tabs>
        <w:tab w:val="left" w:pos="425"/>
        <w:tab w:val="left" w:pos="1200"/>
      </w:tabs>
      <w:adjustRightInd w:val="0"/>
      <w:snapToGrid w:val="0"/>
      <w:spacing w:before="120" w:line="300" w:lineRule="auto"/>
      <w:ind w:left="1559" w:firstLineChars="0" w:hanging="720"/>
      <w:textAlignment w:val="baseline"/>
    </w:pPr>
    <w:rPr>
      <w:rFonts w:ascii="Arial" w:hAnsi="Arial"/>
      <w:sz w:val="24"/>
    </w:rPr>
  </w:style>
  <w:style w:type="paragraph" w:customStyle="1" w:styleId="Date1">
    <w:name w:val="Date1"/>
    <w:basedOn w:val="a3"/>
    <w:next w:val="a3"/>
    <w:unhideWhenUsed/>
    <w:qFormat/>
    <w:pPr>
      <w:adjustRightInd w:val="0"/>
      <w:spacing w:line="360" w:lineRule="atLeast"/>
      <w:textAlignment w:val="baseline"/>
    </w:pPr>
    <w:rPr>
      <w:rFonts w:ascii="宋体" w:eastAsia="Wingdings" w:hint="eastAsia"/>
      <w:szCs w:val="20"/>
    </w:rPr>
  </w:style>
  <w:style w:type="paragraph" w:customStyle="1" w:styleId="21b">
    <w:name w:val="正文文本缩进 21"/>
    <w:basedOn w:val="a3"/>
    <w:unhideWhenUsed/>
    <w:qFormat/>
    <w:pPr>
      <w:autoSpaceDE w:val="0"/>
      <w:autoSpaceDN w:val="0"/>
      <w:adjustRightInd w:val="0"/>
      <w:snapToGrid w:val="0"/>
      <w:spacing w:before="60" w:after="60" w:line="240" w:lineRule="atLeast"/>
      <w:ind w:firstLine="567"/>
      <w:textAlignment w:val="baseline"/>
    </w:pPr>
    <w:rPr>
      <w:rFonts w:hint="eastAsia"/>
      <w:sz w:val="28"/>
      <w:szCs w:val="20"/>
    </w:rPr>
  </w:style>
  <w:style w:type="paragraph" w:customStyle="1" w:styleId="BodyText10">
    <w:name w:val="Body Text 1"/>
    <w:basedOn w:val="a3"/>
    <w:unhideWhenUsed/>
    <w:qFormat/>
    <w:pPr>
      <w:widowControl/>
      <w:spacing w:before="120" w:after="120"/>
      <w:ind w:left="720"/>
    </w:pPr>
    <w:rPr>
      <w:rFonts w:ascii="Arial" w:hAnsi="Arial" w:hint="eastAsia"/>
      <w:sz w:val="22"/>
      <w:szCs w:val="20"/>
      <w:lang w:eastAsia="en-US"/>
    </w:rPr>
  </w:style>
  <w:style w:type="paragraph" w:customStyle="1" w:styleId="Formatvorlage1">
    <w:name w:val="Formatvorlage1"/>
    <w:basedOn w:val="a3"/>
    <w:unhideWhenUsed/>
    <w:qFormat/>
    <w:pPr>
      <w:widowControl/>
      <w:jc w:val="left"/>
    </w:pPr>
    <w:rPr>
      <w:rFonts w:ascii="Arial" w:eastAsia="PMingLiU" w:hAnsi="Arial" w:hint="eastAsia"/>
      <w:sz w:val="22"/>
      <w:szCs w:val="20"/>
      <w:lang w:eastAsia="de-DE"/>
    </w:rPr>
  </w:style>
  <w:style w:type="paragraph" w:customStyle="1" w:styleId="BOutline2N">
    <w:name w:val="B Outline 2 N"/>
    <w:basedOn w:val="a3"/>
    <w:unhideWhenUsed/>
    <w:qFormat/>
    <w:pPr>
      <w:tabs>
        <w:tab w:val="left" w:pos="1080"/>
      </w:tabs>
    </w:pPr>
    <w:rPr>
      <w:rFonts w:eastAsia="华康宋体W5(P)" w:hint="eastAsia"/>
      <w:szCs w:val="20"/>
    </w:rPr>
  </w:style>
  <w:style w:type="paragraph" w:customStyle="1" w:styleId="-5">
    <w:name w:val=":-)"/>
    <w:unhideWhenUsed/>
    <w:qFormat/>
    <w:pPr>
      <w:overflowPunct w:val="0"/>
      <w:autoSpaceDE w:val="0"/>
      <w:autoSpaceDN w:val="0"/>
      <w:adjustRightInd w:val="0"/>
      <w:textAlignment w:val="baseline"/>
    </w:pPr>
    <w:rPr>
      <w:rFonts w:hint="eastAsia"/>
    </w:rPr>
  </w:style>
  <w:style w:type="paragraph" w:customStyle="1" w:styleId="FliestextAufz">
    <w:name w:val="Fliestext/Aufz."/>
    <w:basedOn w:val="a3"/>
    <w:unhideWhenUsed/>
    <w:qFormat/>
    <w:pPr>
      <w:widowControl/>
      <w:overflowPunct w:val="0"/>
      <w:autoSpaceDE w:val="0"/>
      <w:autoSpaceDN w:val="0"/>
      <w:adjustRightInd w:val="0"/>
      <w:spacing w:after="120"/>
      <w:textAlignment w:val="baseline"/>
    </w:pPr>
    <w:rPr>
      <w:rFonts w:ascii="Arial" w:eastAsia="MS Mincho" w:hAnsi="Arial" w:hint="eastAsia"/>
      <w:sz w:val="22"/>
      <w:szCs w:val="20"/>
      <w:lang w:val="de-DE"/>
    </w:rPr>
  </w:style>
  <w:style w:type="paragraph" w:customStyle="1" w:styleId="Char2CharCharCharCharCharChar">
    <w:name w:val="Char2 Char Char Char Char Char Char"/>
    <w:basedOn w:val="a3"/>
    <w:unhideWhenUsed/>
    <w:qFormat/>
    <w:rPr>
      <w:rFonts w:hint="eastAsia"/>
      <w:sz w:val="21"/>
      <w:szCs w:val="20"/>
    </w:rPr>
  </w:style>
  <w:style w:type="paragraph" w:customStyle="1" w:styleId="b">
    <w:name w:val="标题b"/>
    <w:basedOn w:val="213"/>
    <w:unhideWhenUsed/>
    <w:qFormat/>
    <w:pPr>
      <w:tabs>
        <w:tab w:val="left" w:pos="1322"/>
        <w:tab w:val="left" w:pos="1560"/>
      </w:tabs>
      <w:spacing w:beforeLines="0" w:afterLines="0"/>
      <w:ind w:firstLineChars="0" w:firstLine="0"/>
    </w:pPr>
    <w:rPr>
      <w:color w:val="000000"/>
      <w:sz w:val="30"/>
      <w:szCs w:val="20"/>
    </w:rPr>
  </w:style>
  <w:style w:type="paragraph" w:customStyle="1" w:styleId="TableTxt">
    <w:name w:val="Table Txt"/>
    <w:basedOn w:val="a3"/>
    <w:unhideWhenUsed/>
    <w:qFormat/>
    <w:pPr>
      <w:spacing w:line="480" w:lineRule="atLeast"/>
    </w:pPr>
    <w:rPr>
      <w:rFonts w:eastAsia="华康宋体W5(P)" w:hint="eastAsia"/>
      <w:szCs w:val="20"/>
    </w:rPr>
  </w:style>
  <w:style w:type="paragraph" w:customStyle="1" w:styleId="CharChar1CharChar">
    <w:name w:val="Char Char1 Char Char"/>
    <w:basedOn w:val="a3"/>
    <w:unhideWhenUsed/>
    <w:qFormat/>
    <w:rPr>
      <w:rFonts w:hint="eastAsia"/>
      <w:sz w:val="21"/>
      <w:szCs w:val="20"/>
    </w:rPr>
  </w:style>
  <w:style w:type="paragraph" w:customStyle="1" w:styleId="MANUAL">
    <w:name w:val="MANUAL"/>
    <w:basedOn w:val="a3"/>
    <w:link w:val="MANUALChar"/>
    <w:unhideWhenUsed/>
    <w:qFormat/>
    <w:pPr>
      <w:overflowPunct w:val="0"/>
      <w:autoSpaceDE w:val="0"/>
      <w:autoSpaceDN w:val="0"/>
      <w:adjustRightInd w:val="0"/>
      <w:textAlignment w:val="baseline"/>
    </w:pPr>
    <w:rPr>
      <w:rFonts w:ascii="MS Mincho" w:eastAsia="MS Mincho" w:hint="eastAsia"/>
      <w:spacing w:val="-20"/>
      <w:sz w:val="22"/>
      <w:szCs w:val="20"/>
      <w:lang w:eastAsia="ja-JP"/>
    </w:rPr>
  </w:style>
  <w:style w:type="paragraph" w:customStyle="1" w:styleId="315">
    <w:name w:val="样式 标题3 + 行距: 1.5 倍行距"/>
    <w:basedOn w:val="3c"/>
    <w:unhideWhenUsed/>
    <w:qFormat/>
    <w:pPr>
      <w:tabs>
        <w:tab w:val="left" w:pos="720"/>
      </w:tabs>
      <w:adjustRightInd w:val="0"/>
      <w:spacing w:beforeLines="25" w:afterLines="25" w:line="300" w:lineRule="auto"/>
      <w:ind w:firstLine="0"/>
      <w:textAlignment w:val="baseline"/>
    </w:pPr>
    <w:rPr>
      <w:rFonts w:ascii="Arial" w:cs="Arial" w:hint="default"/>
      <w:color w:val="FF0000"/>
    </w:rPr>
  </w:style>
  <w:style w:type="paragraph" w:customStyle="1" w:styleId="202">
    <w:name w:val="样式 标题2 + 段前: 0.2 行"/>
    <w:basedOn w:val="213"/>
    <w:unhideWhenUsed/>
    <w:qFormat/>
    <w:pPr>
      <w:tabs>
        <w:tab w:val="left" w:pos="1322"/>
        <w:tab w:val="left" w:pos="1560"/>
      </w:tabs>
      <w:adjustRightInd w:val="0"/>
      <w:snapToGrid w:val="0"/>
      <w:spacing w:beforeLines="0" w:afterLines="0"/>
      <w:ind w:firstLineChars="0" w:firstLine="0"/>
      <w:textAlignment w:val="baseline"/>
    </w:pPr>
    <w:rPr>
      <w:sz w:val="28"/>
      <w:szCs w:val="20"/>
    </w:rPr>
  </w:style>
  <w:style w:type="paragraph" w:customStyle="1" w:styleId="37815">
    <w:name w:val="样式 标题3 + 段前: 7.8 磅 行距: 1.5 倍行距"/>
    <w:basedOn w:val="3c"/>
    <w:unhideWhenUsed/>
    <w:qFormat/>
    <w:pPr>
      <w:tabs>
        <w:tab w:val="left" w:pos="720"/>
      </w:tabs>
      <w:adjustRightInd w:val="0"/>
      <w:spacing w:beforeLines="25" w:afterLines="25" w:line="300" w:lineRule="auto"/>
      <w:ind w:firstLine="0"/>
      <w:textAlignment w:val="baseline"/>
    </w:pPr>
    <w:rPr>
      <w:rFonts w:ascii="Arial" w:cs="Arial" w:hint="default"/>
      <w:color w:val="FF0000"/>
    </w:rPr>
  </w:style>
  <w:style w:type="paragraph" w:customStyle="1" w:styleId="ST20-3">
    <w:name w:val="ST20-3"/>
    <w:basedOn w:val="a3"/>
    <w:unhideWhenUsed/>
    <w:qFormat/>
    <w:pPr>
      <w:tabs>
        <w:tab w:val="left" w:pos="680"/>
        <w:tab w:val="left" w:pos="1140"/>
      </w:tabs>
      <w:adjustRightInd w:val="0"/>
      <w:snapToGrid w:val="0"/>
      <w:spacing w:after="160" w:line="300" w:lineRule="auto"/>
      <w:ind w:left="794" w:hanging="170"/>
    </w:pPr>
    <w:rPr>
      <w:rFonts w:ascii="Arial" w:hAnsi="Arial" w:hint="eastAsia"/>
      <w:szCs w:val="20"/>
    </w:rPr>
  </w:style>
  <w:style w:type="paragraph" w:customStyle="1" w:styleId="1ffff1">
    <w:name w:val="样式 标题 1 + 小三 加粗"/>
    <w:basedOn w:val="110"/>
    <w:unhideWhenUsed/>
    <w:qFormat/>
    <w:pPr>
      <w:pageBreakBefore/>
      <w:tabs>
        <w:tab w:val="left" w:pos="630"/>
      </w:tabs>
      <w:adjustRightInd w:val="0"/>
      <w:spacing w:beforeLines="0" w:afterLines="0"/>
      <w:ind w:firstLineChars="0" w:firstLine="0"/>
      <w:jc w:val="left"/>
      <w:textAlignment w:val="baseline"/>
    </w:pPr>
    <w:rPr>
      <w:rFonts w:ascii="宋体" w:eastAsia="黑体" w:hAnsi="宋体"/>
      <w:sz w:val="32"/>
      <w:szCs w:val="20"/>
    </w:rPr>
  </w:style>
  <w:style w:type="paragraph" w:customStyle="1" w:styleId="afffffffffffffffffffd">
    <w:name w:val="正文（不缩进）"/>
    <w:basedOn w:val="a3"/>
    <w:link w:val="Charffffb"/>
    <w:unhideWhenUsed/>
    <w:qFormat/>
    <w:pPr>
      <w:adjustRightInd w:val="0"/>
      <w:snapToGrid w:val="0"/>
      <w:spacing w:before="60" w:after="60" w:line="400" w:lineRule="exact"/>
    </w:pPr>
    <w:rPr>
      <w:rFonts w:hint="eastAsia"/>
      <w:szCs w:val="20"/>
    </w:rPr>
  </w:style>
  <w:style w:type="paragraph" w:customStyle="1" w:styleId="ST20-2">
    <w:name w:val="ST20-2"/>
    <w:basedOn w:val="a3"/>
    <w:unhideWhenUsed/>
    <w:qFormat/>
    <w:pPr>
      <w:tabs>
        <w:tab w:val="left" w:pos="567"/>
        <w:tab w:val="left" w:pos="1080"/>
      </w:tabs>
      <w:adjustRightInd w:val="0"/>
      <w:snapToGrid w:val="0"/>
      <w:spacing w:after="120" w:line="300" w:lineRule="auto"/>
      <w:ind w:left="1247" w:hanging="1080"/>
    </w:pPr>
    <w:rPr>
      <w:rFonts w:ascii="宋体" w:hAnsi="Arial" w:hint="eastAsia"/>
      <w:szCs w:val="20"/>
    </w:rPr>
  </w:style>
  <w:style w:type="paragraph" w:customStyle="1" w:styleId="afffffffffffffffffffe">
    <w:name w:val="(a)"/>
    <w:unhideWhenUsed/>
    <w:qFormat/>
    <w:pPr>
      <w:widowControl w:val="0"/>
      <w:tabs>
        <w:tab w:val="left" w:pos="600"/>
      </w:tabs>
      <w:snapToGrid w:val="0"/>
      <w:jc w:val="both"/>
    </w:pPr>
    <w:rPr>
      <w:rFonts w:hint="eastAsia"/>
      <w:kern w:val="2"/>
      <w:sz w:val="24"/>
    </w:rPr>
  </w:style>
  <w:style w:type="paragraph" w:customStyle="1" w:styleId="WfxFaxNum">
    <w:name w:val="WfxFaxNum"/>
    <w:basedOn w:val="a3"/>
    <w:unhideWhenUsed/>
    <w:qFormat/>
    <w:pPr>
      <w:jc w:val="left"/>
    </w:pPr>
    <w:rPr>
      <w:rFonts w:hint="eastAsia"/>
      <w:sz w:val="20"/>
      <w:szCs w:val="20"/>
      <w:lang w:eastAsia="en-US"/>
    </w:rPr>
  </w:style>
  <w:style w:type="paragraph" w:customStyle="1" w:styleId="No">
    <w:name w:val="No.無"/>
    <w:basedOn w:val="a3"/>
    <w:unhideWhenUsed/>
    <w:qFormat/>
    <w:pPr>
      <w:widowControl/>
      <w:overflowPunct w:val="0"/>
      <w:autoSpaceDE w:val="0"/>
      <w:autoSpaceDN w:val="0"/>
      <w:adjustRightInd w:val="0"/>
      <w:spacing w:line="240" w:lineRule="exact"/>
      <w:jc w:val="left"/>
      <w:textAlignment w:val="baseline"/>
    </w:pPr>
    <w:rPr>
      <w:rFonts w:eastAsia="MS Gothic" w:hint="eastAsia"/>
      <w:color w:val="000000"/>
      <w:sz w:val="21"/>
      <w:szCs w:val="20"/>
      <w:lang w:eastAsia="ja-JP"/>
    </w:rPr>
  </w:style>
  <w:style w:type="paragraph" w:customStyle="1" w:styleId="affffffffffffffffffff">
    <w:name w:val="小标"/>
    <w:basedOn w:val="a3"/>
    <w:unhideWhenUsed/>
    <w:qFormat/>
    <w:rPr>
      <w:rFonts w:ascii="黑体" w:eastAsia="黑体" w:hint="eastAsia"/>
      <w:spacing w:val="20"/>
      <w:sz w:val="21"/>
      <w:szCs w:val="20"/>
    </w:rPr>
  </w:style>
  <w:style w:type="paragraph" w:customStyle="1" w:styleId="affffffffffffffffffff0">
    <w:name w:val="我的正文格式"/>
    <w:basedOn w:val="a3"/>
    <w:next w:val="a3"/>
    <w:unhideWhenUsed/>
    <w:qFormat/>
    <w:pPr>
      <w:tabs>
        <w:tab w:val="left" w:pos="840"/>
      </w:tabs>
      <w:adjustRightInd w:val="0"/>
      <w:textAlignment w:val="baseline"/>
    </w:pPr>
    <w:rPr>
      <w:rFonts w:hint="eastAsia"/>
      <w:b/>
      <w:color w:val="000000"/>
      <w:szCs w:val="20"/>
    </w:rPr>
  </w:style>
  <w:style w:type="paragraph" w:customStyle="1" w:styleId="affffffffffffffffffff1">
    <w:name w:val="单选户 正文"/>
    <w:basedOn w:val="a3"/>
    <w:unhideWhenUsed/>
    <w:qFormat/>
    <w:pPr>
      <w:adjustRightInd w:val="0"/>
      <w:snapToGrid w:val="0"/>
      <w:ind w:firstLine="420"/>
    </w:pPr>
    <w:rPr>
      <w:rFonts w:ascii="宋体" w:hAnsi="宋体" w:hint="eastAsia"/>
      <w:szCs w:val="20"/>
    </w:rPr>
  </w:style>
  <w:style w:type="paragraph" w:customStyle="1" w:styleId="Char1CharCharCharCharCharCharChar">
    <w:name w:val="Char1 Char Char Char Char Char Char Char"/>
    <w:basedOn w:val="a3"/>
    <w:unhideWhenUsed/>
    <w:qFormat/>
    <w:rPr>
      <w:rFonts w:hint="eastAsia"/>
      <w:sz w:val="21"/>
      <w:szCs w:val="20"/>
    </w:rPr>
  </w:style>
  <w:style w:type="paragraph" w:customStyle="1" w:styleId="Standardbz">
    <w:name w:val="Standard.bz"/>
    <w:unhideWhenUsed/>
    <w:qFormat/>
    <w:rPr>
      <w:rFonts w:ascii="Arial" w:eastAsia="PMingLiU" w:hAnsi="Arial" w:hint="eastAsia"/>
      <w:sz w:val="22"/>
      <w:lang w:val="de-DE" w:eastAsia="de-DE"/>
    </w:rPr>
  </w:style>
  <w:style w:type="paragraph" w:customStyle="1" w:styleId="affffffffffffffffffff2">
    <w:name w:val="表内五号两端对齐"/>
    <w:basedOn w:val="a3"/>
    <w:unhideWhenUsed/>
    <w:qFormat/>
    <w:pPr>
      <w:jc w:val="center"/>
    </w:pPr>
    <w:rPr>
      <w:rFonts w:ascii="宋体" w:hAnsi="宋体" w:hint="eastAsia"/>
      <w:b/>
      <w:color w:val="000000"/>
      <w:szCs w:val="20"/>
    </w:rPr>
  </w:style>
  <w:style w:type="paragraph" w:customStyle="1" w:styleId="TableOutline">
    <w:name w:val="Table Outline"/>
    <w:basedOn w:val="TableTxt"/>
    <w:unhideWhenUsed/>
    <w:qFormat/>
    <w:pPr>
      <w:tabs>
        <w:tab w:val="left" w:pos="720"/>
      </w:tabs>
      <w:spacing w:line="240" w:lineRule="auto"/>
    </w:pPr>
  </w:style>
  <w:style w:type="paragraph" w:customStyle="1" w:styleId="1-b120">
    <w:name w:val="样式 标题 1-*+章节标题b1 + 宋体 非加粗 黑色 行距: 固定值 20 磅"/>
    <w:basedOn w:val="110"/>
    <w:unhideWhenUsed/>
    <w:qFormat/>
    <w:pPr>
      <w:pageBreakBefore/>
      <w:spacing w:beforeLines="0" w:afterLines="0"/>
      <w:ind w:firstLineChars="0" w:firstLine="0"/>
    </w:pPr>
    <w:rPr>
      <w:rFonts w:ascii="宋体" w:hAnsi="宋体"/>
      <w:sz w:val="30"/>
      <w:szCs w:val="20"/>
    </w:rPr>
  </w:style>
  <w:style w:type="paragraph" w:customStyle="1" w:styleId="211b2112h2l22ndlevelTitre22Header2H21">
    <w:name w:val="样式 标题 2节标题 1.1b21.1标题2h2l22nd levelTitre22Header 2H2标...1"/>
    <w:basedOn w:val="213"/>
    <w:unhideWhenUsed/>
    <w:qFormat/>
    <w:pPr>
      <w:widowControl/>
      <w:tabs>
        <w:tab w:val="left" w:pos="1322"/>
        <w:tab w:val="left" w:pos="1560"/>
      </w:tabs>
      <w:spacing w:beforeLines="0" w:afterLines="0" w:line="440" w:lineRule="atLeast"/>
      <w:ind w:firstLineChars="0" w:firstLine="0"/>
      <w:jc w:val="center"/>
    </w:pPr>
    <w:rPr>
      <w:rFonts w:ascii="宋体" w:hAnsi="宋体"/>
      <w:color w:val="000000"/>
      <w:sz w:val="28"/>
      <w:szCs w:val="20"/>
    </w:rPr>
  </w:style>
  <w:style w:type="paragraph" w:customStyle="1" w:styleId="Simone">
    <w:name w:val="Simone"/>
    <w:basedOn w:val="a3"/>
    <w:unhideWhenUsed/>
    <w:qFormat/>
    <w:pPr>
      <w:widowControl/>
      <w:jc w:val="left"/>
    </w:pPr>
    <w:rPr>
      <w:rFonts w:ascii="Arial" w:eastAsia="PMingLiU" w:hAnsi="Arial" w:hint="eastAsia"/>
      <w:b/>
      <w:szCs w:val="20"/>
      <w:u w:val="single"/>
      <w:lang w:eastAsia="de-DE"/>
    </w:rPr>
  </w:style>
  <w:style w:type="paragraph" w:customStyle="1" w:styleId="314">
    <w:name w:val="正文文本 31"/>
    <w:basedOn w:val="a3"/>
    <w:unhideWhenUsed/>
    <w:qFormat/>
    <w:pPr>
      <w:adjustRightInd w:val="0"/>
      <w:jc w:val="center"/>
      <w:textAlignment w:val="baseline"/>
    </w:pPr>
    <w:rPr>
      <w:rFonts w:ascii="宋体" w:hint="eastAsia"/>
      <w:b/>
      <w:color w:val="FF0000"/>
      <w:szCs w:val="20"/>
      <w:u w:val="single"/>
    </w:rPr>
  </w:style>
  <w:style w:type="paragraph" w:customStyle="1" w:styleId="CharCharCharCharCharCharCharCharChar2CharCharCharCharCharCharCharCharCharChar">
    <w:name w:val="Char Char Char Char Char Char Char Char Char2 Char Char Char Char Char Char Char Char Char Char"/>
    <w:basedOn w:val="a3"/>
    <w:unhideWhenUsed/>
    <w:qFormat/>
    <w:rPr>
      <w:rFonts w:hint="eastAsia"/>
      <w:sz w:val="21"/>
      <w:szCs w:val="24"/>
    </w:rPr>
  </w:style>
  <w:style w:type="paragraph" w:customStyle="1" w:styleId="21c">
    <w:name w:val="样式21"/>
    <w:basedOn w:val="213"/>
    <w:unhideWhenUsed/>
    <w:qFormat/>
    <w:pPr>
      <w:tabs>
        <w:tab w:val="left" w:pos="1322"/>
      </w:tabs>
      <w:autoSpaceDE w:val="0"/>
      <w:autoSpaceDN w:val="0"/>
      <w:adjustRightInd w:val="0"/>
      <w:snapToGrid w:val="0"/>
      <w:spacing w:beforeLines="0" w:afterLines="0" w:line="240" w:lineRule="auto"/>
      <w:ind w:firstLineChars="0" w:firstLine="0"/>
      <w:jc w:val="left"/>
    </w:pPr>
    <w:rPr>
      <w:rFonts w:ascii="宋体" w:hAnsi="Arial"/>
      <w:b w:val="0"/>
      <w:color w:val="000000"/>
      <w:szCs w:val="20"/>
    </w:rPr>
  </w:style>
  <w:style w:type="paragraph" w:customStyle="1" w:styleId="117">
    <w:name w:val="样式11"/>
    <w:basedOn w:val="213"/>
    <w:unhideWhenUsed/>
    <w:qFormat/>
    <w:pPr>
      <w:tabs>
        <w:tab w:val="left" w:pos="1322"/>
      </w:tabs>
      <w:autoSpaceDE w:val="0"/>
      <w:autoSpaceDN w:val="0"/>
      <w:adjustRightInd w:val="0"/>
      <w:snapToGrid w:val="0"/>
      <w:spacing w:beforeLines="0" w:afterLines="0" w:line="240" w:lineRule="auto"/>
      <w:ind w:firstLineChars="0" w:firstLine="0"/>
      <w:jc w:val="left"/>
    </w:pPr>
    <w:rPr>
      <w:rFonts w:ascii="黑体" w:eastAsia="黑体" w:hAnsi="Arial"/>
      <w:color w:val="000000"/>
      <w:szCs w:val="20"/>
    </w:rPr>
  </w:style>
  <w:style w:type="paragraph" w:customStyle="1" w:styleId="CharCharCharCharCharCharCharCharCharCharCharCharCharCharCharChar2">
    <w:name w:val="正文（首行缩进两字） Char Char Char Char Char Char Char Char Char Char Char Char Char Char Char Char"/>
    <w:basedOn w:val="a3"/>
    <w:next w:val="af2"/>
    <w:unhideWhenUsed/>
    <w:qFormat/>
    <w:rPr>
      <w:rFonts w:ascii="宋体" w:hAnsi="Courier New" w:hint="eastAsia"/>
      <w:szCs w:val="20"/>
    </w:rPr>
  </w:style>
  <w:style w:type="paragraph" w:customStyle="1" w:styleId="1520">
    <w:name w:val="样式 小四 行距: 1.5 倍行距 首行缩进:  2 字符"/>
    <w:basedOn w:val="a3"/>
    <w:unhideWhenUsed/>
    <w:qFormat/>
    <w:rPr>
      <w:rFonts w:hint="eastAsia"/>
      <w:szCs w:val="24"/>
    </w:rPr>
  </w:style>
  <w:style w:type="paragraph" w:customStyle="1" w:styleId="affffffffffffffffffff3">
    <w:name w:val="正缩"/>
    <w:basedOn w:val="a3"/>
    <w:link w:val="Charffffc"/>
    <w:unhideWhenUsed/>
    <w:qFormat/>
    <w:pPr>
      <w:adjustRightInd w:val="0"/>
      <w:spacing w:line="240" w:lineRule="atLeast"/>
      <w:ind w:firstLine="567"/>
      <w:textAlignment w:val="baseline"/>
    </w:pPr>
    <w:rPr>
      <w:rFonts w:hint="eastAsia"/>
      <w:szCs w:val="20"/>
    </w:rPr>
  </w:style>
  <w:style w:type="paragraph" w:customStyle="1" w:styleId="3CharChar0">
    <w:name w:val="正文3 Char Char"/>
    <w:link w:val="3CharCharChar0"/>
    <w:unhideWhenUsed/>
    <w:qFormat/>
    <w:pPr>
      <w:suppressAutoHyphens/>
      <w:overflowPunct w:val="0"/>
      <w:topLinePunct/>
      <w:spacing w:line="480" w:lineRule="exact"/>
      <w:ind w:firstLineChars="200" w:firstLine="200"/>
      <w:jc w:val="both"/>
    </w:pPr>
    <w:rPr>
      <w:rFonts w:ascii="宋体" w:hAnsi="宋体" w:hint="eastAsia"/>
      <w:kern w:val="2"/>
      <w:sz w:val="24"/>
      <w:szCs w:val="28"/>
      <w:lang w:val="zh-CN"/>
    </w:rPr>
  </w:style>
  <w:style w:type="paragraph" w:customStyle="1" w:styleId="0852">
    <w:name w:val="样式 样式 首行缩进:  0.85 厘米 + 首行缩进:  2 字符"/>
    <w:basedOn w:val="a3"/>
    <w:unhideWhenUsed/>
    <w:qFormat/>
    <w:pPr>
      <w:topLinePunct/>
      <w:spacing w:line="460" w:lineRule="exact"/>
      <w:ind w:firstLine="480"/>
    </w:pPr>
    <w:rPr>
      <w:rFonts w:cs="宋体" w:hint="eastAsia"/>
      <w:szCs w:val="24"/>
    </w:rPr>
  </w:style>
  <w:style w:type="paragraph" w:customStyle="1" w:styleId="302">
    <w:name w:val="样式 正文文字缩进 + 四号 行距: 最小值 30 磅"/>
    <w:basedOn w:val="BodyTextIndent1"/>
    <w:unhideWhenUsed/>
    <w:qFormat/>
    <w:pPr>
      <w:spacing w:after="0" w:line="600" w:lineRule="exact"/>
      <w:ind w:leftChars="0" w:left="0" w:firstLine="573"/>
    </w:pPr>
    <w:rPr>
      <w:rFonts w:ascii="宋体" w:cs="宋体"/>
      <w:sz w:val="28"/>
      <w:szCs w:val="20"/>
    </w:rPr>
  </w:style>
  <w:style w:type="paragraph" w:customStyle="1" w:styleId="3232222">
    <w:name w:val="样式 正文3 + 首行缩进:  2 字符3 + 首行缩进:  2 字符 + 首行缩进:  2 字符2 + 首行缩进:  2......"/>
    <w:basedOn w:val="a3"/>
    <w:unhideWhenUsed/>
    <w:qFormat/>
    <w:pPr>
      <w:widowControl/>
      <w:suppressAutoHyphens/>
      <w:overflowPunct w:val="0"/>
      <w:topLinePunct/>
      <w:spacing w:line="480" w:lineRule="exact"/>
      <w:ind w:firstLine="480"/>
    </w:pPr>
    <w:rPr>
      <w:rFonts w:hAnsi="宋体" w:hint="eastAsia"/>
      <w:szCs w:val="24"/>
      <w:lang w:val="zh-CN"/>
    </w:rPr>
  </w:style>
  <w:style w:type="paragraph" w:customStyle="1" w:styleId="1ffff2">
    <w:name w:val="官厅1"/>
    <w:basedOn w:val="a3"/>
    <w:unhideWhenUsed/>
    <w:qFormat/>
    <w:pPr>
      <w:spacing w:before="120" w:after="120"/>
      <w:outlineLvl w:val="0"/>
    </w:pPr>
    <w:rPr>
      <w:rFonts w:ascii="宋体" w:hAnsi="宋体" w:hint="eastAsia"/>
      <w:szCs w:val="24"/>
    </w:rPr>
  </w:style>
  <w:style w:type="paragraph" w:customStyle="1" w:styleId="affffffffffffffffffff4">
    <w:name w:val="中文报告书样式"/>
    <w:basedOn w:val="a3"/>
    <w:unhideWhenUsed/>
    <w:qFormat/>
    <w:pPr>
      <w:adjustRightInd w:val="0"/>
      <w:spacing w:line="480" w:lineRule="atLeast"/>
      <w:ind w:firstLine="482"/>
      <w:textAlignment w:val="baseline"/>
    </w:pPr>
    <w:rPr>
      <w:rFonts w:hint="eastAsia"/>
      <w:kern w:val="24"/>
      <w:szCs w:val="20"/>
    </w:rPr>
  </w:style>
  <w:style w:type="paragraph" w:customStyle="1" w:styleId="affffffffffffffffffff5">
    <w:name w:val="缩"/>
    <w:basedOn w:val="a3"/>
    <w:next w:val="BodyTextIndent1"/>
    <w:unhideWhenUsed/>
    <w:qFormat/>
    <w:pPr>
      <w:spacing w:after="120"/>
      <w:ind w:leftChars="200" w:left="420"/>
    </w:pPr>
    <w:rPr>
      <w:rFonts w:hint="eastAsia"/>
      <w:sz w:val="21"/>
      <w:szCs w:val="24"/>
    </w:rPr>
  </w:style>
  <w:style w:type="paragraph" w:customStyle="1" w:styleId="1521">
    <w:name w:val="样式 样式 小四 行距: 1.5 倍行距 首行缩进:  2 字符 +"/>
    <w:basedOn w:val="1520"/>
    <w:unhideWhenUsed/>
    <w:qFormat/>
    <w:pPr>
      <w:spacing w:line="320" w:lineRule="exact"/>
      <w:ind w:firstLine="480"/>
    </w:pPr>
    <w:rPr>
      <w:szCs w:val="21"/>
    </w:rPr>
  </w:style>
  <w:style w:type="paragraph" w:customStyle="1" w:styleId="affffffffffffffffffff6">
    <w:name w:val="正文文字一"/>
    <w:basedOn w:val="a3"/>
    <w:unhideWhenUsed/>
    <w:qFormat/>
    <w:pPr>
      <w:spacing w:line="520" w:lineRule="exact"/>
      <w:ind w:firstLine="567"/>
    </w:pPr>
    <w:rPr>
      <w:rFonts w:hint="eastAsia"/>
      <w:sz w:val="28"/>
      <w:szCs w:val="24"/>
    </w:rPr>
  </w:style>
  <w:style w:type="paragraph" w:customStyle="1" w:styleId="17878125">
    <w:name w:val="样式 标题 1 + (中文) 黑体 四号 段前: 7.8 磅 段后: 7.8 磅 行距: 多倍行距 1.25 字行"/>
    <w:basedOn w:val="110"/>
    <w:unhideWhenUsed/>
    <w:qFormat/>
    <w:pPr>
      <w:keepNext w:val="0"/>
      <w:spacing w:beforeLines="0" w:afterLines="0" w:line="520" w:lineRule="exact"/>
      <w:ind w:firstLineChars="0" w:firstLine="0"/>
    </w:pPr>
    <w:rPr>
      <w:rFonts w:eastAsia="黑体"/>
      <w:color w:val="000000"/>
      <w:sz w:val="28"/>
      <w:szCs w:val="28"/>
    </w:rPr>
  </w:style>
  <w:style w:type="paragraph" w:customStyle="1" w:styleId="2CharChar6">
    <w:name w:val="样式 正文首行缩进 + 首行缩进:  2 字符 Char Char"/>
    <w:basedOn w:val="1fb"/>
    <w:unhideWhenUsed/>
    <w:qFormat/>
    <w:pPr>
      <w:adjustRightInd w:val="0"/>
      <w:snapToGrid w:val="0"/>
    </w:pPr>
    <w:rPr>
      <w:rFonts w:ascii="宋体" w:hAnsi="宋体"/>
    </w:rPr>
  </w:style>
  <w:style w:type="paragraph" w:customStyle="1" w:styleId="3Char3">
    <w:name w:val="正文3 Char"/>
    <w:unhideWhenUsed/>
    <w:qFormat/>
    <w:pPr>
      <w:suppressAutoHyphens/>
      <w:overflowPunct w:val="0"/>
      <w:topLinePunct/>
      <w:spacing w:line="480" w:lineRule="exact"/>
      <w:ind w:firstLineChars="200" w:firstLine="200"/>
      <w:jc w:val="both"/>
    </w:pPr>
    <w:rPr>
      <w:rFonts w:ascii="宋体" w:hAnsi="宋体" w:hint="eastAsia"/>
      <w:kern w:val="2"/>
      <w:sz w:val="24"/>
      <w:szCs w:val="28"/>
      <w:lang w:val="zh-CN"/>
    </w:rPr>
  </w:style>
  <w:style w:type="paragraph" w:customStyle="1" w:styleId="10023">
    <w:name w:val="样式 标题 1 + 四号 段前: 0 磅 段后: 0 磅 行距: 固定值 23 磅"/>
    <w:basedOn w:val="110"/>
    <w:unhideWhenUsed/>
    <w:qFormat/>
    <w:pPr>
      <w:spacing w:beforeLines="0" w:afterLines="0" w:line="460" w:lineRule="exact"/>
      <w:ind w:firstLineChars="0" w:firstLine="0"/>
    </w:pPr>
    <w:rPr>
      <w:rFonts w:cs="宋体"/>
      <w:sz w:val="28"/>
      <w:szCs w:val="20"/>
    </w:rPr>
  </w:style>
  <w:style w:type="paragraph" w:customStyle="1" w:styleId="affffffffffffffffffff7">
    <w:name w:val="样式 表 + 居中"/>
    <w:basedOn w:val="affffffa"/>
    <w:unhideWhenUsed/>
    <w:qFormat/>
    <w:pPr>
      <w:tabs>
        <w:tab w:val="left" w:pos="1358"/>
        <w:tab w:val="left" w:pos="1808"/>
        <w:tab w:val="left" w:pos="2258"/>
        <w:tab w:val="left" w:pos="2708"/>
        <w:tab w:val="left" w:pos="3158"/>
        <w:tab w:val="left" w:pos="3608"/>
        <w:tab w:val="left" w:pos="4058"/>
        <w:tab w:val="left" w:pos="4508"/>
        <w:tab w:val="left" w:pos="4958"/>
        <w:tab w:val="left" w:pos="5408"/>
        <w:tab w:val="left" w:pos="6018"/>
        <w:tab w:val="left" w:pos="7438"/>
        <w:tab w:val="left" w:pos="9487"/>
      </w:tabs>
      <w:adjustRightInd w:val="0"/>
    </w:pPr>
    <w:rPr>
      <w:rFonts w:ascii="宋体" w:hAnsi="宋体" w:cs="宋体"/>
      <w:color w:val="000000"/>
      <w:szCs w:val="21"/>
    </w:rPr>
  </w:style>
  <w:style w:type="paragraph" w:customStyle="1" w:styleId="affffffffffffffffffff8">
    <w:name w:val="大标题"/>
    <w:basedOn w:val="213"/>
    <w:unhideWhenUsed/>
    <w:qFormat/>
    <w:pPr>
      <w:keepNext w:val="0"/>
      <w:tabs>
        <w:tab w:val="left" w:pos="1322"/>
      </w:tabs>
      <w:adjustRightInd w:val="0"/>
      <w:snapToGrid w:val="0"/>
      <w:spacing w:beforeLines="0" w:afterLines="0" w:line="820" w:lineRule="exact"/>
      <w:ind w:firstLineChars="0" w:firstLine="0"/>
      <w:jc w:val="center"/>
    </w:pPr>
    <w:rPr>
      <w:rFonts w:ascii="Arial" w:eastAsia="黑体" w:hAnsi="Arial"/>
      <w:b w:val="0"/>
      <w:sz w:val="48"/>
      <w:szCs w:val="20"/>
    </w:rPr>
  </w:style>
  <w:style w:type="paragraph" w:customStyle="1" w:styleId="2173">
    <w:name w:val="样式 标题 2 + 首行缩进:  1.73 厘米"/>
    <w:basedOn w:val="213"/>
    <w:unhideWhenUsed/>
    <w:qFormat/>
    <w:pPr>
      <w:keepNext w:val="0"/>
      <w:tabs>
        <w:tab w:val="left" w:pos="1322"/>
      </w:tabs>
      <w:adjustRightInd w:val="0"/>
      <w:snapToGrid w:val="0"/>
      <w:spacing w:beforeLines="0" w:afterLines="0" w:line="500" w:lineRule="exact"/>
      <w:ind w:firstLineChars="0" w:firstLine="0"/>
      <w:jc w:val="left"/>
    </w:pPr>
    <w:rPr>
      <w:rFonts w:ascii="Arial" w:eastAsia="黑体" w:hAnsi="Arial"/>
      <w:b w:val="0"/>
      <w:sz w:val="28"/>
      <w:szCs w:val="20"/>
    </w:rPr>
  </w:style>
  <w:style w:type="paragraph" w:customStyle="1" w:styleId="148">
    <w:name w:val="样式 首行缩进:  1.48 厘米"/>
    <w:basedOn w:val="a3"/>
    <w:unhideWhenUsed/>
    <w:qFormat/>
    <w:pPr>
      <w:adjustRightInd w:val="0"/>
      <w:snapToGrid w:val="0"/>
      <w:spacing w:line="500" w:lineRule="exact"/>
      <w:ind w:firstLine="567"/>
      <w:jc w:val="left"/>
    </w:pPr>
    <w:rPr>
      <w:rFonts w:ascii="宋体" w:hAnsi="宋体" w:hint="eastAsia"/>
      <w:sz w:val="28"/>
      <w:szCs w:val="20"/>
    </w:rPr>
  </w:style>
  <w:style w:type="paragraph" w:customStyle="1" w:styleId="2099">
    <w:name w:val="样式 标题2 + 首行缩进:  0.99 厘米"/>
    <w:basedOn w:val="213"/>
    <w:unhideWhenUsed/>
    <w:qFormat/>
    <w:pPr>
      <w:keepNext w:val="0"/>
      <w:tabs>
        <w:tab w:val="left" w:pos="1322"/>
      </w:tabs>
      <w:adjustRightInd w:val="0"/>
      <w:snapToGrid w:val="0"/>
      <w:spacing w:beforeLines="0" w:afterLines="0" w:line="500" w:lineRule="exact"/>
      <w:ind w:firstLineChars="0" w:firstLine="0"/>
      <w:jc w:val="left"/>
    </w:pPr>
    <w:rPr>
      <w:rFonts w:ascii="Arial" w:eastAsia="黑体" w:hAnsi="Arial"/>
      <w:b w:val="0"/>
      <w:sz w:val="28"/>
      <w:szCs w:val="20"/>
    </w:rPr>
  </w:style>
  <w:style w:type="paragraph" w:customStyle="1" w:styleId="05312">
    <w:name w:val="样式 六号 居中 首行缩进:  0.53 厘米 行距: 固定值 12 磅"/>
    <w:basedOn w:val="a3"/>
    <w:unhideWhenUsed/>
    <w:qFormat/>
    <w:pPr>
      <w:adjustRightInd w:val="0"/>
      <w:snapToGrid w:val="0"/>
      <w:spacing w:line="240" w:lineRule="exact"/>
      <w:jc w:val="center"/>
    </w:pPr>
    <w:rPr>
      <w:rFonts w:ascii="宋体" w:hAnsi="宋体" w:hint="eastAsia"/>
      <w:sz w:val="15"/>
      <w:szCs w:val="20"/>
    </w:rPr>
  </w:style>
  <w:style w:type="paragraph" w:customStyle="1" w:styleId="15085">
    <w:name w:val="样式 样式 小四 行距: 固定值 15 磅 + 首行缩进:  0.85 厘米"/>
    <w:basedOn w:val="a3"/>
    <w:unhideWhenUsed/>
    <w:qFormat/>
    <w:pPr>
      <w:adjustRightInd w:val="0"/>
      <w:snapToGrid w:val="0"/>
      <w:spacing w:line="400" w:lineRule="exact"/>
      <w:jc w:val="center"/>
    </w:pPr>
    <w:rPr>
      <w:rFonts w:ascii="宋体" w:hAnsi="宋体" w:hint="eastAsia"/>
      <w:szCs w:val="20"/>
    </w:rPr>
  </w:style>
  <w:style w:type="paragraph" w:customStyle="1" w:styleId="2099099">
    <w:name w:val="样式 样式 标题2 + 首行缩进:  0.99 厘米 + 首行缩进:  0.99 厘米"/>
    <w:basedOn w:val="2099"/>
    <w:unhideWhenUsed/>
    <w:qFormat/>
  </w:style>
  <w:style w:type="paragraph" w:customStyle="1" w:styleId="1250">
    <w:name w:val="样式 标题 1 + 左 行距: 固定值 25 磅"/>
    <w:basedOn w:val="110"/>
    <w:unhideWhenUsed/>
    <w:qFormat/>
    <w:pPr>
      <w:spacing w:beforeLines="0" w:afterLines="0" w:line="500" w:lineRule="exact"/>
      <w:ind w:firstLineChars="0" w:firstLine="0"/>
      <w:jc w:val="left"/>
    </w:pPr>
    <w:rPr>
      <w:rFonts w:ascii="Arial" w:eastAsia="黑体" w:hAnsi="Arial"/>
      <w:sz w:val="28"/>
      <w:szCs w:val="20"/>
    </w:rPr>
  </w:style>
  <w:style w:type="paragraph" w:customStyle="1" w:styleId="affffffffffffffffffff9">
    <w:name w:val="样式 正文文字 + 宋体 五号"/>
    <w:basedOn w:val="12"/>
    <w:unhideWhenUsed/>
    <w:qFormat/>
    <w:pPr>
      <w:widowControl w:val="0"/>
      <w:spacing w:after="0"/>
      <w:jc w:val="both"/>
    </w:pPr>
    <w:rPr>
      <w:rFonts w:ascii="宋体" w:hAnsi="宋体"/>
      <w:sz w:val="21"/>
    </w:rPr>
  </w:style>
  <w:style w:type="paragraph" w:customStyle="1" w:styleId="232">
    <w:name w:val="样式 宋体 小四 行距: 固定值 23 磅 首行缩进:  2 字符"/>
    <w:basedOn w:val="a3"/>
    <w:unhideWhenUsed/>
    <w:qFormat/>
    <w:pPr>
      <w:spacing w:line="460" w:lineRule="exact"/>
      <w:ind w:firstLine="480"/>
    </w:pPr>
    <w:rPr>
      <w:rFonts w:ascii="宋体" w:hAnsi="宋体" w:cs="宋体" w:hint="eastAsia"/>
      <w:szCs w:val="20"/>
    </w:rPr>
  </w:style>
  <w:style w:type="paragraph" w:customStyle="1" w:styleId="229">
    <w:name w:val="样式 目录 2 + 首行缩进:  2 字符"/>
    <w:basedOn w:val="24"/>
    <w:unhideWhenUsed/>
    <w:qFormat/>
    <w:pPr>
      <w:tabs>
        <w:tab w:val="clear" w:pos="8296"/>
        <w:tab w:val="right" w:leader="dot" w:pos="8280"/>
      </w:tabs>
      <w:spacing w:line="360" w:lineRule="auto"/>
      <w:ind w:firstLine="480"/>
    </w:pPr>
    <w:rPr>
      <w:rFonts w:ascii="黑体" w:eastAsia="黑体" w:cs="宋体" w:hint="eastAsia"/>
      <w:szCs w:val="20"/>
    </w:rPr>
  </w:style>
  <w:style w:type="paragraph" w:customStyle="1" w:styleId="231">
    <w:name w:val="样式 宋体 小四 行距: 固定值 23 磅"/>
    <w:basedOn w:val="a3"/>
    <w:unhideWhenUsed/>
    <w:qFormat/>
    <w:pPr>
      <w:spacing w:line="460" w:lineRule="exact"/>
      <w:ind w:firstLine="480"/>
    </w:pPr>
    <w:rPr>
      <w:rFonts w:ascii="宋体" w:hAnsi="宋体" w:cs="宋体" w:hint="eastAsia"/>
      <w:szCs w:val="20"/>
    </w:rPr>
  </w:style>
  <w:style w:type="paragraph" w:customStyle="1" w:styleId="affffffffffffffffffffa">
    <w:name w:val="表名，单位"/>
    <w:basedOn w:val="afff3"/>
    <w:link w:val="Charffffd"/>
    <w:unhideWhenUsed/>
    <w:qFormat/>
    <w:pPr>
      <w:spacing w:line="300" w:lineRule="exact"/>
      <w:ind w:firstLineChars="100" w:firstLine="206"/>
    </w:pPr>
    <w:rPr>
      <w:rFonts w:ascii="宋体" w:hAnsi="宋体" w:hint="eastAsia"/>
      <w:b w:val="0"/>
      <w:spacing w:val="-4"/>
      <w:sz w:val="21"/>
      <w:szCs w:val="24"/>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3"/>
    <w:unhideWhenUsed/>
    <w:qFormat/>
    <w:pPr>
      <w:widowControl/>
      <w:spacing w:after="160" w:line="240" w:lineRule="exact"/>
      <w:jc w:val="center"/>
    </w:pPr>
    <w:rPr>
      <w:rFonts w:ascii="黑体" w:eastAsia="黑体" w:hAnsi="Verdana" w:hint="eastAsia"/>
      <w:sz w:val="32"/>
      <w:szCs w:val="32"/>
      <w:lang w:eastAsia="en-US"/>
    </w:rPr>
  </w:style>
  <w:style w:type="paragraph" w:customStyle="1" w:styleId="CharChar8">
    <w:name w:val="批注框文本 Char Char"/>
    <w:basedOn w:val="a3"/>
    <w:unhideWhenUsed/>
    <w:qFormat/>
    <w:rPr>
      <w:rFonts w:hint="eastAsia"/>
      <w:sz w:val="18"/>
      <w:szCs w:val="20"/>
    </w:rPr>
  </w:style>
  <w:style w:type="paragraph" w:customStyle="1" w:styleId="affffffffffffffffffffb">
    <w:name w:val="纯文本 + (符号) 宋体"/>
    <w:basedOn w:val="PlainText1"/>
    <w:unhideWhenUsed/>
    <w:qFormat/>
    <w:pPr>
      <w:ind w:firstLineChars="187" w:firstLine="524"/>
    </w:pPr>
    <w:rPr>
      <w:rFonts w:hAnsi="宋体" w:cs="Times New Roman"/>
      <w:szCs w:val="28"/>
    </w:rPr>
  </w:style>
  <w:style w:type="paragraph" w:customStyle="1" w:styleId="2CharCharCharCharCharCharCharCharCharCharCharChar1CharCharCharChar">
    <w:name w:val="2 Char Char Char Char Char Char Char Char Char Char Char Char1 Char Char Char Char"/>
    <w:basedOn w:val="a3"/>
    <w:unhideWhenUsed/>
    <w:qFormat/>
    <w:rPr>
      <w:rFonts w:ascii="宋体" w:hAnsi="宋体" w:cs="宋体" w:hint="eastAsia"/>
      <w:szCs w:val="24"/>
    </w:rPr>
  </w:style>
  <w:style w:type="paragraph" w:customStyle="1" w:styleId="3fc">
    <w:name w:val="标题3+"/>
    <w:basedOn w:val="a3"/>
    <w:next w:val="310"/>
    <w:unhideWhenUsed/>
    <w:qFormat/>
    <w:pPr>
      <w:adjustRightInd w:val="0"/>
      <w:snapToGrid w:val="0"/>
    </w:pPr>
    <w:rPr>
      <w:rFonts w:hint="eastAsia"/>
      <w:sz w:val="28"/>
      <w:szCs w:val="28"/>
    </w:rPr>
  </w:style>
  <w:style w:type="paragraph" w:customStyle="1" w:styleId="31113h33rdlevelH3l3CTTimesNewRoman05">
    <w:name w:val="样式 样式 标题 3条标题1.1.13h33rd levelH3l3CT + Times New Roman + 段前: 0.5..."/>
    <w:basedOn w:val="a3"/>
    <w:unhideWhenUsed/>
    <w:qFormat/>
    <w:pPr>
      <w:keepNext/>
      <w:keepLines/>
      <w:tabs>
        <w:tab w:val="left" w:pos="806"/>
      </w:tabs>
      <w:adjustRightInd w:val="0"/>
      <w:spacing w:beforeLines="100" w:afterLines="100"/>
      <w:ind w:left="806"/>
      <w:textAlignment w:val="baseline"/>
      <w:outlineLvl w:val="2"/>
    </w:pPr>
    <w:rPr>
      <w:rFonts w:cs="宋体" w:hint="eastAsia"/>
      <w:b/>
      <w:sz w:val="28"/>
      <w:szCs w:val="20"/>
    </w:rPr>
  </w:style>
  <w:style w:type="paragraph" w:customStyle="1" w:styleId="0021">
    <w:name w:val="样式 小四 加粗 段前: 0 磅 段后: 0 磅 行距: 固定值 21 磅"/>
    <w:basedOn w:val="a3"/>
    <w:unhideWhenUsed/>
    <w:qFormat/>
    <w:pPr>
      <w:widowControl/>
      <w:adjustRightInd w:val="0"/>
      <w:spacing w:afterLines="50"/>
      <w:ind w:firstLine="560"/>
      <w:textAlignment w:val="baseline"/>
    </w:pPr>
    <w:rPr>
      <w:rFonts w:ascii="宋体" w:hAnsi="宋体" w:cs="宋体" w:hint="eastAsia"/>
      <w:sz w:val="28"/>
      <w:szCs w:val="20"/>
    </w:rPr>
  </w:style>
  <w:style w:type="paragraph" w:customStyle="1" w:styleId="affffffffffffffffffffc">
    <w:name w:val="图形"/>
    <w:basedOn w:val="a3"/>
    <w:unhideWhenUsed/>
    <w:qFormat/>
    <w:pPr>
      <w:adjustRightInd w:val="0"/>
      <w:spacing w:line="240" w:lineRule="atLeast"/>
      <w:jc w:val="center"/>
      <w:textAlignment w:val="baseline"/>
    </w:pPr>
    <w:rPr>
      <w:rFonts w:hint="eastAsia"/>
      <w:sz w:val="28"/>
      <w:szCs w:val="20"/>
    </w:rPr>
  </w:style>
  <w:style w:type="paragraph" w:customStyle="1" w:styleId="211h2l22ndlevelTitre22Header2H2TimesNew">
    <w:name w:val="样式 标题 2节标题 1.1h2l22nd levelTitre22Header 2H2 + Times New..."/>
    <w:basedOn w:val="213"/>
    <w:unhideWhenUsed/>
    <w:qFormat/>
    <w:pPr>
      <w:tabs>
        <w:tab w:val="left" w:pos="240"/>
        <w:tab w:val="left" w:pos="600"/>
        <w:tab w:val="left" w:pos="1322"/>
        <w:tab w:val="left" w:pos="3960"/>
        <w:tab w:val="left" w:pos="5400"/>
        <w:tab w:val="left" w:pos="6840"/>
      </w:tabs>
      <w:adjustRightInd w:val="0"/>
      <w:spacing w:line="240" w:lineRule="auto"/>
      <w:ind w:firstLineChars="0" w:firstLine="0"/>
      <w:textAlignment w:val="baseline"/>
    </w:pPr>
    <w:rPr>
      <w:sz w:val="28"/>
      <w:szCs w:val="28"/>
    </w:rPr>
  </w:style>
  <w:style w:type="paragraph" w:customStyle="1" w:styleId="2fff1">
    <w:name w:val="正文文本缩进2"/>
    <w:basedOn w:val="a3"/>
    <w:unhideWhenUsed/>
    <w:qFormat/>
    <w:pPr>
      <w:ind w:left="720" w:firstLine="480"/>
      <w:outlineLvl w:val="0"/>
    </w:pPr>
    <w:rPr>
      <w:rFonts w:ascii="仿宋_GB2312" w:eastAsia="仿宋_GB2312" w:cs="仿宋_GB2312" w:hint="eastAsia"/>
      <w:sz w:val="28"/>
      <w:szCs w:val="28"/>
    </w:rPr>
  </w:style>
  <w:style w:type="paragraph" w:customStyle="1" w:styleId="xl97">
    <w:name w:val="xl9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98">
    <w:name w:val="xl9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99">
    <w:name w:val="xl99"/>
    <w:basedOn w:val="a3"/>
    <w:unhideWhenUsed/>
    <w:qFormat/>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hint="eastAsia"/>
      <w:szCs w:val="24"/>
    </w:rPr>
  </w:style>
  <w:style w:type="paragraph" w:customStyle="1" w:styleId="affffffffffffffffffffd">
    <w:name w:val="左侧"/>
    <w:unhideWhenUsed/>
    <w:qFormat/>
    <w:pPr>
      <w:spacing w:line="280" w:lineRule="exact"/>
    </w:pPr>
    <w:rPr>
      <w:rFonts w:ascii="宋体" w:hAnsi="宋体" w:hint="eastAsia"/>
      <w:color w:val="000000"/>
      <w:sz w:val="18"/>
      <w:szCs w:val="18"/>
    </w:rPr>
  </w:style>
  <w:style w:type="paragraph" w:customStyle="1" w:styleId="2fff2">
    <w:name w:val="正文文字首航缩2字"/>
    <w:basedOn w:val="a3"/>
    <w:unhideWhenUsed/>
    <w:qFormat/>
    <w:rPr>
      <w:rFonts w:hint="eastAsia"/>
      <w:szCs w:val="24"/>
    </w:rPr>
  </w:style>
  <w:style w:type="paragraph" w:customStyle="1" w:styleId="1ffff3">
    <w:name w:val="注释标题1"/>
    <w:basedOn w:val="1b"/>
    <w:next w:val="1b"/>
    <w:unhideWhenUsed/>
    <w:qFormat/>
    <w:pPr>
      <w:tabs>
        <w:tab w:val="left" w:pos="720"/>
      </w:tabs>
      <w:snapToGrid w:val="0"/>
      <w:spacing w:before="120"/>
      <w:ind w:left="720" w:firstLineChars="0" w:hanging="720"/>
    </w:pPr>
    <w:rPr>
      <w:sz w:val="24"/>
    </w:rPr>
  </w:style>
  <w:style w:type="paragraph" w:customStyle="1" w:styleId="affffffffffffffffffffe">
    <w:name w:val="右侧"/>
    <w:unhideWhenUsed/>
    <w:qFormat/>
    <w:pPr>
      <w:spacing w:line="280" w:lineRule="exact"/>
      <w:jc w:val="right"/>
    </w:pPr>
    <w:rPr>
      <w:rFonts w:ascii="宋体" w:hAnsi="宋体" w:hint="eastAsia"/>
      <w:color w:val="000000"/>
      <w:sz w:val="18"/>
      <w:szCs w:val="18"/>
    </w:rPr>
  </w:style>
  <w:style w:type="paragraph" w:customStyle="1" w:styleId="afffffffffffffffffffff">
    <w:name w:val="行左"/>
    <w:basedOn w:val="a3"/>
    <w:unhideWhenUsed/>
    <w:qFormat/>
    <w:pPr>
      <w:ind w:firstLine="480"/>
      <w:jc w:val="left"/>
    </w:pPr>
    <w:rPr>
      <w:rFonts w:ascii="仿宋_GB2312" w:eastAsia="仿宋_GB2312" w:hAnsi="宋体" w:hint="eastAsia"/>
      <w:color w:val="000000"/>
      <w:position w:val="-32"/>
      <w:szCs w:val="24"/>
    </w:rPr>
  </w:style>
  <w:style w:type="paragraph" w:customStyle="1" w:styleId="5f">
    <w:name w:val="右5"/>
    <w:basedOn w:val="a3"/>
    <w:unhideWhenUsed/>
    <w:qFormat/>
    <w:pPr>
      <w:adjustRightInd w:val="0"/>
      <w:snapToGrid w:val="0"/>
      <w:ind w:left="42"/>
      <w:jc w:val="right"/>
    </w:pPr>
    <w:rPr>
      <w:rFonts w:ascii="宋体" w:hAnsi="宋体" w:hint="eastAsia"/>
      <w:color w:val="000080"/>
      <w:kern w:val="28"/>
      <w:sz w:val="18"/>
      <w:szCs w:val="18"/>
    </w:rPr>
  </w:style>
  <w:style w:type="paragraph" w:customStyle="1" w:styleId="afffffffffffffffffffff0">
    <w:name w:val="左五"/>
    <w:basedOn w:val="a3"/>
    <w:unhideWhenUsed/>
    <w:qFormat/>
    <w:pPr>
      <w:adjustRightInd w:val="0"/>
      <w:snapToGrid w:val="0"/>
      <w:spacing w:line="280" w:lineRule="atLeast"/>
      <w:ind w:left="42" w:firstLine="441"/>
      <w:jc w:val="left"/>
    </w:pPr>
    <w:rPr>
      <w:rFonts w:ascii="宋体" w:hAnsi="Symusic" w:hint="eastAsia"/>
      <w:color w:val="000000"/>
      <w:sz w:val="18"/>
      <w:szCs w:val="24"/>
    </w:rPr>
  </w:style>
  <w:style w:type="paragraph" w:customStyle="1" w:styleId="afffffffffffffffffffff1">
    <w:name w:val="右五"/>
    <w:basedOn w:val="a3"/>
    <w:next w:val="a3"/>
    <w:unhideWhenUsed/>
    <w:qFormat/>
    <w:pPr>
      <w:spacing w:line="280" w:lineRule="exact"/>
      <w:ind w:left="42" w:rightChars="58" w:right="139"/>
      <w:jc w:val="right"/>
    </w:pPr>
    <w:rPr>
      <w:rFonts w:ascii="宋体" w:hAnsi="Symusic" w:hint="eastAsia"/>
      <w:color w:val="000000"/>
      <w:sz w:val="18"/>
      <w:szCs w:val="20"/>
      <w:lang w:bidi="he-IL"/>
    </w:rPr>
  </w:style>
  <w:style w:type="paragraph" w:customStyle="1" w:styleId="afffffffffffffffffffff2">
    <w:name w:val="表后空行"/>
    <w:basedOn w:val="a3"/>
    <w:unhideWhenUsed/>
    <w:qFormat/>
    <w:pPr>
      <w:overflowPunct w:val="0"/>
      <w:adjustRightInd w:val="0"/>
      <w:textAlignment w:val="baseline"/>
    </w:pPr>
    <w:rPr>
      <w:rFonts w:hint="eastAsia"/>
      <w:kern w:val="28"/>
      <w:sz w:val="10"/>
      <w:szCs w:val="20"/>
    </w:rPr>
  </w:style>
  <w:style w:type="paragraph" w:customStyle="1" w:styleId="3fd">
    <w:name w:val="标题样式3"/>
    <w:basedOn w:val="310"/>
    <w:unhideWhenUsed/>
    <w:qFormat/>
    <w:pPr>
      <w:keepNext w:val="0"/>
      <w:spacing w:beforeLines="0" w:afterLines="0" w:line="400" w:lineRule="atLeast"/>
      <w:ind w:firstLineChars="0" w:firstLine="510"/>
    </w:pPr>
    <w:rPr>
      <w:rFonts w:eastAsia="黑体"/>
      <w:b w:val="0"/>
      <w:sz w:val="24"/>
      <w:szCs w:val="20"/>
    </w:rPr>
  </w:style>
  <w:style w:type="paragraph" w:customStyle="1" w:styleId="afffffffffffffffffffff3">
    <w:name w:val="数字编号列项（二级）"/>
    <w:unhideWhenUsed/>
    <w:qFormat/>
    <w:pPr>
      <w:ind w:leftChars="400" w:left="1260" w:hangingChars="200" w:hanging="420"/>
      <w:jc w:val="both"/>
    </w:pPr>
    <w:rPr>
      <w:rFonts w:ascii="宋体" w:hint="eastAsia"/>
      <w:sz w:val="21"/>
    </w:rPr>
  </w:style>
  <w:style w:type="paragraph" w:customStyle="1" w:styleId="afffffffffffffffffffff4">
    <w:name w:val="注："/>
    <w:next w:val="42"/>
    <w:unhideWhenUsed/>
    <w:qFormat/>
    <w:pPr>
      <w:widowControl w:val="0"/>
      <w:tabs>
        <w:tab w:val="left" w:pos="995"/>
      </w:tabs>
      <w:autoSpaceDE w:val="0"/>
      <w:autoSpaceDN w:val="0"/>
      <w:ind w:left="995" w:hanging="435"/>
      <w:jc w:val="both"/>
    </w:pPr>
    <w:rPr>
      <w:rFonts w:ascii="宋体" w:hint="eastAsia"/>
      <w:sz w:val="18"/>
    </w:rPr>
  </w:style>
  <w:style w:type="paragraph" w:customStyle="1" w:styleId="afffffffffffffffffffff5">
    <w:name w:val="正文（首行缩进）"/>
    <w:basedOn w:val="a3"/>
    <w:unhideWhenUsed/>
    <w:qFormat/>
    <w:pPr>
      <w:widowControl/>
      <w:ind w:firstLine="480"/>
      <w:jc w:val="left"/>
    </w:pPr>
    <w:rPr>
      <w:rFonts w:ascii="宋体" w:hAnsi="宋体" w:hint="eastAsia"/>
      <w:color w:val="000000"/>
      <w:szCs w:val="20"/>
    </w:rPr>
  </w:style>
  <w:style w:type="paragraph" w:customStyle="1" w:styleId="200">
    <w:name w:val="标题 2 + 首行缩进： 0磅"/>
    <w:basedOn w:val="2200"/>
    <w:unhideWhenUsed/>
    <w:qFormat/>
  </w:style>
  <w:style w:type="paragraph" w:customStyle="1" w:styleId="2200">
    <w:name w:val="标题 2 + 行距: 标题2+首行缩进 0倍"/>
    <w:basedOn w:val="213"/>
    <w:unhideWhenUsed/>
    <w:qFormat/>
    <w:pPr>
      <w:tabs>
        <w:tab w:val="left" w:pos="1322"/>
        <w:tab w:val="left" w:pos="8140"/>
      </w:tabs>
      <w:spacing w:beforeLines="0" w:afterLines="0"/>
      <w:ind w:firstLineChars="0" w:firstLine="0"/>
    </w:pPr>
    <w:rPr>
      <w:rFonts w:ascii="黑体" w:eastAsia="黑体"/>
      <w:b w:val="0"/>
      <w:sz w:val="30"/>
      <w:szCs w:val="20"/>
    </w:rPr>
  </w:style>
  <w:style w:type="paragraph" w:customStyle="1" w:styleId="200101">
    <w:name w:val="样式 样式 标题 2 + 首行缩进： 0磅 + + 段前: 0.1 行 段后: 0.1 行"/>
    <w:basedOn w:val="a3"/>
    <w:unhideWhenUsed/>
    <w:qFormat/>
    <w:pPr>
      <w:keepNext/>
      <w:keepLines/>
      <w:tabs>
        <w:tab w:val="left" w:pos="8140"/>
      </w:tabs>
      <w:spacing w:beforeLines="10" w:afterLines="10" w:line="560" w:lineRule="exact"/>
      <w:jc w:val="left"/>
      <w:outlineLvl w:val="1"/>
    </w:pPr>
    <w:rPr>
      <w:rFonts w:eastAsia="黑体" w:cs="宋体" w:hint="eastAsia"/>
      <w:sz w:val="30"/>
      <w:szCs w:val="20"/>
    </w:rPr>
  </w:style>
  <w:style w:type="paragraph" w:customStyle="1" w:styleId="11111">
    <w:name w:val="11111"/>
    <w:basedOn w:val="312"/>
    <w:unhideWhenUsed/>
    <w:qFormat/>
    <w:pPr>
      <w:widowControl w:val="0"/>
      <w:spacing w:line="500" w:lineRule="exact"/>
      <w:ind w:firstLineChars="200" w:firstLine="200"/>
      <w:jc w:val="both"/>
    </w:pPr>
    <w:rPr>
      <w:rFonts w:ascii="宋体" w:hAnsi="宋体"/>
      <w:sz w:val="24"/>
    </w:rPr>
  </w:style>
  <w:style w:type="paragraph" w:customStyle="1" w:styleId="820">
    <w:name w:val="82"/>
    <w:basedOn w:val="a3"/>
    <w:unhideWhenUsed/>
    <w:qFormat/>
    <w:pPr>
      <w:ind w:firstLineChars="400" w:firstLine="400"/>
    </w:pPr>
    <w:rPr>
      <w:rFonts w:hint="eastAsia"/>
      <w:color w:val="000000"/>
      <w:szCs w:val="20"/>
    </w:rPr>
  </w:style>
  <w:style w:type="paragraph" w:customStyle="1" w:styleId="CharCharChar1Char2">
    <w:name w:val="Char Char Char1 Char2"/>
    <w:basedOn w:val="a3"/>
    <w:unhideWhenUsed/>
    <w:qFormat/>
    <w:rPr>
      <w:rFonts w:hint="eastAsia"/>
      <w:sz w:val="21"/>
      <w:szCs w:val="24"/>
    </w:rPr>
  </w:style>
  <w:style w:type="paragraph" w:customStyle="1" w:styleId="CharCharChar1Char3">
    <w:name w:val="Char Char Char1 Char3"/>
    <w:basedOn w:val="a3"/>
    <w:unhideWhenUsed/>
    <w:qFormat/>
    <w:rPr>
      <w:rFonts w:hint="eastAsia"/>
      <w:sz w:val="21"/>
      <w:szCs w:val="24"/>
    </w:rPr>
  </w:style>
  <w:style w:type="paragraph" w:customStyle="1" w:styleId="LT">
    <w:name w:val="LT"/>
    <w:basedOn w:val="a3"/>
    <w:unhideWhenUsed/>
    <w:qFormat/>
    <w:rPr>
      <w:rFonts w:hAnsi="宋体" w:hint="eastAsia"/>
      <w:szCs w:val="24"/>
    </w:rPr>
  </w:style>
  <w:style w:type="paragraph" w:customStyle="1" w:styleId="2CharCharCharCharCharCharCharCharCharCharCharChar1CharCharChar1Char">
    <w:name w:val="2 Char Char Char Char Char Char Char Char Char Char Char Char1 Char Char Char1 Char"/>
    <w:basedOn w:val="a3"/>
    <w:unhideWhenUsed/>
    <w:qFormat/>
    <w:rPr>
      <w:rFonts w:ascii="宋体" w:hAnsi="宋体" w:cs="宋体" w:hint="eastAsia"/>
      <w:szCs w:val="24"/>
    </w:rPr>
  </w:style>
  <w:style w:type="paragraph" w:customStyle="1" w:styleId="1ffff4">
    <w:name w:val="表头1"/>
    <w:basedOn w:val="a3"/>
    <w:next w:val="a3"/>
    <w:link w:val="1Char7"/>
    <w:unhideWhenUsed/>
    <w:qFormat/>
    <w:pPr>
      <w:tabs>
        <w:tab w:val="left" w:pos="605"/>
      </w:tabs>
      <w:adjustRightInd w:val="0"/>
      <w:snapToGrid w:val="0"/>
      <w:jc w:val="center"/>
    </w:pPr>
    <w:rPr>
      <w:rFonts w:eastAsia="黑体" w:hint="eastAsia"/>
      <w:sz w:val="21"/>
    </w:rPr>
  </w:style>
  <w:style w:type="paragraph" w:customStyle="1" w:styleId="CharCharCharCharCharCharCharChar1">
    <w:name w:val="Char Char Char Char Char Char Char Char1"/>
    <w:basedOn w:val="a3"/>
    <w:unhideWhenUsed/>
    <w:qFormat/>
    <w:rPr>
      <w:rFonts w:hint="eastAsia"/>
      <w:sz w:val="21"/>
      <w:szCs w:val="24"/>
    </w:rPr>
  </w:style>
  <w:style w:type="paragraph" w:customStyle="1" w:styleId="postcontentp">
    <w:name w:val="post_content_p"/>
    <w:basedOn w:val="a3"/>
    <w:unhideWhenUsed/>
    <w:qFormat/>
    <w:pPr>
      <w:widowControl/>
      <w:wordWrap w:val="0"/>
      <w:jc w:val="left"/>
    </w:pPr>
    <w:rPr>
      <w:rFonts w:ascii="宋体" w:hAnsi="宋体" w:cs="宋体" w:hint="eastAsia"/>
      <w:szCs w:val="24"/>
    </w:rPr>
  </w:style>
  <w:style w:type="paragraph" w:customStyle="1" w:styleId="Char1CharCharChar1">
    <w:name w:val="Char1 Char Char Char1"/>
    <w:basedOn w:val="a3"/>
    <w:unhideWhenUsed/>
    <w:qFormat/>
    <w:rPr>
      <w:rFonts w:ascii="Tahoma" w:hAnsi="Tahoma" w:hint="eastAsia"/>
      <w:szCs w:val="20"/>
    </w:rPr>
  </w:style>
  <w:style w:type="paragraph" w:customStyle="1" w:styleId="Bullet10">
    <w:name w:val="Bullet1"/>
    <w:basedOn w:val="a3"/>
    <w:unhideWhenUsed/>
    <w:qFormat/>
    <w:pPr>
      <w:tabs>
        <w:tab w:val="left" w:pos="284"/>
      </w:tabs>
      <w:overflowPunct w:val="0"/>
      <w:autoSpaceDE w:val="0"/>
      <w:autoSpaceDN w:val="0"/>
      <w:adjustRightInd w:val="0"/>
      <w:spacing w:line="240" w:lineRule="atLeast"/>
      <w:ind w:left="284" w:hanging="284"/>
      <w:textAlignment w:val="baseline"/>
    </w:pPr>
    <w:rPr>
      <w:rFonts w:ascii="?l?r –?’?" w:eastAsia="?l?r –?’?" w:hint="eastAsia"/>
      <w:sz w:val="22"/>
      <w:szCs w:val="20"/>
    </w:rPr>
  </w:style>
  <w:style w:type="paragraph" w:customStyle="1" w:styleId="TableHead">
    <w:name w:val="TableHead"/>
    <w:basedOn w:val="a3"/>
    <w:unhideWhenUsed/>
    <w:qFormat/>
    <w:pPr>
      <w:overflowPunct w:val="0"/>
      <w:autoSpaceDE w:val="0"/>
      <w:autoSpaceDN w:val="0"/>
      <w:adjustRightInd w:val="0"/>
      <w:spacing w:before="120" w:after="120" w:line="240" w:lineRule="atLeast"/>
      <w:jc w:val="center"/>
      <w:textAlignment w:val="baseline"/>
    </w:pPr>
    <w:rPr>
      <w:rFonts w:ascii="?l?r –?’?" w:eastAsia="?l?r –?’?" w:hint="eastAsia"/>
      <w:b/>
      <w:sz w:val="22"/>
      <w:szCs w:val="20"/>
    </w:rPr>
  </w:style>
  <w:style w:type="paragraph" w:customStyle="1" w:styleId="afffffffffffffffffffff6">
    <w:name w:val="报告条标题"/>
    <w:basedOn w:val="a3"/>
    <w:next w:val="affffffffff5"/>
    <w:unhideWhenUsed/>
    <w:qFormat/>
    <w:pPr>
      <w:spacing w:before="120" w:after="120" w:line="400" w:lineRule="exact"/>
    </w:pPr>
    <w:rPr>
      <w:rFonts w:ascii="黑体" w:eastAsia="黑体" w:hint="eastAsia"/>
      <w:szCs w:val="28"/>
    </w:rPr>
  </w:style>
  <w:style w:type="paragraph" w:customStyle="1" w:styleId="0013">
    <w:name w:val="001"/>
    <w:basedOn w:val="aff5"/>
    <w:unhideWhenUsed/>
    <w:qFormat/>
    <w:pPr>
      <w:tabs>
        <w:tab w:val="center" w:pos="4153"/>
        <w:tab w:val="right" w:pos="8306"/>
      </w:tabs>
      <w:spacing w:beforeLines="100" w:afterLines="100" w:line="240" w:lineRule="auto"/>
    </w:pPr>
    <w:rPr>
      <w:rFonts w:ascii="宋体" w:hAnsi="宋体" w:cs="Arial" w:hint="eastAsia"/>
      <w:b w:val="0"/>
      <w:kern w:val="28"/>
      <w:sz w:val="28"/>
    </w:rPr>
  </w:style>
  <w:style w:type="paragraph" w:customStyle="1" w:styleId="175">
    <w:name w:val="样式 (西文) 宋体 四号 加粗 行距: 多倍行距 1.75 字行"/>
    <w:basedOn w:val="a3"/>
    <w:unhideWhenUsed/>
    <w:qFormat/>
    <w:pPr>
      <w:spacing w:line="420" w:lineRule="auto"/>
      <w:ind w:firstLineChars="158" w:firstLine="444"/>
    </w:pPr>
    <w:rPr>
      <w:rFonts w:ascii="宋体" w:hAnsi="宋体" w:cs="宋体" w:hint="eastAsia"/>
      <w:b/>
      <w:sz w:val="28"/>
      <w:szCs w:val="20"/>
    </w:rPr>
  </w:style>
  <w:style w:type="paragraph" w:customStyle="1" w:styleId="440">
    <w:name w:val="样式 标题 44 + (符号) 宋体"/>
    <w:basedOn w:val="a3"/>
    <w:next w:val="a3"/>
    <w:unhideWhenUsed/>
    <w:qFormat/>
    <w:pPr>
      <w:tabs>
        <w:tab w:val="left" w:pos="2160"/>
      </w:tabs>
      <w:adjustRightInd w:val="0"/>
      <w:spacing w:before="100" w:beforeAutospacing="1"/>
      <w:ind w:left="2160" w:hanging="420"/>
      <w:jc w:val="left"/>
      <w:outlineLvl w:val="3"/>
    </w:pPr>
    <w:rPr>
      <w:rFonts w:hint="eastAsia"/>
      <w:b/>
      <w:sz w:val="28"/>
      <w:szCs w:val="24"/>
    </w:rPr>
  </w:style>
  <w:style w:type="paragraph" w:customStyle="1" w:styleId="430">
    <w:name w:val="样式 标题 4标题 3。。 + 两端对齐"/>
    <w:basedOn w:val="410"/>
    <w:unhideWhenUsed/>
    <w:qFormat/>
    <w:pPr>
      <w:tabs>
        <w:tab w:val="left" w:pos="0"/>
        <w:tab w:val="left" w:pos="2880"/>
      </w:tabs>
      <w:spacing w:beforeLines="0" w:beforeAutospacing="1" w:afterLines="0"/>
      <w:ind w:firstLineChars="0" w:firstLine="0"/>
      <w:jc w:val="left"/>
    </w:pPr>
    <w:rPr>
      <w:rFonts w:cs="宋体"/>
      <w:szCs w:val="20"/>
    </w:rPr>
  </w:style>
  <w:style w:type="paragraph" w:customStyle="1" w:styleId="L3">
    <w:name w:val="L标题3"/>
    <w:basedOn w:val="213"/>
    <w:next w:val="a3"/>
    <w:unhideWhenUsed/>
    <w:qFormat/>
    <w:pPr>
      <w:tabs>
        <w:tab w:val="left" w:pos="1322"/>
      </w:tabs>
      <w:adjustRightInd w:val="0"/>
      <w:snapToGrid w:val="0"/>
      <w:spacing w:beforeLines="30" w:afterLines="30"/>
      <w:ind w:firstLineChars="100" w:firstLine="272"/>
      <w:jc w:val="left"/>
      <w:outlineLvl w:val="2"/>
    </w:pPr>
    <w:rPr>
      <w:rFonts w:eastAsia="黑体"/>
      <w:sz w:val="30"/>
      <w:szCs w:val="30"/>
    </w:rPr>
  </w:style>
  <w:style w:type="paragraph" w:customStyle="1" w:styleId="0000">
    <w:name w:val="章标题000"/>
    <w:basedOn w:val="a3"/>
    <w:unhideWhenUsed/>
    <w:qFormat/>
    <w:rPr>
      <w:rFonts w:hint="eastAsia"/>
      <w:b/>
      <w:szCs w:val="24"/>
    </w:rPr>
  </w:style>
  <w:style w:type="paragraph" w:customStyle="1" w:styleId="5515">
    <w:name w:val="样式 宋体 小四 段前: 5 磅 段后: 5 磅 行距: 1.5 倍行距"/>
    <w:basedOn w:val="a3"/>
    <w:unhideWhenUsed/>
    <w:qFormat/>
    <w:pPr>
      <w:spacing w:before="100" w:after="100"/>
      <w:ind w:firstLine="480"/>
    </w:pPr>
    <w:rPr>
      <w:rFonts w:ascii="宋体" w:hAnsi="宋体" w:hint="eastAsia"/>
      <w:szCs w:val="20"/>
    </w:rPr>
  </w:style>
  <w:style w:type="paragraph" w:customStyle="1" w:styleId="322025025">
    <w:name w:val="样式 标题 3 + 左侧:  2 字符 右侧:  2 字符 段前: 0.25 行 段后: 0.25 行"/>
    <w:basedOn w:val="310"/>
    <w:next w:val="a3"/>
    <w:unhideWhenUsed/>
    <w:qFormat/>
    <w:pPr>
      <w:snapToGrid w:val="0"/>
      <w:spacing w:beforeLines="0" w:afterLines="0" w:line="240" w:lineRule="auto"/>
      <w:ind w:leftChars="200" w:left="480" w:rightChars="200" w:right="480" w:firstLineChars="0" w:firstLine="0"/>
      <w:jc w:val="left"/>
    </w:pPr>
    <w:rPr>
      <w:rFonts w:cs="宋体"/>
      <w:sz w:val="30"/>
      <w:szCs w:val="20"/>
    </w:rPr>
  </w:style>
  <w:style w:type="paragraph" w:customStyle="1" w:styleId="afffffffffffffffffffff7">
    <w:name w:val="非居中表格"/>
    <w:basedOn w:val="a3"/>
    <w:unhideWhenUsed/>
    <w:qFormat/>
    <w:pPr>
      <w:adjustRightInd w:val="0"/>
      <w:spacing w:before="60" w:after="60"/>
      <w:jc w:val="center"/>
      <w:textAlignment w:val="baseline"/>
    </w:pPr>
    <w:rPr>
      <w:rFonts w:ascii="宋体" w:hint="eastAsia"/>
      <w:szCs w:val="24"/>
    </w:rPr>
  </w:style>
  <w:style w:type="paragraph" w:customStyle="1" w:styleId="CharCharChar1CharCharCharCharCharCharCharCharCharCharCharCharCharCharCharCharChar">
    <w:name w:val="Char Char Char1 Char Char Char Char Char Char Char Char Char Char Char Char Char Char Char Char Char"/>
    <w:basedOn w:val="a3"/>
    <w:unhideWhenUsed/>
    <w:qFormat/>
    <w:rPr>
      <w:rFonts w:hint="eastAsia"/>
      <w:sz w:val="21"/>
      <w:szCs w:val="24"/>
    </w:rPr>
  </w:style>
  <w:style w:type="paragraph" w:customStyle="1" w:styleId="GB2312">
    <w:name w:val="样式 仿宋_GB2312 四号"/>
    <w:basedOn w:val="a3"/>
    <w:unhideWhenUsed/>
    <w:qFormat/>
    <w:pPr>
      <w:tabs>
        <w:tab w:val="left" w:pos="3780"/>
      </w:tabs>
      <w:adjustRightInd w:val="0"/>
      <w:spacing w:beforeLines="50" w:line="480" w:lineRule="exact"/>
      <w:ind w:firstLine="420"/>
      <w:textAlignment w:val="baseline"/>
    </w:pPr>
    <w:rPr>
      <w:rFonts w:ascii="宋体" w:hAnsi="宋体" w:hint="eastAsia"/>
      <w:sz w:val="21"/>
      <w:szCs w:val="20"/>
    </w:rPr>
  </w:style>
  <w:style w:type="paragraph" w:customStyle="1" w:styleId="12605">
    <w:name w:val="样式 样式 正文文本缩进 + 首行缩进:  1 字符 行距: 固定值 26 磅 + 段前: 0.5 行"/>
    <w:basedOn w:val="a3"/>
    <w:unhideWhenUsed/>
    <w:qFormat/>
    <w:pPr>
      <w:ind w:firstLine="561"/>
      <w:jc w:val="left"/>
    </w:pPr>
    <w:rPr>
      <w:rFonts w:hint="eastAsia"/>
      <w:szCs w:val="20"/>
    </w:rPr>
  </w:style>
  <w:style w:type="paragraph" w:customStyle="1" w:styleId="CharChar5CharCharCharCharCharCharChar">
    <w:name w:val="Char Char5 Char Char Char Char Char Char Char"/>
    <w:basedOn w:val="a3"/>
    <w:next w:val="a3"/>
    <w:unhideWhenUsed/>
    <w:qFormat/>
    <w:rPr>
      <w:rFonts w:ascii="宋体" w:hAnsi="宋体" w:cs="宋体" w:hint="eastAsia"/>
      <w:szCs w:val="24"/>
    </w:rPr>
  </w:style>
  <w:style w:type="paragraph" w:customStyle="1" w:styleId="103">
    <w:name w:val="样式10"/>
    <w:basedOn w:val="213"/>
    <w:unhideWhenUsed/>
    <w:qFormat/>
    <w:pPr>
      <w:tabs>
        <w:tab w:val="left" w:pos="1322"/>
      </w:tabs>
      <w:spacing w:beforeLines="0" w:afterLines="0"/>
      <w:ind w:firstLineChars="0" w:firstLine="0"/>
    </w:pPr>
    <w:rPr>
      <w:rFonts w:ascii="宋体" w:hAnsi="宋体"/>
      <w:sz w:val="28"/>
      <w:szCs w:val="28"/>
    </w:rPr>
  </w:style>
  <w:style w:type="paragraph" w:customStyle="1" w:styleId="5H">
    <w:name w:val="表头5H"/>
    <w:basedOn w:val="a3"/>
    <w:link w:val="5HChar"/>
    <w:unhideWhenUsed/>
    <w:qFormat/>
    <w:pPr>
      <w:spacing w:line="312" w:lineRule="auto"/>
      <w:jc w:val="center"/>
    </w:pPr>
    <w:rPr>
      <w:rFonts w:ascii="黑体" w:eastAsia="黑体" w:hint="eastAsia"/>
      <w:szCs w:val="24"/>
    </w:rPr>
  </w:style>
  <w:style w:type="paragraph" w:customStyle="1" w:styleId="afffffffffffffffffffff8">
    <w:name w:val="规划 表格内容"/>
    <w:basedOn w:val="PlainText1"/>
    <w:next w:val="af2"/>
    <w:link w:val="Charffffe"/>
    <w:unhideWhenUsed/>
    <w:qFormat/>
    <w:pPr>
      <w:autoSpaceDE w:val="0"/>
      <w:autoSpaceDN w:val="0"/>
      <w:snapToGrid w:val="0"/>
      <w:jc w:val="center"/>
    </w:pPr>
    <w:rPr>
      <w:rFonts w:ascii="Times New Roman" w:hAnsi="Times New Roman" w:cs="Times New Roman"/>
      <w:color w:val="000000"/>
      <w:sz w:val="18"/>
    </w:rPr>
  </w:style>
  <w:style w:type="paragraph" w:customStyle="1" w:styleId="afffffffffffffffffffff9">
    <w:name w:val="规划 正文"/>
    <w:basedOn w:val="a3"/>
    <w:link w:val="Charfffff"/>
    <w:unhideWhenUsed/>
    <w:qFormat/>
    <w:pPr>
      <w:autoSpaceDE w:val="0"/>
      <w:autoSpaceDN w:val="0"/>
      <w:adjustRightInd w:val="0"/>
      <w:snapToGrid w:val="0"/>
    </w:pPr>
    <w:rPr>
      <w:rFonts w:hint="eastAsia"/>
    </w:rPr>
  </w:style>
  <w:style w:type="paragraph" w:customStyle="1" w:styleId="p15">
    <w:name w:val="p15"/>
    <w:basedOn w:val="a3"/>
    <w:unhideWhenUsed/>
    <w:qFormat/>
    <w:pPr>
      <w:widowControl/>
      <w:snapToGrid w:val="0"/>
      <w:ind w:firstLine="420"/>
    </w:pPr>
    <w:rPr>
      <w:rFonts w:hint="eastAsia"/>
      <w:szCs w:val="24"/>
    </w:rPr>
  </w:style>
  <w:style w:type="paragraph" w:customStyle="1" w:styleId="RGB006724">
    <w:name w:val="样式 ?? 小四 自定义颜(RGB(0067)) 行距: 固定值 24 磅"/>
    <w:basedOn w:val="a3"/>
    <w:unhideWhenUsed/>
    <w:qFormat/>
    <w:pPr>
      <w:spacing w:line="480" w:lineRule="exact"/>
    </w:pPr>
    <w:rPr>
      <w:rFonts w:ascii="??" w:hAnsi="??" w:cs="宋体" w:hint="eastAsia"/>
      <w:color w:val="000043"/>
      <w:szCs w:val="20"/>
    </w:rPr>
  </w:style>
  <w:style w:type="paragraph" w:customStyle="1" w:styleId="2CharCharCharCharCharCharCharCharCharChar">
    <w:name w:val="2 Char Char Char Char Char Char Char Char Char Char"/>
    <w:basedOn w:val="a3"/>
    <w:unhideWhenUsed/>
    <w:qFormat/>
    <w:rPr>
      <w:rFonts w:ascii="宋体" w:hAnsi="宋体" w:cs="宋体" w:hint="eastAsia"/>
      <w:szCs w:val="24"/>
    </w:rPr>
  </w:style>
  <w:style w:type="paragraph" w:customStyle="1" w:styleId="1ffff5">
    <w:name w:val="陈正文1"/>
    <w:basedOn w:val="a3"/>
    <w:unhideWhenUsed/>
    <w:qFormat/>
    <w:pPr>
      <w:ind w:left="-108" w:firstLineChars="237" w:firstLine="664"/>
    </w:pPr>
    <w:rPr>
      <w:rFonts w:ascii="宋体" w:hint="eastAsia"/>
      <w:kern w:val="44"/>
      <w:sz w:val="28"/>
      <w:szCs w:val="20"/>
    </w:rPr>
  </w:style>
  <w:style w:type="paragraph" w:customStyle="1" w:styleId="2fff3">
    <w:name w:val="标题 2 加粗"/>
    <w:basedOn w:val="213"/>
    <w:unhideWhenUsed/>
    <w:qFormat/>
    <w:pPr>
      <w:tabs>
        <w:tab w:val="left" w:pos="1322"/>
      </w:tabs>
      <w:spacing w:beforeLines="0" w:afterLines="0" w:line="240" w:lineRule="auto"/>
      <w:ind w:firstLineChars="0" w:firstLine="0"/>
    </w:pPr>
    <w:rPr>
      <w:rFonts w:ascii="仿宋_GB2312" w:eastAsia="仿宋_GB2312" w:hAnsi="仿宋_GB2312" w:cs="宋体"/>
      <w:szCs w:val="20"/>
    </w:rPr>
  </w:style>
  <w:style w:type="paragraph" w:customStyle="1" w:styleId="2fff4">
    <w:name w:val="标题 2号非加粗"/>
    <w:basedOn w:val="213"/>
    <w:next w:val="a3"/>
    <w:unhideWhenUsed/>
    <w:qFormat/>
    <w:pPr>
      <w:tabs>
        <w:tab w:val="left" w:pos="1322"/>
      </w:tabs>
      <w:spacing w:beforeLines="0" w:afterLines="0" w:line="240" w:lineRule="auto"/>
      <w:ind w:firstLineChars="0" w:firstLine="0"/>
    </w:pPr>
    <w:rPr>
      <w:rFonts w:ascii="仿宋_GB2312" w:eastAsia="仿宋_GB2312" w:hAnsi="仿宋_GB2312" w:cs="宋体"/>
      <w:b w:val="0"/>
      <w:sz w:val="30"/>
      <w:szCs w:val="20"/>
    </w:rPr>
  </w:style>
  <w:style w:type="paragraph" w:customStyle="1" w:styleId="GB23120515502">
    <w:name w:val="样式 样式 样式 样式 仿宋_GB2312 四号 + 段后: 0.5 行 + 段前: 1.55 磅 段后: 0.2 行 + 段后..."/>
    <w:basedOn w:val="a3"/>
    <w:unhideWhenUsed/>
    <w:qFormat/>
    <w:pPr>
      <w:widowControl/>
      <w:jc w:val="left"/>
    </w:pPr>
    <w:rPr>
      <w:rFonts w:ascii="仿宋_GB2312" w:eastAsia="仿宋_GB2312" w:hAnsi="仿宋_GB2312" w:cs="宋体" w:hint="eastAsia"/>
      <w:sz w:val="28"/>
      <w:szCs w:val="20"/>
    </w:rPr>
  </w:style>
  <w:style w:type="paragraph" w:customStyle="1" w:styleId="zwb-0">
    <w:name w:val="zwb-报告正文"/>
    <w:basedOn w:val="a3"/>
    <w:unhideWhenUsed/>
    <w:qFormat/>
    <w:pPr>
      <w:ind w:firstLine="480"/>
    </w:pPr>
    <w:rPr>
      <w:rFonts w:hint="eastAsia"/>
      <w:szCs w:val="24"/>
    </w:rPr>
  </w:style>
  <w:style w:type="paragraph" w:customStyle="1" w:styleId="Char1CharCharCharCharCharCharCharCharCharCharChar1Char1">
    <w:name w:val="Char1 Char Char Char Char Char Char Char Char Char Char Char1 Char1"/>
    <w:basedOn w:val="a3"/>
    <w:unhideWhenUsed/>
    <w:qFormat/>
    <w:rPr>
      <w:rFonts w:hint="eastAsia"/>
      <w:sz w:val="21"/>
      <w:szCs w:val="24"/>
    </w:rPr>
  </w:style>
  <w:style w:type="paragraph" w:customStyle="1" w:styleId="afffffffffffffffffffffa">
    <w:name w:val="向喜琼图表名"/>
    <w:basedOn w:val="a3"/>
    <w:unhideWhenUsed/>
    <w:qFormat/>
    <w:pPr>
      <w:adjustRightInd w:val="0"/>
      <w:snapToGrid w:val="0"/>
      <w:spacing w:beforeLines="50" w:afterLines="50"/>
      <w:jc w:val="center"/>
    </w:pPr>
    <w:rPr>
      <w:rFonts w:ascii="Times" w:hAnsi="Times" w:hint="eastAsia"/>
      <w:b/>
      <w:sz w:val="21"/>
      <w:szCs w:val="24"/>
    </w:rPr>
  </w:style>
  <w:style w:type="paragraph" w:customStyle="1" w:styleId="afffffffffffffffffffffb">
    <w:name w:val="报告表头"/>
    <w:basedOn w:val="a3"/>
    <w:next w:val="a3"/>
    <w:unhideWhenUsed/>
    <w:qFormat/>
    <w:pPr>
      <w:widowControl/>
      <w:jc w:val="center"/>
    </w:pPr>
    <w:rPr>
      <w:rFonts w:eastAsia="黑体" w:hint="eastAsia"/>
      <w:b/>
      <w:sz w:val="18"/>
      <w:szCs w:val="20"/>
    </w:rPr>
  </w:style>
  <w:style w:type="paragraph" w:customStyle="1" w:styleId="afffffffffffffffffffffc">
    <w:name w:val="报告表中"/>
    <w:basedOn w:val="a3"/>
    <w:unhideWhenUsed/>
    <w:qFormat/>
    <w:pPr>
      <w:jc w:val="center"/>
    </w:pPr>
    <w:rPr>
      <w:rFonts w:hint="eastAsia"/>
      <w:sz w:val="18"/>
      <w:szCs w:val="20"/>
    </w:rPr>
  </w:style>
  <w:style w:type="paragraph" w:customStyle="1" w:styleId="Char1CharCharCharCharCharCharCharCharCharCharCharChar">
    <w:name w:val="Char1 Char Char Char Char Char Char Char Char Char Char Char Char"/>
    <w:basedOn w:val="ae"/>
    <w:unhideWhenUsed/>
    <w:qFormat/>
    <w:pPr>
      <w:adjustRightInd w:val="0"/>
      <w:spacing w:line="436" w:lineRule="exact"/>
      <w:ind w:left="357"/>
      <w:jc w:val="left"/>
      <w:outlineLvl w:val="3"/>
    </w:pPr>
    <w:rPr>
      <w:rFonts w:ascii="Tahoma" w:hAnsi="Tahoma"/>
      <w:b/>
      <w:kern w:val="28"/>
      <w:sz w:val="24"/>
      <w:szCs w:val="28"/>
    </w:rPr>
  </w:style>
  <w:style w:type="paragraph" w:customStyle="1" w:styleId="afffffffffffffffffffffd">
    <w:name w:val="段落样式"/>
    <w:basedOn w:val="a3"/>
    <w:link w:val="Charfffff0"/>
    <w:unhideWhenUsed/>
    <w:qFormat/>
    <w:pPr>
      <w:keepNext/>
      <w:suppressLineNumbers/>
      <w:suppressAutoHyphens/>
      <w:topLinePunct/>
      <w:adjustRightInd w:val="0"/>
      <w:snapToGrid w:val="0"/>
      <w:spacing w:line="300" w:lineRule="auto"/>
      <w:ind w:firstLine="482"/>
      <w:textAlignment w:val="baseline"/>
    </w:pPr>
    <w:rPr>
      <w:rFonts w:hint="eastAsia"/>
      <w:w w:val="80"/>
      <w:sz w:val="28"/>
      <w:szCs w:val="20"/>
    </w:rPr>
  </w:style>
  <w:style w:type="paragraph" w:customStyle="1" w:styleId="00210">
    <w:name w:val="样式 样式 小四 加粗 段前: 0 磅 段后: 0 磅 行距: 固定值 21 磅 + 两端对齐"/>
    <w:basedOn w:val="0021"/>
    <w:unhideWhenUsed/>
    <w:qFormat/>
    <w:pPr>
      <w:ind w:firstLine="200"/>
    </w:pPr>
    <w:rPr>
      <w:rFonts w:ascii="Times New Roman" w:hAnsi="Times New Roman"/>
      <w:sz w:val="24"/>
    </w:rPr>
  </w:style>
  <w:style w:type="paragraph" w:customStyle="1" w:styleId="afffffffffffffffffffffe">
    <w:name w:val="图表"/>
    <w:basedOn w:val="a3"/>
    <w:unhideWhenUsed/>
    <w:qFormat/>
    <w:pPr>
      <w:widowControl/>
      <w:adjustRightInd w:val="0"/>
      <w:jc w:val="center"/>
      <w:textAlignment w:val="baseline"/>
    </w:pPr>
    <w:rPr>
      <w:rFonts w:hint="eastAsia"/>
      <w:szCs w:val="20"/>
    </w:rPr>
  </w:style>
  <w:style w:type="paragraph" w:customStyle="1" w:styleId="22a">
    <w:name w:val="样式 正文2 + 首行缩进:  2 字符"/>
    <w:basedOn w:val="a3"/>
    <w:unhideWhenUsed/>
    <w:qFormat/>
    <w:pPr>
      <w:widowControl/>
      <w:adjustRightInd w:val="0"/>
      <w:snapToGrid w:val="0"/>
      <w:ind w:rightChars="18" w:right="50"/>
      <w:jc w:val="left"/>
      <w:textAlignment w:val="baseline"/>
    </w:pPr>
    <w:rPr>
      <w:rFonts w:cs="宋体" w:hint="eastAsia"/>
      <w:sz w:val="28"/>
      <w:szCs w:val="20"/>
    </w:rPr>
  </w:style>
  <w:style w:type="paragraph" w:customStyle="1" w:styleId="211h2l22ndlevelTitre22Header2H2051">
    <w:name w:val="样式 标题 2节标题 1.1h2l22nd levelTitre22Header 2H2 + 段前: 0.5 行...1"/>
    <w:basedOn w:val="213"/>
    <w:unhideWhenUsed/>
    <w:qFormat/>
    <w:pPr>
      <w:tabs>
        <w:tab w:val="left" w:pos="480"/>
        <w:tab w:val="left" w:pos="1322"/>
        <w:tab w:val="left" w:pos="1680"/>
        <w:tab w:val="left" w:pos="3960"/>
        <w:tab w:val="left" w:pos="5400"/>
        <w:tab w:val="left" w:pos="6840"/>
      </w:tabs>
      <w:adjustRightInd w:val="0"/>
      <w:spacing w:before="120" w:after="120"/>
      <w:ind w:rightChars="200" w:right="200" w:firstLineChars="0" w:firstLine="0"/>
      <w:textAlignment w:val="baseline"/>
    </w:pPr>
    <w:rPr>
      <w:rFonts w:ascii="宋体" w:hAnsi="Arial"/>
      <w:sz w:val="30"/>
      <w:szCs w:val="20"/>
    </w:rPr>
  </w:style>
  <w:style w:type="paragraph" w:customStyle="1" w:styleId="0001">
    <w:name w:val="样式 宋体 加粗 居中 首行缩进:  0 厘米 段前: 0 磅 段后: 0 磅 行距: 单倍行距"/>
    <w:basedOn w:val="a3"/>
    <w:unhideWhenUsed/>
    <w:qFormat/>
    <w:pPr>
      <w:widowControl/>
      <w:adjustRightInd w:val="0"/>
      <w:jc w:val="center"/>
      <w:textAlignment w:val="baseline"/>
    </w:pPr>
    <w:rPr>
      <w:rFonts w:ascii="宋体" w:hAnsi="宋体" w:cs="宋体" w:hint="eastAsia"/>
      <w:b/>
      <w:sz w:val="28"/>
      <w:szCs w:val="20"/>
    </w:rPr>
  </w:style>
  <w:style w:type="paragraph" w:customStyle="1" w:styleId="xl100">
    <w:name w:val="xl100"/>
    <w:basedOn w:val="a3"/>
    <w:unhideWhenUsed/>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宋体" w:hAnsi="宋体" w:cs="宋体" w:hint="eastAsia"/>
      <w:szCs w:val="24"/>
    </w:rPr>
  </w:style>
  <w:style w:type="paragraph" w:customStyle="1" w:styleId="xl101">
    <w:name w:val="xl101"/>
    <w:basedOn w:val="a3"/>
    <w:unhideWhenUsed/>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rFonts w:ascii="宋体" w:hAnsi="宋体" w:cs="宋体" w:hint="eastAsia"/>
      <w:szCs w:val="24"/>
    </w:rPr>
  </w:style>
  <w:style w:type="paragraph" w:customStyle="1" w:styleId="xl102">
    <w:name w:val="xl10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103">
    <w:name w:val="xl103"/>
    <w:basedOn w:val="a3"/>
    <w:unhideWhenUsed/>
    <w:qFormat/>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宋体" w:hAnsi="宋体" w:cs="宋体" w:hint="eastAsia"/>
      <w:szCs w:val="24"/>
    </w:rPr>
  </w:style>
  <w:style w:type="paragraph" w:customStyle="1" w:styleId="xl104">
    <w:name w:val="xl104"/>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b/>
      <w:szCs w:val="24"/>
    </w:rPr>
  </w:style>
  <w:style w:type="paragraph" w:customStyle="1" w:styleId="tx">
    <w:name w:val="正文.tx"/>
    <w:basedOn w:val="a3"/>
    <w:link w:val="txChar"/>
    <w:unhideWhenUsed/>
    <w:qFormat/>
    <w:pPr>
      <w:topLinePunct/>
      <w:spacing w:beforeLines="50" w:afterLines="50" w:line="520" w:lineRule="exact"/>
    </w:pPr>
    <w:rPr>
      <w:rFonts w:hint="eastAsia"/>
      <w:sz w:val="28"/>
      <w:szCs w:val="28"/>
    </w:rPr>
  </w:style>
  <w:style w:type="paragraph" w:customStyle="1" w:styleId="bg">
    <w:name w:val="bg正文"/>
    <w:basedOn w:val="a3"/>
    <w:unhideWhenUsed/>
    <w:qFormat/>
    <w:rPr>
      <w:rFonts w:ascii="宋体" w:hAnsi="宋体" w:hint="eastAsia"/>
      <w:szCs w:val="20"/>
    </w:rPr>
  </w:style>
  <w:style w:type="paragraph" w:customStyle="1" w:styleId="127">
    <w:name w:val="样式12"/>
    <w:basedOn w:val="1fd"/>
    <w:link w:val="12Char0"/>
    <w:unhideWhenUsed/>
    <w:qFormat/>
    <w:pPr>
      <w:pBdr>
        <w:bottom w:val="none" w:sz="0" w:space="0" w:color="auto"/>
      </w:pBdr>
    </w:pPr>
  </w:style>
  <w:style w:type="paragraph" w:customStyle="1" w:styleId="2CharCharCharCharCharCharCharCharCharCharCharCharCharCharCharChar">
    <w:name w:val="2 Char Char Char Char Char Char Char Char Char Char Char Char Char Char Char Char"/>
    <w:basedOn w:val="a3"/>
    <w:unhideWhenUsed/>
    <w:qFormat/>
    <w:rPr>
      <w:rFonts w:ascii="宋体" w:hAnsi="宋体" w:cs="宋体" w:hint="eastAsia"/>
      <w:szCs w:val="24"/>
    </w:rPr>
  </w:style>
  <w:style w:type="paragraph" w:customStyle="1" w:styleId="4f7">
    <w:name w:val="样式 标题 4 +"/>
    <w:basedOn w:val="410"/>
    <w:link w:val="4Char5"/>
    <w:unhideWhenUsed/>
    <w:qFormat/>
    <w:pPr>
      <w:tabs>
        <w:tab w:val="left" w:pos="2880"/>
      </w:tabs>
      <w:snapToGrid w:val="0"/>
      <w:spacing w:beforeLines="0" w:afterLines="0"/>
      <w:ind w:firstLineChars="0" w:firstLine="0"/>
    </w:pPr>
    <w:rPr>
      <w:rFonts w:ascii="宋体" w:hAnsi="宋体"/>
      <w:b w:val="0"/>
      <w:color w:val="000000"/>
    </w:rPr>
  </w:style>
  <w:style w:type="paragraph" w:customStyle="1" w:styleId="316">
    <w:name w:val="样式 标题 3一、样式 + 小四 黑色1"/>
    <w:basedOn w:val="310"/>
    <w:link w:val="31Char"/>
    <w:unhideWhenUsed/>
    <w:qFormat/>
    <w:pPr>
      <w:adjustRightInd w:val="0"/>
      <w:snapToGrid w:val="0"/>
      <w:spacing w:beforeLines="0" w:afterLines="0"/>
      <w:ind w:firstLineChars="0" w:firstLine="0"/>
    </w:pPr>
    <w:rPr>
      <w:b w:val="0"/>
      <w:color w:val="000000"/>
      <w:sz w:val="24"/>
      <w:szCs w:val="24"/>
    </w:rPr>
  </w:style>
  <w:style w:type="paragraph" w:customStyle="1" w:styleId="3fe">
    <w:name w:val="样式 标题 3一、样式 +"/>
    <w:basedOn w:val="310"/>
    <w:link w:val="3Char5"/>
    <w:unhideWhenUsed/>
    <w:qFormat/>
    <w:pPr>
      <w:adjustRightInd w:val="0"/>
      <w:snapToGrid w:val="0"/>
      <w:spacing w:beforeLines="0" w:afterLines="0"/>
      <w:ind w:firstLineChars="0" w:firstLine="0"/>
    </w:pPr>
    <w:rPr>
      <w:sz w:val="24"/>
      <w:szCs w:val="24"/>
    </w:rPr>
  </w:style>
  <w:style w:type="paragraph" w:customStyle="1" w:styleId="4110">
    <w:name w:val="标题411"/>
    <w:basedOn w:val="a3"/>
    <w:unhideWhenUsed/>
    <w:qFormat/>
    <w:rPr>
      <w:rFonts w:hint="eastAsia"/>
      <w:szCs w:val="24"/>
    </w:rPr>
  </w:style>
  <w:style w:type="paragraph" w:customStyle="1" w:styleId="4Char6">
    <w:name w:val="4 Char"/>
    <w:basedOn w:val="a3"/>
    <w:unhideWhenUsed/>
    <w:qFormat/>
    <w:rPr>
      <w:rFonts w:hint="eastAsia"/>
      <w:sz w:val="28"/>
      <w:szCs w:val="20"/>
    </w:rPr>
  </w:style>
  <w:style w:type="paragraph" w:customStyle="1" w:styleId="reader-word-layerreader-word-s39-2">
    <w:name w:val="reader-word-layer reader-word-s39-2"/>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40-3">
    <w:name w:val="reader-word-layer reader-word-s40-3"/>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40-1">
    <w:name w:val="reader-word-layer reader-word-s40-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1522">
    <w:name w:val="样式 样式 正文缩进 + 行距: 1.5 倍行距 + 首行缩进:  2 字符"/>
    <w:basedOn w:val="a3"/>
    <w:unhideWhenUsed/>
    <w:qFormat/>
    <w:pPr>
      <w:widowControl/>
      <w:adjustRightInd w:val="0"/>
      <w:snapToGrid w:val="0"/>
    </w:pPr>
    <w:rPr>
      <w:rFonts w:hint="eastAsia"/>
      <w:sz w:val="28"/>
      <w:szCs w:val="20"/>
    </w:rPr>
  </w:style>
  <w:style w:type="paragraph" w:customStyle="1" w:styleId="2051">
    <w:name w:val="样式 标题2 + 段前: 0.5 行"/>
    <w:basedOn w:val="213"/>
    <w:unhideWhenUsed/>
    <w:qFormat/>
    <w:pPr>
      <w:tabs>
        <w:tab w:val="left" w:pos="1322"/>
      </w:tabs>
      <w:adjustRightInd w:val="0"/>
      <w:snapToGrid w:val="0"/>
      <w:spacing w:beforeLines="100" w:afterLines="0"/>
      <w:ind w:firstLineChars="0" w:firstLine="0"/>
      <w:jc w:val="left"/>
    </w:pPr>
    <w:rPr>
      <w:rFonts w:eastAsia="黑体" w:cs="宋体"/>
      <w:szCs w:val="20"/>
      <w:lang w:val="zh-CN"/>
    </w:rPr>
  </w:style>
  <w:style w:type="paragraph" w:customStyle="1" w:styleId="400">
    <w:name w:val="标题40"/>
    <w:basedOn w:val="1e"/>
    <w:link w:val="40Char"/>
    <w:unhideWhenUsed/>
    <w:qFormat/>
    <w:pPr>
      <w:tabs>
        <w:tab w:val="clear" w:pos="360"/>
      </w:tabs>
      <w:spacing w:line="360" w:lineRule="auto"/>
      <w:ind w:left="0" w:right="0" w:firstLine="0"/>
    </w:pPr>
    <w:rPr>
      <w:rFonts w:ascii="Times New Roman" w:eastAsia="宋体"/>
      <w:sz w:val="28"/>
      <w:szCs w:val="24"/>
    </w:rPr>
  </w:style>
  <w:style w:type="paragraph" w:customStyle="1" w:styleId="p17">
    <w:name w:val="p17"/>
    <w:basedOn w:val="a3"/>
    <w:unhideWhenUsed/>
    <w:qFormat/>
    <w:pPr>
      <w:widowControl/>
    </w:pPr>
    <w:rPr>
      <w:rFonts w:ascii="宋体" w:hAnsi="宋体" w:cs="宋体" w:hint="eastAsia"/>
      <w:sz w:val="21"/>
    </w:rPr>
  </w:style>
  <w:style w:type="paragraph" w:customStyle="1" w:styleId="p16">
    <w:name w:val="p16"/>
    <w:basedOn w:val="a3"/>
    <w:unhideWhenUsed/>
    <w:qFormat/>
    <w:pPr>
      <w:widowControl/>
      <w:spacing w:after="120"/>
      <w:ind w:left="420" w:firstLine="420"/>
      <w:jc w:val="left"/>
    </w:pPr>
    <w:rPr>
      <w:rFonts w:ascii="宋体" w:hAnsi="宋体" w:cs="宋体" w:hint="eastAsia"/>
      <w:sz w:val="20"/>
      <w:szCs w:val="20"/>
    </w:rPr>
  </w:style>
  <w:style w:type="paragraph" w:customStyle="1" w:styleId="2fff5">
    <w:name w:val="页脚2"/>
    <w:basedOn w:val="a3"/>
    <w:unhideWhenUsed/>
    <w:qFormat/>
    <w:pPr>
      <w:widowControl/>
      <w:tabs>
        <w:tab w:val="center" w:pos="4153"/>
        <w:tab w:val="right" w:pos="8306"/>
      </w:tabs>
      <w:snapToGrid w:val="0"/>
      <w:ind w:firstLine="602"/>
      <w:jc w:val="left"/>
    </w:pPr>
    <w:rPr>
      <w:rFonts w:hint="eastAsia"/>
      <w:sz w:val="18"/>
      <w:szCs w:val="20"/>
    </w:rPr>
  </w:style>
  <w:style w:type="paragraph" w:customStyle="1" w:styleId="acee">
    <w:name w:val="acee正文"/>
    <w:basedOn w:val="a3"/>
    <w:link w:val="aceeChar1"/>
    <w:unhideWhenUsed/>
    <w:qFormat/>
    <w:pPr>
      <w:tabs>
        <w:tab w:val="left" w:pos="4500"/>
      </w:tabs>
      <w:adjustRightInd w:val="0"/>
      <w:snapToGrid w:val="0"/>
      <w:spacing w:line="480" w:lineRule="exact"/>
    </w:pPr>
    <w:rPr>
      <w:rFonts w:ascii="宋体" w:hAnsi="宋体" w:hint="eastAsia"/>
      <w:sz w:val="32"/>
      <w:szCs w:val="20"/>
    </w:rPr>
  </w:style>
  <w:style w:type="paragraph" w:customStyle="1" w:styleId="acee01">
    <w:name w:val="acee01"/>
    <w:basedOn w:val="a3"/>
    <w:unhideWhenUsed/>
    <w:qFormat/>
    <w:pPr>
      <w:adjustRightInd w:val="0"/>
      <w:snapToGrid w:val="0"/>
      <w:spacing w:line="480" w:lineRule="exact"/>
      <w:ind w:firstLine="560"/>
      <w:outlineLvl w:val="0"/>
    </w:pPr>
    <w:rPr>
      <w:rFonts w:ascii="宋体" w:hAnsi="宋体" w:hint="eastAsia"/>
      <w:color w:val="000000"/>
      <w:sz w:val="28"/>
      <w:szCs w:val="28"/>
    </w:rPr>
  </w:style>
  <w:style w:type="paragraph" w:customStyle="1" w:styleId="2W201">
    <w:name w:val="样式 标题 2W2 + 加粗 左侧:  0 厘米"/>
    <w:basedOn w:val="213"/>
    <w:unhideWhenUsed/>
    <w:qFormat/>
    <w:pPr>
      <w:tabs>
        <w:tab w:val="left" w:pos="1322"/>
      </w:tabs>
      <w:spacing w:beforeLines="0" w:afterLines="0" w:line="440" w:lineRule="exact"/>
      <w:ind w:firstLineChars="0" w:firstLine="0"/>
    </w:pPr>
    <w:rPr>
      <w:rFonts w:eastAsia="黑体" w:cs="宋体"/>
      <w:kern w:val="28"/>
      <w:szCs w:val="20"/>
    </w:rPr>
  </w:style>
  <w:style w:type="paragraph" w:customStyle="1" w:styleId="Style60">
    <w:name w:val="_Style 6"/>
    <w:basedOn w:val="a3"/>
    <w:next w:val="a3"/>
    <w:unhideWhenUsed/>
    <w:qFormat/>
    <w:rPr>
      <w:rFonts w:hint="eastAsia"/>
      <w:sz w:val="21"/>
      <w:szCs w:val="24"/>
    </w:rPr>
  </w:style>
  <w:style w:type="paragraph" w:customStyle="1" w:styleId="a-0">
    <w:name w:val="a-表内"/>
    <w:link w:val="a-Char0"/>
    <w:unhideWhenUsed/>
    <w:qFormat/>
    <w:pPr>
      <w:adjustRightInd w:val="0"/>
      <w:snapToGrid w:val="0"/>
      <w:jc w:val="center"/>
    </w:pPr>
    <w:rPr>
      <w:rFonts w:hint="eastAsia"/>
      <w:color w:val="000000"/>
      <w:sz w:val="21"/>
      <w:szCs w:val="21"/>
    </w:rPr>
  </w:style>
  <w:style w:type="paragraph" w:customStyle="1" w:styleId="4f8">
    <w:name w:val="周4"/>
    <w:basedOn w:val="12"/>
    <w:next w:val="a3"/>
    <w:unhideWhenUsed/>
    <w:qFormat/>
    <w:pPr>
      <w:widowControl w:val="0"/>
      <w:spacing w:before="120"/>
    </w:pPr>
    <w:rPr>
      <w:rFonts w:ascii="宋体" w:hAnsi="宋体"/>
      <w:sz w:val="28"/>
      <w:szCs w:val="20"/>
    </w:rPr>
  </w:style>
  <w:style w:type="paragraph" w:customStyle="1" w:styleId="reader-word-layerreader-word-s3-7">
    <w:name w:val="reader-word-layer reader-word-s3-7"/>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
    <w:name w:val="我的正文"/>
    <w:link w:val="Charfffff1"/>
    <w:unhideWhenUsed/>
    <w:qFormat/>
    <w:pPr>
      <w:adjustRightInd w:val="0"/>
      <w:snapToGrid w:val="0"/>
      <w:spacing w:line="360" w:lineRule="auto"/>
      <w:ind w:firstLineChars="200" w:firstLine="200"/>
    </w:pPr>
    <w:rPr>
      <w:rFonts w:hint="eastAsia"/>
      <w:color w:val="000000"/>
      <w:kern w:val="2"/>
      <w:sz w:val="24"/>
    </w:rPr>
  </w:style>
  <w:style w:type="paragraph" w:customStyle="1" w:styleId="reader-word-layerreader-word-s3-9">
    <w:name w:val="reader-word-layer reader-word-s3-9"/>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3-9reader-word-s3-11">
    <w:name w:val="reader-word-layer reader-word-s3-9 reader-word-s3-1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3-7reader-word-s3-11">
    <w:name w:val="reader-word-layer reader-word-s3-7 reader-word-s3-1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0">
    <w:name w:val="设计正文"/>
    <w:basedOn w:val="1b"/>
    <w:link w:val="Charfffff2"/>
    <w:unhideWhenUsed/>
    <w:qFormat/>
    <w:pPr>
      <w:ind w:firstLine="464"/>
    </w:pPr>
    <w:rPr>
      <w:color w:val="000000"/>
      <w:spacing w:val="-4"/>
      <w:sz w:val="24"/>
      <w:szCs w:val="24"/>
    </w:rPr>
  </w:style>
  <w:style w:type="paragraph" w:customStyle="1" w:styleId="affffffffffffffffffffff1">
    <w:name w:val="表名图名"/>
    <w:basedOn w:val="a3"/>
    <w:unhideWhenUsed/>
    <w:qFormat/>
    <w:pPr>
      <w:keepNext/>
      <w:adjustRightInd w:val="0"/>
      <w:spacing w:line="240" w:lineRule="exact"/>
      <w:jc w:val="center"/>
      <w:textAlignment w:val="baseline"/>
    </w:pPr>
    <w:rPr>
      <w:rFonts w:ascii="宋体" w:hAnsi="Times" w:hint="eastAsia"/>
      <w:b/>
      <w:sz w:val="20"/>
    </w:rPr>
  </w:style>
  <w:style w:type="paragraph" w:customStyle="1" w:styleId="2fff6">
    <w:name w:val="院2级"/>
    <w:basedOn w:val="a3"/>
    <w:next w:val="a3"/>
    <w:unhideWhenUsed/>
    <w:qFormat/>
    <w:pPr>
      <w:tabs>
        <w:tab w:val="left" w:pos="576"/>
        <w:tab w:val="left" w:pos="960"/>
      </w:tabs>
      <w:adjustRightInd w:val="0"/>
      <w:snapToGrid w:val="0"/>
      <w:ind w:left="960" w:hanging="480"/>
    </w:pPr>
    <w:rPr>
      <w:rFonts w:ascii="宋体" w:hAnsi="宋体" w:cs="宋体" w:hint="eastAsia"/>
      <w:szCs w:val="24"/>
      <w:u w:color="FFFFFF"/>
    </w:rPr>
  </w:style>
  <w:style w:type="paragraph" w:customStyle="1" w:styleId="affffffffffffffffffffff2">
    <w:name w:val="我的表格"/>
    <w:unhideWhenUsed/>
    <w:qFormat/>
    <w:pPr>
      <w:autoSpaceDE w:val="0"/>
      <w:autoSpaceDN w:val="0"/>
      <w:adjustRightInd w:val="0"/>
      <w:snapToGrid w:val="0"/>
      <w:jc w:val="center"/>
    </w:pPr>
    <w:rPr>
      <w:rFonts w:hint="eastAsia"/>
      <w:sz w:val="21"/>
      <w:szCs w:val="21"/>
    </w:rPr>
  </w:style>
  <w:style w:type="paragraph" w:customStyle="1" w:styleId="a-1">
    <w:name w:val="a-图件"/>
    <w:link w:val="a-Char1"/>
    <w:unhideWhenUsed/>
    <w:qFormat/>
    <w:pPr>
      <w:adjustRightInd w:val="0"/>
      <w:snapToGrid w:val="0"/>
      <w:spacing w:line="360" w:lineRule="auto"/>
      <w:jc w:val="center"/>
    </w:pPr>
    <w:rPr>
      <w:rFonts w:hint="eastAsia"/>
      <w:b/>
      <w:color w:val="000000"/>
      <w:kern w:val="2"/>
      <w:sz w:val="24"/>
      <w:szCs w:val="21"/>
    </w:rPr>
  </w:style>
  <w:style w:type="paragraph" w:customStyle="1" w:styleId="a-2">
    <w:name w:val="a-文本缩2"/>
    <w:unhideWhenUsed/>
    <w:qFormat/>
    <w:pPr>
      <w:adjustRightInd w:val="0"/>
      <w:snapToGrid w:val="0"/>
      <w:spacing w:line="360" w:lineRule="auto"/>
      <w:ind w:firstLineChars="200" w:firstLine="200"/>
      <w:jc w:val="both"/>
    </w:pPr>
    <w:rPr>
      <w:rFonts w:hint="eastAsia"/>
      <w:color w:val="000000"/>
      <w:kern w:val="2"/>
      <w:sz w:val="24"/>
      <w:szCs w:val="21"/>
    </w:rPr>
  </w:style>
  <w:style w:type="paragraph" w:customStyle="1" w:styleId="a-3">
    <w:name w:val="a-表名"/>
    <w:link w:val="a-Char2"/>
    <w:unhideWhenUsed/>
    <w:qFormat/>
    <w:pPr>
      <w:adjustRightInd w:val="0"/>
      <w:snapToGrid w:val="0"/>
      <w:spacing w:line="360" w:lineRule="auto"/>
      <w:jc w:val="center"/>
    </w:pPr>
    <w:rPr>
      <w:rFonts w:eastAsia="仿宋" w:hint="eastAsia"/>
      <w:b/>
      <w:color w:val="000000"/>
      <w:kern w:val="2"/>
      <w:sz w:val="24"/>
      <w:szCs w:val="21"/>
    </w:rPr>
  </w:style>
  <w:style w:type="paragraph" w:customStyle="1" w:styleId="1-0">
    <w:name w:val="1-表内"/>
    <w:basedOn w:val="1b"/>
    <w:unhideWhenUsed/>
    <w:qFormat/>
    <w:pPr>
      <w:adjustRightInd w:val="0"/>
      <w:snapToGrid w:val="0"/>
      <w:ind w:firstLineChars="0" w:firstLine="0"/>
      <w:jc w:val="center"/>
    </w:pPr>
    <w:rPr>
      <w:color w:val="000000"/>
      <w:szCs w:val="21"/>
    </w:rPr>
  </w:style>
  <w:style w:type="paragraph" w:customStyle="1" w:styleId="a-4">
    <w:name w:val="a-图名"/>
    <w:link w:val="a-CharChar"/>
    <w:unhideWhenUsed/>
    <w:qFormat/>
    <w:pPr>
      <w:adjustRightInd w:val="0"/>
      <w:snapToGrid w:val="0"/>
      <w:spacing w:line="480" w:lineRule="auto"/>
      <w:jc w:val="center"/>
    </w:pPr>
    <w:rPr>
      <w:rFonts w:eastAsia="仿宋_GB2312" w:hint="eastAsia"/>
      <w:b/>
      <w:color w:val="000000"/>
      <w:kern w:val="2"/>
      <w:sz w:val="24"/>
      <w:szCs w:val="21"/>
    </w:rPr>
  </w:style>
  <w:style w:type="paragraph" w:customStyle="1" w:styleId="CharChar2CharCharCharCharCharCharCharCharCharCharCharCharCharCharCharChar1">
    <w:name w:val="Char Char2 Char Char Char Char Char Char Char Char Char Char Char Char Char Char Char Char1"/>
    <w:basedOn w:val="a3"/>
    <w:unhideWhenUsed/>
    <w:qFormat/>
    <w:rPr>
      <w:rFonts w:hint="eastAsia"/>
      <w:sz w:val="21"/>
      <w:szCs w:val="24"/>
    </w:rPr>
  </w:style>
  <w:style w:type="paragraph" w:customStyle="1" w:styleId="4CharCharChar">
    <w:name w:val="标题4   改 Char Char Char"/>
    <w:basedOn w:val="a3"/>
    <w:unhideWhenUsed/>
    <w:qFormat/>
    <w:pPr>
      <w:snapToGrid w:val="0"/>
      <w:spacing w:line="240" w:lineRule="atLeast"/>
      <w:jc w:val="center"/>
    </w:pPr>
    <w:rPr>
      <w:rFonts w:hint="eastAsia"/>
      <w:color w:val="000000"/>
      <w:sz w:val="21"/>
    </w:rPr>
  </w:style>
  <w:style w:type="paragraph" w:customStyle="1" w:styleId="3333">
    <w:name w:val="3333"/>
    <w:basedOn w:val="a3"/>
    <w:unhideWhenUsed/>
    <w:qFormat/>
    <w:pPr>
      <w:widowControl/>
      <w:tabs>
        <w:tab w:val="right" w:pos="10773"/>
      </w:tabs>
      <w:autoSpaceDE w:val="0"/>
      <w:autoSpaceDN w:val="0"/>
      <w:adjustRightInd w:val="0"/>
      <w:snapToGrid w:val="0"/>
      <w:spacing w:line="440" w:lineRule="atLeast"/>
      <w:textAlignment w:val="bottom"/>
      <w:outlineLvl w:val="2"/>
    </w:pPr>
    <w:rPr>
      <w:rFonts w:ascii="宋体" w:hAnsi="Calibri" w:hint="eastAsia"/>
      <w:szCs w:val="22"/>
    </w:rPr>
  </w:style>
  <w:style w:type="paragraph" w:customStyle="1" w:styleId="affffffffffffffffffffff3">
    <w:name w:val="表标题"/>
    <w:basedOn w:val="28"/>
    <w:unhideWhenUsed/>
    <w:qFormat/>
    <w:pPr>
      <w:tabs>
        <w:tab w:val="left" w:pos="0"/>
        <w:tab w:val="left" w:pos="870"/>
        <w:tab w:val="left" w:pos="3150"/>
      </w:tabs>
      <w:autoSpaceDE w:val="0"/>
      <w:autoSpaceDN w:val="0"/>
      <w:adjustRightInd w:val="0"/>
      <w:spacing w:after="0"/>
      <w:ind w:leftChars="0" w:left="0" w:firstLineChars="0" w:firstLine="0"/>
      <w:jc w:val="center"/>
      <w:textAlignment w:val="baseline"/>
    </w:pPr>
    <w:rPr>
      <w:rFonts w:eastAsia="黑体" w:hint="eastAsia"/>
      <w:szCs w:val="24"/>
    </w:rPr>
  </w:style>
  <w:style w:type="paragraph" w:customStyle="1" w:styleId="1ffff6">
    <w:name w:val="批注主题1"/>
    <w:basedOn w:val="a3"/>
    <w:next w:val="a3"/>
    <w:unhideWhenUsed/>
    <w:qFormat/>
    <w:pPr>
      <w:jc w:val="left"/>
    </w:pPr>
    <w:rPr>
      <w:rFonts w:hint="eastAsia"/>
      <w:b/>
      <w:szCs w:val="20"/>
    </w:rPr>
  </w:style>
  <w:style w:type="paragraph" w:customStyle="1" w:styleId="a1">
    <w:name w:val="正文：段落格式"/>
    <w:basedOn w:val="a3"/>
    <w:link w:val="Charfffff3"/>
    <w:unhideWhenUsed/>
    <w:qFormat/>
    <w:pPr>
      <w:numPr>
        <w:ilvl w:val="1"/>
        <w:numId w:val="11"/>
      </w:numPr>
      <w:tabs>
        <w:tab w:val="left" w:pos="0"/>
      </w:tabs>
      <w:adjustRightInd w:val="0"/>
      <w:snapToGrid w:val="0"/>
      <w:ind w:right="-91"/>
    </w:pPr>
    <w:rPr>
      <w:rFonts w:ascii="宋体" w:hAnsi="宋体" w:hint="eastAsia"/>
      <w:color w:val="000000"/>
      <w:kern w:val="15"/>
      <w:szCs w:val="24"/>
    </w:rPr>
  </w:style>
  <w:style w:type="paragraph" w:customStyle="1" w:styleId="CM5">
    <w:name w:val="CM5"/>
    <w:basedOn w:val="Default"/>
    <w:next w:val="Default"/>
    <w:unhideWhenUsed/>
    <w:qFormat/>
    <w:rPr>
      <w:rFonts w:ascii="黑体" w:eastAsia="黑体" w:hAnsi="Calibri" w:hint="eastAsia"/>
    </w:rPr>
  </w:style>
  <w:style w:type="paragraph" w:customStyle="1" w:styleId="CM143">
    <w:name w:val="CM143"/>
    <w:basedOn w:val="Default"/>
    <w:next w:val="Default"/>
    <w:unhideWhenUsed/>
    <w:qFormat/>
    <w:pPr>
      <w:spacing w:after="410"/>
    </w:pPr>
    <w:rPr>
      <w:rFonts w:ascii="黑体" w:eastAsia="黑体" w:hAnsi="Calibri" w:hint="eastAsia"/>
    </w:rPr>
  </w:style>
  <w:style w:type="paragraph" w:customStyle="1" w:styleId="CM14">
    <w:name w:val="CM14"/>
    <w:basedOn w:val="Default"/>
    <w:next w:val="Default"/>
    <w:unhideWhenUsed/>
    <w:qFormat/>
    <w:pPr>
      <w:spacing w:line="471" w:lineRule="atLeast"/>
    </w:pPr>
    <w:rPr>
      <w:rFonts w:ascii="黑体" w:eastAsia="黑体" w:hAnsi="Calibri" w:hint="eastAsia"/>
    </w:rPr>
  </w:style>
  <w:style w:type="paragraph" w:customStyle="1" w:styleId="CM46">
    <w:name w:val="CM46"/>
    <w:basedOn w:val="Default"/>
    <w:next w:val="Default"/>
    <w:unhideWhenUsed/>
    <w:qFormat/>
    <w:pPr>
      <w:spacing w:line="468" w:lineRule="atLeast"/>
    </w:pPr>
    <w:rPr>
      <w:rFonts w:ascii="黑体" w:eastAsia="黑体" w:hAnsi="Calibri" w:hint="eastAsia"/>
    </w:rPr>
  </w:style>
  <w:style w:type="paragraph" w:customStyle="1" w:styleId="CM45">
    <w:name w:val="CM45"/>
    <w:basedOn w:val="a3"/>
    <w:next w:val="a3"/>
    <w:unhideWhenUsed/>
    <w:qFormat/>
    <w:pPr>
      <w:autoSpaceDE w:val="0"/>
      <w:autoSpaceDN w:val="0"/>
      <w:adjustRightInd w:val="0"/>
      <w:spacing w:line="468" w:lineRule="atLeast"/>
      <w:jc w:val="left"/>
    </w:pPr>
    <w:rPr>
      <w:rFonts w:ascii="黑体" w:eastAsia="黑体" w:hAnsi="Calibri" w:hint="eastAsia"/>
      <w:szCs w:val="24"/>
    </w:rPr>
  </w:style>
  <w:style w:type="paragraph" w:customStyle="1" w:styleId="CM27">
    <w:name w:val="CM27"/>
    <w:basedOn w:val="Default"/>
    <w:next w:val="Default"/>
    <w:unhideWhenUsed/>
    <w:qFormat/>
    <w:rPr>
      <w:rFonts w:ascii="黑体" w:eastAsia="黑体" w:hAnsi="Calibri" w:hint="eastAsia"/>
    </w:rPr>
  </w:style>
  <w:style w:type="paragraph" w:customStyle="1" w:styleId="BG0">
    <w:name w:val="BG"/>
    <w:basedOn w:val="3333"/>
    <w:unhideWhenUsed/>
    <w:qFormat/>
    <w:pPr>
      <w:spacing w:line="360" w:lineRule="atLeast"/>
    </w:pPr>
    <w:rPr>
      <w:sz w:val="21"/>
    </w:rPr>
  </w:style>
  <w:style w:type="paragraph" w:customStyle="1" w:styleId="p18">
    <w:name w:val="p18"/>
    <w:basedOn w:val="a3"/>
    <w:unhideWhenUsed/>
    <w:qFormat/>
    <w:pPr>
      <w:widowControl/>
      <w:spacing w:line="240" w:lineRule="atLeast"/>
      <w:ind w:firstLine="210"/>
    </w:pPr>
    <w:rPr>
      <w:rFonts w:ascii="宋体" w:hAnsi="宋体" w:cs="宋体" w:hint="eastAsia"/>
      <w:szCs w:val="24"/>
    </w:rPr>
  </w:style>
  <w:style w:type="paragraph" w:customStyle="1" w:styleId="p19">
    <w:name w:val="p19"/>
    <w:basedOn w:val="a3"/>
    <w:unhideWhenUsed/>
    <w:qFormat/>
    <w:pPr>
      <w:widowControl/>
      <w:ind w:firstLine="420"/>
      <w:jc w:val="left"/>
    </w:pPr>
    <w:rPr>
      <w:rFonts w:hint="eastAsia"/>
      <w:szCs w:val="24"/>
    </w:rPr>
  </w:style>
  <w:style w:type="paragraph" w:customStyle="1" w:styleId="p21">
    <w:name w:val="p21"/>
    <w:basedOn w:val="a3"/>
    <w:unhideWhenUsed/>
    <w:qFormat/>
    <w:pPr>
      <w:widowControl/>
    </w:pPr>
    <w:rPr>
      <w:rFonts w:ascii="宋体" w:hAnsi="宋体" w:cs="宋体" w:hint="eastAsia"/>
      <w:sz w:val="28"/>
      <w:szCs w:val="28"/>
    </w:rPr>
  </w:style>
  <w:style w:type="paragraph" w:customStyle="1" w:styleId="CM18">
    <w:name w:val="CM18"/>
    <w:basedOn w:val="Default"/>
    <w:next w:val="Default"/>
    <w:unhideWhenUsed/>
    <w:qFormat/>
    <w:pPr>
      <w:spacing w:after="420"/>
    </w:pPr>
    <w:rPr>
      <w:rFonts w:ascii="Arial" w:hAnsi="Arial" w:hint="eastAsia"/>
    </w:rPr>
  </w:style>
  <w:style w:type="paragraph" w:customStyle="1" w:styleId="FH">
    <w:name w:val="FH正文"/>
    <w:next w:val="a3"/>
    <w:unhideWhenUsed/>
    <w:qFormat/>
    <w:pPr>
      <w:widowControl w:val="0"/>
      <w:adjustRightInd w:val="0"/>
      <w:spacing w:line="500" w:lineRule="exact"/>
      <w:ind w:firstLineChars="200" w:firstLine="480"/>
      <w:jc w:val="both"/>
    </w:pPr>
    <w:rPr>
      <w:rFonts w:ascii="宋体" w:hAnsi="宋体" w:cs="Arial" w:hint="eastAsia"/>
      <w:color w:val="008000"/>
      <w:kern w:val="2"/>
      <w:sz w:val="24"/>
      <w:szCs w:val="21"/>
    </w:rPr>
  </w:style>
  <w:style w:type="paragraph" w:customStyle="1" w:styleId="a0">
    <w:name w:val="分点段落文字"/>
    <w:basedOn w:val="a3"/>
    <w:unhideWhenUsed/>
    <w:qFormat/>
    <w:pPr>
      <w:numPr>
        <w:numId w:val="13"/>
      </w:numPr>
    </w:pPr>
    <w:rPr>
      <w:rFonts w:hint="eastAsia"/>
      <w:szCs w:val="24"/>
    </w:rPr>
  </w:style>
  <w:style w:type="paragraph" w:customStyle="1" w:styleId="style4">
    <w:name w:val="style4"/>
    <w:basedOn w:val="a3"/>
    <w:unhideWhenUsed/>
    <w:qFormat/>
    <w:pPr>
      <w:widowControl/>
      <w:spacing w:before="100" w:beforeAutospacing="1" w:after="100" w:afterAutospacing="1"/>
      <w:jc w:val="left"/>
    </w:pPr>
    <w:rPr>
      <w:rFonts w:ascii="宋体" w:hAnsi="宋体" w:cs="宋体" w:hint="eastAsia"/>
      <w:color w:val="666666"/>
      <w:szCs w:val="24"/>
    </w:rPr>
  </w:style>
  <w:style w:type="paragraph" w:customStyle="1" w:styleId="3ff">
    <w:name w:val="+标题3"/>
    <w:basedOn w:val="310"/>
    <w:link w:val="3ff0"/>
    <w:unhideWhenUsed/>
    <w:qFormat/>
    <w:pPr>
      <w:keepNext w:val="0"/>
      <w:tabs>
        <w:tab w:val="left" w:pos="0"/>
        <w:tab w:val="left" w:pos="709"/>
      </w:tabs>
      <w:spacing w:beforeLines="0" w:afterLines="0"/>
      <w:ind w:firstLineChars="0" w:firstLine="0"/>
    </w:pPr>
    <w:rPr>
      <w:rFonts w:ascii="黑体" w:eastAsia="黑体" w:hAnsi="宋体"/>
      <w:b w:val="0"/>
      <w:sz w:val="24"/>
      <w:szCs w:val="28"/>
    </w:rPr>
  </w:style>
  <w:style w:type="paragraph" w:customStyle="1" w:styleId="affffffffffffffffffffff4">
    <w:name w:val="煤炭资源普查报告格式"/>
    <w:basedOn w:val="a3"/>
    <w:unhideWhenUsed/>
    <w:qFormat/>
    <w:pPr>
      <w:spacing w:line="500" w:lineRule="exact"/>
    </w:pPr>
    <w:rPr>
      <w:rFonts w:hint="eastAsia"/>
      <w:szCs w:val="24"/>
    </w:rPr>
  </w:style>
  <w:style w:type="paragraph" w:customStyle="1" w:styleId="CharChar3CharChar">
    <w:name w:val="Char Char3 Char Char"/>
    <w:basedOn w:val="a3"/>
    <w:unhideWhenUsed/>
    <w:qFormat/>
    <w:rPr>
      <w:rFonts w:ascii="Calibri" w:hAnsi="Calibri" w:hint="eastAsia"/>
      <w:sz w:val="21"/>
      <w:szCs w:val="22"/>
    </w:rPr>
  </w:style>
  <w:style w:type="paragraph" w:customStyle="1" w:styleId="118">
    <w:name w:val="列出段落11"/>
    <w:basedOn w:val="a3"/>
    <w:unhideWhenUsed/>
    <w:qFormat/>
    <w:pPr>
      <w:ind w:firstLine="420"/>
    </w:pPr>
    <w:rPr>
      <w:rFonts w:ascii="Calibri" w:hAnsi="Calibri" w:hint="eastAsia"/>
      <w:sz w:val="21"/>
      <w:szCs w:val="22"/>
    </w:rPr>
  </w:style>
  <w:style w:type="paragraph" w:customStyle="1" w:styleId="1ffff7">
    <w:name w:val="正文首行缩进1"/>
    <w:basedOn w:val="12"/>
    <w:unhideWhenUsed/>
    <w:qFormat/>
    <w:pPr>
      <w:widowControl w:val="0"/>
      <w:ind w:firstLineChars="100" w:firstLine="420"/>
      <w:jc w:val="both"/>
    </w:pPr>
    <w:rPr>
      <w:sz w:val="21"/>
    </w:rPr>
  </w:style>
  <w:style w:type="paragraph" w:customStyle="1" w:styleId="CM30">
    <w:name w:val="CM30"/>
    <w:basedOn w:val="a3"/>
    <w:next w:val="a3"/>
    <w:unhideWhenUsed/>
    <w:qFormat/>
    <w:pPr>
      <w:autoSpaceDE w:val="0"/>
      <w:autoSpaceDN w:val="0"/>
      <w:adjustRightInd w:val="0"/>
      <w:jc w:val="left"/>
    </w:pPr>
    <w:rPr>
      <w:rFonts w:ascii="宋体" w:hAnsi="Calibri" w:hint="eastAsia"/>
      <w:szCs w:val="24"/>
    </w:rPr>
  </w:style>
  <w:style w:type="paragraph" w:customStyle="1" w:styleId="dxj">
    <w:name w:val="dxj正文"/>
    <w:basedOn w:val="a3"/>
    <w:link w:val="dxjChar"/>
    <w:unhideWhenUsed/>
    <w:qFormat/>
    <w:rPr>
      <w:rFonts w:hint="eastAsia"/>
      <w:szCs w:val="24"/>
    </w:rPr>
  </w:style>
  <w:style w:type="paragraph" w:customStyle="1" w:styleId="a-5">
    <w:name w:val="a-文本"/>
    <w:unhideWhenUsed/>
    <w:qFormat/>
    <w:pPr>
      <w:adjustRightInd w:val="0"/>
      <w:snapToGrid w:val="0"/>
      <w:spacing w:line="360" w:lineRule="auto"/>
      <w:ind w:firstLineChars="200" w:firstLine="200"/>
    </w:pPr>
    <w:rPr>
      <w:rFonts w:hint="eastAsia"/>
      <w:kern w:val="2"/>
      <w:sz w:val="24"/>
      <w:szCs w:val="24"/>
    </w:rPr>
  </w:style>
  <w:style w:type="paragraph" w:customStyle="1" w:styleId="161">
    <w:name w:val="16"/>
    <w:unhideWhenUsed/>
    <w:qFormat/>
    <w:pPr>
      <w:widowControl w:val="0"/>
      <w:jc w:val="both"/>
    </w:pPr>
    <w:rPr>
      <w:rFonts w:hint="eastAsia"/>
      <w:kern w:val="2"/>
      <w:sz w:val="21"/>
      <w:szCs w:val="24"/>
    </w:rPr>
  </w:style>
  <w:style w:type="paragraph" w:customStyle="1" w:styleId="1050510">
    <w:name w:val="标题 1 + 段前: 0.5 行 段后: 0.5 行1"/>
    <w:basedOn w:val="a3"/>
    <w:unhideWhenUsed/>
    <w:qFormat/>
    <w:pPr>
      <w:spacing w:beforeLines="50" w:afterLines="50" w:line="540" w:lineRule="exact"/>
      <w:jc w:val="center"/>
      <w:outlineLvl w:val="0"/>
    </w:pPr>
    <w:rPr>
      <w:rFonts w:ascii="宋体" w:hAnsi="宋体" w:cs="宋体" w:hint="eastAsia"/>
      <w:b/>
      <w:kern w:val="44"/>
      <w:sz w:val="32"/>
      <w:szCs w:val="32"/>
    </w:rPr>
  </w:style>
  <w:style w:type="paragraph" w:customStyle="1" w:styleId="2222222222">
    <w:name w:val="2222222222"/>
    <w:basedOn w:val="a3"/>
    <w:unhideWhenUsed/>
    <w:qFormat/>
    <w:pPr>
      <w:spacing w:line="460" w:lineRule="exact"/>
    </w:pPr>
    <w:rPr>
      <w:rFonts w:ascii="宋体" w:hAnsi="宋体" w:hint="eastAsia"/>
      <w:color w:val="000000"/>
      <w:sz w:val="26"/>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unhideWhenUsed/>
    <w:qFormat/>
    <w:pPr>
      <w:widowControl/>
      <w:jc w:val="left"/>
    </w:pPr>
    <w:rPr>
      <w:rFonts w:hint="eastAsia"/>
      <w:sz w:val="21"/>
    </w:rPr>
  </w:style>
  <w:style w:type="paragraph" w:customStyle="1" w:styleId="qqq">
    <w:name w:val="qqq"/>
    <w:basedOn w:val="PlainText1"/>
    <w:unhideWhenUsed/>
    <w:qFormat/>
    <w:rPr>
      <w:rFonts w:hAnsi="宋体" w:cs="Times New Roman"/>
      <w:sz w:val="24"/>
      <w:szCs w:val="28"/>
    </w:rPr>
  </w:style>
  <w:style w:type="paragraph" w:customStyle="1" w:styleId="5f0">
    <w:name w:val="5文章(治)"/>
    <w:basedOn w:val="a3"/>
    <w:link w:val="5CharChar"/>
    <w:unhideWhenUsed/>
    <w:qFormat/>
    <w:pPr>
      <w:ind w:firstLine="480"/>
    </w:pPr>
    <w:rPr>
      <w:rFonts w:hint="eastAsia"/>
      <w:szCs w:val="20"/>
    </w:rPr>
  </w:style>
  <w:style w:type="paragraph" w:customStyle="1" w:styleId="CharCharCharCharCharCharCharCharCharCharCharCharCharChar">
    <w:name w:val="Char Char Char Char Char Char Char Char Char Char Char Char Char Char"/>
    <w:basedOn w:val="a3"/>
    <w:unhideWhenUsed/>
    <w:qFormat/>
    <w:rPr>
      <w:rFonts w:hint="eastAsia"/>
      <w:sz w:val="21"/>
      <w:szCs w:val="24"/>
    </w:rPr>
  </w:style>
  <w:style w:type="paragraph" w:customStyle="1" w:styleId="76">
    <w:name w:val="7表格(治)"/>
    <w:link w:val="7Char1"/>
    <w:unhideWhenUsed/>
    <w:qFormat/>
    <w:pPr>
      <w:snapToGrid w:val="0"/>
      <w:jc w:val="center"/>
    </w:pPr>
    <w:rPr>
      <w:rFonts w:hint="eastAsia"/>
      <w:sz w:val="21"/>
    </w:rPr>
  </w:style>
  <w:style w:type="paragraph" w:customStyle="1" w:styleId="affffffffffffffffffffff5">
    <w:name w:val="环保表内字（小五）"/>
    <w:basedOn w:val="a3"/>
    <w:link w:val="Charfffff4"/>
    <w:unhideWhenUsed/>
    <w:qFormat/>
    <w:pPr>
      <w:autoSpaceDE w:val="0"/>
      <w:autoSpaceDN w:val="0"/>
      <w:adjustRightInd w:val="0"/>
      <w:snapToGrid w:val="0"/>
      <w:spacing w:line="240" w:lineRule="atLeast"/>
    </w:pPr>
    <w:rPr>
      <w:rFonts w:hint="eastAsia"/>
      <w:color w:val="000000"/>
      <w:sz w:val="20"/>
      <w:szCs w:val="20"/>
      <w:lang w:val="zh-CN"/>
    </w:rPr>
  </w:style>
  <w:style w:type="paragraph" w:customStyle="1" w:styleId="affffffffffffffffffffff6">
    <w:name w:val="正文 楷体"/>
    <w:basedOn w:val="a3"/>
    <w:link w:val="Charfffff5"/>
    <w:unhideWhenUsed/>
    <w:qFormat/>
    <w:pPr>
      <w:spacing w:line="500" w:lineRule="exact"/>
    </w:pPr>
    <w:rPr>
      <w:rFonts w:ascii="楷体_GB2312" w:eastAsia="楷体_GB2312" w:hAnsi="楷体_GB2312" w:hint="eastAsia"/>
      <w:color w:val="000000"/>
      <w:spacing w:val="8"/>
      <w:w w:val="110"/>
      <w:szCs w:val="24"/>
    </w:rPr>
  </w:style>
  <w:style w:type="paragraph" w:customStyle="1" w:styleId="710">
    <w:name w:val="标题 71"/>
    <w:basedOn w:val="a3"/>
    <w:uiPriority w:val="1"/>
    <w:unhideWhenUsed/>
    <w:qFormat/>
    <w:pPr>
      <w:spacing w:before="26"/>
      <w:ind w:right="101"/>
      <w:jc w:val="left"/>
      <w:outlineLvl w:val="7"/>
    </w:pPr>
    <w:rPr>
      <w:rFonts w:ascii="宋体" w:hAnsi="宋体" w:cs="宋体" w:hint="eastAsia"/>
      <w:b/>
      <w:szCs w:val="24"/>
      <w:lang w:eastAsia="en-US"/>
    </w:rPr>
  </w:style>
  <w:style w:type="paragraph" w:customStyle="1" w:styleId="3ff1">
    <w:name w:val="纯文本3"/>
    <w:basedOn w:val="a3"/>
    <w:unhideWhenUsed/>
    <w:qFormat/>
    <w:pPr>
      <w:adjustRightInd w:val="0"/>
      <w:textAlignment w:val="baseline"/>
    </w:pPr>
    <w:rPr>
      <w:rFonts w:ascii="宋体" w:hAnsi="Courier New" w:hint="eastAsia"/>
      <w:sz w:val="21"/>
      <w:szCs w:val="20"/>
    </w:rPr>
  </w:style>
  <w:style w:type="paragraph" w:customStyle="1" w:styleId="-ls">
    <w:name w:val="正文-ls"/>
    <w:basedOn w:val="a3"/>
    <w:link w:val="-lsCharChar"/>
    <w:unhideWhenUsed/>
    <w:qFormat/>
    <w:rPr>
      <w:rFonts w:ascii="Calibri" w:hAnsi="宋体" w:hint="eastAsia"/>
      <w:color w:val="000000"/>
      <w:w w:val="110"/>
      <w:szCs w:val="20"/>
    </w:rPr>
  </w:style>
  <w:style w:type="paragraph" w:customStyle="1" w:styleId="xl105">
    <w:name w:val="xl105"/>
    <w:basedOn w:val="a3"/>
    <w:unhideWhenUsed/>
    <w:qFormat/>
    <w:pPr>
      <w:widowControl/>
      <w:spacing w:before="100" w:beforeAutospacing="1" w:after="100" w:afterAutospacing="1"/>
      <w:jc w:val="center"/>
    </w:pPr>
    <w:rPr>
      <w:rFonts w:ascii="宋体" w:hAnsi="宋体" w:cs="宋体" w:hint="eastAsia"/>
      <w:color w:val="FF0000"/>
      <w:sz w:val="16"/>
      <w:szCs w:val="16"/>
    </w:rPr>
  </w:style>
  <w:style w:type="paragraph" w:customStyle="1" w:styleId="xl106">
    <w:name w:val="xl106"/>
    <w:basedOn w:val="a3"/>
    <w:unhideWhenUsed/>
    <w:qFormat/>
    <w:pPr>
      <w:widowControl/>
      <w:spacing w:before="100" w:beforeAutospacing="1" w:after="100" w:afterAutospacing="1"/>
      <w:jc w:val="center"/>
    </w:pPr>
    <w:rPr>
      <w:rFonts w:ascii="宋体" w:hAnsi="宋体" w:cs="宋体" w:hint="eastAsia"/>
      <w:color w:val="7030A0"/>
      <w:sz w:val="16"/>
      <w:szCs w:val="16"/>
    </w:rPr>
  </w:style>
  <w:style w:type="paragraph" w:customStyle="1" w:styleId="xl107">
    <w:name w:val="xl107"/>
    <w:basedOn w:val="a3"/>
    <w:unhideWhenUsed/>
    <w:qFormat/>
    <w:pPr>
      <w:widowControl/>
      <w:spacing w:before="100" w:beforeAutospacing="1" w:after="100" w:afterAutospacing="1"/>
      <w:jc w:val="center"/>
    </w:pPr>
    <w:rPr>
      <w:rFonts w:ascii="宋体" w:hAnsi="宋体" w:cs="宋体" w:hint="eastAsia"/>
      <w:szCs w:val="24"/>
    </w:rPr>
  </w:style>
  <w:style w:type="paragraph" w:customStyle="1" w:styleId="xl108">
    <w:name w:val="xl108"/>
    <w:basedOn w:val="a3"/>
    <w:unhideWhenUsed/>
    <w:qFormat/>
    <w:pPr>
      <w:widowControl/>
      <w:shd w:val="clear" w:color="000000" w:fill="FFFF00"/>
      <w:spacing w:before="100" w:beforeAutospacing="1" w:after="100" w:afterAutospacing="1"/>
      <w:jc w:val="center"/>
    </w:pPr>
    <w:rPr>
      <w:rFonts w:ascii="宋体" w:hAnsi="宋体" w:cs="宋体" w:hint="eastAsia"/>
      <w:szCs w:val="24"/>
    </w:rPr>
  </w:style>
  <w:style w:type="paragraph" w:customStyle="1" w:styleId="xl109">
    <w:name w:val="xl109"/>
    <w:basedOn w:val="a3"/>
    <w:unhideWhenUsed/>
    <w:qFormat/>
    <w:pPr>
      <w:widowControl/>
      <w:shd w:val="clear" w:color="000000" w:fill="FF0000"/>
      <w:spacing w:before="100" w:beforeAutospacing="1" w:after="100" w:afterAutospacing="1"/>
      <w:jc w:val="center"/>
    </w:pPr>
    <w:rPr>
      <w:rFonts w:ascii="宋体" w:hAnsi="宋体" w:cs="宋体" w:hint="eastAsia"/>
      <w:sz w:val="16"/>
      <w:szCs w:val="16"/>
    </w:rPr>
  </w:style>
  <w:style w:type="paragraph" w:customStyle="1" w:styleId="xl110">
    <w:name w:val="xl110"/>
    <w:basedOn w:val="a3"/>
    <w:unhideWhenUsed/>
    <w:qFormat/>
    <w:pPr>
      <w:widowControl/>
      <w:shd w:val="clear" w:color="000000" w:fill="FF0000"/>
      <w:spacing w:before="100" w:beforeAutospacing="1" w:after="100" w:afterAutospacing="1"/>
      <w:jc w:val="left"/>
    </w:pPr>
    <w:rPr>
      <w:rFonts w:ascii="宋体" w:hAnsi="宋体" w:cs="宋体" w:hint="eastAsia"/>
      <w:szCs w:val="24"/>
    </w:rPr>
  </w:style>
  <w:style w:type="paragraph" w:customStyle="1" w:styleId="xl111">
    <w:name w:val="xl111"/>
    <w:basedOn w:val="a3"/>
    <w:unhideWhenUsed/>
    <w:qFormat/>
    <w:pPr>
      <w:widowControl/>
      <w:shd w:val="clear" w:color="000000" w:fill="92D050"/>
      <w:spacing w:before="100" w:beforeAutospacing="1" w:after="100" w:afterAutospacing="1"/>
      <w:jc w:val="left"/>
    </w:pPr>
    <w:rPr>
      <w:rFonts w:ascii="宋体" w:hAnsi="宋体" w:cs="宋体" w:hint="eastAsia"/>
      <w:szCs w:val="24"/>
    </w:rPr>
  </w:style>
  <w:style w:type="paragraph" w:customStyle="1" w:styleId="xl112">
    <w:name w:val="xl112"/>
    <w:basedOn w:val="a3"/>
    <w:unhideWhenUsed/>
    <w:qFormat/>
    <w:pPr>
      <w:widowControl/>
      <w:spacing w:before="100" w:beforeAutospacing="1" w:after="100" w:afterAutospacing="1"/>
      <w:jc w:val="center"/>
    </w:pPr>
    <w:rPr>
      <w:rFonts w:ascii="宋体" w:hAnsi="宋体" w:cs="宋体" w:hint="eastAsia"/>
      <w:szCs w:val="24"/>
    </w:rPr>
  </w:style>
  <w:style w:type="paragraph" w:customStyle="1" w:styleId="xl113">
    <w:name w:val="xl113"/>
    <w:basedOn w:val="a3"/>
    <w:unhideWhenUsed/>
    <w:qFormat/>
    <w:pPr>
      <w:widowControl/>
      <w:spacing w:before="100" w:beforeAutospacing="1" w:after="100" w:afterAutospacing="1"/>
      <w:jc w:val="center"/>
    </w:pPr>
    <w:rPr>
      <w:rFonts w:ascii="宋体" w:hAnsi="宋体" w:cs="宋体" w:hint="eastAsia"/>
      <w:sz w:val="16"/>
      <w:szCs w:val="16"/>
    </w:rPr>
  </w:style>
  <w:style w:type="paragraph" w:customStyle="1" w:styleId="xl114">
    <w:name w:val="xl114"/>
    <w:basedOn w:val="a3"/>
    <w:unhideWhenUsed/>
    <w:qFormat/>
    <w:pPr>
      <w:widowControl/>
      <w:spacing w:before="100" w:beforeAutospacing="1" w:after="100" w:afterAutospacing="1"/>
      <w:jc w:val="center"/>
    </w:pPr>
    <w:rPr>
      <w:rFonts w:ascii="宋体" w:hAnsi="宋体" w:cs="宋体" w:hint="eastAsia"/>
      <w:color w:val="00B050"/>
      <w:sz w:val="16"/>
      <w:szCs w:val="16"/>
    </w:rPr>
  </w:style>
  <w:style w:type="paragraph" w:customStyle="1" w:styleId="Char220">
    <w:name w:val="Char22"/>
    <w:basedOn w:val="a3"/>
    <w:unhideWhenUsed/>
    <w:qFormat/>
    <w:rPr>
      <w:rFonts w:hint="eastAsia"/>
      <w:sz w:val="21"/>
      <w:szCs w:val="24"/>
    </w:rPr>
  </w:style>
  <w:style w:type="paragraph" w:customStyle="1" w:styleId="005">
    <w:name w:val="00表名"/>
    <w:basedOn w:val="a3"/>
    <w:unhideWhenUsed/>
    <w:qFormat/>
    <w:rPr>
      <w:rFonts w:eastAsia="黑体" w:hint="eastAsia"/>
      <w:szCs w:val="24"/>
    </w:rPr>
  </w:style>
  <w:style w:type="paragraph" w:customStyle="1" w:styleId="affffffffffffffffffffff7">
    <w:name w:val="正文样式"/>
    <w:basedOn w:val="a3"/>
    <w:unhideWhenUsed/>
    <w:qFormat/>
    <w:pPr>
      <w:ind w:firstLine="560"/>
    </w:pPr>
    <w:rPr>
      <w:rFonts w:hAnsi="宋体" w:hint="eastAsia"/>
      <w:sz w:val="28"/>
      <w:szCs w:val="28"/>
    </w:rPr>
  </w:style>
  <w:style w:type="paragraph" w:customStyle="1" w:styleId="affffffffffffffffffffff8">
    <w:name w:val="正文内容"/>
    <w:basedOn w:val="a3"/>
    <w:link w:val="Charfffff6"/>
    <w:unhideWhenUsed/>
    <w:qFormat/>
    <w:pPr>
      <w:spacing w:line="520" w:lineRule="exact"/>
    </w:pPr>
    <w:rPr>
      <w:rFonts w:hint="eastAsia"/>
      <w:szCs w:val="24"/>
    </w:rPr>
  </w:style>
  <w:style w:type="paragraph" w:customStyle="1" w:styleId="affffffffffffffffffffff9">
    <w:name w:val="环评 正文"/>
    <w:basedOn w:val="25"/>
    <w:link w:val="CharChar9"/>
    <w:unhideWhenUsed/>
    <w:qFormat/>
    <w:pPr>
      <w:spacing w:after="0" w:line="360" w:lineRule="auto"/>
    </w:pPr>
    <w:rPr>
      <w:rFonts w:ascii="宋体" w:hAnsi="宋体" w:hint="eastAsia"/>
      <w:szCs w:val="20"/>
    </w:rPr>
  </w:style>
  <w:style w:type="paragraph" w:customStyle="1" w:styleId="text01">
    <w:name w:val="text01"/>
    <w:basedOn w:val="a3"/>
    <w:unhideWhenUsed/>
    <w:qFormat/>
    <w:pPr>
      <w:widowControl/>
      <w:spacing w:before="100" w:beforeAutospacing="1" w:after="100" w:afterAutospacing="1" w:line="280" w:lineRule="atLeast"/>
    </w:pPr>
    <w:rPr>
      <w:rFonts w:ascii="Verdana" w:hAnsi="Verdana" w:cs="宋体" w:hint="eastAsia"/>
      <w:sz w:val="20"/>
      <w:szCs w:val="20"/>
    </w:rPr>
  </w:style>
  <w:style w:type="paragraph" w:customStyle="1" w:styleId="21d">
    <w:name w:val="标题 21"/>
    <w:basedOn w:val="a3"/>
    <w:uiPriority w:val="1"/>
    <w:unhideWhenUsed/>
    <w:qFormat/>
    <w:pPr>
      <w:spacing w:before="131"/>
      <w:ind w:left="100"/>
      <w:jc w:val="left"/>
      <w:outlineLvl w:val="2"/>
    </w:pPr>
    <w:rPr>
      <w:rFonts w:ascii="宋体" w:hAnsi="宋体" w:cs="宋体" w:hint="eastAsia"/>
      <w:b/>
      <w:sz w:val="28"/>
      <w:szCs w:val="28"/>
      <w:lang w:eastAsia="en-US"/>
    </w:rPr>
  </w:style>
  <w:style w:type="paragraph" w:customStyle="1" w:styleId="317">
    <w:name w:val="标题 31"/>
    <w:basedOn w:val="a3"/>
    <w:uiPriority w:val="1"/>
    <w:unhideWhenUsed/>
    <w:qFormat/>
    <w:pPr>
      <w:ind w:left="100"/>
      <w:jc w:val="left"/>
      <w:outlineLvl w:val="3"/>
    </w:pPr>
    <w:rPr>
      <w:rFonts w:ascii="宋体" w:hAnsi="宋体" w:cs="宋体" w:hint="eastAsia"/>
      <w:b/>
      <w:szCs w:val="24"/>
      <w:lang w:eastAsia="en-US"/>
    </w:rPr>
  </w:style>
  <w:style w:type="paragraph" w:customStyle="1" w:styleId="affffffffffffffffffffffa">
    <w:name w:val="标题表格"/>
    <w:basedOn w:val="a3"/>
    <w:link w:val="Charfffff7"/>
    <w:unhideWhenUsed/>
    <w:qFormat/>
    <w:pPr>
      <w:spacing w:beforeLines="80"/>
      <w:jc w:val="center"/>
    </w:pPr>
    <w:rPr>
      <w:rFonts w:ascii="黑体" w:eastAsia="黑体" w:hAnsi="楷体_GB2312" w:cs="宋体" w:hint="eastAsia"/>
      <w:szCs w:val="24"/>
    </w:rPr>
  </w:style>
  <w:style w:type="paragraph" w:customStyle="1" w:styleId="affffffffffffffffffffffb">
    <w:name w:val="表后空行格式"/>
    <w:basedOn w:val="affffe"/>
    <w:unhideWhenUsed/>
    <w:qFormat/>
    <w:pPr>
      <w:widowControl/>
      <w:spacing w:line="240" w:lineRule="exact"/>
      <w:ind w:leftChars="50" w:left="50" w:rightChars="50" w:right="50" w:firstLineChars="0" w:firstLine="0"/>
      <w:jc w:val="left"/>
    </w:pPr>
    <w:rPr>
      <w:rFonts w:cs="宋体"/>
      <w:sz w:val="18"/>
    </w:rPr>
  </w:style>
  <w:style w:type="paragraph" w:customStyle="1" w:styleId="21e">
    <w:name w:val="正文21"/>
    <w:basedOn w:val="a3"/>
    <w:link w:val="21Char"/>
    <w:unhideWhenUsed/>
    <w:qFormat/>
    <w:pPr>
      <w:adjustRightInd w:val="0"/>
      <w:snapToGrid w:val="0"/>
      <w:spacing w:line="440" w:lineRule="atLeast"/>
      <w:ind w:firstLine="510"/>
    </w:pPr>
    <w:rPr>
      <w:rFonts w:hint="eastAsia"/>
      <w:sz w:val="21"/>
      <w:szCs w:val="20"/>
    </w:rPr>
  </w:style>
  <w:style w:type="paragraph" w:customStyle="1" w:styleId="711">
    <w:name w:val="标题 711"/>
    <w:basedOn w:val="a3"/>
    <w:uiPriority w:val="1"/>
    <w:unhideWhenUsed/>
    <w:qFormat/>
    <w:pPr>
      <w:spacing w:before="26"/>
      <w:ind w:right="101"/>
      <w:jc w:val="left"/>
      <w:outlineLvl w:val="7"/>
    </w:pPr>
    <w:rPr>
      <w:rFonts w:ascii="宋体" w:hAnsi="宋体" w:cs="宋体" w:hint="eastAsia"/>
      <w:b/>
      <w:szCs w:val="24"/>
      <w:lang w:eastAsia="en-US"/>
    </w:rPr>
  </w:style>
  <w:style w:type="paragraph" w:customStyle="1" w:styleId="319">
    <w:name w:val="纯文本31"/>
    <w:basedOn w:val="a3"/>
    <w:unhideWhenUsed/>
    <w:qFormat/>
    <w:pPr>
      <w:adjustRightInd w:val="0"/>
    </w:pPr>
    <w:rPr>
      <w:rFonts w:ascii="宋体" w:hAnsi="Courier New" w:hint="eastAsia"/>
      <w:sz w:val="21"/>
      <w:szCs w:val="20"/>
    </w:rPr>
  </w:style>
  <w:style w:type="paragraph" w:customStyle="1" w:styleId="2110">
    <w:name w:val="标题 211"/>
    <w:basedOn w:val="a3"/>
    <w:uiPriority w:val="1"/>
    <w:unhideWhenUsed/>
    <w:qFormat/>
    <w:pPr>
      <w:spacing w:before="131"/>
      <w:ind w:left="100"/>
      <w:jc w:val="left"/>
      <w:outlineLvl w:val="2"/>
    </w:pPr>
    <w:rPr>
      <w:rFonts w:ascii="宋体" w:hAnsi="宋体" w:cs="宋体" w:hint="eastAsia"/>
      <w:b/>
      <w:sz w:val="28"/>
      <w:szCs w:val="28"/>
      <w:lang w:eastAsia="en-US"/>
    </w:rPr>
  </w:style>
  <w:style w:type="paragraph" w:customStyle="1" w:styleId="3120">
    <w:name w:val="标题 312"/>
    <w:basedOn w:val="a3"/>
    <w:uiPriority w:val="1"/>
    <w:unhideWhenUsed/>
    <w:qFormat/>
    <w:pPr>
      <w:ind w:left="100"/>
      <w:jc w:val="left"/>
      <w:outlineLvl w:val="3"/>
    </w:pPr>
    <w:rPr>
      <w:rFonts w:ascii="宋体" w:hAnsi="宋体" w:cs="宋体" w:hint="eastAsia"/>
      <w:b/>
      <w:szCs w:val="24"/>
      <w:lang w:eastAsia="en-US"/>
    </w:rPr>
  </w:style>
  <w:style w:type="paragraph" w:customStyle="1" w:styleId="22b">
    <w:name w:val="正文22"/>
    <w:basedOn w:val="a3"/>
    <w:unhideWhenUsed/>
    <w:qFormat/>
    <w:pPr>
      <w:adjustRightInd w:val="0"/>
      <w:snapToGrid w:val="0"/>
      <w:spacing w:line="440" w:lineRule="atLeast"/>
      <w:ind w:firstLine="510"/>
    </w:pPr>
    <w:rPr>
      <w:rFonts w:hint="eastAsia"/>
      <w:sz w:val="21"/>
      <w:szCs w:val="20"/>
    </w:rPr>
  </w:style>
  <w:style w:type="paragraph" w:customStyle="1" w:styleId="119">
    <w:name w:val="表格内容11"/>
    <w:basedOn w:val="PlainText1"/>
    <w:link w:val="11Char"/>
    <w:uiPriority w:val="99"/>
    <w:unhideWhenUsed/>
    <w:qFormat/>
    <w:rPr>
      <w:rFonts w:ascii="Times New Roman" w:hAnsi="Times New Roman" w:cs="Times New Roman"/>
      <w:sz w:val="20"/>
      <w:szCs w:val="21"/>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3"/>
    <w:unhideWhenUsed/>
    <w:qFormat/>
    <w:pPr>
      <w:widowControl/>
      <w:jc w:val="left"/>
    </w:pPr>
    <w:rPr>
      <w:rFonts w:hint="eastAsia"/>
      <w:sz w:val="21"/>
    </w:rPr>
  </w:style>
  <w:style w:type="paragraph" w:customStyle="1" w:styleId="3190">
    <w:name w:val="样式 正文文本缩进 3 + 行距: 固定值 19 磅"/>
    <w:basedOn w:val="312"/>
    <w:unhideWhenUsed/>
    <w:qFormat/>
    <w:pPr>
      <w:widowControl w:val="0"/>
      <w:spacing w:after="120" w:line="380" w:lineRule="exact"/>
      <w:ind w:firstLineChars="0" w:firstLine="0"/>
      <w:jc w:val="center"/>
    </w:pPr>
    <w:rPr>
      <w:sz w:val="16"/>
    </w:rPr>
  </w:style>
  <w:style w:type="paragraph" w:customStyle="1" w:styleId="5f1">
    <w:name w:val="表格文字5号"/>
    <w:basedOn w:val="a3"/>
    <w:unhideWhenUsed/>
    <w:qFormat/>
    <w:pPr>
      <w:jc w:val="center"/>
    </w:pPr>
    <w:rPr>
      <w:rFonts w:ascii="宋体" w:hint="eastAsia"/>
      <w:sz w:val="21"/>
      <w:szCs w:val="24"/>
    </w:rPr>
  </w:style>
  <w:style w:type="paragraph" w:customStyle="1" w:styleId="2fff7">
    <w:name w:val="样式 正文首行缩进 + 首行缩进:  2 字符"/>
    <w:basedOn w:val="aff7"/>
    <w:unhideWhenUsed/>
    <w:qFormat/>
    <w:pPr>
      <w:tabs>
        <w:tab w:val="left" w:pos="7020"/>
      </w:tabs>
      <w:adjustRightInd w:val="0"/>
      <w:spacing w:after="0" w:line="240" w:lineRule="auto"/>
      <w:ind w:firstLineChars="0" w:firstLine="0"/>
      <w:jc w:val="center"/>
      <w:textAlignment w:val="center"/>
    </w:pPr>
    <w:rPr>
      <w:spacing w:val="-6"/>
      <w:sz w:val="21"/>
    </w:rPr>
  </w:style>
  <w:style w:type="paragraph" w:customStyle="1" w:styleId="HD1">
    <w:name w:val="HD1"/>
    <w:basedOn w:val="110"/>
    <w:unhideWhenUsed/>
    <w:qFormat/>
    <w:pPr>
      <w:tabs>
        <w:tab w:val="left" w:pos="-114"/>
      </w:tabs>
      <w:overflowPunct w:val="0"/>
      <w:autoSpaceDN w:val="0"/>
      <w:spacing w:beforeLines="0" w:afterLines="0" w:line="480" w:lineRule="exact"/>
      <w:ind w:firstLineChars="0" w:firstLine="0"/>
      <w:jc w:val="left"/>
    </w:pPr>
    <w:rPr>
      <w:rFonts w:eastAsia="黑体"/>
      <w:b w:val="0"/>
      <w:sz w:val="30"/>
      <w:szCs w:val="24"/>
    </w:rPr>
  </w:style>
  <w:style w:type="paragraph" w:customStyle="1" w:styleId="affffffffffffffffffffffc">
    <w:name w:val="二级无标题条"/>
    <w:basedOn w:val="a3"/>
    <w:unhideWhenUsed/>
    <w:qFormat/>
    <w:rPr>
      <w:rFonts w:hint="eastAsia"/>
      <w:sz w:val="21"/>
      <w:szCs w:val="24"/>
    </w:rPr>
  </w:style>
  <w:style w:type="paragraph" w:customStyle="1" w:styleId="Charfffff8">
    <w:name w:val="Char小五"/>
    <w:unhideWhenUsed/>
    <w:qFormat/>
    <w:pPr>
      <w:jc w:val="both"/>
    </w:pPr>
    <w:rPr>
      <w:rFonts w:eastAsia="仿宋_GB2312" w:hint="eastAsia"/>
      <w:kern w:val="2"/>
      <w:sz w:val="18"/>
      <w:szCs w:val="24"/>
    </w:rPr>
  </w:style>
  <w:style w:type="paragraph" w:customStyle="1" w:styleId="3ff2">
    <w:name w:val="样式 标题 3 + 黑体"/>
    <w:basedOn w:val="310"/>
    <w:unhideWhenUsed/>
    <w:qFormat/>
    <w:pPr>
      <w:overflowPunct w:val="0"/>
      <w:spacing w:beforeLines="0" w:beforeAutospacing="1" w:after="50"/>
      <w:ind w:firstLineChars="0" w:firstLine="0"/>
    </w:pPr>
    <w:rPr>
      <w:rFonts w:ascii="黑体" w:hAnsi="黑体"/>
      <w:sz w:val="30"/>
      <w:szCs w:val="28"/>
    </w:rPr>
  </w:style>
  <w:style w:type="paragraph" w:customStyle="1" w:styleId="3ff3">
    <w:name w:val="样式 标题 3 + 黑色"/>
    <w:basedOn w:val="310"/>
    <w:unhideWhenUsed/>
    <w:qFormat/>
    <w:pPr>
      <w:overflowPunct w:val="0"/>
      <w:spacing w:beforeLines="0" w:beforeAutospacing="1" w:afterLines="0"/>
      <w:ind w:firstLineChars="0" w:firstLine="0"/>
    </w:pPr>
    <w:rPr>
      <w:sz w:val="24"/>
      <w:szCs w:val="28"/>
    </w:rPr>
  </w:style>
  <w:style w:type="paragraph" w:customStyle="1" w:styleId="3111BSH-3W3GB2312">
    <w:name w:val="样式 标题 3条标题1.1.1条标题BSH-3W3 + 仿宋_GB2312 非加粗"/>
    <w:basedOn w:val="310"/>
    <w:unhideWhenUsed/>
    <w:qFormat/>
    <w:pPr>
      <w:tabs>
        <w:tab w:val="left" w:pos="578"/>
      </w:tabs>
      <w:overflowPunct w:val="0"/>
      <w:adjustRightInd w:val="0"/>
      <w:snapToGrid w:val="0"/>
      <w:spacing w:beforeLines="0" w:beforeAutospacing="1" w:afterLines="0"/>
      <w:ind w:firstLineChars="0" w:firstLine="0"/>
    </w:pPr>
    <w:rPr>
      <w:rFonts w:hAnsi="仿宋_GB2312"/>
      <w:sz w:val="28"/>
      <w:szCs w:val="28"/>
    </w:rPr>
  </w:style>
  <w:style w:type="paragraph" w:customStyle="1" w:styleId="3ff4">
    <w:name w:val="样式 正文文本缩进 3 + 小四"/>
    <w:basedOn w:val="312"/>
    <w:unhideWhenUsed/>
    <w:qFormat/>
    <w:pPr>
      <w:widowControl w:val="0"/>
      <w:ind w:firstLineChars="0" w:firstLine="0"/>
      <w:jc w:val="both"/>
    </w:pPr>
    <w:rPr>
      <w:w w:val="90"/>
      <w:sz w:val="24"/>
    </w:rPr>
  </w:style>
  <w:style w:type="paragraph" w:customStyle="1" w:styleId="HD4">
    <w:name w:val="HD4"/>
    <w:basedOn w:val="a3"/>
    <w:unhideWhenUsed/>
    <w:qFormat/>
    <w:pPr>
      <w:spacing w:before="240" w:after="120" w:line="520" w:lineRule="exact"/>
    </w:pPr>
    <w:rPr>
      <w:rFonts w:hint="eastAsia"/>
      <w:b/>
      <w:sz w:val="28"/>
      <w:szCs w:val="24"/>
    </w:rPr>
  </w:style>
  <w:style w:type="paragraph" w:customStyle="1" w:styleId="affffffffffffffffffffffd">
    <w:name w:val="样式 图表标题 + 两端对齐"/>
    <w:basedOn w:val="afffff1"/>
    <w:unhideWhenUsed/>
    <w:qFormat/>
    <w:pPr>
      <w:widowControl/>
      <w:spacing w:line="260" w:lineRule="exact"/>
      <w:jc w:val="both"/>
    </w:pPr>
    <w:rPr>
      <w:rFonts w:eastAsia="黑体"/>
      <w:b w:val="0"/>
      <w:spacing w:val="-10"/>
      <w:sz w:val="24"/>
    </w:rPr>
  </w:style>
  <w:style w:type="paragraph" w:customStyle="1" w:styleId="affffffffffffffffffffffe">
    <w:name w:val="图例"/>
    <w:basedOn w:val="a3"/>
    <w:unhideWhenUsed/>
    <w:qFormat/>
    <w:pPr>
      <w:spacing w:before="240" w:after="120"/>
      <w:jc w:val="center"/>
    </w:pPr>
    <w:rPr>
      <w:rFonts w:eastAsia="楷体_GB2312" w:hint="eastAsia"/>
      <w:sz w:val="28"/>
      <w:szCs w:val="24"/>
    </w:rPr>
  </w:style>
  <w:style w:type="paragraph" w:customStyle="1" w:styleId="1ffff8">
    <w:name w:val="文档结构图1"/>
    <w:basedOn w:val="a3"/>
    <w:unhideWhenUsed/>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hint="eastAsia"/>
      <w:sz w:val="28"/>
      <w:szCs w:val="24"/>
    </w:rPr>
  </w:style>
  <w:style w:type="paragraph" w:customStyle="1" w:styleId="afffffffffffffffffffffff">
    <w:name w:val="普通段落文字"/>
    <w:basedOn w:val="a3"/>
    <w:unhideWhenUsed/>
    <w:qFormat/>
    <w:pPr>
      <w:adjustRightInd w:val="0"/>
      <w:snapToGrid w:val="0"/>
      <w:spacing w:line="300" w:lineRule="auto"/>
      <w:ind w:firstLine="567"/>
    </w:pPr>
    <w:rPr>
      <w:rFonts w:ascii="宋体" w:hAnsi="宋体" w:hint="eastAsia"/>
      <w:sz w:val="28"/>
      <w:szCs w:val="24"/>
    </w:rPr>
  </w:style>
  <w:style w:type="paragraph" w:customStyle="1" w:styleId="26CharChar">
    <w:name w:val="样式 (符号) 宋体 小四 行距: 固定值 26 磅 Char Char"/>
    <w:basedOn w:val="a3"/>
    <w:link w:val="26CharCharChar"/>
    <w:unhideWhenUsed/>
    <w:qFormat/>
    <w:pPr>
      <w:ind w:firstLine="480"/>
    </w:pPr>
    <w:rPr>
      <w:rFonts w:hAnsi="宋体" w:hint="eastAsia"/>
      <w:color w:val="000000"/>
      <w:sz w:val="28"/>
      <w:szCs w:val="20"/>
    </w:rPr>
  </w:style>
  <w:style w:type="paragraph" w:customStyle="1" w:styleId="afffffffffffffffffffffff0">
    <w:name w:val="报告书表格"/>
    <w:basedOn w:val="a3"/>
    <w:link w:val="Charfffff9"/>
    <w:unhideWhenUsed/>
    <w:qFormat/>
    <w:pPr>
      <w:adjustRightInd w:val="0"/>
      <w:spacing w:before="60" w:after="60" w:line="240" w:lineRule="atLeast"/>
      <w:jc w:val="center"/>
      <w:textAlignment w:val="baseline"/>
    </w:pPr>
    <w:rPr>
      <w:rFonts w:hint="eastAsia"/>
      <w:sz w:val="21"/>
      <w:szCs w:val="20"/>
    </w:rPr>
  </w:style>
  <w:style w:type="paragraph" w:customStyle="1" w:styleId="afffffffffffffffffffffff1">
    <w:name w:val="加粗正文"/>
    <w:basedOn w:val="a3"/>
    <w:next w:val="af2"/>
    <w:unhideWhenUsed/>
    <w:qFormat/>
    <w:rPr>
      <w:rFonts w:ascii="宋体" w:hAnsi="Courier New" w:hint="eastAsia"/>
      <w:sz w:val="21"/>
      <w:szCs w:val="24"/>
    </w:rPr>
  </w:style>
  <w:style w:type="paragraph" w:customStyle="1" w:styleId="233">
    <w:name w:val="样式 首行缩进:  2 字符3"/>
    <w:basedOn w:val="a3"/>
    <w:unhideWhenUsed/>
    <w:qFormat/>
    <w:pPr>
      <w:ind w:firstLine="567"/>
    </w:pPr>
    <w:rPr>
      <w:rFonts w:hint="eastAsia"/>
      <w:szCs w:val="24"/>
    </w:rPr>
  </w:style>
  <w:style w:type="paragraph" w:customStyle="1" w:styleId="11H1h11stlevelSectionHeadl1H11H12A2">
    <w:name w:val="样式 样式 标题 1标题1章节H1一、h11st levelSection Headl1H11H12第A章第*...2 + 加粗..."/>
    <w:basedOn w:val="a3"/>
    <w:unhideWhenUsed/>
    <w:qFormat/>
    <w:pPr>
      <w:keepNext/>
      <w:keepLines/>
      <w:spacing w:before="240" w:after="240" w:line="520" w:lineRule="exact"/>
      <w:outlineLvl w:val="0"/>
    </w:pPr>
    <w:rPr>
      <w:rFonts w:ascii="宋体" w:eastAsia="黑体" w:hAnsi="宋体" w:hint="eastAsia"/>
      <w:b/>
      <w:color w:val="000000"/>
      <w:sz w:val="32"/>
      <w:szCs w:val="24"/>
    </w:rPr>
  </w:style>
  <w:style w:type="paragraph" w:customStyle="1" w:styleId="262">
    <w:name w:val="样式 (符号) 宋体 小四 行距: 固定值 26 磅"/>
    <w:basedOn w:val="a3"/>
    <w:unhideWhenUsed/>
    <w:qFormat/>
    <w:pPr>
      <w:widowControl/>
      <w:spacing w:line="280" w:lineRule="exact"/>
    </w:pPr>
    <w:rPr>
      <w:rFonts w:hint="eastAsia"/>
      <w:spacing w:val="-8"/>
      <w:sz w:val="18"/>
      <w:szCs w:val="24"/>
    </w:rPr>
  </w:style>
  <w:style w:type="paragraph" w:customStyle="1" w:styleId="HD3">
    <w:name w:val="HD3"/>
    <w:basedOn w:val="a3"/>
    <w:unhideWhenUsed/>
    <w:qFormat/>
    <w:pPr>
      <w:keepNext/>
      <w:keepLines/>
      <w:spacing w:before="120" w:after="120" w:line="480" w:lineRule="exact"/>
      <w:outlineLvl w:val="4"/>
    </w:pPr>
    <w:rPr>
      <w:rFonts w:hint="eastAsia"/>
      <w:b/>
      <w:sz w:val="28"/>
      <w:szCs w:val="24"/>
    </w:rPr>
  </w:style>
  <w:style w:type="paragraph" w:customStyle="1" w:styleId="3CharChar1">
    <w:name w:val="样式 标题 3 + 宋体 Char Char"/>
    <w:basedOn w:val="310"/>
    <w:link w:val="3CharCharChar1"/>
    <w:unhideWhenUsed/>
    <w:qFormat/>
    <w:pPr>
      <w:overflowPunct w:val="0"/>
      <w:spacing w:beforeLines="0" w:beforeAutospacing="1" w:afterLines="0" w:line="420" w:lineRule="auto"/>
      <w:ind w:firstLineChars="0" w:firstLine="0"/>
    </w:pPr>
    <w:rPr>
      <w:szCs w:val="20"/>
    </w:rPr>
  </w:style>
  <w:style w:type="paragraph" w:customStyle="1" w:styleId="104">
    <w:name w:val="样式 宋体 10 磅 黑色 居中"/>
    <w:basedOn w:val="a3"/>
    <w:next w:val="a3"/>
    <w:unhideWhenUsed/>
    <w:qFormat/>
    <w:pPr>
      <w:jc w:val="center"/>
    </w:pPr>
    <w:rPr>
      <w:rFonts w:ascii="宋体" w:hint="eastAsia"/>
      <w:color w:val="000000"/>
      <w:sz w:val="20"/>
      <w:szCs w:val="24"/>
    </w:rPr>
  </w:style>
  <w:style w:type="paragraph" w:customStyle="1" w:styleId="wang">
    <w:name w:val="正文wang"/>
    <w:basedOn w:val="a3"/>
    <w:link w:val="wangChar"/>
    <w:unhideWhenUsed/>
    <w:qFormat/>
    <w:pPr>
      <w:adjustRightInd w:val="0"/>
      <w:spacing w:beforeLines="25"/>
    </w:pPr>
    <w:rPr>
      <w:rFonts w:hAnsi="宋体" w:hint="eastAsia"/>
      <w:sz w:val="21"/>
      <w:szCs w:val="20"/>
    </w:rPr>
  </w:style>
  <w:style w:type="paragraph" w:customStyle="1" w:styleId="22c">
    <w:name w:val="样式 正文缩进正文（首行缩进两字）正文2 + 首行缩进:  2 字符"/>
    <w:basedOn w:val="1b"/>
    <w:unhideWhenUsed/>
    <w:qFormat/>
    <w:pPr>
      <w:spacing w:line="500" w:lineRule="exact"/>
      <w:ind w:firstLine="200"/>
    </w:pPr>
    <w:rPr>
      <w:rFonts w:ascii="Arial" w:hAnsi="Arial"/>
      <w:sz w:val="24"/>
    </w:rPr>
  </w:style>
  <w:style w:type="paragraph" w:customStyle="1" w:styleId="2230">
    <w:name w:val="样式 首行缩进:  2 字符 行距: 固定值 23 磅"/>
    <w:basedOn w:val="a3"/>
    <w:unhideWhenUsed/>
    <w:qFormat/>
    <w:pPr>
      <w:spacing w:line="460" w:lineRule="exact"/>
      <w:ind w:firstLine="648"/>
    </w:pPr>
    <w:rPr>
      <w:rFonts w:hint="eastAsia"/>
      <w:szCs w:val="24"/>
    </w:rPr>
  </w:style>
  <w:style w:type="paragraph" w:customStyle="1" w:styleId="31a">
    <w:name w:val="正文文本缩进 31"/>
    <w:basedOn w:val="a3"/>
    <w:unhideWhenUsed/>
    <w:qFormat/>
    <w:pPr>
      <w:tabs>
        <w:tab w:val="left" w:pos="0"/>
      </w:tabs>
      <w:adjustRightInd w:val="0"/>
      <w:spacing w:line="396" w:lineRule="atLeast"/>
      <w:ind w:firstLine="560"/>
      <w:jc w:val="left"/>
      <w:textAlignment w:val="baseline"/>
    </w:pPr>
    <w:rPr>
      <w:rFonts w:ascii="宋体" w:hint="eastAsia"/>
      <w:szCs w:val="24"/>
    </w:rPr>
  </w:style>
  <w:style w:type="paragraph" w:customStyle="1" w:styleId="3ff5">
    <w:name w:val="样式 标题 3 + 宋体"/>
    <w:basedOn w:val="310"/>
    <w:unhideWhenUsed/>
    <w:qFormat/>
    <w:pPr>
      <w:overflowPunct w:val="0"/>
      <w:spacing w:beforeLines="0" w:beforeAutospacing="1" w:afterLines="0"/>
      <w:ind w:firstLineChars="0" w:firstLine="0"/>
    </w:pPr>
    <w:rPr>
      <w:rFonts w:eastAsia="黑体"/>
      <w:b w:val="0"/>
      <w:sz w:val="28"/>
      <w:szCs w:val="28"/>
    </w:rPr>
  </w:style>
  <w:style w:type="paragraph" w:customStyle="1" w:styleId="Web2">
    <w:name w:val="普通(Web)2"/>
    <w:basedOn w:val="a3"/>
    <w:unhideWhenUsed/>
    <w:qFormat/>
    <w:pPr>
      <w:widowControl/>
      <w:spacing w:before="225" w:after="225" w:line="345" w:lineRule="atLeast"/>
      <w:jc w:val="left"/>
    </w:pPr>
    <w:rPr>
      <w:rFonts w:ascii="宋体" w:hAnsi="宋体" w:hint="eastAsia"/>
      <w:sz w:val="21"/>
      <w:szCs w:val="24"/>
    </w:rPr>
  </w:style>
  <w:style w:type="paragraph" w:customStyle="1" w:styleId="afffffffffffffffffffffff2">
    <w:name w:val="封面落款"/>
    <w:basedOn w:val="a3"/>
    <w:next w:val="a3"/>
    <w:unhideWhenUsed/>
    <w:qFormat/>
    <w:pPr>
      <w:jc w:val="center"/>
    </w:pPr>
    <w:rPr>
      <w:rFonts w:ascii="宋体" w:hint="eastAsia"/>
      <w:sz w:val="32"/>
      <w:szCs w:val="24"/>
    </w:rPr>
  </w:style>
  <w:style w:type="paragraph" w:customStyle="1" w:styleId="128">
    <w:name w:val="样式 标题 1 + 首行缩进:  2 字符"/>
    <w:basedOn w:val="110"/>
    <w:unhideWhenUsed/>
    <w:qFormat/>
    <w:pPr>
      <w:tabs>
        <w:tab w:val="left" w:pos="-114"/>
        <w:tab w:val="left" w:pos="1152"/>
      </w:tabs>
      <w:overflowPunct w:val="0"/>
      <w:autoSpaceDN w:val="0"/>
      <w:spacing w:beforeLines="0" w:afterLines="0" w:line="500" w:lineRule="exact"/>
      <w:ind w:firstLineChars="0" w:firstLine="0"/>
      <w:jc w:val="left"/>
    </w:pPr>
    <w:rPr>
      <w:b w:val="0"/>
      <w:kern w:val="2"/>
      <w:sz w:val="30"/>
      <w:szCs w:val="24"/>
    </w:rPr>
  </w:style>
  <w:style w:type="paragraph" w:customStyle="1" w:styleId="129">
    <w:name w:val="样式 目录 1 + 首行缩进:  2 字符"/>
    <w:basedOn w:val="112"/>
    <w:unhideWhenUsed/>
    <w:qFormat/>
    <w:pPr>
      <w:wordWrap w:val="0"/>
      <w:overflowPunct w:val="0"/>
      <w:snapToGrid w:val="0"/>
      <w:ind w:firstLine="402"/>
    </w:pPr>
    <w:rPr>
      <w:rFonts w:eastAsia="仿宋_GB2312" w:cs="宋体"/>
      <w:sz w:val="28"/>
      <w:szCs w:val="24"/>
    </w:rPr>
  </w:style>
  <w:style w:type="paragraph" w:customStyle="1" w:styleId="2120">
    <w:name w:val="样式 样式 样式 样式 样式 样式 样式 样式 样式 样式 样式 首行缩进:  2 字符1 + 首行缩进:  2 字符 + 首行..."/>
    <w:basedOn w:val="a3"/>
    <w:unhideWhenUsed/>
    <w:qFormat/>
    <w:pPr>
      <w:spacing w:line="480" w:lineRule="exact"/>
      <w:ind w:firstLine="560"/>
    </w:pPr>
    <w:rPr>
      <w:rFonts w:cs="宋体" w:hint="eastAsia"/>
      <w:szCs w:val="20"/>
    </w:rPr>
  </w:style>
  <w:style w:type="paragraph" w:customStyle="1" w:styleId="3ff6">
    <w:name w:val="表格文字3"/>
    <w:basedOn w:val="a3"/>
    <w:next w:val="a3"/>
    <w:unhideWhenUsed/>
    <w:qFormat/>
    <w:pPr>
      <w:widowControl/>
      <w:adjustRightInd w:val="0"/>
      <w:snapToGrid w:val="0"/>
      <w:spacing w:line="240" w:lineRule="atLeast"/>
      <w:ind w:rightChars="1" w:right="2"/>
      <w:jc w:val="center"/>
    </w:pPr>
    <w:rPr>
      <w:rFonts w:hint="eastAsia"/>
      <w:color w:val="FF0000"/>
      <w:spacing w:val="-10"/>
      <w:sz w:val="21"/>
    </w:rPr>
  </w:style>
  <w:style w:type="paragraph" w:customStyle="1" w:styleId="afffffffffffffffffffffff3">
    <w:name w:val="中交正文"/>
    <w:basedOn w:val="a3"/>
    <w:link w:val="Charfffffa"/>
    <w:unhideWhenUsed/>
    <w:qFormat/>
    <w:pPr>
      <w:spacing w:line="500" w:lineRule="exact"/>
      <w:ind w:firstLine="480"/>
    </w:pPr>
    <w:rPr>
      <w:rFonts w:hint="eastAsia"/>
      <w:szCs w:val="24"/>
    </w:rPr>
  </w:style>
  <w:style w:type="paragraph" w:customStyle="1" w:styleId="afffffffffffffffffffffff4">
    <w:name w:val="表格式"/>
    <w:basedOn w:val="aff0"/>
    <w:unhideWhenUsed/>
    <w:qFormat/>
    <w:pPr>
      <w:spacing w:beforeLines="50" w:afterLines="50" w:line="200" w:lineRule="exact"/>
      <w:jc w:val="center"/>
    </w:pPr>
    <w:rPr>
      <w:rFonts w:hint="eastAsia"/>
      <w:sz w:val="21"/>
      <w:szCs w:val="24"/>
    </w:rPr>
  </w:style>
  <w:style w:type="paragraph" w:customStyle="1" w:styleId="611">
    <w:name w:val="标题 61"/>
    <w:basedOn w:val="a3"/>
    <w:uiPriority w:val="1"/>
    <w:unhideWhenUsed/>
    <w:qFormat/>
    <w:pPr>
      <w:jc w:val="left"/>
      <w:outlineLvl w:val="6"/>
    </w:pPr>
    <w:rPr>
      <w:rFonts w:ascii="Microsoft JhengHei" w:eastAsia="Microsoft JhengHei" w:hAnsi="Microsoft JhengHei" w:hint="eastAsia"/>
      <w:b/>
      <w:szCs w:val="24"/>
      <w:lang w:eastAsia="en-US"/>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3"/>
    <w:unhideWhenUsed/>
    <w:qFormat/>
    <w:pPr>
      <w:widowControl/>
      <w:jc w:val="left"/>
    </w:pPr>
    <w:rPr>
      <w:rFonts w:ascii="Calibri" w:hAnsi="Calibri" w:hint="eastAsia"/>
      <w:sz w:val="21"/>
    </w:rPr>
  </w:style>
  <w:style w:type="paragraph" w:customStyle="1" w:styleId="CharCharCharCharCharCharCharCharCharCharCharCharCharCharCharCharCharCharCharCharCharCharCharChar6">
    <w:name w:val="Char Char Char Char Char Char Char Char Char Char Char Char Char Char Char Char Char Char Char Char Char Char Char Char6"/>
    <w:basedOn w:val="a3"/>
    <w:unhideWhenUsed/>
    <w:qFormat/>
    <w:pPr>
      <w:widowControl/>
      <w:jc w:val="left"/>
    </w:pPr>
    <w:rPr>
      <w:rFonts w:hint="eastAsia"/>
      <w:sz w:val="21"/>
    </w:rPr>
  </w:style>
  <w:style w:type="paragraph" w:customStyle="1" w:styleId="CharCharCharCharCharCharCharCharCharCharCharCharCharCharCharCharCharCharCharCharCharCharCharChar5">
    <w:name w:val="Char Char Char Char Char Char Char Char Char Char Char Char Char Char Char Char Char Char Char Char Char Char Char Char5"/>
    <w:basedOn w:val="a3"/>
    <w:unhideWhenUsed/>
    <w:qFormat/>
    <w:pPr>
      <w:widowControl/>
      <w:jc w:val="left"/>
    </w:pPr>
    <w:rPr>
      <w:rFonts w:hint="eastAsia"/>
      <w:sz w:val="21"/>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3"/>
    <w:unhideWhenUsed/>
    <w:qFormat/>
    <w:pPr>
      <w:widowControl/>
      <w:jc w:val="left"/>
    </w:pPr>
    <w:rPr>
      <w:rFonts w:hint="eastAsia"/>
      <w:sz w:val="21"/>
    </w:rPr>
  </w:style>
  <w:style w:type="paragraph" w:customStyle="1" w:styleId="180">
    <w:name w:val="样式18"/>
    <w:basedOn w:val="3ff"/>
    <w:link w:val="181"/>
    <w:unhideWhenUsed/>
    <w:qFormat/>
  </w:style>
  <w:style w:type="paragraph" w:customStyle="1" w:styleId="afffffffffffffffffffffff5">
    <w:name w:val="ÕýÎÄ"/>
    <w:link w:val="Charfffffb"/>
    <w:unhideWhenUsed/>
    <w:qFormat/>
    <w:pPr>
      <w:widowControl w:val="0"/>
      <w:overflowPunct w:val="0"/>
      <w:autoSpaceDE w:val="0"/>
      <w:autoSpaceDN w:val="0"/>
      <w:adjustRightInd w:val="0"/>
      <w:spacing w:line="351" w:lineRule="atLeast"/>
      <w:ind w:firstLine="419"/>
      <w:jc w:val="both"/>
      <w:textAlignment w:val="baseline"/>
    </w:pPr>
    <w:rPr>
      <w:rFonts w:hint="eastAsia"/>
      <w:color w:val="000000"/>
      <w:sz w:val="21"/>
    </w:rPr>
  </w:style>
  <w:style w:type="paragraph" w:customStyle="1" w:styleId="CharCharCharCharCharCharCharCharCharCharCharCharCharCharCharCharCharCharCharCharCharCharCharCharCharCharCharCharCharCharCharCharCharCharCharCharCharCharCharCharCharCharCharCharCharCharCharChar1">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1b"/>
    <w:unhideWhenUsed/>
    <w:qFormat/>
    <w:pPr>
      <w:widowControl/>
      <w:overflowPunct w:val="0"/>
      <w:autoSpaceDE w:val="0"/>
      <w:autoSpaceDN w:val="0"/>
      <w:adjustRightInd w:val="0"/>
      <w:ind w:firstLine="491"/>
      <w:textAlignment w:val="baseline"/>
    </w:pPr>
    <w:rPr>
      <w:sz w:val="24"/>
    </w:rPr>
  </w:style>
  <w:style w:type="paragraph" w:customStyle="1" w:styleId="RGB0067240">
    <w:name w:val="样式 ˎ̥ 小四 自定义颜(RGB(0067)) 行距: 固定值 24 磅"/>
    <w:basedOn w:val="a3"/>
    <w:unhideWhenUsed/>
    <w:qFormat/>
    <w:pPr>
      <w:spacing w:line="480" w:lineRule="exact"/>
    </w:pPr>
    <w:rPr>
      <w:rFonts w:ascii="??" w:hAnsi="??" w:cs="宋体" w:hint="eastAsia"/>
      <w:color w:val="000043"/>
      <w:szCs w:val="20"/>
    </w:rPr>
  </w:style>
  <w:style w:type="character" w:customStyle="1" w:styleId="1113">
    <w:name w:val="标题 1 字符11"/>
    <w:basedOn w:val="a6"/>
    <w:uiPriority w:val="9"/>
    <w:unhideWhenUsed/>
    <w:qFormat/>
    <w:rPr>
      <w:rFonts w:cs="Times New Roman" w:hint="default"/>
      <w:b/>
      <w:kern w:val="44"/>
      <w:sz w:val="44"/>
      <w:szCs w:val="44"/>
    </w:rPr>
  </w:style>
  <w:style w:type="character" w:customStyle="1" w:styleId="2111">
    <w:name w:val="标题 2 字符11"/>
    <w:basedOn w:val="a6"/>
    <w:uiPriority w:val="9"/>
    <w:unhideWhenUsed/>
    <w:qFormat/>
    <w:rPr>
      <w:rFonts w:ascii="Calibri Light" w:eastAsia="宋体" w:hAnsi="Calibri Light" w:cs="Times New Roman" w:hint="eastAsia"/>
      <w:b/>
      <w:kern w:val="2"/>
      <w:sz w:val="32"/>
      <w:szCs w:val="32"/>
    </w:rPr>
  </w:style>
  <w:style w:type="character" w:customStyle="1" w:styleId="3110">
    <w:name w:val="标题 3 字符11"/>
    <w:basedOn w:val="a6"/>
    <w:uiPriority w:val="9"/>
    <w:unhideWhenUsed/>
    <w:qFormat/>
    <w:rPr>
      <w:rFonts w:cs="Times New Roman" w:hint="default"/>
      <w:b/>
      <w:kern w:val="2"/>
      <w:sz w:val="32"/>
      <w:szCs w:val="32"/>
    </w:rPr>
  </w:style>
  <w:style w:type="character" w:customStyle="1" w:styleId="4111">
    <w:name w:val="标题 4 字符11"/>
    <w:basedOn w:val="a6"/>
    <w:uiPriority w:val="9"/>
    <w:unhideWhenUsed/>
    <w:qFormat/>
    <w:rPr>
      <w:rFonts w:ascii="Calibri Light" w:eastAsia="宋体" w:hAnsi="Calibri Light" w:cs="Times New Roman" w:hint="eastAsia"/>
      <w:b/>
      <w:kern w:val="2"/>
      <w:sz w:val="28"/>
      <w:szCs w:val="28"/>
    </w:rPr>
  </w:style>
  <w:style w:type="character" w:customStyle="1" w:styleId="5f2">
    <w:name w:val="标题 5 字符"/>
    <w:basedOn w:val="a6"/>
    <w:uiPriority w:val="9"/>
    <w:unhideWhenUsed/>
    <w:qFormat/>
    <w:rPr>
      <w:rFonts w:cs="Times New Roman" w:hint="default"/>
      <w:b/>
      <w:kern w:val="2"/>
      <w:sz w:val="28"/>
      <w:szCs w:val="28"/>
    </w:rPr>
  </w:style>
  <w:style w:type="character" w:customStyle="1" w:styleId="65">
    <w:name w:val="标题 6 字符"/>
    <w:basedOn w:val="a6"/>
    <w:uiPriority w:val="9"/>
    <w:unhideWhenUsed/>
    <w:qFormat/>
    <w:rPr>
      <w:rFonts w:ascii="Calibri Light" w:eastAsia="宋体" w:hAnsi="Calibri Light" w:cs="Times New Roman" w:hint="eastAsia"/>
      <w:b/>
      <w:kern w:val="2"/>
      <w:sz w:val="24"/>
      <w:szCs w:val="24"/>
    </w:rPr>
  </w:style>
  <w:style w:type="character" w:customStyle="1" w:styleId="77">
    <w:name w:val="标题 7 字符"/>
    <w:basedOn w:val="a6"/>
    <w:uiPriority w:val="9"/>
    <w:unhideWhenUsed/>
    <w:qFormat/>
    <w:rPr>
      <w:rFonts w:cs="Times New Roman" w:hint="default"/>
      <w:b/>
      <w:kern w:val="2"/>
      <w:sz w:val="24"/>
      <w:szCs w:val="24"/>
    </w:rPr>
  </w:style>
  <w:style w:type="character" w:customStyle="1" w:styleId="86">
    <w:name w:val="标题 8 字符"/>
    <w:basedOn w:val="a6"/>
    <w:uiPriority w:val="9"/>
    <w:unhideWhenUsed/>
    <w:qFormat/>
    <w:rPr>
      <w:rFonts w:ascii="Calibri Light" w:eastAsia="宋体" w:hAnsi="Calibri Light" w:cs="Times New Roman" w:hint="eastAsia"/>
      <w:kern w:val="2"/>
      <w:sz w:val="24"/>
      <w:szCs w:val="24"/>
    </w:rPr>
  </w:style>
  <w:style w:type="character" w:customStyle="1" w:styleId="96">
    <w:name w:val="标题 9 字符"/>
    <w:basedOn w:val="a6"/>
    <w:uiPriority w:val="9"/>
    <w:unhideWhenUsed/>
    <w:qFormat/>
    <w:rPr>
      <w:rFonts w:ascii="Calibri Light" w:eastAsia="宋体" w:hAnsi="Calibri Light" w:cs="Times New Roman" w:hint="eastAsia"/>
      <w:kern w:val="2"/>
      <w:sz w:val="21"/>
      <w:szCs w:val="21"/>
    </w:rPr>
  </w:style>
  <w:style w:type="character" w:customStyle="1" w:styleId="1210">
    <w:name w:val="标题 1 字符21"/>
    <w:uiPriority w:val="9"/>
    <w:unhideWhenUsed/>
    <w:qFormat/>
    <w:rPr>
      <w:rFonts w:hint="default"/>
      <w:b/>
      <w:kern w:val="44"/>
      <w:sz w:val="44"/>
      <w:szCs w:val="24"/>
    </w:rPr>
  </w:style>
  <w:style w:type="character" w:customStyle="1" w:styleId="2210">
    <w:name w:val="标题 2 字符21"/>
    <w:unhideWhenUsed/>
    <w:qFormat/>
    <w:rPr>
      <w:rFonts w:ascii="Calibri Light" w:eastAsia="宋体" w:hAnsi="Calibri Light" w:hint="eastAsia"/>
      <w:b/>
      <w:kern w:val="2"/>
      <w:sz w:val="32"/>
      <w:szCs w:val="24"/>
    </w:rPr>
  </w:style>
  <w:style w:type="character" w:customStyle="1" w:styleId="3213">
    <w:name w:val="标题 3 字符21"/>
    <w:unhideWhenUsed/>
    <w:qFormat/>
    <w:rPr>
      <w:rFonts w:hint="default"/>
      <w:b/>
      <w:kern w:val="2"/>
      <w:sz w:val="32"/>
      <w:szCs w:val="24"/>
    </w:rPr>
  </w:style>
  <w:style w:type="character" w:customStyle="1" w:styleId="11a">
    <w:name w:val="正文文本 字符11"/>
    <w:basedOn w:val="a6"/>
    <w:unhideWhenUsed/>
    <w:qFormat/>
    <w:rPr>
      <w:rFonts w:cs="Times New Roman" w:hint="default"/>
      <w:kern w:val="2"/>
      <w:sz w:val="24"/>
      <w:szCs w:val="24"/>
    </w:rPr>
  </w:style>
  <w:style w:type="character" w:customStyle="1" w:styleId="2fff8">
    <w:name w:val="正文文本 字符2"/>
    <w:unhideWhenUsed/>
    <w:qFormat/>
    <w:rPr>
      <w:rFonts w:hint="default"/>
      <w:sz w:val="24"/>
      <w:szCs w:val="24"/>
    </w:rPr>
  </w:style>
  <w:style w:type="character" w:customStyle="1" w:styleId="4230">
    <w:name w:val="标题 4 字符23"/>
    <w:uiPriority w:val="9"/>
    <w:unhideWhenUsed/>
    <w:qFormat/>
    <w:rPr>
      <w:rFonts w:ascii="Calibri Light" w:eastAsia="宋体" w:hAnsi="Calibri Light" w:hint="eastAsia"/>
      <w:b/>
      <w:kern w:val="2"/>
      <w:sz w:val="28"/>
      <w:szCs w:val="24"/>
    </w:rPr>
  </w:style>
  <w:style w:type="character" w:customStyle="1" w:styleId="22d">
    <w:name w:val="正文缩进 字符22"/>
    <w:unhideWhenUsed/>
    <w:qFormat/>
    <w:rPr>
      <w:rFonts w:hint="default"/>
      <w:kern w:val="2"/>
      <w:sz w:val="21"/>
      <w:szCs w:val="24"/>
    </w:rPr>
  </w:style>
  <w:style w:type="character" w:customStyle="1" w:styleId="5Char">
    <w:name w:val="标题 5 Char"/>
    <w:link w:val="52"/>
    <w:unhideWhenUsed/>
    <w:qFormat/>
    <w:rPr>
      <w:rFonts w:hint="default"/>
      <w:b/>
      <w:kern w:val="2"/>
      <w:sz w:val="28"/>
      <w:szCs w:val="24"/>
    </w:rPr>
  </w:style>
  <w:style w:type="character" w:customStyle="1" w:styleId="6Char">
    <w:name w:val="标题 6 Char"/>
    <w:link w:val="6"/>
    <w:uiPriority w:val="9"/>
    <w:unhideWhenUsed/>
    <w:qFormat/>
    <w:rPr>
      <w:rFonts w:ascii="Calibri Light" w:eastAsia="宋体" w:hAnsi="Calibri Light" w:hint="eastAsia"/>
      <w:b/>
      <w:kern w:val="2"/>
      <w:sz w:val="24"/>
      <w:szCs w:val="24"/>
    </w:rPr>
  </w:style>
  <w:style w:type="character" w:customStyle="1" w:styleId="7Char">
    <w:name w:val="标题 7 Char"/>
    <w:link w:val="7"/>
    <w:unhideWhenUsed/>
    <w:qFormat/>
    <w:rPr>
      <w:rFonts w:hint="default"/>
      <w:b/>
      <w:kern w:val="2"/>
      <w:sz w:val="24"/>
      <w:szCs w:val="24"/>
    </w:rPr>
  </w:style>
  <w:style w:type="character" w:customStyle="1" w:styleId="8Char">
    <w:name w:val="标题 8 Char"/>
    <w:link w:val="8"/>
    <w:uiPriority w:val="9"/>
    <w:unhideWhenUsed/>
    <w:qFormat/>
    <w:rPr>
      <w:rFonts w:ascii="Calibri Light" w:eastAsia="宋体" w:hAnsi="Calibri Light" w:hint="eastAsia"/>
      <w:kern w:val="2"/>
      <w:sz w:val="24"/>
      <w:szCs w:val="24"/>
    </w:rPr>
  </w:style>
  <w:style w:type="character" w:customStyle="1" w:styleId="9Char">
    <w:name w:val="标题 9 Char"/>
    <w:link w:val="9"/>
    <w:unhideWhenUsed/>
    <w:qFormat/>
    <w:rPr>
      <w:rFonts w:ascii="Calibri Light" w:eastAsia="宋体" w:hAnsi="Calibri Light" w:hint="eastAsia"/>
      <w:kern w:val="2"/>
      <w:sz w:val="21"/>
      <w:szCs w:val="24"/>
    </w:rPr>
  </w:style>
  <w:style w:type="character" w:customStyle="1" w:styleId="1Char8">
    <w:name w:val="表1 Char"/>
    <w:unhideWhenUsed/>
    <w:qFormat/>
    <w:rPr>
      <w:rFonts w:hint="default"/>
      <w:sz w:val="21"/>
      <w:szCs w:val="24"/>
    </w:rPr>
  </w:style>
  <w:style w:type="character" w:customStyle="1" w:styleId="ourfont2">
    <w:name w:val="ourfont2"/>
    <w:unhideWhenUsed/>
    <w:qFormat/>
    <w:rPr>
      <w:rFonts w:ascii="宋体" w:eastAsia="宋体" w:hAnsi="宋体" w:hint="eastAsia"/>
      <w:sz w:val="18"/>
      <w:szCs w:val="24"/>
    </w:rPr>
  </w:style>
  <w:style w:type="character" w:customStyle="1" w:styleId="Charfffffc">
    <w:name w:val="表格内容 Char"/>
    <w:unhideWhenUsed/>
    <w:qFormat/>
    <w:rPr>
      <w:rFonts w:ascii="Arial" w:eastAsia="仿宋_GB2312" w:hAnsi="Arial" w:hint="eastAsia"/>
      <w:sz w:val="24"/>
      <w:szCs w:val="24"/>
    </w:rPr>
  </w:style>
  <w:style w:type="character" w:customStyle="1" w:styleId="Charfffffd">
    <w:name w:val="三级标题 Char"/>
    <w:unhideWhenUsed/>
    <w:qFormat/>
    <w:rPr>
      <w:rFonts w:hint="default"/>
      <w:b/>
      <w:kern w:val="2"/>
      <w:sz w:val="24"/>
      <w:szCs w:val="24"/>
    </w:rPr>
  </w:style>
  <w:style w:type="character" w:customStyle="1" w:styleId="01Char">
    <w:name w:val="正文01 Char"/>
    <w:link w:val="01"/>
    <w:unhideWhenUsed/>
    <w:qFormat/>
    <w:rPr>
      <w:rFonts w:hint="default"/>
      <w:kern w:val="2"/>
      <w:sz w:val="24"/>
      <w:szCs w:val="24"/>
    </w:rPr>
  </w:style>
  <w:style w:type="character" w:customStyle="1" w:styleId="CharCharCharCharChar0">
    <w:name w:val="Char Char Char Char Char"/>
    <w:unhideWhenUsed/>
    <w:qFormat/>
    <w:rPr>
      <w:rFonts w:eastAsia="仿宋_GB2312" w:hint="default"/>
      <w:kern w:val="2"/>
      <w:sz w:val="18"/>
      <w:szCs w:val="24"/>
    </w:rPr>
  </w:style>
  <w:style w:type="character" w:customStyle="1" w:styleId="f121">
    <w:name w:val="f121"/>
    <w:unhideWhenUsed/>
    <w:qFormat/>
    <w:rPr>
      <w:rFonts w:hint="default"/>
      <w:sz w:val="18"/>
      <w:szCs w:val="24"/>
    </w:rPr>
  </w:style>
  <w:style w:type="character" w:customStyle="1" w:styleId="nfdjsaeriu1">
    <w:name w:val="nfdjsaeriu1"/>
    <w:unhideWhenUsed/>
    <w:qFormat/>
    <w:rPr>
      <w:rFonts w:hint="default"/>
      <w:vanish/>
      <w:sz w:val="24"/>
      <w:szCs w:val="24"/>
    </w:rPr>
  </w:style>
  <w:style w:type="character" w:customStyle="1" w:styleId="Charf8">
    <w:name w:val="正文格式 Char"/>
    <w:link w:val="affffe"/>
    <w:unhideWhenUsed/>
    <w:qFormat/>
    <w:rPr>
      <w:rFonts w:ascii="宋体" w:eastAsia="宋体" w:hint="eastAsia"/>
      <w:kern w:val="2"/>
      <w:sz w:val="24"/>
      <w:szCs w:val="24"/>
    </w:rPr>
  </w:style>
  <w:style w:type="character" w:customStyle="1" w:styleId="2Char2">
    <w:name w:val="正文首行缩进2个字 Char"/>
    <w:link w:val="2d"/>
    <w:unhideWhenUsed/>
    <w:qFormat/>
    <w:rPr>
      <w:rFonts w:hint="default"/>
      <w:kern w:val="2"/>
      <w:sz w:val="24"/>
      <w:szCs w:val="24"/>
    </w:rPr>
  </w:style>
  <w:style w:type="character" w:customStyle="1" w:styleId="Charb">
    <w:name w:val="副标题 Char"/>
    <w:link w:val="aff"/>
    <w:unhideWhenUsed/>
    <w:qFormat/>
    <w:rPr>
      <w:rFonts w:ascii="Cambria" w:hint="default"/>
      <w:b/>
      <w:kern w:val="28"/>
      <w:sz w:val="32"/>
      <w:szCs w:val="24"/>
    </w:rPr>
  </w:style>
  <w:style w:type="character" w:customStyle="1" w:styleId="afffffffffffffffffffffff6">
    <w:name w:val="副标题 字符"/>
    <w:basedOn w:val="a6"/>
    <w:uiPriority w:val="11"/>
    <w:unhideWhenUsed/>
    <w:qFormat/>
    <w:rPr>
      <w:rFonts w:ascii="Calibri" w:eastAsia="宋体" w:hAnsi="Calibri" w:cs="Times New Roman" w:hint="eastAsia"/>
      <w:b/>
      <w:kern w:val="28"/>
      <w:sz w:val="32"/>
      <w:szCs w:val="32"/>
    </w:rPr>
  </w:style>
  <w:style w:type="character" w:customStyle="1" w:styleId="Charf9">
    <w:name w:val="样式 正文格式 Char"/>
    <w:link w:val="afffff"/>
    <w:unhideWhenUsed/>
    <w:qFormat/>
    <w:rPr>
      <w:rFonts w:hint="default"/>
      <w:sz w:val="24"/>
      <w:szCs w:val="24"/>
    </w:rPr>
  </w:style>
  <w:style w:type="character" w:customStyle="1" w:styleId="afffffffffffffffffffffff7">
    <w:name w:val="正文文本缩进 字符"/>
    <w:basedOn w:val="a6"/>
    <w:uiPriority w:val="99"/>
    <w:unhideWhenUsed/>
    <w:qFormat/>
    <w:rPr>
      <w:rFonts w:cs="Times New Roman" w:hint="default"/>
      <w:kern w:val="2"/>
      <w:sz w:val="24"/>
      <w:szCs w:val="24"/>
    </w:rPr>
  </w:style>
  <w:style w:type="character" w:customStyle="1" w:styleId="2fff9">
    <w:name w:val="正文文本缩进 字符2"/>
    <w:unhideWhenUsed/>
    <w:qFormat/>
    <w:rPr>
      <w:rFonts w:hint="default"/>
      <w:kern w:val="2"/>
      <w:sz w:val="24"/>
      <w:szCs w:val="24"/>
    </w:rPr>
  </w:style>
  <w:style w:type="character" w:customStyle="1" w:styleId="Char7">
    <w:name w:val="日期 Char"/>
    <w:link w:val="af7"/>
    <w:unhideWhenUsed/>
    <w:qFormat/>
    <w:rPr>
      <w:rFonts w:eastAsia="仿宋_GB2312" w:hint="default"/>
      <w:b/>
      <w:kern w:val="2"/>
      <w:sz w:val="24"/>
      <w:szCs w:val="24"/>
    </w:rPr>
  </w:style>
  <w:style w:type="character" w:customStyle="1" w:styleId="p1481">
    <w:name w:val="p1481"/>
    <w:unhideWhenUsed/>
    <w:qFormat/>
    <w:rPr>
      <w:rFonts w:hint="default"/>
      <w:color w:val="515151"/>
      <w:sz w:val="22"/>
      <w:szCs w:val="24"/>
    </w:rPr>
  </w:style>
  <w:style w:type="character" w:customStyle="1" w:styleId="h31">
    <w:name w:val="h31"/>
    <w:unhideWhenUsed/>
    <w:qFormat/>
    <w:rPr>
      <w:rFonts w:hint="default"/>
      <w:sz w:val="21"/>
      <w:szCs w:val="24"/>
    </w:rPr>
  </w:style>
  <w:style w:type="character" w:customStyle="1" w:styleId="Char5">
    <w:name w:val="纯文本 Char"/>
    <w:link w:val="af2"/>
    <w:unhideWhenUsed/>
    <w:qFormat/>
    <w:rPr>
      <w:rFonts w:ascii="宋体" w:eastAsia="宋体" w:hAnsi="Courier New" w:hint="eastAsia"/>
      <w:kern w:val="2"/>
      <w:sz w:val="21"/>
      <w:szCs w:val="24"/>
    </w:rPr>
  </w:style>
  <w:style w:type="character" w:customStyle="1" w:styleId="afffffffffffffffffffffff8">
    <w:name w:val="纯文本 字符"/>
    <w:basedOn w:val="a6"/>
    <w:unhideWhenUsed/>
    <w:qFormat/>
    <w:rPr>
      <w:rFonts w:ascii="宋体" w:eastAsia="宋体" w:hAnsi="Courier New" w:cs="Courier New" w:hint="eastAsia"/>
      <w:kern w:val="2"/>
      <w:sz w:val="24"/>
      <w:szCs w:val="24"/>
    </w:rPr>
  </w:style>
  <w:style w:type="character" w:customStyle="1" w:styleId="2fffa">
    <w:name w:val="批注文字 字符2"/>
    <w:uiPriority w:val="99"/>
    <w:unhideWhenUsed/>
    <w:qFormat/>
    <w:rPr>
      <w:rFonts w:hint="default"/>
      <w:kern w:val="2"/>
      <w:sz w:val="24"/>
      <w:szCs w:val="24"/>
    </w:rPr>
  </w:style>
  <w:style w:type="character" w:customStyle="1" w:styleId="11b">
    <w:name w:val="批注文字 字符11"/>
    <w:basedOn w:val="a6"/>
    <w:uiPriority w:val="99"/>
    <w:unhideWhenUsed/>
    <w:qFormat/>
    <w:rPr>
      <w:rFonts w:cs="Times New Roman" w:hint="default"/>
      <w:kern w:val="2"/>
      <w:sz w:val="24"/>
      <w:szCs w:val="24"/>
    </w:rPr>
  </w:style>
  <w:style w:type="character" w:customStyle="1" w:styleId="tdword">
    <w:name w:val="tdword"/>
    <w:basedOn w:val="a6"/>
    <w:unhideWhenUsed/>
    <w:qFormat/>
    <w:rPr>
      <w:rFonts w:cs="Times New Roman" w:hint="default"/>
      <w:sz w:val="24"/>
      <w:szCs w:val="24"/>
    </w:rPr>
  </w:style>
  <w:style w:type="character" w:customStyle="1" w:styleId="22e">
    <w:name w:val="正文文本缩进 2 字符2"/>
    <w:unhideWhenUsed/>
    <w:qFormat/>
    <w:rPr>
      <w:rFonts w:hint="default"/>
      <w:kern w:val="2"/>
      <w:sz w:val="24"/>
      <w:szCs w:val="24"/>
    </w:rPr>
  </w:style>
  <w:style w:type="character" w:customStyle="1" w:styleId="2fffb">
    <w:name w:val="正文文本缩进 2 字符"/>
    <w:basedOn w:val="a6"/>
    <w:uiPriority w:val="99"/>
    <w:unhideWhenUsed/>
    <w:qFormat/>
    <w:rPr>
      <w:rFonts w:cs="Times New Roman" w:hint="default"/>
      <w:kern w:val="2"/>
      <w:sz w:val="24"/>
      <w:szCs w:val="24"/>
    </w:rPr>
  </w:style>
  <w:style w:type="character" w:customStyle="1" w:styleId="4Char0">
    <w:name w:val="4级（小）标题 Char"/>
    <w:link w:val="49"/>
    <w:unhideWhenUsed/>
    <w:qFormat/>
    <w:rPr>
      <w:rFonts w:hint="default"/>
      <w:b/>
      <w:kern w:val="2"/>
      <w:sz w:val="24"/>
      <w:szCs w:val="24"/>
    </w:rPr>
  </w:style>
  <w:style w:type="character" w:customStyle="1" w:styleId="Charfa">
    <w:name w:val="表格下方正文 Char"/>
    <w:link w:val="afffff0"/>
    <w:unhideWhenUsed/>
    <w:qFormat/>
    <w:rPr>
      <w:rFonts w:hint="default"/>
      <w:kern w:val="2"/>
      <w:sz w:val="24"/>
      <w:szCs w:val="24"/>
    </w:rPr>
  </w:style>
  <w:style w:type="character" w:customStyle="1" w:styleId="f241">
    <w:name w:val="f241"/>
    <w:unhideWhenUsed/>
    <w:qFormat/>
    <w:rPr>
      <w:rFonts w:hint="default"/>
      <w:sz w:val="40"/>
      <w:szCs w:val="24"/>
    </w:rPr>
  </w:style>
  <w:style w:type="character" w:customStyle="1" w:styleId="1Char9">
    <w:name w:val="样式1 Char"/>
    <w:unhideWhenUsed/>
    <w:qFormat/>
    <w:rPr>
      <w:rFonts w:ascii="方正大标宋简体" w:eastAsia="方正大标宋简体" w:hint="eastAsia"/>
      <w:b/>
      <w:kern w:val="2"/>
      <w:sz w:val="44"/>
      <w:szCs w:val="24"/>
    </w:rPr>
  </w:style>
  <w:style w:type="character" w:customStyle="1" w:styleId="Charfb">
    <w:name w:val="图表标题 Char"/>
    <w:link w:val="afffff1"/>
    <w:unhideWhenUsed/>
    <w:qFormat/>
    <w:rPr>
      <w:rFonts w:hint="default"/>
      <w:b/>
      <w:kern w:val="2"/>
      <w:sz w:val="24"/>
      <w:szCs w:val="24"/>
    </w:rPr>
  </w:style>
  <w:style w:type="character" w:customStyle="1" w:styleId="1ffff9">
    <w:name w:val="不明显强调1"/>
    <w:uiPriority w:val="19"/>
    <w:unhideWhenUsed/>
    <w:qFormat/>
    <w:rPr>
      <w:rFonts w:hint="default"/>
      <w:i/>
      <w:color w:val="808080"/>
      <w:sz w:val="24"/>
      <w:szCs w:val="24"/>
    </w:rPr>
  </w:style>
  <w:style w:type="character" w:customStyle="1" w:styleId="td21">
    <w:name w:val="td21"/>
    <w:unhideWhenUsed/>
    <w:qFormat/>
    <w:rPr>
      <w:rFonts w:ascii="黑体" w:eastAsia="黑体" w:hint="eastAsia"/>
      <w:sz w:val="21"/>
      <w:szCs w:val="24"/>
    </w:rPr>
  </w:style>
  <w:style w:type="character" w:customStyle="1" w:styleId="3Char">
    <w:name w:val="3级（次）标题 Char"/>
    <w:link w:val="39"/>
    <w:unhideWhenUsed/>
    <w:qFormat/>
    <w:rPr>
      <w:rFonts w:ascii="宋体" w:eastAsia="宋体" w:hint="eastAsia"/>
      <w:b/>
      <w:kern w:val="2"/>
      <w:sz w:val="24"/>
      <w:szCs w:val="24"/>
    </w:rPr>
  </w:style>
  <w:style w:type="character" w:customStyle="1" w:styleId="l121">
    <w:name w:val="l121"/>
    <w:unhideWhenUsed/>
    <w:qFormat/>
    <w:rPr>
      <w:rFonts w:hint="default"/>
      <w:color w:val="393939"/>
      <w:sz w:val="18"/>
      <w:szCs w:val="24"/>
    </w:rPr>
  </w:style>
  <w:style w:type="character" w:customStyle="1" w:styleId="Charfffffe">
    <w:name w:val="标题节 Char"/>
    <w:unhideWhenUsed/>
    <w:qFormat/>
    <w:rPr>
      <w:rFonts w:eastAsia="仿宋_GB2312" w:hint="default"/>
      <w:b/>
      <w:kern w:val="2"/>
      <w:sz w:val="32"/>
      <w:szCs w:val="24"/>
      <w:lang w:val="en-US" w:eastAsia="zh-CN"/>
    </w:rPr>
  </w:style>
  <w:style w:type="character" w:customStyle="1" w:styleId="11p">
    <w:name w:val="11p"/>
    <w:basedOn w:val="a6"/>
    <w:unhideWhenUsed/>
    <w:qFormat/>
    <w:rPr>
      <w:rFonts w:cs="Times New Roman" w:hint="default"/>
      <w:sz w:val="24"/>
      <w:szCs w:val="24"/>
    </w:rPr>
  </w:style>
  <w:style w:type="character" w:customStyle="1" w:styleId="CharChar1Char">
    <w:name w:val="Char Char1 Char"/>
    <w:unhideWhenUsed/>
    <w:qFormat/>
    <w:rPr>
      <w:rFonts w:ascii="宋体" w:eastAsia="宋体" w:hint="eastAsia"/>
      <w:kern w:val="2"/>
      <w:sz w:val="24"/>
      <w:szCs w:val="24"/>
    </w:rPr>
  </w:style>
  <w:style w:type="character" w:customStyle="1" w:styleId="a31">
    <w:name w:val="a31"/>
    <w:unhideWhenUsed/>
    <w:qFormat/>
    <w:rPr>
      <w:rFonts w:ascii="宋体" w:eastAsia="宋体" w:hAnsi="宋体" w:hint="eastAsia"/>
      <w:color w:val="000000"/>
      <w:sz w:val="20"/>
      <w:szCs w:val="24"/>
    </w:rPr>
  </w:style>
  <w:style w:type="character" w:customStyle="1" w:styleId="b-121">
    <w:name w:val="b-121"/>
    <w:unhideWhenUsed/>
    <w:qFormat/>
    <w:rPr>
      <w:rFonts w:hint="default"/>
      <w:sz w:val="18"/>
      <w:szCs w:val="24"/>
    </w:rPr>
  </w:style>
  <w:style w:type="character" w:customStyle="1" w:styleId="Charffffff">
    <w:name w:val="Char"/>
    <w:unhideWhenUsed/>
    <w:qFormat/>
    <w:rPr>
      <w:rFonts w:eastAsia="黑体" w:hint="default"/>
      <w:b/>
      <w:kern w:val="44"/>
      <w:sz w:val="44"/>
      <w:szCs w:val="24"/>
      <w:lang w:val="en-US" w:eastAsia="zh-CN"/>
    </w:rPr>
  </w:style>
  <w:style w:type="character" w:customStyle="1" w:styleId="articlebody3">
    <w:name w:val="articlebody3"/>
    <w:unhideWhenUsed/>
    <w:qFormat/>
    <w:rPr>
      <w:rFonts w:hint="default"/>
      <w:sz w:val="21"/>
      <w:szCs w:val="24"/>
    </w:rPr>
  </w:style>
  <w:style w:type="character" w:customStyle="1" w:styleId="1ffffa">
    <w:name w:val="页码1"/>
    <w:basedOn w:val="a6"/>
    <w:unhideWhenUsed/>
    <w:qFormat/>
    <w:rPr>
      <w:rFonts w:cs="Times New Roman" w:hint="default"/>
      <w:sz w:val="24"/>
      <w:szCs w:val="24"/>
    </w:rPr>
  </w:style>
  <w:style w:type="character" w:customStyle="1" w:styleId="1ffffb">
    <w:name w:val="标题1"/>
    <w:basedOn w:val="a6"/>
    <w:unhideWhenUsed/>
    <w:qFormat/>
    <w:rPr>
      <w:rFonts w:cs="Times New Roman" w:hint="default"/>
      <w:sz w:val="24"/>
      <w:szCs w:val="24"/>
    </w:rPr>
  </w:style>
  <w:style w:type="character" w:customStyle="1" w:styleId="Charffffff0">
    <w:name w:val="正文文本 Char"/>
    <w:basedOn w:val="a6"/>
    <w:uiPriority w:val="1"/>
    <w:unhideWhenUsed/>
    <w:qFormat/>
    <w:rPr>
      <w:rFonts w:eastAsia="宋体" w:hint="default"/>
      <w:kern w:val="2"/>
      <w:sz w:val="24"/>
      <w:szCs w:val="24"/>
      <w:lang w:val="en-US" w:eastAsia="zh-CN"/>
    </w:rPr>
  </w:style>
  <w:style w:type="character" w:customStyle="1" w:styleId="style11">
    <w:name w:val="style11"/>
    <w:unhideWhenUsed/>
    <w:qFormat/>
    <w:rPr>
      <w:rFonts w:hint="default"/>
      <w:color w:val="0099FF"/>
      <w:sz w:val="24"/>
      <w:szCs w:val="24"/>
    </w:rPr>
  </w:style>
  <w:style w:type="character" w:customStyle="1" w:styleId="f14b1">
    <w:name w:val="f14b1"/>
    <w:unhideWhenUsed/>
    <w:qFormat/>
    <w:rPr>
      <w:rFonts w:hint="default"/>
      <w:b/>
      <w:sz w:val="21"/>
      <w:szCs w:val="24"/>
    </w:rPr>
  </w:style>
  <w:style w:type="character" w:customStyle="1" w:styleId="style151">
    <w:name w:val="style151"/>
    <w:unhideWhenUsed/>
    <w:qFormat/>
    <w:rPr>
      <w:rFonts w:hint="default"/>
      <w:b/>
      <w:color w:val="CC0000"/>
      <w:sz w:val="22"/>
      <w:szCs w:val="24"/>
    </w:rPr>
  </w:style>
  <w:style w:type="character" w:customStyle="1" w:styleId="2fffc">
    <w:name w:val="页脚 字符2"/>
    <w:uiPriority w:val="99"/>
    <w:unhideWhenUsed/>
    <w:qFormat/>
    <w:rPr>
      <w:rFonts w:hint="default"/>
      <w:kern w:val="2"/>
      <w:sz w:val="18"/>
      <w:szCs w:val="24"/>
    </w:rPr>
  </w:style>
  <w:style w:type="character" w:customStyle="1" w:styleId="11c">
    <w:name w:val="页脚 字符11"/>
    <w:basedOn w:val="a6"/>
    <w:uiPriority w:val="99"/>
    <w:unhideWhenUsed/>
    <w:qFormat/>
    <w:rPr>
      <w:rFonts w:cs="Times New Roman" w:hint="default"/>
      <w:kern w:val="2"/>
      <w:sz w:val="18"/>
      <w:szCs w:val="18"/>
    </w:rPr>
  </w:style>
  <w:style w:type="character" w:customStyle="1" w:styleId="001Char">
    <w:name w:val="正文001 Char"/>
    <w:link w:val="001"/>
    <w:unhideWhenUsed/>
    <w:qFormat/>
    <w:rPr>
      <w:rFonts w:hint="default"/>
      <w:kern w:val="2"/>
      <w:sz w:val="24"/>
      <w:szCs w:val="24"/>
    </w:rPr>
  </w:style>
  <w:style w:type="character" w:customStyle="1" w:styleId="Char31">
    <w:name w:val="批注主题 Char3"/>
    <w:link w:val="aff6"/>
    <w:uiPriority w:val="99"/>
    <w:unhideWhenUsed/>
    <w:qFormat/>
    <w:rPr>
      <w:rFonts w:hint="default"/>
      <w:b/>
      <w:kern w:val="2"/>
      <w:sz w:val="24"/>
      <w:szCs w:val="24"/>
    </w:rPr>
  </w:style>
  <w:style w:type="character" w:customStyle="1" w:styleId="11d">
    <w:name w:val="批注主题 字符11"/>
    <w:basedOn w:val="11b"/>
    <w:uiPriority w:val="99"/>
    <w:unhideWhenUsed/>
    <w:qFormat/>
    <w:rPr>
      <w:rFonts w:cs="Times New Roman" w:hint="default"/>
      <w:b/>
      <w:kern w:val="2"/>
      <w:sz w:val="24"/>
      <w:szCs w:val="24"/>
    </w:rPr>
  </w:style>
  <w:style w:type="character" w:customStyle="1" w:styleId="style51">
    <w:name w:val="style51"/>
    <w:unhideWhenUsed/>
    <w:qFormat/>
    <w:rPr>
      <w:rFonts w:ascii="宋体" w:eastAsia="宋体" w:hAnsi="宋体" w:hint="eastAsia"/>
      <w:sz w:val="23"/>
      <w:szCs w:val="24"/>
    </w:rPr>
  </w:style>
  <w:style w:type="character" w:customStyle="1" w:styleId="3Char6">
    <w:name w:val="标题 3 Char"/>
    <w:uiPriority w:val="9"/>
    <w:unhideWhenUsed/>
    <w:qFormat/>
    <w:rPr>
      <w:rFonts w:eastAsia="宋体" w:hint="default"/>
      <w:b/>
      <w:kern w:val="28"/>
      <w:sz w:val="24"/>
      <w:szCs w:val="24"/>
      <w:lang w:val="en-US" w:eastAsia="zh-CN"/>
    </w:rPr>
  </w:style>
  <w:style w:type="character" w:customStyle="1" w:styleId="menu-text1">
    <w:name w:val="menu-text1"/>
    <w:unhideWhenUsed/>
    <w:qFormat/>
    <w:rPr>
      <w:rFonts w:hint="default"/>
      <w:color w:val="333333"/>
      <w:sz w:val="21"/>
      <w:szCs w:val="24"/>
    </w:rPr>
  </w:style>
  <w:style w:type="character" w:customStyle="1" w:styleId="ww2">
    <w:name w:val="ww2"/>
    <w:unhideWhenUsed/>
    <w:qFormat/>
    <w:rPr>
      <w:rFonts w:hint="default"/>
      <w:color w:val="000000"/>
      <w:sz w:val="22"/>
      <w:szCs w:val="24"/>
    </w:rPr>
  </w:style>
  <w:style w:type="character" w:customStyle="1" w:styleId="1ffffc">
    <w:name w:val="超链接1"/>
    <w:uiPriority w:val="99"/>
    <w:unhideWhenUsed/>
    <w:qFormat/>
    <w:rPr>
      <w:rFonts w:hint="default"/>
      <w:color w:val="0000FF"/>
      <w:sz w:val="24"/>
      <w:szCs w:val="24"/>
      <w:u w:val="single"/>
    </w:rPr>
  </w:style>
  <w:style w:type="character" w:customStyle="1" w:styleId="afffffffffffffffffffffff9">
    <w:name w:val="样式 汉鼎简魏碑"/>
    <w:unhideWhenUsed/>
    <w:qFormat/>
    <w:rPr>
      <w:rFonts w:ascii="汉鼎简魏碑" w:eastAsia="楷体_GB2312" w:hAnsi="汉鼎简魏碑" w:hint="eastAsia"/>
      <w:sz w:val="24"/>
      <w:szCs w:val="24"/>
    </w:rPr>
  </w:style>
  <w:style w:type="character" w:customStyle="1" w:styleId="unnamed11">
    <w:name w:val="unnamed11"/>
    <w:unhideWhenUsed/>
    <w:qFormat/>
    <w:rPr>
      <w:rFonts w:ascii="宋体" w:eastAsia="宋体" w:hAnsi="宋体" w:hint="eastAsia"/>
      <w:sz w:val="20"/>
      <w:szCs w:val="24"/>
    </w:rPr>
  </w:style>
  <w:style w:type="character" w:customStyle="1" w:styleId="1ffffd">
    <w:name w:val="已访问的超链接1"/>
    <w:unhideWhenUsed/>
    <w:qFormat/>
    <w:rPr>
      <w:rFonts w:hint="default"/>
      <w:color w:val="800080"/>
      <w:sz w:val="24"/>
      <w:szCs w:val="24"/>
      <w:u w:val="single"/>
    </w:rPr>
  </w:style>
  <w:style w:type="character" w:customStyle="1" w:styleId="Charf2">
    <w:name w:val="表格正文 Char"/>
    <w:link w:val="affff3"/>
    <w:unhideWhenUsed/>
    <w:qFormat/>
    <w:rPr>
      <w:rFonts w:hint="default"/>
      <w:kern w:val="2"/>
      <w:sz w:val="21"/>
      <w:szCs w:val="24"/>
    </w:rPr>
  </w:style>
  <w:style w:type="character" w:customStyle="1" w:styleId="HTMLChar0">
    <w:name w:val="HTML 预设格式 Char"/>
    <w:link w:val="HTML0"/>
    <w:uiPriority w:val="99"/>
    <w:unhideWhenUsed/>
    <w:qFormat/>
    <w:rPr>
      <w:rFonts w:ascii="Courier New" w:hint="default"/>
      <w:sz w:val="24"/>
      <w:szCs w:val="24"/>
    </w:rPr>
  </w:style>
  <w:style w:type="character" w:customStyle="1" w:styleId="HTMLa">
    <w:name w:val="HTML 预设格式 字符"/>
    <w:basedOn w:val="a6"/>
    <w:uiPriority w:val="99"/>
    <w:unhideWhenUsed/>
    <w:qFormat/>
    <w:rPr>
      <w:rFonts w:ascii="Courier New" w:cs="Courier New" w:hint="default"/>
      <w:kern w:val="2"/>
      <w:sz w:val="24"/>
      <w:szCs w:val="24"/>
    </w:rPr>
  </w:style>
  <w:style w:type="character" w:customStyle="1" w:styleId="01Char1">
    <w:name w:val="正文01 Char1"/>
    <w:unhideWhenUsed/>
    <w:qFormat/>
    <w:rPr>
      <w:rFonts w:eastAsia="宋体" w:hint="default"/>
      <w:kern w:val="2"/>
      <w:sz w:val="24"/>
      <w:szCs w:val="24"/>
      <w:lang w:val="en-US" w:eastAsia="zh-CN"/>
    </w:rPr>
  </w:style>
  <w:style w:type="character" w:customStyle="1" w:styleId="212TimesNewRomanChar">
    <w:name w:val="样式 样式 标题 2 + 段后: 12 行 + Times New Roman Char"/>
    <w:link w:val="212TimesNewRoman"/>
    <w:unhideWhenUsed/>
    <w:qFormat/>
    <w:rPr>
      <w:rFonts w:eastAsia="华文中宋" w:hint="default"/>
      <w:b/>
      <w:kern w:val="2"/>
      <w:sz w:val="24"/>
      <w:szCs w:val="24"/>
    </w:rPr>
  </w:style>
  <w:style w:type="character" w:customStyle="1" w:styleId="unnamed2">
    <w:name w:val="unnamed2"/>
    <w:basedOn w:val="a6"/>
    <w:unhideWhenUsed/>
    <w:qFormat/>
    <w:rPr>
      <w:rFonts w:cs="Times New Roman" w:hint="default"/>
      <w:sz w:val="24"/>
      <w:szCs w:val="24"/>
    </w:rPr>
  </w:style>
  <w:style w:type="character" w:customStyle="1" w:styleId="line21">
    <w:name w:val="line21"/>
    <w:unhideWhenUsed/>
    <w:qFormat/>
    <w:rPr>
      <w:rFonts w:hint="default"/>
      <w:color w:val="666666"/>
      <w:sz w:val="20"/>
      <w:szCs w:val="24"/>
    </w:rPr>
  </w:style>
  <w:style w:type="character" w:customStyle="1" w:styleId="2fffd">
    <w:name w:val="正文文本首行缩进 2 字符"/>
    <w:basedOn w:val="afffffffffffffffffffffff7"/>
    <w:uiPriority w:val="99"/>
    <w:unhideWhenUsed/>
    <w:qFormat/>
    <w:rPr>
      <w:rFonts w:cs="Times New Roman" w:hint="default"/>
      <w:kern w:val="2"/>
      <w:sz w:val="24"/>
      <w:szCs w:val="24"/>
    </w:rPr>
  </w:style>
  <w:style w:type="character" w:customStyle="1" w:styleId="2Char1">
    <w:name w:val="正文首行缩进 2 Char1"/>
    <w:link w:val="28"/>
    <w:unhideWhenUsed/>
    <w:qFormat/>
    <w:rPr>
      <w:rFonts w:hint="default"/>
      <w:kern w:val="2"/>
      <w:sz w:val="24"/>
      <w:szCs w:val="24"/>
    </w:rPr>
  </w:style>
  <w:style w:type="character" w:customStyle="1" w:styleId="-CharChar">
    <w:name w:val="报告正文-连续目录 Char Char"/>
    <w:link w:val="-1"/>
    <w:unhideWhenUsed/>
    <w:qFormat/>
    <w:rPr>
      <w:rFonts w:ascii="Arial" w:hint="default"/>
      <w:kern w:val="2"/>
      <w:sz w:val="24"/>
      <w:szCs w:val="24"/>
    </w:rPr>
  </w:style>
  <w:style w:type="character" w:customStyle="1" w:styleId="Charfc">
    <w:name w:val="表格标题 Char"/>
    <w:link w:val="afffff7"/>
    <w:unhideWhenUsed/>
    <w:qFormat/>
    <w:rPr>
      <w:rFonts w:hint="default"/>
      <w:kern w:val="2"/>
      <w:sz w:val="24"/>
      <w:szCs w:val="24"/>
    </w:rPr>
  </w:style>
  <w:style w:type="character" w:customStyle="1" w:styleId="afffffffffffffffffffffffa">
    <w:name w:val="文档结构图 字符"/>
    <w:basedOn w:val="a6"/>
    <w:uiPriority w:val="99"/>
    <w:unhideWhenUsed/>
    <w:qFormat/>
    <w:rPr>
      <w:rFonts w:ascii="Microsoft YaHei UI" w:eastAsia="Microsoft YaHei UI" w:cs="Times New Roman" w:hint="eastAsia"/>
      <w:kern w:val="2"/>
      <w:sz w:val="18"/>
      <w:szCs w:val="18"/>
    </w:rPr>
  </w:style>
  <w:style w:type="character" w:customStyle="1" w:styleId="3ff7">
    <w:name w:val="正文文本 3 字符"/>
    <w:basedOn w:val="a6"/>
    <w:uiPriority w:val="99"/>
    <w:unhideWhenUsed/>
    <w:qFormat/>
    <w:rPr>
      <w:rFonts w:cs="Times New Roman" w:hint="default"/>
      <w:kern w:val="2"/>
      <w:sz w:val="16"/>
      <w:szCs w:val="16"/>
    </w:rPr>
  </w:style>
  <w:style w:type="character" w:customStyle="1" w:styleId="2Char4">
    <w:name w:val="表格文字2 Char"/>
    <w:link w:val="2f3"/>
    <w:unhideWhenUsed/>
    <w:qFormat/>
    <w:rPr>
      <w:rFonts w:hint="default"/>
      <w:sz w:val="21"/>
      <w:szCs w:val="24"/>
    </w:rPr>
  </w:style>
  <w:style w:type="character" w:customStyle="1" w:styleId="Charffffff1">
    <w:name w:val="表格 Char"/>
    <w:unhideWhenUsed/>
    <w:qFormat/>
    <w:rPr>
      <w:rFonts w:eastAsia="仿宋_GB2312" w:hint="default"/>
      <w:kern w:val="2"/>
      <w:sz w:val="24"/>
      <w:szCs w:val="24"/>
    </w:rPr>
  </w:style>
  <w:style w:type="character" w:customStyle="1" w:styleId="3ff8">
    <w:name w:val="正文文本缩进 3 字符"/>
    <w:basedOn w:val="a6"/>
    <w:uiPriority w:val="99"/>
    <w:unhideWhenUsed/>
    <w:qFormat/>
    <w:rPr>
      <w:rFonts w:cs="Times New Roman" w:hint="default"/>
      <w:kern w:val="2"/>
      <w:sz w:val="16"/>
      <w:szCs w:val="16"/>
    </w:rPr>
  </w:style>
  <w:style w:type="character" w:customStyle="1" w:styleId="afffffffffffffffffffffffb">
    <w:name w:val="标题 字符"/>
    <w:basedOn w:val="a6"/>
    <w:uiPriority w:val="10"/>
    <w:unhideWhenUsed/>
    <w:qFormat/>
    <w:rPr>
      <w:rFonts w:ascii="Calibri Light" w:eastAsia="宋体" w:hAnsi="Calibri Light" w:cs="Times New Roman" w:hint="eastAsia"/>
      <w:b/>
      <w:kern w:val="2"/>
      <w:sz w:val="32"/>
      <w:szCs w:val="32"/>
    </w:rPr>
  </w:style>
  <w:style w:type="character" w:customStyle="1" w:styleId="Char10">
    <w:name w:val="标题 Char1"/>
    <w:link w:val="aff5"/>
    <w:unhideWhenUsed/>
    <w:qFormat/>
    <w:rPr>
      <w:rFonts w:ascii="Cambria" w:hint="default"/>
      <w:b/>
      <w:kern w:val="2"/>
      <w:sz w:val="32"/>
      <w:szCs w:val="24"/>
    </w:rPr>
  </w:style>
  <w:style w:type="character" w:customStyle="1" w:styleId="11e">
    <w:name w:val="页眉 字符11"/>
    <w:basedOn w:val="a6"/>
    <w:unhideWhenUsed/>
    <w:qFormat/>
    <w:rPr>
      <w:rFonts w:cs="Times New Roman" w:hint="default"/>
      <w:kern w:val="2"/>
      <w:sz w:val="18"/>
      <w:szCs w:val="18"/>
    </w:rPr>
  </w:style>
  <w:style w:type="character" w:customStyle="1" w:styleId="2fffe">
    <w:name w:val="页眉 字符2"/>
    <w:unhideWhenUsed/>
    <w:qFormat/>
    <w:rPr>
      <w:rFonts w:hint="default"/>
      <w:kern w:val="2"/>
      <w:sz w:val="18"/>
      <w:szCs w:val="24"/>
    </w:rPr>
  </w:style>
  <w:style w:type="character" w:customStyle="1" w:styleId="Char17">
    <w:name w:val="正文缩进 Char1"/>
    <w:unhideWhenUsed/>
    <w:qFormat/>
    <w:rPr>
      <w:rFonts w:eastAsia="宋体" w:hint="default"/>
      <w:kern w:val="2"/>
      <w:sz w:val="21"/>
      <w:szCs w:val="24"/>
      <w:lang w:val="en-US" w:eastAsia="zh-CN"/>
    </w:rPr>
  </w:style>
  <w:style w:type="character" w:customStyle="1" w:styleId="ttag">
    <w:name w:val="t_tag"/>
    <w:basedOn w:val="a6"/>
    <w:unhideWhenUsed/>
    <w:qFormat/>
    <w:rPr>
      <w:rFonts w:cs="Times New Roman" w:hint="default"/>
      <w:sz w:val="24"/>
      <w:szCs w:val="24"/>
    </w:rPr>
  </w:style>
  <w:style w:type="character" w:customStyle="1" w:styleId="scayt-misspell">
    <w:name w:val="scayt-misspell"/>
    <w:basedOn w:val="a6"/>
    <w:unhideWhenUsed/>
    <w:qFormat/>
    <w:rPr>
      <w:rFonts w:cs="Times New Roman" w:hint="default"/>
      <w:sz w:val="24"/>
      <w:szCs w:val="24"/>
    </w:rPr>
  </w:style>
  <w:style w:type="character" w:customStyle="1" w:styleId="cucd-0Char">
    <w:name w:val="cucd-0 Char"/>
    <w:link w:val="cucd-0"/>
    <w:unhideWhenUsed/>
    <w:qFormat/>
    <w:rPr>
      <w:rFonts w:hint="default"/>
      <w:kern w:val="2"/>
      <w:sz w:val="24"/>
      <w:szCs w:val="24"/>
    </w:rPr>
  </w:style>
  <w:style w:type="character" w:customStyle="1" w:styleId="apple-style-span">
    <w:name w:val="apple-style-span"/>
    <w:basedOn w:val="a6"/>
    <w:unhideWhenUsed/>
    <w:qFormat/>
    <w:rPr>
      <w:rFonts w:cs="Times New Roman" w:hint="default"/>
      <w:sz w:val="24"/>
      <w:szCs w:val="24"/>
    </w:rPr>
  </w:style>
  <w:style w:type="character" w:styleId="afffffffffffffffffffffffc">
    <w:name w:val="Placeholder Text"/>
    <w:unhideWhenUsed/>
    <w:qFormat/>
    <w:rPr>
      <w:rFonts w:hint="default"/>
      <w:color w:val="808080"/>
      <w:sz w:val="24"/>
      <w:szCs w:val="24"/>
    </w:rPr>
  </w:style>
  <w:style w:type="character" w:customStyle="1" w:styleId="CharChar1Char1">
    <w:name w:val="Char Char1 Char1"/>
    <w:unhideWhenUsed/>
    <w:qFormat/>
    <w:rPr>
      <w:rFonts w:ascii="宋体" w:eastAsia="宋体" w:hAnsi="宋体" w:hint="eastAsia"/>
      <w:sz w:val="24"/>
      <w:szCs w:val="24"/>
      <w:lang w:val="en-US" w:eastAsia="en-US"/>
    </w:rPr>
  </w:style>
  <w:style w:type="character" w:customStyle="1" w:styleId="1Char10">
    <w:name w:val="正文1 Char1"/>
    <w:link w:val="1fe"/>
    <w:unhideWhenUsed/>
    <w:qFormat/>
    <w:rPr>
      <w:rFonts w:hint="default"/>
      <w:kern w:val="2"/>
      <w:sz w:val="24"/>
      <w:szCs w:val="24"/>
    </w:rPr>
  </w:style>
  <w:style w:type="character" w:customStyle="1" w:styleId="CharChara">
    <w:name w:val="表格内容 Char Char"/>
    <w:unhideWhenUsed/>
    <w:qFormat/>
    <w:rPr>
      <w:rFonts w:ascii="Arial" w:eastAsia="仿宋_GB2312" w:hAnsi="Arial" w:hint="eastAsia"/>
      <w:sz w:val="24"/>
      <w:szCs w:val="24"/>
      <w:lang w:val="en-US" w:eastAsia="zh-CN"/>
    </w:rPr>
  </w:style>
  <w:style w:type="character" w:customStyle="1" w:styleId="1CharChar">
    <w:name w:val="表1 Char Char"/>
    <w:unhideWhenUsed/>
    <w:qFormat/>
    <w:rPr>
      <w:rFonts w:eastAsia="宋体" w:hint="default"/>
      <w:sz w:val="21"/>
      <w:szCs w:val="24"/>
      <w:lang w:val="en-US" w:eastAsia="zh-CN"/>
    </w:rPr>
  </w:style>
  <w:style w:type="character" w:customStyle="1" w:styleId="Char18">
    <w:name w:val="普通文字 Char1"/>
    <w:unhideWhenUsed/>
    <w:qFormat/>
    <w:rPr>
      <w:rFonts w:ascii="宋体" w:eastAsia="宋体" w:hAnsi="Courier New" w:hint="eastAsia"/>
      <w:kern w:val="2"/>
      <w:sz w:val="21"/>
      <w:szCs w:val="24"/>
      <w:lang w:val="en-US" w:eastAsia="zh-CN"/>
    </w:rPr>
  </w:style>
  <w:style w:type="character" w:customStyle="1" w:styleId="CharCharb">
    <w:name w:val="表头 Char Char"/>
    <w:unhideWhenUsed/>
    <w:qFormat/>
    <w:rPr>
      <w:rFonts w:ascii="黑体" w:eastAsia="黑体" w:hint="eastAsia"/>
      <w:spacing w:val="16"/>
      <w:kern w:val="2"/>
      <w:sz w:val="24"/>
      <w:szCs w:val="24"/>
      <w:lang w:val="en-US" w:eastAsia="zh-CN"/>
    </w:rPr>
  </w:style>
  <w:style w:type="character" w:customStyle="1" w:styleId="4CharChar">
    <w:name w:val="4级（小）标题 Char Char"/>
    <w:unhideWhenUsed/>
    <w:qFormat/>
    <w:rPr>
      <w:rFonts w:eastAsia="楷体" w:hint="default"/>
      <w:b/>
      <w:kern w:val="2"/>
      <w:sz w:val="24"/>
      <w:szCs w:val="24"/>
      <w:lang w:val="en-US" w:eastAsia="zh-CN"/>
    </w:rPr>
  </w:style>
  <w:style w:type="character" w:customStyle="1" w:styleId="CharCharc">
    <w:name w:val="表格 Char Char"/>
    <w:unhideWhenUsed/>
    <w:qFormat/>
    <w:rPr>
      <w:rFonts w:eastAsia="仿宋_GB2312" w:hint="default"/>
      <w:kern w:val="2"/>
      <w:sz w:val="24"/>
      <w:szCs w:val="24"/>
      <w:lang w:val="en-US" w:eastAsia="zh-CN"/>
    </w:rPr>
  </w:style>
  <w:style w:type="character" w:customStyle="1" w:styleId="CharChard">
    <w:name w:val="样式 正文格式 Char Char"/>
    <w:unhideWhenUsed/>
    <w:qFormat/>
    <w:rPr>
      <w:rFonts w:eastAsia="宋体" w:hint="default"/>
      <w:sz w:val="24"/>
      <w:szCs w:val="24"/>
      <w:lang w:val="en-US" w:eastAsia="zh-CN"/>
    </w:rPr>
  </w:style>
  <w:style w:type="character" w:customStyle="1" w:styleId="CharChare">
    <w:name w:val="表格正文 Char Char"/>
    <w:unhideWhenUsed/>
    <w:qFormat/>
    <w:rPr>
      <w:rFonts w:eastAsia="宋体" w:hint="default"/>
      <w:kern w:val="2"/>
      <w:sz w:val="21"/>
      <w:szCs w:val="24"/>
      <w:lang w:val="en-US" w:eastAsia="zh-CN"/>
    </w:rPr>
  </w:style>
  <w:style w:type="character" w:customStyle="1" w:styleId="Charff">
    <w:name w:val="表格数字 Char"/>
    <w:link w:val="afffffff4"/>
    <w:unhideWhenUsed/>
    <w:qFormat/>
    <w:rPr>
      <w:rFonts w:ascii="Arial" w:hint="default"/>
      <w:sz w:val="21"/>
      <w:szCs w:val="24"/>
    </w:rPr>
  </w:style>
  <w:style w:type="character" w:customStyle="1" w:styleId="SectionChar">
    <w:name w:val="Section Char"/>
    <w:unhideWhenUsed/>
    <w:qFormat/>
    <w:rPr>
      <w:rFonts w:eastAsia="黑体" w:hint="default"/>
      <w:kern w:val="2"/>
      <w:sz w:val="32"/>
      <w:szCs w:val="24"/>
      <w:lang w:val="en-US" w:eastAsia="zh-CN"/>
    </w:rPr>
  </w:style>
  <w:style w:type="character" w:customStyle="1" w:styleId="CharCharCharChar1">
    <w:name w:val="Char Char Char Char1"/>
    <w:unhideWhenUsed/>
    <w:qFormat/>
    <w:rPr>
      <w:rFonts w:eastAsia="宋体" w:hint="default"/>
      <w:kern w:val="2"/>
      <w:sz w:val="18"/>
      <w:szCs w:val="24"/>
      <w:lang w:val="en-US" w:eastAsia="zh-CN"/>
    </w:rPr>
  </w:style>
  <w:style w:type="character" w:customStyle="1" w:styleId="4CharChar0">
    <w:name w:val="正文文字缩进小4 Char Char"/>
    <w:unhideWhenUsed/>
    <w:qFormat/>
    <w:rPr>
      <w:rFonts w:eastAsia="仿宋_GB2312" w:hint="default"/>
      <w:kern w:val="2"/>
      <w:sz w:val="24"/>
      <w:szCs w:val="24"/>
      <w:lang w:val="en-US" w:eastAsia="zh-CN"/>
    </w:rPr>
  </w:style>
  <w:style w:type="character" w:customStyle="1" w:styleId="0012Char">
    <w:name w:val="样式 正文001 + 首行缩进:  2 字符 Char"/>
    <w:link w:val="0012"/>
    <w:unhideWhenUsed/>
    <w:qFormat/>
    <w:rPr>
      <w:rFonts w:hint="default"/>
      <w:kern w:val="2"/>
      <w:sz w:val="24"/>
      <w:szCs w:val="24"/>
    </w:rPr>
  </w:style>
  <w:style w:type="character" w:customStyle="1" w:styleId="Charff0">
    <w:name w:val="首页要点 Char"/>
    <w:link w:val="afffffff5"/>
    <w:unhideWhenUsed/>
    <w:qFormat/>
    <w:rPr>
      <w:rFonts w:ascii="Arial" w:eastAsia="楷体_GB2312" w:hAnsi="Arial" w:hint="eastAsia"/>
      <w:kern w:val="2"/>
      <w:sz w:val="21"/>
      <w:szCs w:val="24"/>
    </w:rPr>
  </w:style>
  <w:style w:type="character" w:customStyle="1" w:styleId="12font1">
    <w:name w:val="12font1"/>
    <w:unhideWhenUsed/>
    <w:qFormat/>
    <w:rPr>
      <w:rFonts w:hint="default"/>
      <w:spacing w:val="288"/>
      <w:sz w:val="24"/>
      <w:szCs w:val="24"/>
    </w:rPr>
  </w:style>
  <w:style w:type="character" w:customStyle="1" w:styleId="hottext1">
    <w:name w:val="hottext1"/>
    <w:unhideWhenUsed/>
    <w:qFormat/>
    <w:rPr>
      <w:rFonts w:ascii="宋体" w:eastAsia="宋体" w:hAnsi="宋体" w:hint="eastAsia"/>
      <w:color w:val="333333"/>
      <w:spacing w:val="260"/>
      <w:sz w:val="13"/>
      <w:szCs w:val="24"/>
    </w:rPr>
  </w:style>
  <w:style w:type="character" w:customStyle="1" w:styleId="f41">
    <w:name w:val="f41"/>
    <w:unhideWhenUsed/>
    <w:qFormat/>
    <w:rPr>
      <w:rFonts w:hint="default"/>
      <w:color w:val="333333"/>
      <w:sz w:val="21"/>
      <w:szCs w:val="24"/>
    </w:rPr>
  </w:style>
  <w:style w:type="character" w:customStyle="1" w:styleId="2CharChar">
    <w:name w:val="小四正文缩进2 Char Char"/>
    <w:link w:val="2Char6"/>
    <w:unhideWhenUsed/>
    <w:qFormat/>
    <w:rPr>
      <w:rFonts w:hint="default"/>
      <w:kern w:val="2"/>
      <w:sz w:val="24"/>
      <w:szCs w:val="24"/>
    </w:rPr>
  </w:style>
  <w:style w:type="character" w:customStyle="1" w:styleId="tpccontent1">
    <w:name w:val="tpc_content1"/>
    <w:unhideWhenUsed/>
    <w:qFormat/>
    <w:rPr>
      <w:rFonts w:hint="default"/>
      <w:sz w:val="20"/>
      <w:szCs w:val="24"/>
    </w:rPr>
  </w:style>
  <w:style w:type="character" w:customStyle="1" w:styleId="css-text3">
    <w:name w:val="css-text3"/>
    <w:basedOn w:val="a6"/>
    <w:unhideWhenUsed/>
    <w:qFormat/>
    <w:rPr>
      <w:rFonts w:cs="Times New Roman" w:hint="default"/>
      <w:sz w:val="24"/>
      <w:szCs w:val="24"/>
    </w:rPr>
  </w:style>
  <w:style w:type="character" w:customStyle="1" w:styleId="content3">
    <w:name w:val="content3"/>
    <w:basedOn w:val="a6"/>
    <w:unhideWhenUsed/>
    <w:qFormat/>
    <w:rPr>
      <w:rFonts w:cs="Times New Roman" w:hint="default"/>
      <w:sz w:val="24"/>
      <w:szCs w:val="24"/>
    </w:rPr>
  </w:style>
  <w:style w:type="character" w:customStyle="1" w:styleId="211TimesNewRomanChar">
    <w:name w:val="样式 样式 标题 2节标题 1.1 + Times New Roman 四号 + Char"/>
    <w:link w:val="211TimesNewRoman"/>
    <w:unhideWhenUsed/>
    <w:qFormat/>
    <w:rPr>
      <w:rFonts w:hint="default"/>
      <w:b/>
      <w:kern w:val="2"/>
      <w:sz w:val="32"/>
      <w:szCs w:val="24"/>
    </w:rPr>
  </w:style>
  <w:style w:type="character" w:customStyle="1" w:styleId="Charff1">
    <w:name w:val="可研报告正文 Char"/>
    <w:link w:val="afffffff9"/>
    <w:unhideWhenUsed/>
    <w:qFormat/>
    <w:rPr>
      <w:rFonts w:hint="default"/>
      <w:kern w:val="2"/>
      <w:sz w:val="24"/>
      <w:szCs w:val="24"/>
    </w:rPr>
  </w:style>
  <w:style w:type="character" w:customStyle="1" w:styleId="ttitle1">
    <w:name w:val="ttitle1"/>
    <w:unhideWhenUsed/>
    <w:qFormat/>
    <w:rPr>
      <w:rFonts w:hint="default"/>
      <w:spacing w:val="120"/>
      <w:sz w:val="21"/>
      <w:szCs w:val="24"/>
    </w:rPr>
  </w:style>
  <w:style w:type="character" w:customStyle="1" w:styleId="title1">
    <w:name w:val="title1"/>
    <w:unhideWhenUsed/>
    <w:qFormat/>
    <w:rPr>
      <w:rFonts w:hint="default"/>
      <w:b/>
      <w:color w:val="000000"/>
      <w:sz w:val="21"/>
      <w:szCs w:val="24"/>
    </w:rPr>
  </w:style>
  <w:style w:type="character" w:customStyle="1" w:styleId="Charff2">
    <w:name w:val="表格中 Char"/>
    <w:link w:val="afffffffb"/>
    <w:unhideWhenUsed/>
    <w:qFormat/>
    <w:rPr>
      <w:rFonts w:hint="default"/>
      <w:kern w:val="2"/>
      <w:sz w:val="24"/>
      <w:szCs w:val="24"/>
    </w:rPr>
  </w:style>
  <w:style w:type="character" w:customStyle="1" w:styleId="2CharCharChar">
    <w:name w:val="正文缩进2 Char Char Char"/>
    <w:link w:val="2CharChar0"/>
    <w:unhideWhenUsed/>
    <w:qFormat/>
    <w:rPr>
      <w:rFonts w:hint="default"/>
      <w:kern w:val="2"/>
      <w:sz w:val="24"/>
      <w:szCs w:val="24"/>
    </w:rPr>
  </w:style>
  <w:style w:type="character" w:customStyle="1" w:styleId="afffffffffffffffffffffffd">
    <w:name w:val="注释标题 字符"/>
    <w:basedOn w:val="a6"/>
    <w:uiPriority w:val="99"/>
    <w:unhideWhenUsed/>
    <w:qFormat/>
    <w:rPr>
      <w:rFonts w:cs="Times New Roman" w:hint="default"/>
      <w:kern w:val="2"/>
      <w:sz w:val="24"/>
      <w:szCs w:val="24"/>
    </w:rPr>
  </w:style>
  <w:style w:type="character" w:customStyle="1" w:styleId="txt1">
    <w:name w:val="txt1"/>
    <w:unhideWhenUsed/>
    <w:qFormat/>
    <w:rPr>
      <w:rFonts w:hint="default"/>
      <w:color w:val="000000"/>
      <w:spacing w:val="360"/>
      <w:sz w:val="19"/>
      <w:szCs w:val="24"/>
    </w:rPr>
  </w:style>
  <w:style w:type="character" w:customStyle="1" w:styleId="CharCharCharChar0">
    <w:name w:val="表中 Char Char Char Char"/>
    <w:link w:val="CharCharChar"/>
    <w:unhideWhenUsed/>
    <w:qFormat/>
    <w:rPr>
      <w:rFonts w:hint="default"/>
      <w:kern w:val="2"/>
      <w:sz w:val="21"/>
      <w:szCs w:val="24"/>
    </w:rPr>
  </w:style>
  <w:style w:type="character" w:customStyle="1" w:styleId="Char14">
    <w:name w:val="表格居左 Char1"/>
    <w:link w:val="afffffffe"/>
    <w:unhideWhenUsed/>
    <w:qFormat/>
    <w:rPr>
      <w:rFonts w:hint="default"/>
      <w:kern w:val="2"/>
      <w:sz w:val="21"/>
      <w:szCs w:val="24"/>
    </w:rPr>
  </w:style>
  <w:style w:type="character" w:customStyle="1" w:styleId="2CharChar1">
    <w:name w:val="正文2缩进主要格式 Char Char"/>
    <w:link w:val="2Char7"/>
    <w:unhideWhenUsed/>
    <w:qFormat/>
    <w:rPr>
      <w:rFonts w:ascii="宋体" w:eastAsia="宋体" w:hint="eastAsia"/>
      <w:kern w:val="2"/>
      <w:sz w:val="24"/>
      <w:szCs w:val="24"/>
    </w:rPr>
  </w:style>
  <w:style w:type="character" w:customStyle="1" w:styleId="CharChar0">
    <w:name w:val="表格居中 Char Char"/>
    <w:link w:val="Charff3"/>
    <w:unhideWhenUsed/>
    <w:qFormat/>
    <w:rPr>
      <w:rFonts w:hint="default"/>
      <w:kern w:val="2"/>
      <w:sz w:val="24"/>
      <w:szCs w:val="24"/>
    </w:rPr>
  </w:style>
  <w:style w:type="character" w:customStyle="1" w:styleId="2CharChar10">
    <w:name w:val="正文缩进2 Char Char1"/>
    <w:link w:val="2Char8"/>
    <w:unhideWhenUsed/>
    <w:qFormat/>
    <w:rPr>
      <w:rFonts w:hint="default"/>
      <w:kern w:val="2"/>
      <w:sz w:val="21"/>
      <w:szCs w:val="24"/>
    </w:rPr>
  </w:style>
  <w:style w:type="character" w:customStyle="1" w:styleId="2CharChar2">
    <w:name w:val="2缩正 Char Char"/>
    <w:link w:val="2Char9"/>
    <w:unhideWhenUsed/>
    <w:qFormat/>
    <w:rPr>
      <w:rFonts w:hint="default"/>
      <w:kern w:val="2"/>
      <w:sz w:val="24"/>
      <w:szCs w:val="24"/>
    </w:rPr>
  </w:style>
  <w:style w:type="character" w:customStyle="1" w:styleId="2CharCharChar1">
    <w:name w:val="正文缩进2 Char Char Char1"/>
    <w:unhideWhenUsed/>
    <w:qFormat/>
    <w:rPr>
      <w:rFonts w:eastAsia="宋体" w:hint="default"/>
      <w:kern w:val="2"/>
      <w:sz w:val="24"/>
      <w:szCs w:val="24"/>
      <w:lang w:val="en-US" w:eastAsia="zh-CN"/>
    </w:rPr>
  </w:style>
  <w:style w:type="character" w:customStyle="1" w:styleId="afffffffffffffffffffffffe">
    <w:name w:val="称呼 字符"/>
    <w:basedOn w:val="a6"/>
    <w:uiPriority w:val="99"/>
    <w:unhideWhenUsed/>
    <w:qFormat/>
    <w:rPr>
      <w:rFonts w:cs="Times New Roman" w:hint="default"/>
      <w:kern w:val="2"/>
      <w:sz w:val="24"/>
      <w:szCs w:val="24"/>
    </w:rPr>
  </w:style>
  <w:style w:type="character" w:customStyle="1" w:styleId="CharCharCharCharChar1">
    <w:name w:val="首行缩进 Char Char Char Char Char"/>
    <w:unhideWhenUsed/>
    <w:qFormat/>
    <w:rPr>
      <w:rFonts w:eastAsia="宋体" w:hint="default"/>
      <w:kern w:val="2"/>
      <w:sz w:val="24"/>
      <w:szCs w:val="24"/>
      <w:lang w:val="en-US" w:eastAsia="zh-CN"/>
    </w:rPr>
  </w:style>
  <w:style w:type="character" w:customStyle="1" w:styleId="px14">
    <w:name w:val="px14"/>
    <w:basedOn w:val="a6"/>
    <w:unhideWhenUsed/>
    <w:qFormat/>
    <w:rPr>
      <w:rFonts w:cs="Times New Roman" w:hint="default"/>
      <w:sz w:val="24"/>
      <w:szCs w:val="24"/>
    </w:rPr>
  </w:style>
  <w:style w:type="character" w:customStyle="1" w:styleId="style91">
    <w:name w:val="style91"/>
    <w:unhideWhenUsed/>
    <w:qFormat/>
    <w:rPr>
      <w:rFonts w:hint="default"/>
      <w:color w:val="333333"/>
      <w:sz w:val="18"/>
      <w:szCs w:val="24"/>
    </w:rPr>
  </w:style>
  <w:style w:type="character" w:customStyle="1" w:styleId="line181">
    <w:name w:val="line181"/>
    <w:basedOn w:val="a6"/>
    <w:unhideWhenUsed/>
    <w:qFormat/>
    <w:rPr>
      <w:rFonts w:cs="Times New Roman" w:hint="default"/>
      <w:sz w:val="24"/>
      <w:szCs w:val="24"/>
    </w:rPr>
  </w:style>
  <w:style w:type="character" w:customStyle="1" w:styleId="zhenwen141">
    <w:name w:val="zhenwen141"/>
    <w:unhideWhenUsed/>
    <w:qFormat/>
    <w:rPr>
      <w:rFonts w:ascii="??" w:hint="default"/>
      <w:sz w:val="21"/>
      <w:szCs w:val="24"/>
    </w:rPr>
  </w:style>
  <w:style w:type="character" w:customStyle="1" w:styleId="CharCharf">
    <w:name w:val="表格居左 Char Char"/>
    <w:unhideWhenUsed/>
    <w:qFormat/>
    <w:rPr>
      <w:rFonts w:eastAsia="宋体" w:hint="default"/>
      <w:sz w:val="21"/>
      <w:szCs w:val="24"/>
      <w:lang w:val="en-US" w:eastAsia="zh-CN"/>
    </w:rPr>
  </w:style>
  <w:style w:type="character" w:customStyle="1" w:styleId="CharCharChar20">
    <w:name w:val="Char Char Char2"/>
    <w:unhideWhenUsed/>
    <w:qFormat/>
    <w:rPr>
      <w:rFonts w:eastAsia="宋体" w:hint="default"/>
      <w:kern w:val="2"/>
      <w:sz w:val="24"/>
      <w:szCs w:val="24"/>
      <w:lang w:val="en-US" w:eastAsia="zh-CN"/>
    </w:rPr>
  </w:style>
  <w:style w:type="character" w:customStyle="1" w:styleId="2Char1CharChar">
    <w:name w:val="标题 2 Char1 Char Char"/>
    <w:unhideWhenUsed/>
    <w:qFormat/>
    <w:rPr>
      <w:rFonts w:ascii="Arial" w:eastAsia="黑体" w:hAnsi="Arial" w:hint="eastAsia"/>
      <w:b/>
      <w:kern w:val="2"/>
      <w:sz w:val="32"/>
      <w:szCs w:val="24"/>
      <w:lang w:val="en-US" w:eastAsia="zh-CN"/>
    </w:rPr>
  </w:style>
  <w:style w:type="character" w:customStyle="1" w:styleId="3Char3Char1">
    <w:name w:val="标题 3 Char3 Char1"/>
    <w:unhideWhenUsed/>
    <w:qFormat/>
    <w:rPr>
      <w:rFonts w:eastAsia="宋体" w:hint="default"/>
      <w:b/>
      <w:kern w:val="2"/>
      <w:sz w:val="32"/>
      <w:szCs w:val="24"/>
      <w:lang w:val="en-US" w:eastAsia="zh-CN"/>
    </w:rPr>
  </w:style>
  <w:style w:type="character" w:customStyle="1" w:styleId="CharChar1">
    <w:name w:val="标题五 Char Char"/>
    <w:link w:val="affffffff7"/>
    <w:unhideWhenUsed/>
    <w:qFormat/>
    <w:rPr>
      <w:rFonts w:ascii="Arial" w:hint="default"/>
      <w:sz w:val="24"/>
      <w:szCs w:val="24"/>
    </w:rPr>
  </w:style>
  <w:style w:type="character" w:customStyle="1" w:styleId="Charffffff2">
    <w:name w:val="北山简报正文 Char"/>
    <w:unhideWhenUsed/>
    <w:qFormat/>
    <w:rPr>
      <w:rFonts w:hint="default"/>
      <w:kern w:val="2"/>
      <w:sz w:val="24"/>
      <w:szCs w:val="24"/>
    </w:rPr>
  </w:style>
  <w:style w:type="character" w:customStyle="1" w:styleId="Charffffff3">
    <w:name w:val="标题章 Char"/>
    <w:unhideWhenUsed/>
    <w:qFormat/>
    <w:rPr>
      <w:rFonts w:eastAsia="宋体" w:hint="default"/>
      <w:b/>
      <w:kern w:val="44"/>
      <w:sz w:val="44"/>
      <w:szCs w:val="24"/>
      <w:lang w:val="en-US" w:eastAsia="zh-CN"/>
    </w:rPr>
  </w:style>
  <w:style w:type="character" w:customStyle="1" w:styleId="Charffffff4">
    <w:name w:val="第四层条 Char"/>
    <w:unhideWhenUsed/>
    <w:qFormat/>
    <w:rPr>
      <w:rFonts w:eastAsia="宋体" w:hint="default"/>
      <w:sz w:val="24"/>
      <w:szCs w:val="24"/>
      <w:lang w:val="en-US" w:eastAsia="zh-CN"/>
    </w:rPr>
  </w:style>
  <w:style w:type="character" w:customStyle="1" w:styleId="font2">
    <w:name w:val="font2"/>
    <w:unhideWhenUsed/>
    <w:qFormat/>
    <w:rPr>
      <w:rFonts w:ascii="宋体" w:eastAsia="宋体" w:hAnsi="宋体" w:hint="eastAsia"/>
      <w:color w:val="000000"/>
      <w:sz w:val="24"/>
      <w:szCs w:val="24"/>
    </w:rPr>
  </w:style>
  <w:style w:type="character" w:customStyle="1" w:styleId="ssy3CharChar">
    <w:name w:val="ssy3 Char Char"/>
    <w:link w:val="ssy3Char"/>
    <w:unhideWhenUsed/>
    <w:qFormat/>
    <w:rPr>
      <w:rFonts w:ascii="宋体" w:eastAsia="宋体" w:hint="eastAsia"/>
      <w:b/>
      <w:kern w:val="2"/>
      <w:sz w:val="28"/>
      <w:szCs w:val="24"/>
    </w:rPr>
  </w:style>
  <w:style w:type="character" w:customStyle="1" w:styleId="03CharChar">
    <w:name w:val="03 Char Char"/>
    <w:link w:val="03Char"/>
    <w:unhideWhenUsed/>
    <w:qFormat/>
    <w:rPr>
      <w:rFonts w:ascii="宋体" w:eastAsia="宋体" w:hint="eastAsia"/>
      <w:kern w:val="2"/>
      <w:sz w:val="24"/>
      <w:szCs w:val="24"/>
    </w:rPr>
  </w:style>
  <w:style w:type="character" w:customStyle="1" w:styleId="00Char">
    <w:name w:val="00 Char"/>
    <w:link w:val="000"/>
    <w:unhideWhenUsed/>
    <w:qFormat/>
    <w:rPr>
      <w:rFonts w:ascii="黑体" w:eastAsia="黑体" w:hint="eastAsia"/>
      <w:b/>
      <w:kern w:val="44"/>
      <w:sz w:val="30"/>
      <w:szCs w:val="24"/>
    </w:rPr>
  </w:style>
  <w:style w:type="character" w:customStyle="1" w:styleId="02Char">
    <w:name w:val="02 Char"/>
    <w:link w:val="021"/>
    <w:unhideWhenUsed/>
    <w:qFormat/>
    <w:rPr>
      <w:rFonts w:eastAsia="黑体" w:hint="default"/>
      <w:b/>
      <w:kern w:val="2"/>
      <w:sz w:val="32"/>
      <w:szCs w:val="24"/>
    </w:rPr>
  </w:style>
  <w:style w:type="character" w:customStyle="1" w:styleId="Charff5">
    <w:name w:val="无间隔 Char"/>
    <w:link w:val="affffffffc"/>
    <w:uiPriority w:val="1"/>
    <w:unhideWhenUsed/>
    <w:qFormat/>
    <w:rPr>
      <w:rFonts w:hint="default"/>
      <w:kern w:val="2"/>
      <w:sz w:val="32"/>
      <w:szCs w:val="24"/>
    </w:rPr>
  </w:style>
  <w:style w:type="character" w:customStyle="1" w:styleId="affffffffffffffffffffffff">
    <w:name w:val="引用 字符"/>
    <w:basedOn w:val="a6"/>
    <w:uiPriority w:val="29"/>
    <w:unhideWhenUsed/>
    <w:qFormat/>
    <w:rPr>
      <w:rFonts w:cs="Times New Roman" w:hint="default"/>
      <w:i/>
      <w:color w:val="404040"/>
      <w:kern w:val="2"/>
      <w:sz w:val="24"/>
      <w:szCs w:val="24"/>
    </w:rPr>
  </w:style>
  <w:style w:type="character" w:customStyle="1" w:styleId="Charff6">
    <w:name w:val="引用 Char"/>
    <w:link w:val="affffffffd"/>
    <w:unhideWhenUsed/>
    <w:qFormat/>
    <w:rPr>
      <w:rFonts w:hint="default"/>
      <w:i/>
      <w:kern w:val="2"/>
      <w:sz w:val="24"/>
      <w:szCs w:val="24"/>
    </w:rPr>
  </w:style>
  <w:style w:type="character" w:customStyle="1" w:styleId="affffffffffffffffffffffff0">
    <w:name w:val="明显引用 字符"/>
    <w:basedOn w:val="a6"/>
    <w:uiPriority w:val="30"/>
    <w:unhideWhenUsed/>
    <w:qFormat/>
    <w:rPr>
      <w:rFonts w:cs="Times New Roman" w:hint="default"/>
      <w:i/>
      <w:color w:val="5B9BD5"/>
      <w:kern w:val="2"/>
      <w:sz w:val="24"/>
      <w:szCs w:val="24"/>
    </w:rPr>
  </w:style>
  <w:style w:type="character" w:customStyle="1" w:styleId="Charff7">
    <w:name w:val="明显引用 Char"/>
    <w:link w:val="affffffffe"/>
    <w:unhideWhenUsed/>
    <w:qFormat/>
    <w:rPr>
      <w:rFonts w:hint="default"/>
      <w:b/>
      <w:i/>
      <w:kern w:val="2"/>
      <w:sz w:val="22"/>
      <w:szCs w:val="24"/>
    </w:rPr>
  </w:style>
  <w:style w:type="character" w:customStyle="1" w:styleId="3Char10">
    <w:name w:val="正文文本缩进 3 Char1"/>
    <w:unhideWhenUsed/>
    <w:qFormat/>
    <w:rPr>
      <w:rFonts w:hint="default"/>
      <w:kern w:val="2"/>
      <w:sz w:val="16"/>
      <w:szCs w:val="24"/>
    </w:rPr>
  </w:style>
  <w:style w:type="character" w:customStyle="1" w:styleId="Charff8">
    <w:name w:val="表格内标 Char"/>
    <w:link w:val="afffffffff"/>
    <w:unhideWhenUsed/>
    <w:qFormat/>
    <w:rPr>
      <w:rFonts w:eastAsia="黑体" w:hint="default"/>
      <w:kern w:val="2"/>
      <w:sz w:val="24"/>
      <w:szCs w:val="24"/>
    </w:rPr>
  </w:style>
  <w:style w:type="character" w:customStyle="1" w:styleId="hongf-16">
    <w:name w:val="hong f-16"/>
    <w:basedOn w:val="a6"/>
    <w:unhideWhenUsed/>
    <w:qFormat/>
    <w:rPr>
      <w:rFonts w:cs="Times New Roman" w:hint="default"/>
      <w:sz w:val="24"/>
      <w:szCs w:val="24"/>
    </w:rPr>
  </w:style>
  <w:style w:type="character" w:customStyle="1" w:styleId="affffffffffffffffffffffff1">
    <w:name w:val="样式 宋体"/>
    <w:unhideWhenUsed/>
    <w:qFormat/>
    <w:rPr>
      <w:rFonts w:ascii="宋体" w:eastAsia="宋体" w:hint="eastAsia"/>
      <w:sz w:val="24"/>
      <w:szCs w:val="24"/>
    </w:rPr>
  </w:style>
  <w:style w:type="character" w:customStyle="1" w:styleId="Charffffff5">
    <w:name w:val="标题 Char"/>
    <w:unhideWhenUsed/>
    <w:qFormat/>
    <w:rPr>
      <w:rFonts w:ascii="Cambria" w:hint="default"/>
      <w:b/>
      <w:kern w:val="2"/>
      <w:sz w:val="32"/>
      <w:szCs w:val="24"/>
    </w:rPr>
  </w:style>
  <w:style w:type="character" w:customStyle="1" w:styleId="5Char10">
    <w:name w:val="标题 5 Char1"/>
    <w:unhideWhenUsed/>
    <w:qFormat/>
    <w:rPr>
      <w:rFonts w:eastAsia="宋体" w:hint="default"/>
      <w:b/>
      <w:kern w:val="2"/>
      <w:sz w:val="28"/>
      <w:szCs w:val="24"/>
      <w:lang w:val="en-US" w:eastAsia="zh-CN"/>
    </w:rPr>
  </w:style>
  <w:style w:type="character" w:customStyle="1" w:styleId="Char19">
    <w:name w:val="章节 Char1"/>
    <w:unhideWhenUsed/>
    <w:qFormat/>
    <w:rPr>
      <w:rFonts w:eastAsia="宋体" w:hint="default"/>
      <w:b/>
      <w:kern w:val="44"/>
      <w:sz w:val="44"/>
      <w:szCs w:val="24"/>
      <w:lang w:val="en-US" w:eastAsia="zh-CN"/>
    </w:rPr>
  </w:style>
  <w:style w:type="character" w:customStyle="1" w:styleId="Char1a">
    <w:name w:val="标题节 Char1"/>
    <w:unhideWhenUsed/>
    <w:qFormat/>
    <w:rPr>
      <w:rFonts w:ascii="Arial" w:eastAsia="黑体" w:hAnsi="Arial" w:hint="eastAsia"/>
      <w:b/>
      <w:kern w:val="2"/>
      <w:sz w:val="32"/>
      <w:szCs w:val="24"/>
      <w:lang w:val="en-US" w:eastAsia="zh-CN"/>
    </w:rPr>
  </w:style>
  <w:style w:type="character" w:customStyle="1" w:styleId="SectionChar1">
    <w:name w:val="Section Char1"/>
    <w:unhideWhenUsed/>
    <w:qFormat/>
    <w:rPr>
      <w:rFonts w:eastAsia="宋体" w:hint="default"/>
      <w:b/>
      <w:kern w:val="2"/>
      <w:sz w:val="32"/>
      <w:szCs w:val="24"/>
      <w:lang w:val="en-US" w:eastAsia="zh-CN"/>
    </w:rPr>
  </w:style>
  <w:style w:type="character" w:customStyle="1" w:styleId="1111Char">
    <w:name w:val="款标题1.1.1.1 Char"/>
    <w:unhideWhenUsed/>
    <w:qFormat/>
    <w:rPr>
      <w:rFonts w:ascii="Arial" w:eastAsia="黑体" w:hAnsi="Arial" w:hint="eastAsia"/>
      <w:b/>
      <w:kern w:val="2"/>
      <w:sz w:val="28"/>
      <w:szCs w:val="24"/>
      <w:lang w:val="en-US" w:eastAsia="zh-CN"/>
    </w:rPr>
  </w:style>
  <w:style w:type="character" w:customStyle="1" w:styleId="Char23">
    <w:name w:val="正文段 Char2"/>
    <w:link w:val="afffffffff3"/>
    <w:unhideWhenUsed/>
    <w:qFormat/>
    <w:rPr>
      <w:rFonts w:ascii="仿宋_GB2312" w:eastAsia="仿宋_GB2312" w:hAnsi="宋体" w:hint="eastAsia"/>
      <w:sz w:val="18"/>
      <w:szCs w:val="24"/>
    </w:rPr>
  </w:style>
  <w:style w:type="character" w:customStyle="1" w:styleId="CharCharf0">
    <w:name w:val="三级标题 Char Char"/>
    <w:unhideWhenUsed/>
    <w:qFormat/>
    <w:rPr>
      <w:rFonts w:eastAsia="宋体" w:hint="default"/>
      <w:b/>
      <w:kern w:val="2"/>
      <w:sz w:val="24"/>
      <w:szCs w:val="24"/>
      <w:lang w:val="en-US" w:eastAsia="zh-CN"/>
    </w:rPr>
  </w:style>
  <w:style w:type="character" w:customStyle="1" w:styleId="CharCharCharCharChar10">
    <w:name w:val="Char Char Char Char Char1"/>
    <w:unhideWhenUsed/>
    <w:qFormat/>
    <w:rPr>
      <w:rFonts w:hint="default"/>
      <w:kern w:val="2"/>
      <w:sz w:val="18"/>
      <w:szCs w:val="24"/>
    </w:rPr>
  </w:style>
  <w:style w:type="character" w:customStyle="1" w:styleId="con">
    <w:name w:val="con"/>
    <w:basedOn w:val="a6"/>
    <w:unhideWhenUsed/>
    <w:qFormat/>
    <w:rPr>
      <w:rFonts w:cs="Times New Roman" w:hint="default"/>
      <w:sz w:val="24"/>
      <w:szCs w:val="24"/>
    </w:rPr>
  </w:style>
  <w:style w:type="character" w:customStyle="1" w:styleId="Charffffff6">
    <w:name w:val="批注框文本 Char"/>
    <w:uiPriority w:val="99"/>
    <w:unhideWhenUsed/>
    <w:qFormat/>
    <w:rPr>
      <w:rFonts w:hint="default"/>
      <w:kern w:val="2"/>
      <w:sz w:val="18"/>
      <w:szCs w:val="24"/>
    </w:rPr>
  </w:style>
  <w:style w:type="character" w:customStyle="1" w:styleId="2Charb">
    <w:name w:val="正文首行缩进 2 Char"/>
    <w:unhideWhenUsed/>
    <w:qFormat/>
    <w:rPr>
      <w:rFonts w:eastAsia="宋体" w:hint="default"/>
      <w:kern w:val="2"/>
      <w:sz w:val="24"/>
      <w:szCs w:val="24"/>
      <w:lang w:val="en-US" w:eastAsia="zh-CN"/>
    </w:rPr>
  </w:style>
  <w:style w:type="character" w:customStyle="1" w:styleId="33Char">
    <w:name w:val="标题33 Char"/>
    <w:unhideWhenUsed/>
    <w:qFormat/>
    <w:rPr>
      <w:rFonts w:hint="default"/>
      <w:b/>
      <w:kern w:val="2"/>
      <w:sz w:val="32"/>
      <w:szCs w:val="24"/>
    </w:rPr>
  </w:style>
  <w:style w:type="character" w:customStyle="1" w:styleId="11Char0">
    <w:name w:val="标题11 Char"/>
    <w:unhideWhenUsed/>
    <w:qFormat/>
    <w:rPr>
      <w:rFonts w:hint="default"/>
      <w:b/>
      <w:kern w:val="44"/>
      <w:sz w:val="44"/>
      <w:szCs w:val="24"/>
    </w:rPr>
  </w:style>
  <w:style w:type="character" w:customStyle="1" w:styleId="22Char0">
    <w:name w:val="标题22 Char"/>
    <w:unhideWhenUsed/>
    <w:qFormat/>
    <w:rPr>
      <w:rFonts w:hint="default"/>
      <w:b/>
      <w:kern w:val="2"/>
      <w:sz w:val="32"/>
      <w:szCs w:val="24"/>
    </w:rPr>
  </w:style>
  <w:style w:type="character" w:customStyle="1" w:styleId="CharChar17">
    <w:name w:val="Char Char17"/>
    <w:unhideWhenUsed/>
    <w:qFormat/>
    <w:rPr>
      <w:rFonts w:ascii="Times New Roman" w:eastAsia="宋体" w:hAnsi="Times New Roman" w:hint="eastAsia"/>
      <w:b/>
      <w:kern w:val="28"/>
      <w:sz w:val="24"/>
      <w:szCs w:val="24"/>
    </w:rPr>
  </w:style>
  <w:style w:type="character" w:customStyle="1" w:styleId="CharChar15">
    <w:name w:val="Char Char15"/>
    <w:unhideWhenUsed/>
    <w:qFormat/>
    <w:rPr>
      <w:rFonts w:ascii="Times New Roman" w:eastAsia="宋体" w:hAnsi="Times New Roman" w:hint="eastAsia"/>
      <w:b/>
      <w:i/>
      <w:kern w:val="28"/>
      <w:sz w:val="24"/>
      <w:szCs w:val="24"/>
    </w:rPr>
  </w:style>
  <w:style w:type="character" w:customStyle="1" w:styleId="CharChar14">
    <w:name w:val="Char Char14"/>
    <w:unhideWhenUsed/>
    <w:qFormat/>
    <w:rPr>
      <w:rFonts w:ascii="Cambria" w:eastAsia="宋体" w:hAnsi="Cambria" w:hint="eastAsia"/>
      <w:b/>
      <w:kern w:val="28"/>
      <w:sz w:val="32"/>
      <w:szCs w:val="24"/>
    </w:rPr>
  </w:style>
  <w:style w:type="character" w:customStyle="1" w:styleId="Char1b">
    <w:name w:val="副标题 Char1"/>
    <w:uiPriority w:val="11"/>
    <w:unhideWhenUsed/>
    <w:qFormat/>
    <w:rPr>
      <w:rFonts w:ascii="Cambria" w:eastAsia="宋体" w:hAnsi="Cambria" w:hint="eastAsia"/>
      <w:b/>
      <w:kern w:val="28"/>
      <w:sz w:val="32"/>
      <w:szCs w:val="24"/>
    </w:rPr>
  </w:style>
  <w:style w:type="character" w:customStyle="1" w:styleId="CharChar13">
    <w:name w:val="Char Char13"/>
    <w:unhideWhenUsed/>
    <w:qFormat/>
    <w:rPr>
      <w:rFonts w:eastAsia="仿宋_GB2312" w:hint="default"/>
      <w:b/>
      <w:sz w:val="24"/>
      <w:szCs w:val="24"/>
    </w:rPr>
  </w:style>
  <w:style w:type="character" w:customStyle="1" w:styleId="CharChar12">
    <w:name w:val="Char Char12"/>
    <w:unhideWhenUsed/>
    <w:qFormat/>
    <w:rPr>
      <w:rFonts w:eastAsia="宋体" w:hint="default"/>
      <w:sz w:val="24"/>
      <w:szCs w:val="24"/>
    </w:rPr>
  </w:style>
  <w:style w:type="character" w:customStyle="1" w:styleId="CharChar11">
    <w:name w:val="Char Char11"/>
    <w:unhideWhenUsed/>
    <w:qFormat/>
    <w:rPr>
      <w:rFonts w:eastAsia="宋体" w:hint="default"/>
      <w:b/>
      <w:sz w:val="24"/>
      <w:szCs w:val="24"/>
    </w:rPr>
  </w:style>
  <w:style w:type="character" w:customStyle="1" w:styleId="CharChar10">
    <w:name w:val="Char Char10"/>
    <w:unhideWhenUsed/>
    <w:qFormat/>
    <w:rPr>
      <w:rFonts w:ascii="Courier New" w:eastAsia="宋体" w:hAnsi="Courier New" w:hint="eastAsia"/>
      <w:sz w:val="24"/>
      <w:szCs w:val="24"/>
    </w:rPr>
  </w:style>
  <w:style w:type="character" w:customStyle="1" w:styleId="CharChar90">
    <w:name w:val="Char Char9"/>
    <w:unhideWhenUsed/>
    <w:qFormat/>
    <w:rPr>
      <w:rFonts w:ascii="Times New Roman" w:eastAsia="宋体" w:hAnsi="Times New Roman" w:hint="eastAsia"/>
      <w:sz w:val="24"/>
      <w:szCs w:val="24"/>
    </w:rPr>
  </w:style>
  <w:style w:type="character" w:customStyle="1" w:styleId="CharCharChar21">
    <w:name w:val="Char Char Char21"/>
    <w:unhideWhenUsed/>
    <w:qFormat/>
    <w:rPr>
      <w:rFonts w:eastAsia="宋体" w:hint="default"/>
      <w:kern w:val="2"/>
      <w:sz w:val="24"/>
      <w:szCs w:val="24"/>
      <w:lang w:val="en-US" w:eastAsia="zh-CN"/>
    </w:rPr>
  </w:style>
  <w:style w:type="character" w:customStyle="1" w:styleId="22CharChar">
    <w:name w:val="标题22 Char Char"/>
    <w:unhideWhenUsed/>
    <w:qFormat/>
    <w:rPr>
      <w:rFonts w:hint="default"/>
      <w:b/>
      <w:kern w:val="2"/>
      <w:sz w:val="32"/>
      <w:szCs w:val="24"/>
    </w:rPr>
  </w:style>
  <w:style w:type="character" w:customStyle="1" w:styleId="33CharChar">
    <w:name w:val="标题33 Char Char"/>
    <w:unhideWhenUsed/>
    <w:qFormat/>
    <w:rPr>
      <w:rFonts w:hint="default"/>
      <w:b/>
      <w:kern w:val="2"/>
      <w:sz w:val="32"/>
      <w:szCs w:val="24"/>
    </w:rPr>
  </w:style>
  <w:style w:type="character" w:customStyle="1" w:styleId="Char3">
    <w:name w:val="文档结构图 Char"/>
    <w:link w:val="ae"/>
    <w:uiPriority w:val="99"/>
    <w:unhideWhenUsed/>
    <w:qFormat/>
    <w:rPr>
      <w:rFonts w:hint="default"/>
      <w:kern w:val="2"/>
      <w:sz w:val="24"/>
      <w:szCs w:val="24"/>
      <w:shd w:val="clear" w:color="auto" w:fill="000080"/>
    </w:rPr>
  </w:style>
  <w:style w:type="character" w:customStyle="1" w:styleId="326">
    <w:name w:val="正文文本缩进 3 字符2"/>
    <w:unhideWhenUsed/>
    <w:qFormat/>
    <w:rPr>
      <w:rFonts w:hint="default"/>
      <w:sz w:val="24"/>
      <w:szCs w:val="24"/>
    </w:rPr>
  </w:style>
  <w:style w:type="character" w:customStyle="1" w:styleId="2Char0">
    <w:name w:val="正文文本 2 Char"/>
    <w:link w:val="25"/>
    <w:unhideWhenUsed/>
    <w:qFormat/>
    <w:rPr>
      <w:rFonts w:hint="default"/>
      <w:kern w:val="2"/>
      <w:sz w:val="24"/>
      <w:szCs w:val="24"/>
    </w:rPr>
  </w:style>
  <w:style w:type="character" w:customStyle="1" w:styleId="Char1c">
    <w:name w:val="日期 Char1"/>
    <w:unhideWhenUsed/>
    <w:qFormat/>
    <w:rPr>
      <w:rFonts w:hint="default"/>
      <w:kern w:val="2"/>
      <w:sz w:val="22"/>
      <w:szCs w:val="24"/>
    </w:rPr>
  </w:style>
  <w:style w:type="character" w:customStyle="1" w:styleId="2Char10">
    <w:name w:val="正文文本缩进 2 Char1"/>
    <w:unhideWhenUsed/>
    <w:qFormat/>
    <w:rPr>
      <w:rFonts w:hint="default"/>
      <w:kern w:val="2"/>
      <w:sz w:val="22"/>
      <w:szCs w:val="24"/>
    </w:rPr>
  </w:style>
  <w:style w:type="character" w:customStyle="1" w:styleId="Char1d">
    <w:name w:val="批注主题 Char1"/>
    <w:unhideWhenUsed/>
    <w:qFormat/>
    <w:rPr>
      <w:rFonts w:hint="default"/>
      <w:b/>
      <w:kern w:val="2"/>
      <w:sz w:val="22"/>
      <w:szCs w:val="24"/>
    </w:rPr>
  </w:style>
  <w:style w:type="character" w:customStyle="1" w:styleId="HTMLChar1">
    <w:name w:val="HTML 预设格式 Char1"/>
    <w:uiPriority w:val="99"/>
    <w:unhideWhenUsed/>
    <w:qFormat/>
    <w:rPr>
      <w:rFonts w:ascii="Courier New" w:hint="default"/>
      <w:kern w:val="2"/>
      <w:sz w:val="24"/>
      <w:szCs w:val="24"/>
    </w:rPr>
  </w:style>
  <w:style w:type="character" w:customStyle="1" w:styleId="327">
    <w:name w:val="正文文本 3 字符2"/>
    <w:unhideWhenUsed/>
    <w:qFormat/>
    <w:rPr>
      <w:rFonts w:hint="default"/>
      <w:kern w:val="2"/>
      <w:sz w:val="24"/>
      <w:szCs w:val="24"/>
    </w:rPr>
  </w:style>
  <w:style w:type="character" w:customStyle="1" w:styleId="Char1e">
    <w:name w:val="页脚 Char1"/>
    <w:unhideWhenUsed/>
    <w:qFormat/>
    <w:rPr>
      <w:rFonts w:hint="default"/>
      <w:sz w:val="18"/>
      <w:szCs w:val="24"/>
    </w:rPr>
  </w:style>
  <w:style w:type="character" w:customStyle="1" w:styleId="Char">
    <w:name w:val="注释标题 Char"/>
    <w:link w:val="aa"/>
    <w:unhideWhenUsed/>
    <w:qFormat/>
    <w:rPr>
      <w:rFonts w:ascii="宋体" w:eastAsia="宋体" w:hint="eastAsia"/>
      <w:kern w:val="2"/>
      <w:sz w:val="21"/>
      <w:szCs w:val="24"/>
    </w:rPr>
  </w:style>
  <w:style w:type="character" w:customStyle="1" w:styleId="Char4">
    <w:name w:val="称呼 Char"/>
    <w:link w:val="af1"/>
    <w:unhideWhenUsed/>
    <w:qFormat/>
    <w:rPr>
      <w:rFonts w:ascii="宋体" w:eastAsia="宋体" w:hAnsi="Courier New" w:hint="eastAsia"/>
      <w:kern w:val="2"/>
      <w:sz w:val="21"/>
      <w:szCs w:val="24"/>
    </w:rPr>
  </w:style>
  <w:style w:type="character" w:customStyle="1" w:styleId="CharChar16">
    <w:name w:val="Char Char16"/>
    <w:unhideWhenUsed/>
    <w:qFormat/>
    <w:rPr>
      <w:rFonts w:eastAsia="宋体" w:hint="default"/>
      <w:b/>
      <w:kern w:val="28"/>
      <w:sz w:val="24"/>
      <w:szCs w:val="24"/>
      <w:lang w:val="en-US" w:eastAsia="zh-CN"/>
    </w:rPr>
  </w:style>
  <w:style w:type="character" w:customStyle="1" w:styleId="15Char">
    <w:name w:val="正文 小四 行距: 1.5 倍行距 Char"/>
    <w:link w:val="153"/>
    <w:unhideWhenUsed/>
    <w:qFormat/>
    <w:rPr>
      <w:rFonts w:hint="default"/>
      <w:kern w:val="2"/>
      <w:sz w:val="24"/>
      <w:szCs w:val="24"/>
    </w:rPr>
  </w:style>
  <w:style w:type="character" w:customStyle="1" w:styleId="Charf4">
    <w:name w:val="[正文格式] Char"/>
    <w:link w:val="affff8"/>
    <w:unhideWhenUsed/>
    <w:qFormat/>
    <w:rPr>
      <w:rFonts w:hint="default"/>
      <w:kern w:val="2"/>
      <w:sz w:val="24"/>
      <w:szCs w:val="24"/>
    </w:rPr>
  </w:style>
  <w:style w:type="character" w:customStyle="1" w:styleId="Char25">
    <w:name w:val="表头 Char2"/>
    <w:unhideWhenUsed/>
    <w:qFormat/>
    <w:rPr>
      <w:rFonts w:eastAsia="黑体" w:hint="default"/>
      <w:kern w:val="2"/>
      <w:sz w:val="24"/>
      <w:szCs w:val="24"/>
      <w:lang w:val="en-US" w:eastAsia="zh-CN"/>
    </w:rPr>
  </w:style>
  <w:style w:type="character" w:customStyle="1" w:styleId="1Char3">
    <w:name w:val="1正文段落 Char"/>
    <w:link w:val="1ff5"/>
    <w:unhideWhenUsed/>
    <w:qFormat/>
    <w:rPr>
      <w:rFonts w:hint="default"/>
      <w:sz w:val="24"/>
      <w:szCs w:val="24"/>
    </w:rPr>
  </w:style>
  <w:style w:type="character" w:customStyle="1" w:styleId="Char32">
    <w:name w:val="页眉 Char3"/>
    <w:unhideWhenUsed/>
    <w:qFormat/>
    <w:rPr>
      <w:rFonts w:eastAsia="宋体" w:hint="default"/>
      <w:kern w:val="2"/>
      <w:sz w:val="18"/>
      <w:szCs w:val="24"/>
      <w:lang w:val="en-US" w:eastAsia="zh-CN"/>
    </w:rPr>
  </w:style>
  <w:style w:type="character" w:customStyle="1" w:styleId="mainfirst1">
    <w:name w:val="mainfirst1"/>
    <w:unhideWhenUsed/>
    <w:qFormat/>
    <w:rPr>
      <w:rFonts w:hint="default"/>
      <w:b/>
      <w:color w:val="FF0000"/>
      <w:sz w:val="36"/>
      <w:szCs w:val="24"/>
    </w:rPr>
  </w:style>
  <w:style w:type="character" w:customStyle="1" w:styleId="CharCharCharCharCharCCharCharCharCharCharCharChar">
    <w:name w:val="普通文字 Char Char Char Char Char C Char Char Char Char Char Char Char"/>
    <w:unhideWhenUsed/>
    <w:qFormat/>
    <w:rPr>
      <w:rFonts w:ascii="宋体" w:eastAsia="宋体" w:hAnsi="Courier New" w:hint="eastAsia"/>
      <w:kern w:val="2"/>
      <w:sz w:val="28"/>
      <w:szCs w:val="24"/>
      <w:lang w:val="en-US" w:eastAsia="zh-CN"/>
    </w:rPr>
  </w:style>
  <w:style w:type="character" w:customStyle="1" w:styleId="redfont">
    <w:name w:val="redfont"/>
    <w:basedOn w:val="a6"/>
    <w:unhideWhenUsed/>
    <w:qFormat/>
    <w:rPr>
      <w:rFonts w:cs="Times New Roman" w:hint="default"/>
      <w:sz w:val="24"/>
      <w:szCs w:val="24"/>
    </w:rPr>
  </w:style>
  <w:style w:type="character" w:customStyle="1" w:styleId="Char1f">
    <w:name w:val="表头 Char1"/>
    <w:unhideWhenUsed/>
    <w:qFormat/>
    <w:rPr>
      <w:rFonts w:ascii="宋体" w:eastAsia="宋体" w:hint="eastAsia"/>
      <w:kern w:val="2"/>
      <w:sz w:val="24"/>
      <w:szCs w:val="24"/>
      <w:lang w:val="en-US" w:eastAsia="zh-CN"/>
    </w:rPr>
  </w:style>
  <w:style w:type="character" w:customStyle="1" w:styleId="affffffffffffffffffffffff2">
    <w:name w:val="结束语 字符"/>
    <w:basedOn w:val="a6"/>
    <w:uiPriority w:val="99"/>
    <w:unhideWhenUsed/>
    <w:qFormat/>
    <w:rPr>
      <w:rFonts w:cs="Times New Roman" w:hint="default"/>
      <w:kern w:val="2"/>
      <w:sz w:val="24"/>
      <w:szCs w:val="24"/>
    </w:rPr>
  </w:style>
  <w:style w:type="character" w:customStyle="1" w:styleId="Char6">
    <w:name w:val="结束语 Char"/>
    <w:link w:val="af3"/>
    <w:unhideWhenUsed/>
    <w:qFormat/>
    <w:rPr>
      <w:rFonts w:ascii="仿宋_GB2312" w:eastAsia="仿宋_GB2312" w:hint="eastAsia"/>
      <w:kern w:val="2"/>
      <w:sz w:val="32"/>
      <w:szCs w:val="24"/>
    </w:rPr>
  </w:style>
  <w:style w:type="character" w:customStyle="1" w:styleId="5Char2">
    <w:name w:val="样式 样式5 + 宋体 Char"/>
    <w:link w:val="5e"/>
    <w:unhideWhenUsed/>
    <w:qFormat/>
    <w:rPr>
      <w:rFonts w:hint="default"/>
      <w:b/>
      <w:kern w:val="2"/>
      <w:sz w:val="26"/>
      <w:szCs w:val="24"/>
    </w:rPr>
  </w:style>
  <w:style w:type="character" w:customStyle="1" w:styleId="1Chara">
    <w:name w:val="正文1 Char"/>
    <w:unhideWhenUsed/>
    <w:qFormat/>
    <w:rPr>
      <w:rFonts w:ascii="Arial" w:eastAsia="宋体" w:hAnsi="Arial" w:hint="eastAsia"/>
      <w:sz w:val="24"/>
      <w:szCs w:val="24"/>
      <w:lang w:val="en-US" w:eastAsia="zh-CN"/>
    </w:rPr>
  </w:style>
  <w:style w:type="character" w:customStyle="1" w:styleId="5Char1">
    <w:name w:val="样式5 Char1"/>
    <w:link w:val="5a"/>
    <w:unhideWhenUsed/>
    <w:qFormat/>
    <w:rPr>
      <w:rFonts w:ascii="宋体" w:eastAsia="宋体" w:hint="eastAsia"/>
      <w:color w:val="000000"/>
      <w:kern w:val="2"/>
      <w:sz w:val="24"/>
      <w:szCs w:val="24"/>
    </w:rPr>
  </w:style>
  <w:style w:type="character" w:customStyle="1" w:styleId="CharCharCharCharCharCCharCharCharCharCh">
    <w:name w:val="普通文字 Char Char Char Char Char C Char Char Char Char Ch"/>
    <w:unhideWhenUsed/>
    <w:qFormat/>
    <w:rPr>
      <w:rFonts w:ascii="宋体" w:eastAsia="宋体" w:hAnsi="Courier New" w:hint="eastAsia"/>
      <w:kern w:val="2"/>
      <w:sz w:val="28"/>
      <w:szCs w:val="24"/>
      <w:lang w:val="en-US" w:eastAsia="zh-CN"/>
    </w:rPr>
  </w:style>
  <w:style w:type="character" w:customStyle="1" w:styleId="Char34">
    <w:name w:val="普通文字 Char3"/>
    <w:unhideWhenUsed/>
    <w:qFormat/>
    <w:rPr>
      <w:rFonts w:ascii="宋体" w:eastAsia="宋体" w:hAnsi="Courier New" w:hint="eastAsia"/>
      <w:color w:val="000000"/>
      <w:kern w:val="2"/>
      <w:sz w:val="28"/>
      <w:szCs w:val="24"/>
      <w:lang w:val="en-US" w:eastAsia="zh-CN"/>
    </w:rPr>
  </w:style>
  <w:style w:type="character" w:customStyle="1" w:styleId="10115Char">
    <w:name w:val="样式 小四 首行缩进:  1.01 厘米 行距: 1.5 倍行距 Char"/>
    <w:link w:val="10115"/>
    <w:unhideWhenUsed/>
    <w:qFormat/>
    <w:rPr>
      <w:rFonts w:hint="default"/>
      <w:sz w:val="24"/>
      <w:szCs w:val="24"/>
    </w:rPr>
  </w:style>
  <w:style w:type="character" w:customStyle="1" w:styleId="Char1f0">
    <w:name w:val="表中文字 Char1"/>
    <w:unhideWhenUsed/>
    <w:qFormat/>
    <w:rPr>
      <w:rFonts w:hint="default"/>
      <w:kern w:val="2"/>
      <w:sz w:val="21"/>
      <w:szCs w:val="24"/>
    </w:rPr>
  </w:style>
  <w:style w:type="character" w:customStyle="1" w:styleId="Charffd">
    <w:name w:val="表名 Char"/>
    <w:link w:val="affffffffff"/>
    <w:unhideWhenUsed/>
    <w:qFormat/>
    <w:rPr>
      <w:rFonts w:ascii="宋体" w:eastAsia="宋体" w:hint="eastAsia"/>
      <w:b/>
      <w:sz w:val="24"/>
      <w:szCs w:val="24"/>
    </w:rPr>
  </w:style>
  <w:style w:type="character" w:customStyle="1" w:styleId="affffffffffffffffffffffff3">
    <w:name w:val="个人撰写风格"/>
    <w:unhideWhenUsed/>
    <w:qFormat/>
    <w:rPr>
      <w:rFonts w:ascii="Arial" w:eastAsia="宋体" w:hAnsi="Arial" w:hint="eastAsia"/>
      <w:color w:val="auto"/>
      <w:sz w:val="20"/>
      <w:szCs w:val="24"/>
    </w:rPr>
  </w:style>
  <w:style w:type="character" w:customStyle="1" w:styleId="CharCharCharCharCharCCharCharCharCharCharChar">
    <w:name w:val="普通文字 Char Char Char Char Char C Char Char Char Char Char Char"/>
    <w:unhideWhenUsed/>
    <w:qFormat/>
    <w:rPr>
      <w:rFonts w:ascii="宋体" w:eastAsia="宋体" w:hAnsi="Courier New" w:hint="eastAsia"/>
      <w:kern w:val="2"/>
      <w:sz w:val="24"/>
      <w:szCs w:val="24"/>
      <w:lang w:val="en-US" w:eastAsia="zh-CN"/>
    </w:rPr>
  </w:style>
  <w:style w:type="character" w:customStyle="1" w:styleId="Char40">
    <w:name w:val="普通文字 Char4"/>
    <w:unhideWhenUsed/>
    <w:qFormat/>
    <w:rPr>
      <w:rFonts w:ascii="宋体" w:eastAsia="宋体" w:hAnsi="Courier New" w:hint="eastAsia"/>
      <w:color w:val="000000"/>
      <w:kern w:val="2"/>
      <w:sz w:val="28"/>
      <w:szCs w:val="24"/>
      <w:lang w:val="en-US" w:eastAsia="zh-CN"/>
    </w:rPr>
  </w:style>
  <w:style w:type="character" w:customStyle="1" w:styleId="3Char7">
    <w:name w:val="纯文本3 Char"/>
    <w:unhideWhenUsed/>
    <w:qFormat/>
    <w:rPr>
      <w:rFonts w:ascii="宋体" w:eastAsia="宋体" w:hAnsi="Courier New" w:hint="eastAsia"/>
      <w:color w:val="000000"/>
      <w:kern w:val="2"/>
      <w:sz w:val="28"/>
      <w:szCs w:val="24"/>
      <w:lang w:val="en-US" w:eastAsia="zh-CN"/>
    </w:rPr>
  </w:style>
  <w:style w:type="character" w:customStyle="1" w:styleId="10115CharChar">
    <w:name w:val="样式 小四 首行缩进:  1.01 厘米 行距: 1.5 倍行距 Char Char"/>
    <w:unhideWhenUsed/>
    <w:qFormat/>
    <w:rPr>
      <w:rFonts w:eastAsia="宋体" w:hint="default"/>
      <w:sz w:val="24"/>
      <w:szCs w:val="24"/>
      <w:lang w:val="en-US" w:eastAsia="zh-CN"/>
    </w:rPr>
  </w:style>
  <w:style w:type="character" w:customStyle="1" w:styleId="Charffffff7">
    <w:name w:val="表内 Char"/>
    <w:unhideWhenUsed/>
    <w:qFormat/>
    <w:rPr>
      <w:rFonts w:ascii="宋体" w:eastAsia="宋体" w:hAnsi="Courier New" w:hint="eastAsia"/>
      <w:color w:val="000000"/>
      <w:kern w:val="2"/>
      <w:sz w:val="28"/>
      <w:szCs w:val="24"/>
      <w:lang w:val="en-US" w:eastAsia="zh-CN"/>
    </w:rPr>
  </w:style>
  <w:style w:type="character" w:customStyle="1" w:styleId="Charfff">
    <w:name w:val="正文(首行缩进) Char"/>
    <w:link w:val="affffffffff3"/>
    <w:unhideWhenUsed/>
    <w:qFormat/>
    <w:rPr>
      <w:rFonts w:hint="default"/>
      <w:sz w:val="24"/>
      <w:szCs w:val="24"/>
    </w:rPr>
  </w:style>
  <w:style w:type="character" w:customStyle="1" w:styleId="Char26">
    <w:name w:val="批注主题 Char2"/>
    <w:unhideWhenUsed/>
    <w:qFormat/>
    <w:rPr>
      <w:rFonts w:eastAsia="宋体" w:hint="default"/>
      <w:kern w:val="2"/>
      <w:sz w:val="18"/>
      <w:szCs w:val="24"/>
      <w:lang w:val="en-US" w:eastAsia="zh-CN"/>
    </w:rPr>
  </w:style>
  <w:style w:type="character" w:customStyle="1" w:styleId="Charfff0">
    <w:name w:val="热电厂正文 Char"/>
    <w:link w:val="affffffffff4"/>
    <w:unhideWhenUsed/>
    <w:qFormat/>
    <w:rPr>
      <w:rFonts w:hint="default"/>
      <w:kern w:val="2"/>
      <w:sz w:val="24"/>
      <w:szCs w:val="24"/>
    </w:rPr>
  </w:style>
  <w:style w:type="character" w:customStyle="1" w:styleId="Charfff1">
    <w:name w:val="报告正文 Char"/>
    <w:link w:val="affffffffff5"/>
    <w:unhideWhenUsed/>
    <w:qFormat/>
    <w:rPr>
      <w:rFonts w:eastAsia="仿宋_GB2312" w:hint="default"/>
      <w:kern w:val="2"/>
      <w:sz w:val="24"/>
      <w:szCs w:val="24"/>
    </w:rPr>
  </w:style>
  <w:style w:type="character" w:customStyle="1" w:styleId="008Char">
    <w:name w:val="008 Char"/>
    <w:link w:val="008"/>
    <w:unhideWhenUsed/>
    <w:qFormat/>
    <w:rPr>
      <w:rFonts w:ascii="宋体" w:eastAsia="宋体" w:hint="eastAsia"/>
      <w:kern w:val="2"/>
      <w:sz w:val="28"/>
      <w:szCs w:val="24"/>
    </w:rPr>
  </w:style>
  <w:style w:type="character" w:customStyle="1" w:styleId="Charffffff8">
    <w:name w:val="表题 Char"/>
    <w:unhideWhenUsed/>
    <w:qFormat/>
    <w:rPr>
      <w:rFonts w:hint="default"/>
      <w:b/>
      <w:kern w:val="2"/>
      <w:sz w:val="21"/>
      <w:szCs w:val="24"/>
    </w:rPr>
  </w:style>
  <w:style w:type="character" w:customStyle="1" w:styleId="Charffffff9">
    <w:name w:val="正文样式 Char"/>
    <w:unhideWhenUsed/>
    <w:qFormat/>
    <w:rPr>
      <w:rFonts w:ascii="宋体" w:eastAsia="宋体" w:hAnsi="宋体" w:hint="eastAsia"/>
      <w:kern w:val="2"/>
      <w:sz w:val="24"/>
      <w:szCs w:val="24"/>
      <w:lang w:val="en-US" w:eastAsia="zh-CN"/>
    </w:rPr>
  </w:style>
  <w:style w:type="character" w:customStyle="1" w:styleId="affffffffffffffffffffffff4">
    <w:name w:val="表格右"/>
    <w:unhideWhenUsed/>
    <w:qFormat/>
    <w:rPr>
      <w:rFonts w:ascii="宋体" w:eastAsia="宋体" w:hAnsi="宋体" w:hint="eastAsia"/>
      <w:color w:val="000080"/>
      <w:kern w:val="2"/>
      <w:sz w:val="24"/>
      <w:szCs w:val="24"/>
      <w:lang w:val="en-US" w:eastAsia="zh-CN"/>
    </w:rPr>
  </w:style>
  <w:style w:type="character" w:customStyle="1" w:styleId="Char1f1">
    <w:name w:val="正文(首行缩进) Char1"/>
    <w:unhideWhenUsed/>
    <w:qFormat/>
    <w:rPr>
      <w:rFonts w:ascii="宋体" w:eastAsia="宋体" w:hAnsi="宋体" w:hint="eastAsia"/>
      <w:spacing w:val="2"/>
      <w:kern w:val="2"/>
      <w:sz w:val="21"/>
      <w:szCs w:val="24"/>
      <w:lang w:val="en-US" w:eastAsia="zh-CN"/>
    </w:rPr>
  </w:style>
  <w:style w:type="character" w:customStyle="1" w:styleId="2Char5">
    <w:name w:val="样式2 Char"/>
    <w:link w:val="2f6"/>
    <w:unhideWhenUsed/>
    <w:qFormat/>
    <w:rPr>
      <w:rFonts w:eastAsia="仿宋_GB2312" w:hint="default"/>
      <w:b/>
      <w:kern w:val="2"/>
      <w:sz w:val="24"/>
      <w:szCs w:val="24"/>
    </w:rPr>
  </w:style>
  <w:style w:type="character" w:customStyle="1" w:styleId="black141">
    <w:name w:val="black_141"/>
    <w:unhideWhenUsed/>
    <w:qFormat/>
    <w:rPr>
      <w:rFonts w:hint="default"/>
      <w:color w:val="000000"/>
      <w:spacing w:val="480"/>
      <w:sz w:val="28"/>
      <w:szCs w:val="24"/>
    </w:rPr>
  </w:style>
  <w:style w:type="character" w:customStyle="1" w:styleId="b14241">
    <w:name w:val="b14241"/>
    <w:unhideWhenUsed/>
    <w:qFormat/>
    <w:rPr>
      <w:rFonts w:hint="default"/>
      <w:color w:val="222222"/>
      <w:sz w:val="28"/>
      <w:szCs w:val="24"/>
    </w:rPr>
  </w:style>
  <w:style w:type="character" w:customStyle="1" w:styleId="0CharChar">
    <w:name w:val="正文0 Char Char"/>
    <w:unhideWhenUsed/>
    <w:qFormat/>
    <w:rPr>
      <w:rFonts w:eastAsia="宋体" w:hint="default"/>
      <w:kern w:val="2"/>
      <w:sz w:val="24"/>
      <w:szCs w:val="24"/>
      <w:lang w:val="en-US" w:eastAsia="zh-CN"/>
    </w:rPr>
  </w:style>
  <w:style w:type="character" w:customStyle="1" w:styleId="Charfff2">
    <w:name w:val="正文样板 Char"/>
    <w:link w:val="affffffffff9"/>
    <w:unhideWhenUsed/>
    <w:qFormat/>
    <w:rPr>
      <w:rFonts w:hint="default"/>
      <w:color w:val="000000"/>
      <w:spacing w:val="6"/>
      <w:sz w:val="28"/>
      <w:szCs w:val="24"/>
    </w:rPr>
  </w:style>
  <w:style w:type="character" w:customStyle="1" w:styleId="APMingLiUCharChar">
    <w:name w:val="样式 正文A + (中文) PMingLiU Char Char"/>
    <w:unhideWhenUsed/>
    <w:qFormat/>
    <w:rPr>
      <w:rFonts w:eastAsia="宋体" w:hint="default"/>
      <w:kern w:val="2"/>
      <w:sz w:val="24"/>
      <w:szCs w:val="24"/>
      <w:lang w:val="en-US" w:eastAsia="zh-CN"/>
    </w:rPr>
  </w:style>
  <w:style w:type="character" w:customStyle="1" w:styleId="CharCharCharChar3">
    <w:name w:val="纯文本 Char Char Char Char"/>
    <w:unhideWhenUsed/>
    <w:qFormat/>
    <w:rPr>
      <w:rFonts w:ascii="宋体" w:eastAsia="宋体" w:hAnsi="Courier New" w:hint="eastAsia"/>
      <w:kern w:val="2"/>
      <w:sz w:val="21"/>
      <w:szCs w:val="24"/>
      <w:lang w:val="en-US" w:eastAsia="zh-CN"/>
    </w:rPr>
  </w:style>
  <w:style w:type="character" w:customStyle="1" w:styleId="190">
    <w:name w:val="19号令"/>
    <w:basedOn w:val="a6"/>
    <w:unhideWhenUsed/>
    <w:qFormat/>
    <w:rPr>
      <w:rFonts w:cs="Times New Roman" w:hint="default"/>
      <w:sz w:val="24"/>
      <w:szCs w:val="24"/>
    </w:rPr>
  </w:style>
  <w:style w:type="character" w:customStyle="1" w:styleId="Char24">
    <w:name w:val="报告文字 Char2"/>
    <w:link w:val="affffffffff7"/>
    <w:unhideWhenUsed/>
    <w:qFormat/>
    <w:rPr>
      <w:rFonts w:ascii="仿宋_GB2312" w:eastAsia="仿宋_GB2312" w:hint="eastAsia"/>
      <w:kern w:val="2"/>
      <w:sz w:val="24"/>
      <w:szCs w:val="24"/>
    </w:rPr>
  </w:style>
  <w:style w:type="character" w:customStyle="1" w:styleId="text08">
    <w:name w:val="text08"/>
    <w:basedOn w:val="a6"/>
    <w:unhideWhenUsed/>
    <w:qFormat/>
    <w:rPr>
      <w:rFonts w:cs="Times New Roman" w:hint="default"/>
      <w:sz w:val="24"/>
      <w:szCs w:val="24"/>
    </w:rPr>
  </w:style>
  <w:style w:type="character" w:customStyle="1" w:styleId="r1">
    <w:name w:val="r1"/>
    <w:unhideWhenUsed/>
    <w:qFormat/>
    <w:rPr>
      <w:rFonts w:hint="default"/>
      <w:spacing w:val="300"/>
      <w:sz w:val="20"/>
      <w:szCs w:val="24"/>
    </w:rPr>
  </w:style>
  <w:style w:type="character" w:customStyle="1" w:styleId="CharCharf1">
    <w:name w:val="正文(首行缩进) Char Char"/>
    <w:unhideWhenUsed/>
    <w:qFormat/>
    <w:rPr>
      <w:rFonts w:eastAsia="宋体" w:hint="default"/>
      <w:sz w:val="24"/>
      <w:szCs w:val="24"/>
      <w:lang w:val="en-US" w:eastAsia="zh-CN"/>
    </w:rPr>
  </w:style>
  <w:style w:type="character" w:customStyle="1" w:styleId="Char5CharChar">
    <w:name w:val="Char5 Char Char"/>
    <w:unhideWhenUsed/>
    <w:qFormat/>
    <w:rPr>
      <w:rFonts w:hint="default"/>
      <w:kern w:val="2"/>
      <w:sz w:val="28"/>
      <w:szCs w:val="24"/>
    </w:rPr>
  </w:style>
  <w:style w:type="character" w:customStyle="1" w:styleId="10115CharCharChar">
    <w:name w:val="样式 小四 首行缩进:  1.01 厘米 行距: 1.5 倍行距 Char Char Char"/>
    <w:unhideWhenUsed/>
    <w:qFormat/>
    <w:rPr>
      <w:rFonts w:eastAsia="宋体" w:hint="default"/>
      <w:sz w:val="24"/>
      <w:szCs w:val="24"/>
      <w:lang w:val="en-US" w:eastAsia="zh-CN"/>
    </w:rPr>
  </w:style>
  <w:style w:type="character" w:customStyle="1" w:styleId="Charffffffa">
    <w:name w:val="表中文字 Char"/>
    <w:unhideWhenUsed/>
    <w:qFormat/>
    <w:rPr>
      <w:rFonts w:eastAsia="宋体" w:hint="default"/>
      <w:kern w:val="2"/>
      <w:sz w:val="21"/>
      <w:szCs w:val="24"/>
      <w:lang w:val="en-US" w:eastAsia="zh-CN"/>
    </w:rPr>
  </w:style>
  <w:style w:type="character" w:customStyle="1" w:styleId="CharCharf2">
    <w:name w:val="表名 Char Char"/>
    <w:unhideWhenUsed/>
    <w:qFormat/>
    <w:rPr>
      <w:rFonts w:ascii="宋体" w:eastAsia="宋体" w:hint="eastAsia"/>
      <w:b/>
      <w:sz w:val="24"/>
      <w:szCs w:val="24"/>
      <w:lang w:val="en-US" w:eastAsia="zh-CN"/>
    </w:rPr>
  </w:style>
  <w:style w:type="character" w:customStyle="1" w:styleId="Char4CharChar">
    <w:name w:val="Char4 Char Char"/>
    <w:unhideWhenUsed/>
    <w:qFormat/>
    <w:rPr>
      <w:rFonts w:ascii="宋体" w:eastAsia="宋体" w:hint="eastAsia"/>
      <w:color w:val="000000"/>
      <w:kern w:val="2"/>
      <w:sz w:val="24"/>
      <w:szCs w:val="24"/>
    </w:rPr>
  </w:style>
  <w:style w:type="character" w:customStyle="1" w:styleId="Char3CharChar">
    <w:name w:val="Char3 Char Char"/>
    <w:unhideWhenUsed/>
    <w:qFormat/>
    <w:rPr>
      <w:rFonts w:ascii="宋体" w:eastAsia="宋体" w:hint="eastAsia"/>
      <w:b/>
      <w:color w:val="000000"/>
      <w:kern w:val="2"/>
      <w:sz w:val="24"/>
      <w:szCs w:val="24"/>
    </w:rPr>
  </w:style>
  <w:style w:type="character" w:customStyle="1" w:styleId="CharCharf3">
    <w:name w:val="正文样板 Char Char"/>
    <w:unhideWhenUsed/>
    <w:qFormat/>
    <w:rPr>
      <w:rFonts w:eastAsia="宋体" w:hint="default"/>
      <w:color w:val="000000"/>
      <w:spacing w:val="6"/>
      <w:sz w:val="28"/>
      <w:szCs w:val="24"/>
      <w:lang w:val="en-US" w:eastAsia="zh-CN"/>
    </w:rPr>
  </w:style>
  <w:style w:type="character" w:customStyle="1" w:styleId="5Char3">
    <w:name w:val="样式5 Char"/>
    <w:unhideWhenUsed/>
    <w:qFormat/>
    <w:rPr>
      <w:rFonts w:eastAsia="宋体" w:hint="default"/>
      <w:kern w:val="2"/>
      <w:sz w:val="24"/>
      <w:szCs w:val="24"/>
      <w:lang w:val="en-US" w:eastAsia="zh-CN"/>
    </w:rPr>
  </w:style>
  <w:style w:type="character" w:customStyle="1" w:styleId="CharCharf4">
    <w:name w:val="热电厂正文 Char Char"/>
    <w:unhideWhenUsed/>
    <w:qFormat/>
    <w:rPr>
      <w:rFonts w:eastAsia="宋体" w:hint="default"/>
      <w:kern w:val="2"/>
      <w:sz w:val="24"/>
      <w:szCs w:val="24"/>
      <w:lang w:val="en-US" w:eastAsia="zh-CN"/>
    </w:rPr>
  </w:style>
  <w:style w:type="character" w:customStyle="1" w:styleId="btChar">
    <w:name w:val="bt Char"/>
    <w:unhideWhenUsed/>
    <w:qFormat/>
    <w:rPr>
      <w:rFonts w:ascii="宋体" w:eastAsia="宋体" w:hAnsi="宋体" w:hint="eastAsia"/>
      <w:kern w:val="2"/>
      <w:position w:val="-6"/>
      <w:sz w:val="21"/>
      <w:szCs w:val="24"/>
      <w:u w:val="single"/>
      <w:lang w:val="en-US" w:eastAsia="zh-CN"/>
    </w:rPr>
  </w:style>
  <w:style w:type="character" w:customStyle="1" w:styleId="3rdleveChar">
    <w:name w:val="3rd leve Char"/>
    <w:unhideWhenUsed/>
    <w:qFormat/>
    <w:rPr>
      <w:rFonts w:ascii="宋体" w:eastAsia="宋体" w:hAnsi="宋体" w:hint="eastAsia"/>
      <w:b/>
      <w:kern w:val="24"/>
      <w:position w:val="-6"/>
      <w:sz w:val="28"/>
      <w:szCs w:val="24"/>
      <w:u w:val="single"/>
      <w:lang w:val="zh-CN" w:eastAsia="zh-CN"/>
    </w:rPr>
  </w:style>
  <w:style w:type="character" w:customStyle="1" w:styleId="CharCharCharCharCharChar0">
    <w:name w:val="纯文本 Char Char Char Char Char Char"/>
    <w:unhideWhenUsed/>
    <w:qFormat/>
    <w:rPr>
      <w:rFonts w:ascii="宋体" w:eastAsia="宋体" w:hAnsi="Courier New" w:hint="eastAsia"/>
      <w:kern w:val="2"/>
      <w:sz w:val="21"/>
      <w:szCs w:val="24"/>
      <w:lang w:val="en-US" w:eastAsia="zh-CN"/>
    </w:rPr>
  </w:style>
  <w:style w:type="character" w:customStyle="1" w:styleId="Charf6">
    <w:name w:val="缩进 Char"/>
    <w:link w:val="affffa"/>
    <w:unhideWhenUsed/>
    <w:qFormat/>
    <w:rPr>
      <w:rFonts w:hint="default"/>
      <w:kern w:val="2"/>
      <w:sz w:val="24"/>
      <w:szCs w:val="24"/>
    </w:rPr>
  </w:style>
  <w:style w:type="character" w:customStyle="1" w:styleId="5f3">
    <w:name w:val="5级正文 字符"/>
    <w:unhideWhenUsed/>
    <w:qFormat/>
    <w:rPr>
      <w:rFonts w:hint="default"/>
      <w:b/>
      <w:kern w:val="2"/>
      <w:sz w:val="24"/>
      <w:szCs w:val="24"/>
    </w:rPr>
  </w:style>
  <w:style w:type="character" w:customStyle="1" w:styleId="Char27">
    <w:name w:val="页脚 Char2"/>
    <w:unhideWhenUsed/>
    <w:qFormat/>
    <w:rPr>
      <w:rFonts w:eastAsia="宋体" w:hint="default"/>
      <w:kern w:val="2"/>
      <w:sz w:val="18"/>
      <w:szCs w:val="24"/>
      <w:lang w:val="en-US" w:eastAsia="zh-CN"/>
    </w:rPr>
  </w:style>
  <w:style w:type="character" w:customStyle="1" w:styleId="13CharChar">
    <w:name w:val="正文13 Char Char"/>
    <w:link w:val="130"/>
    <w:unhideWhenUsed/>
    <w:qFormat/>
    <w:rPr>
      <w:rFonts w:ascii="宋体" w:eastAsia="宋体" w:hint="eastAsia"/>
      <w:kern w:val="2"/>
      <w:sz w:val="24"/>
      <w:szCs w:val="24"/>
    </w:rPr>
  </w:style>
  <w:style w:type="character" w:customStyle="1" w:styleId="ReCharChar">
    <w:name w:val="Re Char Char"/>
    <w:unhideWhenUsed/>
    <w:qFormat/>
    <w:rPr>
      <w:rFonts w:eastAsia="黑体" w:hint="default"/>
      <w:kern w:val="2"/>
      <w:sz w:val="24"/>
      <w:szCs w:val="24"/>
      <w:lang w:val="en-US" w:eastAsia="zh-CN"/>
    </w:rPr>
  </w:style>
  <w:style w:type="character" w:customStyle="1" w:styleId="3CharChar10">
    <w:name w:val="标题 3 Char Char1"/>
    <w:unhideWhenUsed/>
    <w:qFormat/>
    <w:rPr>
      <w:rFonts w:ascii="宋体" w:eastAsia="宋体" w:hAnsi="宋体" w:hint="eastAsia"/>
      <w:b/>
      <w:color w:val="000000"/>
      <w:kern w:val="24"/>
      <w:sz w:val="24"/>
      <w:szCs w:val="24"/>
      <w:lang w:val="zh-CN" w:eastAsia="zh-CN"/>
    </w:rPr>
  </w:style>
  <w:style w:type="character" w:customStyle="1" w:styleId="yChar">
    <w:name w:val="?y?? Char"/>
    <w:link w:val="y"/>
    <w:unhideWhenUsed/>
    <w:qFormat/>
    <w:rPr>
      <w:rFonts w:hint="default"/>
      <w:color w:val="000000"/>
      <w:sz w:val="21"/>
      <w:szCs w:val="24"/>
    </w:rPr>
  </w:style>
  <w:style w:type="character" w:customStyle="1" w:styleId="Charfff5">
    <w:name w:val="样式 表头 + 小五 Char"/>
    <w:link w:val="afffffffffff6"/>
    <w:unhideWhenUsed/>
    <w:qFormat/>
    <w:rPr>
      <w:rFonts w:ascii="宋体" w:eastAsia="宋体" w:hint="eastAsia"/>
      <w:b/>
      <w:kern w:val="2"/>
      <w:sz w:val="21"/>
      <w:szCs w:val="24"/>
    </w:rPr>
  </w:style>
  <w:style w:type="character" w:customStyle="1" w:styleId="2CharChar3">
    <w:name w:val="样式 设计正文 + 首行缩进:  2 字符 Char Char"/>
    <w:link w:val="2fd"/>
    <w:unhideWhenUsed/>
    <w:qFormat/>
    <w:rPr>
      <w:rFonts w:ascii="宋体" w:eastAsia="宋体" w:hint="eastAsia"/>
      <w:sz w:val="24"/>
      <w:szCs w:val="24"/>
    </w:rPr>
  </w:style>
  <w:style w:type="character" w:customStyle="1" w:styleId="3Char1">
    <w:name w:val="样式3 Char"/>
    <w:link w:val="3e"/>
    <w:unhideWhenUsed/>
    <w:qFormat/>
    <w:rPr>
      <w:rFonts w:ascii="宋体" w:eastAsia="宋体" w:hint="eastAsia"/>
      <w:kern w:val="2"/>
      <w:sz w:val="24"/>
      <w:szCs w:val="24"/>
    </w:rPr>
  </w:style>
  <w:style w:type="character" w:customStyle="1" w:styleId="211112112Charb2W2H22CharChChar">
    <w:name w:val="样式 标题 2节标题 1.11.1标题2例如：1.1 内容标题 2 Charb2W2H2标题 2 Char Ch... Char"/>
    <w:link w:val="211112112Charb2W2H22CharCh"/>
    <w:unhideWhenUsed/>
    <w:qFormat/>
    <w:rPr>
      <w:rFonts w:ascii="宋体" w:eastAsia="宋体" w:hint="eastAsia"/>
      <w:b/>
      <w:kern w:val="2"/>
      <w:sz w:val="32"/>
      <w:szCs w:val="24"/>
    </w:rPr>
  </w:style>
  <w:style w:type="character" w:customStyle="1" w:styleId="211112112Charb2W2H22CharCh1Char">
    <w:name w:val="样式 标题 2节标题 1.11.1标题2例如：1.1 内容标题 2 Charb2W2H2标题 2 Char Ch...1 Char"/>
    <w:link w:val="211112112Charb2W2H22CharCh1"/>
    <w:unhideWhenUsed/>
    <w:qFormat/>
    <w:rPr>
      <w:rFonts w:ascii="宋体" w:eastAsia="宋体" w:hint="eastAsia"/>
      <w:b/>
      <w:kern w:val="2"/>
      <w:sz w:val="32"/>
      <w:szCs w:val="24"/>
    </w:rPr>
  </w:style>
  <w:style w:type="character" w:customStyle="1" w:styleId="Charfff6">
    <w:name w:val="陈表格中内容 Char"/>
    <w:link w:val="afffffffffff8"/>
    <w:unhideWhenUsed/>
    <w:qFormat/>
    <w:rPr>
      <w:rFonts w:ascii="宋体" w:eastAsia="宋体" w:hint="eastAsia"/>
      <w:spacing w:val="-6"/>
      <w:sz w:val="21"/>
      <w:szCs w:val="24"/>
    </w:rPr>
  </w:style>
  <w:style w:type="character" w:customStyle="1" w:styleId="22Char">
    <w:name w:val="准 正文 左侧:  2 字符 + 首行缩进:  2 字符 Char"/>
    <w:link w:val="223"/>
    <w:unhideWhenUsed/>
    <w:qFormat/>
    <w:rPr>
      <w:rFonts w:hint="default"/>
      <w:sz w:val="24"/>
      <w:szCs w:val="24"/>
    </w:rPr>
  </w:style>
  <w:style w:type="character" w:customStyle="1" w:styleId="affffffffffffffffffffffff5">
    <w:name w:val="脚注文本 字符"/>
    <w:basedOn w:val="a6"/>
    <w:uiPriority w:val="99"/>
    <w:unhideWhenUsed/>
    <w:qFormat/>
    <w:rPr>
      <w:rFonts w:cs="Times New Roman" w:hint="default"/>
      <w:kern w:val="2"/>
      <w:sz w:val="18"/>
      <w:szCs w:val="18"/>
    </w:rPr>
  </w:style>
  <w:style w:type="character" w:customStyle="1" w:styleId="Charc">
    <w:name w:val="脚注文本 Char"/>
    <w:link w:val="aff1"/>
    <w:unhideWhenUsed/>
    <w:qFormat/>
    <w:rPr>
      <w:rFonts w:hint="default"/>
      <w:kern w:val="2"/>
      <w:sz w:val="18"/>
      <w:szCs w:val="24"/>
    </w:rPr>
  </w:style>
  <w:style w:type="character" w:customStyle="1" w:styleId="CharCharCharCharCharCCharCharCharCharChar">
    <w:name w:val="普通文字 Char Char Char Char Char C Char Char Char Char Char"/>
    <w:unhideWhenUsed/>
    <w:qFormat/>
    <w:rPr>
      <w:rFonts w:ascii="宋体" w:eastAsia="宋体" w:hAnsi="Courier New" w:hint="eastAsia"/>
      <w:kern w:val="2"/>
      <w:sz w:val="28"/>
      <w:szCs w:val="24"/>
      <w:lang w:val="en-US" w:eastAsia="zh-CN"/>
    </w:rPr>
  </w:style>
  <w:style w:type="character" w:customStyle="1" w:styleId="ak1">
    <w:name w:val="ak1"/>
    <w:unhideWhenUsed/>
    <w:qFormat/>
    <w:rPr>
      <w:rFonts w:hint="default"/>
      <w:spacing w:val="270"/>
      <w:sz w:val="18"/>
      <w:szCs w:val="24"/>
    </w:rPr>
  </w:style>
  <w:style w:type="character" w:customStyle="1" w:styleId="CharCharf5">
    <w:name w:val="表格文字 Char Char"/>
    <w:unhideWhenUsed/>
    <w:qFormat/>
    <w:rPr>
      <w:rFonts w:ascii="宋体" w:eastAsia="宋体" w:hAnsi="Courier New" w:hint="eastAsia"/>
      <w:kern w:val="2"/>
      <w:sz w:val="21"/>
      <w:szCs w:val="24"/>
      <w:lang w:val="en-US" w:eastAsia="zh-CN"/>
    </w:rPr>
  </w:style>
  <w:style w:type="character" w:customStyle="1" w:styleId="LChar">
    <w:name w:val="L正文 Char"/>
    <w:link w:val="L"/>
    <w:unhideWhenUsed/>
    <w:qFormat/>
    <w:rPr>
      <w:rFonts w:hint="default"/>
      <w:sz w:val="26"/>
      <w:szCs w:val="24"/>
    </w:rPr>
  </w:style>
  <w:style w:type="character" w:customStyle="1" w:styleId="4Char7">
    <w:name w:val="样式4 Char"/>
    <w:unhideWhenUsed/>
    <w:qFormat/>
    <w:rPr>
      <w:rFonts w:ascii="Arial" w:hint="default"/>
      <w:b/>
      <w:kern w:val="2"/>
      <w:sz w:val="28"/>
      <w:szCs w:val="24"/>
    </w:rPr>
  </w:style>
  <w:style w:type="character" w:customStyle="1" w:styleId="CharChar2">
    <w:name w:val="样式  Char + 宋体 小四 Char"/>
    <w:link w:val="Charfff7"/>
    <w:unhideWhenUsed/>
    <w:qFormat/>
    <w:rPr>
      <w:rFonts w:ascii="宋体" w:eastAsia="宋体" w:hint="eastAsia"/>
      <w:sz w:val="24"/>
      <w:szCs w:val="24"/>
    </w:rPr>
  </w:style>
  <w:style w:type="character" w:customStyle="1" w:styleId="CharCharChar5">
    <w:name w:val="页眉 Char Char Char"/>
    <w:unhideWhenUsed/>
    <w:qFormat/>
    <w:rPr>
      <w:rFonts w:hint="default"/>
      <w:kern w:val="2"/>
      <w:sz w:val="18"/>
      <w:szCs w:val="24"/>
    </w:rPr>
  </w:style>
  <w:style w:type="character" w:customStyle="1" w:styleId="1Char4">
    <w:name w:val="分目录1 Char"/>
    <w:link w:val="1ff6"/>
    <w:unhideWhenUsed/>
    <w:qFormat/>
    <w:rPr>
      <w:rFonts w:hint="default"/>
      <w:sz w:val="28"/>
      <w:szCs w:val="24"/>
    </w:rPr>
  </w:style>
  <w:style w:type="character" w:customStyle="1" w:styleId="Charfff8">
    <w:name w:val="【图片】 Char"/>
    <w:link w:val="affffffffffff"/>
    <w:unhideWhenUsed/>
    <w:qFormat/>
    <w:rPr>
      <w:rFonts w:ascii="宋体" w:eastAsia="宋体" w:hint="eastAsia"/>
      <w:kern w:val="2"/>
      <w:sz w:val="24"/>
      <w:szCs w:val="24"/>
    </w:rPr>
  </w:style>
  <w:style w:type="character" w:customStyle="1" w:styleId="CharChar26">
    <w:name w:val="Char Char26"/>
    <w:unhideWhenUsed/>
    <w:qFormat/>
    <w:rPr>
      <w:rFonts w:ascii="宋体" w:eastAsia="宋体" w:hAnsi="宋体" w:hint="eastAsia"/>
      <w:color w:val="000000"/>
      <w:kern w:val="2"/>
      <w:sz w:val="24"/>
      <w:szCs w:val="24"/>
      <w:lang w:val="en-US" w:eastAsia="zh-CN"/>
    </w:rPr>
  </w:style>
  <w:style w:type="character" w:customStyle="1" w:styleId="wwwwChar">
    <w:name w:val="wwww Char"/>
    <w:link w:val="wwww"/>
    <w:unhideWhenUsed/>
    <w:qFormat/>
    <w:rPr>
      <w:rFonts w:ascii="宋体" w:eastAsia="宋体" w:hint="eastAsia"/>
      <w:kern w:val="2"/>
      <w:sz w:val="28"/>
      <w:szCs w:val="24"/>
    </w:rPr>
  </w:style>
  <w:style w:type="character" w:customStyle="1" w:styleId="TimesNewRomanChar">
    <w:name w:val="样式 (西文) Times New Roman (符号) 华文中宋 Char"/>
    <w:link w:val="TimesNewRoman"/>
    <w:unhideWhenUsed/>
    <w:qFormat/>
    <w:rPr>
      <w:rFonts w:ascii="Calibri" w:eastAsia="华文中宋" w:hAnsi="华文中宋" w:hint="eastAsia"/>
      <w:sz w:val="24"/>
      <w:szCs w:val="24"/>
    </w:rPr>
  </w:style>
  <w:style w:type="character" w:customStyle="1" w:styleId="Charfff9">
    <w:name w:val="表标号 Char"/>
    <w:link w:val="affffffffffff0"/>
    <w:unhideWhenUsed/>
    <w:qFormat/>
    <w:rPr>
      <w:rFonts w:eastAsia="黑体" w:hint="default"/>
      <w:sz w:val="24"/>
      <w:szCs w:val="24"/>
    </w:rPr>
  </w:style>
  <w:style w:type="character" w:customStyle="1" w:styleId="Charfffa">
    <w:name w:val="准 表头 Char"/>
    <w:link w:val="affffffffffff1"/>
    <w:unhideWhenUsed/>
    <w:qFormat/>
    <w:rPr>
      <w:rFonts w:eastAsia="黑体" w:hint="default"/>
      <w:sz w:val="21"/>
      <w:szCs w:val="24"/>
    </w:rPr>
  </w:style>
  <w:style w:type="character" w:customStyle="1" w:styleId="Char15">
    <w:name w:val="表文字 Char1"/>
    <w:link w:val="afffffffff4"/>
    <w:unhideWhenUsed/>
    <w:qFormat/>
    <w:rPr>
      <w:rFonts w:hint="default"/>
      <w:kern w:val="2"/>
      <w:sz w:val="21"/>
      <w:szCs w:val="24"/>
    </w:rPr>
  </w:style>
  <w:style w:type="character" w:customStyle="1" w:styleId="CharChar30">
    <w:name w:val="Char Char3"/>
    <w:unhideWhenUsed/>
    <w:qFormat/>
    <w:rPr>
      <w:rFonts w:ascii="宋体" w:eastAsia="宋体" w:hAnsi="宋体" w:hint="eastAsia"/>
      <w:color w:val="000000"/>
      <w:kern w:val="2"/>
      <w:sz w:val="24"/>
      <w:szCs w:val="24"/>
    </w:rPr>
  </w:style>
  <w:style w:type="character" w:customStyle="1" w:styleId="CharChar71">
    <w:name w:val="Char Char71"/>
    <w:unhideWhenUsed/>
    <w:qFormat/>
    <w:rPr>
      <w:rFonts w:ascii="宋体" w:eastAsia="宋体" w:hAnsi="宋体" w:hint="eastAsia"/>
      <w:kern w:val="2"/>
      <w:sz w:val="18"/>
      <w:szCs w:val="24"/>
      <w:lang w:val="en-US" w:eastAsia="zh-CN"/>
    </w:rPr>
  </w:style>
  <w:style w:type="character" w:customStyle="1" w:styleId="Char2CharChar">
    <w:name w:val="Char2 Char Char"/>
    <w:unhideWhenUsed/>
    <w:qFormat/>
    <w:rPr>
      <w:rFonts w:ascii="Arial" w:eastAsia="宋体" w:hAnsi="Arial" w:hint="eastAsia"/>
      <w:b/>
      <w:kern w:val="28"/>
      <w:sz w:val="32"/>
      <w:szCs w:val="24"/>
      <w:lang w:val="en-US" w:eastAsia="zh-CN"/>
    </w:rPr>
  </w:style>
  <w:style w:type="character" w:customStyle="1" w:styleId="CharChar60">
    <w:name w:val="Char Char6"/>
    <w:unhideWhenUsed/>
    <w:qFormat/>
    <w:rPr>
      <w:rFonts w:ascii="黑体" w:eastAsia="黑体" w:hAnsi="Courier New" w:hint="eastAsia"/>
      <w:kern w:val="2"/>
      <w:sz w:val="28"/>
      <w:szCs w:val="24"/>
      <w:lang w:val="en-US" w:eastAsia="zh-CN"/>
    </w:rPr>
  </w:style>
  <w:style w:type="character" w:customStyle="1" w:styleId="CharChar40">
    <w:name w:val="Char Char4"/>
    <w:unhideWhenUsed/>
    <w:qFormat/>
    <w:rPr>
      <w:rFonts w:ascii="宋体" w:eastAsia="宋体" w:hAnsi="宋体" w:hint="eastAsia"/>
      <w:kern w:val="2"/>
      <w:sz w:val="28"/>
      <w:szCs w:val="24"/>
      <w:lang w:val="en-US" w:eastAsia="zh-CN"/>
    </w:rPr>
  </w:style>
  <w:style w:type="character" w:customStyle="1" w:styleId="CharChar111">
    <w:name w:val="Char Char111"/>
    <w:unhideWhenUsed/>
    <w:qFormat/>
    <w:rPr>
      <w:rFonts w:ascii="宋体" w:eastAsia="宋体" w:hAnsi="宋体" w:hint="eastAsia"/>
      <w:kern w:val="2"/>
      <w:sz w:val="24"/>
      <w:szCs w:val="24"/>
      <w:lang w:val="en-US" w:eastAsia="zh-CN"/>
    </w:rPr>
  </w:style>
  <w:style w:type="character" w:customStyle="1" w:styleId="CharChar20">
    <w:name w:val="Char Char2"/>
    <w:unhideWhenUsed/>
    <w:qFormat/>
    <w:rPr>
      <w:rFonts w:ascii="宋体" w:eastAsia="宋体" w:hAnsi="宋体" w:hint="eastAsia"/>
      <w:kern w:val="2"/>
      <w:sz w:val="18"/>
      <w:szCs w:val="24"/>
      <w:lang w:val="en-US" w:eastAsia="zh-CN"/>
    </w:rPr>
  </w:style>
  <w:style w:type="character" w:customStyle="1" w:styleId="emailstyle128">
    <w:name w:val="emailstyle128"/>
    <w:unhideWhenUsed/>
    <w:qFormat/>
    <w:rPr>
      <w:rFonts w:ascii="Arial" w:eastAsia="宋体" w:hAnsi="Arial" w:hint="eastAsia"/>
      <w:color w:val="auto"/>
      <w:sz w:val="20"/>
      <w:szCs w:val="24"/>
    </w:rPr>
  </w:style>
  <w:style w:type="character" w:customStyle="1" w:styleId="Char5CharChar6">
    <w:name w:val="Char5 Char Char6"/>
    <w:unhideWhenUsed/>
    <w:qFormat/>
    <w:rPr>
      <w:rFonts w:hint="default"/>
      <w:kern w:val="2"/>
      <w:sz w:val="28"/>
      <w:szCs w:val="24"/>
    </w:rPr>
  </w:style>
  <w:style w:type="character" w:customStyle="1" w:styleId="Char4CharChar6">
    <w:name w:val="Char4 Char Char6"/>
    <w:unhideWhenUsed/>
    <w:qFormat/>
    <w:rPr>
      <w:rFonts w:ascii="宋体" w:eastAsia="宋体" w:hAnsi="宋体" w:hint="eastAsia"/>
      <w:color w:val="000000"/>
      <w:kern w:val="2"/>
      <w:sz w:val="24"/>
      <w:szCs w:val="24"/>
    </w:rPr>
  </w:style>
  <w:style w:type="character" w:customStyle="1" w:styleId="Char3CharChar6">
    <w:name w:val="Char3 Char Char6"/>
    <w:unhideWhenUsed/>
    <w:qFormat/>
    <w:rPr>
      <w:rFonts w:ascii="宋体" w:eastAsia="宋体" w:hAnsi="宋体" w:hint="eastAsia"/>
      <w:b/>
      <w:color w:val="000000"/>
      <w:kern w:val="2"/>
      <w:sz w:val="24"/>
      <w:szCs w:val="24"/>
    </w:rPr>
  </w:style>
  <w:style w:type="character" w:customStyle="1" w:styleId="Charf3">
    <w:name w:val="陈正文 Char"/>
    <w:link w:val="affff4"/>
    <w:unhideWhenUsed/>
    <w:qFormat/>
    <w:rPr>
      <w:rFonts w:ascii="宋体" w:eastAsia="宋体" w:hint="eastAsia"/>
      <w:kern w:val="2"/>
      <w:sz w:val="24"/>
      <w:szCs w:val="24"/>
    </w:rPr>
  </w:style>
  <w:style w:type="character" w:customStyle="1" w:styleId="Charf7">
    <w:name w:val="新正文 Char"/>
    <w:link w:val="affffb"/>
    <w:unhideWhenUsed/>
    <w:qFormat/>
    <w:rPr>
      <w:rFonts w:hint="default"/>
      <w:kern w:val="2"/>
      <w:sz w:val="24"/>
      <w:szCs w:val="24"/>
    </w:rPr>
  </w:style>
  <w:style w:type="character" w:customStyle="1" w:styleId="Charfffb">
    <w:name w:val="陈表头文字 Char"/>
    <w:link w:val="affffffffffff2"/>
    <w:unhideWhenUsed/>
    <w:qFormat/>
    <w:rPr>
      <w:rFonts w:ascii="宋体" w:eastAsia="宋体" w:hint="eastAsia"/>
      <w:b/>
      <w:kern w:val="2"/>
      <w:sz w:val="24"/>
      <w:szCs w:val="24"/>
    </w:rPr>
  </w:style>
  <w:style w:type="character" w:customStyle="1" w:styleId="yypChar">
    <w:name w:val="yyp Char"/>
    <w:link w:val="yyp"/>
    <w:unhideWhenUsed/>
    <w:qFormat/>
    <w:rPr>
      <w:rFonts w:hint="default"/>
      <w:kern w:val="2"/>
      <w:sz w:val="24"/>
      <w:szCs w:val="24"/>
    </w:rPr>
  </w:style>
  <w:style w:type="character" w:customStyle="1" w:styleId="Arial2415Char">
    <w:name w:val="样式 Arial 小四 黑色 首行缩进:  24 磅 行距: 1.5 倍行距 Char"/>
    <w:link w:val="Arial2415"/>
    <w:unhideWhenUsed/>
    <w:qFormat/>
    <w:rPr>
      <w:rFonts w:ascii="Arial" w:hint="default"/>
      <w:color w:val="000000"/>
      <w:kern w:val="2"/>
      <w:sz w:val="24"/>
      <w:szCs w:val="24"/>
    </w:rPr>
  </w:style>
  <w:style w:type="character" w:customStyle="1" w:styleId="1CharChar0">
    <w:name w:val="项标题(1) Char Char"/>
    <w:unhideWhenUsed/>
    <w:qFormat/>
    <w:rPr>
      <w:rFonts w:eastAsia="宋体" w:hint="default"/>
      <w:b/>
      <w:kern w:val="2"/>
      <w:sz w:val="24"/>
      <w:szCs w:val="24"/>
      <w:lang w:val="en-US" w:eastAsia="zh-CN"/>
    </w:rPr>
  </w:style>
  <w:style w:type="character" w:customStyle="1" w:styleId="aCharChar1">
    <w:name w:val="干标题(a) Char Char1"/>
    <w:unhideWhenUsed/>
    <w:qFormat/>
    <w:rPr>
      <w:rFonts w:ascii="Arial" w:eastAsia="黑体" w:hAnsi="Arial" w:hint="eastAsia"/>
      <w:kern w:val="2"/>
      <w:sz w:val="21"/>
      <w:szCs w:val="24"/>
      <w:lang w:val="en-US" w:eastAsia="zh-CN"/>
    </w:rPr>
  </w:style>
  <w:style w:type="character" w:customStyle="1" w:styleId="8Char1">
    <w:name w:val="样式8 Char"/>
    <w:link w:val="84"/>
    <w:unhideWhenUsed/>
    <w:qFormat/>
    <w:rPr>
      <w:rFonts w:ascii="宋体" w:eastAsia="宋体" w:hint="eastAsia"/>
      <w:kern w:val="2"/>
      <w:sz w:val="24"/>
      <w:szCs w:val="24"/>
    </w:rPr>
  </w:style>
  <w:style w:type="character" w:customStyle="1" w:styleId="TimesNewRoman15Char">
    <w:name w:val="样式 Times New Roman 行距: 1.5 倍行距 Char"/>
    <w:link w:val="TimesNewRoman15"/>
    <w:unhideWhenUsed/>
    <w:qFormat/>
    <w:rPr>
      <w:rFonts w:hint="default"/>
      <w:kern w:val="24"/>
      <w:sz w:val="28"/>
      <w:szCs w:val="24"/>
    </w:rPr>
  </w:style>
  <w:style w:type="character" w:customStyle="1" w:styleId="CharChar50">
    <w:name w:val="Char Char5"/>
    <w:unhideWhenUsed/>
    <w:qFormat/>
    <w:rPr>
      <w:rFonts w:ascii="宋体" w:eastAsia="宋体" w:hint="eastAsia"/>
      <w:sz w:val="24"/>
      <w:szCs w:val="24"/>
      <w:lang w:val="en-US" w:eastAsia="zh-CN"/>
    </w:rPr>
  </w:style>
  <w:style w:type="character" w:customStyle="1" w:styleId="TimesNewRoman0">
    <w:name w:val="样式 Times New Roman"/>
    <w:unhideWhenUsed/>
    <w:qFormat/>
    <w:rPr>
      <w:rFonts w:ascii="Times New Roman" w:eastAsia="宋体" w:hAnsi="Times New Roman" w:hint="eastAsia"/>
      <w:sz w:val="28"/>
      <w:szCs w:val="24"/>
    </w:rPr>
  </w:style>
  <w:style w:type="character" w:customStyle="1" w:styleId="Char1f2">
    <w:name w:val="页眉 Char1"/>
    <w:unhideWhenUsed/>
    <w:qFormat/>
    <w:rPr>
      <w:rFonts w:hint="default"/>
      <w:kern w:val="2"/>
      <w:sz w:val="18"/>
      <w:szCs w:val="24"/>
    </w:rPr>
  </w:style>
  <w:style w:type="character" w:customStyle="1" w:styleId="z-">
    <w:name w:val="z-窗体顶端 字符"/>
    <w:basedOn w:val="a6"/>
    <w:uiPriority w:val="99"/>
    <w:unhideWhenUsed/>
    <w:qFormat/>
    <w:rPr>
      <w:rFonts w:ascii="Arial" w:cs="Arial" w:hint="default"/>
      <w:vanish/>
      <w:kern w:val="2"/>
      <w:sz w:val="16"/>
      <w:szCs w:val="16"/>
    </w:rPr>
  </w:style>
  <w:style w:type="character" w:customStyle="1" w:styleId="z-3">
    <w:name w:val="z-窗体顶端 字符3"/>
    <w:link w:val="z-11"/>
    <w:unhideWhenUsed/>
    <w:qFormat/>
    <w:rPr>
      <w:rFonts w:ascii="Arial" w:hint="default"/>
      <w:vanish/>
      <w:kern w:val="2"/>
      <w:sz w:val="16"/>
      <w:szCs w:val="24"/>
    </w:rPr>
  </w:style>
  <w:style w:type="paragraph" w:customStyle="1" w:styleId="z-11">
    <w:name w:val="z-窗体顶端1"/>
    <w:basedOn w:val="a3"/>
    <w:next w:val="a3"/>
    <w:link w:val="z-3"/>
    <w:unhideWhenUsed/>
    <w:qFormat/>
    <w:pPr>
      <w:pBdr>
        <w:bottom w:val="single" w:sz="6" w:space="1" w:color="auto"/>
      </w:pBdr>
      <w:jc w:val="center"/>
    </w:pPr>
    <w:rPr>
      <w:rFonts w:ascii="Arial" w:hAnsi="Arial" w:hint="eastAsia"/>
      <w:vanish/>
      <w:sz w:val="16"/>
      <w:szCs w:val="16"/>
    </w:rPr>
  </w:style>
  <w:style w:type="character" w:customStyle="1" w:styleId="newsbody3">
    <w:name w:val="newsbody3"/>
    <w:unhideWhenUsed/>
    <w:qFormat/>
    <w:rPr>
      <w:rFonts w:hint="default"/>
      <w:sz w:val="21"/>
      <w:szCs w:val="24"/>
    </w:rPr>
  </w:style>
  <w:style w:type="character" w:customStyle="1" w:styleId="6Char1">
    <w:name w:val="样式6 Char"/>
    <w:link w:val="64"/>
    <w:unhideWhenUsed/>
    <w:qFormat/>
    <w:rPr>
      <w:rFonts w:ascii="宋体" w:eastAsia="宋体" w:hint="eastAsia"/>
      <w:color w:val="FF0000"/>
      <w:sz w:val="24"/>
      <w:szCs w:val="24"/>
    </w:rPr>
  </w:style>
  <w:style w:type="character" w:customStyle="1" w:styleId="7Char0">
    <w:name w:val="样式7 Char"/>
    <w:link w:val="75"/>
    <w:unhideWhenUsed/>
    <w:qFormat/>
    <w:rPr>
      <w:rFonts w:hint="default"/>
      <w:kern w:val="2"/>
      <w:sz w:val="18"/>
      <w:szCs w:val="24"/>
    </w:rPr>
  </w:style>
  <w:style w:type="character" w:customStyle="1" w:styleId="9Char0">
    <w:name w:val="样式9 Char"/>
    <w:link w:val="95"/>
    <w:unhideWhenUsed/>
    <w:qFormat/>
    <w:rPr>
      <w:rFonts w:ascii="宋体" w:eastAsia="宋体" w:hint="eastAsia"/>
      <w:b/>
      <w:kern w:val="2"/>
      <w:sz w:val="18"/>
      <w:szCs w:val="24"/>
    </w:rPr>
  </w:style>
  <w:style w:type="character" w:customStyle="1" w:styleId="CommentTextChar">
    <w:name w:val="Comment Text Char"/>
    <w:unhideWhenUsed/>
    <w:qFormat/>
    <w:rPr>
      <w:rFonts w:ascii="宋体" w:eastAsia="宋体" w:hint="eastAsia"/>
      <w:sz w:val="24"/>
      <w:szCs w:val="24"/>
      <w:lang w:val="en-US" w:eastAsia="zh-CN"/>
    </w:rPr>
  </w:style>
  <w:style w:type="character" w:customStyle="1" w:styleId="d11">
    <w:name w:val="d11"/>
    <w:unhideWhenUsed/>
    <w:qFormat/>
    <w:rPr>
      <w:rFonts w:hint="default"/>
      <w:spacing w:val="400"/>
      <w:sz w:val="20"/>
      <w:szCs w:val="24"/>
    </w:rPr>
  </w:style>
  <w:style w:type="character" w:customStyle="1" w:styleId="Char1f3">
    <w:name w:val="报告正文 Char1"/>
    <w:unhideWhenUsed/>
    <w:qFormat/>
    <w:rPr>
      <w:rFonts w:ascii="Times" w:eastAsia="仿宋_GB2312" w:hAnsi="Times" w:hint="eastAsia"/>
      <w:color w:val="000000"/>
      <w:kern w:val="2"/>
      <w:sz w:val="28"/>
      <w:szCs w:val="24"/>
    </w:rPr>
  </w:style>
  <w:style w:type="character" w:customStyle="1" w:styleId="11b1111Char">
    <w:name w:val="样式 标题 1章标题 1章节标题b111标题 1 + 非加粗 自动设置 Char"/>
    <w:link w:val="11b1111"/>
    <w:unhideWhenUsed/>
    <w:qFormat/>
    <w:rPr>
      <w:rFonts w:ascii="黑体" w:eastAsia="黑体" w:hAnsi="宋体" w:hint="eastAsia"/>
      <w:sz w:val="32"/>
      <w:szCs w:val="24"/>
    </w:rPr>
  </w:style>
  <w:style w:type="character" w:customStyle="1" w:styleId="Charfffc">
    <w:name w:val="表注 Char"/>
    <w:link w:val="affffffffffff6"/>
    <w:unhideWhenUsed/>
    <w:qFormat/>
    <w:rPr>
      <w:rFonts w:ascii="Calibri" w:hint="default"/>
      <w:kern w:val="32"/>
      <w:sz w:val="24"/>
      <w:szCs w:val="24"/>
      <w:lang w:eastAsia="en-US"/>
    </w:rPr>
  </w:style>
  <w:style w:type="character" w:customStyle="1" w:styleId="z-0">
    <w:name w:val="z-窗体底端 字符"/>
    <w:basedOn w:val="a6"/>
    <w:uiPriority w:val="99"/>
    <w:unhideWhenUsed/>
    <w:qFormat/>
    <w:rPr>
      <w:rFonts w:ascii="Arial" w:cs="Arial" w:hint="default"/>
      <w:vanish/>
      <w:kern w:val="2"/>
      <w:sz w:val="16"/>
      <w:szCs w:val="16"/>
    </w:rPr>
  </w:style>
  <w:style w:type="character" w:customStyle="1" w:styleId="z-30">
    <w:name w:val="z-窗体底端 字符3"/>
    <w:link w:val="z-12"/>
    <w:unhideWhenUsed/>
    <w:qFormat/>
    <w:rPr>
      <w:rFonts w:ascii="宋体" w:eastAsia="宋体" w:hAnsi="Courier New" w:hint="eastAsia"/>
      <w:kern w:val="2"/>
      <w:sz w:val="21"/>
      <w:szCs w:val="24"/>
    </w:rPr>
  </w:style>
  <w:style w:type="paragraph" w:customStyle="1" w:styleId="z-12">
    <w:name w:val="z-窗体底端1"/>
    <w:basedOn w:val="a3"/>
    <w:next w:val="a3"/>
    <w:link w:val="z-30"/>
    <w:unhideWhenUsed/>
    <w:qFormat/>
    <w:pPr>
      <w:pBdr>
        <w:top w:val="single" w:sz="6" w:space="1" w:color="auto"/>
      </w:pBdr>
      <w:jc w:val="center"/>
    </w:pPr>
    <w:rPr>
      <w:rFonts w:ascii="宋体" w:hAnsi="Courier New" w:hint="eastAsia"/>
      <w:sz w:val="21"/>
      <w:szCs w:val="20"/>
    </w:rPr>
  </w:style>
  <w:style w:type="character" w:customStyle="1" w:styleId="cityhighlight1">
    <w:name w:val="cityhighlight1"/>
    <w:unhideWhenUsed/>
    <w:qFormat/>
    <w:rPr>
      <w:rFonts w:hint="default"/>
      <w:b/>
      <w:color w:val="CC0000"/>
      <w:sz w:val="24"/>
      <w:szCs w:val="24"/>
    </w:rPr>
  </w:style>
  <w:style w:type="character" w:customStyle="1" w:styleId="Charfff4">
    <w:name w:val="水利部 Char"/>
    <w:link w:val="afffffffffff3"/>
    <w:unhideWhenUsed/>
    <w:qFormat/>
    <w:rPr>
      <w:rFonts w:hint="default"/>
      <w:b/>
      <w:sz w:val="30"/>
      <w:szCs w:val="24"/>
    </w:rPr>
  </w:style>
  <w:style w:type="character" w:customStyle="1" w:styleId="Char1f4">
    <w:name w:val="表号 Char1"/>
    <w:unhideWhenUsed/>
    <w:qFormat/>
    <w:rPr>
      <w:rFonts w:eastAsia="宋体" w:hint="default"/>
      <w:kern w:val="2"/>
      <w:sz w:val="24"/>
      <w:szCs w:val="24"/>
      <w:lang w:val="en-US" w:eastAsia="zh-CN"/>
    </w:rPr>
  </w:style>
  <w:style w:type="character" w:customStyle="1" w:styleId="CharChar25">
    <w:name w:val="Char Char25"/>
    <w:unhideWhenUsed/>
    <w:qFormat/>
    <w:rPr>
      <w:rFonts w:eastAsia="宋体" w:hint="default"/>
      <w:kern w:val="2"/>
      <w:sz w:val="18"/>
      <w:szCs w:val="24"/>
      <w:lang w:val="en-US" w:eastAsia="zh-CN"/>
    </w:rPr>
  </w:style>
  <w:style w:type="character" w:customStyle="1" w:styleId="CharChar32">
    <w:name w:val="Char Char32"/>
    <w:unhideWhenUsed/>
    <w:qFormat/>
    <w:rPr>
      <w:rFonts w:ascii="新宋体" w:eastAsia="仿宋_GB2312" w:hAnsi="新宋体" w:hint="eastAsia"/>
      <w:b/>
      <w:kern w:val="2"/>
      <w:sz w:val="24"/>
      <w:szCs w:val="24"/>
      <w:lang w:val="en-US" w:eastAsia="zh-CN"/>
    </w:rPr>
  </w:style>
  <w:style w:type="character" w:customStyle="1" w:styleId="CharChar38">
    <w:name w:val="Char Char38"/>
    <w:unhideWhenUsed/>
    <w:qFormat/>
    <w:rPr>
      <w:rFonts w:ascii="宋体" w:eastAsia="宋体" w:hAnsi="宋体" w:hint="eastAsia"/>
      <w:b/>
      <w:kern w:val="2"/>
      <w:sz w:val="32"/>
      <w:szCs w:val="24"/>
    </w:rPr>
  </w:style>
  <w:style w:type="character" w:customStyle="1" w:styleId="2Chara">
    <w:name w:val="分目录2 Char"/>
    <w:link w:val="2ff"/>
    <w:unhideWhenUsed/>
    <w:qFormat/>
    <w:rPr>
      <w:rFonts w:hint="default"/>
      <w:color w:val="000000"/>
      <w:kern w:val="2"/>
      <w:sz w:val="28"/>
      <w:szCs w:val="24"/>
    </w:rPr>
  </w:style>
  <w:style w:type="character" w:customStyle="1" w:styleId="Charfffe">
    <w:name w:val="表格 宋体 五号 Char"/>
    <w:link w:val="affffffffffffff4"/>
    <w:unhideWhenUsed/>
    <w:qFormat/>
    <w:rPr>
      <w:rFonts w:ascii="宋体" w:eastAsia="宋体" w:hint="eastAsia"/>
      <w:sz w:val="21"/>
      <w:szCs w:val="24"/>
    </w:rPr>
  </w:style>
  <w:style w:type="character" w:customStyle="1" w:styleId="CharChar3">
    <w:name w:val="临时内容 Char Char"/>
    <w:link w:val="affffffffffffff2"/>
    <w:unhideWhenUsed/>
    <w:qFormat/>
    <w:rPr>
      <w:rFonts w:hint="default"/>
      <w:color w:val="FF0000"/>
      <w:sz w:val="24"/>
      <w:szCs w:val="24"/>
    </w:rPr>
  </w:style>
  <w:style w:type="character" w:customStyle="1" w:styleId="Charffb">
    <w:name w:val="样式 样式 表格 + (符号) 宋体 五号 居中 + 小五 Char"/>
    <w:link w:val="afffffffffb"/>
    <w:unhideWhenUsed/>
    <w:qFormat/>
    <w:rPr>
      <w:rFonts w:hint="default"/>
      <w:sz w:val="21"/>
      <w:szCs w:val="24"/>
    </w:rPr>
  </w:style>
  <w:style w:type="character" w:customStyle="1" w:styleId="zhegwen21">
    <w:name w:val="zhegwen21"/>
    <w:unhideWhenUsed/>
    <w:qFormat/>
    <w:rPr>
      <w:rFonts w:ascii="??" w:hint="default"/>
      <w:color w:val="000000"/>
      <w:sz w:val="23"/>
      <w:szCs w:val="24"/>
    </w:rPr>
  </w:style>
  <w:style w:type="character" w:customStyle="1" w:styleId="hit">
    <w:name w:val="hit"/>
    <w:basedOn w:val="a6"/>
    <w:unhideWhenUsed/>
    <w:qFormat/>
    <w:rPr>
      <w:rFonts w:cs="Times New Roman" w:hint="default"/>
      <w:sz w:val="24"/>
      <w:szCs w:val="24"/>
    </w:rPr>
  </w:style>
  <w:style w:type="character" w:customStyle="1" w:styleId="Charffffffb">
    <w:name w:val="正文文字 Char"/>
    <w:unhideWhenUsed/>
    <w:qFormat/>
    <w:rPr>
      <w:rFonts w:ascii="宋体" w:eastAsia="宋体" w:hint="eastAsia"/>
      <w:b/>
      <w:kern w:val="2"/>
      <w:sz w:val="36"/>
      <w:szCs w:val="24"/>
      <w:lang w:val="en-US" w:eastAsia="zh-CN"/>
    </w:rPr>
  </w:style>
  <w:style w:type="character" w:customStyle="1" w:styleId="4CharChar1">
    <w:name w:val="标题 4、二级标题 Char Char"/>
    <w:unhideWhenUsed/>
    <w:qFormat/>
    <w:rPr>
      <w:rFonts w:ascii="Arial" w:eastAsia="黑体" w:hAnsi="Arial" w:hint="eastAsia"/>
      <w:b/>
      <w:kern w:val="2"/>
      <w:sz w:val="28"/>
      <w:szCs w:val="24"/>
      <w:lang w:val="en-US" w:eastAsia="zh-CN"/>
    </w:rPr>
  </w:style>
  <w:style w:type="character" w:customStyle="1" w:styleId="CharChar27">
    <w:name w:val="Char Char27"/>
    <w:unhideWhenUsed/>
    <w:qFormat/>
    <w:rPr>
      <w:rFonts w:ascii="宋体" w:eastAsia="宋体" w:hAnsi="宋体" w:hint="eastAsia"/>
      <w:sz w:val="28"/>
      <w:szCs w:val="24"/>
      <w:lang w:val="en-US" w:eastAsia="zh-CN"/>
    </w:rPr>
  </w:style>
  <w:style w:type="character" w:customStyle="1" w:styleId="CharCharCharCharCharCharCharCharCharCharCharCharCharCharCharCharCharCharChar0">
    <w:name w:val="纯文本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CharCharChar3">
    <w:name w:val="页眉 Char Char Char Char Char"/>
    <w:unhideWhenUsed/>
    <w:qFormat/>
    <w:rPr>
      <w:rFonts w:eastAsia="宋体" w:hint="default"/>
      <w:kern w:val="2"/>
      <w:sz w:val="18"/>
      <w:szCs w:val="24"/>
      <w:lang w:val="en-US" w:eastAsia="zh-CN"/>
    </w:rPr>
  </w:style>
  <w:style w:type="character" w:customStyle="1" w:styleId="CharCharCharCharCharCharChar2CharChar">
    <w:name w:val="普通文字 Char Char Char Char Char Char Char2 Char Char"/>
    <w:unhideWhenUsed/>
    <w:qFormat/>
    <w:rPr>
      <w:rFonts w:ascii="宋体" w:eastAsia="宋体" w:hAnsi="Courier New" w:hint="eastAsia"/>
      <w:kern w:val="2"/>
      <w:sz w:val="21"/>
      <w:szCs w:val="24"/>
      <w:lang w:val="en-US" w:eastAsia="zh-CN"/>
    </w:rPr>
  </w:style>
  <w:style w:type="character" w:customStyle="1" w:styleId="apple-converted-space">
    <w:name w:val="apple-converted-space"/>
    <w:basedOn w:val="a6"/>
    <w:unhideWhenUsed/>
    <w:qFormat/>
    <w:rPr>
      <w:rFonts w:cs="Times New Roman" w:hint="default"/>
      <w:sz w:val="24"/>
      <w:szCs w:val="24"/>
    </w:rPr>
  </w:style>
  <w:style w:type="character" w:customStyle="1" w:styleId="CharChar300">
    <w:name w:val="Char Char30"/>
    <w:unhideWhenUsed/>
    <w:qFormat/>
    <w:rPr>
      <w:rFonts w:ascii="Arial" w:eastAsia="黑体" w:hAnsi="Arial" w:hint="eastAsia"/>
      <w:kern w:val="2"/>
      <w:sz w:val="21"/>
      <w:szCs w:val="24"/>
      <w:lang w:val="en-US" w:eastAsia="zh-CN"/>
    </w:rPr>
  </w:style>
  <w:style w:type="character" w:customStyle="1" w:styleId="1Charb">
    <w:name w:val="项标题(1) Char"/>
    <w:unhideWhenUsed/>
    <w:qFormat/>
    <w:rPr>
      <w:rFonts w:eastAsia="仿宋_GB2312" w:hint="default"/>
      <w:b/>
      <w:sz w:val="24"/>
      <w:szCs w:val="24"/>
      <w:lang w:val="en-US" w:eastAsia="zh-CN"/>
    </w:rPr>
  </w:style>
  <w:style w:type="character" w:customStyle="1" w:styleId="CharChar171">
    <w:name w:val="Char Char171"/>
    <w:unhideWhenUsed/>
    <w:qFormat/>
    <w:rPr>
      <w:rFonts w:ascii="Times New Roman" w:eastAsia="华文细黑" w:hAnsi="Times New Roman" w:hint="eastAsia"/>
      <w:b/>
      <w:kern w:val="44"/>
      <w:sz w:val="44"/>
      <w:szCs w:val="24"/>
      <w:lang w:val="en-US" w:eastAsia="zh-CN"/>
    </w:rPr>
  </w:style>
  <w:style w:type="character" w:customStyle="1" w:styleId="CharChar200">
    <w:name w:val="Char Char20"/>
    <w:unhideWhenUsed/>
    <w:qFormat/>
    <w:rPr>
      <w:rFonts w:hint="default"/>
      <w:b/>
      <w:sz w:val="24"/>
      <w:szCs w:val="24"/>
      <w:u w:val="single"/>
    </w:rPr>
  </w:style>
  <w:style w:type="character" w:customStyle="1" w:styleId="keyword">
    <w:name w:val="keyword"/>
    <w:basedOn w:val="a6"/>
    <w:unhideWhenUsed/>
    <w:qFormat/>
    <w:rPr>
      <w:rFonts w:cs="Times New Roman" w:hint="default"/>
      <w:sz w:val="24"/>
      <w:szCs w:val="24"/>
    </w:rPr>
  </w:style>
  <w:style w:type="character" w:customStyle="1" w:styleId="Char28">
    <w:name w:val="正文文字 Char2"/>
    <w:unhideWhenUsed/>
    <w:qFormat/>
    <w:rPr>
      <w:rFonts w:eastAsia="宋体" w:hint="default"/>
      <w:kern w:val="2"/>
      <w:sz w:val="21"/>
      <w:szCs w:val="24"/>
      <w:lang w:val="en-US" w:eastAsia="zh-CN"/>
    </w:rPr>
  </w:style>
  <w:style w:type="character" w:customStyle="1" w:styleId="CharChar35">
    <w:name w:val="Char Char35"/>
    <w:unhideWhenUsed/>
    <w:qFormat/>
    <w:rPr>
      <w:rFonts w:ascii="宋体" w:eastAsia="宋体" w:hint="eastAsia"/>
      <w:b/>
      <w:kern w:val="4"/>
      <w:sz w:val="24"/>
      <w:szCs w:val="24"/>
    </w:rPr>
  </w:style>
  <w:style w:type="character" w:customStyle="1" w:styleId="Char35">
    <w:name w:val="正文首行缩进 Char3"/>
    <w:unhideWhenUsed/>
    <w:qFormat/>
    <w:rPr>
      <w:rFonts w:hint="default"/>
      <w:kern w:val="2"/>
      <w:sz w:val="24"/>
      <w:szCs w:val="24"/>
    </w:rPr>
  </w:style>
  <w:style w:type="character" w:customStyle="1" w:styleId="dl1">
    <w:name w:val="dl1"/>
    <w:unhideWhenUsed/>
    <w:qFormat/>
    <w:rPr>
      <w:rFonts w:eastAsia="宋体" w:hint="default"/>
      <w:kern w:val="2"/>
      <w:sz w:val="21"/>
      <w:szCs w:val="24"/>
      <w:lang w:val="en-US" w:eastAsia="zh-CN"/>
    </w:rPr>
  </w:style>
  <w:style w:type="character" w:customStyle="1" w:styleId="MTDisplayEquationChar">
    <w:name w:val="MTDisplayEquation Char"/>
    <w:link w:val="MTDisplayEquation"/>
    <w:unhideWhenUsed/>
    <w:qFormat/>
    <w:rPr>
      <w:rFonts w:hint="default"/>
      <w:sz w:val="24"/>
      <w:szCs w:val="24"/>
    </w:rPr>
  </w:style>
  <w:style w:type="character" w:customStyle="1" w:styleId="Char1f5">
    <w:name w:val="表后标题 Char1"/>
    <w:unhideWhenUsed/>
    <w:qFormat/>
    <w:rPr>
      <w:rFonts w:eastAsia="宋体" w:hAnsi="宋体" w:hint="default"/>
      <w:b/>
      <w:kern w:val="2"/>
      <w:sz w:val="21"/>
      <w:szCs w:val="24"/>
      <w:lang w:val="en-US" w:eastAsia="zh-CN"/>
    </w:rPr>
  </w:style>
  <w:style w:type="character" w:customStyle="1" w:styleId="authors">
    <w:name w:val="authors"/>
    <w:basedOn w:val="a6"/>
    <w:unhideWhenUsed/>
    <w:qFormat/>
    <w:rPr>
      <w:rFonts w:cs="Times New Roman" w:hint="default"/>
      <w:sz w:val="24"/>
      <w:szCs w:val="24"/>
    </w:rPr>
  </w:style>
  <w:style w:type="character" w:customStyle="1" w:styleId="CharChar19">
    <w:name w:val="Char Char19"/>
    <w:unhideWhenUsed/>
    <w:qFormat/>
    <w:rPr>
      <w:rFonts w:hint="default"/>
      <w:sz w:val="24"/>
      <w:szCs w:val="24"/>
    </w:rPr>
  </w:style>
  <w:style w:type="character" w:customStyle="1" w:styleId="CharChar23">
    <w:name w:val="Char Char23"/>
    <w:unhideWhenUsed/>
    <w:qFormat/>
    <w:rPr>
      <w:rFonts w:ascii="黑体" w:eastAsia="黑体" w:hAnsi="Courier New" w:hint="eastAsia"/>
      <w:kern w:val="2"/>
      <w:sz w:val="28"/>
      <w:szCs w:val="24"/>
      <w:lang w:val="en-US" w:eastAsia="zh-CN"/>
    </w:rPr>
  </w:style>
  <w:style w:type="character" w:customStyle="1" w:styleId="1Char6">
    <w:name w:val="样式 标题 1封面大标题 + 加粗 Char"/>
    <w:link w:val="1fff5"/>
    <w:unhideWhenUsed/>
    <w:qFormat/>
    <w:rPr>
      <w:rFonts w:ascii="宋体" w:eastAsia="黑体" w:hAnsi="宋体" w:hint="eastAsia"/>
      <w:b/>
      <w:kern w:val="44"/>
      <w:sz w:val="32"/>
      <w:szCs w:val="24"/>
    </w:rPr>
  </w:style>
  <w:style w:type="character" w:customStyle="1" w:styleId="TableFigureCaptionChar">
    <w:name w:val="Table Figure Caption Char"/>
    <w:link w:val="TableFigureCaption"/>
    <w:unhideWhenUsed/>
    <w:qFormat/>
    <w:rPr>
      <w:rFonts w:hint="default"/>
      <w:kern w:val="2"/>
      <w:sz w:val="24"/>
      <w:szCs w:val="24"/>
    </w:rPr>
  </w:style>
  <w:style w:type="character" w:customStyle="1" w:styleId="2CharChar4">
    <w:name w:val="正文首行缩进2字符 Char Char"/>
    <w:link w:val="2ff0"/>
    <w:unhideWhenUsed/>
    <w:qFormat/>
    <w:rPr>
      <w:rFonts w:hint="default"/>
      <w:sz w:val="24"/>
      <w:szCs w:val="24"/>
    </w:rPr>
  </w:style>
  <w:style w:type="character" w:customStyle="1" w:styleId="affffffffffffffffffffffff6">
    <w:name w:val="样式 加粗"/>
    <w:unhideWhenUsed/>
    <w:qFormat/>
    <w:rPr>
      <w:rFonts w:hint="default"/>
      <w:b/>
      <w:sz w:val="24"/>
      <w:szCs w:val="24"/>
    </w:rPr>
  </w:style>
  <w:style w:type="character" w:customStyle="1" w:styleId="CharChar21">
    <w:name w:val="Char Char21"/>
    <w:unhideWhenUsed/>
    <w:qFormat/>
    <w:rPr>
      <w:rFonts w:eastAsia="宋体" w:hint="default"/>
      <w:kern w:val="2"/>
      <w:sz w:val="18"/>
      <w:szCs w:val="24"/>
      <w:lang w:val="en-US" w:eastAsia="zh-CN"/>
    </w:rPr>
  </w:style>
  <w:style w:type="character" w:customStyle="1" w:styleId="DefaultParagraphFont1">
    <w:name w:val="Default Paragraph Font1"/>
    <w:unhideWhenUsed/>
    <w:qFormat/>
    <w:rPr>
      <w:rFonts w:hint="default"/>
      <w:sz w:val="24"/>
      <w:szCs w:val="24"/>
    </w:rPr>
  </w:style>
  <w:style w:type="character" w:customStyle="1" w:styleId="CharChar18">
    <w:name w:val="表题 Char Char1"/>
    <w:unhideWhenUsed/>
    <w:qFormat/>
    <w:rPr>
      <w:rFonts w:ascii="宋体" w:eastAsia="宋体" w:hint="eastAsia"/>
      <w:kern w:val="2"/>
      <w:sz w:val="24"/>
      <w:szCs w:val="24"/>
      <w:lang w:val="en-US" w:eastAsia="zh-CN"/>
    </w:rPr>
  </w:style>
  <w:style w:type="character" w:customStyle="1" w:styleId="CharChar33">
    <w:name w:val="Char Char33"/>
    <w:unhideWhenUsed/>
    <w:qFormat/>
    <w:rPr>
      <w:rFonts w:ascii="Arial" w:eastAsia="黑体" w:hAnsi="Arial" w:hint="eastAsia"/>
      <w:b/>
      <w:kern w:val="2"/>
      <w:sz w:val="24"/>
      <w:szCs w:val="24"/>
      <w:lang w:val="en-US" w:eastAsia="zh-CN"/>
    </w:rPr>
  </w:style>
  <w:style w:type="character" w:customStyle="1" w:styleId="1ffffe">
    <w:name w:val="封面1"/>
    <w:unhideWhenUsed/>
    <w:qFormat/>
    <w:rPr>
      <w:rFonts w:ascii="Times New Roman" w:eastAsia="黑体" w:hAnsi="Times New Roman" w:hint="eastAsia"/>
      <w:sz w:val="30"/>
      <w:szCs w:val="24"/>
      <w:u w:val="single"/>
    </w:rPr>
  </w:style>
  <w:style w:type="character" w:customStyle="1" w:styleId="CharChar180">
    <w:name w:val="Char Char18"/>
    <w:unhideWhenUsed/>
    <w:qFormat/>
    <w:rPr>
      <w:rFonts w:ascii="宋体" w:eastAsia="宋体" w:hAnsi="宋体" w:hint="eastAsia"/>
      <w:kern w:val="2"/>
      <w:sz w:val="24"/>
      <w:szCs w:val="24"/>
      <w:lang w:val="en-US" w:eastAsia="zh-CN"/>
    </w:rPr>
  </w:style>
  <w:style w:type="character" w:customStyle="1" w:styleId="affffffffffffffffffffffff7">
    <w:name w:val="个人答复风格"/>
    <w:unhideWhenUsed/>
    <w:qFormat/>
    <w:rPr>
      <w:rFonts w:ascii="Arial" w:eastAsia="宋体" w:hAnsi="Arial" w:hint="eastAsia"/>
      <w:color w:val="auto"/>
      <w:kern w:val="2"/>
      <w:sz w:val="20"/>
      <w:szCs w:val="24"/>
      <w:lang w:val="en-US" w:eastAsia="zh-CN"/>
    </w:rPr>
  </w:style>
  <w:style w:type="character" w:customStyle="1" w:styleId="3Char2">
    <w:name w:val="样式 标题 3 + 黑体 小四 Char"/>
    <w:link w:val="3f3"/>
    <w:unhideWhenUsed/>
    <w:qFormat/>
    <w:rPr>
      <w:rFonts w:ascii="黑体" w:eastAsia="黑体" w:hint="eastAsia"/>
      <w:kern w:val="2"/>
      <w:sz w:val="24"/>
      <w:szCs w:val="24"/>
    </w:rPr>
  </w:style>
  <w:style w:type="character" w:customStyle="1" w:styleId="CharCharCharCharCharCharCharCharCharCharCharCharCharChar0">
    <w:name w:val="普通文字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Char">
    <w:name w:val="正文c Char"/>
    <w:link w:val="c1"/>
    <w:unhideWhenUsed/>
    <w:qFormat/>
    <w:rPr>
      <w:rFonts w:eastAsia="仿宋_GB2312" w:hint="default"/>
      <w:kern w:val="2"/>
      <w:sz w:val="28"/>
      <w:szCs w:val="24"/>
    </w:rPr>
  </w:style>
  <w:style w:type="character" w:customStyle="1" w:styleId="CharCharf6">
    <w:name w:val="报告名 Char Char"/>
    <w:unhideWhenUsed/>
    <w:qFormat/>
    <w:rPr>
      <w:rFonts w:eastAsia="宋体" w:hint="default"/>
      <w:b/>
      <w:kern w:val="2"/>
      <w:sz w:val="56"/>
      <w:szCs w:val="24"/>
      <w:lang w:val="en-US" w:eastAsia="zh-CN"/>
    </w:rPr>
  </w:style>
  <w:style w:type="character" w:customStyle="1" w:styleId="CharChar28">
    <w:name w:val="Char Char28"/>
    <w:unhideWhenUsed/>
    <w:qFormat/>
    <w:rPr>
      <w:rFonts w:eastAsia="宋体" w:hint="default"/>
      <w:kern w:val="2"/>
      <w:sz w:val="24"/>
      <w:szCs w:val="24"/>
      <w:lang w:val="en-US" w:eastAsia="zh-CN"/>
    </w:rPr>
  </w:style>
  <w:style w:type="character" w:customStyle="1" w:styleId="CharChar29">
    <w:name w:val="Char Char29"/>
    <w:unhideWhenUsed/>
    <w:qFormat/>
    <w:rPr>
      <w:rFonts w:eastAsia="宋体" w:hint="default"/>
      <w:kern w:val="2"/>
      <w:sz w:val="28"/>
      <w:szCs w:val="24"/>
      <w:lang w:val="en-US" w:eastAsia="zh-CN"/>
    </w:rPr>
  </w:style>
  <w:style w:type="character" w:customStyle="1" w:styleId="CharCharCharCharCharCharChar2CharChar1">
    <w:name w:val="普通文字 Char Char Char Char Char Char Char2 Char Char1"/>
    <w:unhideWhenUsed/>
    <w:qFormat/>
    <w:rPr>
      <w:rFonts w:ascii="宋体" w:eastAsia="宋体" w:hAnsi="Courier New" w:hint="eastAsia"/>
      <w:kern w:val="2"/>
      <w:sz w:val="21"/>
      <w:szCs w:val="24"/>
      <w:lang w:val="en-US" w:eastAsia="zh-CN"/>
    </w:rPr>
  </w:style>
  <w:style w:type="character" w:customStyle="1" w:styleId="Charfffd">
    <w:name w:val="表后标题 Char"/>
    <w:link w:val="afffffffffffff2"/>
    <w:unhideWhenUsed/>
    <w:qFormat/>
    <w:rPr>
      <w:rFonts w:hAnsi="宋体" w:hint="default"/>
      <w:b/>
      <w:kern w:val="2"/>
      <w:sz w:val="21"/>
      <w:szCs w:val="24"/>
    </w:rPr>
  </w:style>
  <w:style w:type="character" w:customStyle="1" w:styleId="CharChar31">
    <w:name w:val="Char Char31"/>
    <w:unhideWhenUsed/>
    <w:qFormat/>
    <w:rPr>
      <w:rFonts w:ascii="Arial" w:eastAsia="黑体" w:hAnsi="Arial" w:hint="eastAsia"/>
      <w:kern w:val="2"/>
      <w:sz w:val="24"/>
      <w:szCs w:val="24"/>
      <w:lang w:val="en-US" w:eastAsia="zh-CN"/>
    </w:rPr>
  </w:style>
  <w:style w:type="character" w:customStyle="1" w:styleId="CharChar161">
    <w:name w:val="Char Char161"/>
    <w:unhideWhenUsed/>
    <w:qFormat/>
    <w:rPr>
      <w:rFonts w:ascii="Times New Roman" w:eastAsia="华文细黑" w:hAnsi="Times New Roman" w:hint="eastAsia"/>
      <w:b/>
      <w:kern w:val="2"/>
      <w:sz w:val="32"/>
      <w:szCs w:val="24"/>
      <w:lang w:val="en-US" w:eastAsia="zh-CN"/>
    </w:rPr>
  </w:style>
  <w:style w:type="character" w:customStyle="1" w:styleId="3Char0">
    <w:name w:val="标题3 Char"/>
    <w:link w:val="3c"/>
    <w:unhideWhenUsed/>
    <w:qFormat/>
    <w:rPr>
      <w:rFonts w:hint="default"/>
      <w:b/>
      <w:kern w:val="2"/>
      <w:sz w:val="24"/>
      <w:szCs w:val="24"/>
    </w:rPr>
  </w:style>
  <w:style w:type="character" w:customStyle="1" w:styleId="4Char11">
    <w:name w:val="标题 4 Char11"/>
    <w:unhideWhenUsed/>
    <w:qFormat/>
    <w:rPr>
      <w:rFonts w:ascii="黑体" w:eastAsia="宋体" w:hAnsi="Arial" w:hint="eastAsia"/>
      <w:b/>
      <w:i/>
      <w:kern w:val="2"/>
      <w:sz w:val="24"/>
      <w:szCs w:val="24"/>
    </w:rPr>
  </w:style>
  <w:style w:type="character" w:customStyle="1" w:styleId="1Charc">
    <w:name w:val="样式 标题 1封面大标题 + 非加粗 Char"/>
    <w:unhideWhenUsed/>
    <w:qFormat/>
    <w:rPr>
      <w:rFonts w:ascii="宋体" w:eastAsia="黑体" w:hAnsi="宋体" w:hint="eastAsia"/>
      <w:b/>
      <w:kern w:val="44"/>
      <w:sz w:val="32"/>
      <w:szCs w:val="24"/>
      <w:lang w:val="en-US" w:eastAsia="zh-CN"/>
    </w:rPr>
  </w:style>
  <w:style w:type="character" w:customStyle="1" w:styleId="4Char2">
    <w:name w:val="陈标题4 Char"/>
    <w:link w:val="4f0"/>
    <w:unhideWhenUsed/>
    <w:qFormat/>
    <w:rPr>
      <w:rFonts w:hint="default"/>
      <w:b/>
      <w:kern w:val="2"/>
      <w:sz w:val="24"/>
      <w:szCs w:val="24"/>
    </w:rPr>
  </w:style>
  <w:style w:type="character" w:customStyle="1" w:styleId="2CharChar5">
    <w:name w:val="正文首行缩进2 字符 Char Char"/>
    <w:link w:val="2ff5"/>
    <w:unhideWhenUsed/>
    <w:qFormat/>
    <w:rPr>
      <w:rFonts w:hint="default"/>
      <w:kern w:val="2"/>
      <w:sz w:val="28"/>
      <w:szCs w:val="24"/>
    </w:rPr>
  </w:style>
  <w:style w:type="character" w:customStyle="1" w:styleId="CharCharCharCharCharCharCharCharCharCharCharCharCharCharCharCharCharCharCharChar0">
    <w:name w:val="纯文本 Char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StyleChar">
    <w:name w:val="Style 正文文本 + Char"/>
    <w:link w:val="Style"/>
    <w:unhideWhenUsed/>
    <w:qFormat/>
    <w:rPr>
      <w:rFonts w:hint="default"/>
      <w:sz w:val="24"/>
      <w:szCs w:val="24"/>
    </w:rPr>
  </w:style>
  <w:style w:type="character" w:customStyle="1" w:styleId="CharCharCharCharCharCharCharCharCharCharCharCharCharCharCharCharCharChar">
    <w:name w:val="纯文本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36">
    <w:name w:val="Char Char36"/>
    <w:unhideWhenUsed/>
    <w:qFormat/>
    <w:rPr>
      <w:rFonts w:ascii="宋体" w:eastAsia="宋体" w:hint="eastAsia"/>
      <w:b/>
      <w:kern w:val="24"/>
      <w:sz w:val="28"/>
      <w:szCs w:val="24"/>
      <w:lang w:val="zh-CN"/>
    </w:rPr>
  </w:style>
  <w:style w:type="character" w:customStyle="1" w:styleId="CharCharf7">
    <w:name w:val="报告编号 Char Char"/>
    <w:unhideWhenUsed/>
    <w:qFormat/>
    <w:rPr>
      <w:rFonts w:eastAsia="黑体" w:hint="default"/>
      <w:b/>
      <w:kern w:val="2"/>
      <w:sz w:val="28"/>
      <w:szCs w:val="24"/>
      <w:lang w:val="en-US" w:eastAsia="zh-CN"/>
    </w:rPr>
  </w:style>
  <w:style w:type="character" w:customStyle="1" w:styleId="CharChar37">
    <w:name w:val="Char Char37"/>
    <w:unhideWhenUsed/>
    <w:qFormat/>
    <w:rPr>
      <w:rFonts w:ascii="宋体" w:eastAsia="宋体" w:hint="eastAsia"/>
      <w:b/>
      <w:kern w:val="2"/>
      <w:sz w:val="28"/>
      <w:szCs w:val="24"/>
    </w:rPr>
  </w:style>
  <w:style w:type="character" w:customStyle="1" w:styleId="3zw">
    <w:name w:val="3zw"/>
    <w:basedOn w:val="a6"/>
    <w:unhideWhenUsed/>
    <w:qFormat/>
    <w:rPr>
      <w:rFonts w:cs="Times New Roman" w:hint="default"/>
      <w:sz w:val="24"/>
      <w:szCs w:val="24"/>
    </w:rPr>
  </w:style>
  <w:style w:type="character" w:customStyle="1" w:styleId="1Char5">
    <w:name w:val="表标题1 Char"/>
    <w:link w:val="1fff"/>
    <w:unhideWhenUsed/>
    <w:qFormat/>
    <w:rPr>
      <w:rFonts w:hint="default"/>
      <w:b/>
      <w:kern w:val="2"/>
      <w:sz w:val="24"/>
      <w:szCs w:val="24"/>
    </w:rPr>
  </w:style>
  <w:style w:type="character" w:customStyle="1" w:styleId="Charffa">
    <w:name w:val="表号 Char"/>
    <w:link w:val="afffffffffa"/>
    <w:unhideWhenUsed/>
    <w:qFormat/>
    <w:rPr>
      <w:rFonts w:hint="default"/>
      <w:color w:val="000000"/>
      <w:sz w:val="24"/>
      <w:szCs w:val="24"/>
    </w:rPr>
  </w:style>
  <w:style w:type="character" w:customStyle="1" w:styleId="affffffffffffffffffffffff8">
    <w:name w:val="项目符号"/>
    <w:unhideWhenUsed/>
    <w:qFormat/>
    <w:rPr>
      <w:rFonts w:ascii="OpenSymbol" w:eastAsia="OpenSymbol" w:hAnsi="OpenSymbol" w:hint="eastAsia"/>
      <w:sz w:val="24"/>
      <w:szCs w:val="24"/>
    </w:rPr>
  </w:style>
  <w:style w:type="character" w:customStyle="1" w:styleId="CharCharf8">
    <w:name w:val="图表名 Char Char"/>
    <w:unhideWhenUsed/>
    <w:qFormat/>
    <w:rPr>
      <w:rFonts w:eastAsia="黑体" w:hint="default"/>
      <w:kern w:val="2"/>
      <w:sz w:val="24"/>
      <w:szCs w:val="24"/>
      <w:lang w:val="en-US" w:eastAsia="zh-CN"/>
    </w:rPr>
  </w:style>
  <w:style w:type="character" w:customStyle="1" w:styleId="CharChar34">
    <w:name w:val="Char Char34"/>
    <w:unhideWhenUsed/>
    <w:qFormat/>
    <w:rPr>
      <w:rFonts w:ascii="新宋体" w:eastAsia="仿宋_GB2312" w:hAnsi="新宋体" w:hint="eastAsia"/>
      <w:b/>
      <w:kern w:val="2"/>
      <w:sz w:val="28"/>
      <w:szCs w:val="24"/>
      <w:lang w:val="en-US" w:eastAsia="zh-CN"/>
    </w:rPr>
  </w:style>
  <w:style w:type="character" w:customStyle="1" w:styleId="MTEquationSection">
    <w:name w:val="MTEquationSection"/>
    <w:unhideWhenUsed/>
    <w:qFormat/>
    <w:rPr>
      <w:rFonts w:hint="default"/>
      <w:vanish/>
      <w:color w:val="FF0000"/>
      <w:sz w:val="24"/>
      <w:szCs w:val="24"/>
    </w:rPr>
  </w:style>
  <w:style w:type="character" w:customStyle="1" w:styleId="Char29">
    <w:name w:val="表后标题 Char2"/>
    <w:unhideWhenUsed/>
    <w:qFormat/>
    <w:rPr>
      <w:rFonts w:eastAsia="宋体" w:hAnsi="宋体" w:hint="default"/>
      <w:kern w:val="2"/>
      <w:sz w:val="21"/>
      <w:szCs w:val="24"/>
      <w:lang w:val="en-US" w:eastAsia="zh-CN"/>
    </w:rPr>
  </w:style>
  <w:style w:type="character" w:customStyle="1" w:styleId="CharCharCharCharCharCharCharCharCharCharCharCharCharCharCharCharChar0">
    <w:name w:val="普通文字 Char Char Char Char Char Char Char Char Char Char Char Char Char Char Char Char Char"/>
    <w:unhideWhenUsed/>
    <w:qFormat/>
    <w:rPr>
      <w:rFonts w:ascii="宋体" w:eastAsia="宋体" w:hAnsi="Courier New" w:hint="eastAsia"/>
      <w:kern w:val="2"/>
      <w:sz w:val="28"/>
      <w:szCs w:val="24"/>
      <w:lang w:val="en-US" w:eastAsia="zh-CN"/>
    </w:rPr>
  </w:style>
  <w:style w:type="character" w:customStyle="1" w:styleId="hps">
    <w:name w:val="hps"/>
    <w:basedOn w:val="a6"/>
    <w:unhideWhenUsed/>
    <w:qFormat/>
    <w:rPr>
      <w:rFonts w:cs="Times New Roman" w:hint="default"/>
      <w:sz w:val="24"/>
      <w:szCs w:val="24"/>
    </w:rPr>
  </w:style>
  <w:style w:type="character" w:customStyle="1" w:styleId="1fffff">
    <w:name w:val="明显强调1"/>
    <w:unhideWhenUsed/>
    <w:qFormat/>
    <w:rPr>
      <w:rFonts w:eastAsia="黑体" w:hint="default"/>
      <w:color w:val="auto"/>
      <w:sz w:val="21"/>
      <w:szCs w:val="24"/>
    </w:rPr>
  </w:style>
  <w:style w:type="character" w:customStyle="1" w:styleId="affffffffffffffffffffffff9">
    <w:name w:val="尾注文本 字符"/>
    <w:basedOn w:val="a6"/>
    <w:uiPriority w:val="99"/>
    <w:unhideWhenUsed/>
    <w:qFormat/>
    <w:rPr>
      <w:rFonts w:cs="Times New Roman" w:hint="default"/>
      <w:kern w:val="2"/>
      <w:sz w:val="24"/>
      <w:szCs w:val="24"/>
    </w:rPr>
  </w:style>
  <w:style w:type="character" w:customStyle="1" w:styleId="Char8">
    <w:name w:val="尾注文本 Char"/>
    <w:link w:val="af8"/>
    <w:unhideWhenUsed/>
    <w:qFormat/>
    <w:rPr>
      <w:rFonts w:hint="default"/>
      <w:kern w:val="2"/>
      <w:sz w:val="21"/>
      <w:szCs w:val="24"/>
    </w:rPr>
  </w:style>
  <w:style w:type="character" w:customStyle="1" w:styleId="CharCharCharChar10">
    <w:name w:val="普通文字 Char Char Char Char1"/>
    <w:unhideWhenUsed/>
    <w:qFormat/>
    <w:rPr>
      <w:rFonts w:ascii="宋体" w:eastAsia="宋体" w:hAnsi="Courier New" w:hint="eastAsia"/>
      <w:kern w:val="2"/>
      <w:sz w:val="21"/>
      <w:szCs w:val="24"/>
      <w:lang w:val="en-US" w:eastAsia="zh-CN"/>
    </w:rPr>
  </w:style>
  <w:style w:type="character" w:customStyle="1" w:styleId="0856615Char">
    <w:name w:val="样式 小四 非加粗 首行缩进:  0.85 厘米 段前: 6 磅 段后: 6 磅 行距: 1.5 倍行距 Char"/>
    <w:link w:val="0856615"/>
    <w:unhideWhenUsed/>
    <w:qFormat/>
    <w:rPr>
      <w:rFonts w:hint="default"/>
      <w:kern w:val="2"/>
      <w:sz w:val="28"/>
      <w:szCs w:val="24"/>
    </w:rPr>
  </w:style>
  <w:style w:type="character" w:customStyle="1" w:styleId="1Char20">
    <w:name w:val="正文缩进1 Char2"/>
    <w:unhideWhenUsed/>
    <w:qFormat/>
    <w:rPr>
      <w:rFonts w:eastAsia="宋体" w:hint="default"/>
      <w:kern w:val="2"/>
      <w:sz w:val="24"/>
      <w:szCs w:val="24"/>
      <w:lang w:val="en-US" w:eastAsia="zh-CN"/>
    </w:rPr>
  </w:style>
  <w:style w:type="character" w:customStyle="1" w:styleId="Charfe">
    <w:name w:val="表 Char"/>
    <w:link w:val="affffffa"/>
    <w:unhideWhenUsed/>
    <w:qFormat/>
    <w:rPr>
      <w:rFonts w:hint="default"/>
      <w:spacing w:val="2"/>
      <w:kern w:val="2"/>
      <w:sz w:val="21"/>
      <w:szCs w:val="24"/>
    </w:rPr>
  </w:style>
  <w:style w:type="character" w:customStyle="1" w:styleId="CharChar1a">
    <w:name w:val="页眉 Char Char1"/>
    <w:unhideWhenUsed/>
    <w:qFormat/>
    <w:rPr>
      <w:rFonts w:eastAsia="宋体" w:hint="default"/>
      <w:kern w:val="2"/>
      <w:sz w:val="18"/>
      <w:szCs w:val="24"/>
      <w:lang w:val="en-US" w:eastAsia="zh-CN"/>
    </w:rPr>
  </w:style>
  <w:style w:type="character" w:customStyle="1" w:styleId="Char5Char">
    <w:name w:val="Char5 Char"/>
    <w:unhideWhenUsed/>
    <w:qFormat/>
    <w:rPr>
      <w:rFonts w:eastAsia="宋体" w:hint="default"/>
      <w:kern w:val="2"/>
      <w:sz w:val="28"/>
      <w:szCs w:val="24"/>
      <w:lang w:val="en-US" w:eastAsia="zh-CN"/>
    </w:rPr>
  </w:style>
  <w:style w:type="character" w:customStyle="1" w:styleId="Char4Char">
    <w:name w:val="Char4 Char"/>
    <w:unhideWhenUsed/>
    <w:qFormat/>
    <w:rPr>
      <w:rFonts w:eastAsia="宋体" w:hint="default"/>
      <w:sz w:val="21"/>
      <w:szCs w:val="24"/>
      <w:lang w:val="en-US" w:eastAsia="zh-CN"/>
    </w:rPr>
  </w:style>
  <w:style w:type="character" w:customStyle="1" w:styleId="Char3Char">
    <w:name w:val="Char3 Char"/>
    <w:unhideWhenUsed/>
    <w:qFormat/>
    <w:rPr>
      <w:rFonts w:ascii="宋体" w:eastAsia="宋体" w:hAnsi="宋体" w:hint="eastAsia"/>
      <w:b/>
      <w:color w:val="000000"/>
      <w:kern w:val="2"/>
      <w:sz w:val="24"/>
      <w:szCs w:val="24"/>
      <w:lang w:val="en-US" w:eastAsia="zh-CN"/>
    </w:rPr>
  </w:style>
  <w:style w:type="character" w:customStyle="1" w:styleId="11111Char1">
    <w:name w:val="标题1.1.1.1.1 Char1"/>
    <w:unhideWhenUsed/>
    <w:qFormat/>
    <w:rPr>
      <w:rFonts w:ascii="宋体" w:eastAsia="宋体" w:hint="eastAsia"/>
      <w:b/>
      <w:sz w:val="28"/>
      <w:szCs w:val="24"/>
      <w:lang w:val="en-US" w:eastAsia="zh-CN"/>
    </w:rPr>
  </w:style>
  <w:style w:type="character" w:customStyle="1" w:styleId="aChar0">
    <w:name w:val="干标题(a) Char"/>
    <w:unhideWhenUsed/>
    <w:qFormat/>
    <w:rPr>
      <w:rFonts w:ascii="Arial" w:eastAsia="黑体" w:hAnsi="Arial" w:hint="eastAsia"/>
      <w:sz w:val="21"/>
      <w:szCs w:val="24"/>
      <w:lang w:val="en-US" w:eastAsia="zh-CN"/>
    </w:rPr>
  </w:style>
  <w:style w:type="character" w:customStyle="1" w:styleId="1Char11">
    <w:name w:val="项标题(1) Char1"/>
    <w:unhideWhenUsed/>
    <w:qFormat/>
    <w:rPr>
      <w:rFonts w:ascii="宋体" w:eastAsia="宋体" w:hint="eastAsia"/>
      <w:b/>
      <w:sz w:val="24"/>
      <w:szCs w:val="24"/>
      <w:lang w:val="en-US" w:eastAsia="zh-CN"/>
    </w:rPr>
  </w:style>
  <w:style w:type="character" w:customStyle="1" w:styleId="1Chard">
    <w:name w:val="目标题 1) Char"/>
    <w:unhideWhenUsed/>
    <w:qFormat/>
    <w:rPr>
      <w:rFonts w:ascii="Arial" w:eastAsia="黑体" w:hAnsi="Arial" w:hint="eastAsia"/>
      <w:sz w:val="24"/>
      <w:szCs w:val="24"/>
      <w:lang w:val="en-US" w:eastAsia="zh-CN"/>
    </w:rPr>
  </w:style>
  <w:style w:type="character" w:customStyle="1" w:styleId="31CharChar">
    <w:name w:val="正文文字缩进 31 Char Char"/>
    <w:unhideWhenUsed/>
    <w:qFormat/>
    <w:rPr>
      <w:rFonts w:eastAsia="宋体" w:hint="default"/>
      <w:kern w:val="2"/>
      <w:sz w:val="24"/>
      <w:szCs w:val="24"/>
      <w:lang w:val="en-US" w:eastAsia="zh-CN"/>
    </w:rPr>
  </w:style>
  <w:style w:type="character" w:customStyle="1" w:styleId="8-2CharCharChar">
    <w:name w:val="8-2 Char Char Char"/>
    <w:link w:val="8-2Char"/>
    <w:unhideWhenUsed/>
    <w:qFormat/>
    <w:rPr>
      <w:rFonts w:ascii="宋体" w:eastAsia="宋体" w:hint="eastAsia"/>
      <w:kern w:val="2"/>
      <w:sz w:val="24"/>
      <w:szCs w:val="24"/>
    </w:rPr>
  </w:style>
  <w:style w:type="character" w:customStyle="1" w:styleId="2CharChar7">
    <w:name w:val="2 Char Char"/>
    <w:basedOn w:val="a6"/>
    <w:unhideWhenUsed/>
    <w:qFormat/>
    <w:rPr>
      <w:rFonts w:cs="Times New Roman" w:hint="default"/>
      <w:sz w:val="24"/>
      <w:szCs w:val="24"/>
    </w:rPr>
  </w:style>
  <w:style w:type="character" w:customStyle="1" w:styleId="CharChar121">
    <w:name w:val="Char Char121"/>
    <w:unhideWhenUsed/>
    <w:qFormat/>
    <w:rPr>
      <w:rFonts w:ascii="宋体" w:eastAsia="宋体" w:hint="eastAsia"/>
      <w:b/>
      <w:sz w:val="24"/>
      <w:szCs w:val="24"/>
      <w:lang w:val="en-US" w:eastAsia="zh-CN"/>
    </w:rPr>
  </w:style>
  <w:style w:type="character" w:customStyle="1" w:styleId="CharChar91">
    <w:name w:val="Char Char91"/>
    <w:unhideWhenUsed/>
    <w:qFormat/>
    <w:rPr>
      <w:rFonts w:ascii="宋体" w:eastAsia="宋体" w:hAnsi="宋体" w:hint="eastAsia"/>
      <w:kern w:val="2"/>
      <w:sz w:val="18"/>
      <w:szCs w:val="24"/>
      <w:lang w:val="en-US" w:eastAsia="zh-CN"/>
    </w:rPr>
  </w:style>
  <w:style w:type="character" w:customStyle="1" w:styleId="CharChar24">
    <w:name w:val="Char Char24"/>
    <w:unhideWhenUsed/>
    <w:qFormat/>
    <w:rPr>
      <w:rFonts w:ascii="宋体" w:eastAsia="宋体" w:hAnsi="宋体" w:hint="eastAsia"/>
      <w:b/>
      <w:sz w:val="24"/>
      <w:szCs w:val="24"/>
      <w:lang w:val="en-US" w:eastAsia="zh-CN"/>
    </w:rPr>
  </w:style>
  <w:style w:type="character" w:customStyle="1" w:styleId="CharChar141">
    <w:name w:val="Char Char141"/>
    <w:unhideWhenUsed/>
    <w:qFormat/>
    <w:rPr>
      <w:rFonts w:ascii="宋体" w:eastAsia="宋体" w:hAnsi="宋体" w:hint="eastAsia"/>
      <w:kern w:val="2"/>
      <w:sz w:val="21"/>
      <w:szCs w:val="24"/>
      <w:lang w:val="en-US" w:eastAsia="zh-CN"/>
    </w:rPr>
  </w:style>
  <w:style w:type="character" w:customStyle="1" w:styleId="CharChar80">
    <w:name w:val="Char Char8"/>
    <w:unhideWhenUsed/>
    <w:qFormat/>
    <w:rPr>
      <w:rFonts w:ascii="宋体" w:eastAsia="宋体" w:hAnsi="宋体" w:hint="eastAsia"/>
      <w:kern w:val="2"/>
      <w:sz w:val="28"/>
      <w:szCs w:val="24"/>
      <w:lang w:val="en-US" w:eastAsia="zh-CN"/>
    </w:rPr>
  </w:style>
  <w:style w:type="character" w:customStyle="1" w:styleId="CharChar281">
    <w:name w:val="Char Char281"/>
    <w:unhideWhenUsed/>
    <w:qFormat/>
    <w:rPr>
      <w:rFonts w:ascii="宋体" w:eastAsia="宋体" w:hAnsi="宋体" w:hint="eastAsia"/>
      <w:kern w:val="2"/>
      <w:sz w:val="24"/>
      <w:szCs w:val="24"/>
      <w:lang w:val="en-US" w:eastAsia="zh-CN"/>
    </w:rPr>
  </w:style>
  <w:style w:type="character" w:customStyle="1" w:styleId="CharChar22">
    <w:name w:val="Char Char22"/>
    <w:unhideWhenUsed/>
    <w:qFormat/>
    <w:rPr>
      <w:rFonts w:ascii="宋体" w:eastAsia="宋体" w:hAnsi="宋体" w:hint="eastAsia"/>
      <w:kern w:val="2"/>
      <w:sz w:val="24"/>
      <w:szCs w:val="24"/>
      <w:lang w:val="en-US" w:eastAsia="zh-CN"/>
    </w:rPr>
  </w:style>
  <w:style w:type="character" w:customStyle="1" w:styleId="CharCharCharCharCharCharCharCharCharCharChar10">
    <w:name w:val="普通文字 Char Char Char Char Char Char Char Char Char Char Char1"/>
    <w:unhideWhenUsed/>
    <w:qFormat/>
    <w:rPr>
      <w:rFonts w:ascii="宋体" w:eastAsia="宋体" w:hAnsi="Courier New" w:hint="eastAsia"/>
      <w:kern w:val="2"/>
      <w:sz w:val="28"/>
      <w:szCs w:val="24"/>
      <w:lang w:val="en-US" w:eastAsia="zh-CN"/>
    </w:rPr>
  </w:style>
  <w:style w:type="character" w:customStyle="1" w:styleId="emailstyle159">
    <w:name w:val="emailstyle159"/>
    <w:unhideWhenUsed/>
    <w:qFormat/>
    <w:rPr>
      <w:rFonts w:ascii="Arial" w:eastAsia="宋体" w:hAnsi="Arial" w:hint="eastAsia"/>
      <w:color w:val="auto"/>
      <w:sz w:val="20"/>
      <w:szCs w:val="24"/>
    </w:rPr>
  </w:style>
  <w:style w:type="character" w:customStyle="1" w:styleId="CharChar261">
    <w:name w:val="Char Char261"/>
    <w:unhideWhenUsed/>
    <w:qFormat/>
    <w:rPr>
      <w:rFonts w:ascii="宋体" w:eastAsia="宋体" w:hAnsi="宋体" w:hint="eastAsia"/>
      <w:color w:val="000000"/>
      <w:kern w:val="2"/>
      <w:sz w:val="24"/>
      <w:szCs w:val="24"/>
      <w:lang w:val="en-US" w:eastAsia="zh-CN"/>
    </w:rPr>
  </w:style>
  <w:style w:type="character" w:customStyle="1" w:styleId="emailstyle443">
    <w:name w:val="emailstyle443"/>
    <w:unhideWhenUsed/>
    <w:qFormat/>
    <w:rPr>
      <w:rFonts w:ascii="Arial" w:eastAsia="宋体" w:hAnsi="Arial" w:hint="eastAsia"/>
      <w:color w:val="auto"/>
      <w:sz w:val="20"/>
      <w:szCs w:val="24"/>
    </w:rPr>
  </w:style>
  <w:style w:type="character" w:customStyle="1" w:styleId="CharChar131">
    <w:name w:val="Char Char131"/>
    <w:unhideWhenUsed/>
    <w:qFormat/>
    <w:rPr>
      <w:rFonts w:ascii="宋体" w:eastAsia="宋体" w:hAnsi="宋体" w:hint="eastAsia"/>
      <w:color w:val="0000FF"/>
      <w:sz w:val="24"/>
      <w:szCs w:val="24"/>
      <w:lang w:val="en-US" w:eastAsia="zh-CN"/>
    </w:rPr>
  </w:style>
  <w:style w:type="character" w:customStyle="1" w:styleId="CharChar51">
    <w:name w:val="Char Char51"/>
    <w:unhideWhenUsed/>
    <w:qFormat/>
    <w:rPr>
      <w:rFonts w:ascii="宋体" w:eastAsia="宋体" w:hAnsi="宋体" w:hint="eastAsia"/>
      <w:sz w:val="24"/>
      <w:szCs w:val="24"/>
      <w:lang w:val="en-US" w:eastAsia="zh-CN"/>
    </w:rPr>
  </w:style>
  <w:style w:type="character" w:customStyle="1" w:styleId="CharChar101">
    <w:name w:val="Char Char101"/>
    <w:unhideWhenUsed/>
    <w:qFormat/>
    <w:rPr>
      <w:rFonts w:ascii="Times New Roman" w:eastAsia="宋体" w:hAnsi="Times New Roman" w:hint="eastAsia"/>
      <w:sz w:val="20"/>
      <w:szCs w:val="24"/>
    </w:rPr>
  </w:style>
  <w:style w:type="character" w:customStyle="1" w:styleId="CharChar251">
    <w:name w:val="Char Char251"/>
    <w:unhideWhenUsed/>
    <w:qFormat/>
    <w:rPr>
      <w:rFonts w:ascii="宋体" w:eastAsia="宋体" w:hAnsi="宋体" w:hint="eastAsia"/>
      <w:kern w:val="2"/>
      <w:sz w:val="18"/>
      <w:szCs w:val="24"/>
      <w:lang w:val="en-US" w:eastAsia="zh-CN"/>
    </w:rPr>
  </w:style>
  <w:style w:type="character" w:customStyle="1" w:styleId="CharChar321">
    <w:name w:val="Char Char321"/>
    <w:unhideWhenUsed/>
    <w:qFormat/>
    <w:rPr>
      <w:rFonts w:ascii="新宋体" w:eastAsia="仿宋_GB2312" w:hAnsi="新宋体" w:hint="eastAsia"/>
      <w:b/>
      <w:kern w:val="2"/>
      <w:sz w:val="24"/>
      <w:szCs w:val="24"/>
      <w:lang w:val="en-US" w:eastAsia="zh-CN"/>
    </w:rPr>
  </w:style>
  <w:style w:type="character" w:customStyle="1" w:styleId="CharChar381">
    <w:name w:val="Char Char381"/>
    <w:unhideWhenUsed/>
    <w:qFormat/>
    <w:rPr>
      <w:rFonts w:ascii="宋体" w:eastAsia="宋体" w:hAnsi="宋体" w:hint="eastAsia"/>
      <w:b/>
      <w:kern w:val="2"/>
      <w:sz w:val="32"/>
      <w:szCs w:val="24"/>
    </w:rPr>
  </w:style>
  <w:style w:type="character" w:customStyle="1" w:styleId="CharChar271">
    <w:name w:val="Char Char271"/>
    <w:unhideWhenUsed/>
    <w:qFormat/>
    <w:rPr>
      <w:rFonts w:ascii="宋体" w:eastAsia="宋体" w:hAnsi="宋体" w:hint="eastAsia"/>
      <w:sz w:val="28"/>
      <w:szCs w:val="24"/>
      <w:lang w:val="en-US" w:eastAsia="zh-CN"/>
    </w:rPr>
  </w:style>
  <w:style w:type="character" w:customStyle="1" w:styleId="CharChar301">
    <w:name w:val="Char Char301"/>
    <w:unhideWhenUsed/>
    <w:qFormat/>
    <w:rPr>
      <w:rFonts w:ascii="Arial" w:eastAsia="黑体" w:hAnsi="Arial" w:hint="eastAsia"/>
      <w:kern w:val="2"/>
      <w:sz w:val="21"/>
      <w:szCs w:val="24"/>
      <w:lang w:val="en-US" w:eastAsia="zh-CN"/>
    </w:rPr>
  </w:style>
  <w:style w:type="character" w:customStyle="1" w:styleId="CharChar201">
    <w:name w:val="Char Char201"/>
    <w:unhideWhenUsed/>
    <w:qFormat/>
    <w:rPr>
      <w:rFonts w:hint="default"/>
      <w:b/>
      <w:sz w:val="24"/>
      <w:szCs w:val="24"/>
      <w:u w:val="single"/>
    </w:rPr>
  </w:style>
  <w:style w:type="character" w:customStyle="1" w:styleId="CharChar351">
    <w:name w:val="Char Char351"/>
    <w:unhideWhenUsed/>
    <w:qFormat/>
    <w:rPr>
      <w:rFonts w:ascii="宋体" w:eastAsia="宋体" w:hAnsi="宋体" w:hint="eastAsia"/>
      <w:b/>
      <w:kern w:val="4"/>
      <w:sz w:val="24"/>
      <w:szCs w:val="24"/>
    </w:rPr>
  </w:style>
  <w:style w:type="character" w:customStyle="1" w:styleId="CharChar191">
    <w:name w:val="Char Char191"/>
    <w:unhideWhenUsed/>
    <w:qFormat/>
    <w:rPr>
      <w:rFonts w:hint="default"/>
      <w:sz w:val="24"/>
      <w:szCs w:val="24"/>
    </w:rPr>
  </w:style>
  <w:style w:type="character" w:customStyle="1" w:styleId="CharChar231">
    <w:name w:val="Char Char231"/>
    <w:unhideWhenUsed/>
    <w:qFormat/>
    <w:rPr>
      <w:rFonts w:ascii="黑体" w:eastAsia="黑体" w:hAnsi="Courier New" w:hint="eastAsia"/>
      <w:kern w:val="2"/>
      <w:sz w:val="28"/>
      <w:szCs w:val="24"/>
      <w:lang w:val="en-US" w:eastAsia="zh-CN"/>
    </w:rPr>
  </w:style>
  <w:style w:type="character" w:customStyle="1" w:styleId="CharChar211">
    <w:name w:val="Char Char211"/>
    <w:unhideWhenUsed/>
    <w:qFormat/>
    <w:rPr>
      <w:rFonts w:ascii="宋体" w:eastAsia="宋体" w:hAnsi="宋体" w:hint="eastAsia"/>
      <w:kern w:val="2"/>
      <w:sz w:val="18"/>
      <w:szCs w:val="24"/>
      <w:lang w:val="en-US" w:eastAsia="zh-CN"/>
    </w:rPr>
  </w:style>
  <w:style w:type="character" w:customStyle="1" w:styleId="CharChar331">
    <w:name w:val="Char Char331"/>
    <w:unhideWhenUsed/>
    <w:qFormat/>
    <w:rPr>
      <w:rFonts w:ascii="Arial" w:eastAsia="黑体" w:hAnsi="Arial" w:hint="eastAsia"/>
      <w:b/>
      <w:kern w:val="2"/>
      <w:sz w:val="24"/>
      <w:szCs w:val="24"/>
      <w:lang w:val="en-US" w:eastAsia="zh-CN"/>
    </w:rPr>
  </w:style>
  <w:style w:type="character" w:customStyle="1" w:styleId="CharChar181">
    <w:name w:val="Char Char181"/>
    <w:unhideWhenUsed/>
    <w:qFormat/>
    <w:rPr>
      <w:rFonts w:ascii="宋体" w:eastAsia="宋体" w:hAnsi="宋体" w:hint="eastAsia"/>
      <w:kern w:val="2"/>
      <w:sz w:val="24"/>
      <w:szCs w:val="24"/>
      <w:lang w:val="en-US" w:eastAsia="zh-CN"/>
    </w:rPr>
  </w:style>
  <w:style w:type="character" w:customStyle="1" w:styleId="CharChar291">
    <w:name w:val="Char Char291"/>
    <w:unhideWhenUsed/>
    <w:qFormat/>
    <w:rPr>
      <w:rFonts w:ascii="宋体" w:eastAsia="宋体" w:hAnsi="宋体" w:hint="eastAsia"/>
      <w:kern w:val="2"/>
      <w:sz w:val="28"/>
      <w:szCs w:val="24"/>
      <w:lang w:val="en-US" w:eastAsia="zh-CN"/>
    </w:rPr>
  </w:style>
  <w:style w:type="character" w:customStyle="1" w:styleId="CharChar311">
    <w:name w:val="Char Char311"/>
    <w:unhideWhenUsed/>
    <w:qFormat/>
    <w:rPr>
      <w:rFonts w:ascii="Arial" w:eastAsia="黑体" w:hAnsi="Arial" w:hint="eastAsia"/>
      <w:kern w:val="2"/>
      <w:sz w:val="24"/>
      <w:szCs w:val="24"/>
      <w:lang w:val="en-US" w:eastAsia="zh-CN"/>
    </w:rPr>
  </w:style>
  <w:style w:type="character" w:customStyle="1" w:styleId="CharChar361">
    <w:name w:val="Char Char361"/>
    <w:unhideWhenUsed/>
    <w:qFormat/>
    <w:rPr>
      <w:rFonts w:ascii="宋体" w:eastAsia="宋体" w:hAnsi="宋体" w:hint="eastAsia"/>
      <w:b/>
      <w:kern w:val="24"/>
      <w:sz w:val="28"/>
      <w:szCs w:val="24"/>
      <w:lang w:val="zh-CN"/>
    </w:rPr>
  </w:style>
  <w:style w:type="character" w:customStyle="1" w:styleId="CharChar371">
    <w:name w:val="Char Char371"/>
    <w:unhideWhenUsed/>
    <w:qFormat/>
    <w:rPr>
      <w:rFonts w:ascii="宋体" w:eastAsia="宋体" w:hAnsi="宋体" w:hint="eastAsia"/>
      <w:b/>
      <w:kern w:val="2"/>
      <w:sz w:val="28"/>
      <w:szCs w:val="24"/>
    </w:rPr>
  </w:style>
  <w:style w:type="character" w:customStyle="1" w:styleId="CharChar341">
    <w:name w:val="Char Char341"/>
    <w:unhideWhenUsed/>
    <w:qFormat/>
    <w:rPr>
      <w:rFonts w:ascii="新宋体" w:eastAsia="仿宋_GB2312" w:hAnsi="新宋体" w:hint="eastAsia"/>
      <w:b/>
      <w:kern w:val="2"/>
      <w:sz w:val="28"/>
      <w:szCs w:val="24"/>
      <w:lang w:val="en-US" w:eastAsia="zh-CN"/>
    </w:rPr>
  </w:style>
  <w:style w:type="character" w:customStyle="1" w:styleId="Heading4Char">
    <w:name w:val="Heading 4 Char"/>
    <w:unhideWhenUsed/>
    <w:qFormat/>
    <w:rPr>
      <w:rFonts w:ascii="Arial" w:eastAsia="黑体" w:hAnsi="Arial" w:hint="eastAsia"/>
      <w:b/>
      <w:kern w:val="2"/>
      <w:sz w:val="28"/>
      <w:szCs w:val="24"/>
    </w:rPr>
  </w:style>
  <w:style w:type="character" w:customStyle="1" w:styleId="Heading3Char">
    <w:name w:val="Heading 3 Char"/>
    <w:unhideWhenUsed/>
    <w:qFormat/>
    <w:rPr>
      <w:rFonts w:hint="default"/>
      <w:b/>
      <w:kern w:val="2"/>
      <w:sz w:val="32"/>
      <w:szCs w:val="24"/>
    </w:rPr>
  </w:style>
  <w:style w:type="character" w:customStyle="1" w:styleId="BalloonTextChar">
    <w:name w:val="Balloon Text Char"/>
    <w:unhideWhenUsed/>
    <w:qFormat/>
    <w:rPr>
      <w:rFonts w:hint="default"/>
      <w:kern w:val="2"/>
      <w:sz w:val="18"/>
      <w:szCs w:val="24"/>
    </w:rPr>
  </w:style>
  <w:style w:type="character" w:customStyle="1" w:styleId="TimesChar">
    <w:name w:val="样式 表头 + (符号) Times Char"/>
    <w:link w:val="Times"/>
    <w:unhideWhenUsed/>
    <w:qFormat/>
    <w:rPr>
      <w:rFonts w:ascii="仿宋_GB2312" w:eastAsia="仿宋_GB2312" w:hAnsi="宋体" w:hint="eastAsia"/>
      <w:color w:val="000000"/>
      <w:sz w:val="24"/>
      <w:szCs w:val="24"/>
    </w:rPr>
  </w:style>
  <w:style w:type="character" w:customStyle="1" w:styleId="14Char">
    <w:name w:val="样式14 Char"/>
    <w:link w:val="141"/>
    <w:unhideWhenUsed/>
    <w:qFormat/>
    <w:rPr>
      <w:rFonts w:eastAsia="华文中宋" w:hint="default"/>
      <w:color w:val="000000"/>
      <w:kern w:val="2"/>
      <w:sz w:val="24"/>
      <w:szCs w:val="24"/>
    </w:rPr>
  </w:style>
  <w:style w:type="character" w:customStyle="1" w:styleId="Heading2Char">
    <w:name w:val="Heading 2 Char"/>
    <w:unhideWhenUsed/>
    <w:qFormat/>
    <w:rPr>
      <w:rFonts w:ascii="Arial" w:eastAsia="黑体" w:hAnsi="Arial" w:hint="eastAsia"/>
      <w:b/>
      <w:kern w:val="10"/>
      <w:sz w:val="32"/>
      <w:szCs w:val="24"/>
    </w:rPr>
  </w:style>
  <w:style w:type="character" w:customStyle="1" w:styleId="unnamednews1">
    <w:name w:val="unnamednews1"/>
    <w:unhideWhenUsed/>
    <w:qFormat/>
    <w:rPr>
      <w:rFonts w:hint="default"/>
      <w:color w:val="000000"/>
      <w:spacing w:val="480"/>
      <w:sz w:val="28"/>
      <w:szCs w:val="24"/>
    </w:rPr>
  </w:style>
  <w:style w:type="character" w:customStyle="1" w:styleId="Charffff">
    <w:name w:val="方案正文样式 Char"/>
    <w:link w:val="afffffffffffffff5"/>
    <w:unhideWhenUsed/>
    <w:qFormat/>
    <w:rPr>
      <w:rFonts w:hint="default"/>
      <w:sz w:val="24"/>
      <w:szCs w:val="24"/>
    </w:rPr>
  </w:style>
  <w:style w:type="character" w:customStyle="1" w:styleId="StyleHeading1LeftBefore05lineChar">
    <w:name w:val="Style Heading 1 + Left Before:  0.5 line Char"/>
    <w:link w:val="StyleHeading1LeftBefore05line"/>
    <w:unhideWhenUsed/>
    <w:qFormat/>
    <w:rPr>
      <w:rFonts w:ascii="Arial" w:hint="default"/>
      <w:kern w:val="44"/>
      <w:sz w:val="24"/>
      <w:szCs w:val="24"/>
    </w:rPr>
  </w:style>
  <w:style w:type="character" w:customStyle="1" w:styleId="Char2a">
    <w:name w:val="表文字 Char2"/>
    <w:unhideWhenUsed/>
    <w:qFormat/>
    <w:rPr>
      <w:rFonts w:eastAsia="宋体" w:hint="default"/>
      <w:kern w:val="2"/>
      <w:sz w:val="21"/>
      <w:szCs w:val="24"/>
      <w:lang w:val="en-US" w:eastAsia="zh-CN"/>
    </w:rPr>
  </w:style>
  <w:style w:type="character" w:customStyle="1" w:styleId="2TimesNewRomanChar">
    <w:name w:val="正文首行缩进 2 + Times New Roman Char"/>
    <w:link w:val="2TimesNewRoman0"/>
    <w:unhideWhenUsed/>
    <w:qFormat/>
    <w:rPr>
      <w:rFonts w:ascii="宋体" w:eastAsia="宋体" w:hint="eastAsia"/>
      <w:color w:val="000000"/>
      <w:sz w:val="18"/>
      <w:szCs w:val="24"/>
    </w:rPr>
  </w:style>
  <w:style w:type="character" w:customStyle="1" w:styleId="affffffffffffffffffffffffa">
    <w:name w:val="表格备注"/>
    <w:unhideWhenUsed/>
    <w:qFormat/>
    <w:rPr>
      <w:rFonts w:ascii="华文楷体" w:eastAsia="楷体_GB2312" w:hAnsi="华文楷体" w:hint="eastAsia"/>
      <w:sz w:val="21"/>
      <w:szCs w:val="24"/>
    </w:rPr>
  </w:style>
  <w:style w:type="character" w:customStyle="1" w:styleId="XFootNote">
    <w:name w:val="XFootNote"/>
    <w:unhideWhenUsed/>
    <w:qFormat/>
    <w:rPr>
      <w:rFonts w:ascii="Book Antiqua" w:hint="default"/>
      <w:position w:val="6"/>
      <w:sz w:val="14"/>
      <w:szCs w:val="24"/>
    </w:rPr>
  </w:style>
  <w:style w:type="character" w:customStyle="1" w:styleId="XFootNoteText">
    <w:name w:val="XFootNoteText"/>
    <w:unhideWhenUsed/>
    <w:qFormat/>
    <w:rPr>
      <w:rFonts w:ascii="Book Antiqua" w:hint="default"/>
      <w:sz w:val="14"/>
      <w:szCs w:val="24"/>
    </w:rPr>
  </w:style>
  <w:style w:type="character" w:customStyle="1" w:styleId="HTMLb">
    <w:name w:val="HTML 地址 字符"/>
    <w:basedOn w:val="a6"/>
    <w:uiPriority w:val="99"/>
    <w:unhideWhenUsed/>
    <w:qFormat/>
    <w:rPr>
      <w:rFonts w:cs="Times New Roman" w:hint="default"/>
      <w:i/>
      <w:kern w:val="2"/>
      <w:sz w:val="24"/>
      <w:szCs w:val="24"/>
    </w:rPr>
  </w:style>
  <w:style w:type="character" w:customStyle="1" w:styleId="HTMLChar">
    <w:name w:val="HTML 地址 Char"/>
    <w:link w:val="HTML"/>
    <w:unhideWhenUsed/>
    <w:qFormat/>
    <w:rPr>
      <w:rFonts w:hint="default"/>
      <w:i/>
      <w:kern w:val="2"/>
      <w:sz w:val="24"/>
      <w:szCs w:val="24"/>
    </w:rPr>
  </w:style>
  <w:style w:type="character" w:customStyle="1" w:styleId="affffffffffffffffffffffffb">
    <w:name w:val="电子邮件签名 字符"/>
    <w:basedOn w:val="a6"/>
    <w:uiPriority w:val="99"/>
    <w:unhideWhenUsed/>
    <w:qFormat/>
    <w:rPr>
      <w:rFonts w:cs="Times New Roman" w:hint="default"/>
      <w:kern w:val="2"/>
      <w:sz w:val="24"/>
      <w:szCs w:val="24"/>
    </w:rPr>
  </w:style>
  <w:style w:type="character" w:customStyle="1" w:styleId="Char0">
    <w:name w:val="电子邮件签名 Char"/>
    <w:link w:val="ab"/>
    <w:unhideWhenUsed/>
    <w:qFormat/>
    <w:rPr>
      <w:rFonts w:hint="default"/>
      <w:kern w:val="2"/>
      <w:sz w:val="24"/>
      <w:szCs w:val="24"/>
    </w:rPr>
  </w:style>
  <w:style w:type="character" w:customStyle="1" w:styleId="affffffffffffffffffffffffc">
    <w:name w:val="签名 字符"/>
    <w:basedOn w:val="a6"/>
    <w:uiPriority w:val="99"/>
    <w:unhideWhenUsed/>
    <w:qFormat/>
    <w:rPr>
      <w:rFonts w:cs="Times New Roman" w:hint="default"/>
      <w:kern w:val="2"/>
      <w:sz w:val="24"/>
      <w:szCs w:val="24"/>
    </w:rPr>
  </w:style>
  <w:style w:type="character" w:customStyle="1" w:styleId="Chara">
    <w:name w:val="签名 Char"/>
    <w:link w:val="afd"/>
    <w:unhideWhenUsed/>
    <w:qFormat/>
    <w:rPr>
      <w:rFonts w:hint="default"/>
      <w:kern w:val="2"/>
      <w:sz w:val="24"/>
      <w:szCs w:val="24"/>
    </w:rPr>
  </w:style>
  <w:style w:type="character" w:customStyle="1" w:styleId="affffffffffffffffffffffffd">
    <w:name w:val="信息标题 字符"/>
    <w:basedOn w:val="a6"/>
    <w:uiPriority w:val="99"/>
    <w:unhideWhenUsed/>
    <w:qFormat/>
    <w:rPr>
      <w:rFonts w:ascii="Calibri Light" w:eastAsia="宋体" w:hAnsi="Calibri Light" w:cs="Times New Roman" w:hint="eastAsia"/>
      <w:kern w:val="2"/>
      <w:sz w:val="24"/>
      <w:szCs w:val="24"/>
      <w:shd w:val="pct20" w:color="auto" w:fill="auto"/>
    </w:rPr>
  </w:style>
  <w:style w:type="character" w:customStyle="1" w:styleId="Chard">
    <w:name w:val="信息标题 Char"/>
    <w:link w:val="aff3"/>
    <w:unhideWhenUsed/>
    <w:qFormat/>
    <w:rPr>
      <w:rFonts w:ascii="Arial" w:hint="default"/>
      <w:kern w:val="2"/>
      <w:sz w:val="24"/>
      <w:szCs w:val="24"/>
      <w:shd w:val="pct20" w:color="auto" w:fill="auto"/>
    </w:rPr>
  </w:style>
  <w:style w:type="character" w:customStyle="1" w:styleId="Charffff0">
    <w:name w:val="小四正文 Char"/>
    <w:link w:val="afffffffffffffffc"/>
    <w:unhideWhenUsed/>
    <w:qFormat/>
    <w:rPr>
      <w:rFonts w:hint="default"/>
      <w:kern w:val="2"/>
      <w:sz w:val="24"/>
      <w:szCs w:val="24"/>
    </w:rPr>
  </w:style>
  <w:style w:type="character" w:customStyle="1" w:styleId="Charffff1">
    <w:name w:val="论文正文文字 Char"/>
    <w:link w:val="afffffffffffffffd"/>
    <w:unhideWhenUsed/>
    <w:qFormat/>
    <w:rPr>
      <w:rFonts w:hint="default"/>
      <w:sz w:val="24"/>
      <w:szCs w:val="24"/>
    </w:rPr>
  </w:style>
  <w:style w:type="character" w:customStyle="1" w:styleId="1fffff0">
    <w:name w:val="文本块 字符1"/>
    <w:unhideWhenUsed/>
    <w:qFormat/>
    <w:rPr>
      <w:rFonts w:hint="default"/>
      <w:spacing w:val="26"/>
      <w:kern w:val="2"/>
      <w:sz w:val="28"/>
      <w:szCs w:val="24"/>
    </w:rPr>
  </w:style>
  <w:style w:type="character" w:customStyle="1" w:styleId="cn1">
    <w:name w:val="cn1"/>
    <w:unhideWhenUsed/>
    <w:qFormat/>
    <w:rPr>
      <w:rFonts w:hint="default"/>
      <w:spacing w:val="360"/>
      <w:sz w:val="21"/>
      <w:szCs w:val="24"/>
    </w:rPr>
  </w:style>
  <w:style w:type="character" w:customStyle="1" w:styleId="21f">
    <w:name w:val="题注 字符21"/>
    <w:unhideWhenUsed/>
    <w:qFormat/>
    <w:rPr>
      <w:rFonts w:ascii="Arial" w:eastAsia="黑体" w:hAnsi="Arial" w:hint="eastAsia"/>
      <w:kern w:val="2"/>
      <w:sz w:val="24"/>
      <w:szCs w:val="24"/>
    </w:rPr>
  </w:style>
  <w:style w:type="character" w:customStyle="1" w:styleId="CharChar1b">
    <w:name w:val="正文文字 Char Char1"/>
    <w:unhideWhenUsed/>
    <w:qFormat/>
    <w:rPr>
      <w:rFonts w:eastAsia="宋体" w:hint="default"/>
      <w:kern w:val="2"/>
      <w:sz w:val="24"/>
      <w:szCs w:val="24"/>
      <w:lang w:val="en-US" w:eastAsia="zh-CN"/>
    </w:rPr>
  </w:style>
  <w:style w:type="character" w:customStyle="1" w:styleId="Char1CharChar3">
    <w:name w:val="正文首行缩进 Char1 Char Char3"/>
    <w:unhideWhenUsed/>
    <w:qFormat/>
    <w:rPr>
      <w:rFonts w:eastAsia="宋体" w:hint="default"/>
      <w:kern w:val="2"/>
      <w:sz w:val="24"/>
      <w:szCs w:val="24"/>
      <w:lang w:val="en-US" w:eastAsia="zh-CN"/>
    </w:rPr>
  </w:style>
  <w:style w:type="character" w:customStyle="1" w:styleId="1Chare">
    <w:name w:val="正文首行缩进1 Char"/>
    <w:unhideWhenUsed/>
    <w:qFormat/>
    <w:rPr>
      <w:rFonts w:eastAsia="宋体" w:hint="default"/>
      <w:snapToGrid w:val="0"/>
      <w:spacing w:val="10"/>
      <w:kern w:val="24"/>
      <w:sz w:val="28"/>
      <w:szCs w:val="24"/>
      <w:lang w:val="en-US" w:eastAsia="zh-CN"/>
    </w:rPr>
  </w:style>
  <w:style w:type="character" w:customStyle="1" w:styleId="CharChar1c">
    <w:name w:val="正文首行缩进 Char Char1"/>
    <w:unhideWhenUsed/>
    <w:qFormat/>
    <w:rPr>
      <w:rFonts w:eastAsia="宋体" w:hint="default"/>
      <w:kern w:val="2"/>
      <w:sz w:val="21"/>
      <w:szCs w:val="24"/>
      <w:lang w:val="en-US" w:eastAsia="zh-CN"/>
    </w:rPr>
  </w:style>
  <w:style w:type="character" w:customStyle="1" w:styleId="2ffff">
    <w:name w:val="小标题2"/>
    <w:unhideWhenUsed/>
    <w:qFormat/>
    <w:rPr>
      <w:rFonts w:eastAsia="宋体" w:hint="default"/>
      <w:b/>
      <w:snapToGrid w:val="0"/>
      <w:color w:val="000000"/>
      <w:kern w:val="24"/>
      <w:sz w:val="24"/>
      <w:szCs w:val="24"/>
      <w:lang w:val="en-US" w:eastAsia="zh-CN"/>
    </w:rPr>
  </w:style>
  <w:style w:type="character" w:customStyle="1" w:styleId="Char1CharChar">
    <w:name w:val="正文首行缩进 Char1 Char Char"/>
    <w:unhideWhenUsed/>
    <w:qFormat/>
    <w:rPr>
      <w:rFonts w:ascii="宋体" w:eastAsia="宋体" w:hint="eastAsia"/>
      <w:kern w:val="2"/>
      <w:sz w:val="28"/>
      <w:szCs w:val="24"/>
      <w:lang w:val="en-US" w:eastAsia="zh-CN"/>
    </w:rPr>
  </w:style>
  <w:style w:type="character" w:customStyle="1" w:styleId="3Char1Char">
    <w:name w:val="标题 3 Char1 Char"/>
    <w:unhideWhenUsed/>
    <w:qFormat/>
    <w:rPr>
      <w:rFonts w:ascii="黑体" w:eastAsia="黑体" w:hint="eastAsia"/>
      <w:b/>
      <w:kern w:val="2"/>
      <w:sz w:val="21"/>
      <w:szCs w:val="24"/>
      <w:lang w:val="en-US" w:eastAsia="zh-CN"/>
    </w:rPr>
  </w:style>
  <w:style w:type="character" w:customStyle="1" w:styleId="Hyperlink1">
    <w:name w:val="Hyperlink1"/>
    <w:unhideWhenUsed/>
    <w:qFormat/>
    <w:rPr>
      <w:rFonts w:hint="default"/>
      <w:color w:val="0000FF"/>
      <w:sz w:val="24"/>
      <w:szCs w:val="24"/>
      <w:u w:val="single"/>
    </w:rPr>
  </w:style>
  <w:style w:type="character" w:customStyle="1" w:styleId="c10">
    <w:name w:val="c1"/>
    <w:unhideWhenUsed/>
    <w:qFormat/>
    <w:rPr>
      <w:rFonts w:hint="default"/>
      <w:sz w:val="28"/>
      <w:szCs w:val="24"/>
    </w:rPr>
  </w:style>
  <w:style w:type="character" w:customStyle="1" w:styleId="fieldlabel1">
    <w:name w:val="fieldlabel1"/>
    <w:unhideWhenUsed/>
    <w:qFormat/>
    <w:rPr>
      <w:rFonts w:ascii="Verdana" w:hint="default"/>
      <w:b/>
      <w:color w:val="000000"/>
      <w:sz w:val="24"/>
      <w:szCs w:val="24"/>
    </w:rPr>
  </w:style>
  <w:style w:type="character" w:customStyle="1" w:styleId="fieldcontents1">
    <w:name w:val="fieldcontents1"/>
    <w:unhideWhenUsed/>
    <w:qFormat/>
    <w:rPr>
      <w:rFonts w:ascii="Verdana" w:hint="default"/>
      <w:color w:val="000000"/>
      <w:sz w:val="24"/>
      <w:szCs w:val="24"/>
    </w:rPr>
  </w:style>
  <w:style w:type="character" w:customStyle="1" w:styleId="CharCharCharCharChar4">
    <w:name w:val="题注 Char Char Char Char Char"/>
    <w:unhideWhenUsed/>
    <w:qFormat/>
    <w:rPr>
      <w:rFonts w:ascii="Arial" w:eastAsia="黑体" w:hAnsi="Arial" w:hint="eastAsia"/>
      <w:kern w:val="2"/>
      <w:sz w:val="24"/>
      <w:szCs w:val="24"/>
      <w:lang w:val="en-US" w:eastAsia="zh-CN"/>
    </w:rPr>
  </w:style>
  <w:style w:type="character" w:customStyle="1" w:styleId="Charffffffc">
    <w:name w:val="样式 题注 + (中文) 黑体 加粗 Char"/>
    <w:unhideWhenUsed/>
    <w:qFormat/>
    <w:rPr>
      <w:rFonts w:ascii="Arial" w:eastAsia="宋体" w:hAnsi="Arial" w:hint="eastAsia"/>
      <w:b/>
      <w:kern w:val="2"/>
      <w:sz w:val="24"/>
      <w:szCs w:val="24"/>
      <w:lang w:val="en-US" w:eastAsia="zh-CN"/>
    </w:rPr>
  </w:style>
  <w:style w:type="character" w:customStyle="1" w:styleId="Charffffffd">
    <w:name w:val="样式 题注 + (中文) 黑体 Char"/>
    <w:unhideWhenUsed/>
    <w:qFormat/>
    <w:rPr>
      <w:rFonts w:ascii="Arial" w:eastAsia="宋体" w:hAnsi="Arial" w:hint="eastAsia"/>
      <w:kern w:val="2"/>
      <w:sz w:val="24"/>
      <w:szCs w:val="24"/>
      <w:lang w:val="en-US" w:eastAsia="zh-CN"/>
    </w:rPr>
  </w:style>
  <w:style w:type="character" w:customStyle="1" w:styleId="yangshi-h41">
    <w:name w:val="yangshi-h41"/>
    <w:unhideWhenUsed/>
    <w:qFormat/>
    <w:rPr>
      <w:rFonts w:ascii="黑体" w:eastAsia="黑体" w:hint="eastAsia"/>
      <w:b/>
      <w:color w:val="000000"/>
      <w:sz w:val="24"/>
      <w:szCs w:val="24"/>
    </w:rPr>
  </w:style>
  <w:style w:type="character" w:customStyle="1" w:styleId="Char1CharCharChar10">
    <w:name w:val="正文缩进 Char1 Char Char Char1"/>
    <w:unhideWhenUsed/>
    <w:qFormat/>
    <w:rPr>
      <w:rFonts w:eastAsia="宋体" w:hint="default"/>
      <w:sz w:val="24"/>
      <w:szCs w:val="24"/>
      <w:lang w:val="en-US" w:eastAsia="zh-CN"/>
    </w:rPr>
  </w:style>
  <w:style w:type="character" w:customStyle="1" w:styleId="3CharCharCharCharChar">
    <w:name w:val="样式3 Char Char Char Char Char"/>
    <w:unhideWhenUsed/>
    <w:qFormat/>
    <w:rPr>
      <w:rFonts w:eastAsia="宋体" w:hint="default"/>
      <w:sz w:val="24"/>
      <w:szCs w:val="24"/>
      <w:lang w:val="en-US" w:eastAsia="zh-CN"/>
    </w:rPr>
  </w:style>
  <w:style w:type="character" w:customStyle="1" w:styleId="3CharCharCharCharCharChar">
    <w:name w:val="样式3 Char Char Char Char Char Char"/>
    <w:unhideWhenUsed/>
    <w:qFormat/>
    <w:rPr>
      <w:rFonts w:eastAsia="宋体" w:hint="default"/>
      <w:sz w:val="24"/>
      <w:szCs w:val="24"/>
      <w:lang w:val="en-US" w:eastAsia="zh-CN"/>
    </w:rPr>
  </w:style>
  <w:style w:type="character" w:customStyle="1" w:styleId="2CharCharChar0">
    <w:name w:val="样式2 Char Char Char"/>
    <w:unhideWhenUsed/>
    <w:qFormat/>
    <w:rPr>
      <w:rFonts w:eastAsia="宋体" w:hint="default"/>
      <w:sz w:val="24"/>
      <w:szCs w:val="24"/>
      <w:lang w:val="en-US" w:eastAsia="zh-CN"/>
    </w:rPr>
  </w:style>
  <w:style w:type="character" w:customStyle="1" w:styleId="CharCharCharCharCharCharCharCharCharCharCharCharCharCharCharCharCharChar0">
    <w:name w:val="样式 Char Char Char Char Char Char Char Char Char Char Char Char Char Char Char Char Char Char"/>
    <w:unhideWhenUsed/>
    <w:qFormat/>
    <w:rPr>
      <w:rFonts w:eastAsia="宋体" w:hint="default"/>
      <w:sz w:val="24"/>
      <w:szCs w:val="24"/>
      <w:lang w:val="en-US" w:eastAsia="zh-CN"/>
    </w:rPr>
  </w:style>
  <w:style w:type="character" w:customStyle="1" w:styleId="2CharChar8">
    <w:name w:val="样式2 Char Char"/>
    <w:unhideWhenUsed/>
    <w:qFormat/>
    <w:rPr>
      <w:rFonts w:eastAsia="宋体" w:hint="default"/>
      <w:kern w:val="2"/>
      <w:sz w:val="24"/>
      <w:szCs w:val="24"/>
      <w:lang w:val="en-US" w:eastAsia="zh-CN"/>
    </w:rPr>
  </w:style>
  <w:style w:type="character" w:customStyle="1" w:styleId="3CharCharCharChar">
    <w:name w:val="样式3 Char Char Char Char"/>
    <w:unhideWhenUsed/>
    <w:qFormat/>
    <w:rPr>
      <w:rFonts w:eastAsia="宋体" w:hint="default"/>
      <w:sz w:val="24"/>
      <w:szCs w:val="24"/>
      <w:lang w:val="en-US" w:eastAsia="zh-CN"/>
    </w:rPr>
  </w:style>
  <w:style w:type="character" w:customStyle="1" w:styleId="CharCharCharCharCharCharCharCharCharCharCharCharCharCharCharCharChar1">
    <w:name w:val="样式 Char Char Char Char Char Char Char Char Char Char Char Char Char Char Char Char Char1"/>
    <w:unhideWhenUsed/>
    <w:qFormat/>
    <w:rPr>
      <w:rFonts w:eastAsia="宋体" w:hint="default"/>
      <w:kern w:val="2"/>
      <w:sz w:val="24"/>
      <w:szCs w:val="24"/>
      <w:lang w:val="en-US" w:eastAsia="zh-CN"/>
    </w:rPr>
  </w:style>
  <w:style w:type="character" w:customStyle="1" w:styleId="022">
    <w:name w:val="样式 紧缩量  0.2 磅"/>
    <w:unhideWhenUsed/>
    <w:qFormat/>
    <w:rPr>
      <w:rFonts w:hint="default"/>
      <w:spacing w:val="-4"/>
      <w:sz w:val="24"/>
      <w:szCs w:val="24"/>
    </w:rPr>
  </w:style>
  <w:style w:type="character" w:customStyle="1" w:styleId="Small">
    <w:name w:val="Small"/>
    <w:unhideWhenUsed/>
    <w:qFormat/>
    <w:rPr>
      <w:rFonts w:ascii="Book Antiqua" w:hint="default"/>
      <w:b/>
      <w:i/>
      <w:smallCaps/>
      <w:sz w:val="18"/>
      <w:szCs w:val="24"/>
    </w:rPr>
  </w:style>
  <w:style w:type="character" w:customStyle="1" w:styleId="Charffff2">
    <w:name w:val="样式 正文首行缩进 + 黑色 Char"/>
    <w:link w:val="afffffffffffffffff6"/>
    <w:unhideWhenUsed/>
    <w:qFormat/>
    <w:rPr>
      <w:rFonts w:hint="default"/>
      <w:color w:val="000000"/>
      <w:sz w:val="24"/>
      <w:szCs w:val="24"/>
    </w:rPr>
  </w:style>
  <w:style w:type="character" w:customStyle="1" w:styleId="Charffff3">
    <w:name w:val="中远正文 Char"/>
    <w:link w:val="afffffffffffffffff7"/>
    <w:unhideWhenUsed/>
    <w:qFormat/>
    <w:rPr>
      <w:rFonts w:hint="default"/>
      <w:kern w:val="24"/>
      <w:sz w:val="24"/>
      <w:szCs w:val="24"/>
    </w:rPr>
  </w:style>
  <w:style w:type="character" w:customStyle="1" w:styleId="Charffff4">
    <w:name w:val="表格题注 Char"/>
    <w:link w:val="afffffffffffffffff8"/>
    <w:unhideWhenUsed/>
    <w:qFormat/>
    <w:rPr>
      <w:rFonts w:hint="default"/>
      <w:b/>
      <w:kern w:val="24"/>
      <w:sz w:val="21"/>
      <w:szCs w:val="24"/>
    </w:rPr>
  </w:style>
  <w:style w:type="character" w:customStyle="1" w:styleId="Charffff5">
    <w:name w:val="表中文字居中 Char"/>
    <w:link w:val="afffffffffffffffff9"/>
    <w:unhideWhenUsed/>
    <w:qFormat/>
    <w:rPr>
      <w:rFonts w:ascii="宋体" w:eastAsia="宋体" w:hint="eastAsia"/>
      <w:kern w:val="2"/>
      <w:sz w:val="24"/>
      <w:szCs w:val="24"/>
      <w:shd w:val="clear" w:color="auto" w:fill="FFFFFF"/>
    </w:rPr>
  </w:style>
  <w:style w:type="character" w:customStyle="1" w:styleId="Charffff6">
    <w:name w:val="燕山正文 Char"/>
    <w:link w:val="afffffffffffffffffa"/>
    <w:unhideWhenUsed/>
    <w:qFormat/>
    <w:rPr>
      <w:rFonts w:ascii="宋体" w:eastAsia="宋体" w:hint="eastAsia"/>
      <w:color w:val="000000"/>
      <w:kern w:val="2"/>
      <w:sz w:val="28"/>
      <w:szCs w:val="24"/>
    </w:rPr>
  </w:style>
  <w:style w:type="character" w:customStyle="1" w:styleId="4Char3">
    <w:name w:val="4级样式 Char"/>
    <w:link w:val="41"/>
    <w:unhideWhenUsed/>
    <w:qFormat/>
    <w:rPr>
      <w:rFonts w:ascii="Arial" w:eastAsia="黑体" w:hAnsi="Arial" w:hint="eastAsia"/>
      <w:color w:val="339966"/>
      <w:kern w:val="2"/>
      <w:sz w:val="24"/>
      <w:szCs w:val="24"/>
    </w:rPr>
  </w:style>
  <w:style w:type="character" w:customStyle="1" w:styleId="Char1CharChar2">
    <w:name w:val="正文首行缩进 Char1 Char Char2"/>
    <w:unhideWhenUsed/>
    <w:qFormat/>
    <w:rPr>
      <w:rFonts w:eastAsia="宋体" w:hint="default"/>
      <w:kern w:val="2"/>
      <w:sz w:val="24"/>
      <w:szCs w:val="24"/>
      <w:lang w:val="en-US" w:eastAsia="zh-CN"/>
    </w:rPr>
  </w:style>
  <w:style w:type="character" w:customStyle="1" w:styleId="Charffff7">
    <w:name w:val="段落文字 Char"/>
    <w:link w:val="affffffffffffffffff6"/>
    <w:unhideWhenUsed/>
    <w:qFormat/>
    <w:rPr>
      <w:rFonts w:hint="default"/>
      <w:sz w:val="24"/>
      <w:szCs w:val="24"/>
    </w:rPr>
  </w:style>
  <w:style w:type="character" w:customStyle="1" w:styleId="Charffff8">
    <w:name w:val="四号 正文 Char"/>
    <w:link w:val="affffffffffffffffff8"/>
    <w:unhideWhenUsed/>
    <w:qFormat/>
    <w:rPr>
      <w:rFonts w:hint="default"/>
      <w:spacing w:val="6"/>
      <w:kern w:val="2"/>
      <w:sz w:val="28"/>
      <w:szCs w:val="24"/>
    </w:rPr>
  </w:style>
  <w:style w:type="character" w:customStyle="1" w:styleId="4Char4">
    <w:name w:val="表小4 Char"/>
    <w:link w:val="4f5"/>
    <w:unhideWhenUsed/>
    <w:qFormat/>
    <w:rPr>
      <w:rFonts w:ascii="宋体" w:eastAsia="宋体" w:hint="eastAsia"/>
      <w:sz w:val="21"/>
      <w:szCs w:val="24"/>
    </w:rPr>
  </w:style>
  <w:style w:type="character" w:customStyle="1" w:styleId="13Char">
    <w:name w:val="正文小四首缩1.3行距 Char"/>
    <w:link w:val="134"/>
    <w:unhideWhenUsed/>
    <w:qFormat/>
    <w:rPr>
      <w:rFonts w:hint="default"/>
      <w:kern w:val="2"/>
      <w:sz w:val="24"/>
      <w:szCs w:val="24"/>
    </w:rPr>
  </w:style>
  <w:style w:type="character" w:customStyle="1" w:styleId="CharCharf9">
    <w:name w:val="实德题注 Char Char"/>
    <w:unhideWhenUsed/>
    <w:qFormat/>
    <w:rPr>
      <w:rFonts w:eastAsia="宋体" w:hint="default"/>
      <w:b/>
      <w:kern w:val="2"/>
      <w:sz w:val="24"/>
      <w:szCs w:val="24"/>
      <w:lang w:val="en-US" w:eastAsia="zh-CN"/>
    </w:rPr>
  </w:style>
  <w:style w:type="character" w:customStyle="1" w:styleId="content1">
    <w:name w:val="content1"/>
    <w:unhideWhenUsed/>
    <w:qFormat/>
    <w:rPr>
      <w:rFonts w:ascii="宋体" w:eastAsia="宋体" w:hAnsi="宋体" w:hint="eastAsia"/>
      <w:color w:val="333333"/>
      <w:sz w:val="21"/>
      <w:szCs w:val="24"/>
    </w:rPr>
  </w:style>
  <w:style w:type="character" w:customStyle="1" w:styleId="content">
    <w:name w:val="content"/>
    <w:basedOn w:val="a6"/>
    <w:unhideWhenUsed/>
    <w:qFormat/>
    <w:rPr>
      <w:rFonts w:cs="Times New Roman" w:hint="default"/>
      <w:sz w:val="24"/>
      <w:szCs w:val="24"/>
    </w:rPr>
  </w:style>
  <w:style w:type="character" w:customStyle="1" w:styleId="Char2b">
    <w:name w:val="报告正文 Char2"/>
    <w:unhideWhenUsed/>
    <w:qFormat/>
    <w:rPr>
      <w:rFonts w:eastAsia="仿宋_GB2312" w:hint="default"/>
      <w:kern w:val="2"/>
      <w:sz w:val="24"/>
      <w:szCs w:val="24"/>
      <w:lang w:val="en-US" w:eastAsia="zh-CN"/>
    </w:rPr>
  </w:style>
  <w:style w:type="character" w:customStyle="1" w:styleId="zwb-Char">
    <w:name w:val="zwb-正文 Char"/>
    <w:link w:val="zwb-"/>
    <w:unhideWhenUsed/>
    <w:qFormat/>
    <w:rPr>
      <w:rFonts w:hint="default"/>
      <w:kern w:val="2"/>
      <w:sz w:val="24"/>
      <w:szCs w:val="24"/>
    </w:rPr>
  </w:style>
  <w:style w:type="character" w:customStyle="1" w:styleId="3CharChar2">
    <w:name w:val="标题3 Char Char"/>
    <w:unhideWhenUsed/>
    <w:qFormat/>
    <w:rPr>
      <w:rFonts w:eastAsia="宋体" w:hint="default"/>
      <w:b/>
      <w:kern w:val="2"/>
      <w:sz w:val="32"/>
      <w:szCs w:val="24"/>
      <w:lang w:val="en-US" w:eastAsia="zh-CN"/>
    </w:rPr>
  </w:style>
  <w:style w:type="character" w:customStyle="1" w:styleId="headline-content2">
    <w:name w:val="headline-content2"/>
    <w:basedOn w:val="a6"/>
    <w:unhideWhenUsed/>
    <w:qFormat/>
    <w:rPr>
      <w:rFonts w:cs="Times New Roman" w:hint="default"/>
      <w:sz w:val="24"/>
      <w:szCs w:val="24"/>
    </w:rPr>
  </w:style>
  <w:style w:type="character" w:customStyle="1" w:styleId="CharCharChar10">
    <w:name w:val="页眉 Char Char Char1"/>
    <w:unhideWhenUsed/>
    <w:qFormat/>
    <w:rPr>
      <w:rFonts w:eastAsia="宋体" w:hint="default"/>
      <w:kern w:val="2"/>
      <w:sz w:val="18"/>
      <w:szCs w:val="24"/>
      <w:lang w:val="en-US" w:eastAsia="zh-CN"/>
    </w:rPr>
  </w:style>
  <w:style w:type="character" w:customStyle="1" w:styleId="CharCharfa">
    <w:name w:val="表注 Char Char"/>
    <w:unhideWhenUsed/>
    <w:qFormat/>
    <w:rPr>
      <w:rFonts w:ascii="Calibri" w:eastAsia="宋体" w:hAnsi="Calibri" w:hint="eastAsia"/>
      <w:kern w:val="32"/>
      <w:sz w:val="24"/>
      <w:szCs w:val="24"/>
      <w:lang w:val="en-US" w:eastAsia="en-US"/>
    </w:rPr>
  </w:style>
  <w:style w:type="character" w:customStyle="1" w:styleId="CharCharfb">
    <w:name w:val="表后标题 Char Char"/>
    <w:unhideWhenUsed/>
    <w:qFormat/>
    <w:rPr>
      <w:rFonts w:eastAsia="宋体" w:hAnsi="宋体" w:hint="default"/>
      <w:b/>
      <w:kern w:val="2"/>
      <w:sz w:val="21"/>
      <w:szCs w:val="24"/>
      <w:lang w:val="en-US" w:eastAsia="zh-CN"/>
    </w:rPr>
  </w:style>
  <w:style w:type="character" w:customStyle="1" w:styleId="CharCharfc">
    <w:name w:val="准 表头 Char Char"/>
    <w:unhideWhenUsed/>
    <w:qFormat/>
    <w:rPr>
      <w:rFonts w:eastAsia="黑体" w:hint="default"/>
      <w:sz w:val="21"/>
      <w:szCs w:val="24"/>
    </w:rPr>
  </w:style>
  <w:style w:type="character" w:customStyle="1" w:styleId="CharCharChar6">
    <w:name w:val="样式  Char + 宋体 小四 Char Char"/>
    <w:unhideWhenUsed/>
    <w:qFormat/>
    <w:rPr>
      <w:rFonts w:ascii="宋体" w:eastAsia="宋体" w:hAnsi="宋体" w:hint="eastAsia"/>
      <w:sz w:val="24"/>
      <w:szCs w:val="24"/>
      <w:lang w:val="en-US" w:eastAsia="zh-CN"/>
    </w:rPr>
  </w:style>
  <w:style w:type="character" w:customStyle="1" w:styleId="TableFigureCaptionCharChar">
    <w:name w:val="Table Figure Caption Char Char"/>
    <w:unhideWhenUsed/>
    <w:qFormat/>
    <w:rPr>
      <w:rFonts w:hint="default"/>
      <w:kern w:val="2"/>
      <w:sz w:val="24"/>
      <w:szCs w:val="24"/>
    </w:rPr>
  </w:style>
  <w:style w:type="character" w:customStyle="1" w:styleId="CharCharfd">
    <w:name w:val="样式 样式 表格 + (符号) 宋体 五号 居中 + 小五 Char Char"/>
    <w:unhideWhenUsed/>
    <w:qFormat/>
    <w:rPr>
      <w:rFonts w:eastAsia="宋体" w:hint="default"/>
      <w:sz w:val="21"/>
      <w:szCs w:val="24"/>
      <w:lang w:val="en-US" w:eastAsia="zh-CN"/>
    </w:rPr>
  </w:style>
  <w:style w:type="character" w:customStyle="1" w:styleId="TimesNewRoman15CharChar">
    <w:name w:val="样式 Times New Roman 行距: 1.5 倍行距 Char Char"/>
    <w:unhideWhenUsed/>
    <w:qFormat/>
    <w:rPr>
      <w:rFonts w:eastAsia="宋体" w:hint="default"/>
      <w:kern w:val="24"/>
      <w:sz w:val="28"/>
      <w:szCs w:val="24"/>
      <w:lang w:val="en-US" w:eastAsia="zh-CN"/>
    </w:rPr>
  </w:style>
  <w:style w:type="character" w:customStyle="1" w:styleId="CharCharfe">
    <w:name w:val="陈表格中内容 Char Char"/>
    <w:unhideWhenUsed/>
    <w:qFormat/>
    <w:rPr>
      <w:rFonts w:ascii="宋体" w:eastAsia="宋体" w:hAnsi="宋体" w:hint="eastAsia"/>
      <w:spacing w:val="-6"/>
      <w:sz w:val="21"/>
      <w:szCs w:val="24"/>
      <w:lang w:val="en-US" w:eastAsia="zh-CN"/>
    </w:rPr>
  </w:style>
  <w:style w:type="character" w:customStyle="1" w:styleId="StyleCharChar">
    <w:name w:val="Style 正文文本 + Char Char"/>
    <w:unhideWhenUsed/>
    <w:qFormat/>
    <w:rPr>
      <w:rFonts w:hint="default"/>
      <w:sz w:val="24"/>
      <w:szCs w:val="24"/>
    </w:rPr>
  </w:style>
  <w:style w:type="character" w:customStyle="1" w:styleId="CharCharff">
    <w:name w:val="表 Char Char"/>
    <w:unhideWhenUsed/>
    <w:qFormat/>
    <w:rPr>
      <w:rFonts w:eastAsia="宋体" w:hint="default"/>
      <w:sz w:val="21"/>
      <w:szCs w:val="24"/>
      <w:lang w:val="en-US" w:eastAsia="zh-CN"/>
    </w:rPr>
  </w:style>
  <w:style w:type="character" w:customStyle="1" w:styleId="2CharChar9">
    <w:name w:val="分目录2 Char Char"/>
    <w:unhideWhenUsed/>
    <w:qFormat/>
    <w:rPr>
      <w:rFonts w:eastAsia="宋体" w:hint="default"/>
      <w:color w:val="000000"/>
      <w:kern w:val="2"/>
      <w:sz w:val="28"/>
      <w:szCs w:val="24"/>
      <w:lang w:val="en-US" w:eastAsia="zh-CN"/>
    </w:rPr>
  </w:style>
  <w:style w:type="character" w:customStyle="1" w:styleId="3CharChar3">
    <w:name w:val="样式 标题 3 + 黑体 小四 Char Char"/>
    <w:unhideWhenUsed/>
    <w:qFormat/>
    <w:rPr>
      <w:rFonts w:ascii="黑体" w:eastAsia="宋体" w:hAnsi="黑体" w:hint="eastAsia"/>
      <w:kern w:val="2"/>
      <w:sz w:val="24"/>
      <w:szCs w:val="24"/>
      <w:lang w:val="en-US" w:eastAsia="zh-CN"/>
    </w:rPr>
  </w:style>
  <w:style w:type="character" w:customStyle="1" w:styleId="1CharChar1">
    <w:name w:val="1正文段落 Char Char"/>
    <w:unhideWhenUsed/>
    <w:qFormat/>
    <w:rPr>
      <w:rFonts w:eastAsia="宋体" w:hint="default"/>
      <w:sz w:val="24"/>
      <w:szCs w:val="24"/>
      <w:lang w:val="en-US" w:eastAsia="zh-CN"/>
    </w:rPr>
  </w:style>
  <w:style w:type="character" w:customStyle="1" w:styleId="008CharChar">
    <w:name w:val="008 Char Char"/>
    <w:unhideWhenUsed/>
    <w:qFormat/>
    <w:rPr>
      <w:rFonts w:ascii="宋体" w:eastAsia="宋体" w:hAnsi="宋体" w:hint="eastAsia"/>
      <w:kern w:val="2"/>
      <w:sz w:val="28"/>
      <w:szCs w:val="24"/>
      <w:lang w:val="en-US" w:eastAsia="zh-CN"/>
    </w:rPr>
  </w:style>
  <w:style w:type="character" w:customStyle="1" w:styleId="CharCharff0">
    <w:name w:val="表标号 Char Char"/>
    <w:unhideWhenUsed/>
    <w:qFormat/>
    <w:rPr>
      <w:rFonts w:eastAsia="黑体" w:hint="default"/>
      <w:sz w:val="24"/>
      <w:szCs w:val="24"/>
      <w:lang w:val="en-US" w:eastAsia="zh-CN"/>
    </w:rPr>
  </w:style>
  <w:style w:type="character" w:customStyle="1" w:styleId="22CharChar0">
    <w:name w:val="准 正文 左侧:  2 字符 + 首行缩进:  2 字符 Char Char"/>
    <w:unhideWhenUsed/>
    <w:qFormat/>
    <w:rPr>
      <w:rFonts w:eastAsia="宋体" w:hint="default"/>
      <w:sz w:val="24"/>
      <w:szCs w:val="24"/>
    </w:rPr>
  </w:style>
  <w:style w:type="character" w:customStyle="1" w:styleId="5CharChar0">
    <w:name w:val="样式 样式5 + 宋体 Char Char"/>
    <w:unhideWhenUsed/>
    <w:qFormat/>
    <w:rPr>
      <w:rFonts w:eastAsia="宋体" w:hint="default"/>
      <w:b/>
      <w:kern w:val="2"/>
      <w:sz w:val="26"/>
      <w:szCs w:val="24"/>
      <w:lang w:val="en-US" w:eastAsia="zh-CN"/>
    </w:rPr>
  </w:style>
  <w:style w:type="character" w:customStyle="1" w:styleId="yCharChar">
    <w:name w:val="?y?? Char Char"/>
    <w:unhideWhenUsed/>
    <w:qFormat/>
    <w:rPr>
      <w:rFonts w:eastAsia="宋体" w:hint="default"/>
      <w:color w:val="000000"/>
      <w:sz w:val="21"/>
      <w:szCs w:val="24"/>
      <w:lang w:val="en-US" w:eastAsia="zh-CN"/>
    </w:rPr>
  </w:style>
  <w:style w:type="character" w:customStyle="1" w:styleId="LCharChar">
    <w:name w:val="L正文 Char Char"/>
    <w:unhideWhenUsed/>
    <w:qFormat/>
    <w:rPr>
      <w:rFonts w:eastAsia="宋体" w:hint="default"/>
      <w:sz w:val="26"/>
      <w:szCs w:val="24"/>
      <w:lang w:val="en-US" w:eastAsia="zh-CN"/>
    </w:rPr>
  </w:style>
  <w:style w:type="character" w:customStyle="1" w:styleId="1CharChar2">
    <w:name w:val="正文1 Char Char"/>
    <w:unhideWhenUsed/>
    <w:qFormat/>
    <w:rPr>
      <w:rFonts w:ascii="宋体" w:eastAsia="宋体" w:hint="eastAsia"/>
      <w:sz w:val="24"/>
      <w:szCs w:val="24"/>
      <w:lang w:val="en-US" w:eastAsia="zh-CN"/>
    </w:rPr>
  </w:style>
  <w:style w:type="character" w:customStyle="1" w:styleId="4CharChar2">
    <w:name w:val="样式4 Char Char"/>
    <w:unhideWhenUsed/>
    <w:qFormat/>
    <w:rPr>
      <w:rFonts w:ascii="宋体" w:eastAsia="宋体" w:hAnsi="宋体" w:hint="eastAsia"/>
      <w:color w:val="000000"/>
      <w:sz w:val="24"/>
      <w:szCs w:val="24"/>
      <w:lang w:val="en-US" w:eastAsia="zh-CN"/>
    </w:rPr>
  </w:style>
  <w:style w:type="character" w:customStyle="1" w:styleId="5CharChar1">
    <w:name w:val="样式5 Char Char"/>
    <w:unhideWhenUsed/>
    <w:qFormat/>
    <w:rPr>
      <w:rFonts w:ascii="宋体" w:eastAsia="宋体" w:hAnsi="宋体" w:hint="eastAsia"/>
      <w:sz w:val="24"/>
      <w:szCs w:val="24"/>
      <w:lang w:val="en-US" w:eastAsia="zh-CN"/>
    </w:rPr>
  </w:style>
  <w:style w:type="character" w:customStyle="1" w:styleId="CharCharff1">
    <w:name w:val="正文文本 Char Char"/>
    <w:unhideWhenUsed/>
    <w:qFormat/>
    <w:rPr>
      <w:rFonts w:eastAsia="宋体" w:hint="default"/>
      <w:b/>
      <w:kern w:val="2"/>
      <w:sz w:val="24"/>
      <w:szCs w:val="24"/>
      <w:lang w:val="en-US" w:eastAsia="zh-CN"/>
    </w:rPr>
  </w:style>
  <w:style w:type="character" w:customStyle="1" w:styleId="11b1111CharChar">
    <w:name w:val="样式 标题 1章标题 1章节标题b111标题 1 + 非加粗 自动设置 Char Char"/>
    <w:unhideWhenUsed/>
    <w:qFormat/>
    <w:rPr>
      <w:rFonts w:ascii="黑体" w:eastAsia="黑体" w:hAnsi="宋体" w:hint="eastAsia"/>
      <w:sz w:val="32"/>
      <w:szCs w:val="24"/>
      <w:lang w:val="en-US" w:eastAsia="zh-CN"/>
    </w:rPr>
  </w:style>
  <w:style w:type="character" w:customStyle="1" w:styleId="1CharChar3">
    <w:name w:val="样式1 Char Char"/>
    <w:unhideWhenUsed/>
    <w:qFormat/>
    <w:rPr>
      <w:rFonts w:eastAsia="宋体" w:hint="default"/>
      <w:b/>
      <w:kern w:val="2"/>
      <w:sz w:val="21"/>
      <w:szCs w:val="24"/>
      <w:lang w:val="en-US" w:eastAsia="zh-CN"/>
    </w:rPr>
  </w:style>
  <w:style w:type="character" w:customStyle="1" w:styleId="CharCharff2">
    <w:name w:val="陈表头文字 Char Char"/>
    <w:unhideWhenUsed/>
    <w:qFormat/>
    <w:rPr>
      <w:rFonts w:ascii="宋体" w:eastAsia="宋体" w:hAnsi="宋体" w:hint="eastAsia"/>
      <w:b/>
      <w:kern w:val="2"/>
      <w:sz w:val="24"/>
      <w:szCs w:val="24"/>
      <w:lang w:val="en-US" w:eastAsia="zh-CN"/>
    </w:rPr>
  </w:style>
  <w:style w:type="character" w:customStyle="1" w:styleId="yypCharChar">
    <w:name w:val="yyp Char Char"/>
    <w:unhideWhenUsed/>
    <w:qFormat/>
    <w:rPr>
      <w:rFonts w:eastAsia="宋体" w:hint="default"/>
      <w:kern w:val="2"/>
      <w:sz w:val="24"/>
      <w:szCs w:val="24"/>
    </w:rPr>
  </w:style>
  <w:style w:type="character" w:customStyle="1" w:styleId="CharCharff3">
    <w:name w:val="缩进 Char Char"/>
    <w:unhideWhenUsed/>
    <w:qFormat/>
    <w:rPr>
      <w:rFonts w:eastAsia="宋体" w:hint="default"/>
      <w:kern w:val="2"/>
      <w:sz w:val="24"/>
      <w:szCs w:val="24"/>
      <w:lang w:val="en-US" w:eastAsia="zh-CN"/>
    </w:rPr>
  </w:style>
  <w:style w:type="character" w:customStyle="1" w:styleId="5CharChar2">
    <w:name w:val="5级正文 Char Char"/>
    <w:unhideWhenUsed/>
    <w:qFormat/>
    <w:rPr>
      <w:rFonts w:eastAsia="宋体" w:hint="default"/>
      <w:b/>
      <w:kern w:val="2"/>
      <w:sz w:val="24"/>
      <w:szCs w:val="24"/>
      <w:lang w:val="en-US" w:eastAsia="zh-CN"/>
    </w:rPr>
  </w:style>
  <w:style w:type="character" w:customStyle="1" w:styleId="1CharChar4">
    <w:name w:val="分目录1 Char Char"/>
    <w:unhideWhenUsed/>
    <w:qFormat/>
    <w:rPr>
      <w:rFonts w:eastAsia="宋体" w:hint="default"/>
      <w:sz w:val="28"/>
      <w:szCs w:val="24"/>
    </w:rPr>
  </w:style>
  <w:style w:type="character" w:customStyle="1" w:styleId="CharCharff4">
    <w:name w:val="【图片】 Char Char"/>
    <w:unhideWhenUsed/>
    <w:qFormat/>
    <w:rPr>
      <w:rFonts w:ascii="宋体" w:eastAsia="宋体" w:hint="eastAsia"/>
      <w:kern w:val="2"/>
      <w:sz w:val="24"/>
      <w:szCs w:val="24"/>
      <w:lang w:val="en-US" w:eastAsia="zh-CN"/>
    </w:rPr>
  </w:style>
  <w:style w:type="character" w:customStyle="1" w:styleId="wwwwCharChar">
    <w:name w:val="wwww Char Char"/>
    <w:unhideWhenUsed/>
    <w:qFormat/>
    <w:rPr>
      <w:rFonts w:ascii="宋体" w:eastAsia="宋体" w:hint="eastAsia"/>
      <w:kern w:val="2"/>
      <w:sz w:val="28"/>
      <w:szCs w:val="24"/>
      <w:lang w:val="en-US" w:eastAsia="zh-CN"/>
    </w:rPr>
  </w:style>
  <w:style w:type="character" w:customStyle="1" w:styleId="TimesNewRomanCharChar">
    <w:name w:val="样式 (西文) Times New Roman (符号) 华文中宋 Char Char"/>
    <w:unhideWhenUsed/>
    <w:qFormat/>
    <w:rPr>
      <w:rFonts w:ascii="Calibri" w:eastAsia="华文中宋" w:hAnsi="华文中宋" w:hint="eastAsia"/>
      <w:sz w:val="24"/>
      <w:szCs w:val="24"/>
    </w:rPr>
  </w:style>
  <w:style w:type="character" w:customStyle="1" w:styleId="CharCharCharCharCharCharCharCharCharCharCharCharCharCharCharCharCharCharCharCharChar">
    <w:name w:val="Char Char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ff5">
    <w:name w:val="陈正文 Char Char"/>
    <w:unhideWhenUsed/>
    <w:qFormat/>
    <w:rPr>
      <w:rFonts w:ascii="宋体" w:eastAsia="宋体" w:hAnsi="宋体" w:hint="eastAsia"/>
      <w:kern w:val="2"/>
      <w:sz w:val="24"/>
      <w:szCs w:val="24"/>
      <w:lang w:val="en-US" w:eastAsia="zh-CN"/>
    </w:rPr>
  </w:style>
  <w:style w:type="character" w:customStyle="1" w:styleId="CharCharff6">
    <w:name w:val="新正文 Char Char"/>
    <w:unhideWhenUsed/>
    <w:qFormat/>
    <w:rPr>
      <w:rFonts w:ascii="宋体" w:eastAsia="宋体" w:hAnsi="宋体" w:hint="eastAsia"/>
      <w:color w:val="000000"/>
      <w:sz w:val="24"/>
      <w:szCs w:val="24"/>
      <w:lang w:val="en-US" w:eastAsia="zh-CN"/>
    </w:rPr>
  </w:style>
  <w:style w:type="character" w:customStyle="1" w:styleId="Arial2415CharChar">
    <w:name w:val="样式 Arial 小四 黑色 首行缩进:  24 磅 行距: 1.5 倍行距 Char Char"/>
    <w:unhideWhenUsed/>
    <w:qFormat/>
    <w:rPr>
      <w:rFonts w:ascii="Arial" w:eastAsia="宋体" w:hAnsi="Arial" w:hint="eastAsia"/>
      <w:color w:val="000000"/>
      <w:kern w:val="2"/>
      <w:sz w:val="24"/>
      <w:szCs w:val="24"/>
      <w:lang w:val="en-US" w:eastAsia="zh-CN"/>
    </w:rPr>
  </w:style>
  <w:style w:type="character" w:customStyle="1" w:styleId="8CharChar">
    <w:name w:val="样式8 Char Char"/>
    <w:unhideWhenUsed/>
    <w:qFormat/>
    <w:rPr>
      <w:rFonts w:ascii="宋体" w:eastAsia="宋体" w:hAnsi="新宋体" w:hint="eastAsia"/>
      <w:b/>
      <w:kern w:val="2"/>
      <w:sz w:val="24"/>
      <w:szCs w:val="24"/>
      <w:lang w:val="en-US" w:eastAsia="zh-CN"/>
    </w:rPr>
  </w:style>
  <w:style w:type="character" w:customStyle="1" w:styleId="6CharChar">
    <w:name w:val="样式6 Char Char"/>
    <w:unhideWhenUsed/>
    <w:qFormat/>
    <w:rPr>
      <w:rFonts w:ascii="宋体" w:eastAsia="宋体" w:hAnsi="宋体" w:hint="eastAsia"/>
      <w:b/>
      <w:color w:val="FF0000"/>
      <w:kern w:val="2"/>
      <w:sz w:val="24"/>
      <w:szCs w:val="24"/>
      <w:lang w:val="en-US" w:eastAsia="zh-CN"/>
    </w:rPr>
  </w:style>
  <w:style w:type="character" w:customStyle="1" w:styleId="7CharChar">
    <w:name w:val="样式7 Char Char"/>
    <w:unhideWhenUsed/>
    <w:qFormat/>
    <w:rPr>
      <w:rFonts w:eastAsia="宋体" w:hint="default"/>
      <w:kern w:val="2"/>
      <w:sz w:val="18"/>
      <w:szCs w:val="24"/>
      <w:lang w:val="en-US" w:eastAsia="zh-CN"/>
    </w:rPr>
  </w:style>
  <w:style w:type="character" w:customStyle="1" w:styleId="9CharChar">
    <w:name w:val="样式9 Char Char"/>
    <w:unhideWhenUsed/>
    <w:qFormat/>
    <w:rPr>
      <w:rFonts w:ascii="宋体" w:eastAsia="宋体" w:hAnsi="宋体" w:hint="eastAsia"/>
      <w:b/>
      <w:kern w:val="2"/>
      <w:sz w:val="18"/>
      <w:szCs w:val="24"/>
      <w:lang w:val="en-US" w:eastAsia="zh-CN"/>
    </w:rPr>
  </w:style>
  <w:style w:type="character" w:customStyle="1" w:styleId="CharCharff7">
    <w:name w:val="引用 Char Char"/>
    <w:unhideWhenUsed/>
    <w:qFormat/>
    <w:rPr>
      <w:rFonts w:ascii="Calibri" w:eastAsia="宋体" w:hAnsi="Calibri" w:hint="eastAsia"/>
      <w:i/>
      <w:sz w:val="24"/>
      <w:szCs w:val="24"/>
      <w:lang w:val="en-US" w:eastAsia="en-US"/>
    </w:rPr>
  </w:style>
  <w:style w:type="character" w:customStyle="1" w:styleId="CharCharff8">
    <w:name w:val="明显引用 Char Char"/>
    <w:unhideWhenUsed/>
    <w:qFormat/>
    <w:rPr>
      <w:rFonts w:ascii="Calibri" w:eastAsia="宋体" w:hAnsi="Calibri" w:hint="eastAsia"/>
      <w:b/>
      <w:i/>
      <w:sz w:val="22"/>
      <w:szCs w:val="24"/>
      <w:lang w:val="en-US" w:eastAsia="en-US"/>
    </w:rPr>
  </w:style>
  <w:style w:type="character" w:customStyle="1" w:styleId="CharCharff9">
    <w:name w:val="水利部 Char Char"/>
    <w:unhideWhenUsed/>
    <w:qFormat/>
    <w:rPr>
      <w:rFonts w:eastAsia="宋体" w:hint="default"/>
      <w:b/>
      <w:sz w:val="30"/>
      <w:szCs w:val="24"/>
      <w:lang w:val="en-US" w:eastAsia="zh-CN"/>
    </w:rPr>
  </w:style>
  <w:style w:type="character" w:customStyle="1" w:styleId="CharCharffa">
    <w:name w:val="表格 宋体 五号 Char Char"/>
    <w:unhideWhenUsed/>
    <w:qFormat/>
    <w:rPr>
      <w:rFonts w:ascii="宋体" w:eastAsia="宋体" w:hAnsi="宋体" w:hint="eastAsia"/>
      <w:sz w:val="21"/>
      <w:szCs w:val="24"/>
      <w:lang w:val="en-US" w:eastAsia="zh-CN"/>
    </w:rPr>
  </w:style>
  <w:style w:type="character" w:customStyle="1" w:styleId="MTDisplayEquationCharChar">
    <w:name w:val="MTDisplayEquation Char Char"/>
    <w:unhideWhenUsed/>
    <w:qFormat/>
    <w:rPr>
      <w:rFonts w:hint="default"/>
      <w:sz w:val="24"/>
      <w:szCs w:val="24"/>
    </w:rPr>
  </w:style>
  <w:style w:type="character" w:customStyle="1" w:styleId="1CharChar5">
    <w:name w:val="样式 标题 1封面大标题 + 加粗 Char Char"/>
    <w:unhideWhenUsed/>
    <w:qFormat/>
    <w:rPr>
      <w:rFonts w:ascii="宋体" w:eastAsia="黑体" w:hAnsi="宋体" w:hint="eastAsia"/>
      <w:b/>
      <w:kern w:val="44"/>
      <w:sz w:val="32"/>
      <w:szCs w:val="24"/>
      <w:lang w:val="en-US" w:eastAsia="zh-CN"/>
    </w:rPr>
  </w:style>
  <w:style w:type="character" w:customStyle="1" w:styleId="CharCharffb">
    <w:name w:val="无间隔 Char Char"/>
    <w:unhideWhenUsed/>
    <w:qFormat/>
    <w:rPr>
      <w:rFonts w:ascii="Calibri" w:hint="default"/>
      <w:kern w:val="2"/>
      <w:sz w:val="22"/>
      <w:szCs w:val="24"/>
      <w:lang w:val="en-US" w:eastAsia="zh-CN"/>
    </w:rPr>
  </w:style>
  <w:style w:type="character" w:customStyle="1" w:styleId="cCharChar">
    <w:name w:val="正文c Char Char"/>
    <w:unhideWhenUsed/>
    <w:qFormat/>
    <w:rPr>
      <w:rFonts w:eastAsia="仿宋_GB2312" w:hint="default"/>
      <w:kern w:val="2"/>
      <w:sz w:val="28"/>
      <w:szCs w:val="24"/>
    </w:rPr>
  </w:style>
  <w:style w:type="character" w:customStyle="1" w:styleId="4CharChar3">
    <w:name w:val="陈标题4 Char Char"/>
    <w:unhideWhenUsed/>
    <w:qFormat/>
    <w:rPr>
      <w:rFonts w:eastAsia="宋体" w:hint="default"/>
      <w:b/>
      <w:kern w:val="2"/>
      <w:sz w:val="24"/>
      <w:szCs w:val="24"/>
      <w:lang w:val="en-US" w:eastAsia="zh-CN"/>
    </w:rPr>
  </w:style>
  <w:style w:type="character" w:customStyle="1" w:styleId="1CharChar6">
    <w:name w:val="表标题1 Char Char"/>
    <w:unhideWhenUsed/>
    <w:qFormat/>
    <w:rPr>
      <w:rFonts w:eastAsia="宋体" w:hint="default"/>
      <w:b/>
      <w:kern w:val="2"/>
      <w:sz w:val="24"/>
      <w:szCs w:val="24"/>
      <w:lang w:val="en-US" w:eastAsia="zh-CN"/>
    </w:rPr>
  </w:style>
  <w:style w:type="character" w:customStyle="1" w:styleId="CharCharffc">
    <w:name w:val="表号 Char Char"/>
    <w:unhideWhenUsed/>
    <w:qFormat/>
    <w:rPr>
      <w:rFonts w:eastAsia="宋体" w:hint="default"/>
      <w:color w:val="000000"/>
      <w:sz w:val="24"/>
      <w:szCs w:val="24"/>
      <w:lang w:val="en-US" w:eastAsia="zh-CN"/>
    </w:rPr>
  </w:style>
  <w:style w:type="character" w:customStyle="1" w:styleId="CharCharCharChar5">
    <w:name w:val="图表名 Char Char Char Char"/>
    <w:unhideWhenUsed/>
    <w:qFormat/>
    <w:rPr>
      <w:rFonts w:eastAsia="黑体" w:hint="default"/>
      <w:kern w:val="2"/>
      <w:sz w:val="24"/>
      <w:szCs w:val="24"/>
      <w:lang w:val="en-US" w:eastAsia="zh-CN"/>
    </w:rPr>
  </w:style>
  <w:style w:type="character" w:customStyle="1" w:styleId="0856615CharChar">
    <w:name w:val="样式 小四 非加粗 首行缩进:  0.85 厘米 段前: 6 磅 段后: 6 磅 行距: 1.5 倍行距 Char Char"/>
    <w:unhideWhenUsed/>
    <w:qFormat/>
    <w:rPr>
      <w:rFonts w:eastAsia="宋体" w:hint="default"/>
      <w:kern w:val="2"/>
      <w:sz w:val="28"/>
      <w:szCs w:val="24"/>
      <w:lang w:val="en-US" w:eastAsia="zh-CN"/>
    </w:rPr>
  </w:style>
  <w:style w:type="character" w:customStyle="1" w:styleId="TimesCharChar">
    <w:name w:val="样式 表头 + (符号) Times Char Char"/>
    <w:unhideWhenUsed/>
    <w:qFormat/>
    <w:rPr>
      <w:rFonts w:ascii="仿宋_GB2312" w:eastAsia="仿宋_GB2312" w:hAnsi="宋体" w:hint="eastAsia"/>
      <w:color w:val="000000"/>
      <w:sz w:val="24"/>
      <w:szCs w:val="24"/>
      <w:lang w:val="en-US" w:eastAsia="zh-CN"/>
    </w:rPr>
  </w:style>
  <w:style w:type="character" w:customStyle="1" w:styleId="14CharChar">
    <w:name w:val="样式14 Char Char"/>
    <w:unhideWhenUsed/>
    <w:qFormat/>
    <w:rPr>
      <w:rFonts w:eastAsia="华文中宋" w:hint="default"/>
      <w:color w:val="000000"/>
      <w:kern w:val="2"/>
      <w:sz w:val="24"/>
      <w:szCs w:val="24"/>
      <w:lang w:val="en-US" w:eastAsia="zh-CN"/>
    </w:rPr>
  </w:style>
  <w:style w:type="character" w:customStyle="1" w:styleId="pfont1">
    <w:name w:val="pfont1"/>
    <w:unhideWhenUsed/>
    <w:qFormat/>
    <w:rPr>
      <w:rFonts w:hint="default"/>
      <w:sz w:val="22"/>
      <w:szCs w:val="24"/>
    </w:rPr>
  </w:style>
  <w:style w:type="character" w:customStyle="1" w:styleId="AChar">
    <w:name w:val="A正文 Char"/>
    <w:link w:val="Affffffffffffffffffe"/>
    <w:unhideWhenUsed/>
    <w:qFormat/>
    <w:rPr>
      <w:rFonts w:hint="default"/>
      <w:kern w:val="2"/>
      <w:sz w:val="24"/>
      <w:szCs w:val="24"/>
    </w:rPr>
  </w:style>
  <w:style w:type="character" w:customStyle="1" w:styleId="HeaderChar">
    <w:name w:val="Header Char"/>
    <w:unhideWhenUsed/>
    <w:qFormat/>
    <w:rPr>
      <w:rFonts w:hint="default"/>
      <w:sz w:val="18"/>
      <w:szCs w:val="24"/>
    </w:rPr>
  </w:style>
  <w:style w:type="character" w:customStyle="1" w:styleId="CharChar5">
    <w:name w:val="正文(首行缩进)宋旭峰 Char Char"/>
    <w:link w:val="afffffffffffffffffff"/>
    <w:unhideWhenUsed/>
    <w:qFormat/>
    <w:rPr>
      <w:rFonts w:ascii="宋体" w:eastAsia="宋体" w:hint="eastAsia"/>
      <w:sz w:val="26"/>
      <w:szCs w:val="24"/>
    </w:rPr>
  </w:style>
  <w:style w:type="character" w:customStyle="1" w:styleId="Charffff9">
    <w:name w:val="表、图名宋旭峰 Char"/>
    <w:link w:val="afffffffffffffffffff1"/>
    <w:unhideWhenUsed/>
    <w:qFormat/>
    <w:rPr>
      <w:rFonts w:ascii="黑体" w:eastAsia="黑体" w:hAnsi="宋体" w:hint="eastAsia"/>
      <w:sz w:val="21"/>
      <w:szCs w:val="24"/>
    </w:rPr>
  </w:style>
  <w:style w:type="character" w:customStyle="1" w:styleId="CharCharffd">
    <w:name w:val="特点标题 Char Char"/>
    <w:unhideWhenUsed/>
    <w:qFormat/>
    <w:rPr>
      <w:rFonts w:ascii="宋体" w:eastAsia="宋体" w:hint="eastAsia"/>
      <w:kern w:val="2"/>
      <w:sz w:val="24"/>
      <w:szCs w:val="24"/>
      <w:lang w:val="en-US" w:eastAsia="zh-CN"/>
    </w:rPr>
  </w:style>
  <w:style w:type="character" w:customStyle="1" w:styleId="Char2c">
    <w:name w:val="标题 Char2"/>
    <w:unhideWhenUsed/>
    <w:qFormat/>
    <w:rPr>
      <w:rFonts w:ascii="Arial" w:eastAsia="宋体" w:hAnsi="Arial" w:hint="eastAsia"/>
      <w:b/>
      <w:kern w:val="2"/>
      <w:sz w:val="32"/>
      <w:szCs w:val="24"/>
      <w:lang w:val="en-US" w:eastAsia="zh-CN"/>
    </w:rPr>
  </w:style>
  <w:style w:type="character" w:customStyle="1" w:styleId="Char2d">
    <w:name w:val="正文文本缩进 Char2"/>
    <w:unhideWhenUsed/>
    <w:qFormat/>
    <w:rPr>
      <w:rFonts w:hint="default"/>
      <w:kern w:val="2"/>
      <w:sz w:val="24"/>
      <w:szCs w:val="24"/>
    </w:rPr>
  </w:style>
  <w:style w:type="character" w:customStyle="1" w:styleId="contents1">
    <w:name w:val="contents1"/>
    <w:unhideWhenUsed/>
    <w:qFormat/>
    <w:rPr>
      <w:rFonts w:hint="default"/>
      <w:color w:val="000000"/>
      <w:spacing w:val="330"/>
      <w:sz w:val="21"/>
      <w:szCs w:val="24"/>
    </w:rPr>
  </w:style>
  <w:style w:type="character" w:customStyle="1" w:styleId="002Char">
    <w:name w:val="002 Char"/>
    <w:link w:val="0020"/>
    <w:unhideWhenUsed/>
    <w:qFormat/>
    <w:rPr>
      <w:rFonts w:ascii="宋体" w:eastAsia="宋体" w:hint="eastAsia"/>
      <w:kern w:val="2"/>
      <w:sz w:val="32"/>
      <w:szCs w:val="24"/>
    </w:rPr>
  </w:style>
  <w:style w:type="character" w:customStyle="1" w:styleId="CharCharChar4">
    <w:name w:val="正文文本最新 Char Char Char"/>
    <w:link w:val="CharChar6"/>
    <w:unhideWhenUsed/>
    <w:qFormat/>
    <w:rPr>
      <w:rFonts w:hint="default"/>
      <w:kern w:val="2"/>
      <w:sz w:val="24"/>
      <w:szCs w:val="24"/>
    </w:rPr>
  </w:style>
  <w:style w:type="character" w:customStyle="1" w:styleId="1Char2">
    <w:name w:val="正文样式1 Char"/>
    <w:link w:val="1ff"/>
    <w:unhideWhenUsed/>
    <w:qFormat/>
    <w:rPr>
      <w:rFonts w:hint="default"/>
      <w:sz w:val="24"/>
      <w:szCs w:val="24"/>
    </w:rPr>
  </w:style>
  <w:style w:type="character" w:customStyle="1" w:styleId="copy1">
    <w:name w:val="copy1"/>
    <w:unhideWhenUsed/>
    <w:qFormat/>
    <w:rPr>
      <w:rFonts w:hint="default"/>
      <w:color w:val="333333"/>
      <w:sz w:val="20"/>
      <w:szCs w:val="24"/>
    </w:rPr>
  </w:style>
  <w:style w:type="character" w:customStyle="1" w:styleId="lv3">
    <w:name w:val="lv3"/>
    <w:unhideWhenUsed/>
    <w:qFormat/>
    <w:rPr>
      <w:rFonts w:hint="default"/>
      <w:color w:val="2E7713"/>
      <w:spacing w:val="375"/>
      <w:sz w:val="20"/>
      <w:szCs w:val="24"/>
    </w:rPr>
  </w:style>
  <w:style w:type="character" w:customStyle="1" w:styleId="t1">
    <w:name w:val="t1"/>
    <w:unhideWhenUsed/>
    <w:qFormat/>
    <w:rPr>
      <w:rFonts w:hint="default"/>
      <w:spacing w:val="-400"/>
      <w:sz w:val="24"/>
      <w:szCs w:val="24"/>
    </w:rPr>
  </w:style>
  <w:style w:type="character" w:customStyle="1" w:styleId="small1">
    <w:name w:val="small1"/>
    <w:unhideWhenUsed/>
    <w:qFormat/>
    <w:rPr>
      <w:rFonts w:hint="default"/>
      <w:sz w:val="18"/>
      <w:szCs w:val="24"/>
    </w:rPr>
  </w:style>
  <w:style w:type="character" w:customStyle="1" w:styleId="px141">
    <w:name w:val="px141"/>
    <w:unhideWhenUsed/>
    <w:qFormat/>
    <w:rPr>
      <w:rFonts w:hint="default"/>
      <w:spacing w:val="400"/>
      <w:sz w:val="28"/>
      <w:szCs w:val="24"/>
    </w:rPr>
  </w:style>
  <w:style w:type="character" w:customStyle="1" w:styleId="style31">
    <w:name w:val="style31"/>
    <w:unhideWhenUsed/>
    <w:qFormat/>
    <w:rPr>
      <w:rFonts w:hint="default"/>
      <w:sz w:val="28"/>
      <w:szCs w:val="24"/>
    </w:rPr>
  </w:style>
  <w:style w:type="character" w:customStyle="1" w:styleId="a11">
    <w:name w:val="a11"/>
    <w:unhideWhenUsed/>
    <w:qFormat/>
    <w:rPr>
      <w:rFonts w:hint="default"/>
      <w:color w:val="000000"/>
      <w:spacing w:val="312"/>
      <w:sz w:val="28"/>
      <w:szCs w:val="24"/>
    </w:rPr>
  </w:style>
  <w:style w:type="character" w:customStyle="1" w:styleId="1b1H111CharchapOGHeadiChar">
    <w:name w:val="样式 标题 1章节标题b1H1章标题 1标题 1 Char一级标题，黑粗，三号，序号章chapOG Headi... Char"/>
    <w:link w:val="1b1H111CharchapOGHeadi"/>
    <w:unhideWhenUsed/>
    <w:qFormat/>
    <w:rPr>
      <w:rFonts w:ascii="宋体" w:eastAsia="宋体" w:hint="eastAsia"/>
      <w:b/>
      <w:color w:val="000000"/>
      <w:sz w:val="32"/>
      <w:szCs w:val="24"/>
    </w:rPr>
  </w:style>
  <w:style w:type="character" w:customStyle="1" w:styleId="Footer1Char1">
    <w:name w:val="Footer1 Char1"/>
    <w:unhideWhenUsed/>
    <w:qFormat/>
    <w:rPr>
      <w:rFonts w:eastAsia="仿宋_GB2312" w:hint="default"/>
      <w:kern w:val="2"/>
      <w:sz w:val="18"/>
      <w:szCs w:val="24"/>
      <w:lang w:val="en-US" w:eastAsia="zh-CN"/>
    </w:rPr>
  </w:style>
  <w:style w:type="character" w:customStyle="1" w:styleId="2CharChar11">
    <w:name w:val="正文文字缩进 2 Char Char1"/>
    <w:unhideWhenUsed/>
    <w:qFormat/>
    <w:rPr>
      <w:rFonts w:ascii="仿宋_GB2312" w:eastAsia="仿宋_GB2312" w:hint="eastAsia"/>
      <w:kern w:val="2"/>
      <w:sz w:val="28"/>
      <w:szCs w:val="24"/>
      <w:lang w:val="en-US" w:eastAsia="zh-CN"/>
    </w:rPr>
  </w:style>
  <w:style w:type="character" w:customStyle="1" w:styleId="3CharChar11">
    <w:name w:val="正文文字缩进 3 Char Char1"/>
    <w:unhideWhenUsed/>
    <w:qFormat/>
    <w:rPr>
      <w:rFonts w:ascii="仿宋_GB2312" w:eastAsia="仿宋_GB2312" w:hint="eastAsia"/>
      <w:kern w:val="2"/>
      <w:sz w:val="28"/>
      <w:szCs w:val="24"/>
      <w:lang w:val="en-US" w:eastAsia="zh-CN"/>
    </w:rPr>
  </w:style>
  <w:style w:type="character" w:customStyle="1" w:styleId="2CharChara">
    <w:name w:val="正文文字缩进 2 Char Char"/>
    <w:unhideWhenUsed/>
    <w:qFormat/>
    <w:rPr>
      <w:rFonts w:hint="default"/>
      <w:kern w:val="2"/>
      <w:sz w:val="28"/>
      <w:szCs w:val="24"/>
    </w:rPr>
  </w:style>
  <w:style w:type="character" w:customStyle="1" w:styleId="3CharChar4">
    <w:name w:val="正文文字缩进 3 Char Char"/>
    <w:unhideWhenUsed/>
    <w:qFormat/>
    <w:rPr>
      <w:rFonts w:ascii="仿宋_GB2312" w:eastAsia="仿宋_GB2312" w:hint="eastAsia"/>
      <w:kern w:val="2"/>
      <w:sz w:val="28"/>
      <w:szCs w:val="24"/>
    </w:rPr>
  </w:style>
  <w:style w:type="character" w:customStyle="1" w:styleId="EmailStyle284">
    <w:name w:val="EmailStyle284"/>
    <w:unhideWhenUsed/>
    <w:qFormat/>
    <w:rPr>
      <w:rFonts w:ascii="Arial" w:eastAsia="宋体" w:hAnsi="Arial" w:hint="eastAsia"/>
      <w:color w:val="auto"/>
      <w:sz w:val="20"/>
      <w:szCs w:val="24"/>
    </w:rPr>
  </w:style>
  <w:style w:type="character" w:customStyle="1" w:styleId="EmailStyle285">
    <w:name w:val="EmailStyle285"/>
    <w:unhideWhenUsed/>
    <w:qFormat/>
    <w:rPr>
      <w:rFonts w:ascii="Arial" w:eastAsia="宋体" w:hAnsi="Arial" w:hint="eastAsia"/>
      <w:color w:val="auto"/>
      <w:sz w:val="20"/>
      <w:szCs w:val="24"/>
    </w:rPr>
  </w:style>
  <w:style w:type="character" w:customStyle="1" w:styleId="Charffffffe">
    <w:name w:val="普通(网站) Char"/>
    <w:unhideWhenUsed/>
    <w:qFormat/>
    <w:rPr>
      <w:rFonts w:hint="default"/>
      <w:kern w:val="2"/>
      <w:sz w:val="18"/>
      <w:szCs w:val="24"/>
    </w:rPr>
  </w:style>
  <w:style w:type="character" w:customStyle="1" w:styleId="2Char11">
    <w:name w:val="正文文本 2 Char1"/>
    <w:unhideWhenUsed/>
    <w:qFormat/>
    <w:rPr>
      <w:rFonts w:eastAsia="仿宋_GB2312" w:hint="default"/>
      <w:kern w:val="2"/>
      <w:sz w:val="30"/>
      <w:szCs w:val="24"/>
    </w:rPr>
  </w:style>
  <w:style w:type="character" w:customStyle="1" w:styleId="Char1f6">
    <w:name w:val="文档结构图 Char1"/>
    <w:unhideWhenUsed/>
    <w:qFormat/>
    <w:rPr>
      <w:rFonts w:ascii="宋体" w:eastAsia="宋体" w:hint="eastAsia"/>
      <w:kern w:val="2"/>
      <w:sz w:val="18"/>
      <w:szCs w:val="24"/>
    </w:rPr>
  </w:style>
  <w:style w:type="character" w:customStyle="1" w:styleId="Char1f7">
    <w:name w:val="批注框文本 Char1"/>
    <w:unhideWhenUsed/>
    <w:qFormat/>
    <w:rPr>
      <w:rFonts w:eastAsia="仿宋_GB2312" w:hint="default"/>
      <w:kern w:val="2"/>
      <w:sz w:val="18"/>
      <w:szCs w:val="24"/>
    </w:rPr>
  </w:style>
  <w:style w:type="character" w:customStyle="1" w:styleId="Char1f8">
    <w:name w:val="正文首行缩进 Char1"/>
    <w:unhideWhenUsed/>
    <w:qFormat/>
    <w:rPr>
      <w:rFonts w:ascii="仿宋_GB2312" w:eastAsia="仿宋_GB2312" w:hint="eastAsia"/>
      <w:kern w:val="2"/>
      <w:sz w:val="30"/>
      <w:szCs w:val="24"/>
      <w:lang w:val="en-US" w:eastAsia="zh-CN"/>
    </w:rPr>
  </w:style>
  <w:style w:type="character" w:customStyle="1" w:styleId="EmailStyle362">
    <w:name w:val="EmailStyle362"/>
    <w:unhideWhenUsed/>
    <w:qFormat/>
    <w:rPr>
      <w:rFonts w:ascii="Arial" w:eastAsia="宋体" w:hAnsi="Arial" w:hint="eastAsia"/>
      <w:color w:val="auto"/>
      <w:sz w:val="20"/>
      <w:szCs w:val="24"/>
    </w:rPr>
  </w:style>
  <w:style w:type="character" w:customStyle="1" w:styleId="EmailStyle363">
    <w:name w:val="EmailStyle363"/>
    <w:unhideWhenUsed/>
    <w:qFormat/>
    <w:rPr>
      <w:rFonts w:ascii="Arial" w:eastAsia="宋体" w:hAnsi="Arial" w:hint="eastAsia"/>
      <w:color w:val="auto"/>
      <w:sz w:val="20"/>
      <w:szCs w:val="24"/>
    </w:rPr>
  </w:style>
  <w:style w:type="character" w:customStyle="1" w:styleId="Char1f9">
    <w:name w:val="尾注文本 Char1"/>
    <w:unhideWhenUsed/>
    <w:qFormat/>
    <w:rPr>
      <w:rFonts w:eastAsia="仿宋_GB2312" w:hint="default"/>
      <w:kern w:val="2"/>
      <w:sz w:val="30"/>
      <w:szCs w:val="24"/>
    </w:rPr>
  </w:style>
  <w:style w:type="character" w:customStyle="1" w:styleId="Char1fa">
    <w:name w:val="脚注文本 Char1"/>
    <w:unhideWhenUsed/>
    <w:qFormat/>
    <w:rPr>
      <w:rFonts w:eastAsia="仿宋_GB2312" w:hint="default"/>
      <w:kern w:val="2"/>
      <w:sz w:val="18"/>
      <w:szCs w:val="24"/>
    </w:rPr>
  </w:style>
  <w:style w:type="character" w:customStyle="1" w:styleId="EmailStyle404">
    <w:name w:val="EmailStyle404"/>
    <w:unhideWhenUsed/>
    <w:qFormat/>
    <w:rPr>
      <w:rFonts w:ascii="Arial" w:eastAsia="宋体" w:hAnsi="Arial" w:hint="eastAsia"/>
      <w:color w:val="auto"/>
      <w:sz w:val="20"/>
      <w:szCs w:val="24"/>
    </w:rPr>
  </w:style>
  <w:style w:type="character" w:customStyle="1" w:styleId="EmailStyle405">
    <w:name w:val="EmailStyle405"/>
    <w:unhideWhenUsed/>
    <w:qFormat/>
    <w:rPr>
      <w:rFonts w:ascii="Arial" w:eastAsia="宋体" w:hAnsi="Arial" w:hint="eastAsia"/>
      <w:color w:val="auto"/>
      <w:sz w:val="20"/>
      <w:szCs w:val="24"/>
    </w:rPr>
  </w:style>
  <w:style w:type="character" w:customStyle="1" w:styleId="EmailStyle420">
    <w:name w:val="EmailStyle420"/>
    <w:unhideWhenUsed/>
    <w:qFormat/>
    <w:rPr>
      <w:rFonts w:ascii="Arial" w:eastAsia="宋体" w:hAnsi="Arial" w:hint="eastAsia"/>
      <w:color w:val="auto"/>
      <w:sz w:val="20"/>
      <w:szCs w:val="24"/>
    </w:rPr>
  </w:style>
  <w:style w:type="character" w:customStyle="1" w:styleId="EmailStyle421">
    <w:name w:val="EmailStyle421"/>
    <w:unhideWhenUsed/>
    <w:qFormat/>
    <w:rPr>
      <w:rFonts w:ascii="Arial" w:eastAsia="宋体" w:hAnsi="Arial" w:hint="eastAsia"/>
      <w:color w:val="auto"/>
      <w:sz w:val="20"/>
      <w:szCs w:val="24"/>
    </w:rPr>
  </w:style>
  <w:style w:type="character" w:customStyle="1" w:styleId="EmailStyle422">
    <w:name w:val="EmailStyle422"/>
    <w:unhideWhenUsed/>
    <w:qFormat/>
    <w:rPr>
      <w:rFonts w:ascii="Arial" w:eastAsia="宋体" w:hAnsi="Arial" w:hint="eastAsia"/>
      <w:color w:val="auto"/>
      <w:sz w:val="20"/>
      <w:szCs w:val="24"/>
    </w:rPr>
  </w:style>
  <w:style w:type="character" w:customStyle="1" w:styleId="EmailStyle423">
    <w:name w:val="EmailStyle423"/>
    <w:unhideWhenUsed/>
    <w:qFormat/>
    <w:rPr>
      <w:rFonts w:ascii="Arial" w:eastAsia="宋体" w:hAnsi="Arial" w:hint="eastAsia"/>
      <w:color w:val="auto"/>
      <w:sz w:val="20"/>
      <w:szCs w:val="24"/>
    </w:rPr>
  </w:style>
  <w:style w:type="character" w:customStyle="1" w:styleId="EmailStyle424">
    <w:name w:val="EmailStyle424"/>
    <w:unhideWhenUsed/>
    <w:qFormat/>
    <w:rPr>
      <w:rFonts w:ascii="Arial" w:eastAsia="宋体" w:hAnsi="Arial" w:hint="eastAsia"/>
      <w:color w:val="auto"/>
      <w:sz w:val="20"/>
      <w:szCs w:val="24"/>
    </w:rPr>
  </w:style>
  <w:style w:type="character" w:customStyle="1" w:styleId="EmailStyle425">
    <w:name w:val="EmailStyle425"/>
    <w:unhideWhenUsed/>
    <w:qFormat/>
    <w:rPr>
      <w:rFonts w:ascii="Arial" w:eastAsia="宋体" w:hAnsi="Arial" w:hint="eastAsia"/>
      <w:color w:val="auto"/>
      <w:sz w:val="20"/>
      <w:szCs w:val="24"/>
    </w:rPr>
  </w:style>
  <w:style w:type="character" w:customStyle="1" w:styleId="11CharCharCharCharC">
    <w:name w:val="节标题 1.1 Char Char Char Char C"/>
    <w:unhideWhenUsed/>
    <w:qFormat/>
    <w:rPr>
      <w:rFonts w:eastAsia="宋体" w:hint="default"/>
      <w:b/>
      <w:kern w:val="2"/>
      <w:sz w:val="24"/>
      <w:szCs w:val="24"/>
      <w:lang w:val="en-US" w:eastAsia="zh-CN"/>
    </w:rPr>
  </w:style>
  <w:style w:type="character" w:customStyle="1" w:styleId="1CharCharCharChar0">
    <w:name w:val="正文1 Char Char Char Char"/>
    <w:unhideWhenUsed/>
    <w:qFormat/>
    <w:rPr>
      <w:rFonts w:eastAsia="宋体" w:hint="default"/>
      <w:kern w:val="2"/>
      <w:sz w:val="24"/>
      <w:szCs w:val="24"/>
      <w:lang w:val="en-US" w:eastAsia="zh-CN"/>
    </w:rPr>
  </w:style>
  <w:style w:type="character" w:customStyle="1" w:styleId="111CharCharCharCharCharCharCharCharCharChar">
    <w:name w:val="条标题1.1.1 Char Char Char Char Char Char Char Char Char Char"/>
    <w:unhideWhenUsed/>
    <w:qFormat/>
    <w:rPr>
      <w:rFonts w:ascii="宋体" w:eastAsia="宋体" w:hAnsi="宋体" w:hint="eastAsia"/>
      <w:b/>
      <w:kern w:val="2"/>
      <w:sz w:val="24"/>
      <w:szCs w:val="24"/>
      <w:lang w:val="en-US" w:eastAsia="zh-CN"/>
    </w:rPr>
  </w:style>
  <w:style w:type="character" w:customStyle="1" w:styleId="text-small1">
    <w:name w:val="text-small1"/>
    <w:unhideWhenUsed/>
    <w:qFormat/>
    <w:rPr>
      <w:rFonts w:hint="default"/>
      <w:spacing w:val="12"/>
      <w:sz w:val="16"/>
      <w:szCs w:val="24"/>
    </w:rPr>
  </w:style>
  <w:style w:type="character" w:customStyle="1" w:styleId="Charffffb">
    <w:name w:val="正文（不缩进） Char"/>
    <w:link w:val="afffffffffffffffffffd"/>
    <w:unhideWhenUsed/>
    <w:qFormat/>
    <w:rPr>
      <w:rFonts w:hint="default"/>
      <w:sz w:val="24"/>
      <w:szCs w:val="24"/>
    </w:rPr>
  </w:style>
  <w:style w:type="character" w:customStyle="1" w:styleId="MANUALChar">
    <w:name w:val="MANUAL Char"/>
    <w:link w:val="MANUAL"/>
    <w:unhideWhenUsed/>
    <w:qFormat/>
    <w:rPr>
      <w:rFonts w:ascii="MS Mincho" w:eastAsia="MS Mincho" w:hint="eastAsia"/>
      <w:spacing w:val="-20"/>
      <w:sz w:val="22"/>
      <w:szCs w:val="24"/>
      <w:lang w:eastAsia="ja-JP"/>
    </w:rPr>
  </w:style>
  <w:style w:type="character" w:customStyle="1" w:styleId="Char1fb">
    <w:name w:val="信息标题 Char1"/>
    <w:unhideWhenUsed/>
    <w:qFormat/>
    <w:rPr>
      <w:rFonts w:ascii="Cambria" w:eastAsia="宋体" w:hAnsi="Cambria" w:hint="eastAsia"/>
      <w:kern w:val="2"/>
      <w:sz w:val="24"/>
      <w:szCs w:val="24"/>
      <w:shd w:val="pct20" w:color="auto" w:fill="auto"/>
    </w:rPr>
  </w:style>
  <w:style w:type="character" w:customStyle="1" w:styleId="EmailStyle4361">
    <w:name w:val="EmailStyle4361"/>
    <w:unhideWhenUsed/>
    <w:qFormat/>
    <w:rPr>
      <w:rFonts w:ascii="Arial" w:eastAsia="宋体" w:hAnsi="Arial" w:hint="eastAsia"/>
      <w:color w:val="auto"/>
      <w:sz w:val="20"/>
      <w:szCs w:val="24"/>
    </w:rPr>
  </w:style>
  <w:style w:type="character" w:customStyle="1" w:styleId="EmailStyle4371">
    <w:name w:val="EmailStyle4371"/>
    <w:unhideWhenUsed/>
    <w:qFormat/>
    <w:rPr>
      <w:rFonts w:ascii="Arial" w:eastAsia="宋体" w:hAnsi="Arial" w:hint="eastAsia"/>
      <w:color w:val="auto"/>
      <w:sz w:val="20"/>
      <w:szCs w:val="24"/>
    </w:rPr>
  </w:style>
  <w:style w:type="character" w:customStyle="1" w:styleId="articlebody1">
    <w:name w:val="articlebody1"/>
    <w:unhideWhenUsed/>
    <w:qFormat/>
    <w:rPr>
      <w:rFonts w:hint="default"/>
      <w:color w:val="333333"/>
      <w:sz w:val="21"/>
      <w:szCs w:val="24"/>
    </w:rPr>
  </w:style>
  <w:style w:type="character" w:customStyle="1" w:styleId="Charffffc">
    <w:name w:val="正缩 Char"/>
    <w:link w:val="affffffffffffffffffff3"/>
    <w:unhideWhenUsed/>
    <w:qFormat/>
    <w:rPr>
      <w:rFonts w:hint="default"/>
      <w:kern w:val="2"/>
      <w:sz w:val="24"/>
      <w:szCs w:val="24"/>
    </w:rPr>
  </w:style>
  <w:style w:type="character" w:customStyle="1" w:styleId="3CharCharChar0">
    <w:name w:val="正文3 Char Char Char"/>
    <w:link w:val="3CharChar0"/>
    <w:unhideWhenUsed/>
    <w:qFormat/>
    <w:rPr>
      <w:rFonts w:ascii="宋体" w:eastAsia="宋体" w:hint="eastAsia"/>
      <w:kern w:val="2"/>
      <w:sz w:val="28"/>
      <w:szCs w:val="24"/>
      <w:lang w:val="zh-CN"/>
    </w:rPr>
  </w:style>
  <w:style w:type="character" w:customStyle="1" w:styleId="CharCharChar7">
    <w:name w:val="表头 Char Char Char"/>
    <w:unhideWhenUsed/>
    <w:qFormat/>
    <w:rPr>
      <w:rFonts w:ascii="黑体" w:eastAsia="黑体" w:hint="eastAsia"/>
      <w:b/>
      <w:kern w:val="2"/>
      <w:sz w:val="24"/>
      <w:szCs w:val="24"/>
      <w:lang w:val="en-US" w:eastAsia="zh-CN"/>
    </w:rPr>
  </w:style>
  <w:style w:type="character" w:customStyle="1" w:styleId="Charfffffff">
    <w:name w:val="样式 普通文字 + (符号) 宋体 小四 Char"/>
    <w:unhideWhenUsed/>
    <w:qFormat/>
    <w:rPr>
      <w:rFonts w:ascii="宋体" w:eastAsia="宋体" w:hAnsi="Courier New" w:hint="eastAsia"/>
      <w:kern w:val="2"/>
      <w:sz w:val="24"/>
      <w:szCs w:val="24"/>
      <w:lang w:val="en-US" w:eastAsia="zh-CN"/>
    </w:rPr>
  </w:style>
  <w:style w:type="character" w:customStyle="1" w:styleId="p10-51">
    <w:name w:val="p10-51"/>
    <w:unhideWhenUsed/>
    <w:qFormat/>
    <w:rPr>
      <w:rFonts w:ascii="宋体" w:eastAsia="宋体" w:hAnsi="宋体" w:hint="eastAsia"/>
      <w:sz w:val="21"/>
      <w:szCs w:val="24"/>
    </w:rPr>
  </w:style>
  <w:style w:type="character" w:customStyle="1" w:styleId="Charffffd">
    <w:name w:val="表名，单位 Char"/>
    <w:link w:val="affffffffffffffffffffa"/>
    <w:unhideWhenUsed/>
    <w:qFormat/>
    <w:rPr>
      <w:rFonts w:ascii="宋体" w:eastAsia="宋体" w:hint="eastAsia"/>
      <w:b/>
      <w:spacing w:val="-4"/>
      <w:kern w:val="2"/>
      <w:sz w:val="24"/>
      <w:szCs w:val="24"/>
    </w:rPr>
  </w:style>
  <w:style w:type="character" w:customStyle="1" w:styleId="2CharCharb">
    <w:name w:val="正文2 Char Char"/>
    <w:unhideWhenUsed/>
    <w:qFormat/>
    <w:rPr>
      <w:rFonts w:eastAsia="宋体" w:hint="default"/>
      <w:kern w:val="2"/>
      <w:sz w:val="21"/>
      <w:szCs w:val="24"/>
      <w:lang w:val="en-US" w:eastAsia="zh-CN"/>
    </w:rPr>
  </w:style>
  <w:style w:type="character" w:customStyle="1" w:styleId="Char2e">
    <w:name w:val="表号 Char2"/>
    <w:unhideWhenUsed/>
    <w:qFormat/>
    <w:rPr>
      <w:rFonts w:eastAsia="宋体" w:hint="default"/>
      <w:color w:val="000000"/>
      <w:sz w:val="24"/>
      <w:szCs w:val="24"/>
      <w:lang w:val="en-US" w:eastAsia="zh-CN"/>
    </w:rPr>
  </w:style>
  <w:style w:type="character" w:customStyle="1" w:styleId="hei18-b">
    <w:name w:val="hei18-b"/>
    <w:basedOn w:val="a6"/>
    <w:unhideWhenUsed/>
    <w:qFormat/>
    <w:rPr>
      <w:rFonts w:cs="Times New Roman" w:hint="default"/>
      <w:sz w:val="24"/>
      <w:szCs w:val="24"/>
    </w:rPr>
  </w:style>
  <w:style w:type="character" w:customStyle="1" w:styleId="content11">
    <w:name w:val="content11"/>
    <w:unhideWhenUsed/>
    <w:qFormat/>
    <w:rPr>
      <w:rFonts w:ascii="??" w:hint="default"/>
      <w:color w:val="000000"/>
      <w:sz w:val="18"/>
      <w:szCs w:val="24"/>
    </w:rPr>
  </w:style>
  <w:style w:type="character" w:customStyle="1" w:styleId="nfont6">
    <w:name w:val="nfont6"/>
    <w:unhideWhenUsed/>
    <w:qFormat/>
    <w:rPr>
      <w:rFonts w:hint="default"/>
      <w:color w:val="FF0000"/>
      <w:spacing w:val="335"/>
      <w:sz w:val="27"/>
      <w:szCs w:val="24"/>
    </w:rPr>
  </w:style>
  <w:style w:type="character" w:customStyle="1" w:styleId="unnamed21">
    <w:name w:val="unnamed21"/>
    <w:unhideWhenUsed/>
    <w:qFormat/>
    <w:rPr>
      <w:rFonts w:hint="default"/>
      <w:color w:val="330000"/>
      <w:sz w:val="21"/>
      <w:szCs w:val="24"/>
    </w:rPr>
  </w:style>
  <w:style w:type="character" w:customStyle="1" w:styleId="line31">
    <w:name w:val="line31"/>
    <w:unhideWhenUsed/>
    <w:qFormat/>
    <w:rPr>
      <w:rFonts w:hint="default"/>
      <w:color w:val="993333"/>
      <w:spacing w:val="360"/>
      <w:sz w:val="24"/>
      <w:szCs w:val="24"/>
    </w:rPr>
  </w:style>
  <w:style w:type="character" w:customStyle="1" w:styleId="line41">
    <w:name w:val="line41"/>
    <w:unhideWhenUsed/>
    <w:qFormat/>
    <w:rPr>
      <w:rFonts w:hint="default"/>
      <w:spacing w:val="300"/>
      <w:sz w:val="24"/>
      <w:szCs w:val="24"/>
    </w:rPr>
  </w:style>
  <w:style w:type="character" w:customStyle="1" w:styleId="Charffe">
    <w:name w:val="表、图名 Char"/>
    <w:link w:val="affffffffff2"/>
    <w:unhideWhenUsed/>
    <w:qFormat/>
    <w:rPr>
      <w:rFonts w:ascii="宋体" w:eastAsia="宋体" w:hint="eastAsia"/>
      <w:b/>
      <w:color w:val="000000"/>
      <w:sz w:val="24"/>
      <w:szCs w:val="24"/>
    </w:rPr>
  </w:style>
  <w:style w:type="character" w:customStyle="1" w:styleId="Charffffa">
    <w:name w:val="报告书正文 Char"/>
    <w:link w:val="afffffffffffffffffff9"/>
    <w:unhideWhenUsed/>
    <w:qFormat/>
    <w:rPr>
      <w:rFonts w:ascii="宋体" w:eastAsia="宋体" w:hint="eastAsia"/>
      <w:color w:val="000000"/>
      <w:kern w:val="2"/>
      <w:sz w:val="24"/>
      <w:szCs w:val="24"/>
    </w:rPr>
  </w:style>
  <w:style w:type="character" w:customStyle="1" w:styleId="1Char7">
    <w:name w:val="表头1 Char"/>
    <w:link w:val="1ffff4"/>
    <w:unhideWhenUsed/>
    <w:qFormat/>
    <w:rPr>
      <w:rFonts w:eastAsia="黑体" w:hint="default"/>
      <w:sz w:val="21"/>
      <w:szCs w:val="24"/>
    </w:rPr>
  </w:style>
  <w:style w:type="character" w:customStyle="1" w:styleId="1Char12">
    <w:name w:val="目标题 1) Char1"/>
    <w:unhideWhenUsed/>
    <w:qFormat/>
    <w:rPr>
      <w:rFonts w:ascii="Arial" w:eastAsia="黑体" w:hAnsi="Arial" w:hint="eastAsia"/>
      <w:sz w:val="28"/>
      <w:szCs w:val="24"/>
      <w:lang w:val="en-US" w:eastAsia="zh-CN"/>
    </w:rPr>
  </w:style>
  <w:style w:type="character" w:customStyle="1" w:styleId="aChar1">
    <w:name w:val="干标题(a) Char1"/>
    <w:unhideWhenUsed/>
    <w:qFormat/>
    <w:rPr>
      <w:rFonts w:ascii="Arial" w:eastAsia="黑体" w:hAnsi="Arial" w:hint="eastAsia"/>
      <w:sz w:val="21"/>
      <w:szCs w:val="24"/>
      <w:lang w:val="en-US" w:eastAsia="zh-CN"/>
    </w:rPr>
  </w:style>
  <w:style w:type="character" w:customStyle="1" w:styleId="text1217191">
    <w:name w:val="text_1217191"/>
    <w:unhideWhenUsed/>
    <w:qFormat/>
    <w:rPr>
      <w:rFonts w:hint="default"/>
      <w:color w:val="121719"/>
      <w:spacing w:val="272"/>
      <w:sz w:val="24"/>
      <w:szCs w:val="24"/>
    </w:rPr>
  </w:style>
  <w:style w:type="character" w:customStyle="1" w:styleId="001Char0">
    <w:name w:val="001 Char"/>
    <w:unhideWhenUsed/>
    <w:qFormat/>
    <w:rPr>
      <w:rFonts w:ascii="宋体" w:eastAsia="宋体" w:hint="eastAsia"/>
      <w:kern w:val="28"/>
      <w:sz w:val="32"/>
      <w:szCs w:val="24"/>
    </w:rPr>
  </w:style>
  <w:style w:type="character" w:customStyle="1" w:styleId="DateChar">
    <w:name w:val="Date Char"/>
    <w:unhideWhenUsed/>
    <w:qFormat/>
    <w:rPr>
      <w:rFonts w:ascii="Times New Roman" w:eastAsia="宋体" w:hAnsi="Times New Roman" w:hint="eastAsia"/>
      <w:kern w:val="28"/>
      <w:sz w:val="20"/>
      <w:szCs w:val="24"/>
    </w:rPr>
  </w:style>
  <w:style w:type="character" w:customStyle="1" w:styleId="Char3Char11">
    <w:name w:val="Char3 Char11"/>
    <w:unhideWhenUsed/>
    <w:qFormat/>
    <w:rPr>
      <w:rFonts w:eastAsia="宋体" w:hint="default"/>
      <w:kern w:val="2"/>
      <w:sz w:val="18"/>
      <w:szCs w:val="24"/>
      <w:lang w:val="en-US" w:eastAsia="zh-CN"/>
    </w:rPr>
  </w:style>
  <w:style w:type="character" w:customStyle="1" w:styleId="Char5Char1">
    <w:name w:val="Char5 Char1"/>
    <w:unhideWhenUsed/>
    <w:qFormat/>
    <w:rPr>
      <w:rFonts w:eastAsia="宋体" w:hint="default"/>
      <w:kern w:val="2"/>
      <w:sz w:val="28"/>
      <w:szCs w:val="24"/>
      <w:lang w:val="en-US" w:eastAsia="zh-CN"/>
    </w:rPr>
  </w:style>
  <w:style w:type="character" w:customStyle="1" w:styleId="Char4Char1">
    <w:name w:val="Char4 Char1"/>
    <w:unhideWhenUsed/>
    <w:qFormat/>
    <w:rPr>
      <w:rFonts w:ascii="宋体" w:eastAsia="宋体" w:hint="eastAsia"/>
      <w:color w:val="000000"/>
      <w:kern w:val="2"/>
      <w:sz w:val="24"/>
      <w:szCs w:val="24"/>
    </w:rPr>
  </w:style>
  <w:style w:type="character" w:customStyle="1" w:styleId="CharCharChar8">
    <w:name w:val="正文文字 Char Char Char"/>
    <w:unhideWhenUsed/>
    <w:qFormat/>
    <w:rPr>
      <w:rFonts w:eastAsia="宋体" w:hint="default"/>
      <w:kern w:val="2"/>
      <w:sz w:val="24"/>
      <w:szCs w:val="24"/>
      <w:lang w:val="en-US" w:eastAsia="zh-CN"/>
    </w:rPr>
  </w:style>
  <w:style w:type="character" w:customStyle="1" w:styleId="1Char21">
    <w:name w:val="项标题(1) Char2"/>
    <w:unhideWhenUsed/>
    <w:qFormat/>
    <w:rPr>
      <w:rFonts w:ascii="新宋体" w:eastAsia="仿宋_GB2312" w:hAnsi="新宋体" w:hint="eastAsia"/>
      <w:b/>
      <w:kern w:val="2"/>
      <w:sz w:val="24"/>
      <w:szCs w:val="24"/>
      <w:lang w:val="en-US" w:eastAsia="zh-CN"/>
    </w:rPr>
  </w:style>
  <w:style w:type="character" w:customStyle="1" w:styleId="5HChar">
    <w:name w:val="表头5H Char"/>
    <w:link w:val="5H"/>
    <w:unhideWhenUsed/>
    <w:qFormat/>
    <w:rPr>
      <w:rFonts w:ascii="黑体" w:eastAsia="黑体" w:hint="eastAsia"/>
      <w:kern w:val="2"/>
      <w:sz w:val="24"/>
      <w:szCs w:val="24"/>
    </w:rPr>
  </w:style>
  <w:style w:type="character" w:customStyle="1" w:styleId="0Char">
    <w:name w:val="0 Char"/>
    <w:link w:val="06"/>
    <w:unhideWhenUsed/>
    <w:qFormat/>
    <w:rPr>
      <w:rFonts w:hint="default"/>
      <w:color w:val="000000"/>
      <w:sz w:val="21"/>
      <w:szCs w:val="24"/>
    </w:rPr>
  </w:style>
  <w:style w:type="character" w:customStyle="1" w:styleId="Charffffe">
    <w:name w:val="规划 表格内容 Char"/>
    <w:link w:val="afffffffffffffffffffff8"/>
    <w:unhideWhenUsed/>
    <w:qFormat/>
    <w:rPr>
      <w:rFonts w:hint="default"/>
      <w:color w:val="000000"/>
      <w:sz w:val="18"/>
      <w:szCs w:val="24"/>
    </w:rPr>
  </w:style>
  <w:style w:type="character" w:customStyle="1" w:styleId="Charfffff">
    <w:name w:val="规划 正文 Char"/>
    <w:link w:val="afffffffffffffffffffff9"/>
    <w:unhideWhenUsed/>
    <w:qFormat/>
    <w:rPr>
      <w:rFonts w:hint="default"/>
      <w:sz w:val="21"/>
      <w:szCs w:val="24"/>
    </w:rPr>
  </w:style>
  <w:style w:type="character" w:customStyle="1" w:styleId="hangju">
    <w:name w:val="hangju"/>
    <w:basedOn w:val="a6"/>
    <w:unhideWhenUsed/>
    <w:qFormat/>
    <w:rPr>
      <w:rFonts w:cs="Times New Roman" w:hint="default"/>
      <w:sz w:val="24"/>
      <w:szCs w:val="24"/>
    </w:rPr>
  </w:style>
  <w:style w:type="character" w:customStyle="1" w:styleId="2CharChar20">
    <w:name w:val="正文文字缩进 2 Char Char2"/>
    <w:unhideWhenUsed/>
    <w:qFormat/>
    <w:rPr>
      <w:rFonts w:ascii="宋体" w:eastAsia="宋体" w:hint="eastAsia"/>
      <w:kern w:val="2"/>
      <w:sz w:val="24"/>
      <w:szCs w:val="24"/>
      <w:lang w:val="en-US" w:eastAsia="zh-CN"/>
    </w:rPr>
  </w:style>
  <w:style w:type="character" w:customStyle="1" w:styleId="articlebody">
    <w:name w:val="articlebody"/>
    <w:basedOn w:val="a6"/>
    <w:unhideWhenUsed/>
    <w:qFormat/>
    <w:rPr>
      <w:rFonts w:cs="Times New Roman" w:hint="default"/>
      <w:sz w:val="24"/>
      <w:szCs w:val="24"/>
    </w:rPr>
  </w:style>
  <w:style w:type="character" w:customStyle="1" w:styleId="11111CharChar1">
    <w:name w:val="标题1.1.1.1.1 Char Char1"/>
    <w:unhideWhenUsed/>
    <w:qFormat/>
    <w:rPr>
      <w:rFonts w:eastAsia="宋体" w:hint="default"/>
      <w:b/>
      <w:kern w:val="2"/>
      <w:sz w:val="28"/>
      <w:szCs w:val="24"/>
      <w:lang w:val="en-US" w:eastAsia="zh-CN"/>
    </w:rPr>
  </w:style>
  <w:style w:type="character" w:customStyle="1" w:styleId="111111CharChar1">
    <w:name w:val="标题1.1.1.1.1.1 Char Char1"/>
    <w:unhideWhenUsed/>
    <w:qFormat/>
    <w:rPr>
      <w:rFonts w:ascii="Arial" w:eastAsia="黑体" w:hAnsi="Arial" w:hint="eastAsia"/>
      <w:b/>
      <w:kern w:val="2"/>
      <w:sz w:val="24"/>
      <w:szCs w:val="24"/>
      <w:lang w:val="en-US" w:eastAsia="zh-CN"/>
    </w:rPr>
  </w:style>
  <w:style w:type="character" w:customStyle="1" w:styleId="1CharChar10">
    <w:name w:val="项标题(1) Char Char1"/>
    <w:unhideWhenUsed/>
    <w:qFormat/>
    <w:rPr>
      <w:rFonts w:eastAsia="宋体" w:hint="default"/>
      <w:b/>
      <w:kern w:val="2"/>
      <w:sz w:val="24"/>
      <w:szCs w:val="24"/>
      <w:lang w:val="en-US" w:eastAsia="zh-CN"/>
    </w:rPr>
  </w:style>
  <w:style w:type="character" w:customStyle="1" w:styleId="1CharChar11">
    <w:name w:val="目标题 1) Char Char1"/>
    <w:unhideWhenUsed/>
    <w:qFormat/>
    <w:rPr>
      <w:rFonts w:ascii="Arial" w:eastAsia="黑体" w:hAnsi="Arial" w:hint="eastAsia"/>
      <w:kern w:val="2"/>
      <w:sz w:val="24"/>
      <w:szCs w:val="24"/>
      <w:lang w:val="en-US" w:eastAsia="zh-CN"/>
    </w:rPr>
  </w:style>
  <w:style w:type="character" w:customStyle="1" w:styleId="aCharChar2">
    <w:name w:val="干标题(a) Char Char2"/>
    <w:unhideWhenUsed/>
    <w:qFormat/>
    <w:rPr>
      <w:rFonts w:ascii="Arial" w:eastAsia="黑体" w:hAnsi="Arial" w:hint="eastAsia"/>
      <w:kern w:val="2"/>
      <w:sz w:val="21"/>
      <w:szCs w:val="24"/>
      <w:lang w:val="en-US" w:eastAsia="zh-CN"/>
    </w:rPr>
  </w:style>
  <w:style w:type="character" w:customStyle="1" w:styleId="z-Char1">
    <w:name w:val="z-窗体底端 Char1"/>
    <w:unhideWhenUsed/>
    <w:qFormat/>
    <w:rPr>
      <w:rFonts w:ascii="Arial" w:hint="default"/>
      <w:vanish/>
      <w:kern w:val="2"/>
      <w:sz w:val="16"/>
      <w:szCs w:val="24"/>
    </w:rPr>
  </w:style>
  <w:style w:type="character" w:customStyle="1" w:styleId="1Charf">
    <w:name w:val="样式 标题 1 + Char"/>
    <w:unhideWhenUsed/>
    <w:qFormat/>
    <w:rPr>
      <w:rFonts w:ascii="Arial" w:eastAsia="宋体" w:hAnsi="宋体" w:hint="eastAsia"/>
      <w:b/>
      <w:kern w:val="44"/>
      <w:sz w:val="44"/>
      <w:szCs w:val="24"/>
      <w:lang w:val="en-US" w:eastAsia="zh-CN"/>
    </w:rPr>
  </w:style>
  <w:style w:type="character" w:customStyle="1" w:styleId="Charfffff0">
    <w:name w:val="段落样式 Char"/>
    <w:link w:val="afffffffffffffffffffffd"/>
    <w:unhideWhenUsed/>
    <w:qFormat/>
    <w:rPr>
      <w:rFonts w:hint="default"/>
      <w:w w:val="80"/>
      <w:sz w:val="28"/>
      <w:szCs w:val="24"/>
    </w:rPr>
  </w:style>
  <w:style w:type="character" w:customStyle="1" w:styleId="txChar">
    <w:name w:val="正文.tx Char"/>
    <w:link w:val="tx"/>
    <w:unhideWhenUsed/>
    <w:qFormat/>
    <w:rPr>
      <w:rFonts w:hint="default"/>
      <w:kern w:val="2"/>
      <w:sz w:val="28"/>
      <w:szCs w:val="24"/>
    </w:rPr>
  </w:style>
  <w:style w:type="character" w:customStyle="1" w:styleId="12Char0">
    <w:name w:val="样式12 Char"/>
    <w:link w:val="127"/>
    <w:unhideWhenUsed/>
    <w:qFormat/>
    <w:rPr>
      <w:rFonts w:hint="default"/>
      <w:kern w:val="2"/>
      <w:sz w:val="18"/>
      <w:szCs w:val="24"/>
    </w:rPr>
  </w:style>
  <w:style w:type="character" w:customStyle="1" w:styleId="4Char5">
    <w:name w:val="样式 标题 4 + Char"/>
    <w:link w:val="4f7"/>
    <w:unhideWhenUsed/>
    <w:qFormat/>
    <w:rPr>
      <w:rFonts w:ascii="宋体" w:eastAsia="宋体" w:hint="eastAsia"/>
      <w:color w:val="000000"/>
      <w:sz w:val="24"/>
      <w:szCs w:val="24"/>
    </w:rPr>
  </w:style>
  <w:style w:type="character" w:customStyle="1" w:styleId="31Char">
    <w:name w:val="样式 标题 3一、样式 + 小四 黑色1 Char"/>
    <w:link w:val="316"/>
    <w:unhideWhenUsed/>
    <w:qFormat/>
    <w:rPr>
      <w:rFonts w:hint="default"/>
      <w:color w:val="000000"/>
      <w:sz w:val="24"/>
      <w:szCs w:val="24"/>
    </w:rPr>
  </w:style>
  <w:style w:type="character" w:customStyle="1" w:styleId="Charfffffff0">
    <w:name w:val="正 Char"/>
    <w:unhideWhenUsed/>
    <w:qFormat/>
    <w:rPr>
      <w:rFonts w:ascii="Times New Roman" w:hint="default"/>
      <w:kern w:val="2"/>
      <w:sz w:val="24"/>
      <w:szCs w:val="24"/>
    </w:rPr>
  </w:style>
  <w:style w:type="character" w:customStyle="1" w:styleId="3Char5">
    <w:name w:val="样式 标题 3一、样式 + Char"/>
    <w:link w:val="3fe"/>
    <w:unhideWhenUsed/>
    <w:qFormat/>
    <w:rPr>
      <w:rFonts w:hint="default"/>
      <w:b/>
      <w:sz w:val="24"/>
      <w:szCs w:val="24"/>
    </w:rPr>
  </w:style>
  <w:style w:type="character" w:customStyle="1" w:styleId="Charfffffff1">
    <w:name w:val="章标题(有序号) Char"/>
    <w:unhideWhenUsed/>
    <w:qFormat/>
    <w:rPr>
      <w:rFonts w:eastAsia="黑体" w:hint="default"/>
      <w:b/>
      <w:sz w:val="44"/>
      <w:szCs w:val="24"/>
      <w:lang w:val="zh-CN"/>
    </w:rPr>
  </w:style>
  <w:style w:type="character" w:customStyle="1" w:styleId="1CharChar7">
    <w:name w:val="标题1 Char Char"/>
    <w:unhideWhenUsed/>
    <w:qFormat/>
    <w:rPr>
      <w:rFonts w:ascii="Cambria" w:eastAsia="黑体" w:hAnsi="Cambria" w:hint="eastAsia"/>
      <w:b/>
      <w:kern w:val="2"/>
      <w:sz w:val="32"/>
      <w:szCs w:val="24"/>
    </w:rPr>
  </w:style>
  <w:style w:type="character" w:customStyle="1" w:styleId="1fffff1">
    <w:name w:val="不明显参考1"/>
    <w:unhideWhenUsed/>
    <w:qFormat/>
    <w:rPr>
      <w:rFonts w:hint="default"/>
      <w:smallCaps/>
      <w:color w:val="C0504D"/>
      <w:sz w:val="24"/>
      <w:szCs w:val="24"/>
      <w:u w:val="single"/>
    </w:rPr>
  </w:style>
  <w:style w:type="character" w:customStyle="1" w:styleId="1fffff2">
    <w:name w:val="明显参考1"/>
    <w:unhideWhenUsed/>
    <w:qFormat/>
    <w:rPr>
      <w:rFonts w:hint="default"/>
      <w:b/>
      <w:smallCaps/>
      <w:color w:val="C0504D"/>
      <w:spacing w:val="5"/>
      <w:sz w:val="24"/>
      <w:szCs w:val="24"/>
      <w:u w:val="single"/>
    </w:rPr>
  </w:style>
  <w:style w:type="character" w:customStyle="1" w:styleId="1fffff3">
    <w:name w:val="书籍标题1"/>
    <w:unhideWhenUsed/>
    <w:qFormat/>
    <w:rPr>
      <w:rFonts w:hint="default"/>
      <w:b/>
      <w:smallCaps/>
      <w:spacing w:val="5"/>
      <w:sz w:val="24"/>
      <w:szCs w:val="24"/>
    </w:rPr>
  </w:style>
  <w:style w:type="character" w:customStyle="1" w:styleId="40Char">
    <w:name w:val="标题40 Char"/>
    <w:link w:val="400"/>
    <w:unhideWhenUsed/>
    <w:qFormat/>
    <w:rPr>
      <w:rFonts w:hint="default"/>
      <w:b/>
      <w:kern w:val="2"/>
      <w:sz w:val="24"/>
      <w:szCs w:val="24"/>
    </w:rPr>
  </w:style>
  <w:style w:type="character" w:customStyle="1" w:styleId="1Char0">
    <w:name w:val="目录 1 Char"/>
    <w:link w:val="10"/>
    <w:uiPriority w:val="39"/>
    <w:unhideWhenUsed/>
    <w:qFormat/>
    <w:rPr>
      <w:rFonts w:hint="default"/>
      <w:b/>
      <w:caps/>
      <w:kern w:val="2"/>
      <w:sz w:val="24"/>
      <w:szCs w:val="24"/>
    </w:rPr>
  </w:style>
  <w:style w:type="character" w:customStyle="1" w:styleId="CharCharffe">
    <w:name w:val="表题 Char Char"/>
    <w:unhideWhenUsed/>
    <w:qFormat/>
    <w:rPr>
      <w:rFonts w:ascii="宋体" w:eastAsia="宋体" w:hAnsi="宋体" w:hint="eastAsia"/>
      <w:b/>
      <w:sz w:val="24"/>
      <w:szCs w:val="24"/>
      <w:lang w:val="en-US" w:eastAsia="zh-CN"/>
    </w:rPr>
  </w:style>
  <w:style w:type="character" w:customStyle="1" w:styleId="1fffff4">
    <w:name w:val="页码1"/>
    <w:basedOn w:val="a6"/>
    <w:unhideWhenUsed/>
    <w:qFormat/>
    <w:rPr>
      <w:rFonts w:cs="Times New Roman" w:hint="default"/>
      <w:sz w:val="24"/>
      <w:szCs w:val="24"/>
    </w:rPr>
  </w:style>
  <w:style w:type="character" w:customStyle="1" w:styleId="aceeChar1">
    <w:name w:val="acee正文 Char1"/>
    <w:link w:val="acee"/>
    <w:unhideWhenUsed/>
    <w:qFormat/>
    <w:rPr>
      <w:rFonts w:ascii="宋体" w:eastAsia="宋体" w:hint="eastAsia"/>
      <w:kern w:val="2"/>
      <w:sz w:val="32"/>
      <w:szCs w:val="24"/>
    </w:rPr>
  </w:style>
  <w:style w:type="character" w:customStyle="1" w:styleId="a-Char0">
    <w:name w:val="a-表内 Char"/>
    <w:link w:val="a-0"/>
    <w:unhideWhenUsed/>
    <w:qFormat/>
    <w:rPr>
      <w:rFonts w:hint="default"/>
      <w:color w:val="000000"/>
      <w:sz w:val="21"/>
      <w:szCs w:val="24"/>
    </w:rPr>
  </w:style>
  <w:style w:type="character" w:customStyle="1" w:styleId="Char5Char2">
    <w:name w:val="Char5 Char2"/>
    <w:unhideWhenUsed/>
    <w:qFormat/>
    <w:rPr>
      <w:rFonts w:eastAsia="宋体" w:hint="default"/>
      <w:kern w:val="2"/>
      <w:sz w:val="28"/>
      <w:szCs w:val="24"/>
      <w:lang w:val="en-US" w:eastAsia="zh-CN"/>
    </w:rPr>
  </w:style>
  <w:style w:type="character" w:customStyle="1" w:styleId="Char4Char2">
    <w:name w:val="Char4 Char2"/>
    <w:unhideWhenUsed/>
    <w:qFormat/>
    <w:rPr>
      <w:rFonts w:eastAsia="宋体" w:hint="default"/>
      <w:sz w:val="21"/>
      <w:szCs w:val="24"/>
      <w:lang w:val="en-US" w:eastAsia="zh-CN"/>
    </w:rPr>
  </w:style>
  <w:style w:type="character" w:customStyle="1" w:styleId="CharChar2a">
    <w:name w:val="页眉 Char Char2"/>
    <w:unhideWhenUsed/>
    <w:qFormat/>
    <w:rPr>
      <w:rFonts w:eastAsia="宋体" w:hint="default"/>
      <w:kern w:val="2"/>
      <w:sz w:val="18"/>
      <w:szCs w:val="24"/>
      <w:lang w:val="en-US" w:eastAsia="zh-CN"/>
    </w:rPr>
  </w:style>
  <w:style w:type="character" w:customStyle="1" w:styleId="Char3Char2">
    <w:name w:val="Char3 Char2"/>
    <w:unhideWhenUsed/>
    <w:qFormat/>
    <w:rPr>
      <w:rFonts w:ascii="宋体" w:eastAsia="宋体" w:hAnsi="宋体" w:hint="eastAsia"/>
      <w:b/>
      <w:color w:val="000000"/>
      <w:kern w:val="2"/>
      <w:sz w:val="24"/>
      <w:szCs w:val="24"/>
      <w:lang w:val="en-US" w:eastAsia="zh-CN"/>
    </w:rPr>
  </w:style>
  <w:style w:type="character" w:customStyle="1" w:styleId="bodytextChar2">
    <w:name w:val="body text Char2"/>
    <w:unhideWhenUsed/>
    <w:qFormat/>
    <w:rPr>
      <w:rFonts w:eastAsia="宋体" w:hint="default"/>
      <w:kern w:val="2"/>
      <w:sz w:val="24"/>
      <w:szCs w:val="24"/>
      <w:lang w:val="en-US" w:eastAsia="zh-CN"/>
    </w:rPr>
  </w:style>
  <w:style w:type="character" w:customStyle="1" w:styleId="1Char22">
    <w:name w:val="目标题 1) Char2"/>
    <w:unhideWhenUsed/>
    <w:qFormat/>
    <w:rPr>
      <w:rFonts w:ascii="Arial" w:eastAsia="黑体" w:hAnsi="Arial" w:hint="eastAsia"/>
      <w:kern w:val="2"/>
      <w:sz w:val="24"/>
      <w:szCs w:val="24"/>
      <w:lang w:val="en-US" w:eastAsia="zh-CN"/>
    </w:rPr>
  </w:style>
  <w:style w:type="character" w:customStyle="1" w:styleId="2CharChar30">
    <w:name w:val="正文文字缩进 2 Char Char3"/>
    <w:unhideWhenUsed/>
    <w:qFormat/>
    <w:rPr>
      <w:rFonts w:eastAsia="宋体" w:hint="default"/>
      <w:sz w:val="24"/>
      <w:szCs w:val="24"/>
      <w:lang w:val="en-US" w:eastAsia="zh-CN"/>
    </w:rPr>
  </w:style>
  <w:style w:type="character" w:customStyle="1" w:styleId="11111Char2">
    <w:name w:val="标题1.1.1.1.1 Char2"/>
    <w:unhideWhenUsed/>
    <w:qFormat/>
    <w:rPr>
      <w:rFonts w:ascii="宋体" w:eastAsia="宋体" w:hint="eastAsia"/>
      <w:b/>
      <w:kern w:val="2"/>
      <w:sz w:val="24"/>
      <w:szCs w:val="24"/>
      <w:lang w:val="en-US" w:eastAsia="zh-CN"/>
    </w:rPr>
  </w:style>
  <w:style w:type="character" w:customStyle="1" w:styleId="111111Char1">
    <w:name w:val="标题1.1.1.1.1.1 Char1"/>
    <w:unhideWhenUsed/>
    <w:qFormat/>
    <w:rPr>
      <w:rFonts w:ascii="Arial" w:eastAsia="黑体" w:hAnsi="Arial" w:hint="eastAsia"/>
      <w:b/>
      <w:kern w:val="2"/>
      <w:sz w:val="24"/>
      <w:szCs w:val="24"/>
      <w:lang w:val="en-US" w:eastAsia="zh-CN"/>
    </w:rPr>
  </w:style>
  <w:style w:type="character" w:customStyle="1" w:styleId="aChar2">
    <w:name w:val="干标题(a) Char2"/>
    <w:unhideWhenUsed/>
    <w:qFormat/>
    <w:rPr>
      <w:rFonts w:ascii="Arial" w:eastAsia="黑体" w:hAnsi="Arial" w:hint="eastAsia"/>
      <w:kern w:val="2"/>
      <w:sz w:val="24"/>
      <w:szCs w:val="24"/>
      <w:lang w:val="en-US" w:eastAsia="zh-CN"/>
    </w:rPr>
  </w:style>
  <w:style w:type="character" w:customStyle="1" w:styleId="1Char30">
    <w:name w:val="项标题(1) Char3"/>
    <w:unhideWhenUsed/>
    <w:qFormat/>
    <w:rPr>
      <w:rFonts w:ascii="宋体" w:eastAsia="宋体" w:hint="eastAsia"/>
      <w:b/>
      <w:kern w:val="2"/>
      <w:sz w:val="24"/>
      <w:szCs w:val="24"/>
      <w:lang w:val="en-US" w:eastAsia="zh-CN"/>
    </w:rPr>
  </w:style>
  <w:style w:type="character" w:customStyle="1" w:styleId="3CharChar5">
    <w:name w:val="正文文字 3 Char Char"/>
    <w:unhideWhenUsed/>
    <w:qFormat/>
    <w:rPr>
      <w:rFonts w:eastAsia="宋体" w:hint="default"/>
      <w:kern w:val="2"/>
      <w:sz w:val="28"/>
      <w:szCs w:val="24"/>
      <w:lang w:val="en-US" w:eastAsia="zh-CN"/>
    </w:rPr>
  </w:style>
  <w:style w:type="character" w:customStyle="1" w:styleId="Char1fc">
    <w:name w:val="引用 Char1"/>
    <w:unhideWhenUsed/>
    <w:qFormat/>
    <w:rPr>
      <w:rFonts w:ascii="Calibri" w:eastAsia="宋体" w:hAnsi="Calibri" w:hint="eastAsia"/>
      <w:i/>
      <w:sz w:val="24"/>
      <w:szCs w:val="24"/>
      <w:lang w:val="en-US" w:eastAsia="en-US"/>
    </w:rPr>
  </w:style>
  <w:style w:type="character" w:customStyle="1" w:styleId="Char1fd">
    <w:name w:val="明显引用 Char1"/>
    <w:unhideWhenUsed/>
    <w:qFormat/>
    <w:rPr>
      <w:rFonts w:ascii="Calibri" w:eastAsia="宋体" w:hAnsi="Calibri" w:hint="eastAsia"/>
      <w:b/>
      <w:i/>
      <w:sz w:val="22"/>
      <w:szCs w:val="24"/>
      <w:lang w:val="en-US" w:eastAsia="en-US"/>
    </w:rPr>
  </w:style>
  <w:style w:type="character" w:customStyle="1" w:styleId="Char1fe">
    <w:name w:val="无间隔 Char1"/>
    <w:unhideWhenUsed/>
    <w:qFormat/>
    <w:rPr>
      <w:rFonts w:ascii="Calibri" w:hint="default"/>
      <w:kern w:val="2"/>
      <w:sz w:val="22"/>
      <w:szCs w:val="24"/>
      <w:lang w:val="en-US" w:eastAsia="zh-CN"/>
    </w:rPr>
  </w:style>
  <w:style w:type="character" w:customStyle="1" w:styleId="31Char1">
    <w:name w:val="正文文字缩进 31 Char1"/>
    <w:unhideWhenUsed/>
    <w:qFormat/>
    <w:rPr>
      <w:rFonts w:eastAsia="宋体" w:hint="default"/>
      <w:kern w:val="2"/>
      <w:sz w:val="24"/>
      <w:szCs w:val="24"/>
      <w:lang w:val="en-US" w:eastAsia="zh-CN"/>
    </w:rPr>
  </w:style>
  <w:style w:type="character" w:customStyle="1" w:styleId="CharChar39">
    <w:name w:val="页眉 Char Char3"/>
    <w:unhideWhenUsed/>
    <w:qFormat/>
    <w:rPr>
      <w:rFonts w:eastAsia="宋体" w:hint="default"/>
      <w:kern w:val="2"/>
      <w:sz w:val="18"/>
      <w:szCs w:val="24"/>
      <w:lang w:val="en-US" w:eastAsia="zh-CN"/>
    </w:rPr>
  </w:style>
  <w:style w:type="character" w:customStyle="1" w:styleId="Char3Char3">
    <w:name w:val="Char3 Char3"/>
    <w:unhideWhenUsed/>
    <w:qFormat/>
    <w:rPr>
      <w:rFonts w:eastAsia="宋体" w:hint="default"/>
      <w:kern w:val="2"/>
      <w:sz w:val="18"/>
      <w:szCs w:val="24"/>
      <w:lang w:val="en-US" w:eastAsia="zh-CN"/>
    </w:rPr>
  </w:style>
  <w:style w:type="character" w:customStyle="1" w:styleId="aChar3">
    <w:name w:val="干标题(a) Char3"/>
    <w:unhideWhenUsed/>
    <w:qFormat/>
    <w:rPr>
      <w:rFonts w:ascii="Arial" w:eastAsia="黑体" w:hAnsi="Arial" w:hint="eastAsia"/>
      <w:kern w:val="2"/>
      <w:sz w:val="21"/>
      <w:szCs w:val="24"/>
      <w:lang w:val="en-US" w:eastAsia="zh-CN"/>
    </w:rPr>
  </w:style>
  <w:style w:type="character" w:customStyle="1" w:styleId="Char5Char3">
    <w:name w:val="Char5 Char3"/>
    <w:unhideWhenUsed/>
    <w:qFormat/>
    <w:rPr>
      <w:rFonts w:eastAsia="宋体" w:hint="default"/>
      <w:kern w:val="2"/>
      <w:sz w:val="28"/>
      <w:szCs w:val="24"/>
      <w:lang w:val="en-US" w:eastAsia="zh-CN"/>
    </w:rPr>
  </w:style>
  <w:style w:type="character" w:customStyle="1" w:styleId="Char4Char3">
    <w:name w:val="Char4 Char3"/>
    <w:unhideWhenUsed/>
    <w:qFormat/>
    <w:rPr>
      <w:rFonts w:ascii="宋体" w:eastAsia="宋体" w:hint="eastAsia"/>
      <w:color w:val="000000"/>
      <w:kern w:val="2"/>
      <w:sz w:val="24"/>
      <w:szCs w:val="24"/>
    </w:rPr>
  </w:style>
  <w:style w:type="character" w:customStyle="1" w:styleId="Footer1Char4">
    <w:name w:val="Footer1 Char4"/>
    <w:unhideWhenUsed/>
    <w:qFormat/>
    <w:rPr>
      <w:rFonts w:eastAsia="宋体" w:hint="default"/>
      <w:kern w:val="2"/>
      <w:sz w:val="18"/>
      <w:szCs w:val="24"/>
      <w:lang w:val="en-US" w:eastAsia="zh-CN"/>
    </w:rPr>
  </w:style>
  <w:style w:type="character" w:customStyle="1" w:styleId="11111Char3">
    <w:name w:val="标题1.1.1.1.1 Char3"/>
    <w:unhideWhenUsed/>
    <w:qFormat/>
    <w:rPr>
      <w:rFonts w:ascii="新宋体" w:eastAsia="仿宋_GB2312" w:hAnsi="新宋体" w:hint="eastAsia"/>
      <w:b/>
      <w:kern w:val="2"/>
      <w:sz w:val="28"/>
      <w:szCs w:val="24"/>
      <w:lang w:val="en-US" w:eastAsia="zh-CN"/>
    </w:rPr>
  </w:style>
  <w:style w:type="character" w:customStyle="1" w:styleId="111111Char2">
    <w:name w:val="标题1.1.1.1.1.1 Char2"/>
    <w:unhideWhenUsed/>
    <w:qFormat/>
    <w:rPr>
      <w:rFonts w:ascii="Arial" w:eastAsia="黑体" w:hAnsi="Arial" w:hint="eastAsia"/>
      <w:b/>
      <w:kern w:val="2"/>
      <w:sz w:val="24"/>
      <w:szCs w:val="24"/>
      <w:lang w:val="en-US" w:eastAsia="zh-CN"/>
    </w:rPr>
  </w:style>
  <w:style w:type="character" w:customStyle="1" w:styleId="1Char40">
    <w:name w:val="项标题(1) Char4"/>
    <w:unhideWhenUsed/>
    <w:qFormat/>
    <w:rPr>
      <w:rFonts w:ascii="新宋体" w:eastAsia="仿宋_GB2312" w:hAnsi="新宋体" w:hint="eastAsia"/>
      <w:b/>
      <w:kern w:val="2"/>
      <w:sz w:val="24"/>
      <w:szCs w:val="24"/>
      <w:lang w:val="en-US" w:eastAsia="zh-CN"/>
    </w:rPr>
  </w:style>
  <w:style w:type="character" w:customStyle="1" w:styleId="1Char31">
    <w:name w:val="目标题 1) Char3"/>
    <w:unhideWhenUsed/>
    <w:qFormat/>
    <w:rPr>
      <w:rFonts w:ascii="Arial" w:eastAsia="黑体" w:hAnsi="Arial" w:hint="eastAsia"/>
      <w:kern w:val="2"/>
      <w:sz w:val="24"/>
      <w:szCs w:val="24"/>
      <w:lang w:val="en-US" w:eastAsia="zh-CN"/>
    </w:rPr>
  </w:style>
  <w:style w:type="character" w:customStyle="1" w:styleId="2CharChar40">
    <w:name w:val="正文文字缩进 2 Char Char4"/>
    <w:unhideWhenUsed/>
    <w:qFormat/>
    <w:rPr>
      <w:rFonts w:ascii="宋体" w:eastAsia="宋体" w:hAnsi="宋体" w:hint="eastAsia"/>
      <w:sz w:val="28"/>
      <w:szCs w:val="24"/>
      <w:lang w:val="en-US" w:eastAsia="zh-CN"/>
    </w:rPr>
  </w:style>
  <w:style w:type="character" w:customStyle="1" w:styleId="3CharChar12">
    <w:name w:val="正文文字 3 Char Char1"/>
    <w:unhideWhenUsed/>
    <w:qFormat/>
    <w:rPr>
      <w:rFonts w:ascii="仿宋_GB2312" w:eastAsia="宋体" w:hAnsi="宋体" w:hint="eastAsia"/>
      <w:kern w:val="2"/>
      <w:sz w:val="24"/>
      <w:szCs w:val="24"/>
      <w:lang w:val="en-US" w:eastAsia="zh-CN"/>
    </w:rPr>
  </w:style>
  <w:style w:type="character" w:customStyle="1" w:styleId="Char1CharChar4">
    <w:name w:val="正文首行缩进 Char1 Char Char4"/>
    <w:unhideWhenUsed/>
    <w:qFormat/>
    <w:rPr>
      <w:rFonts w:ascii="新宋体" w:eastAsia="仿宋_GB2312" w:hAnsi="新宋体" w:hint="eastAsia"/>
      <w:kern w:val="2"/>
      <w:sz w:val="28"/>
      <w:szCs w:val="24"/>
      <w:lang w:val="en-US" w:eastAsia="zh-CN"/>
    </w:rPr>
  </w:style>
  <w:style w:type="character" w:customStyle="1" w:styleId="1Char32">
    <w:name w:val="正文缩进1 Char3"/>
    <w:unhideWhenUsed/>
    <w:qFormat/>
    <w:rPr>
      <w:rFonts w:eastAsia="宋体" w:hint="default"/>
      <w:kern w:val="2"/>
      <w:sz w:val="24"/>
      <w:szCs w:val="24"/>
      <w:lang w:val="en-US" w:eastAsia="zh-CN"/>
    </w:rPr>
  </w:style>
  <w:style w:type="character" w:customStyle="1" w:styleId="CharChar41">
    <w:name w:val="页眉 Char Char4"/>
    <w:unhideWhenUsed/>
    <w:qFormat/>
    <w:rPr>
      <w:rFonts w:eastAsia="宋体" w:hint="default"/>
      <w:kern w:val="2"/>
      <w:sz w:val="18"/>
      <w:szCs w:val="24"/>
      <w:lang w:val="en-US" w:eastAsia="zh-CN"/>
    </w:rPr>
  </w:style>
  <w:style w:type="character" w:customStyle="1" w:styleId="Char3Char4">
    <w:name w:val="Char3 Char4"/>
    <w:unhideWhenUsed/>
    <w:qFormat/>
    <w:rPr>
      <w:rFonts w:eastAsia="宋体" w:hint="default"/>
      <w:kern w:val="2"/>
      <w:sz w:val="18"/>
      <w:szCs w:val="24"/>
      <w:lang w:val="en-US" w:eastAsia="zh-CN"/>
    </w:rPr>
  </w:style>
  <w:style w:type="character" w:customStyle="1" w:styleId="aChar4">
    <w:name w:val="干标题(a) Char4"/>
    <w:unhideWhenUsed/>
    <w:qFormat/>
    <w:rPr>
      <w:rFonts w:ascii="Arial" w:eastAsia="黑体" w:hAnsi="Arial" w:hint="eastAsia"/>
      <w:kern w:val="2"/>
      <w:sz w:val="21"/>
      <w:szCs w:val="24"/>
      <w:lang w:val="en-US" w:eastAsia="zh-CN"/>
    </w:rPr>
  </w:style>
  <w:style w:type="character" w:customStyle="1" w:styleId="Char5Char4">
    <w:name w:val="Char5 Char4"/>
    <w:unhideWhenUsed/>
    <w:qFormat/>
    <w:rPr>
      <w:rFonts w:eastAsia="宋体" w:hint="default"/>
      <w:kern w:val="2"/>
      <w:sz w:val="28"/>
      <w:szCs w:val="24"/>
      <w:lang w:val="en-US" w:eastAsia="zh-CN"/>
    </w:rPr>
  </w:style>
  <w:style w:type="character" w:customStyle="1" w:styleId="Char4Char4">
    <w:name w:val="Char4 Char4"/>
    <w:unhideWhenUsed/>
    <w:qFormat/>
    <w:rPr>
      <w:rFonts w:ascii="宋体" w:eastAsia="宋体" w:hint="eastAsia"/>
      <w:color w:val="000000"/>
      <w:kern w:val="2"/>
      <w:sz w:val="24"/>
      <w:szCs w:val="24"/>
    </w:rPr>
  </w:style>
  <w:style w:type="character" w:customStyle="1" w:styleId="Footer1Char5">
    <w:name w:val="Footer1 Char5"/>
    <w:unhideWhenUsed/>
    <w:qFormat/>
    <w:rPr>
      <w:rFonts w:eastAsia="宋体" w:hint="default"/>
      <w:kern w:val="2"/>
      <w:sz w:val="18"/>
      <w:szCs w:val="24"/>
      <w:lang w:val="en-US" w:eastAsia="zh-CN"/>
    </w:rPr>
  </w:style>
  <w:style w:type="character" w:customStyle="1" w:styleId="11111Char4">
    <w:name w:val="标题1.1.1.1.1 Char4"/>
    <w:unhideWhenUsed/>
    <w:qFormat/>
    <w:rPr>
      <w:rFonts w:ascii="新宋体" w:eastAsia="仿宋_GB2312" w:hAnsi="新宋体" w:hint="eastAsia"/>
      <w:b/>
      <w:kern w:val="2"/>
      <w:sz w:val="28"/>
      <w:szCs w:val="24"/>
      <w:lang w:val="en-US" w:eastAsia="zh-CN"/>
    </w:rPr>
  </w:style>
  <w:style w:type="character" w:customStyle="1" w:styleId="111111Char3">
    <w:name w:val="标题1.1.1.1.1.1 Char3"/>
    <w:unhideWhenUsed/>
    <w:qFormat/>
    <w:rPr>
      <w:rFonts w:ascii="Arial" w:eastAsia="黑体" w:hAnsi="Arial" w:hint="eastAsia"/>
      <w:b/>
      <w:kern w:val="2"/>
      <w:sz w:val="24"/>
      <w:szCs w:val="24"/>
      <w:lang w:val="en-US" w:eastAsia="zh-CN"/>
    </w:rPr>
  </w:style>
  <w:style w:type="character" w:customStyle="1" w:styleId="1Char50">
    <w:name w:val="项标题(1) Char5"/>
    <w:unhideWhenUsed/>
    <w:qFormat/>
    <w:rPr>
      <w:rFonts w:ascii="新宋体" w:eastAsia="仿宋_GB2312" w:hAnsi="新宋体" w:hint="eastAsia"/>
      <w:b/>
      <w:kern w:val="2"/>
      <w:sz w:val="24"/>
      <w:szCs w:val="24"/>
      <w:lang w:val="en-US" w:eastAsia="zh-CN"/>
    </w:rPr>
  </w:style>
  <w:style w:type="character" w:customStyle="1" w:styleId="1Char41">
    <w:name w:val="目标题 1) Char4"/>
    <w:unhideWhenUsed/>
    <w:qFormat/>
    <w:rPr>
      <w:rFonts w:ascii="Arial" w:eastAsia="黑体" w:hAnsi="Arial" w:hint="eastAsia"/>
      <w:kern w:val="2"/>
      <w:sz w:val="24"/>
      <w:szCs w:val="24"/>
      <w:lang w:val="en-US" w:eastAsia="zh-CN"/>
    </w:rPr>
  </w:style>
  <w:style w:type="character" w:customStyle="1" w:styleId="2CharChar50">
    <w:name w:val="正文文字缩进 2 Char Char5"/>
    <w:unhideWhenUsed/>
    <w:qFormat/>
    <w:rPr>
      <w:rFonts w:ascii="宋体" w:eastAsia="宋体" w:hAnsi="宋体" w:hint="eastAsia"/>
      <w:sz w:val="28"/>
      <w:szCs w:val="24"/>
      <w:lang w:val="en-US" w:eastAsia="zh-CN"/>
    </w:rPr>
  </w:style>
  <w:style w:type="character" w:customStyle="1" w:styleId="3CharChar20">
    <w:name w:val="正文文字 3 Char Char2"/>
    <w:unhideWhenUsed/>
    <w:qFormat/>
    <w:rPr>
      <w:rFonts w:ascii="仿宋_GB2312" w:eastAsia="宋体" w:hAnsi="宋体" w:hint="eastAsia"/>
      <w:kern w:val="2"/>
      <w:sz w:val="24"/>
      <w:szCs w:val="24"/>
      <w:lang w:val="en-US" w:eastAsia="zh-CN"/>
    </w:rPr>
  </w:style>
  <w:style w:type="character" w:customStyle="1" w:styleId="Char1CharChar5">
    <w:name w:val="正文首行缩进 Char1 Char Char5"/>
    <w:unhideWhenUsed/>
    <w:qFormat/>
    <w:rPr>
      <w:rFonts w:ascii="新宋体" w:eastAsia="仿宋_GB2312" w:hAnsi="新宋体" w:hint="eastAsia"/>
      <w:kern w:val="2"/>
      <w:sz w:val="28"/>
      <w:szCs w:val="24"/>
      <w:lang w:val="en-US" w:eastAsia="zh-CN"/>
    </w:rPr>
  </w:style>
  <w:style w:type="character" w:customStyle="1" w:styleId="1CharChar8">
    <w:name w:val="页眉1 Char Char"/>
    <w:unhideWhenUsed/>
    <w:qFormat/>
    <w:rPr>
      <w:rFonts w:eastAsia="宋体" w:hint="default"/>
      <w:kern w:val="2"/>
      <w:sz w:val="18"/>
      <w:szCs w:val="24"/>
      <w:lang w:val="en-US" w:eastAsia="zh-CN"/>
    </w:rPr>
  </w:style>
  <w:style w:type="character" w:customStyle="1" w:styleId="CharCharfff">
    <w:name w:val="规划 表格内容 Char Char"/>
    <w:unhideWhenUsed/>
    <w:qFormat/>
    <w:rPr>
      <w:rFonts w:eastAsia="宋体" w:hint="default"/>
      <w:color w:val="000000"/>
      <w:sz w:val="18"/>
      <w:szCs w:val="24"/>
      <w:lang w:val="en-US" w:eastAsia="zh-CN"/>
    </w:rPr>
  </w:style>
  <w:style w:type="character" w:customStyle="1" w:styleId="CharCharfff0">
    <w:name w:val="段落文字 Char Char"/>
    <w:unhideWhenUsed/>
    <w:qFormat/>
    <w:rPr>
      <w:rFonts w:eastAsia="宋体" w:hint="default"/>
      <w:sz w:val="24"/>
      <w:szCs w:val="24"/>
      <w:lang w:val="en-US" w:eastAsia="zh-CN"/>
    </w:rPr>
  </w:style>
  <w:style w:type="character" w:customStyle="1" w:styleId="zwb-CharChar">
    <w:name w:val="zwb-正文 Char Char"/>
    <w:unhideWhenUsed/>
    <w:qFormat/>
    <w:rPr>
      <w:rFonts w:hint="default"/>
      <w:kern w:val="2"/>
      <w:sz w:val="24"/>
      <w:szCs w:val="24"/>
    </w:rPr>
  </w:style>
  <w:style w:type="character" w:customStyle="1" w:styleId="CharCharfff1">
    <w:name w:val="中远正文 Char Char"/>
    <w:unhideWhenUsed/>
    <w:qFormat/>
    <w:rPr>
      <w:rFonts w:eastAsia="宋体" w:hint="default"/>
      <w:kern w:val="24"/>
      <w:sz w:val="24"/>
      <w:szCs w:val="24"/>
      <w:lang w:val="en-US" w:eastAsia="zh-CN"/>
    </w:rPr>
  </w:style>
  <w:style w:type="character" w:customStyle="1" w:styleId="3CharChar6">
    <w:name w:val="样式 标题 3一、样式 + Char Char"/>
    <w:unhideWhenUsed/>
    <w:qFormat/>
    <w:rPr>
      <w:rFonts w:eastAsia="宋体" w:hint="default"/>
      <w:b/>
      <w:sz w:val="24"/>
      <w:szCs w:val="24"/>
      <w:lang w:val="en-US" w:eastAsia="zh-CN"/>
    </w:rPr>
  </w:style>
  <w:style w:type="character" w:customStyle="1" w:styleId="CharCharCharCharCharCharCharCharCharCharCharCharCharCharChar1">
    <w:name w:val="Char Char Char Char Char Char Char Char Char Char Char Char Char Char Char1"/>
    <w:unhideWhenUsed/>
    <w:qFormat/>
    <w:rPr>
      <w:rFonts w:ascii="宋体" w:eastAsia="宋体" w:hAnsi="Courier New" w:hint="eastAsia"/>
      <w:kern w:val="2"/>
      <w:sz w:val="21"/>
      <w:szCs w:val="24"/>
      <w:lang w:val="en-US" w:eastAsia="zh-CN"/>
    </w:rPr>
  </w:style>
  <w:style w:type="character" w:customStyle="1" w:styleId="CharCharfff2">
    <w:name w:val="样式 题注 + (中文) 黑体 Char Char"/>
    <w:unhideWhenUsed/>
    <w:qFormat/>
    <w:rPr>
      <w:rFonts w:ascii="Arial" w:eastAsia="宋体" w:hAnsi="Arial" w:hint="eastAsia"/>
      <w:kern w:val="2"/>
      <w:sz w:val="24"/>
      <w:szCs w:val="24"/>
      <w:lang w:val="en-US" w:eastAsia="zh-CN"/>
    </w:rPr>
  </w:style>
  <w:style w:type="character" w:customStyle="1" w:styleId="CharCharfff3">
    <w:name w:val="样式 正文首行缩进 + 黑色 Char Char"/>
    <w:unhideWhenUsed/>
    <w:qFormat/>
    <w:rPr>
      <w:rFonts w:eastAsia="宋体" w:hint="default"/>
      <w:color w:val="000000"/>
      <w:sz w:val="24"/>
      <w:szCs w:val="24"/>
      <w:lang w:val="en-US" w:eastAsia="zh-CN"/>
    </w:rPr>
  </w:style>
  <w:style w:type="character" w:customStyle="1" w:styleId="CharCharfff4">
    <w:name w:val="表名，单位 Char Char"/>
    <w:unhideWhenUsed/>
    <w:qFormat/>
    <w:rPr>
      <w:rFonts w:ascii="宋体" w:eastAsia="宋体" w:hAnsi="宋体" w:hint="eastAsia"/>
      <w:b/>
      <w:spacing w:val="-4"/>
      <w:kern w:val="2"/>
      <w:sz w:val="24"/>
      <w:szCs w:val="24"/>
      <w:lang w:val="en-US" w:eastAsia="zh-CN"/>
    </w:rPr>
  </w:style>
  <w:style w:type="character" w:customStyle="1" w:styleId="CharCharfff5">
    <w:name w:val="方案正文样式 Char Char"/>
    <w:unhideWhenUsed/>
    <w:qFormat/>
    <w:rPr>
      <w:rFonts w:eastAsia="宋体" w:hint="default"/>
      <w:sz w:val="24"/>
      <w:szCs w:val="24"/>
      <w:lang w:val="en-US" w:eastAsia="zh-CN"/>
    </w:rPr>
  </w:style>
  <w:style w:type="character" w:customStyle="1" w:styleId="2CharCharc">
    <w:name w:val="表格文字2 Char Char"/>
    <w:unhideWhenUsed/>
    <w:qFormat/>
    <w:rPr>
      <w:rFonts w:eastAsia="宋体" w:hint="default"/>
      <w:sz w:val="21"/>
      <w:szCs w:val="24"/>
      <w:lang w:val="en-US" w:eastAsia="zh-CN"/>
    </w:rPr>
  </w:style>
  <w:style w:type="character" w:customStyle="1" w:styleId="CharCharfff6">
    <w:name w:val="表格题注 Char Char"/>
    <w:unhideWhenUsed/>
    <w:qFormat/>
    <w:rPr>
      <w:rFonts w:eastAsia="宋体" w:hint="default"/>
      <w:b/>
      <w:kern w:val="24"/>
      <w:sz w:val="21"/>
      <w:szCs w:val="24"/>
      <w:lang w:val="en-US" w:eastAsia="zh-CN"/>
    </w:rPr>
  </w:style>
  <w:style w:type="character" w:customStyle="1" w:styleId="CharCharfff7">
    <w:name w:val="样式 表头 + 小五 Char Char"/>
    <w:unhideWhenUsed/>
    <w:qFormat/>
    <w:rPr>
      <w:rFonts w:ascii="宋体" w:eastAsia="宋体" w:hint="eastAsia"/>
      <w:b/>
      <w:kern w:val="2"/>
      <w:sz w:val="21"/>
      <w:szCs w:val="24"/>
      <w:lang w:val="en-US" w:eastAsia="zh-CN"/>
    </w:rPr>
  </w:style>
  <w:style w:type="character" w:customStyle="1" w:styleId="4CharChar4">
    <w:name w:val="4级样式 Char Char"/>
    <w:unhideWhenUsed/>
    <w:qFormat/>
    <w:rPr>
      <w:rFonts w:ascii="Arial" w:eastAsia="黑体" w:hAnsi="Arial" w:hint="eastAsia"/>
      <w:color w:val="339966"/>
      <w:kern w:val="2"/>
      <w:sz w:val="24"/>
      <w:szCs w:val="24"/>
    </w:rPr>
  </w:style>
  <w:style w:type="character" w:customStyle="1" w:styleId="CharCharfff8">
    <w:name w:val="论文正文文字 Char Char"/>
    <w:unhideWhenUsed/>
    <w:qFormat/>
    <w:rPr>
      <w:rFonts w:eastAsia="宋体" w:hint="default"/>
      <w:sz w:val="24"/>
      <w:szCs w:val="24"/>
      <w:lang w:val="en-US" w:eastAsia="zh-CN"/>
    </w:rPr>
  </w:style>
  <w:style w:type="character" w:customStyle="1" w:styleId="211112112Charb2W2H22CharCh1CharChar">
    <w:name w:val="样式 标题 2节标题 1.11.1标题2例如：1.1 内容标题 2 Charb2W2H2标题 2 Char Ch...1 Char Char"/>
    <w:unhideWhenUsed/>
    <w:qFormat/>
    <w:rPr>
      <w:rFonts w:ascii="宋体" w:eastAsia="宋体" w:hAnsi="宋体" w:hint="eastAsia"/>
      <w:b/>
      <w:color w:val="000000"/>
      <w:kern w:val="2"/>
      <w:sz w:val="32"/>
      <w:szCs w:val="24"/>
      <w:lang w:val="en-US" w:eastAsia="zh-CN"/>
    </w:rPr>
  </w:style>
  <w:style w:type="character" w:customStyle="1" w:styleId="CharCharfff9">
    <w:name w:val="表、图名宋旭峰 Char Char"/>
    <w:unhideWhenUsed/>
    <w:qFormat/>
    <w:rPr>
      <w:rFonts w:ascii="黑体" w:eastAsia="黑体" w:hAnsi="宋体" w:hint="eastAsia"/>
      <w:sz w:val="21"/>
      <w:szCs w:val="24"/>
      <w:lang w:val="en-US" w:eastAsia="zh-CN"/>
    </w:rPr>
  </w:style>
  <w:style w:type="character" w:customStyle="1" w:styleId="2TimesNewRomanCharChar">
    <w:name w:val="正文首行缩进 2 + Times New Roman Char Char"/>
    <w:unhideWhenUsed/>
    <w:qFormat/>
    <w:rPr>
      <w:rFonts w:ascii="宋体" w:eastAsia="宋体" w:hAnsi="宋体" w:hint="eastAsia"/>
      <w:color w:val="00FF00"/>
      <w:sz w:val="24"/>
      <w:szCs w:val="24"/>
      <w:lang w:val="en-US" w:eastAsia="zh-CN"/>
    </w:rPr>
  </w:style>
  <w:style w:type="character" w:customStyle="1" w:styleId="CharCharfffa">
    <w:name w:val="燕山正文 Char Char"/>
    <w:unhideWhenUsed/>
    <w:qFormat/>
    <w:rPr>
      <w:rFonts w:ascii="宋体" w:eastAsia="宋体" w:hAnsi="宋体" w:hint="eastAsia"/>
      <w:color w:val="000000"/>
      <w:kern w:val="2"/>
      <w:sz w:val="28"/>
      <w:szCs w:val="24"/>
      <w:lang w:val="en-US" w:eastAsia="zh-CN"/>
    </w:rPr>
  </w:style>
  <w:style w:type="character" w:customStyle="1" w:styleId="CharCharfffb">
    <w:name w:val="样式 题注 + (中文) 黑体 加粗 Char Char"/>
    <w:unhideWhenUsed/>
    <w:qFormat/>
    <w:rPr>
      <w:rFonts w:ascii="Arial" w:eastAsia="宋体" w:hAnsi="Arial" w:hint="eastAsia"/>
      <w:b/>
      <w:kern w:val="2"/>
      <w:sz w:val="24"/>
      <w:szCs w:val="24"/>
      <w:lang w:val="en-US" w:eastAsia="zh-CN"/>
    </w:rPr>
  </w:style>
  <w:style w:type="character" w:customStyle="1" w:styleId="211112112Charb2W2H22CharChCharChar">
    <w:name w:val="样式 标题 2节标题 1.11.1标题2例如：1.1 内容标题 2 Charb2W2H2标题 2 Char Ch... Char Char"/>
    <w:unhideWhenUsed/>
    <w:qFormat/>
    <w:rPr>
      <w:rFonts w:ascii="宋体" w:eastAsia="宋体" w:hAnsi="宋体" w:hint="eastAsia"/>
      <w:b/>
      <w:color w:val="000000"/>
      <w:kern w:val="2"/>
      <w:sz w:val="32"/>
      <w:szCs w:val="24"/>
      <w:lang w:val="en-US" w:eastAsia="zh-CN"/>
    </w:rPr>
  </w:style>
  <w:style w:type="character" w:customStyle="1" w:styleId="002CharChar">
    <w:name w:val="002 Char Char"/>
    <w:unhideWhenUsed/>
    <w:qFormat/>
    <w:rPr>
      <w:rFonts w:ascii="宋体" w:eastAsia="宋体" w:hAnsi="宋体" w:hint="eastAsia"/>
      <w:kern w:val="2"/>
      <w:sz w:val="32"/>
      <w:szCs w:val="24"/>
      <w:lang w:val="en-US" w:eastAsia="zh-CN"/>
    </w:rPr>
  </w:style>
  <w:style w:type="character" w:customStyle="1" w:styleId="CharCharCharChar6">
    <w:name w:val="报告正文 Char Char Char Char"/>
    <w:unhideWhenUsed/>
    <w:qFormat/>
    <w:rPr>
      <w:rFonts w:eastAsia="仿宋_GB2312" w:hint="default"/>
      <w:kern w:val="2"/>
      <w:sz w:val="24"/>
      <w:szCs w:val="24"/>
      <w:lang w:val="en-US" w:eastAsia="zh-CN"/>
    </w:rPr>
  </w:style>
  <w:style w:type="character" w:customStyle="1" w:styleId="CharCharCharChar7">
    <w:name w:val="正文文本最新 Char Char Char Char"/>
    <w:unhideWhenUsed/>
    <w:qFormat/>
    <w:rPr>
      <w:rFonts w:eastAsia="宋体" w:hint="default"/>
      <w:kern w:val="2"/>
      <w:sz w:val="24"/>
      <w:szCs w:val="24"/>
      <w:lang w:val="en-US" w:eastAsia="zh-CN"/>
    </w:rPr>
  </w:style>
  <w:style w:type="character" w:customStyle="1" w:styleId="CharCharfffc">
    <w:name w:val="表、图名 Char Char"/>
    <w:unhideWhenUsed/>
    <w:qFormat/>
    <w:rPr>
      <w:rFonts w:ascii="宋体" w:eastAsia="宋体" w:hAnsi="宋体" w:hint="eastAsia"/>
      <w:b/>
      <w:color w:val="000000"/>
      <w:sz w:val="24"/>
      <w:szCs w:val="24"/>
      <w:lang w:val="en-US" w:eastAsia="zh-CN"/>
    </w:rPr>
  </w:style>
  <w:style w:type="character" w:customStyle="1" w:styleId="ACharChar">
    <w:name w:val="A正文 Char Char"/>
    <w:unhideWhenUsed/>
    <w:qFormat/>
    <w:rPr>
      <w:rFonts w:eastAsia="宋体" w:hint="default"/>
      <w:kern w:val="2"/>
      <w:sz w:val="24"/>
      <w:szCs w:val="24"/>
    </w:rPr>
  </w:style>
  <w:style w:type="character" w:customStyle="1" w:styleId="1b1H111CharchapOGHeadiCharChar">
    <w:name w:val="样式 标题 1章节标题b1H1章标题 1标题 1 Char一级标题，黑粗，三号，序号章chapOG Headi... Char Char"/>
    <w:unhideWhenUsed/>
    <w:qFormat/>
    <w:rPr>
      <w:rFonts w:ascii="宋体" w:eastAsia="宋体" w:hAnsi="宋体" w:hint="eastAsia"/>
      <w:b/>
      <w:color w:val="000000"/>
      <w:sz w:val="32"/>
      <w:szCs w:val="24"/>
      <w:lang w:val="en-US" w:eastAsia="zh-CN"/>
    </w:rPr>
  </w:style>
  <w:style w:type="character" w:customStyle="1" w:styleId="CharCharfffd">
    <w:name w:val="正文（不缩进） Char Char"/>
    <w:unhideWhenUsed/>
    <w:qFormat/>
    <w:rPr>
      <w:rFonts w:hint="default"/>
      <w:sz w:val="24"/>
      <w:szCs w:val="24"/>
    </w:rPr>
  </w:style>
  <w:style w:type="character" w:customStyle="1" w:styleId="5HCharChar">
    <w:name w:val="表头5H Char Char"/>
    <w:unhideWhenUsed/>
    <w:qFormat/>
    <w:rPr>
      <w:rFonts w:ascii="黑体" w:eastAsia="黑体" w:hint="eastAsia"/>
      <w:kern w:val="2"/>
      <w:sz w:val="24"/>
      <w:szCs w:val="24"/>
      <w:lang w:val="en-US" w:eastAsia="zh-CN"/>
    </w:rPr>
  </w:style>
  <w:style w:type="character" w:customStyle="1" w:styleId="MANUALCharChar">
    <w:name w:val="MANUAL Char Char"/>
    <w:unhideWhenUsed/>
    <w:qFormat/>
    <w:rPr>
      <w:rFonts w:ascii="MS Mincho" w:eastAsia="MS Mincho" w:hint="eastAsia"/>
      <w:spacing w:val="-20"/>
      <w:sz w:val="22"/>
      <w:szCs w:val="24"/>
      <w:lang w:eastAsia="ja-JP"/>
    </w:rPr>
  </w:style>
  <w:style w:type="character" w:customStyle="1" w:styleId="StyleHeading1LeftBefore05lineCharChar">
    <w:name w:val="Style Heading 1 + Left Before:  0.5 line Char Char"/>
    <w:unhideWhenUsed/>
    <w:qFormat/>
    <w:rPr>
      <w:rFonts w:ascii="Arial" w:eastAsia="宋体" w:hAnsi="Arial" w:hint="eastAsia"/>
      <w:kern w:val="44"/>
      <w:sz w:val="24"/>
      <w:szCs w:val="24"/>
      <w:lang w:val="en-US" w:eastAsia="zh-CN"/>
    </w:rPr>
  </w:style>
  <w:style w:type="character" w:customStyle="1" w:styleId="CharCharfffe">
    <w:name w:val="小四正文 Char Char"/>
    <w:unhideWhenUsed/>
    <w:qFormat/>
    <w:rPr>
      <w:rFonts w:eastAsia="宋体" w:hint="default"/>
      <w:kern w:val="2"/>
      <w:sz w:val="24"/>
      <w:szCs w:val="24"/>
      <w:lang w:val="en-US" w:eastAsia="zh-CN"/>
    </w:rPr>
  </w:style>
  <w:style w:type="character" w:customStyle="1" w:styleId="CharCharCharCharCharCharCharCharCharCharCharCharCharCharCharCharCharCharCharCharChar0">
    <w:name w:val="样式 Char Char Char Char Char Char Char Char Char Char Char Char Char Char Char Char Char Char Char Char Char"/>
    <w:unhideWhenUsed/>
    <w:qFormat/>
    <w:rPr>
      <w:rFonts w:eastAsia="宋体" w:hint="default"/>
      <w:sz w:val="24"/>
      <w:szCs w:val="24"/>
      <w:lang w:val="en-US" w:eastAsia="zh-CN"/>
    </w:rPr>
  </w:style>
  <w:style w:type="character" w:customStyle="1" w:styleId="CharCharffff">
    <w:name w:val="表中文字居中 Char Char"/>
    <w:unhideWhenUsed/>
    <w:qFormat/>
    <w:rPr>
      <w:rFonts w:ascii="宋体" w:eastAsia="宋体" w:hint="eastAsia"/>
      <w:kern w:val="2"/>
      <w:sz w:val="24"/>
      <w:szCs w:val="24"/>
      <w:lang w:val="en-US" w:eastAsia="zh-CN"/>
    </w:rPr>
  </w:style>
  <w:style w:type="character" w:customStyle="1" w:styleId="CharCharffff0">
    <w:name w:val="四号 正文 Char Char"/>
    <w:unhideWhenUsed/>
    <w:qFormat/>
    <w:rPr>
      <w:rFonts w:eastAsia="宋体" w:hint="default"/>
      <w:spacing w:val="6"/>
      <w:kern w:val="2"/>
      <w:sz w:val="28"/>
      <w:szCs w:val="24"/>
      <w:lang w:val="en-US" w:eastAsia="zh-CN"/>
    </w:rPr>
  </w:style>
  <w:style w:type="character" w:customStyle="1" w:styleId="4CharChar5">
    <w:name w:val="表小4 Char Char"/>
    <w:unhideWhenUsed/>
    <w:qFormat/>
    <w:rPr>
      <w:rFonts w:ascii="宋体" w:eastAsia="宋体" w:hAnsi="宋体" w:hint="eastAsia"/>
      <w:sz w:val="21"/>
      <w:szCs w:val="24"/>
      <w:lang w:val="en-US" w:eastAsia="zh-CN"/>
    </w:rPr>
  </w:style>
  <w:style w:type="character" w:customStyle="1" w:styleId="13CharChar0">
    <w:name w:val="正文小四首缩1.3行距 Char Char"/>
    <w:unhideWhenUsed/>
    <w:qFormat/>
    <w:rPr>
      <w:rFonts w:eastAsia="宋体" w:hint="default"/>
      <w:kern w:val="2"/>
      <w:sz w:val="24"/>
      <w:szCs w:val="24"/>
      <w:lang w:val="en-US" w:eastAsia="zh-CN"/>
    </w:rPr>
  </w:style>
  <w:style w:type="character" w:customStyle="1" w:styleId="1CharChar9">
    <w:name w:val="正文样式1 Char Char"/>
    <w:unhideWhenUsed/>
    <w:qFormat/>
    <w:rPr>
      <w:rFonts w:eastAsia="宋体" w:hint="default"/>
      <w:b/>
      <w:kern w:val="24"/>
      <w:sz w:val="24"/>
      <w:szCs w:val="24"/>
      <w:lang w:val="en-US" w:eastAsia="zh-CN"/>
    </w:rPr>
  </w:style>
  <w:style w:type="character" w:customStyle="1" w:styleId="2CharChard">
    <w:name w:val="正文首行缩进 2 Char Char"/>
    <w:unhideWhenUsed/>
    <w:qFormat/>
    <w:rPr>
      <w:rFonts w:ascii="宋体" w:eastAsia="宋体" w:hint="eastAsia"/>
      <w:kern w:val="2"/>
      <w:sz w:val="28"/>
      <w:szCs w:val="24"/>
    </w:rPr>
  </w:style>
  <w:style w:type="character" w:customStyle="1" w:styleId="001CharChar">
    <w:name w:val="001 Char Char"/>
    <w:unhideWhenUsed/>
    <w:qFormat/>
    <w:rPr>
      <w:rFonts w:ascii="宋体" w:eastAsia="宋体" w:hint="eastAsia"/>
      <w:kern w:val="28"/>
      <w:sz w:val="32"/>
      <w:szCs w:val="24"/>
    </w:rPr>
  </w:style>
  <w:style w:type="character" w:customStyle="1" w:styleId="DateCharChar">
    <w:name w:val="Date Char Char"/>
    <w:unhideWhenUsed/>
    <w:qFormat/>
    <w:rPr>
      <w:rFonts w:ascii="Times New Roman" w:eastAsia="宋体" w:hAnsi="Times New Roman" w:hint="eastAsia"/>
      <w:kern w:val="28"/>
      <w:sz w:val="20"/>
      <w:szCs w:val="24"/>
    </w:rPr>
  </w:style>
  <w:style w:type="character" w:customStyle="1" w:styleId="CharCharffff1">
    <w:name w:val="正缩 Char Char"/>
    <w:unhideWhenUsed/>
    <w:qFormat/>
    <w:rPr>
      <w:rFonts w:eastAsia="宋体" w:hint="default"/>
      <w:kern w:val="2"/>
      <w:sz w:val="24"/>
      <w:szCs w:val="24"/>
      <w:lang w:val="en-US" w:eastAsia="zh-CN"/>
    </w:rPr>
  </w:style>
  <w:style w:type="character" w:customStyle="1" w:styleId="3CharCharCharChar0">
    <w:name w:val="正文3 Char Char Char Char"/>
    <w:unhideWhenUsed/>
    <w:qFormat/>
    <w:rPr>
      <w:rFonts w:ascii="宋体" w:eastAsia="宋体" w:hAnsi="宋体" w:hint="eastAsia"/>
      <w:kern w:val="2"/>
      <w:sz w:val="28"/>
      <w:szCs w:val="24"/>
      <w:lang w:val="zh-CN" w:eastAsia="zh-CN"/>
    </w:rPr>
  </w:style>
  <w:style w:type="character" w:customStyle="1" w:styleId="CharCharffff2">
    <w:name w:val="样式 普通文字 + (符号) 宋体 小四 Char Char"/>
    <w:unhideWhenUsed/>
    <w:qFormat/>
    <w:rPr>
      <w:rFonts w:ascii="宋体" w:eastAsia="宋体" w:hAnsi="Courier New" w:hint="eastAsia"/>
      <w:kern w:val="2"/>
      <w:sz w:val="24"/>
      <w:szCs w:val="24"/>
      <w:lang w:val="en-US" w:eastAsia="zh-CN"/>
    </w:rPr>
  </w:style>
  <w:style w:type="character" w:customStyle="1" w:styleId="4CharChar6">
    <w:name w:val="样式 标题 4 + Char Char"/>
    <w:unhideWhenUsed/>
    <w:qFormat/>
    <w:rPr>
      <w:rFonts w:ascii="宋体" w:eastAsia="宋体" w:hAnsi="宋体" w:hint="eastAsia"/>
      <w:color w:val="000000"/>
      <w:sz w:val="24"/>
      <w:szCs w:val="24"/>
      <w:lang w:val="en-US" w:eastAsia="zh-CN"/>
    </w:rPr>
  </w:style>
  <w:style w:type="character" w:customStyle="1" w:styleId="CharCharffff3">
    <w:name w:val="报告书正文 Char Char"/>
    <w:unhideWhenUsed/>
    <w:qFormat/>
    <w:rPr>
      <w:rFonts w:ascii="宋体" w:eastAsia="宋体" w:hAnsi="宋体" w:hint="eastAsia"/>
      <w:color w:val="000000"/>
      <w:kern w:val="2"/>
      <w:sz w:val="24"/>
      <w:szCs w:val="24"/>
      <w:lang w:val="en-US" w:eastAsia="zh-CN"/>
    </w:rPr>
  </w:style>
  <w:style w:type="character" w:customStyle="1" w:styleId="1CharChara">
    <w:name w:val="表头1 Char Char"/>
    <w:unhideWhenUsed/>
    <w:qFormat/>
    <w:rPr>
      <w:rFonts w:eastAsia="黑体" w:hint="default"/>
      <w:sz w:val="21"/>
      <w:szCs w:val="24"/>
      <w:lang w:val="en-US" w:eastAsia="zh-CN"/>
    </w:rPr>
  </w:style>
  <w:style w:type="character" w:customStyle="1" w:styleId="0CharChar0">
    <w:name w:val="0 Char Char"/>
    <w:unhideWhenUsed/>
    <w:qFormat/>
    <w:rPr>
      <w:rFonts w:eastAsia="宋体" w:hint="default"/>
      <w:color w:val="000000"/>
      <w:sz w:val="21"/>
      <w:szCs w:val="24"/>
      <w:lang w:val="en-US" w:eastAsia="zh-CN"/>
    </w:rPr>
  </w:style>
  <w:style w:type="character" w:customStyle="1" w:styleId="CharCharffff4">
    <w:name w:val="规划 正文 Char Char"/>
    <w:unhideWhenUsed/>
    <w:qFormat/>
    <w:rPr>
      <w:rFonts w:eastAsia="宋体" w:hint="default"/>
      <w:sz w:val="21"/>
      <w:szCs w:val="24"/>
      <w:lang w:val="en-US" w:eastAsia="zh-CN"/>
    </w:rPr>
  </w:style>
  <w:style w:type="character" w:customStyle="1" w:styleId="40CharChar">
    <w:name w:val="标题40 Char Char"/>
    <w:unhideWhenUsed/>
    <w:qFormat/>
    <w:rPr>
      <w:rFonts w:eastAsia="宋体" w:hint="default"/>
      <w:b/>
      <w:kern w:val="2"/>
      <w:sz w:val="24"/>
      <w:szCs w:val="24"/>
    </w:rPr>
  </w:style>
  <w:style w:type="character" w:customStyle="1" w:styleId="CharCharffff5">
    <w:name w:val="段落样式 Char Char"/>
    <w:unhideWhenUsed/>
    <w:qFormat/>
    <w:rPr>
      <w:rFonts w:eastAsia="宋体" w:hint="default"/>
      <w:w w:val="80"/>
      <w:sz w:val="28"/>
      <w:szCs w:val="24"/>
      <w:lang w:val="en-US" w:eastAsia="zh-CN"/>
    </w:rPr>
  </w:style>
  <w:style w:type="character" w:customStyle="1" w:styleId="txCharChar">
    <w:name w:val="正文.tx Char Char"/>
    <w:unhideWhenUsed/>
    <w:qFormat/>
    <w:rPr>
      <w:rFonts w:eastAsia="宋体" w:hint="default"/>
      <w:kern w:val="2"/>
      <w:sz w:val="28"/>
      <w:szCs w:val="24"/>
      <w:lang w:val="en-US" w:eastAsia="zh-CN"/>
    </w:rPr>
  </w:style>
  <w:style w:type="character" w:customStyle="1" w:styleId="12CharChar">
    <w:name w:val="样式12 Char Char"/>
    <w:unhideWhenUsed/>
    <w:qFormat/>
    <w:rPr>
      <w:rFonts w:eastAsia="宋体" w:hint="default"/>
      <w:kern w:val="2"/>
      <w:sz w:val="18"/>
      <w:szCs w:val="24"/>
      <w:lang w:val="en-US" w:eastAsia="zh-CN"/>
    </w:rPr>
  </w:style>
  <w:style w:type="character" w:customStyle="1" w:styleId="31CharChar0">
    <w:name w:val="样式 标题 3一、样式 + 小四 黑色1 Char Char"/>
    <w:unhideWhenUsed/>
    <w:qFormat/>
    <w:rPr>
      <w:rFonts w:eastAsia="宋体" w:hint="default"/>
      <w:color w:val="000000"/>
      <w:sz w:val="24"/>
      <w:szCs w:val="24"/>
      <w:lang w:val="en-US" w:eastAsia="zh-CN"/>
    </w:rPr>
  </w:style>
  <w:style w:type="character" w:customStyle="1" w:styleId="2CharCharChar2">
    <w:name w:val="标题2 Char Char Char"/>
    <w:unhideWhenUsed/>
    <w:qFormat/>
    <w:rPr>
      <w:rFonts w:ascii="黑体" w:eastAsia="黑体" w:hAnsi="宋体" w:hint="eastAsia"/>
      <w:b/>
      <w:color w:val="000000"/>
      <w:kern w:val="2"/>
      <w:sz w:val="28"/>
      <w:szCs w:val="24"/>
      <w:lang w:val="en-US" w:eastAsia="zh-CN"/>
    </w:rPr>
  </w:style>
  <w:style w:type="character" w:customStyle="1" w:styleId="a-CharChar0">
    <w:name w:val="a-表内 Char Char"/>
    <w:unhideWhenUsed/>
    <w:qFormat/>
    <w:rPr>
      <w:rFonts w:eastAsia="宋体" w:hint="default"/>
      <w:color w:val="000000"/>
      <w:sz w:val="21"/>
      <w:szCs w:val="24"/>
      <w:lang w:val="en-US" w:eastAsia="zh-CN"/>
    </w:rPr>
  </w:style>
  <w:style w:type="character" w:customStyle="1" w:styleId="159">
    <w:name w:val="样式15"/>
    <w:unhideWhenUsed/>
    <w:qFormat/>
    <w:rPr>
      <w:rFonts w:ascii="宋体" w:eastAsia="宋体" w:hAnsi="宋体" w:hint="eastAsia"/>
      <w:sz w:val="24"/>
      <w:szCs w:val="24"/>
    </w:rPr>
  </w:style>
  <w:style w:type="character" w:customStyle="1" w:styleId="11Char1">
    <w:name w:val="正文首行缩进11 Char"/>
    <w:unhideWhenUsed/>
    <w:qFormat/>
    <w:rPr>
      <w:rFonts w:eastAsia="宋体" w:hint="default"/>
      <w:kern w:val="2"/>
      <w:sz w:val="24"/>
      <w:szCs w:val="24"/>
      <w:lang w:val="en-US" w:eastAsia="zh-CN"/>
    </w:rPr>
  </w:style>
  <w:style w:type="character" w:customStyle="1" w:styleId="Charfffff2">
    <w:name w:val="设计正文 Char"/>
    <w:link w:val="affffffffffffffffffffff0"/>
    <w:unhideWhenUsed/>
    <w:qFormat/>
    <w:rPr>
      <w:rFonts w:hint="default"/>
      <w:color w:val="000000"/>
      <w:spacing w:val="-4"/>
      <w:kern w:val="2"/>
      <w:sz w:val="24"/>
      <w:szCs w:val="24"/>
    </w:rPr>
  </w:style>
  <w:style w:type="character" w:customStyle="1" w:styleId="a-Char1">
    <w:name w:val="a-图件 Char"/>
    <w:link w:val="a-1"/>
    <w:unhideWhenUsed/>
    <w:qFormat/>
    <w:rPr>
      <w:rFonts w:hint="default"/>
      <w:b/>
      <w:color w:val="000000"/>
      <w:kern w:val="2"/>
      <w:sz w:val="21"/>
      <w:szCs w:val="24"/>
    </w:rPr>
  </w:style>
  <w:style w:type="character" w:customStyle="1" w:styleId="a-Char2">
    <w:name w:val="a-表名 Char"/>
    <w:link w:val="a-3"/>
    <w:unhideWhenUsed/>
    <w:qFormat/>
    <w:rPr>
      <w:rFonts w:eastAsia="仿宋" w:hint="default"/>
      <w:b/>
      <w:color w:val="000000"/>
      <w:kern w:val="2"/>
      <w:sz w:val="21"/>
      <w:szCs w:val="24"/>
    </w:rPr>
  </w:style>
  <w:style w:type="character" w:customStyle="1" w:styleId="a-CharChar1">
    <w:name w:val="a-页脚 Char Char1"/>
    <w:unhideWhenUsed/>
    <w:qFormat/>
    <w:rPr>
      <w:rFonts w:hint="default"/>
      <w:b/>
      <w:color w:val="000000"/>
      <w:kern w:val="2"/>
      <w:sz w:val="18"/>
      <w:szCs w:val="24"/>
    </w:rPr>
  </w:style>
  <w:style w:type="character" w:customStyle="1" w:styleId="a-CharChar">
    <w:name w:val="a-图名 Char Char"/>
    <w:link w:val="a-4"/>
    <w:unhideWhenUsed/>
    <w:qFormat/>
    <w:rPr>
      <w:rFonts w:eastAsia="仿宋_GB2312" w:hint="default"/>
      <w:b/>
      <w:color w:val="000000"/>
      <w:kern w:val="2"/>
      <w:sz w:val="21"/>
      <w:szCs w:val="24"/>
    </w:rPr>
  </w:style>
  <w:style w:type="character" w:customStyle="1" w:styleId="4CharChar10">
    <w:name w:val="标题4 Char Char1"/>
    <w:unhideWhenUsed/>
    <w:qFormat/>
    <w:rPr>
      <w:rFonts w:eastAsia="宋体" w:hint="default"/>
      <w:b/>
      <w:color w:val="000000"/>
      <w:kern w:val="2"/>
      <w:sz w:val="24"/>
      <w:szCs w:val="24"/>
      <w:lang w:val="en-US" w:eastAsia="zh-CN"/>
    </w:rPr>
  </w:style>
  <w:style w:type="character" w:customStyle="1" w:styleId="Charfffff3">
    <w:name w:val="正文：段落格式 Char"/>
    <w:link w:val="a1"/>
    <w:unhideWhenUsed/>
    <w:qFormat/>
    <w:rPr>
      <w:rFonts w:ascii="宋体" w:eastAsia="宋体" w:hint="eastAsia"/>
      <w:color w:val="000000"/>
      <w:kern w:val="15"/>
      <w:sz w:val="24"/>
      <w:szCs w:val="24"/>
    </w:rPr>
  </w:style>
  <w:style w:type="character" w:customStyle="1" w:styleId="2CharChar12">
    <w:name w:val="页眉2 Char Char1"/>
    <w:unhideWhenUsed/>
    <w:qFormat/>
    <w:rPr>
      <w:rFonts w:hint="default"/>
      <w:kern w:val="2"/>
      <w:sz w:val="18"/>
      <w:szCs w:val="24"/>
    </w:rPr>
  </w:style>
  <w:style w:type="character" w:customStyle="1" w:styleId="CharChar2b">
    <w:name w:val="正文首行缩进 Char Char2"/>
    <w:unhideWhenUsed/>
    <w:qFormat/>
    <w:rPr>
      <w:rFonts w:eastAsia="宋体" w:hint="default"/>
      <w:spacing w:val="10"/>
      <w:kern w:val="2"/>
      <w:sz w:val="24"/>
      <w:szCs w:val="24"/>
      <w:lang w:val="en-US" w:eastAsia="zh-CN"/>
    </w:rPr>
  </w:style>
  <w:style w:type="character" w:customStyle="1" w:styleId="CharCharChar9">
    <w:name w:val="正文(首行缩进) Char Char Char"/>
    <w:unhideWhenUsed/>
    <w:qFormat/>
    <w:rPr>
      <w:rFonts w:eastAsia="宋体" w:hint="default"/>
      <w:sz w:val="24"/>
      <w:szCs w:val="24"/>
      <w:lang w:val="en-US" w:eastAsia="zh-CN"/>
    </w:rPr>
  </w:style>
  <w:style w:type="character" w:customStyle="1" w:styleId="Charfffff1">
    <w:name w:val="我的正文 Char"/>
    <w:link w:val="affffffffffffffffffffff"/>
    <w:unhideWhenUsed/>
    <w:qFormat/>
    <w:rPr>
      <w:rFonts w:hint="default"/>
      <w:color w:val="000000"/>
      <w:kern w:val="2"/>
      <w:sz w:val="24"/>
      <w:szCs w:val="24"/>
    </w:rPr>
  </w:style>
  <w:style w:type="character" w:customStyle="1" w:styleId="CharChar1d">
    <w:name w:val="报告正文 Char Char1"/>
    <w:unhideWhenUsed/>
    <w:qFormat/>
    <w:rPr>
      <w:rFonts w:eastAsia="宋体" w:hint="default"/>
      <w:kern w:val="24"/>
      <w:sz w:val="21"/>
      <w:szCs w:val="24"/>
      <w:lang w:val="en-US" w:eastAsia="zh-CN"/>
    </w:rPr>
  </w:style>
  <w:style w:type="character" w:customStyle="1" w:styleId="dxjChar">
    <w:name w:val="dxj正文 Char"/>
    <w:link w:val="dxj"/>
    <w:unhideWhenUsed/>
    <w:qFormat/>
    <w:rPr>
      <w:rFonts w:hint="default"/>
      <w:kern w:val="2"/>
      <w:sz w:val="24"/>
      <w:szCs w:val="24"/>
    </w:rPr>
  </w:style>
  <w:style w:type="character" w:customStyle="1" w:styleId="CharCharChar2">
    <w:name w:val="报告正文 Char Char Char"/>
    <w:link w:val="CharChar4"/>
    <w:unhideWhenUsed/>
    <w:qFormat/>
    <w:rPr>
      <w:rFonts w:hint="default"/>
      <w:kern w:val="24"/>
      <w:sz w:val="24"/>
      <w:szCs w:val="24"/>
    </w:rPr>
  </w:style>
  <w:style w:type="character" w:customStyle="1" w:styleId="CharCharffff6">
    <w:name w:val="题注 Char Char"/>
    <w:unhideWhenUsed/>
    <w:qFormat/>
    <w:rPr>
      <w:rFonts w:ascii="Arial" w:eastAsia="宋体" w:hAnsi="Arial" w:hint="eastAsia"/>
      <w:kern w:val="2"/>
      <w:sz w:val="24"/>
      <w:szCs w:val="24"/>
      <w:lang w:val="en-US" w:eastAsia="zh-CN"/>
    </w:rPr>
  </w:style>
  <w:style w:type="character" w:customStyle="1" w:styleId="2chChar">
    <w:name w:val="标题 2－ch Char"/>
    <w:unhideWhenUsed/>
    <w:qFormat/>
    <w:rPr>
      <w:rFonts w:ascii="Arial" w:eastAsia="黑体" w:hAnsi="Arial" w:hint="eastAsia"/>
      <w:b/>
      <w:sz w:val="32"/>
      <w:szCs w:val="24"/>
    </w:rPr>
  </w:style>
  <w:style w:type="character" w:customStyle="1" w:styleId="st">
    <w:name w:val="st"/>
    <w:unhideWhenUsed/>
    <w:qFormat/>
    <w:rPr>
      <w:rFonts w:hint="default"/>
      <w:sz w:val="24"/>
      <w:szCs w:val="24"/>
    </w:rPr>
  </w:style>
  <w:style w:type="character" w:customStyle="1" w:styleId="5CharChar">
    <w:name w:val="5文章(治) Char Char"/>
    <w:link w:val="5f0"/>
    <w:unhideWhenUsed/>
    <w:qFormat/>
    <w:rPr>
      <w:rFonts w:hint="default"/>
      <w:kern w:val="2"/>
      <w:sz w:val="24"/>
      <w:szCs w:val="24"/>
    </w:rPr>
  </w:style>
  <w:style w:type="character" w:customStyle="1" w:styleId="5Char4">
    <w:name w:val="5文章(治) Char"/>
    <w:unhideWhenUsed/>
    <w:qFormat/>
    <w:rPr>
      <w:rFonts w:hint="default"/>
      <w:kern w:val="2"/>
      <w:sz w:val="24"/>
      <w:szCs w:val="24"/>
    </w:rPr>
  </w:style>
  <w:style w:type="character" w:customStyle="1" w:styleId="7Char1">
    <w:name w:val="7表格(治) Char"/>
    <w:link w:val="76"/>
    <w:unhideWhenUsed/>
    <w:qFormat/>
    <w:rPr>
      <w:rFonts w:hint="default"/>
      <w:sz w:val="21"/>
      <w:szCs w:val="24"/>
    </w:rPr>
  </w:style>
  <w:style w:type="character" w:customStyle="1" w:styleId="Charfffff4">
    <w:name w:val="环保表内字（小五） Char"/>
    <w:link w:val="affffffffffffffffffffff5"/>
    <w:unhideWhenUsed/>
    <w:qFormat/>
    <w:rPr>
      <w:rFonts w:hint="default"/>
      <w:color w:val="000000"/>
      <w:sz w:val="24"/>
      <w:szCs w:val="24"/>
      <w:lang w:val="zh-CN"/>
    </w:rPr>
  </w:style>
  <w:style w:type="character" w:customStyle="1" w:styleId="Charfffff5">
    <w:name w:val="正文 楷体 Char"/>
    <w:link w:val="affffffffffffffffffffff6"/>
    <w:unhideWhenUsed/>
    <w:qFormat/>
    <w:rPr>
      <w:rFonts w:ascii="楷体_GB2312" w:eastAsia="楷体_GB2312" w:hAnsi="楷体_GB2312" w:hint="eastAsia"/>
      <w:color w:val="000000"/>
      <w:spacing w:val="8"/>
      <w:w w:val="110"/>
      <w:kern w:val="2"/>
      <w:sz w:val="24"/>
      <w:szCs w:val="24"/>
    </w:rPr>
  </w:style>
  <w:style w:type="character" w:customStyle="1" w:styleId="-lsCharChar">
    <w:name w:val="正文-ls Char Char"/>
    <w:link w:val="-ls"/>
    <w:unhideWhenUsed/>
    <w:qFormat/>
    <w:rPr>
      <w:rFonts w:ascii="Calibri" w:hAnsi="宋体" w:hint="eastAsia"/>
      <w:color w:val="000000"/>
      <w:w w:val="110"/>
      <w:sz w:val="24"/>
      <w:szCs w:val="24"/>
    </w:rPr>
  </w:style>
  <w:style w:type="character" w:customStyle="1" w:styleId="CharCharffff7">
    <w:name w:val="正文格式 Char Char"/>
    <w:unhideWhenUsed/>
    <w:qFormat/>
    <w:rPr>
      <w:rFonts w:ascii="宋体" w:eastAsia="宋体" w:hint="eastAsia"/>
      <w:color w:val="000000"/>
      <w:w w:val="110"/>
      <w:sz w:val="24"/>
      <w:szCs w:val="24"/>
    </w:rPr>
  </w:style>
  <w:style w:type="character" w:customStyle="1" w:styleId="Charfffff6">
    <w:name w:val="正文内容 Char"/>
    <w:link w:val="affffffffffffffffffffff8"/>
    <w:unhideWhenUsed/>
    <w:qFormat/>
    <w:rPr>
      <w:rFonts w:hint="default"/>
      <w:kern w:val="2"/>
      <w:sz w:val="24"/>
      <w:szCs w:val="24"/>
    </w:rPr>
  </w:style>
  <w:style w:type="character" w:customStyle="1" w:styleId="CharChar9">
    <w:name w:val="环评 正文 Char Char"/>
    <w:link w:val="affffffffffffffffffffff9"/>
    <w:unhideWhenUsed/>
    <w:qFormat/>
    <w:rPr>
      <w:rFonts w:ascii="宋体" w:eastAsia="宋体" w:hint="eastAsia"/>
      <w:sz w:val="24"/>
      <w:szCs w:val="24"/>
    </w:rPr>
  </w:style>
  <w:style w:type="character" w:customStyle="1" w:styleId="affffffffffffffffffffffffe">
    <w:name w:val="正文缩进 字符"/>
    <w:unhideWhenUsed/>
    <w:qFormat/>
    <w:rPr>
      <w:rFonts w:eastAsia="宋体" w:hint="default"/>
      <w:kern w:val="2"/>
      <w:sz w:val="21"/>
      <w:szCs w:val="24"/>
      <w:lang w:val="en-US" w:eastAsia="zh-CN"/>
    </w:rPr>
  </w:style>
  <w:style w:type="character" w:customStyle="1" w:styleId="afffffffffffffffffffffffff">
    <w:name w:val="题注 字符"/>
    <w:unhideWhenUsed/>
    <w:qFormat/>
    <w:rPr>
      <w:rFonts w:ascii="Arial" w:eastAsia="黑体" w:hAnsi="Arial" w:hint="eastAsia"/>
      <w:kern w:val="2"/>
      <w:sz w:val="24"/>
      <w:szCs w:val="24"/>
    </w:rPr>
  </w:style>
  <w:style w:type="character" w:customStyle="1" w:styleId="Charfffff7">
    <w:name w:val="标题表格 Char"/>
    <w:link w:val="affffffffffffffffffffffa"/>
    <w:unhideWhenUsed/>
    <w:qFormat/>
    <w:rPr>
      <w:rFonts w:ascii="黑体" w:eastAsia="黑体" w:hAnsi="楷体_GB2312" w:hint="eastAsia"/>
      <w:sz w:val="24"/>
      <w:szCs w:val="24"/>
    </w:rPr>
  </w:style>
  <w:style w:type="character" w:customStyle="1" w:styleId="Charf5">
    <w:name w:val="表头图名 Char"/>
    <w:link w:val="affff9"/>
    <w:unhideWhenUsed/>
    <w:qFormat/>
    <w:rPr>
      <w:rFonts w:eastAsia="黑体" w:hint="default"/>
      <w:kern w:val="2"/>
      <w:sz w:val="24"/>
      <w:szCs w:val="24"/>
    </w:rPr>
  </w:style>
  <w:style w:type="character" w:customStyle="1" w:styleId="11f">
    <w:name w:val="标题 1 字符1"/>
    <w:unhideWhenUsed/>
    <w:qFormat/>
    <w:rPr>
      <w:rFonts w:ascii="Times New Roman" w:eastAsia="宋体" w:hAnsi="Times New Roman" w:hint="eastAsia"/>
      <w:b/>
      <w:kern w:val="44"/>
      <w:sz w:val="44"/>
      <w:szCs w:val="24"/>
    </w:rPr>
  </w:style>
  <w:style w:type="character" w:customStyle="1" w:styleId="21f0">
    <w:name w:val="标题 2 字符1"/>
    <w:unhideWhenUsed/>
    <w:qFormat/>
    <w:rPr>
      <w:rFonts w:ascii="等线 Light" w:eastAsia="等线 Light" w:hAnsi="等线 Light" w:hint="eastAsia"/>
      <w:b/>
      <w:sz w:val="32"/>
      <w:szCs w:val="24"/>
    </w:rPr>
  </w:style>
  <w:style w:type="character" w:customStyle="1" w:styleId="31b">
    <w:name w:val="标题 3 字符1"/>
    <w:unhideWhenUsed/>
    <w:qFormat/>
    <w:rPr>
      <w:rFonts w:ascii="Times New Roman" w:eastAsia="宋体" w:hAnsi="Times New Roman" w:hint="eastAsia"/>
      <w:b/>
      <w:sz w:val="32"/>
      <w:szCs w:val="24"/>
    </w:rPr>
  </w:style>
  <w:style w:type="character" w:customStyle="1" w:styleId="412">
    <w:name w:val="标题 4 字符1"/>
    <w:unhideWhenUsed/>
    <w:qFormat/>
    <w:rPr>
      <w:rFonts w:ascii="等线 Light" w:eastAsia="等线 Light" w:hAnsi="等线 Light" w:hint="eastAsia"/>
      <w:b/>
      <w:sz w:val="28"/>
      <w:szCs w:val="24"/>
    </w:rPr>
  </w:style>
  <w:style w:type="character" w:customStyle="1" w:styleId="510">
    <w:name w:val="标题 5 字符1"/>
    <w:unhideWhenUsed/>
    <w:qFormat/>
    <w:rPr>
      <w:rFonts w:ascii="Times New Roman" w:eastAsia="宋体" w:hAnsi="Times New Roman" w:hint="eastAsia"/>
      <w:b/>
      <w:sz w:val="28"/>
      <w:szCs w:val="24"/>
    </w:rPr>
  </w:style>
  <w:style w:type="character" w:customStyle="1" w:styleId="612">
    <w:name w:val="标题 6 字符1"/>
    <w:unhideWhenUsed/>
    <w:qFormat/>
    <w:rPr>
      <w:rFonts w:ascii="等线 Light" w:eastAsia="等线 Light" w:hAnsi="等线 Light" w:hint="eastAsia"/>
      <w:b/>
      <w:sz w:val="24"/>
      <w:szCs w:val="24"/>
    </w:rPr>
  </w:style>
  <w:style w:type="character" w:customStyle="1" w:styleId="712">
    <w:name w:val="标题 7 字符1"/>
    <w:unhideWhenUsed/>
    <w:qFormat/>
    <w:rPr>
      <w:rFonts w:ascii="Times New Roman" w:eastAsia="宋体" w:hAnsi="Times New Roman" w:hint="eastAsia"/>
      <w:b/>
      <w:sz w:val="24"/>
      <w:szCs w:val="24"/>
    </w:rPr>
  </w:style>
  <w:style w:type="character" w:customStyle="1" w:styleId="810">
    <w:name w:val="标题 8 字符1"/>
    <w:unhideWhenUsed/>
    <w:qFormat/>
    <w:rPr>
      <w:rFonts w:ascii="等线 Light" w:eastAsia="等线 Light" w:hAnsi="等线 Light" w:hint="eastAsia"/>
      <w:sz w:val="24"/>
      <w:szCs w:val="24"/>
    </w:rPr>
  </w:style>
  <w:style w:type="character" w:customStyle="1" w:styleId="910">
    <w:name w:val="标题 9 字符1"/>
    <w:unhideWhenUsed/>
    <w:qFormat/>
    <w:rPr>
      <w:rFonts w:ascii="等线 Light" w:eastAsia="等线 Light" w:hAnsi="等线 Light" w:hint="eastAsia"/>
      <w:sz w:val="21"/>
      <w:szCs w:val="24"/>
    </w:rPr>
  </w:style>
  <w:style w:type="character" w:customStyle="1" w:styleId="1fffff5">
    <w:name w:val="正文缩进 字符1"/>
    <w:unhideWhenUsed/>
    <w:qFormat/>
    <w:rPr>
      <w:rFonts w:ascii="Times New Roman" w:eastAsia="宋体" w:hAnsi="Times New Roman" w:hint="eastAsia"/>
      <w:sz w:val="20"/>
      <w:szCs w:val="24"/>
    </w:rPr>
  </w:style>
  <w:style w:type="character" w:customStyle="1" w:styleId="2ffff0">
    <w:name w:val="脚注文本 字符2"/>
    <w:unhideWhenUsed/>
    <w:qFormat/>
    <w:rPr>
      <w:rFonts w:hint="default"/>
      <w:sz w:val="18"/>
      <w:szCs w:val="24"/>
    </w:rPr>
  </w:style>
  <w:style w:type="character" w:customStyle="1" w:styleId="1fffff6">
    <w:name w:val="批注文字 字符1"/>
    <w:unhideWhenUsed/>
    <w:qFormat/>
    <w:rPr>
      <w:rFonts w:ascii="宋体" w:eastAsia="宋体" w:hAnsi="宋体" w:hint="eastAsia"/>
      <w:sz w:val="24"/>
      <w:szCs w:val="24"/>
    </w:rPr>
  </w:style>
  <w:style w:type="character" w:customStyle="1" w:styleId="1fffff7">
    <w:name w:val="页眉 字符1"/>
    <w:unhideWhenUsed/>
    <w:qFormat/>
    <w:rPr>
      <w:rFonts w:hint="default"/>
      <w:sz w:val="18"/>
      <w:szCs w:val="24"/>
    </w:rPr>
  </w:style>
  <w:style w:type="character" w:customStyle="1" w:styleId="1fffff8">
    <w:name w:val="页脚 字符1"/>
    <w:unhideWhenUsed/>
    <w:qFormat/>
    <w:rPr>
      <w:rFonts w:hint="default"/>
      <w:sz w:val="18"/>
      <w:szCs w:val="24"/>
    </w:rPr>
  </w:style>
  <w:style w:type="character" w:customStyle="1" w:styleId="1fffff9">
    <w:name w:val="题注 字符1"/>
    <w:unhideWhenUsed/>
    <w:qFormat/>
    <w:rPr>
      <w:rFonts w:ascii="Arial" w:eastAsia="黑体" w:hAnsi="Arial" w:hint="eastAsia"/>
      <w:sz w:val="24"/>
      <w:szCs w:val="24"/>
    </w:rPr>
  </w:style>
  <w:style w:type="character" w:customStyle="1" w:styleId="2ffff1">
    <w:name w:val="尾注文本 字符2"/>
    <w:unhideWhenUsed/>
    <w:qFormat/>
    <w:rPr>
      <w:rFonts w:hint="default"/>
      <w:sz w:val="24"/>
      <w:szCs w:val="24"/>
    </w:rPr>
  </w:style>
  <w:style w:type="character" w:customStyle="1" w:styleId="1fffffa">
    <w:name w:val="标题 字符1"/>
    <w:unhideWhenUsed/>
    <w:qFormat/>
    <w:rPr>
      <w:rFonts w:ascii="Cambria" w:hint="default"/>
      <w:b/>
      <w:sz w:val="32"/>
      <w:szCs w:val="24"/>
    </w:rPr>
  </w:style>
  <w:style w:type="character" w:customStyle="1" w:styleId="2ffff2">
    <w:name w:val="结束语 字符2"/>
    <w:unhideWhenUsed/>
    <w:qFormat/>
    <w:rPr>
      <w:rFonts w:ascii="仿宋_GB2312" w:eastAsia="仿宋_GB2312" w:hint="eastAsia"/>
      <w:sz w:val="32"/>
      <w:szCs w:val="24"/>
    </w:rPr>
  </w:style>
  <w:style w:type="character" w:customStyle="1" w:styleId="2ffff3">
    <w:name w:val="签名 字符2"/>
    <w:unhideWhenUsed/>
    <w:qFormat/>
    <w:rPr>
      <w:rFonts w:hint="default"/>
      <w:sz w:val="24"/>
      <w:szCs w:val="24"/>
    </w:rPr>
  </w:style>
  <w:style w:type="character" w:customStyle="1" w:styleId="1fffffb">
    <w:name w:val="正文文本 字符1"/>
    <w:unhideWhenUsed/>
    <w:qFormat/>
    <w:rPr>
      <w:rFonts w:ascii="Times New Roman" w:eastAsia="宋体" w:hAnsi="Times New Roman" w:hint="eastAsia"/>
      <w:sz w:val="24"/>
      <w:szCs w:val="24"/>
    </w:rPr>
  </w:style>
  <w:style w:type="character" w:customStyle="1" w:styleId="1fffffc">
    <w:name w:val="正文文本缩进 字符1"/>
    <w:unhideWhenUsed/>
    <w:qFormat/>
    <w:rPr>
      <w:rFonts w:hint="default"/>
      <w:sz w:val="24"/>
      <w:szCs w:val="24"/>
    </w:rPr>
  </w:style>
  <w:style w:type="character" w:customStyle="1" w:styleId="2ffff4">
    <w:name w:val="信息标题 字符2"/>
    <w:unhideWhenUsed/>
    <w:qFormat/>
    <w:rPr>
      <w:rFonts w:ascii="Arial" w:hint="default"/>
      <w:sz w:val="24"/>
      <w:szCs w:val="24"/>
      <w:shd w:val="pct20" w:color="auto" w:fill="auto"/>
    </w:rPr>
  </w:style>
  <w:style w:type="character" w:customStyle="1" w:styleId="1fffffd">
    <w:name w:val="副标题 字符1"/>
    <w:unhideWhenUsed/>
    <w:qFormat/>
    <w:rPr>
      <w:rFonts w:ascii="Cambria" w:hint="default"/>
      <w:b/>
      <w:kern w:val="28"/>
      <w:sz w:val="32"/>
      <w:szCs w:val="24"/>
    </w:rPr>
  </w:style>
  <w:style w:type="character" w:customStyle="1" w:styleId="2ffff5">
    <w:name w:val="称呼 字符2"/>
    <w:unhideWhenUsed/>
    <w:qFormat/>
    <w:rPr>
      <w:rFonts w:ascii="宋体" w:eastAsia="宋体" w:hAnsi="Courier New" w:hint="eastAsia"/>
      <w:sz w:val="21"/>
      <w:szCs w:val="24"/>
    </w:rPr>
  </w:style>
  <w:style w:type="character" w:customStyle="1" w:styleId="1fffffe">
    <w:name w:val="日期 字符1"/>
    <w:unhideWhenUsed/>
    <w:qFormat/>
    <w:rPr>
      <w:rFonts w:ascii="仿宋_GB2312" w:eastAsia="仿宋_GB2312" w:hint="eastAsia"/>
      <w:b/>
      <w:sz w:val="24"/>
      <w:szCs w:val="24"/>
    </w:rPr>
  </w:style>
  <w:style w:type="character" w:customStyle="1" w:styleId="1ffffff">
    <w:name w:val="正文文本首行缩进 字符1"/>
    <w:unhideWhenUsed/>
    <w:qFormat/>
    <w:rPr>
      <w:rFonts w:hint="default"/>
      <w:sz w:val="24"/>
      <w:szCs w:val="24"/>
    </w:rPr>
  </w:style>
  <w:style w:type="character" w:customStyle="1" w:styleId="21f1">
    <w:name w:val="正文文本首行缩进 字符21"/>
    <w:uiPriority w:val="99"/>
    <w:unhideWhenUsed/>
    <w:qFormat/>
    <w:rPr>
      <w:rFonts w:hint="default"/>
      <w:sz w:val="24"/>
      <w:szCs w:val="24"/>
    </w:rPr>
  </w:style>
  <w:style w:type="character" w:customStyle="1" w:styleId="1ffffff0">
    <w:name w:val="注释标题 字符1"/>
    <w:unhideWhenUsed/>
    <w:qFormat/>
    <w:rPr>
      <w:rFonts w:ascii="宋体" w:eastAsia="宋体" w:hAnsi="宋体" w:hint="eastAsia"/>
      <w:sz w:val="28"/>
      <w:szCs w:val="24"/>
    </w:rPr>
  </w:style>
  <w:style w:type="character" w:customStyle="1" w:styleId="21f2">
    <w:name w:val="正文文本 2 字符1"/>
    <w:unhideWhenUsed/>
    <w:qFormat/>
    <w:rPr>
      <w:rFonts w:hint="default"/>
      <w:sz w:val="24"/>
      <w:szCs w:val="24"/>
    </w:rPr>
  </w:style>
  <w:style w:type="character" w:customStyle="1" w:styleId="31c">
    <w:name w:val="正文文本 3 字符1"/>
    <w:unhideWhenUsed/>
    <w:qFormat/>
    <w:rPr>
      <w:rFonts w:hint="default"/>
      <w:sz w:val="24"/>
      <w:szCs w:val="24"/>
    </w:rPr>
  </w:style>
  <w:style w:type="character" w:customStyle="1" w:styleId="21f3">
    <w:name w:val="正文文本缩进 2 字符1"/>
    <w:unhideWhenUsed/>
    <w:qFormat/>
    <w:rPr>
      <w:rFonts w:hint="default"/>
      <w:sz w:val="24"/>
      <w:szCs w:val="24"/>
    </w:rPr>
  </w:style>
  <w:style w:type="character" w:customStyle="1" w:styleId="31d">
    <w:name w:val="正文文本缩进 3 字符1"/>
    <w:unhideWhenUsed/>
    <w:qFormat/>
    <w:rPr>
      <w:rFonts w:hint="default"/>
      <w:sz w:val="24"/>
      <w:szCs w:val="24"/>
    </w:rPr>
  </w:style>
  <w:style w:type="character" w:customStyle="1" w:styleId="afffffffffffffffffffffffff0">
    <w:name w:val="文本块 字符"/>
    <w:unhideWhenUsed/>
    <w:qFormat/>
    <w:rPr>
      <w:rFonts w:hint="default"/>
      <w:spacing w:val="26"/>
      <w:sz w:val="28"/>
      <w:szCs w:val="24"/>
    </w:rPr>
  </w:style>
  <w:style w:type="character" w:customStyle="1" w:styleId="1ffffff1">
    <w:name w:val="文档结构图 字符1"/>
    <w:unhideWhenUsed/>
    <w:qFormat/>
    <w:rPr>
      <w:rFonts w:hint="default"/>
      <w:sz w:val="24"/>
      <w:szCs w:val="24"/>
      <w:shd w:val="clear" w:color="auto" w:fill="000080"/>
    </w:rPr>
  </w:style>
  <w:style w:type="character" w:customStyle="1" w:styleId="1ffffff2">
    <w:name w:val="纯文本 字符1"/>
    <w:unhideWhenUsed/>
    <w:qFormat/>
    <w:rPr>
      <w:rFonts w:ascii="宋体" w:eastAsia="宋体" w:hAnsi="Courier New" w:hint="eastAsia"/>
      <w:sz w:val="21"/>
      <w:szCs w:val="24"/>
    </w:rPr>
  </w:style>
  <w:style w:type="character" w:customStyle="1" w:styleId="2ffff6">
    <w:name w:val="电子邮件签名 字符2"/>
    <w:unhideWhenUsed/>
    <w:qFormat/>
    <w:rPr>
      <w:rFonts w:hint="default"/>
      <w:sz w:val="24"/>
      <w:szCs w:val="24"/>
    </w:rPr>
  </w:style>
  <w:style w:type="character" w:customStyle="1" w:styleId="1ffffff3">
    <w:name w:val="批注主题 字符1"/>
    <w:unhideWhenUsed/>
    <w:qFormat/>
    <w:rPr>
      <w:rFonts w:ascii="宋体" w:eastAsia="宋体" w:hAnsi="宋体" w:hint="eastAsia"/>
      <w:b/>
      <w:color w:val="000000"/>
      <w:sz w:val="24"/>
      <w:szCs w:val="24"/>
    </w:rPr>
  </w:style>
  <w:style w:type="character" w:customStyle="1" w:styleId="afffffffffffffffffffffffff1">
    <w:name w:val="无间隔 字符"/>
    <w:uiPriority w:val="1"/>
    <w:unhideWhenUsed/>
    <w:qFormat/>
    <w:rPr>
      <w:rFonts w:hint="default"/>
      <w:sz w:val="32"/>
      <w:szCs w:val="24"/>
    </w:rPr>
  </w:style>
  <w:style w:type="character" w:customStyle="1" w:styleId="2ffff7">
    <w:name w:val="引用 字符2"/>
    <w:unhideWhenUsed/>
    <w:qFormat/>
    <w:rPr>
      <w:rFonts w:hint="default"/>
      <w:i/>
      <w:sz w:val="24"/>
      <w:szCs w:val="24"/>
    </w:rPr>
  </w:style>
  <w:style w:type="character" w:customStyle="1" w:styleId="2ffff8">
    <w:name w:val="明显引用 字符2"/>
    <w:unhideWhenUsed/>
    <w:qFormat/>
    <w:rPr>
      <w:rFonts w:hint="default"/>
      <w:b/>
      <w:i/>
      <w:sz w:val="24"/>
      <w:szCs w:val="24"/>
    </w:rPr>
  </w:style>
  <w:style w:type="character" w:customStyle="1" w:styleId="21f4">
    <w:name w:val="正文文本首行缩进 2 字符1"/>
    <w:uiPriority w:val="99"/>
    <w:unhideWhenUsed/>
    <w:qFormat/>
    <w:rPr>
      <w:rFonts w:hint="default"/>
      <w:sz w:val="24"/>
      <w:szCs w:val="24"/>
    </w:rPr>
  </w:style>
  <w:style w:type="character" w:customStyle="1" w:styleId="5f4">
    <w:name w:val="标题5"/>
    <w:unhideWhenUsed/>
    <w:qFormat/>
    <w:rPr>
      <w:rFonts w:hint="default"/>
      <w:sz w:val="24"/>
      <w:szCs w:val="24"/>
    </w:rPr>
  </w:style>
  <w:style w:type="character" w:customStyle="1" w:styleId="1ffffff4">
    <w:name w:val="批注框文本 字符1"/>
    <w:unhideWhenUsed/>
    <w:qFormat/>
    <w:rPr>
      <w:rFonts w:ascii="Times New Roman" w:eastAsia="宋体" w:hAnsi="Times New Roman" w:hint="eastAsia"/>
      <w:sz w:val="18"/>
      <w:szCs w:val="24"/>
    </w:rPr>
  </w:style>
  <w:style w:type="character" w:customStyle="1" w:styleId="1ffffff5">
    <w:name w:val="引用 字符1"/>
    <w:unhideWhenUsed/>
    <w:qFormat/>
    <w:rPr>
      <w:rFonts w:ascii="Times New Roman" w:eastAsia="宋体" w:hAnsi="Times New Roman" w:hint="eastAsia"/>
      <w:i/>
      <w:color w:val="404040"/>
      <w:sz w:val="24"/>
      <w:szCs w:val="24"/>
    </w:rPr>
  </w:style>
  <w:style w:type="character" w:customStyle="1" w:styleId="1ffffff6">
    <w:name w:val="明显引用 字符1"/>
    <w:unhideWhenUsed/>
    <w:qFormat/>
    <w:rPr>
      <w:rFonts w:ascii="Times New Roman" w:eastAsia="宋体" w:hAnsi="Times New Roman" w:hint="eastAsia"/>
      <w:i/>
      <w:color w:val="4472C4"/>
      <w:sz w:val="24"/>
      <w:szCs w:val="24"/>
    </w:rPr>
  </w:style>
  <w:style w:type="character" w:customStyle="1" w:styleId="1ffffff7">
    <w:name w:val="称呼 字符1"/>
    <w:unhideWhenUsed/>
    <w:qFormat/>
    <w:rPr>
      <w:rFonts w:ascii="Times New Roman" w:eastAsia="宋体" w:hAnsi="Times New Roman" w:hint="eastAsia"/>
      <w:sz w:val="24"/>
      <w:szCs w:val="24"/>
    </w:rPr>
  </w:style>
  <w:style w:type="character" w:customStyle="1" w:styleId="1ffffff8">
    <w:name w:val="结束语 字符1"/>
    <w:unhideWhenUsed/>
    <w:qFormat/>
    <w:rPr>
      <w:rFonts w:ascii="Times New Roman" w:eastAsia="宋体" w:hAnsi="Times New Roman" w:hint="eastAsia"/>
      <w:sz w:val="24"/>
      <w:szCs w:val="24"/>
    </w:rPr>
  </w:style>
  <w:style w:type="character" w:customStyle="1" w:styleId="1ffffff9">
    <w:name w:val="脚注文本 字符1"/>
    <w:unhideWhenUsed/>
    <w:qFormat/>
    <w:rPr>
      <w:rFonts w:ascii="Times New Roman" w:eastAsia="宋体" w:hAnsi="Times New Roman" w:hint="eastAsia"/>
      <w:sz w:val="18"/>
      <w:szCs w:val="24"/>
    </w:rPr>
  </w:style>
  <w:style w:type="character" w:customStyle="1" w:styleId="z-13">
    <w:name w:val="z-窗体顶端 字符1"/>
    <w:unhideWhenUsed/>
    <w:qFormat/>
    <w:rPr>
      <w:rFonts w:ascii="Arial" w:eastAsia="宋体" w:hAnsi="Arial" w:hint="eastAsia"/>
      <w:vanish/>
      <w:sz w:val="16"/>
      <w:szCs w:val="24"/>
    </w:rPr>
  </w:style>
  <w:style w:type="character" w:customStyle="1" w:styleId="z-2">
    <w:name w:val="z-窗体顶端 字符2"/>
    <w:unhideWhenUsed/>
    <w:qFormat/>
    <w:rPr>
      <w:rFonts w:ascii="Arial" w:eastAsia="宋体" w:hAnsi="Arial" w:hint="eastAsia"/>
      <w:vanish/>
      <w:sz w:val="16"/>
      <w:szCs w:val="24"/>
    </w:rPr>
  </w:style>
  <w:style w:type="character" w:customStyle="1" w:styleId="z-14">
    <w:name w:val="z-窗体底端 字符1"/>
    <w:unhideWhenUsed/>
    <w:qFormat/>
    <w:rPr>
      <w:rFonts w:ascii="Arial" w:eastAsia="宋体" w:hAnsi="Arial" w:hint="eastAsia"/>
      <w:vanish/>
      <w:sz w:val="16"/>
      <w:szCs w:val="24"/>
    </w:rPr>
  </w:style>
  <w:style w:type="character" w:customStyle="1" w:styleId="z-20">
    <w:name w:val="z-窗体底端 字符2"/>
    <w:unhideWhenUsed/>
    <w:qFormat/>
    <w:rPr>
      <w:rFonts w:ascii="Arial" w:eastAsia="宋体" w:hAnsi="Arial" w:hint="eastAsia"/>
      <w:vanish/>
      <w:sz w:val="16"/>
      <w:szCs w:val="24"/>
    </w:rPr>
  </w:style>
  <w:style w:type="character" w:customStyle="1" w:styleId="1ffffffa">
    <w:name w:val="尾注文本 字符1"/>
    <w:unhideWhenUsed/>
    <w:qFormat/>
    <w:rPr>
      <w:rFonts w:ascii="Times New Roman" w:eastAsia="宋体" w:hAnsi="Times New Roman" w:hint="eastAsia"/>
      <w:sz w:val="24"/>
      <w:szCs w:val="24"/>
    </w:rPr>
  </w:style>
  <w:style w:type="character" w:customStyle="1" w:styleId="HTML10">
    <w:name w:val="HTML 地址 字符1"/>
    <w:unhideWhenUsed/>
    <w:qFormat/>
    <w:rPr>
      <w:rFonts w:ascii="Times New Roman" w:eastAsia="宋体" w:hAnsi="Times New Roman" w:hint="eastAsia"/>
      <w:i/>
      <w:sz w:val="24"/>
      <w:szCs w:val="24"/>
    </w:rPr>
  </w:style>
  <w:style w:type="character" w:customStyle="1" w:styleId="1ffffffb">
    <w:name w:val="电子邮件签名 字符1"/>
    <w:unhideWhenUsed/>
    <w:qFormat/>
    <w:rPr>
      <w:rFonts w:ascii="Times New Roman" w:eastAsia="宋体" w:hAnsi="Times New Roman" w:hint="eastAsia"/>
      <w:sz w:val="24"/>
      <w:szCs w:val="24"/>
    </w:rPr>
  </w:style>
  <w:style w:type="character" w:customStyle="1" w:styleId="1ffffffc">
    <w:name w:val="签名 字符1"/>
    <w:unhideWhenUsed/>
    <w:qFormat/>
    <w:rPr>
      <w:rFonts w:ascii="Times New Roman" w:eastAsia="宋体" w:hAnsi="Times New Roman" w:hint="eastAsia"/>
      <w:sz w:val="24"/>
      <w:szCs w:val="24"/>
    </w:rPr>
  </w:style>
  <w:style w:type="character" w:customStyle="1" w:styleId="1ffffffd">
    <w:name w:val="信息标题 字符1"/>
    <w:unhideWhenUsed/>
    <w:qFormat/>
    <w:rPr>
      <w:rFonts w:ascii="等线 Light" w:eastAsia="等线 Light" w:hAnsi="等线 Light" w:hint="eastAsia"/>
      <w:sz w:val="24"/>
      <w:szCs w:val="24"/>
      <w:shd w:val="pct20" w:color="auto" w:fill="auto"/>
    </w:rPr>
  </w:style>
  <w:style w:type="character" w:customStyle="1" w:styleId="1ffffffe">
    <w:name w:val="未处理的提及1"/>
    <w:uiPriority w:val="99"/>
    <w:unhideWhenUsed/>
    <w:qFormat/>
    <w:rPr>
      <w:rFonts w:hint="default"/>
      <w:color w:val="605E5C"/>
      <w:sz w:val="24"/>
      <w:szCs w:val="24"/>
      <w:shd w:val="clear" w:color="auto" w:fill="E1DFDD"/>
    </w:rPr>
  </w:style>
  <w:style w:type="character" w:customStyle="1" w:styleId="11Char">
    <w:name w:val="表格内容11 Char"/>
    <w:link w:val="119"/>
    <w:uiPriority w:val="99"/>
    <w:unhideWhenUsed/>
    <w:qFormat/>
    <w:rPr>
      <w:rFonts w:hint="default"/>
      <w:sz w:val="21"/>
      <w:szCs w:val="24"/>
    </w:rPr>
  </w:style>
  <w:style w:type="character" w:customStyle="1" w:styleId="Charfffff9">
    <w:name w:val="报告书表格 Char"/>
    <w:link w:val="afffffffffffffffffffffff0"/>
    <w:unhideWhenUsed/>
    <w:qFormat/>
    <w:rPr>
      <w:rFonts w:hint="default"/>
      <w:sz w:val="21"/>
      <w:szCs w:val="24"/>
    </w:rPr>
  </w:style>
  <w:style w:type="character" w:customStyle="1" w:styleId="bb">
    <w:name w:val="bb"/>
    <w:basedOn w:val="a6"/>
    <w:unhideWhenUsed/>
    <w:qFormat/>
    <w:rPr>
      <w:rFonts w:cs="Times New Roman" w:hint="default"/>
      <w:sz w:val="24"/>
      <w:szCs w:val="24"/>
    </w:rPr>
  </w:style>
  <w:style w:type="character" w:customStyle="1" w:styleId="CharChar1e">
    <w:name w:val="Char Char1"/>
    <w:unhideWhenUsed/>
    <w:qFormat/>
    <w:rPr>
      <w:rFonts w:hint="default"/>
      <w:kern w:val="2"/>
      <w:sz w:val="18"/>
      <w:szCs w:val="24"/>
    </w:rPr>
  </w:style>
  <w:style w:type="character" w:customStyle="1" w:styleId="CharCharffff8">
    <w:name w:val="正文内容 Char Char"/>
    <w:unhideWhenUsed/>
    <w:qFormat/>
    <w:rPr>
      <w:rFonts w:eastAsia="宋体" w:hint="default"/>
      <w:sz w:val="24"/>
      <w:szCs w:val="24"/>
      <w:lang w:val="en-US" w:eastAsia="zh-CN"/>
    </w:rPr>
  </w:style>
  <w:style w:type="character" w:customStyle="1" w:styleId="wangChar">
    <w:name w:val="正文wang Char"/>
    <w:link w:val="wang"/>
    <w:unhideWhenUsed/>
    <w:qFormat/>
    <w:rPr>
      <w:rFonts w:hAnsi="宋体" w:hint="default"/>
      <w:sz w:val="21"/>
      <w:szCs w:val="24"/>
    </w:rPr>
  </w:style>
  <w:style w:type="character" w:customStyle="1" w:styleId="a10">
    <w:name w:val="a1"/>
    <w:unhideWhenUsed/>
    <w:qFormat/>
    <w:rPr>
      <w:rFonts w:ascii="宋体" w:eastAsia="宋体" w:hAnsi="宋体" w:hint="eastAsia"/>
      <w:color w:val="000000"/>
      <w:sz w:val="18"/>
      <w:szCs w:val="24"/>
    </w:rPr>
  </w:style>
  <w:style w:type="character" w:customStyle="1" w:styleId="26CharCharChar">
    <w:name w:val="样式 (符号) 宋体 小四 行距: 固定值 26 磅 Char Char Char"/>
    <w:link w:val="26CharChar"/>
    <w:unhideWhenUsed/>
    <w:qFormat/>
    <w:rPr>
      <w:rFonts w:hAnsi="宋体" w:hint="default"/>
      <w:color w:val="000000"/>
      <w:kern w:val="2"/>
      <w:sz w:val="28"/>
      <w:szCs w:val="24"/>
    </w:rPr>
  </w:style>
  <w:style w:type="character" w:customStyle="1" w:styleId="k1">
    <w:name w:val="k1"/>
    <w:basedOn w:val="a6"/>
    <w:unhideWhenUsed/>
    <w:qFormat/>
    <w:rPr>
      <w:rFonts w:cs="Times New Roman" w:hint="default"/>
      <w:sz w:val="24"/>
      <w:szCs w:val="24"/>
    </w:rPr>
  </w:style>
  <w:style w:type="character" w:customStyle="1" w:styleId="he31">
    <w:name w:val="he31"/>
    <w:unhideWhenUsed/>
    <w:qFormat/>
    <w:rPr>
      <w:rFonts w:ascii="??" w:hint="default"/>
      <w:color w:val="000000"/>
      <w:sz w:val="18"/>
      <w:szCs w:val="24"/>
    </w:rPr>
  </w:style>
  <w:style w:type="character" w:customStyle="1" w:styleId="3CharCharChar1">
    <w:name w:val="样式 标题 3 + 宋体 Char Char Char"/>
    <w:link w:val="3CharChar1"/>
    <w:unhideWhenUsed/>
    <w:qFormat/>
    <w:rPr>
      <w:rFonts w:hint="default"/>
      <w:b/>
      <w:kern w:val="2"/>
      <w:sz w:val="32"/>
      <w:szCs w:val="24"/>
    </w:rPr>
  </w:style>
  <w:style w:type="character" w:customStyle="1" w:styleId="Chare">
    <w:name w:val="正文首行缩进 Char"/>
    <w:basedOn w:val="2fff8"/>
    <w:link w:val="aff7"/>
    <w:unhideWhenUsed/>
    <w:qFormat/>
    <w:rPr>
      <w:rFonts w:hint="default"/>
      <w:sz w:val="24"/>
      <w:szCs w:val="24"/>
    </w:rPr>
  </w:style>
  <w:style w:type="character" w:customStyle="1" w:styleId="21Char">
    <w:name w:val="正文21 Char"/>
    <w:link w:val="21e"/>
    <w:unhideWhenUsed/>
    <w:qFormat/>
    <w:rPr>
      <w:rFonts w:hint="default"/>
      <w:kern w:val="2"/>
      <w:sz w:val="21"/>
      <w:szCs w:val="24"/>
    </w:rPr>
  </w:style>
  <w:style w:type="character" w:customStyle="1" w:styleId="Charfffffa">
    <w:name w:val="中交正文 Char"/>
    <w:link w:val="afffffffffffffffffffffff3"/>
    <w:unhideWhenUsed/>
    <w:qFormat/>
    <w:rPr>
      <w:rFonts w:hint="default"/>
      <w:kern w:val="2"/>
      <w:sz w:val="24"/>
      <w:szCs w:val="24"/>
    </w:rPr>
  </w:style>
  <w:style w:type="character" w:customStyle="1" w:styleId="Charff9">
    <w:name w:val="表体 Char"/>
    <w:basedOn w:val="a6"/>
    <w:link w:val="afffffffff6"/>
    <w:unhideWhenUsed/>
    <w:qFormat/>
    <w:rPr>
      <w:rFonts w:cs="Times New Roman" w:hint="default"/>
      <w:spacing w:val="-28"/>
      <w:kern w:val="24"/>
      <w:sz w:val="18"/>
      <w:szCs w:val="18"/>
    </w:rPr>
  </w:style>
  <w:style w:type="character" w:customStyle="1" w:styleId="15CharChar">
    <w:name w:val="正文 小四 行距: 1.5 倍行距 Char Char"/>
    <w:unhideWhenUsed/>
    <w:qFormat/>
    <w:rPr>
      <w:rFonts w:ascii="宋体" w:eastAsia="宋体" w:hAnsi="Times New Roman" w:hint="eastAsia"/>
      <w:sz w:val="24"/>
      <w:szCs w:val="24"/>
    </w:rPr>
  </w:style>
  <w:style w:type="character" w:customStyle="1" w:styleId="Charf1">
    <w:name w:val="列出段落 Char"/>
    <w:link w:val="afff9"/>
    <w:uiPriority w:val="1"/>
    <w:unhideWhenUsed/>
    <w:qFormat/>
    <w:rPr>
      <w:rFonts w:hint="default"/>
      <w:kern w:val="2"/>
      <w:sz w:val="24"/>
      <w:szCs w:val="24"/>
    </w:rPr>
  </w:style>
  <w:style w:type="character" w:customStyle="1" w:styleId="TableParagraphChar">
    <w:name w:val="Table Paragraph Char"/>
    <w:link w:val="TableParagraph"/>
    <w:uiPriority w:val="1"/>
    <w:unhideWhenUsed/>
    <w:qFormat/>
    <w:rPr>
      <w:rFonts w:ascii="宋体" w:eastAsia="宋体" w:hint="eastAsia"/>
      <w:sz w:val="22"/>
      <w:szCs w:val="24"/>
      <w:lang w:eastAsia="en-US"/>
    </w:rPr>
  </w:style>
  <w:style w:type="character" w:customStyle="1" w:styleId="A-Char">
    <w:name w:val="A-表格文字 Char"/>
    <w:link w:val="A-"/>
    <w:unhideWhenUsed/>
    <w:qFormat/>
    <w:rPr>
      <w:rFonts w:ascii="宋体" w:eastAsia="宋体" w:hint="eastAsia"/>
      <w:sz w:val="24"/>
      <w:szCs w:val="24"/>
      <w:lang w:eastAsia="en-US"/>
    </w:rPr>
  </w:style>
  <w:style w:type="character" w:customStyle="1" w:styleId="3ff0">
    <w:name w:val="+标题3 字符"/>
    <w:basedOn w:val="3221"/>
    <w:link w:val="3ff"/>
    <w:unhideWhenUsed/>
    <w:qFormat/>
    <w:rPr>
      <w:rFonts w:ascii="黑体" w:eastAsia="黑体" w:hAnsi="宋体" w:cs="Times New Roman" w:hint="eastAsia"/>
      <w:b w:val="0"/>
      <w:kern w:val="2"/>
      <w:sz w:val="28"/>
      <w:szCs w:val="28"/>
    </w:rPr>
  </w:style>
  <w:style w:type="character" w:customStyle="1" w:styleId="3221">
    <w:name w:val="标题 3 字符221"/>
    <w:unhideWhenUsed/>
    <w:qFormat/>
    <w:rPr>
      <w:rFonts w:hint="default"/>
      <w:b/>
      <w:kern w:val="2"/>
      <w:sz w:val="32"/>
      <w:szCs w:val="24"/>
    </w:rPr>
  </w:style>
  <w:style w:type="character" w:customStyle="1" w:styleId="3223">
    <w:name w:val="标题 3 字符22"/>
    <w:unhideWhenUsed/>
    <w:qFormat/>
    <w:rPr>
      <w:rFonts w:hint="default"/>
      <w:b/>
      <w:kern w:val="2"/>
      <w:sz w:val="32"/>
      <w:szCs w:val="24"/>
    </w:rPr>
  </w:style>
  <w:style w:type="character" w:customStyle="1" w:styleId="181">
    <w:name w:val="样式18 字符"/>
    <w:basedOn w:val="3ff0"/>
    <w:link w:val="180"/>
    <w:unhideWhenUsed/>
    <w:qFormat/>
    <w:rPr>
      <w:rFonts w:ascii="黑体" w:eastAsia="黑体" w:hAnsi="宋体" w:cs="Times New Roman" w:hint="eastAsia"/>
      <w:b w:val="0"/>
      <w:kern w:val="2"/>
      <w:sz w:val="28"/>
      <w:szCs w:val="28"/>
    </w:rPr>
  </w:style>
  <w:style w:type="character" w:customStyle="1" w:styleId="21f5">
    <w:name w:val="正文首行缩进 2 字符1"/>
    <w:unhideWhenUsed/>
    <w:qFormat/>
    <w:rPr>
      <w:rFonts w:eastAsia="宋体" w:hint="default"/>
      <w:kern w:val="2"/>
      <w:sz w:val="24"/>
      <w:szCs w:val="24"/>
      <w:lang w:val="en-US" w:eastAsia="zh-CN"/>
    </w:rPr>
  </w:style>
  <w:style w:type="character" w:customStyle="1" w:styleId="2ffff9">
    <w:name w:val="未处理的提及2"/>
    <w:basedOn w:val="a6"/>
    <w:uiPriority w:val="99"/>
    <w:unhideWhenUsed/>
    <w:qFormat/>
    <w:rPr>
      <w:rFonts w:cs="Times New Roman" w:hint="default"/>
      <w:color w:val="605E5C"/>
      <w:sz w:val="24"/>
      <w:szCs w:val="24"/>
      <w:shd w:val="clear" w:color="auto" w:fill="E1DFDD"/>
    </w:rPr>
  </w:style>
  <w:style w:type="character" w:customStyle="1" w:styleId="135">
    <w:name w:val="标题 1 字符3"/>
    <w:basedOn w:val="a6"/>
    <w:uiPriority w:val="9"/>
    <w:unhideWhenUsed/>
    <w:qFormat/>
    <w:rPr>
      <w:rFonts w:cs="Times New Roman" w:hint="default"/>
      <w:b/>
      <w:kern w:val="44"/>
      <w:sz w:val="44"/>
      <w:szCs w:val="44"/>
    </w:rPr>
  </w:style>
  <w:style w:type="character" w:customStyle="1" w:styleId="234">
    <w:name w:val="标题 2 字符3"/>
    <w:basedOn w:val="a6"/>
    <w:uiPriority w:val="9"/>
    <w:unhideWhenUsed/>
    <w:qFormat/>
    <w:rPr>
      <w:rFonts w:ascii="Calibri Light" w:eastAsia="宋体" w:hAnsi="Calibri Light" w:cs="Times New Roman" w:hint="eastAsia"/>
      <w:b/>
      <w:kern w:val="2"/>
      <w:sz w:val="32"/>
      <w:szCs w:val="32"/>
    </w:rPr>
  </w:style>
  <w:style w:type="character" w:customStyle="1" w:styleId="330">
    <w:name w:val="标题 3 字符3"/>
    <w:basedOn w:val="a6"/>
    <w:uiPriority w:val="9"/>
    <w:unhideWhenUsed/>
    <w:qFormat/>
    <w:rPr>
      <w:rFonts w:cs="Times New Roman" w:hint="default"/>
      <w:b/>
      <w:kern w:val="2"/>
      <w:sz w:val="32"/>
      <w:szCs w:val="32"/>
    </w:rPr>
  </w:style>
  <w:style w:type="character" w:customStyle="1" w:styleId="431">
    <w:name w:val="标题 4 字符3"/>
    <w:basedOn w:val="a6"/>
    <w:uiPriority w:val="9"/>
    <w:unhideWhenUsed/>
    <w:qFormat/>
    <w:rPr>
      <w:rFonts w:ascii="Calibri Light" w:eastAsia="宋体" w:hAnsi="Calibri Light" w:cs="Times New Roman" w:hint="eastAsia"/>
      <w:b/>
      <w:kern w:val="2"/>
      <w:sz w:val="28"/>
      <w:szCs w:val="28"/>
    </w:rPr>
  </w:style>
  <w:style w:type="character" w:customStyle="1" w:styleId="530">
    <w:name w:val="标题 5 字符3"/>
    <w:basedOn w:val="a6"/>
    <w:uiPriority w:val="9"/>
    <w:unhideWhenUsed/>
    <w:qFormat/>
    <w:rPr>
      <w:rFonts w:cs="Times New Roman" w:hint="default"/>
      <w:b/>
      <w:kern w:val="2"/>
      <w:sz w:val="28"/>
      <w:szCs w:val="28"/>
    </w:rPr>
  </w:style>
  <w:style w:type="character" w:customStyle="1" w:styleId="630">
    <w:name w:val="标题 6 字符3"/>
    <w:basedOn w:val="a6"/>
    <w:uiPriority w:val="9"/>
    <w:unhideWhenUsed/>
    <w:qFormat/>
    <w:rPr>
      <w:rFonts w:ascii="Calibri Light" w:eastAsia="宋体" w:hAnsi="Calibri Light" w:cs="Times New Roman" w:hint="eastAsia"/>
      <w:b/>
      <w:kern w:val="2"/>
      <w:sz w:val="24"/>
      <w:szCs w:val="24"/>
    </w:rPr>
  </w:style>
  <w:style w:type="character" w:customStyle="1" w:styleId="730">
    <w:name w:val="标题 7 字符3"/>
    <w:basedOn w:val="a6"/>
    <w:uiPriority w:val="9"/>
    <w:unhideWhenUsed/>
    <w:qFormat/>
    <w:rPr>
      <w:rFonts w:cs="Times New Roman" w:hint="default"/>
      <w:b/>
      <w:kern w:val="2"/>
      <w:sz w:val="24"/>
      <w:szCs w:val="24"/>
    </w:rPr>
  </w:style>
  <w:style w:type="character" w:customStyle="1" w:styleId="830">
    <w:name w:val="标题 8 字符3"/>
    <w:basedOn w:val="a6"/>
    <w:uiPriority w:val="9"/>
    <w:unhideWhenUsed/>
    <w:qFormat/>
    <w:rPr>
      <w:rFonts w:ascii="Calibri Light" w:eastAsia="宋体" w:hAnsi="Calibri Light" w:cs="Times New Roman" w:hint="eastAsia"/>
      <w:kern w:val="2"/>
      <w:sz w:val="24"/>
      <w:szCs w:val="24"/>
    </w:rPr>
  </w:style>
  <w:style w:type="character" w:customStyle="1" w:styleId="930">
    <w:name w:val="标题 9 字符3"/>
    <w:basedOn w:val="a6"/>
    <w:uiPriority w:val="9"/>
    <w:unhideWhenUsed/>
    <w:qFormat/>
    <w:rPr>
      <w:rFonts w:ascii="Calibri Light" w:eastAsia="宋体" w:hAnsi="Calibri Light" w:cs="Times New Roman" w:hint="eastAsia"/>
      <w:kern w:val="2"/>
      <w:sz w:val="21"/>
      <w:szCs w:val="21"/>
    </w:rPr>
  </w:style>
  <w:style w:type="character" w:customStyle="1" w:styleId="1221">
    <w:name w:val="标题 1 字符22"/>
    <w:uiPriority w:val="9"/>
    <w:unhideWhenUsed/>
    <w:qFormat/>
    <w:rPr>
      <w:rFonts w:hint="default"/>
      <w:b/>
      <w:kern w:val="44"/>
      <w:sz w:val="44"/>
      <w:szCs w:val="24"/>
    </w:rPr>
  </w:style>
  <w:style w:type="character" w:customStyle="1" w:styleId="2220">
    <w:name w:val="标题 2 字符22"/>
    <w:unhideWhenUsed/>
    <w:qFormat/>
    <w:rPr>
      <w:rFonts w:ascii="Calibri Light" w:eastAsia="宋体" w:hAnsi="Calibri Light" w:hint="eastAsia"/>
      <w:b/>
      <w:kern w:val="2"/>
      <w:sz w:val="32"/>
      <w:szCs w:val="24"/>
    </w:rPr>
  </w:style>
  <w:style w:type="character" w:customStyle="1" w:styleId="424">
    <w:name w:val="标题 4 字符24"/>
    <w:uiPriority w:val="9"/>
    <w:unhideWhenUsed/>
    <w:qFormat/>
    <w:rPr>
      <w:rFonts w:ascii="Calibri Light" w:eastAsia="宋体" w:hAnsi="Calibri Light" w:hint="eastAsia"/>
      <w:b/>
      <w:kern w:val="2"/>
      <w:sz w:val="28"/>
      <w:szCs w:val="24"/>
    </w:rPr>
  </w:style>
  <w:style w:type="character" w:customStyle="1" w:styleId="235">
    <w:name w:val="正文缩进 字符23"/>
    <w:unhideWhenUsed/>
    <w:qFormat/>
    <w:rPr>
      <w:rFonts w:hint="default"/>
      <w:kern w:val="2"/>
      <w:sz w:val="21"/>
      <w:szCs w:val="24"/>
    </w:rPr>
  </w:style>
  <w:style w:type="character" w:customStyle="1" w:styleId="5211">
    <w:name w:val="标题 5 字符21"/>
    <w:unhideWhenUsed/>
    <w:qFormat/>
    <w:rPr>
      <w:rFonts w:hint="default"/>
      <w:b/>
      <w:kern w:val="2"/>
      <w:sz w:val="28"/>
      <w:szCs w:val="24"/>
    </w:rPr>
  </w:style>
  <w:style w:type="character" w:customStyle="1" w:styleId="621">
    <w:name w:val="标题 6 字符21"/>
    <w:uiPriority w:val="9"/>
    <w:unhideWhenUsed/>
    <w:qFormat/>
    <w:rPr>
      <w:rFonts w:ascii="Calibri Light" w:eastAsia="宋体" w:hAnsi="Calibri Light" w:hint="eastAsia"/>
      <w:b/>
      <w:kern w:val="2"/>
      <w:sz w:val="24"/>
      <w:szCs w:val="24"/>
    </w:rPr>
  </w:style>
  <w:style w:type="character" w:customStyle="1" w:styleId="721">
    <w:name w:val="标题 7 字符21"/>
    <w:unhideWhenUsed/>
    <w:qFormat/>
    <w:rPr>
      <w:rFonts w:hint="default"/>
      <w:b/>
      <w:kern w:val="2"/>
      <w:sz w:val="24"/>
      <w:szCs w:val="24"/>
    </w:rPr>
  </w:style>
  <w:style w:type="character" w:customStyle="1" w:styleId="821">
    <w:name w:val="标题 8 字符21"/>
    <w:uiPriority w:val="9"/>
    <w:unhideWhenUsed/>
    <w:qFormat/>
    <w:rPr>
      <w:rFonts w:ascii="Calibri Light" w:eastAsia="宋体" w:hAnsi="Calibri Light" w:hint="eastAsia"/>
      <w:kern w:val="2"/>
      <w:sz w:val="24"/>
      <w:szCs w:val="24"/>
    </w:rPr>
  </w:style>
  <w:style w:type="character" w:customStyle="1" w:styleId="921">
    <w:name w:val="标题 9 字符21"/>
    <w:unhideWhenUsed/>
    <w:qFormat/>
    <w:rPr>
      <w:rFonts w:ascii="Calibri Light" w:eastAsia="宋体" w:hAnsi="Calibri Light" w:hint="eastAsia"/>
      <w:kern w:val="2"/>
      <w:sz w:val="21"/>
      <w:szCs w:val="24"/>
    </w:rPr>
  </w:style>
  <w:style w:type="character" w:customStyle="1" w:styleId="21f6">
    <w:name w:val="纯文本 字符21"/>
    <w:unhideWhenUsed/>
    <w:qFormat/>
    <w:rPr>
      <w:rFonts w:ascii="宋体" w:eastAsia="宋体" w:hAnsi="Courier New" w:hint="eastAsia"/>
      <w:kern w:val="2"/>
      <w:sz w:val="21"/>
      <w:szCs w:val="24"/>
    </w:rPr>
  </w:style>
  <w:style w:type="character" w:customStyle="1" w:styleId="3ff9">
    <w:name w:val="纯文本 字符3"/>
    <w:basedOn w:val="a6"/>
    <w:unhideWhenUsed/>
    <w:qFormat/>
    <w:rPr>
      <w:rFonts w:ascii="宋体" w:eastAsia="宋体" w:hAnsi="Courier New" w:cs="Courier New" w:hint="eastAsia"/>
      <w:kern w:val="2"/>
      <w:sz w:val="24"/>
      <w:szCs w:val="24"/>
    </w:rPr>
  </w:style>
  <w:style w:type="character" w:customStyle="1" w:styleId="Char2f">
    <w:name w:val="标题节 Char2"/>
    <w:unhideWhenUsed/>
    <w:qFormat/>
    <w:rPr>
      <w:rFonts w:eastAsia="仿宋_GB2312" w:hint="default"/>
      <w:b/>
      <w:kern w:val="2"/>
      <w:sz w:val="32"/>
      <w:szCs w:val="24"/>
      <w:lang w:val="en-US" w:eastAsia="zh-CN"/>
    </w:rPr>
  </w:style>
  <w:style w:type="character" w:customStyle="1" w:styleId="3Char11">
    <w:name w:val="标题 3 Char1"/>
    <w:uiPriority w:val="9"/>
    <w:unhideWhenUsed/>
    <w:qFormat/>
    <w:rPr>
      <w:rFonts w:eastAsia="宋体" w:hint="default"/>
      <w:b/>
      <w:kern w:val="28"/>
      <w:sz w:val="24"/>
      <w:szCs w:val="24"/>
      <w:lang w:val="en-US" w:eastAsia="zh-CN"/>
    </w:rPr>
  </w:style>
  <w:style w:type="character" w:customStyle="1" w:styleId="Char1ff">
    <w:name w:val="表格 Char1"/>
    <w:unhideWhenUsed/>
    <w:qFormat/>
    <w:rPr>
      <w:rFonts w:eastAsia="仿宋_GB2312" w:hint="default"/>
      <w:kern w:val="2"/>
      <w:sz w:val="24"/>
      <w:szCs w:val="24"/>
    </w:rPr>
  </w:style>
  <w:style w:type="character" w:customStyle="1" w:styleId="3ffa">
    <w:name w:val="页眉 字符3"/>
    <w:basedOn w:val="a6"/>
    <w:unhideWhenUsed/>
    <w:qFormat/>
    <w:rPr>
      <w:rFonts w:cs="Times New Roman" w:hint="default"/>
      <w:kern w:val="2"/>
      <w:sz w:val="18"/>
      <w:szCs w:val="18"/>
    </w:rPr>
  </w:style>
  <w:style w:type="character" w:customStyle="1" w:styleId="21f7">
    <w:name w:val="页眉 字符21"/>
    <w:unhideWhenUsed/>
    <w:qFormat/>
    <w:rPr>
      <w:rFonts w:hint="default"/>
      <w:kern w:val="2"/>
      <w:sz w:val="18"/>
      <w:szCs w:val="24"/>
    </w:rPr>
  </w:style>
  <w:style w:type="character" w:customStyle="1" w:styleId="Char111">
    <w:name w:val="正文缩进 Char11"/>
    <w:unhideWhenUsed/>
    <w:qFormat/>
    <w:rPr>
      <w:rFonts w:eastAsia="宋体" w:hint="default"/>
      <w:kern w:val="2"/>
      <w:sz w:val="21"/>
      <w:szCs w:val="24"/>
      <w:lang w:val="en-US" w:eastAsia="zh-CN"/>
    </w:rPr>
  </w:style>
  <w:style w:type="character" w:customStyle="1" w:styleId="Char112">
    <w:name w:val="普通文字 Char11"/>
    <w:unhideWhenUsed/>
    <w:qFormat/>
    <w:rPr>
      <w:rFonts w:ascii="宋体" w:eastAsia="宋体" w:hAnsi="Courier New" w:hint="eastAsia"/>
      <w:kern w:val="2"/>
      <w:sz w:val="21"/>
      <w:szCs w:val="24"/>
      <w:lang w:val="en-US" w:eastAsia="zh-CN"/>
    </w:rPr>
  </w:style>
  <w:style w:type="character" w:customStyle="1" w:styleId="SectionChar2">
    <w:name w:val="Section Char2"/>
    <w:unhideWhenUsed/>
    <w:qFormat/>
    <w:rPr>
      <w:rFonts w:eastAsia="黑体" w:hint="default"/>
      <w:kern w:val="2"/>
      <w:sz w:val="32"/>
      <w:szCs w:val="24"/>
      <w:lang w:val="en-US" w:eastAsia="zh-CN"/>
    </w:rPr>
  </w:style>
  <w:style w:type="character" w:customStyle="1" w:styleId="3Char3Char11">
    <w:name w:val="标题 3 Char3 Char11"/>
    <w:unhideWhenUsed/>
    <w:qFormat/>
    <w:rPr>
      <w:rFonts w:eastAsia="宋体" w:hint="default"/>
      <w:b/>
      <w:kern w:val="2"/>
      <w:sz w:val="32"/>
      <w:szCs w:val="24"/>
      <w:lang w:val="en-US" w:eastAsia="zh-CN"/>
    </w:rPr>
  </w:style>
  <w:style w:type="character" w:customStyle="1" w:styleId="Char1ff0">
    <w:name w:val="北山简报正文 Char1"/>
    <w:unhideWhenUsed/>
    <w:qFormat/>
    <w:rPr>
      <w:rFonts w:hint="default"/>
      <w:kern w:val="2"/>
      <w:sz w:val="24"/>
      <w:szCs w:val="24"/>
    </w:rPr>
  </w:style>
  <w:style w:type="character" w:customStyle="1" w:styleId="Char1ff1">
    <w:name w:val="标题章 Char1"/>
    <w:unhideWhenUsed/>
    <w:qFormat/>
    <w:rPr>
      <w:rFonts w:eastAsia="宋体" w:hint="default"/>
      <w:b/>
      <w:kern w:val="44"/>
      <w:sz w:val="44"/>
      <w:szCs w:val="24"/>
      <w:lang w:val="en-US" w:eastAsia="zh-CN"/>
    </w:rPr>
  </w:style>
  <w:style w:type="character" w:customStyle="1" w:styleId="Char113">
    <w:name w:val="章节 Char11"/>
    <w:unhideWhenUsed/>
    <w:qFormat/>
    <w:rPr>
      <w:rFonts w:eastAsia="宋体" w:hint="default"/>
      <w:b/>
      <w:kern w:val="44"/>
      <w:sz w:val="44"/>
      <w:szCs w:val="24"/>
      <w:lang w:val="en-US" w:eastAsia="zh-CN"/>
    </w:rPr>
  </w:style>
  <w:style w:type="character" w:customStyle="1" w:styleId="Char114">
    <w:name w:val="标题节 Char11"/>
    <w:unhideWhenUsed/>
    <w:qFormat/>
    <w:rPr>
      <w:rFonts w:ascii="Arial" w:eastAsia="黑体" w:hAnsi="Arial" w:hint="eastAsia"/>
      <w:b/>
      <w:kern w:val="2"/>
      <w:sz w:val="32"/>
      <w:szCs w:val="24"/>
      <w:lang w:val="en-US" w:eastAsia="zh-CN"/>
    </w:rPr>
  </w:style>
  <w:style w:type="character" w:customStyle="1" w:styleId="SectionChar11">
    <w:name w:val="Section Char11"/>
    <w:unhideWhenUsed/>
    <w:qFormat/>
    <w:rPr>
      <w:rFonts w:eastAsia="宋体" w:hint="default"/>
      <w:b/>
      <w:kern w:val="2"/>
      <w:sz w:val="32"/>
      <w:szCs w:val="24"/>
      <w:lang w:val="en-US" w:eastAsia="zh-CN"/>
    </w:rPr>
  </w:style>
  <w:style w:type="character" w:customStyle="1" w:styleId="1111Char1">
    <w:name w:val="款标题1.1.1.1 Char1"/>
    <w:unhideWhenUsed/>
    <w:qFormat/>
    <w:rPr>
      <w:rFonts w:ascii="Arial" w:eastAsia="黑体" w:hAnsi="Arial" w:hint="eastAsia"/>
      <w:b/>
      <w:kern w:val="2"/>
      <w:sz w:val="28"/>
      <w:szCs w:val="24"/>
      <w:lang w:val="en-US" w:eastAsia="zh-CN"/>
    </w:rPr>
  </w:style>
  <w:style w:type="character" w:customStyle="1" w:styleId="33Char1">
    <w:name w:val="标题33 Char1"/>
    <w:unhideWhenUsed/>
    <w:qFormat/>
    <w:rPr>
      <w:rFonts w:hint="default"/>
      <w:b/>
      <w:kern w:val="2"/>
      <w:sz w:val="32"/>
      <w:szCs w:val="24"/>
    </w:rPr>
  </w:style>
  <w:style w:type="character" w:customStyle="1" w:styleId="11Char10">
    <w:name w:val="标题11 Char1"/>
    <w:unhideWhenUsed/>
    <w:qFormat/>
    <w:rPr>
      <w:rFonts w:hint="default"/>
      <w:b/>
      <w:kern w:val="44"/>
      <w:sz w:val="44"/>
      <w:szCs w:val="24"/>
    </w:rPr>
  </w:style>
  <w:style w:type="character" w:customStyle="1" w:styleId="22Char1">
    <w:name w:val="标题22 Char1"/>
    <w:unhideWhenUsed/>
    <w:qFormat/>
    <w:rPr>
      <w:rFonts w:hint="default"/>
      <w:b/>
      <w:kern w:val="2"/>
      <w:sz w:val="32"/>
      <w:szCs w:val="24"/>
    </w:rPr>
  </w:style>
  <w:style w:type="character" w:customStyle="1" w:styleId="Char310">
    <w:name w:val="页眉 Char31"/>
    <w:unhideWhenUsed/>
    <w:qFormat/>
    <w:rPr>
      <w:rFonts w:eastAsia="宋体" w:hint="default"/>
      <w:kern w:val="2"/>
      <w:sz w:val="18"/>
      <w:szCs w:val="24"/>
      <w:lang w:val="en-US" w:eastAsia="zh-CN"/>
    </w:rPr>
  </w:style>
  <w:style w:type="character" w:customStyle="1" w:styleId="Char311">
    <w:name w:val="普通文字 Char31"/>
    <w:unhideWhenUsed/>
    <w:qFormat/>
    <w:rPr>
      <w:rFonts w:ascii="宋体" w:eastAsia="宋体" w:hAnsi="Courier New" w:hint="eastAsia"/>
      <w:color w:val="000000"/>
      <w:kern w:val="2"/>
      <w:sz w:val="28"/>
      <w:szCs w:val="24"/>
      <w:lang w:val="en-US" w:eastAsia="zh-CN"/>
    </w:rPr>
  </w:style>
  <w:style w:type="character" w:customStyle="1" w:styleId="Char41">
    <w:name w:val="普通文字 Char41"/>
    <w:unhideWhenUsed/>
    <w:qFormat/>
    <w:rPr>
      <w:rFonts w:ascii="宋体" w:eastAsia="宋体" w:hAnsi="Courier New" w:hint="eastAsia"/>
      <w:color w:val="000000"/>
      <w:kern w:val="2"/>
      <w:sz w:val="28"/>
      <w:szCs w:val="24"/>
      <w:lang w:val="en-US" w:eastAsia="zh-CN"/>
    </w:rPr>
  </w:style>
  <w:style w:type="character" w:customStyle="1" w:styleId="btChar1">
    <w:name w:val="bt Char1"/>
    <w:unhideWhenUsed/>
    <w:qFormat/>
    <w:rPr>
      <w:rFonts w:ascii="宋体" w:eastAsia="宋体" w:hAnsi="宋体" w:hint="eastAsia"/>
      <w:kern w:val="2"/>
      <w:position w:val="-6"/>
      <w:sz w:val="21"/>
      <w:szCs w:val="24"/>
      <w:u w:val="single"/>
      <w:lang w:val="en-US" w:eastAsia="zh-CN"/>
    </w:rPr>
  </w:style>
  <w:style w:type="character" w:customStyle="1" w:styleId="Charfffffb">
    <w:name w:val="ÕýÎÄ Char"/>
    <w:link w:val="afffffffffffffffffffffff5"/>
    <w:unhideWhenUsed/>
    <w:qFormat/>
    <w:rPr>
      <w:rFonts w:hint="default"/>
      <w:color w:val="000000"/>
      <w:sz w:val="21"/>
      <w:szCs w:val="24"/>
    </w:rPr>
  </w:style>
  <w:style w:type="character" w:customStyle="1" w:styleId="CharChar1f">
    <w:name w:val="表格文字 Char Char1"/>
    <w:unhideWhenUsed/>
    <w:qFormat/>
    <w:rPr>
      <w:rFonts w:ascii="宋体" w:eastAsia="宋体" w:hAnsi="Courier New" w:hint="eastAsia"/>
      <w:kern w:val="2"/>
      <w:sz w:val="21"/>
      <w:szCs w:val="24"/>
      <w:lang w:val="en-US" w:eastAsia="zh-CN"/>
    </w:rPr>
  </w:style>
  <w:style w:type="character" w:customStyle="1" w:styleId="Char312">
    <w:name w:val="正文首行缩进 Char31"/>
    <w:unhideWhenUsed/>
    <w:qFormat/>
    <w:rPr>
      <w:rFonts w:hint="default"/>
      <w:kern w:val="2"/>
      <w:sz w:val="24"/>
      <w:szCs w:val="24"/>
    </w:rPr>
  </w:style>
  <w:style w:type="character" w:customStyle="1" w:styleId="4Char111">
    <w:name w:val="标题 4 Char111"/>
    <w:unhideWhenUsed/>
    <w:qFormat/>
    <w:rPr>
      <w:rFonts w:ascii="黑体" w:eastAsia="宋体" w:hAnsi="Arial" w:hint="eastAsia"/>
      <w:b/>
      <w:i/>
      <w:kern w:val="2"/>
      <w:sz w:val="24"/>
      <w:szCs w:val="24"/>
    </w:rPr>
  </w:style>
  <w:style w:type="character" w:customStyle="1" w:styleId="1Char210">
    <w:name w:val="正文缩进1 Char21"/>
    <w:unhideWhenUsed/>
    <w:qFormat/>
    <w:rPr>
      <w:rFonts w:eastAsia="宋体" w:hint="default"/>
      <w:kern w:val="2"/>
      <w:sz w:val="24"/>
      <w:szCs w:val="24"/>
      <w:lang w:val="en-US" w:eastAsia="zh-CN"/>
    </w:rPr>
  </w:style>
  <w:style w:type="character" w:customStyle="1" w:styleId="11111Char11">
    <w:name w:val="标题1.1.1.1.1 Char11"/>
    <w:unhideWhenUsed/>
    <w:qFormat/>
    <w:rPr>
      <w:rFonts w:ascii="宋体" w:eastAsia="宋体" w:hint="eastAsia"/>
      <w:b/>
      <w:sz w:val="28"/>
      <w:szCs w:val="24"/>
      <w:lang w:val="en-US" w:eastAsia="zh-CN"/>
    </w:rPr>
  </w:style>
  <w:style w:type="character" w:customStyle="1" w:styleId="aChar5">
    <w:name w:val="干标题(a) Char5"/>
    <w:unhideWhenUsed/>
    <w:qFormat/>
    <w:rPr>
      <w:rFonts w:ascii="Arial" w:eastAsia="黑体" w:hAnsi="Arial" w:hint="eastAsia"/>
      <w:sz w:val="21"/>
      <w:szCs w:val="24"/>
      <w:lang w:val="en-US" w:eastAsia="zh-CN"/>
    </w:rPr>
  </w:style>
  <w:style w:type="character" w:customStyle="1" w:styleId="1Char110">
    <w:name w:val="项标题(1) Char11"/>
    <w:unhideWhenUsed/>
    <w:qFormat/>
    <w:rPr>
      <w:rFonts w:ascii="宋体" w:eastAsia="宋体" w:hint="eastAsia"/>
      <w:b/>
      <w:sz w:val="24"/>
      <w:szCs w:val="24"/>
      <w:lang w:val="en-US" w:eastAsia="zh-CN"/>
    </w:rPr>
  </w:style>
  <w:style w:type="character" w:customStyle="1" w:styleId="1Char51">
    <w:name w:val="目标题 1) Char5"/>
    <w:unhideWhenUsed/>
    <w:qFormat/>
    <w:rPr>
      <w:rFonts w:ascii="Arial" w:eastAsia="黑体" w:hAnsi="Arial" w:hint="eastAsia"/>
      <w:sz w:val="24"/>
      <w:szCs w:val="24"/>
      <w:lang w:val="en-US" w:eastAsia="zh-CN"/>
    </w:rPr>
  </w:style>
  <w:style w:type="character" w:customStyle="1" w:styleId="CharCharCharCharCharCharCharCharCharCharChar11">
    <w:name w:val="普通文字 Char Char Char Char Char Char Char Char Char Char Char11"/>
    <w:unhideWhenUsed/>
    <w:qFormat/>
    <w:rPr>
      <w:rFonts w:ascii="宋体" w:eastAsia="宋体" w:hAnsi="Courier New" w:hint="eastAsia"/>
      <w:kern w:val="2"/>
      <w:sz w:val="28"/>
      <w:szCs w:val="24"/>
      <w:lang w:val="en-US" w:eastAsia="zh-CN"/>
    </w:rPr>
  </w:style>
  <w:style w:type="character" w:customStyle="1" w:styleId="22f">
    <w:name w:val="题注 字符22"/>
    <w:unhideWhenUsed/>
    <w:qFormat/>
    <w:rPr>
      <w:rFonts w:ascii="Arial" w:eastAsia="黑体" w:hAnsi="Arial" w:hint="eastAsia"/>
      <w:kern w:val="2"/>
      <w:sz w:val="24"/>
      <w:szCs w:val="24"/>
    </w:rPr>
  </w:style>
  <w:style w:type="character" w:customStyle="1" w:styleId="Char1CharChar31">
    <w:name w:val="正文首行缩进 Char1 Char Char31"/>
    <w:unhideWhenUsed/>
    <w:qFormat/>
    <w:rPr>
      <w:rFonts w:eastAsia="宋体" w:hint="default"/>
      <w:kern w:val="2"/>
      <w:sz w:val="24"/>
      <w:szCs w:val="24"/>
      <w:lang w:val="en-US" w:eastAsia="zh-CN"/>
    </w:rPr>
  </w:style>
  <w:style w:type="character" w:customStyle="1" w:styleId="CharChar110">
    <w:name w:val="正文首行缩进 Char Char11"/>
    <w:unhideWhenUsed/>
    <w:qFormat/>
    <w:rPr>
      <w:rFonts w:eastAsia="宋体" w:hint="default"/>
      <w:kern w:val="2"/>
      <w:sz w:val="21"/>
      <w:szCs w:val="24"/>
      <w:lang w:val="en-US" w:eastAsia="zh-CN"/>
    </w:rPr>
  </w:style>
  <w:style w:type="character" w:customStyle="1" w:styleId="Char1CharChar1">
    <w:name w:val="正文首行缩进 Char1 Char Char1"/>
    <w:unhideWhenUsed/>
    <w:qFormat/>
    <w:rPr>
      <w:rFonts w:ascii="宋体" w:eastAsia="宋体" w:hint="eastAsia"/>
      <w:kern w:val="2"/>
      <w:sz w:val="28"/>
      <w:szCs w:val="24"/>
      <w:lang w:val="en-US" w:eastAsia="zh-CN"/>
    </w:rPr>
  </w:style>
  <w:style w:type="character" w:customStyle="1" w:styleId="3Char1Char1">
    <w:name w:val="标题 3 Char1 Char1"/>
    <w:unhideWhenUsed/>
    <w:qFormat/>
    <w:rPr>
      <w:rFonts w:ascii="黑体" w:eastAsia="黑体" w:hint="eastAsia"/>
      <w:b/>
      <w:kern w:val="2"/>
      <w:sz w:val="21"/>
      <w:szCs w:val="24"/>
      <w:lang w:val="en-US" w:eastAsia="zh-CN"/>
    </w:rPr>
  </w:style>
  <w:style w:type="character" w:customStyle="1" w:styleId="Char1CharChar21">
    <w:name w:val="正文首行缩进 Char1 Char Char21"/>
    <w:unhideWhenUsed/>
    <w:qFormat/>
    <w:rPr>
      <w:rFonts w:eastAsia="宋体" w:hint="default"/>
      <w:kern w:val="2"/>
      <w:sz w:val="24"/>
      <w:szCs w:val="24"/>
      <w:lang w:val="en-US" w:eastAsia="zh-CN"/>
    </w:rPr>
  </w:style>
  <w:style w:type="character" w:customStyle="1" w:styleId="CharCharffff9">
    <w:name w:val="ÕýÎÄ Char Char"/>
    <w:unhideWhenUsed/>
    <w:qFormat/>
    <w:rPr>
      <w:rFonts w:eastAsia="宋体" w:hint="default"/>
      <w:color w:val="000000"/>
      <w:sz w:val="21"/>
      <w:szCs w:val="24"/>
      <w:lang w:val="en-US" w:eastAsia="zh-CN"/>
    </w:rPr>
  </w:style>
  <w:style w:type="character" w:customStyle="1" w:styleId="1Char111">
    <w:name w:val="目标题 1) Char11"/>
    <w:unhideWhenUsed/>
    <w:qFormat/>
    <w:rPr>
      <w:rFonts w:ascii="Arial" w:eastAsia="黑体" w:hAnsi="Arial" w:hint="eastAsia"/>
      <w:sz w:val="28"/>
      <w:szCs w:val="24"/>
      <w:lang w:val="en-US" w:eastAsia="zh-CN"/>
    </w:rPr>
  </w:style>
  <w:style w:type="character" w:customStyle="1" w:styleId="1Char211">
    <w:name w:val="项标题(1) Char21"/>
    <w:unhideWhenUsed/>
    <w:qFormat/>
    <w:rPr>
      <w:rFonts w:ascii="新宋体" w:eastAsia="仿宋_GB2312" w:hAnsi="新宋体" w:hint="eastAsia"/>
      <w:b/>
      <w:kern w:val="2"/>
      <w:sz w:val="24"/>
      <w:szCs w:val="24"/>
      <w:lang w:val="en-US" w:eastAsia="zh-CN"/>
    </w:rPr>
  </w:style>
  <w:style w:type="character" w:customStyle="1" w:styleId="1Char212">
    <w:name w:val="目标题 1) Char21"/>
    <w:unhideWhenUsed/>
    <w:qFormat/>
    <w:rPr>
      <w:rFonts w:ascii="Arial" w:eastAsia="黑体" w:hAnsi="Arial" w:hint="eastAsia"/>
      <w:kern w:val="2"/>
      <w:sz w:val="24"/>
      <w:szCs w:val="24"/>
      <w:lang w:val="en-US" w:eastAsia="zh-CN"/>
    </w:rPr>
  </w:style>
  <w:style w:type="character" w:customStyle="1" w:styleId="11111Char21">
    <w:name w:val="标题1.1.1.1.1 Char21"/>
    <w:unhideWhenUsed/>
    <w:qFormat/>
    <w:rPr>
      <w:rFonts w:ascii="宋体" w:eastAsia="宋体" w:hint="eastAsia"/>
      <w:b/>
      <w:kern w:val="2"/>
      <w:sz w:val="24"/>
      <w:szCs w:val="24"/>
      <w:lang w:val="en-US" w:eastAsia="zh-CN"/>
    </w:rPr>
  </w:style>
  <w:style w:type="character" w:customStyle="1" w:styleId="111111Char11">
    <w:name w:val="标题1.1.1.1.1.1 Char11"/>
    <w:unhideWhenUsed/>
    <w:qFormat/>
    <w:rPr>
      <w:rFonts w:ascii="Arial" w:eastAsia="黑体" w:hAnsi="Arial" w:hint="eastAsia"/>
      <w:b/>
      <w:kern w:val="2"/>
      <w:sz w:val="24"/>
      <w:szCs w:val="24"/>
      <w:lang w:val="en-US" w:eastAsia="zh-CN"/>
    </w:rPr>
  </w:style>
  <w:style w:type="character" w:customStyle="1" w:styleId="aChar21">
    <w:name w:val="干标题(a) Char21"/>
    <w:unhideWhenUsed/>
    <w:qFormat/>
    <w:rPr>
      <w:rFonts w:ascii="Arial" w:eastAsia="黑体" w:hAnsi="Arial" w:hint="eastAsia"/>
      <w:kern w:val="2"/>
      <w:sz w:val="24"/>
      <w:szCs w:val="24"/>
      <w:lang w:val="en-US" w:eastAsia="zh-CN"/>
    </w:rPr>
  </w:style>
  <w:style w:type="character" w:customStyle="1" w:styleId="1Char310">
    <w:name w:val="项标题(1) Char31"/>
    <w:unhideWhenUsed/>
    <w:qFormat/>
    <w:rPr>
      <w:rFonts w:ascii="宋体" w:eastAsia="宋体" w:hint="eastAsia"/>
      <w:b/>
      <w:kern w:val="2"/>
      <w:sz w:val="24"/>
      <w:szCs w:val="24"/>
      <w:lang w:val="en-US" w:eastAsia="zh-CN"/>
    </w:rPr>
  </w:style>
  <w:style w:type="character" w:customStyle="1" w:styleId="aChar31">
    <w:name w:val="干标题(a) Char31"/>
    <w:unhideWhenUsed/>
    <w:qFormat/>
    <w:rPr>
      <w:rFonts w:ascii="Arial" w:eastAsia="黑体" w:hAnsi="Arial" w:hint="eastAsia"/>
      <w:kern w:val="2"/>
      <w:sz w:val="21"/>
      <w:szCs w:val="24"/>
      <w:lang w:val="en-US" w:eastAsia="zh-CN"/>
    </w:rPr>
  </w:style>
  <w:style w:type="character" w:customStyle="1" w:styleId="11111Char31">
    <w:name w:val="标题1.1.1.1.1 Char31"/>
    <w:unhideWhenUsed/>
    <w:qFormat/>
    <w:rPr>
      <w:rFonts w:ascii="新宋体" w:eastAsia="仿宋_GB2312" w:hAnsi="新宋体" w:hint="eastAsia"/>
      <w:b/>
      <w:kern w:val="2"/>
      <w:sz w:val="28"/>
      <w:szCs w:val="24"/>
      <w:lang w:val="en-US" w:eastAsia="zh-CN"/>
    </w:rPr>
  </w:style>
  <w:style w:type="character" w:customStyle="1" w:styleId="111111Char21">
    <w:name w:val="标题1.1.1.1.1.1 Char21"/>
    <w:unhideWhenUsed/>
    <w:qFormat/>
    <w:rPr>
      <w:rFonts w:ascii="Arial" w:eastAsia="黑体" w:hAnsi="Arial" w:hint="eastAsia"/>
      <w:b/>
      <w:kern w:val="2"/>
      <w:sz w:val="24"/>
      <w:szCs w:val="24"/>
      <w:lang w:val="en-US" w:eastAsia="zh-CN"/>
    </w:rPr>
  </w:style>
  <w:style w:type="character" w:customStyle="1" w:styleId="1Char410">
    <w:name w:val="项标题(1) Char41"/>
    <w:unhideWhenUsed/>
    <w:qFormat/>
    <w:rPr>
      <w:rFonts w:ascii="新宋体" w:eastAsia="仿宋_GB2312" w:hAnsi="新宋体" w:hint="eastAsia"/>
      <w:b/>
      <w:kern w:val="2"/>
      <w:sz w:val="24"/>
      <w:szCs w:val="24"/>
      <w:lang w:val="en-US" w:eastAsia="zh-CN"/>
    </w:rPr>
  </w:style>
  <w:style w:type="character" w:customStyle="1" w:styleId="1Char311">
    <w:name w:val="目标题 1) Char31"/>
    <w:unhideWhenUsed/>
    <w:qFormat/>
    <w:rPr>
      <w:rFonts w:ascii="Arial" w:eastAsia="黑体" w:hAnsi="Arial" w:hint="eastAsia"/>
      <w:kern w:val="2"/>
      <w:sz w:val="24"/>
      <w:szCs w:val="24"/>
      <w:lang w:val="en-US" w:eastAsia="zh-CN"/>
    </w:rPr>
  </w:style>
  <w:style w:type="character" w:customStyle="1" w:styleId="Char1CharChar41">
    <w:name w:val="正文首行缩进 Char1 Char Char41"/>
    <w:unhideWhenUsed/>
    <w:qFormat/>
    <w:rPr>
      <w:rFonts w:ascii="新宋体" w:eastAsia="仿宋_GB2312" w:hAnsi="新宋体" w:hint="eastAsia"/>
      <w:kern w:val="2"/>
      <w:sz w:val="28"/>
      <w:szCs w:val="24"/>
      <w:lang w:val="en-US" w:eastAsia="zh-CN"/>
    </w:rPr>
  </w:style>
  <w:style w:type="character" w:customStyle="1" w:styleId="1Char312">
    <w:name w:val="正文缩进1 Char31"/>
    <w:unhideWhenUsed/>
    <w:qFormat/>
    <w:rPr>
      <w:rFonts w:eastAsia="宋体" w:hint="default"/>
      <w:kern w:val="2"/>
      <w:sz w:val="24"/>
      <w:szCs w:val="24"/>
      <w:lang w:val="en-US" w:eastAsia="zh-CN"/>
    </w:rPr>
  </w:style>
  <w:style w:type="character" w:customStyle="1" w:styleId="aChar41">
    <w:name w:val="干标题(a) Char41"/>
    <w:unhideWhenUsed/>
    <w:qFormat/>
    <w:rPr>
      <w:rFonts w:ascii="Arial" w:eastAsia="黑体" w:hAnsi="Arial" w:hint="eastAsia"/>
      <w:kern w:val="2"/>
      <w:sz w:val="21"/>
      <w:szCs w:val="24"/>
      <w:lang w:val="en-US" w:eastAsia="zh-CN"/>
    </w:rPr>
  </w:style>
  <w:style w:type="character" w:customStyle="1" w:styleId="11111Char41">
    <w:name w:val="标题1.1.1.1.1 Char41"/>
    <w:unhideWhenUsed/>
    <w:qFormat/>
    <w:rPr>
      <w:rFonts w:ascii="新宋体" w:eastAsia="仿宋_GB2312" w:hAnsi="新宋体" w:hint="eastAsia"/>
      <w:b/>
      <w:kern w:val="2"/>
      <w:sz w:val="28"/>
      <w:szCs w:val="24"/>
      <w:lang w:val="en-US" w:eastAsia="zh-CN"/>
    </w:rPr>
  </w:style>
  <w:style w:type="character" w:customStyle="1" w:styleId="111111Char31">
    <w:name w:val="标题1.1.1.1.1.1 Char31"/>
    <w:unhideWhenUsed/>
    <w:qFormat/>
    <w:rPr>
      <w:rFonts w:ascii="Arial" w:eastAsia="黑体" w:hAnsi="Arial" w:hint="eastAsia"/>
      <w:b/>
      <w:kern w:val="2"/>
      <w:sz w:val="24"/>
      <w:szCs w:val="24"/>
      <w:lang w:val="en-US" w:eastAsia="zh-CN"/>
    </w:rPr>
  </w:style>
  <w:style w:type="character" w:customStyle="1" w:styleId="1Char510">
    <w:name w:val="项标题(1) Char51"/>
    <w:unhideWhenUsed/>
    <w:qFormat/>
    <w:rPr>
      <w:rFonts w:ascii="新宋体" w:eastAsia="仿宋_GB2312" w:hAnsi="新宋体" w:hint="eastAsia"/>
      <w:b/>
      <w:kern w:val="2"/>
      <w:sz w:val="24"/>
      <w:szCs w:val="24"/>
      <w:lang w:val="en-US" w:eastAsia="zh-CN"/>
    </w:rPr>
  </w:style>
  <w:style w:type="character" w:customStyle="1" w:styleId="1Char411">
    <w:name w:val="目标题 1) Char41"/>
    <w:unhideWhenUsed/>
    <w:qFormat/>
    <w:rPr>
      <w:rFonts w:ascii="Arial" w:eastAsia="黑体" w:hAnsi="Arial" w:hint="eastAsia"/>
      <w:kern w:val="2"/>
      <w:sz w:val="24"/>
      <w:szCs w:val="24"/>
      <w:lang w:val="en-US" w:eastAsia="zh-CN"/>
    </w:rPr>
  </w:style>
  <w:style w:type="character" w:customStyle="1" w:styleId="Char1CharChar51">
    <w:name w:val="正文首行缩进 Char1 Char Char51"/>
    <w:unhideWhenUsed/>
    <w:qFormat/>
    <w:rPr>
      <w:rFonts w:ascii="新宋体" w:eastAsia="仿宋_GB2312" w:hAnsi="新宋体" w:hint="eastAsia"/>
      <w:kern w:val="2"/>
      <w:sz w:val="28"/>
      <w:szCs w:val="24"/>
      <w:lang w:val="en-US" w:eastAsia="zh-CN"/>
    </w:rPr>
  </w:style>
  <w:style w:type="character" w:customStyle="1" w:styleId="11Char11">
    <w:name w:val="正文首行缩进11 Char1"/>
    <w:unhideWhenUsed/>
    <w:qFormat/>
    <w:rPr>
      <w:rFonts w:eastAsia="宋体" w:hint="default"/>
      <w:kern w:val="2"/>
      <w:sz w:val="24"/>
      <w:szCs w:val="24"/>
      <w:lang w:val="en-US" w:eastAsia="zh-CN"/>
    </w:rPr>
  </w:style>
  <w:style w:type="character" w:customStyle="1" w:styleId="3ffb">
    <w:name w:val="正文缩进 字符3"/>
    <w:unhideWhenUsed/>
    <w:qFormat/>
    <w:rPr>
      <w:rFonts w:eastAsia="宋体" w:hint="default"/>
      <w:kern w:val="2"/>
      <w:sz w:val="21"/>
      <w:szCs w:val="24"/>
      <w:lang w:val="en-US" w:eastAsia="zh-CN"/>
    </w:rPr>
  </w:style>
  <w:style w:type="character" w:customStyle="1" w:styleId="3ffc">
    <w:name w:val="题注 字符3"/>
    <w:unhideWhenUsed/>
    <w:qFormat/>
    <w:rPr>
      <w:rFonts w:ascii="Arial" w:eastAsia="黑体" w:hAnsi="Arial" w:hint="eastAsia"/>
      <w:kern w:val="2"/>
      <w:sz w:val="24"/>
      <w:szCs w:val="24"/>
    </w:rPr>
  </w:style>
  <w:style w:type="character" w:customStyle="1" w:styleId="1120">
    <w:name w:val="标题 1 字符12"/>
    <w:unhideWhenUsed/>
    <w:qFormat/>
    <w:rPr>
      <w:rFonts w:ascii="Times New Roman" w:eastAsia="宋体" w:hAnsi="Times New Roman" w:hint="eastAsia"/>
      <w:b/>
      <w:kern w:val="44"/>
      <w:sz w:val="44"/>
      <w:szCs w:val="24"/>
    </w:rPr>
  </w:style>
  <w:style w:type="character" w:customStyle="1" w:styleId="2121">
    <w:name w:val="标题 2 字符12"/>
    <w:unhideWhenUsed/>
    <w:qFormat/>
    <w:rPr>
      <w:rFonts w:ascii="等线 Light" w:eastAsia="等线 Light" w:hAnsi="等线 Light" w:hint="eastAsia"/>
      <w:b/>
      <w:sz w:val="32"/>
      <w:szCs w:val="24"/>
    </w:rPr>
  </w:style>
  <w:style w:type="character" w:customStyle="1" w:styleId="3121">
    <w:name w:val="标题 3 字符12"/>
    <w:unhideWhenUsed/>
    <w:qFormat/>
    <w:rPr>
      <w:rFonts w:ascii="Times New Roman" w:eastAsia="宋体" w:hAnsi="Times New Roman" w:hint="eastAsia"/>
      <w:b/>
      <w:sz w:val="32"/>
      <w:szCs w:val="24"/>
    </w:rPr>
  </w:style>
  <w:style w:type="character" w:customStyle="1" w:styleId="4120">
    <w:name w:val="标题 4 字符12"/>
    <w:unhideWhenUsed/>
    <w:qFormat/>
    <w:rPr>
      <w:rFonts w:ascii="等线 Light" w:eastAsia="等线 Light" w:hAnsi="等线 Light" w:hint="eastAsia"/>
      <w:b/>
      <w:sz w:val="28"/>
      <w:szCs w:val="24"/>
    </w:rPr>
  </w:style>
  <w:style w:type="character" w:customStyle="1" w:styleId="511">
    <w:name w:val="标题 5 字符11"/>
    <w:unhideWhenUsed/>
    <w:qFormat/>
    <w:rPr>
      <w:rFonts w:ascii="Times New Roman" w:eastAsia="宋体" w:hAnsi="Times New Roman" w:hint="eastAsia"/>
      <w:b/>
      <w:sz w:val="28"/>
      <w:szCs w:val="24"/>
    </w:rPr>
  </w:style>
  <w:style w:type="character" w:customStyle="1" w:styleId="6110">
    <w:name w:val="标题 6 字符11"/>
    <w:unhideWhenUsed/>
    <w:qFormat/>
    <w:rPr>
      <w:rFonts w:ascii="等线 Light" w:eastAsia="等线 Light" w:hAnsi="等线 Light" w:hint="eastAsia"/>
      <w:b/>
      <w:sz w:val="24"/>
      <w:szCs w:val="24"/>
    </w:rPr>
  </w:style>
  <w:style w:type="character" w:customStyle="1" w:styleId="7110">
    <w:name w:val="标题 7 字符11"/>
    <w:unhideWhenUsed/>
    <w:qFormat/>
    <w:rPr>
      <w:rFonts w:ascii="Times New Roman" w:eastAsia="宋体" w:hAnsi="Times New Roman" w:hint="eastAsia"/>
      <w:b/>
      <w:sz w:val="24"/>
      <w:szCs w:val="24"/>
    </w:rPr>
  </w:style>
  <w:style w:type="character" w:customStyle="1" w:styleId="811">
    <w:name w:val="标题 8 字符11"/>
    <w:unhideWhenUsed/>
    <w:qFormat/>
    <w:rPr>
      <w:rFonts w:ascii="等线 Light" w:eastAsia="等线 Light" w:hAnsi="等线 Light" w:hint="eastAsia"/>
      <w:sz w:val="24"/>
      <w:szCs w:val="24"/>
    </w:rPr>
  </w:style>
  <w:style w:type="character" w:customStyle="1" w:styleId="911">
    <w:name w:val="标题 9 字符11"/>
    <w:unhideWhenUsed/>
    <w:qFormat/>
    <w:rPr>
      <w:rFonts w:ascii="等线 Light" w:eastAsia="等线 Light" w:hAnsi="等线 Light" w:hint="eastAsia"/>
      <w:sz w:val="21"/>
      <w:szCs w:val="24"/>
    </w:rPr>
  </w:style>
  <w:style w:type="character" w:customStyle="1" w:styleId="11f0">
    <w:name w:val="正文缩进 字符11"/>
    <w:unhideWhenUsed/>
    <w:qFormat/>
    <w:rPr>
      <w:rFonts w:ascii="Times New Roman" w:eastAsia="宋体" w:hAnsi="Times New Roman" w:hint="eastAsia"/>
      <w:sz w:val="20"/>
      <w:szCs w:val="24"/>
    </w:rPr>
  </w:style>
  <w:style w:type="character" w:customStyle="1" w:styleId="12a">
    <w:name w:val="页眉 字符12"/>
    <w:unhideWhenUsed/>
    <w:qFormat/>
    <w:rPr>
      <w:rFonts w:hint="default"/>
      <w:sz w:val="18"/>
      <w:szCs w:val="24"/>
    </w:rPr>
  </w:style>
  <w:style w:type="character" w:customStyle="1" w:styleId="11f1">
    <w:name w:val="题注 字符11"/>
    <w:unhideWhenUsed/>
    <w:qFormat/>
    <w:rPr>
      <w:rFonts w:ascii="Arial" w:eastAsia="黑体" w:hAnsi="Arial" w:hint="eastAsia"/>
      <w:sz w:val="24"/>
      <w:szCs w:val="24"/>
    </w:rPr>
  </w:style>
  <w:style w:type="character" w:customStyle="1" w:styleId="11f2">
    <w:name w:val="正文文本首行缩进 字符11"/>
    <w:unhideWhenUsed/>
    <w:qFormat/>
    <w:rPr>
      <w:rFonts w:hint="default"/>
      <w:sz w:val="24"/>
      <w:szCs w:val="24"/>
    </w:rPr>
  </w:style>
  <w:style w:type="character" w:customStyle="1" w:styleId="3ffd">
    <w:name w:val="正文文本首行缩进 字符3"/>
    <w:uiPriority w:val="99"/>
    <w:unhideWhenUsed/>
    <w:qFormat/>
    <w:rPr>
      <w:rFonts w:hint="default"/>
      <w:sz w:val="24"/>
      <w:szCs w:val="24"/>
    </w:rPr>
  </w:style>
  <w:style w:type="character" w:customStyle="1" w:styleId="11f3">
    <w:name w:val="纯文本 字符11"/>
    <w:unhideWhenUsed/>
    <w:qFormat/>
    <w:rPr>
      <w:rFonts w:ascii="宋体" w:eastAsia="宋体" w:hAnsi="Courier New" w:hint="eastAsia"/>
      <w:sz w:val="21"/>
      <w:szCs w:val="24"/>
    </w:rPr>
  </w:style>
  <w:style w:type="character" w:customStyle="1" w:styleId="143">
    <w:name w:val="标题 1 字符4"/>
    <w:basedOn w:val="a6"/>
    <w:uiPriority w:val="9"/>
    <w:unhideWhenUsed/>
    <w:qFormat/>
    <w:rPr>
      <w:rFonts w:cs="Times New Roman" w:hint="default"/>
      <w:b/>
      <w:kern w:val="44"/>
      <w:sz w:val="44"/>
      <w:szCs w:val="44"/>
    </w:rPr>
  </w:style>
  <w:style w:type="character" w:customStyle="1" w:styleId="242">
    <w:name w:val="标题 2 字符4"/>
    <w:basedOn w:val="a6"/>
    <w:uiPriority w:val="9"/>
    <w:unhideWhenUsed/>
    <w:qFormat/>
    <w:rPr>
      <w:rFonts w:ascii="Calibri Light" w:eastAsia="宋体" w:hAnsi="Calibri Light" w:cs="Times New Roman" w:hint="eastAsia"/>
      <w:b/>
      <w:kern w:val="2"/>
      <w:sz w:val="32"/>
      <w:szCs w:val="32"/>
    </w:rPr>
  </w:style>
  <w:style w:type="character" w:customStyle="1" w:styleId="340">
    <w:name w:val="标题 3 字符4"/>
    <w:basedOn w:val="a6"/>
    <w:uiPriority w:val="9"/>
    <w:unhideWhenUsed/>
    <w:qFormat/>
    <w:rPr>
      <w:rFonts w:cs="Times New Roman" w:hint="default"/>
      <w:b/>
      <w:kern w:val="2"/>
      <w:sz w:val="32"/>
      <w:szCs w:val="32"/>
    </w:rPr>
  </w:style>
  <w:style w:type="character" w:customStyle="1" w:styleId="441">
    <w:name w:val="标题 4 字符4"/>
    <w:basedOn w:val="a6"/>
    <w:uiPriority w:val="9"/>
    <w:unhideWhenUsed/>
    <w:qFormat/>
    <w:rPr>
      <w:rFonts w:ascii="Calibri Light" w:eastAsia="宋体" w:hAnsi="Calibri Light" w:cs="Times New Roman" w:hint="eastAsia"/>
      <w:b/>
      <w:kern w:val="2"/>
      <w:sz w:val="28"/>
      <w:szCs w:val="28"/>
    </w:rPr>
  </w:style>
  <w:style w:type="character" w:customStyle="1" w:styleId="540">
    <w:name w:val="标题 5 字符4"/>
    <w:basedOn w:val="a6"/>
    <w:uiPriority w:val="9"/>
    <w:unhideWhenUsed/>
    <w:qFormat/>
    <w:rPr>
      <w:rFonts w:cs="Times New Roman" w:hint="default"/>
      <w:b/>
      <w:kern w:val="2"/>
      <w:sz w:val="28"/>
      <w:szCs w:val="28"/>
    </w:rPr>
  </w:style>
  <w:style w:type="character" w:customStyle="1" w:styleId="640">
    <w:name w:val="标题 6 字符4"/>
    <w:basedOn w:val="a6"/>
    <w:uiPriority w:val="9"/>
    <w:unhideWhenUsed/>
    <w:qFormat/>
    <w:rPr>
      <w:rFonts w:ascii="Calibri Light" w:eastAsia="宋体" w:hAnsi="Calibri Light" w:cs="Times New Roman" w:hint="eastAsia"/>
      <w:b/>
      <w:kern w:val="2"/>
      <w:sz w:val="24"/>
      <w:szCs w:val="24"/>
    </w:rPr>
  </w:style>
  <w:style w:type="character" w:customStyle="1" w:styleId="740">
    <w:name w:val="标题 7 字符4"/>
    <w:basedOn w:val="a6"/>
    <w:uiPriority w:val="9"/>
    <w:unhideWhenUsed/>
    <w:qFormat/>
    <w:rPr>
      <w:rFonts w:cs="Times New Roman" w:hint="default"/>
      <w:b/>
      <w:kern w:val="2"/>
      <w:sz w:val="24"/>
      <w:szCs w:val="24"/>
    </w:rPr>
  </w:style>
  <w:style w:type="character" w:customStyle="1" w:styleId="840">
    <w:name w:val="标题 8 字符4"/>
    <w:basedOn w:val="a6"/>
    <w:uiPriority w:val="9"/>
    <w:unhideWhenUsed/>
    <w:qFormat/>
    <w:rPr>
      <w:rFonts w:ascii="Calibri Light" w:eastAsia="宋体" w:hAnsi="Calibri Light" w:cs="Times New Roman" w:hint="eastAsia"/>
      <w:kern w:val="2"/>
      <w:sz w:val="24"/>
      <w:szCs w:val="24"/>
    </w:rPr>
  </w:style>
  <w:style w:type="character" w:customStyle="1" w:styleId="940">
    <w:name w:val="标题 9 字符4"/>
    <w:basedOn w:val="a6"/>
    <w:uiPriority w:val="9"/>
    <w:unhideWhenUsed/>
    <w:qFormat/>
    <w:rPr>
      <w:rFonts w:ascii="Calibri Light" w:eastAsia="宋体" w:hAnsi="Calibri Light" w:cs="Times New Roman" w:hint="eastAsia"/>
      <w:kern w:val="2"/>
      <w:sz w:val="21"/>
      <w:szCs w:val="21"/>
    </w:rPr>
  </w:style>
  <w:style w:type="character" w:customStyle="1" w:styleId="1231">
    <w:name w:val="标题 1 字符23"/>
    <w:uiPriority w:val="9"/>
    <w:unhideWhenUsed/>
    <w:qFormat/>
    <w:rPr>
      <w:rFonts w:hint="default"/>
      <w:b/>
      <w:kern w:val="44"/>
      <w:sz w:val="44"/>
      <w:szCs w:val="24"/>
    </w:rPr>
  </w:style>
  <w:style w:type="character" w:customStyle="1" w:styleId="2231">
    <w:name w:val="标题 2 字符23"/>
    <w:unhideWhenUsed/>
    <w:qFormat/>
    <w:rPr>
      <w:rFonts w:ascii="Calibri Light" w:eastAsia="宋体" w:hAnsi="Calibri Light" w:hint="eastAsia"/>
      <w:b/>
      <w:kern w:val="2"/>
      <w:sz w:val="32"/>
      <w:szCs w:val="24"/>
    </w:rPr>
  </w:style>
  <w:style w:type="character" w:customStyle="1" w:styleId="3230">
    <w:name w:val="标题 3 字符23"/>
    <w:unhideWhenUsed/>
    <w:qFormat/>
    <w:rPr>
      <w:rFonts w:hint="default"/>
      <w:b/>
      <w:kern w:val="2"/>
      <w:sz w:val="32"/>
      <w:szCs w:val="24"/>
    </w:rPr>
  </w:style>
  <w:style w:type="character" w:customStyle="1" w:styleId="3ffe">
    <w:name w:val="正文文本 字符3"/>
    <w:basedOn w:val="a6"/>
    <w:unhideWhenUsed/>
    <w:qFormat/>
    <w:rPr>
      <w:rFonts w:cs="Times New Roman" w:hint="default"/>
      <w:kern w:val="2"/>
      <w:sz w:val="24"/>
      <w:szCs w:val="24"/>
    </w:rPr>
  </w:style>
  <w:style w:type="character" w:customStyle="1" w:styleId="210">
    <w:name w:val="正文文本 字符21"/>
    <w:link w:val="12"/>
    <w:unhideWhenUsed/>
    <w:qFormat/>
    <w:rPr>
      <w:rFonts w:hint="default"/>
      <w:sz w:val="24"/>
      <w:szCs w:val="24"/>
    </w:rPr>
  </w:style>
  <w:style w:type="character" w:customStyle="1" w:styleId="425">
    <w:name w:val="标题 4 字符25"/>
    <w:uiPriority w:val="9"/>
    <w:unhideWhenUsed/>
    <w:qFormat/>
    <w:rPr>
      <w:rFonts w:ascii="Calibri Light" w:eastAsia="宋体" w:hAnsi="Calibri Light" w:hint="eastAsia"/>
      <w:b/>
      <w:kern w:val="2"/>
      <w:sz w:val="28"/>
      <w:szCs w:val="24"/>
    </w:rPr>
  </w:style>
  <w:style w:type="character" w:customStyle="1" w:styleId="243">
    <w:name w:val="正文缩进 字符24"/>
    <w:unhideWhenUsed/>
    <w:qFormat/>
    <w:rPr>
      <w:rFonts w:hint="default"/>
      <w:kern w:val="2"/>
      <w:sz w:val="21"/>
      <w:szCs w:val="24"/>
    </w:rPr>
  </w:style>
  <w:style w:type="character" w:customStyle="1" w:styleId="5222">
    <w:name w:val="标题 5 字符22"/>
    <w:unhideWhenUsed/>
    <w:qFormat/>
    <w:rPr>
      <w:rFonts w:hint="default"/>
      <w:b/>
      <w:kern w:val="2"/>
      <w:sz w:val="28"/>
      <w:szCs w:val="24"/>
    </w:rPr>
  </w:style>
  <w:style w:type="character" w:customStyle="1" w:styleId="622">
    <w:name w:val="标题 6 字符22"/>
    <w:uiPriority w:val="9"/>
    <w:unhideWhenUsed/>
    <w:qFormat/>
    <w:rPr>
      <w:rFonts w:ascii="Calibri Light" w:eastAsia="宋体" w:hAnsi="Calibri Light" w:hint="eastAsia"/>
      <w:b/>
      <w:kern w:val="2"/>
      <w:sz w:val="24"/>
      <w:szCs w:val="24"/>
    </w:rPr>
  </w:style>
  <w:style w:type="character" w:customStyle="1" w:styleId="722">
    <w:name w:val="标题 7 字符22"/>
    <w:unhideWhenUsed/>
    <w:qFormat/>
    <w:rPr>
      <w:rFonts w:hint="default"/>
      <w:b/>
      <w:kern w:val="2"/>
      <w:sz w:val="24"/>
      <w:szCs w:val="24"/>
    </w:rPr>
  </w:style>
  <w:style w:type="character" w:customStyle="1" w:styleId="822">
    <w:name w:val="标题 8 字符22"/>
    <w:uiPriority w:val="9"/>
    <w:unhideWhenUsed/>
    <w:qFormat/>
    <w:rPr>
      <w:rFonts w:ascii="Calibri Light" w:eastAsia="宋体" w:hAnsi="Calibri Light" w:hint="eastAsia"/>
      <w:kern w:val="2"/>
      <w:sz w:val="24"/>
      <w:szCs w:val="24"/>
    </w:rPr>
  </w:style>
  <w:style w:type="character" w:customStyle="1" w:styleId="922">
    <w:name w:val="标题 9 字符22"/>
    <w:unhideWhenUsed/>
    <w:qFormat/>
    <w:rPr>
      <w:rFonts w:ascii="Calibri Light" w:eastAsia="宋体" w:hAnsi="Calibri Light" w:hint="eastAsia"/>
      <w:kern w:val="2"/>
      <w:sz w:val="21"/>
      <w:szCs w:val="24"/>
    </w:rPr>
  </w:style>
  <w:style w:type="character" w:customStyle="1" w:styleId="Char12">
    <w:name w:val="表格内容 Char1"/>
    <w:link w:val="affff6"/>
    <w:unhideWhenUsed/>
    <w:qFormat/>
    <w:rPr>
      <w:rFonts w:ascii="Arial" w:eastAsia="仿宋_GB2312" w:hAnsi="Arial" w:hint="eastAsia"/>
      <w:sz w:val="24"/>
      <w:szCs w:val="24"/>
    </w:rPr>
  </w:style>
  <w:style w:type="character" w:customStyle="1" w:styleId="Char13">
    <w:name w:val="三级标题 Char1"/>
    <w:link w:val="affffd"/>
    <w:unhideWhenUsed/>
    <w:qFormat/>
    <w:rPr>
      <w:rFonts w:hint="default"/>
      <w:b/>
      <w:kern w:val="2"/>
      <w:sz w:val="24"/>
      <w:szCs w:val="24"/>
    </w:rPr>
  </w:style>
  <w:style w:type="character" w:customStyle="1" w:styleId="3fff">
    <w:name w:val="正文文本缩进 字符3"/>
    <w:basedOn w:val="a6"/>
    <w:uiPriority w:val="99"/>
    <w:unhideWhenUsed/>
    <w:qFormat/>
    <w:rPr>
      <w:rFonts w:cs="Times New Roman" w:hint="default"/>
      <w:kern w:val="2"/>
      <w:sz w:val="24"/>
      <w:szCs w:val="24"/>
    </w:rPr>
  </w:style>
  <w:style w:type="character" w:customStyle="1" w:styleId="211">
    <w:name w:val="正文文本缩进 字符21"/>
    <w:link w:val="BodyTextIndent1"/>
    <w:unhideWhenUsed/>
    <w:qFormat/>
    <w:rPr>
      <w:rFonts w:hint="default"/>
      <w:kern w:val="2"/>
      <w:sz w:val="24"/>
      <w:szCs w:val="24"/>
    </w:rPr>
  </w:style>
  <w:style w:type="character" w:customStyle="1" w:styleId="22f0">
    <w:name w:val="纯文本 字符22"/>
    <w:unhideWhenUsed/>
    <w:qFormat/>
    <w:rPr>
      <w:rFonts w:ascii="宋体" w:eastAsia="宋体" w:hAnsi="Courier New" w:hint="eastAsia"/>
      <w:kern w:val="2"/>
      <w:sz w:val="21"/>
      <w:szCs w:val="24"/>
    </w:rPr>
  </w:style>
  <w:style w:type="character" w:customStyle="1" w:styleId="4f9">
    <w:name w:val="纯文本 字符4"/>
    <w:basedOn w:val="a6"/>
    <w:unhideWhenUsed/>
    <w:qFormat/>
    <w:rPr>
      <w:rFonts w:ascii="宋体" w:eastAsia="宋体" w:hAnsi="Courier New" w:cs="Courier New" w:hint="eastAsia"/>
      <w:kern w:val="2"/>
      <w:sz w:val="24"/>
      <w:szCs w:val="24"/>
    </w:rPr>
  </w:style>
  <w:style w:type="character" w:customStyle="1" w:styleId="214">
    <w:name w:val="批注文字 字符21"/>
    <w:link w:val="1d"/>
    <w:uiPriority w:val="99"/>
    <w:unhideWhenUsed/>
    <w:qFormat/>
    <w:rPr>
      <w:rFonts w:hint="default"/>
      <w:kern w:val="2"/>
      <w:sz w:val="24"/>
      <w:szCs w:val="24"/>
    </w:rPr>
  </w:style>
  <w:style w:type="character" w:customStyle="1" w:styleId="3fff0">
    <w:name w:val="批注文字 字符3"/>
    <w:basedOn w:val="a6"/>
    <w:uiPriority w:val="99"/>
    <w:unhideWhenUsed/>
    <w:qFormat/>
    <w:rPr>
      <w:rFonts w:cs="Times New Roman" w:hint="default"/>
      <w:kern w:val="2"/>
      <w:sz w:val="24"/>
      <w:szCs w:val="24"/>
    </w:rPr>
  </w:style>
  <w:style w:type="character" w:customStyle="1" w:styleId="221">
    <w:name w:val="正文文本缩进 2 字符21"/>
    <w:link w:val="215"/>
    <w:unhideWhenUsed/>
    <w:qFormat/>
    <w:rPr>
      <w:rFonts w:hint="default"/>
      <w:kern w:val="2"/>
      <w:sz w:val="24"/>
      <w:szCs w:val="24"/>
    </w:rPr>
  </w:style>
  <w:style w:type="character" w:customStyle="1" w:styleId="236">
    <w:name w:val="正文文本缩进 2 字符3"/>
    <w:basedOn w:val="a6"/>
    <w:uiPriority w:val="99"/>
    <w:unhideWhenUsed/>
    <w:qFormat/>
    <w:rPr>
      <w:rFonts w:cs="Times New Roman" w:hint="default"/>
      <w:kern w:val="2"/>
      <w:sz w:val="24"/>
      <w:szCs w:val="24"/>
    </w:rPr>
  </w:style>
  <w:style w:type="character" w:customStyle="1" w:styleId="1Char1">
    <w:name w:val="样式1 Char1"/>
    <w:link w:val="1e"/>
    <w:unhideWhenUsed/>
    <w:qFormat/>
    <w:rPr>
      <w:rFonts w:ascii="方正大标宋简体" w:eastAsia="方正大标宋简体" w:hint="eastAsia"/>
      <w:b/>
      <w:kern w:val="2"/>
      <w:sz w:val="44"/>
      <w:szCs w:val="24"/>
    </w:rPr>
  </w:style>
  <w:style w:type="character" w:customStyle="1" w:styleId="Char36">
    <w:name w:val="标题节 Char3"/>
    <w:unhideWhenUsed/>
    <w:qFormat/>
    <w:rPr>
      <w:rFonts w:eastAsia="仿宋_GB2312" w:hint="default"/>
      <w:b/>
      <w:kern w:val="2"/>
      <w:sz w:val="32"/>
      <w:szCs w:val="24"/>
      <w:lang w:val="en-US" w:eastAsia="zh-CN"/>
    </w:rPr>
  </w:style>
  <w:style w:type="character" w:customStyle="1" w:styleId="pagenumber1">
    <w:name w:val="page number1"/>
    <w:basedOn w:val="a6"/>
    <w:unhideWhenUsed/>
    <w:qFormat/>
    <w:rPr>
      <w:rFonts w:cs="Times New Roman" w:hint="default"/>
      <w:sz w:val="24"/>
      <w:szCs w:val="24"/>
    </w:rPr>
  </w:style>
  <w:style w:type="character" w:customStyle="1" w:styleId="21f8">
    <w:name w:val="页脚 字符21"/>
    <w:uiPriority w:val="99"/>
    <w:unhideWhenUsed/>
    <w:qFormat/>
    <w:rPr>
      <w:rFonts w:hint="default"/>
      <w:kern w:val="2"/>
      <w:sz w:val="18"/>
      <w:szCs w:val="24"/>
    </w:rPr>
  </w:style>
  <w:style w:type="character" w:customStyle="1" w:styleId="3fff1">
    <w:name w:val="页脚 字符3"/>
    <w:basedOn w:val="a6"/>
    <w:uiPriority w:val="99"/>
    <w:unhideWhenUsed/>
    <w:qFormat/>
    <w:rPr>
      <w:rFonts w:cs="Times New Roman" w:hint="default"/>
      <w:kern w:val="2"/>
      <w:sz w:val="18"/>
      <w:szCs w:val="18"/>
    </w:rPr>
  </w:style>
  <w:style w:type="character" w:customStyle="1" w:styleId="216">
    <w:name w:val="批注主题 字符21"/>
    <w:link w:val="1f0"/>
    <w:uiPriority w:val="99"/>
    <w:unhideWhenUsed/>
    <w:qFormat/>
    <w:rPr>
      <w:rFonts w:hint="default"/>
      <w:b/>
      <w:kern w:val="2"/>
      <w:sz w:val="24"/>
      <w:szCs w:val="24"/>
    </w:rPr>
  </w:style>
  <w:style w:type="character" w:customStyle="1" w:styleId="3fff2">
    <w:name w:val="批注主题 字符3"/>
    <w:basedOn w:val="3fff0"/>
    <w:uiPriority w:val="99"/>
    <w:unhideWhenUsed/>
    <w:qFormat/>
    <w:rPr>
      <w:rFonts w:cs="Times New Roman" w:hint="default"/>
      <w:b/>
      <w:kern w:val="2"/>
      <w:sz w:val="24"/>
      <w:szCs w:val="24"/>
    </w:rPr>
  </w:style>
  <w:style w:type="character" w:customStyle="1" w:styleId="3Char20">
    <w:name w:val="标题 3 Char2"/>
    <w:uiPriority w:val="9"/>
    <w:unhideWhenUsed/>
    <w:qFormat/>
    <w:rPr>
      <w:rFonts w:eastAsia="宋体" w:hint="default"/>
      <w:b/>
      <w:kern w:val="28"/>
      <w:sz w:val="24"/>
      <w:szCs w:val="24"/>
      <w:lang w:val="en-US" w:eastAsia="zh-CN"/>
    </w:rPr>
  </w:style>
  <w:style w:type="character" w:customStyle="1" w:styleId="Hyperlink2">
    <w:name w:val="Hyperlink2"/>
    <w:uiPriority w:val="99"/>
    <w:unhideWhenUsed/>
    <w:qFormat/>
    <w:rPr>
      <w:rFonts w:hint="default"/>
      <w:color w:val="0000FF"/>
      <w:sz w:val="24"/>
      <w:szCs w:val="24"/>
      <w:u w:val="single"/>
    </w:rPr>
  </w:style>
  <w:style w:type="character" w:customStyle="1" w:styleId="11f4">
    <w:name w:val="已访问的超链接11"/>
    <w:unhideWhenUsed/>
    <w:qFormat/>
    <w:rPr>
      <w:rFonts w:hint="default"/>
      <w:color w:val="800080"/>
      <w:sz w:val="24"/>
      <w:szCs w:val="24"/>
      <w:u w:val="single"/>
    </w:rPr>
  </w:style>
  <w:style w:type="character" w:customStyle="1" w:styleId="331">
    <w:name w:val="正文文本 3 字符3"/>
    <w:basedOn w:val="a6"/>
    <w:uiPriority w:val="99"/>
    <w:unhideWhenUsed/>
    <w:qFormat/>
    <w:rPr>
      <w:rFonts w:cs="Times New Roman" w:hint="default"/>
      <w:kern w:val="2"/>
      <w:sz w:val="16"/>
      <w:szCs w:val="16"/>
    </w:rPr>
  </w:style>
  <w:style w:type="character" w:customStyle="1" w:styleId="Char2f0">
    <w:name w:val="表格 Char2"/>
    <w:unhideWhenUsed/>
    <w:qFormat/>
    <w:rPr>
      <w:rFonts w:eastAsia="仿宋_GB2312" w:hint="default"/>
      <w:kern w:val="2"/>
      <w:sz w:val="24"/>
      <w:szCs w:val="24"/>
    </w:rPr>
  </w:style>
  <w:style w:type="character" w:customStyle="1" w:styleId="332">
    <w:name w:val="正文文本缩进 3 字符3"/>
    <w:basedOn w:val="a6"/>
    <w:uiPriority w:val="99"/>
    <w:unhideWhenUsed/>
    <w:qFormat/>
    <w:rPr>
      <w:rFonts w:cs="Times New Roman" w:hint="default"/>
      <w:kern w:val="2"/>
      <w:sz w:val="16"/>
      <w:szCs w:val="16"/>
    </w:rPr>
  </w:style>
  <w:style w:type="character" w:customStyle="1" w:styleId="4fa">
    <w:name w:val="页眉 字符4"/>
    <w:basedOn w:val="a6"/>
    <w:unhideWhenUsed/>
    <w:qFormat/>
    <w:rPr>
      <w:rFonts w:cs="Times New Roman" w:hint="default"/>
      <w:kern w:val="2"/>
      <w:sz w:val="18"/>
      <w:szCs w:val="18"/>
    </w:rPr>
  </w:style>
  <w:style w:type="character" w:customStyle="1" w:styleId="22f1">
    <w:name w:val="页眉 字符22"/>
    <w:unhideWhenUsed/>
    <w:qFormat/>
    <w:rPr>
      <w:rFonts w:hint="default"/>
      <w:kern w:val="2"/>
      <w:sz w:val="18"/>
      <w:szCs w:val="24"/>
    </w:rPr>
  </w:style>
  <w:style w:type="character" w:customStyle="1" w:styleId="Char121">
    <w:name w:val="正文缩进 Char12"/>
    <w:unhideWhenUsed/>
    <w:qFormat/>
    <w:rPr>
      <w:rFonts w:eastAsia="宋体" w:hint="default"/>
      <w:kern w:val="2"/>
      <w:sz w:val="21"/>
      <w:szCs w:val="24"/>
      <w:lang w:val="en-US" w:eastAsia="zh-CN"/>
    </w:rPr>
  </w:style>
  <w:style w:type="character" w:customStyle="1" w:styleId="CharChar1f0">
    <w:name w:val="表格内容 Char Char1"/>
    <w:unhideWhenUsed/>
    <w:qFormat/>
    <w:rPr>
      <w:rFonts w:ascii="Arial" w:eastAsia="仿宋_GB2312" w:hAnsi="Arial" w:hint="eastAsia"/>
      <w:sz w:val="24"/>
      <w:szCs w:val="24"/>
      <w:lang w:val="en-US" w:eastAsia="zh-CN"/>
    </w:rPr>
  </w:style>
  <w:style w:type="character" w:customStyle="1" w:styleId="Char122">
    <w:name w:val="普通文字 Char12"/>
    <w:unhideWhenUsed/>
    <w:qFormat/>
    <w:rPr>
      <w:rFonts w:ascii="宋体" w:eastAsia="宋体" w:hAnsi="Courier New" w:hint="eastAsia"/>
      <w:kern w:val="2"/>
      <w:sz w:val="21"/>
      <w:szCs w:val="24"/>
      <w:lang w:val="en-US" w:eastAsia="zh-CN"/>
    </w:rPr>
  </w:style>
  <w:style w:type="character" w:customStyle="1" w:styleId="SectionChar3">
    <w:name w:val="Section Char3"/>
    <w:unhideWhenUsed/>
    <w:qFormat/>
    <w:rPr>
      <w:rFonts w:eastAsia="黑体" w:hint="default"/>
      <w:kern w:val="2"/>
      <w:sz w:val="32"/>
      <w:szCs w:val="24"/>
      <w:lang w:val="en-US" w:eastAsia="zh-CN"/>
    </w:rPr>
  </w:style>
  <w:style w:type="character" w:customStyle="1" w:styleId="CharCharCharChar12">
    <w:name w:val="Char Char Char Char12"/>
    <w:unhideWhenUsed/>
    <w:qFormat/>
    <w:rPr>
      <w:rFonts w:eastAsia="宋体" w:hint="default"/>
      <w:kern w:val="2"/>
      <w:sz w:val="18"/>
      <w:szCs w:val="24"/>
      <w:lang w:val="en-US" w:eastAsia="zh-CN"/>
    </w:rPr>
  </w:style>
  <w:style w:type="character" w:customStyle="1" w:styleId="3fff3">
    <w:name w:val="注释标题 字符3"/>
    <w:basedOn w:val="a6"/>
    <w:uiPriority w:val="99"/>
    <w:unhideWhenUsed/>
    <w:qFormat/>
    <w:rPr>
      <w:rFonts w:cs="Times New Roman" w:hint="default"/>
      <w:kern w:val="2"/>
      <w:sz w:val="24"/>
      <w:szCs w:val="24"/>
    </w:rPr>
  </w:style>
  <w:style w:type="character" w:customStyle="1" w:styleId="CharCharCharCharChar11">
    <w:name w:val="首行缩进 Char Char Char Char Char1"/>
    <w:unhideWhenUsed/>
    <w:qFormat/>
    <w:rPr>
      <w:rFonts w:eastAsia="宋体" w:hint="default"/>
      <w:kern w:val="2"/>
      <w:sz w:val="24"/>
      <w:szCs w:val="24"/>
      <w:lang w:val="en-US" w:eastAsia="zh-CN"/>
    </w:rPr>
  </w:style>
  <w:style w:type="character" w:customStyle="1" w:styleId="3Char3Char12">
    <w:name w:val="标题 3 Char3 Char12"/>
    <w:unhideWhenUsed/>
    <w:qFormat/>
    <w:rPr>
      <w:rFonts w:eastAsia="宋体" w:hint="default"/>
      <w:b/>
      <w:kern w:val="2"/>
      <w:sz w:val="32"/>
      <w:szCs w:val="24"/>
      <w:lang w:val="en-US" w:eastAsia="zh-CN"/>
    </w:rPr>
  </w:style>
  <w:style w:type="character" w:customStyle="1" w:styleId="Char2f1">
    <w:name w:val="北山简报正文 Char2"/>
    <w:unhideWhenUsed/>
    <w:qFormat/>
    <w:rPr>
      <w:rFonts w:hint="default"/>
      <w:kern w:val="2"/>
      <w:sz w:val="24"/>
      <w:szCs w:val="24"/>
    </w:rPr>
  </w:style>
  <w:style w:type="character" w:customStyle="1" w:styleId="Char2f2">
    <w:name w:val="标题章 Char2"/>
    <w:unhideWhenUsed/>
    <w:qFormat/>
    <w:rPr>
      <w:rFonts w:eastAsia="宋体" w:hint="default"/>
      <w:b/>
      <w:kern w:val="44"/>
      <w:sz w:val="44"/>
      <w:szCs w:val="24"/>
      <w:lang w:val="en-US" w:eastAsia="zh-CN"/>
    </w:rPr>
  </w:style>
  <w:style w:type="character" w:customStyle="1" w:styleId="Char1ff2">
    <w:name w:val="第四层条 Char1"/>
    <w:unhideWhenUsed/>
    <w:qFormat/>
    <w:rPr>
      <w:rFonts w:eastAsia="宋体" w:hint="default"/>
      <w:sz w:val="24"/>
      <w:szCs w:val="24"/>
      <w:lang w:val="en-US" w:eastAsia="zh-CN"/>
    </w:rPr>
  </w:style>
  <w:style w:type="character" w:customStyle="1" w:styleId="3Char110">
    <w:name w:val="正文文本缩进 3 Char11"/>
    <w:unhideWhenUsed/>
    <w:qFormat/>
    <w:rPr>
      <w:rFonts w:hint="default"/>
      <w:kern w:val="2"/>
      <w:sz w:val="16"/>
      <w:szCs w:val="24"/>
    </w:rPr>
  </w:style>
  <w:style w:type="character" w:customStyle="1" w:styleId="Char123">
    <w:name w:val="章节 Char12"/>
    <w:unhideWhenUsed/>
    <w:qFormat/>
    <w:rPr>
      <w:rFonts w:eastAsia="宋体" w:hint="default"/>
      <w:b/>
      <w:kern w:val="44"/>
      <w:sz w:val="44"/>
      <w:szCs w:val="24"/>
      <w:lang w:val="en-US" w:eastAsia="zh-CN"/>
    </w:rPr>
  </w:style>
  <w:style w:type="character" w:customStyle="1" w:styleId="Char124">
    <w:name w:val="标题节 Char12"/>
    <w:unhideWhenUsed/>
    <w:qFormat/>
    <w:rPr>
      <w:rFonts w:ascii="Arial" w:eastAsia="黑体" w:hAnsi="Arial" w:hint="eastAsia"/>
      <w:b/>
      <w:kern w:val="2"/>
      <w:sz w:val="32"/>
      <w:szCs w:val="24"/>
      <w:lang w:val="en-US" w:eastAsia="zh-CN"/>
    </w:rPr>
  </w:style>
  <w:style w:type="character" w:customStyle="1" w:styleId="SectionChar12">
    <w:name w:val="Section Char12"/>
    <w:unhideWhenUsed/>
    <w:qFormat/>
    <w:rPr>
      <w:rFonts w:eastAsia="宋体" w:hint="default"/>
      <w:b/>
      <w:kern w:val="2"/>
      <w:sz w:val="32"/>
      <w:szCs w:val="24"/>
      <w:lang w:val="en-US" w:eastAsia="zh-CN"/>
    </w:rPr>
  </w:style>
  <w:style w:type="character" w:customStyle="1" w:styleId="1111Char2">
    <w:name w:val="款标题1.1.1.1 Char2"/>
    <w:unhideWhenUsed/>
    <w:qFormat/>
    <w:rPr>
      <w:rFonts w:ascii="Arial" w:eastAsia="黑体" w:hAnsi="Arial" w:hint="eastAsia"/>
      <w:b/>
      <w:kern w:val="2"/>
      <w:sz w:val="28"/>
      <w:szCs w:val="24"/>
      <w:lang w:val="en-US" w:eastAsia="zh-CN"/>
    </w:rPr>
  </w:style>
  <w:style w:type="character" w:customStyle="1" w:styleId="33Char2">
    <w:name w:val="标题33 Char2"/>
    <w:unhideWhenUsed/>
    <w:qFormat/>
    <w:rPr>
      <w:rFonts w:hint="default"/>
      <w:b/>
      <w:kern w:val="2"/>
      <w:sz w:val="32"/>
      <w:szCs w:val="24"/>
    </w:rPr>
  </w:style>
  <w:style w:type="character" w:customStyle="1" w:styleId="11Char2">
    <w:name w:val="标题11 Char2"/>
    <w:unhideWhenUsed/>
    <w:qFormat/>
    <w:rPr>
      <w:rFonts w:hint="default"/>
      <w:b/>
      <w:kern w:val="44"/>
      <w:sz w:val="44"/>
      <w:szCs w:val="24"/>
    </w:rPr>
  </w:style>
  <w:style w:type="character" w:customStyle="1" w:styleId="22Char2">
    <w:name w:val="标题22 Char2"/>
    <w:unhideWhenUsed/>
    <w:qFormat/>
    <w:rPr>
      <w:rFonts w:hint="default"/>
      <w:b/>
      <w:kern w:val="2"/>
      <w:sz w:val="32"/>
      <w:szCs w:val="24"/>
    </w:rPr>
  </w:style>
  <w:style w:type="character" w:customStyle="1" w:styleId="3210">
    <w:name w:val="正文文本缩进 3 字符21"/>
    <w:link w:val="312"/>
    <w:unhideWhenUsed/>
    <w:qFormat/>
    <w:rPr>
      <w:rFonts w:hint="default"/>
      <w:sz w:val="24"/>
      <w:szCs w:val="24"/>
    </w:rPr>
  </w:style>
  <w:style w:type="character" w:customStyle="1" w:styleId="2Char110">
    <w:name w:val="正文文本缩进 2 Char11"/>
    <w:unhideWhenUsed/>
    <w:qFormat/>
    <w:rPr>
      <w:rFonts w:hint="default"/>
      <w:kern w:val="2"/>
      <w:sz w:val="22"/>
      <w:szCs w:val="24"/>
    </w:rPr>
  </w:style>
  <w:style w:type="character" w:customStyle="1" w:styleId="321">
    <w:name w:val="正文文本 3 字符21"/>
    <w:link w:val="311"/>
    <w:unhideWhenUsed/>
    <w:qFormat/>
    <w:rPr>
      <w:rFonts w:hint="default"/>
      <w:kern w:val="2"/>
      <w:sz w:val="24"/>
      <w:szCs w:val="24"/>
    </w:rPr>
  </w:style>
  <w:style w:type="character" w:customStyle="1" w:styleId="217">
    <w:name w:val="注释标题 字符21"/>
    <w:link w:val="1ff1"/>
    <w:unhideWhenUsed/>
    <w:qFormat/>
    <w:rPr>
      <w:rFonts w:ascii="宋体" w:eastAsia="宋体" w:hint="eastAsia"/>
      <w:kern w:val="2"/>
      <w:sz w:val="21"/>
      <w:szCs w:val="24"/>
    </w:rPr>
  </w:style>
  <w:style w:type="character" w:customStyle="1" w:styleId="Char320">
    <w:name w:val="页眉 Char32"/>
    <w:unhideWhenUsed/>
    <w:qFormat/>
    <w:rPr>
      <w:rFonts w:eastAsia="宋体" w:hint="default"/>
      <w:kern w:val="2"/>
      <w:sz w:val="18"/>
      <w:szCs w:val="24"/>
      <w:lang w:val="en-US" w:eastAsia="zh-CN"/>
    </w:rPr>
  </w:style>
  <w:style w:type="character" w:customStyle="1" w:styleId="Char321">
    <w:name w:val="普通文字 Char32"/>
    <w:unhideWhenUsed/>
    <w:qFormat/>
    <w:rPr>
      <w:rFonts w:ascii="宋体" w:eastAsia="宋体" w:hAnsi="Courier New" w:hint="eastAsia"/>
      <w:color w:val="000000"/>
      <w:kern w:val="2"/>
      <w:sz w:val="28"/>
      <w:szCs w:val="24"/>
      <w:lang w:val="en-US" w:eastAsia="zh-CN"/>
    </w:rPr>
  </w:style>
  <w:style w:type="character" w:customStyle="1" w:styleId="Char110">
    <w:name w:val="表中文字 Char11"/>
    <w:link w:val="afffffff2"/>
    <w:unhideWhenUsed/>
    <w:qFormat/>
    <w:rPr>
      <w:rFonts w:hint="default"/>
      <w:kern w:val="2"/>
      <w:sz w:val="21"/>
      <w:szCs w:val="24"/>
    </w:rPr>
  </w:style>
  <w:style w:type="character" w:customStyle="1" w:styleId="Char42">
    <w:name w:val="普通文字 Char42"/>
    <w:unhideWhenUsed/>
    <w:qFormat/>
    <w:rPr>
      <w:rFonts w:ascii="宋体" w:eastAsia="宋体" w:hAnsi="Courier New" w:hint="eastAsia"/>
      <w:color w:val="000000"/>
      <w:kern w:val="2"/>
      <w:sz w:val="28"/>
      <w:szCs w:val="24"/>
      <w:lang w:val="en-US" w:eastAsia="zh-CN"/>
    </w:rPr>
  </w:style>
  <w:style w:type="character" w:customStyle="1" w:styleId="Char211">
    <w:name w:val="批注主题 Char21"/>
    <w:unhideWhenUsed/>
    <w:qFormat/>
    <w:rPr>
      <w:rFonts w:eastAsia="宋体" w:hint="default"/>
      <w:kern w:val="2"/>
      <w:sz w:val="18"/>
      <w:szCs w:val="24"/>
      <w:lang w:val="en-US" w:eastAsia="zh-CN"/>
    </w:rPr>
  </w:style>
  <w:style w:type="character" w:customStyle="1" w:styleId="Char16">
    <w:name w:val="表题 Char1"/>
    <w:link w:val="affffffffff6"/>
    <w:unhideWhenUsed/>
    <w:qFormat/>
    <w:rPr>
      <w:rFonts w:hint="default"/>
      <w:b/>
      <w:kern w:val="2"/>
      <w:sz w:val="21"/>
      <w:szCs w:val="24"/>
    </w:rPr>
  </w:style>
  <w:style w:type="character" w:customStyle="1" w:styleId="Char2f3">
    <w:name w:val="表中文字 Char2"/>
    <w:unhideWhenUsed/>
    <w:qFormat/>
    <w:rPr>
      <w:rFonts w:eastAsia="宋体" w:hint="default"/>
      <w:kern w:val="2"/>
      <w:sz w:val="21"/>
      <w:szCs w:val="24"/>
      <w:lang w:val="en-US" w:eastAsia="zh-CN"/>
    </w:rPr>
  </w:style>
  <w:style w:type="character" w:customStyle="1" w:styleId="btChar2">
    <w:name w:val="bt Char2"/>
    <w:unhideWhenUsed/>
    <w:qFormat/>
    <w:rPr>
      <w:rFonts w:ascii="宋体" w:eastAsia="宋体" w:hAnsi="宋体" w:hint="eastAsia"/>
      <w:kern w:val="2"/>
      <w:position w:val="-6"/>
      <w:sz w:val="21"/>
      <w:szCs w:val="24"/>
      <w:u w:val="single"/>
      <w:lang w:val="en-US" w:eastAsia="zh-CN"/>
    </w:rPr>
  </w:style>
  <w:style w:type="character" w:customStyle="1" w:styleId="CharCharCharCharCharChar10">
    <w:name w:val="纯文本 Char Char Char Char Char Char1"/>
    <w:unhideWhenUsed/>
    <w:qFormat/>
    <w:rPr>
      <w:rFonts w:ascii="宋体" w:eastAsia="宋体" w:hAnsi="Courier New" w:hint="eastAsia"/>
      <w:kern w:val="2"/>
      <w:sz w:val="21"/>
      <w:szCs w:val="24"/>
      <w:lang w:val="en-US" w:eastAsia="zh-CN"/>
    </w:rPr>
  </w:style>
  <w:style w:type="character" w:customStyle="1" w:styleId="Char212">
    <w:name w:val="页脚 Char21"/>
    <w:unhideWhenUsed/>
    <w:qFormat/>
    <w:rPr>
      <w:rFonts w:eastAsia="宋体" w:hint="default"/>
      <w:kern w:val="2"/>
      <w:sz w:val="18"/>
      <w:szCs w:val="24"/>
      <w:lang w:val="en-US" w:eastAsia="zh-CN"/>
    </w:rPr>
  </w:style>
  <w:style w:type="character" w:customStyle="1" w:styleId="CharChar2c">
    <w:name w:val="表格文字 Char Char2"/>
    <w:unhideWhenUsed/>
    <w:qFormat/>
    <w:rPr>
      <w:rFonts w:ascii="宋体" w:eastAsia="宋体" w:hAnsi="Courier New" w:hint="eastAsia"/>
      <w:kern w:val="2"/>
      <w:sz w:val="21"/>
      <w:szCs w:val="24"/>
      <w:lang w:val="en-US" w:eastAsia="zh-CN"/>
    </w:rPr>
  </w:style>
  <w:style w:type="character" w:customStyle="1" w:styleId="4Char1">
    <w:name w:val="样式4 Char1"/>
    <w:link w:val="4c"/>
    <w:unhideWhenUsed/>
    <w:qFormat/>
    <w:rPr>
      <w:rFonts w:ascii="Arial" w:hint="default"/>
      <w:b/>
      <w:kern w:val="2"/>
      <w:sz w:val="28"/>
      <w:szCs w:val="24"/>
    </w:rPr>
  </w:style>
  <w:style w:type="character" w:customStyle="1" w:styleId="CharCharChar22">
    <w:name w:val="页眉 Char Char Char2"/>
    <w:unhideWhenUsed/>
    <w:qFormat/>
    <w:rPr>
      <w:rFonts w:hint="default"/>
      <w:kern w:val="2"/>
      <w:sz w:val="18"/>
      <w:szCs w:val="24"/>
    </w:rPr>
  </w:style>
  <w:style w:type="character" w:customStyle="1" w:styleId="Char115">
    <w:name w:val="页眉 Char11"/>
    <w:unhideWhenUsed/>
    <w:qFormat/>
    <w:rPr>
      <w:rFonts w:hint="default"/>
      <w:kern w:val="2"/>
      <w:sz w:val="18"/>
      <w:szCs w:val="24"/>
    </w:rPr>
  </w:style>
  <w:style w:type="character" w:customStyle="1" w:styleId="Char1ff3">
    <w:name w:val="正文文字 Char1"/>
    <w:unhideWhenUsed/>
    <w:qFormat/>
    <w:rPr>
      <w:rFonts w:ascii="宋体" w:eastAsia="宋体" w:hint="eastAsia"/>
      <w:b/>
      <w:kern w:val="2"/>
      <w:sz w:val="36"/>
      <w:szCs w:val="24"/>
      <w:lang w:val="en-US" w:eastAsia="zh-CN"/>
    </w:rPr>
  </w:style>
  <w:style w:type="character" w:customStyle="1" w:styleId="CharCharCharCharChar12">
    <w:name w:val="页眉 Char Char Char Char Char1"/>
    <w:unhideWhenUsed/>
    <w:qFormat/>
    <w:rPr>
      <w:rFonts w:eastAsia="宋体" w:hint="default"/>
      <w:kern w:val="2"/>
      <w:sz w:val="18"/>
      <w:szCs w:val="24"/>
      <w:lang w:val="en-US" w:eastAsia="zh-CN"/>
    </w:rPr>
  </w:style>
  <w:style w:type="character" w:customStyle="1" w:styleId="1Char60">
    <w:name w:val="项标题(1) Char6"/>
    <w:unhideWhenUsed/>
    <w:qFormat/>
    <w:rPr>
      <w:rFonts w:eastAsia="仿宋_GB2312" w:hint="default"/>
      <w:b/>
      <w:sz w:val="24"/>
      <w:szCs w:val="24"/>
      <w:lang w:val="en-US" w:eastAsia="zh-CN"/>
    </w:rPr>
  </w:style>
  <w:style w:type="character" w:customStyle="1" w:styleId="Char213">
    <w:name w:val="正文文字 Char21"/>
    <w:unhideWhenUsed/>
    <w:qFormat/>
    <w:rPr>
      <w:rFonts w:eastAsia="宋体" w:hint="default"/>
      <w:kern w:val="2"/>
      <w:sz w:val="21"/>
      <w:szCs w:val="24"/>
      <w:lang w:val="en-US" w:eastAsia="zh-CN"/>
    </w:rPr>
  </w:style>
  <w:style w:type="character" w:customStyle="1" w:styleId="Char322">
    <w:name w:val="正文首行缩进 Char32"/>
    <w:unhideWhenUsed/>
    <w:qFormat/>
    <w:rPr>
      <w:rFonts w:hint="default"/>
      <w:kern w:val="2"/>
      <w:sz w:val="24"/>
      <w:szCs w:val="24"/>
    </w:rPr>
  </w:style>
  <w:style w:type="character" w:customStyle="1" w:styleId="4Char112">
    <w:name w:val="标题 4 Char112"/>
    <w:unhideWhenUsed/>
    <w:qFormat/>
    <w:rPr>
      <w:rFonts w:ascii="黑体" w:eastAsia="宋体" w:hAnsi="Arial" w:hint="eastAsia"/>
      <w:b/>
      <w:i/>
      <w:kern w:val="2"/>
      <w:sz w:val="24"/>
      <w:szCs w:val="24"/>
    </w:rPr>
  </w:style>
  <w:style w:type="character" w:customStyle="1" w:styleId="1Char220">
    <w:name w:val="正文缩进1 Char22"/>
    <w:unhideWhenUsed/>
    <w:qFormat/>
    <w:rPr>
      <w:rFonts w:eastAsia="宋体" w:hint="default"/>
      <w:kern w:val="2"/>
      <w:sz w:val="24"/>
      <w:szCs w:val="24"/>
      <w:lang w:val="en-US" w:eastAsia="zh-CN"/>
    </w:rPr>
  </w:style>
  <w:style w:type="character" w:customStyle="1" w:styleId="CharChar112">
    <w:name w:val="页眉 Char Char11"/>
    <w:unhideWhenUsed/>
    <w:qFormat/>
    <w:rPr>
      <w:rFonts w:eastAsia="宋体" w:hint="default"/>
      <w:kern w:val="2"/>
      <w:sz w:val="18"/>
      <w:szCs w:val="24"/>
      <w:lang w:val="en-US" w:eastAsia="zh-CN"/>
    </w:rPr>
  </w:style>
  <w:style w:type="character" w:customStyle="1" w:styleId="Char5Char5">
    <w:name w:val="Char5 Char5"/>
    <w:unhideWhenUsed/>
    <w:qFormat/>
    <w:rPr>
      <w:rFonts w:eastAsia="宋体" w:hint="default"/>
      <w:kern w:val="2"/>
      <w:sz w:val="28"/>
      <w:szCs w:val="24"/>
      <w:lang w:val="en-US" w:eastAsia="zh-CN"/>
    </w:rPr>
  </w:style>
  <w:style w:type="character" w:customStyle="1" w:styleId="Char4Char5">
    <w:name w:val="Char4 Char5"/>
    <w:unhideWhenUsed/>
    <w:qFormat/>
    <w:rPr>
      <w:rFonts w:eastAsia="宋体" w:hint="default"/>
      <w:sz w:val="21"/>
      <w:szCs w:val="24"/>
      <w:lang w:val="en-US" w:eastAsia="zh-CN"/>
    </w:rPr>
  </w:style>
  <w:style w:type="character" w:customStyle="1" w:styleId="Char3Char1">
    <w:name w:val="Char3 Char1"/>
    <w:unhideWhenUsed/>
    <w:qFormat/>
    <w:rPr>
      <w:rFonts w:ascii="宋体" w:eastAsia="宋体" w:hAnsi="宋体" w:hint="eastAsia"/>
      <w:b/>
      <w:color w:val="000000"/>
      <w:kern w:val="2"/>
      <w:sz w:val="24"/>
      <w:szCs w:val="24"/>
      <w:lang w:val="en-US" w:eastAsia="zh-CN"/>
    </w:rPr>
  </w:style>
  <w:style w:type="character" w:customStyle="1" w:styleId="11111Char12">
    <w:name w:val="标题1.1.1.1.1 Char12"/>
    <w:unhideWhenUsed/>
    <w:qFormat/>
    <w:rPr>
      <w:rFonts w:ascii="宋体" w:eastAsia="宋体" w:hint="eastAsia"/>
      <w:b/>
      <w:sz w:val="28"/>
      <w:szCs w:val="24"/>
      <w:lang w:val="en-US" w:eastAsia="zh-CN"/>
    </w:rPr>
  </w:style>
  <w:style w:type="character" w:customStyle="1" w:styleId="aChar6">
    <w:name w:val="干标题(a) Char6"/>
    <w:unhideWhenUsed/>
    <w:qFormat/>
    <w:rPr>
      <w:rFonts w:ascii="Arial" w:eastAsia="黑体" w:hAnsi="Arial" w:hint="eastAsia"/>
      <w:sz w:val="21"/>
      <w:szCs w:val="24"/>
      <w:lang w:val="en-US" w:eastAsia="zh-CN"/>
    </w:rPr>
  </w:style>
  <w:style w:type="character" w:customStyle="1" w:styleId="1Char120">
    <w:name w:val="项标题(1) Char12"/>
    <w:unhideWhenUsed/>
    <w:qFormat/>
    <w:rPr>
      <w:rFonts w:ascii="宋体" w:eastAsia="宋体" w:hint="eastAsia"/>
      <w:b/>
      <w:sz w:val="24"/>
      <w:szCs w:val="24"/>
      <w:lang w:val="en-US" w:eastAsia="zh-CN"/>
    </w:rPr>
  </w:style>
  <w:style w:type="character" w:customStyle="1" w:styleId="1Char61">
    <w:name w:val="目标题 1) Char6"/>
    <w:unhideWhenUsed/>
    <w:qFormat/>
    <w:rPr>
      <w:rFonts w:ascii="Arial" w:eastAsia="黑体" w:hAnsi="Arial" w:hint="eastAsia"/>
      <w:sz w:val="24"/>
      <w:szCs w:val="24"/>
      <w:lang w:val="en-US" w:eastAsia="zh-CN"/>
    </w:rPr>
  </w:style>
  <w:style w:type="character" w:customStyle="1" w:styleId="CharCharCharCharCharCharCharCharCharCharChar12">
    <w:name w:val="普通文字 Char Char Char Char Char Char Char Char Char Char Char12"/>
    <w:unhideWhenUsed/>
    <w:qFormat/>
    <w:rPr>
      <w:rFonts w:ascii="宋体" w:eastAsia="宋体" w:hAnsi="Courier New" w:hint="eastAsia"/>
      <w:kern w:val="2"/>
      <w:sz w:val="28"/>
      <w:szCs w:val="24"/>
      <w:lang w:val="en-US" w:eastAsia="zh-CN"/>
    </w:rPr>
  </w:style>
  <w:style w:type="character" w:customStyle="1" w:styleId="111">
    <w:name w:val="文本块 字符11"/>
    <w:link w:val="1f1"/>
    <w:unhideWhenUsed/>
    <w:qFormat/>
    <w:rPr>
      <w:rFonts w:hint="default"/>
      <w:spacing w:val="26"/>
      <w:kern w:val="2"/>
      <w:sz w:val="28"/>
      <w:szCs w:val="24"/>
    </w:rPr>
  </w:style>
  <w:style w:type="character" w:customStyle="1" w:styleId="237">
    <w:name w:val="题注 字符23"/>
    <w:unhideWhenUsed/>
    <w:qFormat/>
    <w:rPr>
      <w:rFonts w:ascii="Arial" w:eastAsia="黑体" w:hAnsi="Arial" w:hint="eastAsia"/>
      <w:kern w:val="2"/>
      <w:sz w:val="24"/>
      <w:szCs w:val="24"/>
    </w:rPr>
  </w:style>
  <w:style w:type="character" w:customStyle="1" w:styleId="Char1CharChar32">
    <w:name w:val="正文首行缩进 Char1 Char Char32"/>
    <w:unhideWhenUsed/>
    <w:qFormat/>
    <w:rPr>
      <w:rFonts w:eastAsia="宋体" w:hint="default"/>
      <w:kern w:val="2"/>
      <w:sz w:val="24"/>
      <w:szCs w:val="24"/>
      <w:lang w:val="en-US" w:eastAsia="zh-CN"/>
    </w:rPr>
  </w:style>
  <w:style w:type="character" w:customStyle="1" w:styleId="CharChar120">
    <w:name w:val="正文首行缩进 Char Char12"/>
    <w:unhideWhenUsed/>
    <w:qFormat/>
    <w:rPr>
      <w:rFonts w:eastAsia="宋体" w:hint="default"/>
      <w:kern w:val="2"/>
      <w:sz w:val="21"/>
      <w:szCs w:val="24"/>
      <w:lang w:val="en-US" w:eastAsia="zh-CN"/>
    </w:rPr>
  </w:style>
  <w:style w:type="character" w:customStyle="1" w:styleId="21f9">
    <w:name w:val="小标题21"/>
    <w:unhideWhenUsed/>
    <w:qFormat/>
    <w:rPr>
      <w:rFonts w:eastAsia="宋体" w:hint="default"/>
      <w:b/>
      <w:snapToGrid w:val="0"/>
      <w:color w:val="000000"/>
      <w:kern w:val="24"/>
      <w:sz w:val="24"/>
      <w:szCs w:val="24"/>
      <w:lang w:val="en-US" w:eastAsia="zh-CN"/>
    </w:rPr>
  </w:style>
  <w:style w:type="character" w:customStyle="1" w:styleId="Char1CharChar6">
    <w:name w:val="正文首行缩进 Char1 Char Char6"/>
    <w:unhideWhenUsed/>
    <w:qFormat/>
    <w:rPr>
      <w:rFonts w:ascii="宋体" w:eastAsia="宋体" w:hint="eastAsia"/>
      <w:kern w:val="2"/>
      <w:sz w:val="28"/>
      <w:szCs w:val="24"/>
      <w:lang w:val="en-US" w:eastAsia="zh-CN"/>
    </w:rPr>
  </w:style>
  <w:style w:type="character" w:customStyle="1" w:styleId="3Char1Char2">
    <w:name w:val="标题 3 Char1 Char2"/>
    <w:unhideWhenUsed/>
    <w:qFormat/>
    <w:rPr>
      <w:rFonts w:ascii="黑体" w:eastAsia="黑体" w:hint="eastAsia"/>
      <w:b/>
      <w:kern w:val="2"/>
      <w:sz w:val="21"/>
      <w:szCs w:val="24"/>
      <w:lang w:val="en-US" w:eastAsia="zh-CN"/>
    </w:rPr>
  </w:style>
  <w:style w:type="character" w:customStyle="1" w:styleId="Char1CharChar22">
    <w:name w:val="正文首行缩进 Char1 Char Char22"/>
    <w:unhideWhenUsed/>
    <w:qFormat/>
    <w:rPr>
      <w:rFonts w:eastAsia="宋体" w:hint="default"/>
      <w:kern w:val="2"/>
      <w:sz w:val="24"/>
      <w:szCs w:val="24"/>
      <w:lang w:val="en-US" w:eastAsia="zh-CN"/>
    </w:rPr>
  </w:style>
  <w:style w:type="character" w:customStyle="1" w:styleId="Footer1Char11">
    <w:name w:val="Footer1 Char11"/>
    <w:unhideWhenUsed/>
    <w:qFormat/>
    <w:rPr>
      <w:rFonts w:eastAsia="仿宋_GB2312" w:hint="default"/>
      <w:kern w:val="2"/>
      <w:sz w:val="18"/>
      <w:szCs w:val="24"/>
      <w:lang w:val="en-US" w:eastAsia="zh-CN"/>
    </w:rPr>
  </w:style>
  <w:style w:type="character" w:customStyle="1" w:styleId="Char1ff4">
    <w:name w:val="普通(网站) Char1"/>
    <w:unhideWhenUsed/>
    <w:qFormat/>
    <w:rPr>
      <w:rFonts w:hint="default"/>
      <w:kern w:val="2"/>
      <w:sz w:val="18"/>
      <w:szCs w:val="24"/>
    </w:rPr>
  </w:style>
  <w:style w:type="character" w:customStyle="1" w:styleId="1Char121">
    <w:name w:val="目标题 1) Char12"/>
    <w:unhideWhenUsed/>
    <w:qFormat/>
    <w:rPr>
      <w:rFonts w:ascii="Arial" w:eastAsia="黑体" w:hAnsi="Arial" w:hint="eastAsia"/>
      <w:sz w:val="28"/>
      <w:szCs w:val="24"/>
      <w:lang w:val="en-US" w:eastAsia="zh-CN"/>
    </w:rPr>
  </w:style>
  <w:style w:type="character" w:customStyle="1" w:styleId="aChar11">
    <w:name w:val="干标题(a) Char11"/>
    <w:unhideWhenUsed/>
    <w:qFormat/>
    <w:rPr>
      <w:rFonts w:ascii="Arial" w:eastAsia="黑体" w:hAnsi="Arial" w:hint="eastAsia"/>
      <w:sz w:val="21"/>
      <w:szCs w:val="24"/>
      <w:lang w:val="en-US" w:eastAsia="zh-CN"/>
    </w:rPr>
  </w:style>
  <w:style w:type="character" w:customStyle="1" w:styleId="Char3Char111">
    <w:name w:val="Char3 Char111"/>
    <w:unhideWhenUsed/>
    <w:qFormat/>
    <w:rPr>
      <w:rFonts w:eastAsia="宋体" w:hint="default"/>
      <w:kern w:val="2"/>
      <w:sz w:val="18"/>
      <w:szCs w:val="24"/>
      <w:lang w:val="en-US" w:eastAsia="zh-CN"/>
    </w:rPr>
  </w:style>
  <w:style w:type="character" w:customStyle="1" w:styleId="Char5Char11">
    <w:name w:val="Char5 Char11"/>
    <w:unhideWhenUsed/>
    <w:qFormat/>
    <w:rPr>
      <w:rFonts w:eastAsia="宋体" w:hint="default"/>
      <w:kern w:val="2"/>
      <w:sz w:val="28"/>
      <w:szCs w:val="24"/>
      <w:lang w:val="en-US" w:eastAsia="zh-CN"/>
    </w:rPr>
  </w:style>
  <w:style w:type="character" w:customStyle="1" w:styleId="Char4Char11">
    <w:name w:val="Char4 Char11"/>
    <w:unhideWhenUsed/>
    <w:qFormat/>
    <w:rPr>
      <w:rFonts w:ascii="宋体" w:eastAsia="宋体" w:hint="eastAsia"/>
      <w:color w:val="000000"/>
      <w:kern w:val="2"/>
      <w:sz w:val="24"/>
      <w:szCs w:val="24"/>
    </w:rPr>
  </w:style>
  <w:style w:type="character" w:customStyle="1" w:styleId="1Char221">
    <w:name w:val="项标题(1) Char22"/>
    <w:unhideWhenUsed/>
    <w:qFormat/>
    <w:rPr>
      <w:rFonts w:ascii="新宋体" w:eastAsia="仿宋_GB2312" w:hAnsi="新宋体" w:hint="eastAsia"/>
      <w:b/>
      <w:kern w:val="2"/>
      <w:sz w:val="24"/>
      <w:szCs w:val="24"/>
      <w:lang w:val="en-US" w:eastAsia="zh-CN"/>
    </w:rPr>
  </w:style>
  <w:style w:type="character" w:customStyle="1" w:styleId="Char1ff5">
    <w:name w:val="章标题(有序号) Char1"/>
    <w:unhideWhenUsed/>
    <w:qFormat/>
    <w:rPr>
      <w:rFonts w:eastAsia="黑体" w:hint="default"/>
      <w:b/>
      <w:sz w:val="44"/>
      <w:szCs w:val="24"/>
      <w:lang w:val="zh-CN"/>
    </w:rPr>
  </w:style>
  <w:style w:type="character" w:customStyle="1" w:styleId="TOC11">
    <w:name w:val="TOC 1 字符1"/>
    <w:link w:val="112"/>
    <w:uiPriority w:val="39"/>
    <w:unhideWhenUsed/>
    <w:qFormat/>
    <w:rPr>
      <w:rFonts w:hint="default"/>
      <w:b/>
      <w:caps/>
      <w:kern w:val="2"/>
      <w:sz w:val="24"/>
      <w:szCs w:val="24"/>
    </w:rPr>
  </w:style>
  <w:style w:type="character" w:customStyle="1" w:styleId="Char5Char21">
    <w:name w:val="Char5 Char21"/>
    <w:unhideWhenUsed/>
    <w:qFormat/>
    <w:rPr>
      <w:rFonts w:eastAsia="宋体" w:hint="default"/>
      <w:kern w:val="2"/>
      <w:sz w:val="28"/>
      <w:szCs w:val="24"/>
      <w:lang w:val="en-US" w:eastAsia="zh-CN"/>
    </w:rPr>
  </w:style>
  <w:style w:type="character" w:customStyle="1" w:styleId="Char4Char21">
    <w:name w:val="Char4 Char21"/>
    <w:unhideWhenUsed/>
    <w:qFormat/>
    <w:rPr>
      <w:rFonts w:eastAsia="宋体" w:hint="default"/>
      <w:sz w:val="21"/>
      <w:szCs w:val="24"/>
      <w:lang w:val="en-US" w:eastAsia="zh-CN"/>
    </w:rPr>
  </w:style>
  <w:style w:type="character" w:customStyle="1" w:styleId="CharChar210">
    <w:name w:val="页眉 Char Char21"/>
    <w:unhideWhenUsed/>
    <w:qFormat/>
    <w:rPr>
      <w:rFonts w:eastAsia="宋体" w:hint="default"/>
      <w:kern w:val="2"/>
      <w:sz w:val="18"/>
      <w:szCs w:val="24"/>
      <w:lang w:val="en-US" w:eastAsia="zh-CN"/>
    </w:rPr>
  </w:style>
  <w:style w:type="character" w:customStyle="1" w:styleId="Char3Char21">
    <w:name w:val="Char3 Char21"/>
    <w:unhideWhenUsed/>
    <w:qFormat/>
    <w:rPr>
      <w:rFonts w:ascii="宋体" w:eastAsia="宋体" w:hAnsi="宋体" w:hint="eastAsia"/>
      <w:b/>
      <w:color w:val="000000"/>
      <w:kern w:val="2"/>
      <w:sz w:val="24"/>
      <w:szCs w:val="24"/>
      <w:lang w:val="en-US" w:eastAsia="zh-CN"/>
    </w:rPr>
  </w:style>
  <w:style w:type="character" w:customStyle="1" w:styleId="bodytextChar21">
    <w:name w:val="body text Char21"/>
    <w:unhideWhenUsed/>
    <w:qFormat/>
    <w:rPr>
      <w:rFonts w:eastAsia="宋体" w:hint="default"/>
      <w:kern w:val="2"/>
      <w:sz w:val="24"/>
      <w:szCs w:val="24"/>
      <w:lang w:val="en-US" w:eastAsia="zh-CN"/>
    </w:rPr>
  </w:style>
  <w:style w:type="character" w:customStyle="1" w:styleId="1Char222">
    <w:name w:val="目标题 1) Char22"/>
    <w:unhideWhenUsed/>
    <w:qFormat/>
    <w:rPr>
      <w:rFonts w:ascii="Arial" w:eastAsia="黑体" w:hAnsi="Arial" w:hint="eastAsia"/>
      <w:kern w:val="2"/>
      <w:sz w:val="24"/>
      <w:szCs w:val="24"/>
      <w:lang w:val="en-US" w:eastAsia="zh-CN"/>
    </w:rPr>
  </w:style>
  <w:style w:type="character" w:customStyle="1" w:styleId="11111Char22">
    <w:name w:val="标题1.1.1.1.1 Char22"/>
    <w:unhideWhenUsed/>
    <w:qFormat/>
    <w:rPr>
      <w:rFonts w:ascii="宋体" w:eastAsia="宋体" w:hint="eastAsia"/>
      <w:b/>
      <w:kern w:val="2"/>
      <w:sz w:val="24"/>
      <w:szCs w:val="24"/>
      <w:lang w:val="en-US" w:eastAsia="zh-CN"/>
    </w:rPr>
  </w:style>
  <w:style w:type="character" w:customStyle="1" w:styleId="111111Char12">
    <w:name w:val="标题1.1.1.1.1.1 Char12"/>
    <w:unhideWhenUsed/>
    <w:qFormat/>
    <w:rPr>
      <w:rFonts w:ascii="Arial" w:eastAsia="黑体" w:hAnsi="Arial" w:hint="eastAsia"/>
      <w:b/>
      <w:kern w:val="2"/>
      <w:sz w:val="24"/>
      <w:szCs w:val="24"/>
      <w:lang w:val="en-US" w:eastAsia="zh-CN"/>
    </w:rPr>
  </w:style>
  <w:style w:type="character" w:customStyle="1" w:styleId="aChar22">
    <w:name w:val="干标题(a) Char22"/>
    <w:unhideWhenUsed/>
    <w:qFormat/>
    <w:rPr>
      <w:rFonts w:ascii="Arial" w:eastAsia="黑体" w:hAnsi="Arial" w:hint="eastAsia"/>
      <w:kern w:val="2"/>
      <w:sz w:val="24"/>
      <w:szCs w:val="24"/>
      <w:lang w:val="en-US" w:eastAsia="zh-CN"/>
    </w:rPr>
  </w:style>
  <w:style w:type="character" w:customStyle="1" w:styleId="1Char320">
    <w:name w:val="项标题(1) Char32"/>
    <w:unhideWhenUsed/>
    <w:qFormat/>
    <w:rPr>
      <w:rFonts w:ascii="宋体" w:eastAsia="宋体" w:hint="eastAsia"/>
      <w:b/>
      <w:kern w:val="2"/>
      <w:sz w:val="24"/>
      <w:szCs w:val="24"/>
      <w:lang w:val="en-US" w:eastAsia="zh-CN"/>
    </w:rPr>
  </w:style>
  <w:style w:type="character" w:customStyle="1" w:styleId="31Char11">
    <w:name w:val="正文文字缩进 31 Char11"/>
    <w:unhideWhenUsed/>
    <w:qFormat/>
    <w:rPr>
      <w:rFonts w:eastAsia="宋体" w:hint="default"/>
      <w:kern w:val="2"/>
      <w:sz w:val="24"/>
      <w:szCs w:val="24"/>
      <w:lang w:val="en-US" w:eastAsia="zh-CN"/>
    </w:rPr>
  </w:style>
  <w:style w:type="character" w:customStyle="1" w:styleId="CharChar310">
    <w:name w:val="页眉 Char Char31"/>
    <w:unhideWhenUsed/>
    <w:qFormat/>
    <w:rPr>
      <w:rFonts w:eastAsia="宋体" w:hint="default"/>
      <w:kern w:val="2"/>
      <w:sz w:val="18"/>
      <w:szCs w:val="24"/>
      <w:lang w:val="en-US" w:eastAsia="zh-CN"/>
    </w:rPr>
  </w:style>
  <w:style w:type="character" w:customStyle="1" w:styleId="Char3Char31">
    <w:name w:val="Char3 Char31"/>
    <w:unhideWhenUsed/>
    <w:qFormat/>
    <w:rPr>
      <w:rFonts w:eastAsia="宋体" w:hint="default"/>
      <w:kern w:val="2"/>
      <w:sz w:val="18"/>
      <w:szCs w:val="24"/>
      <w:lang w:val="en-US" w:eastAsia="zh-CN"/>
    </w:rPr>
  </w:style>
  <w:style w:type="character" w:customStyle="1" w:styleId="aChar32">
    <w:name w:val="干标题(a) Char32"/>
    <w:unhideWhenUsed/>
    <w:qFormat/>
    <w:rPr>
      <w:rFonts w:ascii="Arial" w:eastAsia="黑体" w:hAnsi="Arial" w:hint="eastAsia"/>
      <w:kern w:val="2"/>
      <w:sz w:val="21"/>
      <w:szCs w:val="24"/>
      <w:lang w:val="en-US" w:eastAsia="zh-CN"/>
    </w:rPr>
  </w:style>
  <w:style w:type="character" w:customStyle="1" w:styleId="Char5Char31">
    <w:name w:val="Char5 Char31"/>
    <w:unhideWhenUsed/>
    <w:qFormat/>
    <w:rPr>
      <w:rFonts w:eastAsia="宋体" w:hint="default"/>
      <w:kern w:val="2"/>
      <w:sz w:val="28"/>
      <w:szCs w:val="24"/>
      <w:lang w:val="en-US" w:eastAsia="zh-CN"/>
    </w:rPr>
  </w:style>
  <w:style w:type="character" w:customStyle="1" w:styleId="Char4Char31">
    <w:name w:val="Char4 Char31"/>
    <w:unhideWhenUsed/>
    <w:qFormat/>
    <w:rPr>
      <w:rFonts w:ascii="宋体" w:eastAsia="宋体" w:hint="eastAsia"/>
      <w:color w:val="000000"/>
      <w:kern w:val="2"/>
      <w:sz w:val="24"/>
      <w:szCs w:val="24"/>
    </w:rPr>
  </w:style>
  <w:style w:type="character" w:customStyle="1" w:styleId="Footer1Char41">
    <w:name w:val="Footer1 Char41"/>
    <w:unhideWhenUsed/>
    <w:qFormat/>
    <w:rPr>
      <w:rFonts w:eastAsia="宋体" w:hint="default"/>
      <w:kern w:val="2"/>
      <w:sz w:val="18"/>
      <w:szCs w:val="24"/>
      <w:lang w:val="en-US" w:eastAsia="zh-CN"/>
    </w:rPr>
  </w:style>
  <w:style w:type="character" w:customStyle="1" w:styleId="11111Char32">
    <w:name w:val="标题1.1.1.1.1 Char32"/>
    <w:unhideWhenUsed/>
    <w:qFormat/>
    <w:rPr>
      <w:rFonts w:ascii="新宋体" w:eastAsia="仿宋_GB2312" w:hAnsi="新宋体" w:hint="eastAsia"/>
      <w:b/>
      <w:kern w:val="2"/>
      <w:sz w:val="28"/>
      <w:szCs w:val="24"/>
      <w:lang w:val="en-US" w:eastAsia="zh-CN"/>
    </w:rPr>
  </w:style>
  <w:style w:type="character" w:customStyle="1" w:styleId="111111Char22">
    <w:name w:val="标题1.1.1.1.1.1 Char22"/>
    <w:unhideWhenUsed/>
    <w:qFormat/>
    <w:rPr>
      <w:rFonts w:ascii="Arial" w:eastAsia="黑体" w:hAnsi="Arial" w:hint="eastAsia"/>
      <w:b/>
      <w:kern w:val="2"/>
      <w:sz w:val="24"/>
      <w:szCs w:val="24"/>
      <w:lang w:val="en-US" w:eastAsia="zh-CN"/>
    </w:rPr>
  </w:style>
  <w:style w:type="character" w:customStyle="1" w:styleId="1Char42">
    <w:name w:val="项标题(1) Char42"/>
    <w:unhideWhenUsed/>
    <w:qFormat/>
    <w:rPr>
      <w:rFonts w:ascii="新宋体" w:eastAsia="仿宋_GB2312" w:hAnsi="新宋体" w:hint="eastAsia"/>
      <w:b/>
      <w:kern w:val="2"/>
      <w:sz w:val="24"/>
      <w:szCs w:val="24"/>
      <w:lang w:val="en-US" w:eastAsia="zh-CN"/>
    </w:rPr>
  </w:style>
  <w:style w:type="character" w:customStyle="1" w:styleId="1Char321">
    <w:name w:val="目标题 1) Char32"/>
    <w:unhideWhenUsed/>
    <w:qFormat/>
    <w:rPr>
      <w:rFonts w:ascii="Arial" w:eastAsia="黑体" w:hAnsi="Arial" w:hint="eastAsia"/>
      <w:kern w:val="2"/>
      <w:sz w:val="24"/>
      <w:szCs w:val="24"/>
      <w:lang w:val="en-US" w:eastAsia="zh-CN"/>
    </w:rPr>
  </w:style>
  <w:style w:type="character" w:customStyle="1" w:styleId="Char1CharChar42">
    <w:name w:val="正文首行缩进 Char1 Char Char42"/>
    <w:unhideWhenUsed/>
    <w:qFormat/>
    <w:rPr>
      <w:rFonts w:ascii="新宋体" w:eastAsia="仿宋_GB2312" w:hAnsi="新宋体" w:hint="eastAsia"/>
      <w:kern w:val="2"/>
      <w:sz w:val="28"/>
      <w:szCs w:val="24"/>
      <w:lang w:val="en-US" w:eastAsia="zh-CN"/>
    </w:rPr>
  </w:style>
  <w:style w:type="character" w:customStyle="1" w:styleId="1Char322">
    <w:name w:val="正文缩进1 Char32"/>
    <w:unhideWhenUsed/>
    <w:qFormat/>
    <w:rPr>
      <w:rFonts w:eastAsia="宋体" w:hint="default"/>
      <w:kern w:val="2"/>
      <w:sz w:val="24"/>
      <w:szCs w:val="24"/>
      <w:lang w:val="en-US" w:eastAsia="zh-CN"/>
    </w:rPr>
  </w:style>
  <w:style w:type="character" w:customStyle="1" w:styleId="CharChar410">
    <w:name w:val="页眉 Char Char41"/>
    <w:unhideWhenUsed/>
    <w:qFormat/>
    <w:rPr>
      <w:rFonts w:eastAsia="宋体" w:hint="default"/>
      <w:kern w:val="2"/>
      <w:sz w:val="18"/>
      <w:szCs w:val="24"/>
      <w:lang w:val="en-US" w:eastAsia="zh-CN"/>
    </w:rPr>
  </w:style>
  <w:style w:type="character" w:customStyle="1" w:styleId="Char3Char41">
    <w:name w:val="Char3 Char41"/>
    <w:unhideWhenUsed/>
    <w:qFormat/>
    <w:rPr>
      <w:rFonts w:eastAsia="宋体" w:hint="default"/>
      <w:kern w:val="2"/>
      <w:sz w:val="18"/>
      <w:szCs w:val="24"/>
      <w:lang w:val="en-US" w:eastAsia="zh-CN"/>
    </w:rPr>
  </w:style>
  <w:style w:type="character" w:customStyle="1" w:styleId="aChar42">
    <w:name w:val="干标题(a) Char42"/>
    <w:unhideWhenUsed/>
    <w:qFormat/>
    <w:rPr>
      <w:rFonts w:ascii="Arial" w:eastAsia="黑体" w:hAnsi="Arial" w:hint="eastAsia"/>
      <w:kern w:val="2"/>
      <w:sz w:val="21"/>
      <w:szCs w:val="24"/>
      <w:lang w:val="en-US" w:eastAsia="zh-CN"/>
    </w:rPr>
  </w:style>
  <w:style w:type="character" w:customStyle="1" w:styleId="Char5Char41">
    <w:name w:val="Char5 Char41"/>
    <w:unhideWhenUsed/>
    <w:qFormat/>
    <w:rPr>
      <w:rFonts w:eastAsia="宋体" w:hint="default"/>
      <w:kern w:val="2"/>
      <w:sz w:val="28"/>
      <w:szCs w:val="24"/>
      <w:lang w:val="en-US" w:eastAsia="zh-CN"/>
    </w:rPr>
  </w:style>
  <w:style w:type="character" w:customStyle="1" w:styleId="Char4Char41">
    <w:name w:val="Char4 Char41"/>
    <w:unhideWhenUsed/>
    <w:qFormat/>
    <w:rPr>
      <w:rFonts w:ascii="宋体" w:eastAsia="宋体" w:hint="eastAsia"/>
      <w:color w:val="000000"/>
      <w:kern w:val="2"/>
      <w:sz w:val="24"/>
      <w:szCs w:val="24"/>
    </w:rPr>
  </w:style>
  <w:style w:type="character" w:customStyle="1" w:styleId="Footer1Char51">
    <w:name w:val="Footer1 Char51"/>
    <w:unhideWhenUsed/>
    <w:qFormat/>
    <w:rPr>
      <w:rFonts w:eastAsia="宋体" w:hint="default"/>
      <w:kern w:val="2"/>
      <w:sz w:val="18"/>
      <w:szCs w:val="24"/>
      <w:lang w:val="en-US" w:eastAsia="zh-CN"/>
    </w:rPr>
  </w:style>
  <w:style w:type="character" w:customStyle="1" w:styleId="11111Char42">
    <w:name w:val="标题1.1.1.1.1 Char42"/>
    <w:unhideWhenUsed/>
    <w:qFormat/>
    <w:rPr>
      <w:rFonts w:ascii="新宋体" w:eastAsia="仿宋_GB2312" w:hAnsi="新宋体" w:hint="eastAsia"/>
      <w:b/>
      <w:kern w:val="2"/>
      <w:sz w:val="28"/>
      <w:szCs w:val="24"/>
      <w:lang w:val="en-US" w:eastAsia="zh-CN"/>
    </w:rPr>
  </w:style>
  <w:style w:type="character" w:customStyle="1" w:styleId="111111Char32">
    <w:name w:val="标题1.1.1.1.1.1 Char32"/>
    <w:unhideWhenUsed/>
    <w:qFormat/>
    <w:rPr>
      <w:rFonts w:ascii="Arial" w:eastAsia="黑体" w:hAnsi="Arial" w:hint="eastAsia"/>
      <w:b/>
      <w:kern w:val="2"/>
      <w:sz w:val="24"/>
      <w:szCs w:val="24"/>
      <w:lang w:val="en-US" w:eastAsia="zh-CN"/>
    </w:rPr>
  </w:style>
  <w:style w:type="character" w:customStyle="1" w:styleId="1Char52">
    <w:name w:val="项标题(1) Char52"/>
    <w:unhideWhenUsed/>
    <w:qFormat/>
    <w:rPr>
      <w:rFonts w:ascii="新宋体" w:eastAsia="仿宋_GB2312" w:hAnsi="新宋体" w:hint="eastAsia"/>
      <w:b/>
      <w:kern w:val="2"/>
      <w:sz w:val="24"/>
      <w:szCs w:val="24"/>
      <w:lang w:val="en-US" w:eastAsia="zh-CN"/>
    </w:rPr>
  </w:style>
  <w:style w:type="character" w:customStyle="1" w:styleId="1Char420">
    <w:name w:val="目标题 1) Char42"/>
    <w:unhideWhenUsed/>
    <w:qFormat/>
    <w:rPr>
      <w:rFonts w:ascii="Arial" w:eastAsia="黑体" w:hAnsi="Arial" w:hint="eastAsia"/>
      <w:kern w:val="2"/>
      <w:sz w:val="24"/>
      <w:szCs w:val="24"/>
      <w:lang w:val="en-US" w:eastAsia="zh-CN"/>
    </w:rPr>
  </w:style>
  <w:style w:type="character" w:customStyle="1" w:styleId="Char1CharChar52">
    <w:name w:val="正文首行缩进 Char1 Char Char52"/>
    <w:unhideWhenUsed/>
    <w:qFormat/>
    <w:rPr>
      <w:rFonts w:ascii="新宋体" w:eastAsia="仿宋_GB2312" w:hAnsi="新宋体" w:hint="eastAsia"/>
      <w:kern w:val="2"/>
      <w:sz w:val="28"/>
      <w:szCs w:val="24"/>
      <w:lang w:val="en-US" w:eastAsia="zh-CN"/>
    </w:rPr>
  </w:style>
  <w:style w:type="character" w:customStyle="1" w:styleId="11Char20">
    <w:name w:val="正文首行缩进11 Char2"/>
    <w:unhideWhenUsed/>
    <w:qFormat/>
    <w:rPr>
      <w:rFonts w:eastAsia="宋体" w:hint="default"/>
      <w:kern w:val="2"/>
      <w:sz w:val="24"/>
      <w:szCs w:val="24"/>
      <w:lang w:val="en-US" w:eastAsia="zh-CN"/>
    </w:rPr>
  </w:style>
  <w:style w:type="character" w:customStyle="1" w:styleId="2chChar1">
    <w:name w:val="标题 2－ch Char1"/>
    <w:unhideWhenUsed/>
    <w:qFormat/>
    <w:rPr>
      <w:rFonts w:ascii="Arial" w:eastAsia="黑体" w:hAnsi="Arial" w:hint="eastAsia"/>
      <w:b/>
      <w:sz w:val="32"/>
      <w:szCs w:val="24"/>
    </w:rPr>
  </w:style>
  <w:style w:type="character" w:customStyle="1" w:styleId="4fb">
    <w:name w:val="正文缩进 字符4"/>
    <w:unhideWhenUsed/>
    <w:qFormat/>
    <w:rPr>
      <w:rFonts w:eastAsia="宋体" w:hint="default"/>
      <w:kern w:val="2"/>
      <w:sz w:val="21"/>
      <w:szCs w:val="24"/>
      <w:lang w:val="en-US" w:eastAsia="zh-CN"/>
    </w:rPr>
  </w:style>
  <w:style w:type="character" w:customStyle="1" w:styleId="4fc">
    <w:name w:val="题注 字符4"/>
    <w:unhideWhenUsed/>
    <w:qFormat/>
    <w:rPr>
      <w:rFonts w:ascii="Arial" w:eastAsia="黑体" w:hAnsi="Arial" w:hint="eastAsia"/>
      <w:kern w:val="2"/>
      <w:sz w:val="24"/>
      <w:szCs w:val="24"/>
    </w:rPr>
  </w:style>
  <w:style w:type="character" w:customStyle="1" w:styleId="1130">
    <w:name w:val="标题 1 字符13"/>
    <w:unhideWhenUsed/>
    <w:qFormat/>
    <w:rPr>
      <w:rFonts w:ascii="Times New Roman" w:eastAsia="宋体" w:hAnsi="Times New Roman" w:hint="eastAsia"/>
      <w:b/>
      <w:kern w:val="44"/>
      <w:sz w:val="44"/>
      <w:szCs w:val="24"/>
    </w:rPr>
  </w:style>
  <w:style w:type="character" w:customStyle="1" w:styleId="2131">
    <w:name w:val="标题 2 字符13"/>
    <w:unhideWhenUsed/>
    <w:qFormat/>
    <w:rPr>
      <w:rFonts w:ascii="等线 Light" w:eastAsia="等线 Light" w:hAnsi="等线 Light" w:hint="eastAsia"/>
      <w:b/>
      <w:sz w:val="32"/>
      <w:szCs w:val="24"/>
    </w:rPr>
  </w:style>
  <w:style w:type="character" w:customStyle="1" w:styleId="3130">
    <w:name w:val="标题 3 字符13"/>
    <w:unhideWhenUsed/>
    <w:qFormat/>
    <w:rPr>
      <w:rFonts w:ascii="Times New Roman" w:eastAsia="宋体" w:hAnsi="Times New Roman" w:hint="eastAsia"/>
      <w:b/>
      <w:sz w:val="32"/>
      <w:szCs w:val="24"/>
    </w:rPr>
  </w:style>
  <w:style w:type="character" w:customStyle="1" w:styleId="413">
    <w:name w:val="标题 4 字符13"/>
    <w:unhideWhenUsed/>
    <w:qFormat/>
    <w:rPr>
      <w:rFonts w:ascii="等线 Light" w:eastAsia="等线 Light" w:hAnsi="等线 Light" w:hint="eastAsia"/>
      <w:b/>
      <w:sz w:val="28"/>
      <w:szCs w:val="24"/>
    </w:rPr>
  </w:style>
  <w:style w:type="character" w:customStyle="1" w:styleId="512">
    <w:name w:val="标题 5 字符12"/>
    <w:unhideWhenUsed/>
    <w:qFormat/>
    <w:rPr>
      <w:rFonts w:ascii="Times New Roman" w:eastAsia="宋体" w:hAnsi="Times New Roman" w:hint="eastAsia"/>
      <w:b/>
      <w:sz w:val="28"/>
      <w:szCs w:val="24"/>
    </w:rPr>
  </w:style>
  <w:style w:type="character" w:customStyle="1" w:styleId="6120">
    <w:name w:val="标题 6 字符12"/>
    <w:unhideWhenUsed/>
    <w:qFormat/>
    <w:rPr>
      <w:rFonts w:ascii="等线 Light" w:eastAsia="等线 Light" w:hAnsi="等线 Light" w:hint="eastAsia"/>
      <w:b/>
      <w:sz w:val="24"/>
      <w:szCs w:val="24"/>
    </w:rPr>
  </w:style>
  <w:style w:type="character" w:customStyle="1" w:styleId="7120">
    <w:name w:val="标题 7 字符12"/>
    <w:unhideWhenUsed/>
    <w:qFormat/>
    <w:rPr>
      <w:rFonts w:ascii="Times New Roman" w:eastAsia="宋体" w:hAnsi="Times New Roman" w:hint="eastAsia"/>
      <w:b/>
      <w:sz w:val="24"/>
      <w:szCs w:val="24"/>
    </w:rPr>
  </w:style>
  <w:style w:type="character" w:customStyle="1" w:styleId="812">
    <w:name w:val="标题 8 字符12"/>
    <w:unhideWhenUsed/>
    <w:qFormat/>
    <w:rPr>
      <w:rFonts w:ascii="等线 Light" w:eastAsia="等线 Light" w:hAnsi="等线 Light" w:hint="eastAsia"/>
      <w:sz w:val="24"/>
      <w:szCs w:val="24"/>
    </w:rPr>
  </w:style>
  <w:style w:type="character" w:customStyle="1" w:styleId="912">
    <w:name w:val="标题 9 字符12"/>
    <w:unhideWhenUsed/>
    <w:qFormat/>
    <w:rPr>
      <w:rFonts w:ascii="等线 Light" w:eastAsia="等线 Light" w:hAnsi="等线 Light" w:hint="eastAsia"/>
      <w:sz w:val="21"/>
      <w:szCs w:val="24"/>
    </w:rPr>
  </w:style>
  <w:style w:type="character" w:customStyle="1" w:styleId="12b">
    <w:name w:val="正文缩进 字符12"/>
    <w:unhideWhenUsed/>
    <w:qFormat/>
    <w:rPr>
      <w:rFonts w:ascii="Times New Roman" w:eastAsia="宋体" w:hAnsi="Times New Roman" w:hint="eastAsia"/>
      <w:sz w:val="20"/>
      <w:szCs w:val="24"/>
    </w:rPr>
  </w:style>
  <w:style w:type="character" w:customStyle="1" w:styleId="12c">
    <w:name w:val="批注文字 字符12"/>
    <w:unhideWhenUsed/>
    <w:qFormat/>
    <w:rPr>
      <w:rFonts w:ascii="宋体" w:eastAsia="宋体" w:hAnsi="宋体" w:hint="eastAsia"/>
      <w:sz w:val="24"/>
      <w:szCs w:val="24"/>
    </w:rPr>
  </w:style>
  <w:style w:type="character" w:customStyle="1" w:styleId="136">
    <w:name w:val="页眉 字符13"/>
    <w:unhideWhenUsed/>
    <w:qFormat/>
    <w:rPr>
      <w:rFonts w:hint="default"/>
      <w:sz w:val="18"/>
      <w:szCs w:val="24"/>
    </w:rPr>
  </w:style>
  <w:style w:type="character" w:customStyle="1" w:styleId="12d">
    <w:name w:val="页脚 字符12"/>
    <w:unhideWhenUsed/>
    <w:qFormat/>
    <w:rPr>
      <w:rFonts w:hint="default"/>
      <w:sz w:val="18"/>
      <w:szCs w:val="24"/>
    </w:rPr>
  </w:style>
  <w:style w:type="character" w:customStyle="1" w:styleId="12e">
    <w:name w:val="题注 字符12"/>
    <w:unhideWhenUsed/>
    <w:qFormat/>
    <w:rPr>
      <w:rFonts w:ascii="Arial" w:eastAsia="黑体" w:hAnsi="Arial" w:hint="eastAsia"/>
      <w:sz w:val="24"/>
      <w:szCs w:val="24"/>
    </w:rPr>
  </w:style>
  <w:style w:type="character" w:customStyle="1" w:styleId="12f">
    <w:name w:val="正文文本 字符12"/>
    <w:unhideWhenUsed/>
    <w:qFormat/>
    <w:rPr>
      <w:rFonts w:ascii="Times New Roman" w:eastAsia="宋体" w:hAnsi="Times New Roman" w:hint="eastAsia"/>
      <w:sz w:val="24"/>
      <w:szCs w:val="24"/>
    </w:rPr>
  </w:style>
  <w:style w:type="character" w:customStyle="1" w:styleId="11f5">
    <w:name w:val="正文文本缩进 字符11"/>
    <w:unhideWhenUsed/>
    <w:qFormat/>
    <w:rPr>
      <w:rFonts w:hint="default"/>
      <w:sz w:val="24"/>
      <w:szCs w:val="24"/>
    </w:rPr>
  </w:style>
  <w:style w:type="character" w:customStyle="1" w:styleId="12f0">
    <w:name w:val="正文文本首行缩进 字符12"/>
    <w:unhideWhenUsed/>
    <w:qFormat/>
    <w:rPr>
      <w:rFonts w:hint="default"/>
      <w:sz w:val="24"/>
      <w:szCs w:val="24"/>
    </w:rPr>
  </w:style>
  <w:style w:type="character" w:customStyle="1" w:styleId="4fd">
    <w:name w:val="正文文本首行缩进 字符4"/>
    <w:uiPriority w:val="99"/>
    <w:unhideWhenUsed/>
    <w:qFormat/>
    <w:rPr>
      <w:rFonts w:hint="default"/>
      <w:sz w:val="24"/>
      <w:szCs w:val="24"/>
    </w:rPr>
  </w:style>
  <w:style w:type="character" w:customStyle="1" w:styleId="11f6">
    <w:name w:val="注释标题 字符11"/>
    <w:unhideWhenUsed/>
    <w:qFormat/>
    <w:rPr>
      <w:rFonts w:ascii="宋体" w:eastAsia="宋体" w:hAnsi="宋体" w:hint="eastAsia"/>
      <w:sz w:val="28"/>
      <w:szCs w:val="24"/>
    </w:rPr>
  </w:style>
  <w:style w:type="character" w:customStyle="1" w:styleId="3111">
    <w:name w:val="正文文本 3 字符11"/>
    <w:unhideWhenUsed/>
    <w:qFormat/>
    <w:rPr>
      <w:rFonts w:hint="default"/>
      <w:sz w:val="24"/>
      <w:szCs w:val="24"/>
    </w:rPr>
  </w:style>
  <w:style w:type="character" w:customStyle="1" w:styleId="2112">
    <w:name w:val="正文文本缩进 2 字符11"/>
    <w:unhideWhenUsed/>
    <w:qFormat/>
    <w:rPr>
      <w:rFonts w:hint="default"/>
      <w:sz w:val="24"/>
      <w:szCs w:val="24"/>
    </w:rPr>
  </w:style>
  <w:style w:type="character" w:customStyle="1" w:styleId="3112">
    <w:name w:val="正文文本缩进 3 字符11"/>
    <w:unhideWhenUsed/>
    <w:qFormat/>
    <w:rPr>
      <w:rFonts w:hint="default"/>
      <w:sz w:val="24"/>
      <w:szCs w:val="24"/>
    </w:rPr>
  </w:style>
  <w:style w:type="character" w:customStyle="1" w:styleId="2ffffa">
    <w:name w:val="文本块 字符2"/>
    <w:unhideWhenUsed/>
    <w:qFormat/>
    <w:rPr>
      <w:rFonts w:hint="default"/>
      <w:spacing w:val="26"/>
      <w:sz w:val="28"/>
      <w:szCs w:val="24"/>
    </w:rPr>
  </w:style>
  <w:style w:type="character" w:customStyle="1" w:styleId="12f1">
    <w:name w:val="纯文本 字符12"/>
    <w:unhideWhenUsed/>
    <w:qFormat/>
    <w:rPr>
      <w:rFonts w:ascii="宋体" w:eastAsia="宋体" w:hAnsi="Courier New" w:hint="eastAsia"/>
      <w:sz w:val="21"/>
      <w:szCs w:val="24"/>
    </w:rPr>
  </w:style>
  <w:style w:type="character" w:customStyle="1" w:styleId="12f2">
    <w:name w:val="批注主题 字符12"/>
    <w:unhideWhenUsed/>
    <w:qFormat/>
    <w:rPr>
      <w:rFonts w:ascii="宋体" w:eastAsia="宋体" w:hAnsi="宋体" w:hint="eastAsia"/>
      <w:b/>
      <w:color w:val="000000"/>
      <w:sz w:val="24"/>
      <w:szCs w:val="24"/>
    </w:rPr>
  </w:style>
  <w:style w:type="character" w:customStyle="1" w:styleId="15a">
    <w:name w:val="标题 1 字符5"/>
    <w:basedOn w:val="a6"/>
    <w:uiPriority w:val="9"/>
    <w:unhideWhenUsed/>
    <w:qFormat/>
    <w:rPr>
      <w:rFonts w:cs="Times New Roman" w:hint="default"/>
      <w:b/>
      <w:kern w:val="44"/>
      <w:sz w:val="44"/>
      <w:szCs w:val="44"/>
    </w:rPr>
  </w:style>
  <w:style w:type="character" w:customStyle="1" w:styleId="254">
    <w:name w:val="标题 2 字符5"/>
    <w:basedOn w:val="a6"/>
    <w:uiPriority w:val="9"/>
    <w:unhideWhenUsed/>
    <w:qFormat/>
    <w:rPr>
      <w:rFonts w:ascii="Calibri Light" w:eastAsia="宋体" w:hAnsi="Calibri Light" w:cs="Times New Roman" w:hint="eastAsia"/>
      <w:b/>
      <w:kern w:val="2"/>
      <w:sz w:val="32"/>
      <w:szCs w:val="32"/>
    </w:rPr>
  </w:style>
  <w:style w:type="character" w:customStyle="1" w:styleId="350">
    <w:name w:val="标题 3 字符5"/>
    <w:basedOn w:val="a6"/>
    <w:uiPriority w:val="9"/>
    <w:unhideWhenUsed/>
    <w:qFormat/>
    <w:rPr>
      <w:rFonts w:cs="Times New Roman" w:hint="default"/>
      <w:b/>
      <w:kern w:val="2"/>
      <w:sz w:val="32"/>
      <w:szCs w:val="32"/>
    </w:rPr>
  </w:style>
  <w:style w:type="character" w:customStyle="1" w:styleId="450">
    <w:name w:val="标题 4 字符5"/>
    <w:basedOn w:val="a6"/>
    <w:uiPriority w:val="9"/>
    <w:unhideWhenUsed/>
    <w:qFormat/>
    <w:rPr>
      <w:rFonts w:ascii="Calibri Light" w:eastAsia="宋体" w:hAnsi="Calibri Light" w:cs="Times New Roman" w:hint="eastAsia"/>
      <w:b/>
      <w:kern w:val="2"/>
      <w:sz w:val="28"/>
      <w:szCs w:val="28"/>
    </w:rPr>
  </w:style>
  <w:style w:type="character" w:customStyle="1" w:styleId="550">
    <w:name w:val="标题 5 字符5"/>
    <w:basedOn w:val="a6"/>
    <w:uiPriority w:val="9"/>
    <w:unhideWhenUsed/>
    <w:qFormat/>
    <w:rPr>
      <w:rFonts w:cs="Times New Roman" w:hint="default"/>
      <w:b/>
      <w:kern w:val="2"/>
      <w:sz w:val="28"/>
      <w:szCs w:val="28"/>
    </w:rPr>
  </w:style>
  <w:style w:type="character" w:customStyle="1" w:styleId="650">
    <w:name w:val="标题 6 字符5"/>
    <w:basedOn w:val="a6"/>
    <w:uiPriority w:val="9"/>
    <w:unhideWhenUsed/>
    <w:qFormat/>
    <w:rPr>
      <w:rFonts w:ascii="Calibri Light" w:eastAsia="宋体" w:hAnsi="Calibri Light" w:cs="Times New Roman" w:hint="eastAsia"/>
      <w:b/>
      <w:kern w:val="2"/>
      <w:sz w:val="24"/>
      <w:szCs w:val="24"/>
    </w:rPr>
  </w:style>
  <w:style w:type="character" w:customStyle="1" w:styleId="750">
    <w:name w:val="标题 7 字符5"/>
    <w:basedOn w:val="a6"/>
    <w:uiPriority w:val="9"/>
    <w:unhideWhenUsed/>
    <w:qFormat/>
    <w:rPr>
      <w:rFonts w:cs="Times New Roman" w:hint="default"/>
      <w:b/>
      <w:kern w:val="2"/>
      <w:sz w:val="24"/>
      <w:szCs w:val="24"/>
    </w:rPr>
  </w:style>
  <w:style w:type="character" w:customStyle="1" w:styleId="850">
    <w:name w:val="标题 8 字符5"/>
    <w:basedOn w:val="a6"/>
    <w:uiPriority w:val="9"/>
    <w:unhideWhenUsed/>
    <w:qFormat/>
    <w:rPr>
      <w:rFonts w:ascii="Calibri Light" w:eastAsia="宋体" w:hAnsi="Calibri Light" w:cs="Times New Roman" w:hint="eastAsia"/>
      <w:kern w:val="2"/>
      <w:sz w:val="24"/>
      <w:szCs w:val="24"/>
    </w:rPr>
  </w:style>
  <w:style w:type="character" w:customStyle="1" w:styleId="950">
    <w:name w:val="标题 9 字符5"/>
    <w:basedOn w:val="a6"/>
    <w:uiPriority w:val="9"/>
    <w:unhideWhenUsed/>
    <w:qFormat/>
    <w:rPr>
      <w:rFonts w:ascii="Calibri Light" w:eastAsia="宋体" w:hAnsi="Calibri Light" w:cs="Times New Roman" w:hint="eastAsia"/>
      <w:kern w:val="2"/>
      <w:sz w:val="21"/>
      <w:szCs w:val="21"/>
    </w:rPr>
  </w:style>
  <w:style w:type="character" w:customStyle="1" w:styleId="124">
    <w:name w:val="标题 1 字符24"/>
    <w:link w:val="110"/>
    <w:uiPriority w:val="9"/>
    <w:unhideWhenUsed/>
    <w:qFormat/>
    <w:rPr>
      <w:rFonts w:hint="default"/>
      <w:b/>
      <w:kern w:val="44"/>
      <w:sz w:val="44"/>
      <w:szCs w:val="24"/>
    </w:rPr>
  </w:style>
  <w:style w:type="character" w:customStyle="1" w:styleId="224">
    <w:name w:val="标题 2 字符24"/>
    <w:link w:val="213"/>
    <w:unhideWhenUsed/>
    <w:qFormat/>
    <w:rPr>
      <w:rFonts w:ascii="Calibri Light" w:eastAsia="宋体" w:hAnsi="Calibri Light" w:hint="eastAsia"/>
      <w:b/>
      <w:kern w:val="2"/>
      <w:sz w:val="32"/>
      <w:szCs w:val="24"/>
    </w:rPr>
  </w:style>
  <w:style w:type="character" w:customStyle="1" w:styleId="426">
    <w:name w:val="标题 4 字符26"/>
    <w:link w:val="410"/>
    <w:uiPriority w:val="9"/>
    <w:unhideWhenUsed/>
    <w:qFormat/>
    <w:rPr>
      <w:rFonts w:ascii="Calibri Light" w:eastAsia="宋体" w:hAnsi="Calibri Light" w:hint="eastAsia"/>
      <w:b/>
      <w:kern w:val="2"/>
      <w:sz w:val="28"/>
      <w:szCs w:val="24"/>
    </w:rPr>
  </w:style>
  <w:style w:type="character" w:customStyle="1" w:styleId="255">
    <w:name w:val="正文缩进 字符25"/>
    <w:unhideWhenUsed/>
    <w:qFormat/>
    <w:rPr>
      <w:rFonts w:hint="default"/>
      <w:kern w:val="2"/>
      <w:sz w:val="21"/>
      <w:szCs w:val="24"/>
    </w:rPr>
  </w:style>
  <w:style w:type="character" w:customStyle="1" w:styleId="523">
    <w:name w:val="标题 5 字符23"/>
    <w:link w:val="51"/>
    <w:unhideWhenUsed/>
    <w:qFormat/>
    <w:rPr>
      <w:rFonts w:hint="default"/>
      <w:b/>
      <w:kern w:val="2"/>
      <w:sz w:val="28"/>
      <w:szCs w:val="24"/>
    </w:rPr>
  </w:style>
  <w:style w:type="character" w:customStyle="1" w:styleId="623">
    <w:name w:val="标题 6 字符23"/>
    <w:link w:val="61"/>
    <w:uiPriority w:val="9"/>
    <w:unhideWhenUsed/>
    <w:qFormat/>
    <w:rPr>
      <w:rFonts w:ascii="Calibri Light" w:eastAsia="宋体" w:hAnsi="Calibri Light" w:hint="eastAsia"/>
      <w:b/>
      <w:kern w:val="2"/>
      <w:sz w:val="24"/>
      <w:szCs w:val="24"/>
    </w:rPr>
  </w:style>
  <w:style w:type="character" w:customStyle="1" w:styleId="723">
    <w:name w:val="标题 7 字符23"/>
    <w:link w:val="71"/>
    <w:unhideWhenUsed/>
    <w:qFormat/>
    <w:rPr>
      <w:rFonts w:hint="default"/>
      <w:b/>
      <w:kern w:val="2"/>
      <w:sz w:val="24"/>
      <w:szCs w:val="24"/>
    </w:rPr>
  </w:style>
  <w:style w:type="character" w:customStyle="1" w:styleId="823">
    <w:name w:val="标题 8 字符23"/>
    <w:link w:val="81"/>
    <w:uiPriority w:val="9"/>
    <w:unhideWhenUsed/>
    <w:qFormat/>
    <w:rPr>
      <w:rFonts w:ascii="Calibri Light" w:eastAsia="宋体" w:hAnsi="Calibri Light" w:hint="eastAsia"/>
      <w:kern w:val="2"/>
      <w:sz w:val="24"/>
      <w:szCs w:val="24"/>
    </w:rPr>
  </w:style>
  <w:style w:type="character" w:customStyle="1" w:styleId="923">
    <w:name w:val="标题 9 字符23"/>
    <w:link w:val="91"/>
    <w:unhideWhenUsed/>
    <w:qFormat/>
    <w:rPr>
      <w:rFonts w:ascii="Calibri Light" w:eastAsia="宋体" w:hAnsi="Calibri Light" w:hint="eastAsia"/>
      <w:kern w:val="2"/>
      <w:sz w:val="21"/>
      <w:szCs w:val="24"/>
    </w:rPr>
  </w:style>
  <w:style w:type="character" w:customStyle="1" w:styleId="230">
    <w:name w:val="纯文本 字符23"/>
    <w:link w:val="PlainText1"/>
    <w:unhideWhenUsed/>
    <w:qFormat/>
    <w:rPr>
      <w:rFonts w:ascii="宋体" w:eastAsia="宋体" w:hAnsi="Courier New" w:hint="eastAsia"/>
      <w:kern w:val="2"/>
      <w:sz w:val="21"/>
      <w:szCs w:val="24"/>
    </w:rPr>
  </w:style>
  <w:style w:type="character" w:customStyle="1" w:styleId="5f5">
    <w:name w:val="纯文本 字符5"/>
    <w:basedOn w:val="a6"/>
    <w:unhideWhenUsed/>
    <w:qFormat/>
    <w:rPr>
      <w:rFonts w:ascii="宋体" w:eastAsia="宋体" w:hAnsi="Courier New" w:cs="Courier New" w:hint="eastAsia"/>
      <w:kern w:val="2"/>
      <w:sz w:val="24"/>
      <w:szCs w:val="24"/>
    </w:rPr>
  </w:style>
  <w:style w:type="character" w:customStyle="1" w:styleId="Char43">
    <w:name w:val="标题节 Char4"/>
    <w:unhideWhenUsed/>
    <w:qFormat/>
    <w:rPr>
      <w:rFonts w:eastAsia="仿宋_GB2312" w:hint="default"/>
      <w:b/>
      <w:kern w:val="2"/>
      <w:sz w:val="32"/>
      <w:szCs w:val="24"/>
      <w:lang w:val="en-US" w:eastAsia="zh-CN"/>
    </w:rPr>
  </w:style>
  <w:style w:type="character" w:customStyle="1" w:styleId="3Char30">
    <w:name w:val="标题 3 Char3"/>
    <w:uiPriority w:val="9"/>
    <w:unhideWhenUsed/>
    <w:qFormat/>
    <w:rPr>
      <w:rFonts w:eastAsia="宋体" w:hint="default"/>
      <w:b/>
      <w:kern w:val="28"/>
      <w:sz w:val="24"/>
      <w:szCs w:val="24"/>
      <w:lang w:val="en-US" w:eastAsia="zh-CN"/>
    </w:rPr>
  </w:style>
  <w:style w:type="character" w:customStyle="1" w:styleId="Char37">
    <w:name w:val="表格 Char3"/>
    <w:unhideWhenUsed/>
    <w:qFormat/>
    <w:rPr>
      <w:rFonts w:eastAsia="仿宋_GB2312" w:hint="default"/>
      <w:kern w:val="2"/>
      <w:sz w:val="24"/>
      <w:szCs w:val="24"/>
    </w:rPr>
  </w:style>
  <w:style w:type="character" w:customStyle="1" w:styleId="5f6">
    <w:name w:val="页眉 字符5"/>
    <w:basedOn w:val="a6"/>
    <w:unhideWhenUsed/>
    <w:qFormat/>
    <w:rPr>
      <w:rFonts w:cs="Times New Roman" w:hint="default"/>
      <w:kern w:val="2"/>
      <w:sz w:val="18"/>
      <w:szCs w:val="18"/>
    </w:rPr>
  </w:style>
  <w:style w:type="character" w:customStyle="1" w:styleId="238">
    <w:name w:val="页眉 字符23"/>
    <w:unhideWhenUsed/>
    <w:qFormat/>
    <w:rPr>
      <w:rFonts w:hint="default"/>
      <w:kern w:val="2"/>
      <w:sz w:val="18"/>
      <w:szCs w:val="24"/>
    </w:rPr>
  </w:style>
  <w:style w:type="character" w:customStyle="1" w:styleId="Char130">
    <w:name w:val="正文缩进 Char13"/>
    <w:unhideWhenUsed/>
    <w:qFormat/>
    <w:rPr>
      <w:rFonts w:eastAsia="宋体" w:hint="default"/>
      <w:kern w:val="2"/>
      <w:sz w:val="21"/>
      <w:szCs w:val="24"/>
      <w:lang w:val="en-US" w:eastAsia="zh-CN"/>
    </w:rPr>
  </w:style>
  <w:style w:type="character" w:customStyle="1" w:styleId="Char131">
    <w:name w:val="普通文字 Char13"/>
    <w:unhideWhenUsed/>
    <w:qFormat/>
    <w:rPr>
      <w:rFonts w:ascii="宋体" w:eastAsia="宋体" w:hAnsi="Courier New" w:hint="eastAsia"/>
      <w:kern w:val="2"/>
      <w:sz w:val="21"/>
      <w:szCs w:val="24"/>
      <w:lang w:val="en-US" w:eastAsia="zh-CN"/>
    </w:rPr>
  </w:style>
  <w:style w:type="character" w:customStyle="1" w:styleId="SectionChar4">
    <w:name w:val="Section Char4"/>
    <w:unhideWhenUsed/>
    <w:qFormat/>
    <w:rPr>
      <w:rFonts w:eastAsia="黑体" w:hint="default"/>
      <w:kern w:val="2"/>
      <w:sz w:val="32"/>
      <w:szCs w:val="24"/>
      <w:lang w:val="en-US" w:eastAsia="zh-CN"/>
    </w:rPr>
  </w:style>
  <w:style w:type="character" w:customStyle="1" w:styleId="3Char3Char13">
    <w:name w:val="标题 3 Char3 Char13"/>
    <w:unhideWhenUsed/>
    <w:qFormat/>
    <w:rPr>
      <w:rFonts w:eastAsia="宋体" w:hint="default"/>
      <w:b/>
      <w:kern w:val="2"/>
      <w:sz w:val="32"/>
      <w:szCs w:val="24"/>
      <w:lang w:val="en-US" w:eastAsia="zh-CN"/>
    </w:rPr>
  </w:style>
  <w:style w:type="character" w:customStyle="1" w:styleId="Char38">
    <w:name w:val="北山简报正文 Char3"/>
    <w:unhideWhenUsed/>
    <w:qFormat/>
    <w:rPr>
      <w:rFonts w:hint="default"/>
      <w:kern w:val="2"/>
      <w:sz w:val="24"/>
      <w:szCs w:val="24"/>
    </w:rPr>
  </w:style>
  <w:style w:type="character" w:customStyle="1" w:styleId="Char39">
    <w:name w:val="标题章 Char3"/>
    <w:unhideWhenUsed/>
    <w:qFormat/>
    <w:rPr>
      <w:rFonts w:eastAsia="宋体" w:hint="default"/>
      <w:b/>
      <w:kern w:val="44"/>
      <w:sz w:val="44"/>
      <w:szCs w:val="24"/>
      <w:lang w:val="en-US" w:eastAsia="zh-CN"/>
    </w:rPr>
  </w:style>
  <w:style w:type="character" w:customStyle="1" w:styleId="Char132">
    <w:name w:val="章节 Char13"/>
    <w:unhideWhenUsed/>
    <w:qFormat/>
    <w:rPr>
      <w:rFonts w:eastAsia="宋体" w:hint="default"/>
      <w:b/>
      <w:kern w:val="44"/>
      <w:sz w:val="44"/>
      <w:szCs w:val="24"/>
      <w:lang w:val="en-US" w:eastAsia="zh-CN"/>
    </w:rPr>
  </w:style>
  <w:style w:type="character" w:customStyle="1" w:styleId="Char133">
    <w:name w:val="标题节 Char13"/>
    <w:unhideWhenUsed/>
    <w:qFormat/>
    <w:rPr>
      <w:rFonts w:ascii="Arial" w:eastAsia="黑体" w:hAnsi="Arial" w:hint="eastAsia"/>
      <w:b/>
      <w:kern w:val="2"/>
      <w:sz w:val="32"/>
      <w:szCs w:val="24"/>
      <w:lang w:val="en-US" w:eastAsia="zh-CN"/>
    </w:rPr>
  </w:style>
  <w:style w:type="character" w:customStyle="1" w:styleId="SectionChar13">
    <w:name w:val="Section Char13"/>
    <w:unhideWhenUsed/>
    <w:qFormat/>
    <w:rPr>
      <w:rFonts w:eastAsia="宋体" w:hint="default"/>
      <w:b/>
      <w:kern w:val="2"/>
      <w:sz w:val="32"/>
      <w:szCs w:val="24"/>
      <w:lang w:val="en-US" w:eastAsia="zh-CN"/>
    </w:rPr>
  </w:style>
  <w:style w:type="character" w:customStyle="1" w:styleId="1111Char3">
    <w:name w:val="款标题1.1.1.1 Char3"/>
    <w:unhideWhenUsed/>
    <w:qFormat/>
    <w:rPr>
      <w:rFonts w:ascii="Arial" w:eastAsia="黑体" w:hAnsi="Arial" w:hint="eastAsia"/>
      <w:b/>
      <w:kern w:val="2"/>
      <w:sz w:val="28"/>
      <w:szCs w:val="24"/>
      <w:lang w:val="en-US" w:eastAsia="zh-CN"/>
    </w:rPr>
  </w:style>
  <w:style w:type="character" w:customStyle="1" w:styleId="33Char3">
    <w:name w:val="标题33 Char3"/>
    <w:unhideWhenUsed/>
    <w:qFormat/>
    <w:rPr>
      <w:rFonts w:hint="default"/>
      <w:b/>
      <w:kern w:val="2"/>
      <w:sz w:val="32"/>
      <w:szCs w:val="24"/>
    </w:rPr>
  </w:style>
  <w:style w:type="character" w:customStyle="1" w:styleId="11Char3">
    <w:name w:val="标题11 Char3"/>
    <w:unhideWhenUsed/>
    <w:qFormat/>
    <w:rPr>
      <w:rFonts w:hint="default"/>
      <w:b/>
      <w:kern w:val="44"/>
      <w:sz w:val="44"/>
      <w:szCs w:val="24"/>
    </w:rPr>
  </w:style>
  <w:style w:type="character" w:customStyle="1" w:styleId="22Char3">
    <w:name w:val="标题22 Char3"/>
    <w:unhideWhenUsed/>
    <w:qFormat/>
    <w:rPr>
      <w:rFonts w:hint="default"/>
      <w:b/>
      <w:kern w:val="2"/>
      <w:sz w:val="32"/>
      <w:szCs w:val="24"/>
    </w:rPr>
  </w:style>
  <w:style w:type="character" w:customStyle="1" w:styleId="Char330">
    <w:name w:val="页眉 Char33"/>
    <w:unhideWhenUsed/>
    <w:qFormat/>
    <w:rPr>
      <w:rFonts w:eastAsia="宋体" w:hint="default"/>
      <w:kern w:val="2"/>
      <w:sz w:val="18"/>
      <w:szCs w:val="24"/>
      <w:lang w:val="en-US" w:eastAsia="zh-CN"/>
    </w:rPr>
  </w:style>
  <w:style w:type="character" w:customStyle="1" w:styleId="Char331">
    <w:name w:val="普通文字 Char33"/>
    <w:unhideWhenUsed/>
    <w:qFormat/>
    <w:rPr>
      <w:rFonts w:ascii="宋体" w:eastAsia="宋体" w:hAnsi="Courier New" w:hint="eastAsia"/>
      <w:color w:val="000000"/>
      <w:kern w:val="2"/>
      <w:sz w:val="28"/>
      <w:szCs w:val="24"/>
      <w:lang w:val="en-US" w:eastAsia="zh-CN"/>
    </w:rPr>
  </w:style>
  <w:style w:type="character" w:customStyle="1" w:styleId="Char430">
    <w:name w:val="普通文字 Char43"/>
    <w:unhideWhenUsed/>
    <w:qFormat/>
    <w:rPr>
      <w:rFonts w:ascii="宋体" w:eastAsia="宋体" w:hAnsi="Courier New" w:hint="eastAsia"/>
      <w:color w:val="000000"/>
      <w:kern w:val="2"/>
      <w:sz w:val="28"/>
      <w:szCs w:val="24"/>
      <w:lang w:val="en-US" w:eastAsia="zh-CN"/>
    </w:rPr>
  </w:style>
  <w:style w:type="character" w:customStyle="1" w:styleId="btChar3">
    <w:name w:val="bt Char3"/>
    <w:unhideWhenUsed/>
    <w:qFormat/>
    <w:rPr>
      <w:rFonts w:ascii="宋体" w:eastAsia="宋体" w:hAnsi="宋体" w:hint="eastAsia"/>
      <w:kern w:val="2"/>
      <w:position w:val="-6"/>
      <w:sz w:val="21"/>
      <w:szCs w:val="24"/>
      <w:u w:val="single"/>
      <w:lang w:val="en-US" w:eastAsia="zh-CN"/>
    </w:rPr>
  </w:style>
  <w:style w:type="character" w:customStyle="1" w:styleId="CharChar3a">
    <w:name w:val="表格文字 Char Char3"/>
    <w:unhideWhenUsed/>
    <w:qFormat/>
    <w:rPr>
      <w:rFonts w:ascii="宋体" w:eastAsia="宋体" w:hAnsi="Courier New" w:hint="eastAsia"/>
      <w:kern w:val="2"/>
      <w:sz w:val="21"/>
      <w:szCs w:val="24"/>
      <w:lang w:val="en-US" w:eastAsia="zh-CN"/>
    </w:rPr>
  </w:style>
  <w:style w:type="character" w:customStyle="1" w:styleId="Char33">
    <w:name w:val="正文首行缩进 Char33"/>
    <w:link w:val="1fb"/>
    <w:unhideWhenUsed/>
    <w:qFormat/>
    <w:rPr>
      <w:rFonts w:hint="default"/>
      <w:kern w:val="2"/>
      <w:sz w:val="24"/>
      <w:szCs w:val="24"/>
    </w:rPr>
  </w:style>
  <w:style w:type="character" w:customStyle="1" w:styleId="4Char113">
    <w:name w:val="标题 4 Char113"/>
    <w:unhideWhenUsed/>
    <w:qFormat/>
    <w:rPr>
      <w:rFonts w:ascii="黑体" w:eastAsia="宋体" w:hAnsi="Arial" w:hint="eastAsia"/>
      <w:b/>
      <w:i/>
      <w:kern w:val="2"/>
      <w:sz w:val="24"/>
      <w:szCs w:val="24"/>
    </w:rPr>
  </w:style>
  <w:style w:type="character" w:customStyle="1" w:styleId="1Char23">
    <w:name w:val="正文缩进1 Char23"/>
    <w:unhideWhenUsed/>
    <w:qFormat/>
    <w:rPr>
      <w:rFonts w:eastAsia="宋体" w:hint="default"/>
      <w:kern w:val="2"/>
      <w:sz w:val="24"/>
      <w:szCs w:val="24"/>
      <w:lang w:val="en-US" w:eastAsia="zh-CN"/>
    </w:rPr>
  </w:style>
  <w:style w:type="character" w:customStyle="1" w:styleId="11111Char13">
    <w:name w:val="标题1.1.1.1.1 Char13"/>
    <w:unhideWhenUsed/>
    <w:qFormat/>
    <w:rPr>
      <w:rFonts w:ascii="宋体" w:eastAsia="宋体" w:hint="eastAsia"/>
      <w:b/>
      <w:sz w:val="28"/>
      <w:szCs w:val="24"/>
      <w:lang w:val="en-US" w:eastAsia="zh-CN"/>
    </w:rPr>
  </w:style>
  <w:style w:type="character" w:customStyle="1" w:styleId="aChar7">
    <w:name w:val="干标题(a) Char7"/>
    <w:unhideWhenUsed/>
    <w:qFormat/>
    <w:rPr>
      <w:rFonts w:ascii="Arial" w:eastAsia="黑体" w:hAnsi="Arial" w:hint="eastAsia"/>
      <w:sz w:val="21"/>
      <w:szCs w:val="24"/>
      <w:lang w:val="en-US" w:eastAsia="zh-CN"/>
    </w:rPr>
  </w:style>
  <w:style w:type="character" w:customStyle="1" w:styleId="1Char13">
    <w:name w:val="项标题(1) Char13"/>
    <w:unhideWhenUsed/>
    <w:qFormat/>
    <w:rPr>
      <w:rFonts w:ascii="宋体" w:eastAsia="宋体" w:hint="eastAsia"/>
      <w:b/>
      <w:sz w:val="24"/>
      <w:szCs w:val="24"/>
      <w:lang w:val="en-US" w:eastAsia="zh-CN"/>
    </w:rPr>
  </w:style>
  <w:style w:type="character" w:customStyle="1" w:styleId="1Char70">
    <w:name w:val="目标题 1) Char7"/>
    <w:unhideWhenUsed/>
    <w:qFormat/>
    <w:rPr>
      <w:rFonts w:ascii="Arial" w:eastAsia="黑体" w:hAnsi="Arial" w:hint="eastAsia"/>
      <w:sz w:val="24"/>
      <w:szCs w:val="24"/>
      <w:lang w:val="en-US" w:eastAsia="zh-CN"/>
    </w:rPr>
  </w:style>
  <w:style w:type="character" w:customStyle="1" w:styleId="CharCharCharCharCharCharCharCharCharCharChar13">
    <w:name w:val="普通文字 Char Char Char Char Char Char Char Char Char Char Char13"/>
    <w:unhideWhenUsed/>
    <w:qFormat/>
    <w:rPr>
      <w:rFonts w:ascii="宋体" w:eastAsia="宋体" w:hAnsi="Courier New" w:hint="eastAsia"/>
      <w:kern w:val="2"/>
      <w:sz w:val="28"/>
      <w:szCs w:val="24"/>
      <w:lang w:val="en-US" w:eastAsia="zh-CN"/>
    </w:rPr>
  </w:style>
  <w:style w:type="character" w:customStyle="1" w:styleId="240">
    <w:name w:val="题注 字符24"/>
    <w:link w:val="1c"/>
    <w:unhideWhenUsed/>
    <w:qFormat/>
    <w:rPr>
      <w:rFonts w:ascii="Arial" w:eastAsia="黑体" w:hAnsi="Arial" w:hint="eastAsia"/>
      <w:kern w:val="2"/>
      <w:sz w:val="24"/>
      <w:szCs w:val="24"/>
    </w:rPr>
  </w:style>
  <w:style w:type="character" w:customStyle="1" w:styleId="Char1CharChar33">
    <w:name w:val="正文首行缩进 Char1 Char Char33"/>
    <w:unhideWhenUsed/>
    <w:qFormat/>
    <w:rPr>
      <w:rFonts w:eastAsia="宋体" w:hint="default"/>
      <w:kern w:val="2"/>
      <w:sz w:val="24"/>
      <w:szCs w:val="24"/>
      <w:lang w:val="en-US" w:eastAsia="zh-CN"/>
    </w:rPr>
  </w:style>
  <w:style w:type="character" w:customStyle="1" w:styleId="CharChar130">
    <w:name w:val="正文首行缩进 Char Char13"/>
    <w:unhideWhenUsed/>
    <w:qFormat/>
    <w:rPr>
      <w:rFonts w:eastAsia="宋体" w:hint="default"/>
      <w:kern w:val="2"/>
      <w:sz w:val="21"/>
      <w:szCs w:val="24"/>
      <w:lang w:val="en-US" w:eastAsia="zh-CN"/>
    </w:rPr>
  </w:style>
  <w:style w:type="character" w:customStyle="1" w:styleId="Char1CharChar7">
    <w:name w:val="正文首行缩进 Char1 Char Char7"/>
    <w:unhideWhenUsed/>
    <w:qFormat/>
    <w:rPr>
      <w:rFonts w:ascii="宋体" w:eastAsia="宋体" w:hint="eastAsia"/>
      <w:kern w:val="2"/>
      <w:sz w:val="28"/>
      <w:szCs w:val="24"/>
      <w:lang w:val="en-US" w:eastAsia="zh-CN"/>
    </w:rPr>
  </w:style>
  <w:style w:type="character" w:customStyle="1" w:styleId="3Char1Char3">
    <w:name w:val="标题 3 Char1 Char3"/>
    <w:unhideWhenUsed/>
    <w:qFormat/>
    <w:rPr>
      <w:rFonts w:ascii="黑体" w:eastAsia="黑体" w:hint="eastAsia"/>
      <w:b/>
      <w:kern w:val="2"/>
      <w:sz w:val="21"/>
      <w:szCs w:val="24"/>
      <w:lang w:val="en-US" w:eastAsia="zh-CN"/>
    </w:rPr>
  </w:style>
  <w:style w:type="character" w:customStyle="1" w:styleId="Char1CharChar23">
    <w:name w:val="正文首行缩进 Char1 Char Char23"/>
    <w:unhideWhenUsed/>
    <w:qFormat/>
    <w:rPr>
      <w:rFonts w:eastAsia="宋体" w:hint="default"/>
      <w:kern w:val="2"/>
      <w:sz w:val="24"/>
      <w:szCs w:val="24"/>
      <w:lang w:val="en-US" w:eastAsia="zh-CN"/>
    </w:rPr>
  </w:style>
  <w:style w:type="character" w:customStyle="1" w:styleId="1Char130">
    <w:name w:val="目标题 1) Char13"/>
    <w:unhideWhenUsed/>
    <w:qFormat/>
    <w:rPr>
      <w:rFonts w:ascii="Arial" w:eastAsia="黑体" w:hAnsi="Arial" w:hint="eastAsia"/>
      <w:sz w:val="28"/>
      <w:szCs w:val="24"/>
      <w:lang w:val="en-US" w:eastAsia="zh-CN"/>
    </w:rPr>
  </w:style>
  <w:style w:type="character" w:customStyle="1" w:styleId="1Char230">
    <w:name w:val="项标题(1) Char23"/>
    <w:unhideWhenUsed/>
    <w:qFormat/>
    <w:rPr>
      <w:rFonts w:ascii="新宋体" w:eastAsia="仿宋_GB2312" w:hAnsi="新宋体" w:hint="eastAsia"/>
      <w:b/>
      <w:kern w:val="2"/>
      <w:sz w:val="24"/>
      <w:szCs w:val="24"/>
      <w:lang w:val="en-US" w:eastAsia="zh-CN"/>
    </w:rPr>
  </w:style>
  <w:style w:type="character" w:customStyle="1" w:styleId="1Char231">
    <w:name w:val="目标题 1) Char23"/>
    <w:unhideWhenUsed/>
    <w:qFormat/>
    <w:rPr>
      <w:rFonts w:ascii="Arial" w:eastAsia="黑体" w:hAnsi="Arial" w:hint="eastAsia"/>
      <w:kern w:val="2"/>
      <w:sz w:val="24"/>
      <w:szCs w:val="24"/>
      <w:lang w:val="en-US" w:eastAsia="zh-CN"/>
    </w:rPr>
  </w:style>
  <w:style w:type="character" w:customStyle="1" w:styleId="11111Char23">
    <w:name w:val="标题1.1.1.1.1 Char23"/>
    <w:unhideWhenUsed/>
    <w:qFormat/>
    <w:rPr>
      <w:rFonts w:ascii="宋体" w:eastAsia="宋体" w:hint="eastAsia"/>
      <w:b/>
      <w:kern w:val="2"/>
      <w:sz w:val="24"/>
      <w:szCs w:val="24"/>
      <w:lang w:val="en-US" w:eastAsia="zh-CN"/>
    </w:rPr>
  </w:style>
  <w:style w:type="character" w:customStyle="1" w:styleId="111111Char13">
    <w:name w:val="标题1.1.1.1.1.1 Char13"/>
    <w:unhideWhenUsed/>
    <w:qFormat/>
    <w:rPr>
      <w:rFonts w:ascii="Arial" w:eastAsia="黑体" w:hAnsi="Arial" w:hint="eastAsia"/>
      <w:b/>
      <w:kern w:val="2"/>
      <w:sz w:val="24"/>
      <w:szCs w:val="24"/>
      <w:lang w:val="en-US" w:eastAsia="zh-CN"/>
    </w:rPr>
  </w:style>
  <w:style w:type="character" w:customStyle="1" w:styleId="aChar23">
    <w:name w:val="干标题(a) Char23"/>
    <w:unhideWhenUsed/>
    <w:qFormat/>
    <w:rPr>
      <w:rFonts w:ascii="Arial" w:eastAsia="黑体" w:hAnsi="Arial" w:hint="eastAsia"/>
      <w:kern w:val="2"/>
      <w:sz w:val="24"/>
      <w:szCs w:val="24"/>
      <w:lang w:val="en-US" w:eastAsia="zh-CN"/>
    </w:rPr>
  </w:style>
  <w:style w:type="character" w:customStyle="1" w:styleId="1Char33">
    <w:name w:val="项标题(1) Char33"/>
    <w:unhideWhenUsed/>
    <w:qFormat/>
    <w:rPr>
      <w:rFonts w:ascii="宋体" w:eastAsia="宋体" w:hint="eastAsia"/>
      <w:b/>
      <w:kern w:val="2"/>
      <w:sz w:val="24"/>
      <w:szCs w:val="24"/>
      <w:lang w:val="en-US" w:eastAsia="zh-CN"/>
    </w:rPr>
  </w:style>
  <w:style w:type="character" w:customStyle="1" w:styleId="aChar33">
    <w:name w:val="干标题(a) Char33"/>
    <w:unhideWhenUsed/>
    <w:qFormat/>
    <w:rPr>
      <w:rFonts w:ascii="Arial" w:eastAsia="黑体" w:hAnsi="Arial" w:hint="eastAsia"/>
      <w:kern w:val="2"/>
      <w:sz w:val="21"/>
      <w:szCs w:val="24"/>
      <w:lang w:val="en-US" w:eastAsia="zh-CN"/>
    </w:rPr>
  </w:style>
  <w:style w:type="character" w:customStyle="1" w:styleId="11111Char33">
    <w:name w:val="标题1.1.1.1.1 Char33"/>
    <w:unhideWhenUsed/>
    <w:qFormat/>
    <w:rPr>
      <w:rFonts w:ascii="新宋体" w:eastAsia="仿宋_GB2312" w:hAnsi="新宋体" w:hint="eastAsia"/>
      <w:b/>
      <w:kern w:val="2"/>
      <w:sz w:val="28"/>
      <w:szCs w:val="24"/>
      <w:lang w:val="en-US" w:eastAsia="zh-CN"/>
    </w:rPr>
  </w:style>
  <w:style w:type="character" w:customStyle="1" w:styleId="111111Char23">
    <w:name w:val="标题1.1.1.1.1.1 Char23"/>
    <w:unhideWhenUsed/>
    <w:qFormat/>
    <w:rPr>
      <w:rFonts w:ascii="Arial" w:eastAsia="黑体" w:hAnsi="Arial" w:hint="eastAsia"/>
      <w:b/>
      <w:kern w:val="2"/>
      <w:sz w:val="24"/>
      <w:szCs w:val="24"/>
      <w:lang w:val="en-US" w:eastAsia="zh-CN"/>
    </w:rPr>
  </w:style>
  <w:style w:type="character" w:customStyle="1" w:styleId="1Char43">
    <w:name w:val="项标题(1) Char43"/>
    <w:unhideWhenUsed/>
    <w:qFormat/>
    <w:rPr>
      <w:rFonts w:ascii="新宋体" w:eastAsia="仿宋_GB2312" w:hAnsi="新宋体" w:hint="eastAsia"/>
      <w:b/>
      <w:kern w:val="2"/>
      <w:sz w:val="24"/>
      <w:szCs w:val="24"/>
      <w:lang w:val="en-US" w:eastAsia="zh-CN"/>
    </w:rPr>
  </w:style>
  <w:style w:type="character" w:customStyle="1" w:styleId="1Char330">
    <w:name w:val="目标题 1) Char33"/>
    <w:unhideWhenUsed/>
    <w:qFormat/>
    <w:rPr>
      <w:rFonts w:ascii="Arial" w:eastAsia="黑体" w:hAnsi="Arial" w:hint="eastAsia"/>
      <w:kern w:val="2"/>
      <w:sz w:val="24"/>
      <w:szCs w:val="24"/>
      <w:lang w:val="en-US" w:eastAsia="zh-CN"/>
    </w:rPr>
  </w:style>
  <w:style w:type="character" w:customStyle="1" w:styleId="Char1CharChar43">
    <w:name w:val="正文首行缩进 Char1 Char Char43"/>
    <w:unhideWhenUsed/>
    <w:qFormat/>
    <w:rPr>
      <w:rFonts w:ascii="新宋体" w:eastAsia="仿宋_GB2312" w:hAnsi="新宋体" w:hint="eastAsia"/>
      <w:kern w:val="2"/>
      <w:sz w:val="28"/>
      <w:szCs w:val="24"/>
      <w:lang w:val="en-US" w:eastAsia="zh-CN"/>
    </w:rPr>
  </w:style>
  <w:style w:type="character" w:customStyle="1" w:styleId="1Char331">
    <w:name w:val="正文缩进1 Char33"/>
    <w:unhideWhenUsed/>
    <w:qFormat/>
    <w:rPr>
      <w:rFonts w:eastAsia="宋体" w:hint="default"/>
      <w:kern w:val="2"/>
      <w:sz w:val="24"/>
      <w:szCs w:val="24"/>
      <w:lang w:val="en-US" w:eastAsia="zh-CN"/>
    </w:rPr>
  </w:style>
  <w:style w:type="character" w:customStyle="1" w:styleId="aChar43">
    <w:name w:val="干标题(a) Char43"/>
    <w:unhideWhenUsed/>
    <w:qFormat/>
    <w:rPr>
      <w:rFonts w:ascii="Arial" w:eastAsia="黑体" w:hAnsi="Arial" w:hint="eastAsia"/>
      <w:kern w:val="2"/>
      <w:sz w:val="21"/>
      <w:szCs w:val="24"/>
      <w:lang w:val="en-US" w:eastAsia="zh-CN"/>
    </w:rPr>
  </w:style>
  <w:style w:type="character" w:customStyle="1" w:styleId="11111Char43">
    <w:name w:val="标题1.1.1.1.1 Char43"/>
    <w:unhideWhenUsed/>
    <w:qFormat/>
    <w:rPr>
      <w:rFonts w:ascii="新宋体" w:eastAsia="仿宋_GB2312" w:hAnsi="新宋体" w:hint="eastAsia"/>
      <w:b/>
      <w:kern w:val="2"/>
      <w:sz w:val="28"/>
      <w:szCs w:val="24"/>
      <w:lang w:val="en-US" w:eastAsia="zh-CN"/>
    </w:rPr>
  </w:style>
  <w:style w:type="character" w:customStyle="1" w:styleId="111111Char33">
    <w:name w:val="标题1.1.1.1.1.1 Char33"/>
    <w:unhideWhenUsed/>
    <w:qFormat/>
    <w:rPr>
      <w:rFonts w:ascii="Arial" w:eastAsia="黑体" w:hAnsi="Arial" w:hint="eastAsia"/>
      <w:b/>
      <w:kern w:val="2"/>
      <w:sz w:val="24"/>
      <w:szCs w:val="24"/>
      <w:lang w:val="en-US" w:eastAsia="zh-CN"/>
    </w:rPr>
  </w:style>
  <w:style w:type="character" w:customStyle="1" w:styleId="1Char53">
    <w:name w:val="项标题(1) Char53"/>
    <w:unhideWhenUsed/>
    <w:qFormat/>
    <w:rPr>
      <w:rFonts w:ascii="新宋体" w:eastAsia="仿宋_GB2312" w:hAnsi="新宋体" w:hint="eastAsia"/>
      <w:b/>
      <w:kern w:val="2"/>
      <w:sz w:val="24"/>
      <w:szCs w:val="24"/>
      <w:lang w:val="en-US" w:eastAsia="zh-CN"/>
    </w:rPr>
  </w:style>
  <w:style w:type="character" w:customStyle="1" w:styleId="1Char430">
    <w:name w:val="目标题 1) Char43"/>
    <w:unhideWhenUsed/>
    <w:qFormat/>
    <w:rPr>
      <w:rFonts w:ascii="Arial" w:eastAsia="黑体" w:hAnsi="Arial" w:hint="eastAsia"/>
      <w:kern w:val="2"/>
      <w:sz w:val="24"/>
      <w:szCs w:val="24"/>
      <w:lang w:val="en-US" w:eastAsia="zh-CN"/>
    </w:rPr>
  </w:style>
  <w:style w:type="character" w:customStyle="1" w:styleId="Char1CharChar53">
    <w:name w:val="正文首行缩进 Char1 Char Char53"/>
    <w:unhideWhenUsed/>
    <w:qFormat/>
    <w:rPr>
      <w:rFonts w:ascii="新宋体" w:eastAsia="仿宋_GB2312" w:hAnsi="新宋体" w:hint="eastAsia"/>
      <w:kern w:val="2"/>
      <w:sz w:val="28"/>
      <w:szCs w:val="24"/>
      <w:lang w:val="en-US" w:eastAsia="zh-CN"/>
    </w:rPr>
  </w:style>
  <w:style w:type="character" w:customStyle="1" w:styleId="11Char30">
    <w:name w:val="正文首行缩进11 Char3"/>
    <w:unhideWhenUsed/>
    <w:qFormat/>
    <w:rPr>
      <w:rFonts w:eastAsia="宋体" w:hint="default"/>
      <w:kern w:val="2"/>
      <w:sz w:val="24"/>
      <w:szCs w:val="24"/>
      <w:lang w:val="en-US" w:eastAsia="zh-CN"/>
    </w:rPr>
  </w:style>
  <w:style w:type="character" w:customStyle="1" w:styleId="5f7">
    <w:name w:val="正文缩进 字符5"/>
    <w:unhideWhenUsed/>
    <w:qFormat/>
    <w:rPr>
      <w:rFonts w:eastAsia="宋体" w:hint="default"/>
      <w:kern w:val="2"/>
      <w:sz w:val="21"/>
      <w:szCs w:val="24"/>
      <w:lang w:val="en-US" w:eastAsia="zh-CN"/>
    </w:rPr>
  </w:style>
  <w:style w:type="character" w:customStyle="1" w:styleId="5f8">
    <w:name w:val="题注 字符5"/>
    <w:unhideWhenUsed/>
    <w:qFormat/>
    <w:rPr>
      <w:rFonts w:ascii="Arial" w:eastAsia="黑体" w:hAnsi="Arial" w:hint="eastAsia"/>
      <w:kern w:val="2"/>
      <w:sz w:val="24"/>
      <w:szCs w:val="24"/>
    </w:rPr>
  </w:style>
  <w:style w:type="character" w:customStyle="1" w:styleId="1140">
    <w:name w:val="标题 1 字符14"/>
    <w:unhideWhenUsed/>
    <w:qFormat/>
    <w:rPr>
      <w:rFonts w:ascii="Times New Roman" w:eastAsia="宋体" w:hAnsi="Times New Roman" w:hint="eastAsia"/>
      <w:b/>
      <w:kern w:val="44"/>
      <w:sz w:val="44"/>
      <w:szCs w:val="24"/>
    </w:rPr>
  </w:style>
  <w:style w:type="character" w:customStyle="1" w:styleId="2140">
    <w:name w:val="标题 2 字符14"/>
    <w:unhideWhenUsed/>
    <w:qFormat/>
    <w:rPr>
      <w:rFonts w:ascii="等线 Light" w:eastAsia="等线 Light" w:hAnsi="等线 Light" w:hint="eastAsia"/>
      <w:b/>
      <w:sz w:val="32"/>
      <w:szCs w:val="24"/>
    </w:rPr>
  </w:style>
  <w:style w:type="character" w:customStyle="1" w:styleId="3140">
    <w:name w:val="标题 3 字符14"/>
    <w:unhideWhenUsed/>
    <w:qFormat/>
    <w:rPr>
      <w:rFonts w:ascii="Times New Roman" w:eastAsia="宋体" w:hAnsi="Times New Roman" w:hint="eastAsia"/>
      <w:b/>
      <w:sz w:val="32"/>
      <w:szCs w:val="24"/>
    </w:rPr>
  </w:style>
  <w:style w:type="character" w:customStyle="1" w:styleId="414">
    <w:name w:val="标题 4 字符14"/>
    <w:unhideWhenUsed/>
    <w:qFormat/>
    <w:rPr>
      <w:rFonts w:ascii="等线 Light" w:eastAsia="等线 Light" w:hAnsi="等线 Light" w:hint="eastAsia"/>
      <w:b/>
      <w:sz w:val="28"/>
      <w:szCs w:val="24"/>
    </w:rPr>
  </w:style>
  <w:style w:type="character" w:customStyle="1" w:styleId="513">
    <w:name w:val="标题 5 字符13"/>
    <w:unhideWhenUsed/>
    <w:qFormat/>
    <w:rPr>
      <w:rFonts w:ascii="Times New Roman" w:eastAsia="宋体" w:hAnsi="Times New Roman" w:hint="eastAsia"/>
      <w:b/>
      <w:sz w:val="28"/>
      <w:szCs w:val="24"/>
    </w:rPr>
  </w:style>
  <w:style w:type="character" w:customStyle="1" w:styleId="613">
    <w:name w:val="标题 6 字符13"/>
    <w:unhideWhenUsed/>
    <w:qFormat/>
    <w:rPr>
      <w:rFonts w:ascii="等线 Light" w:eastAsia="等线 Light" w:hAnsi="等线 Light" w:hint="eastAsia"/>
      <w:b/>
      <w:sz w:val="24"/>
      <w:szCs w:val="24"/>
    </w:rPr>
  </w:style>
  <w:style w:type="character" w:customStyle="1" w:styleId="713">
    <w:name w:val="标题 7 字符13"/>
    <w:unhideWhenUsed/>
    <w:qFormat/>
    <w:rPr>
      <w:rFonts w:ascii="Times New Roman" w:eastAsia="宋体" w:hAnsi="Times New Roman" w:hint="eastAsia"/>
      <w:b/>
      <w:sz w:val="24"/>
      <w:szCs w:val="24"/>
    </w:rPr>
  </w:style>
  <w:style w:type="character" w:customStyle="1" w:styleId="813">
    <w:name w:val="标题 8 字符13"/>
    <w:unhideWhenUsed/>
    <w:qFormat/>
    <w:rPr>
      <w:rFonts w:ascii="等线 Light" w:eastAsia="等线 Light" w:hAnsi="等线 Light" w:hint="eastAsia"/>
      <w:sz w:val="24"/>
      <w:szCs w:val="24"/>
    </w:rPr>
  </w:style>
  <w:style w:type="character" w:customStyle="1" w:styleId="913">
    <w:name w:val="标题 9 字符13"/>
    <w:unhideWhenUsed/>
    <w:qFormat/>
    <w:rPr>
      <w:rFonts w:ascii="等线 Light" w:eastAsia="等线 Light" w:hAnsi="等线 Light" w:hint="eastAsia"/>
      <w:sz w:val="21"/>
      <w:szCs w:val="24"/>
    </w:rPr>
  </w:style>
  <w:style w:type="character" w:customStyle="1" w:styleId="137">
    <w:name w:val="正文缩进 字符13"/>
    <w:unhideWhenUsed/>
    <w:qFormat/>
    <w:rPr>
      <w:rFonts w:ascii="Times New Roman" w:eastAsia="宋体" w:hAnsi="Times New Roman" w:hint="eastAsia"/>
      <w:sz w:val="20"/>
      <w:szCs w:val="24"/>
    </w:rPr>
  </w:style>
  <w:style w:type="character" w:customStyle="1" w:styleId="144">
    <w:name w:val="页眉 字符14"/>
    <w:unhideWhenUsed/>
    <w:qFormat/>
    <w:rPr>
      <w:rFonts w:hint="default"/>
      <w:sz w:val="18"/>
      <w:szCs w:val="24"/>
    </w:rPr>
  </w:style>
  <w:style w:type="character" w:customStyle="1" w:styleId="138">
    <w:name w:val="题注 字符13"/>
    <w:unhideWhenUsed/>
    <w:qFormat/>
    <w:rPr>
      <w:rFonts w:ascii="Arial" w:eastAsia="黑体" w:hAnsi="Arial" w:hint="eastAsia"/>
      <w:sz w:val="24"/>
      <w:szCs w:val="24"/>
    </w:rPr>
  </w:style>
  <w:style w:type="character" w:customStyle="1" w:styleId="139">
    <w:name w:val="正文文本首行缩进 字符13"/>
    <w:unhideWhenUsed/>
    <w:qFormat/>
    <w:rPr>
      <w:rFonts w:hint="default"/>
      <w:sz w:val="24"/>
      <w:szCs w:val="24"/>
    </w:rPr>
  </w:style>
  <w:style w:type="character" w:customStyle="1" w:styleId="5f9">
    <w:name w:val="正文文本首行缩进 字符5"/>
    <w:uiPriority w:val="99"/>
    <w:unhideWhenUsed/>
    <w:qFormat/>
    <w:rPr>
      <w:rFonts w:hint="default"/>
      <w:sz w:val="24"/>
      <w:szCs w:val="24"/>
    </w:rPr>
  </w:style>
  <w:style w:type="character" w:customStyle="1" w:styleId="13a">
    <w:name w:val="纯文本 字符13"/>
    <w:unhideWhenUsed/>
    <w:qFormat/>
    <w:rPr>
      <w:rFonts w:ascii="宋体" w:eastAsia="宋体" w:hAnsi="Courier New" w:hint="eastAsia"/>
      <w:sz w:val="21"/>
      <w:szCs w:val="24"/>
    </w:rPr>
  </w:style>
  <w:style w:type="character" w:customStyle="1" w:styleId="pagenumber2">
    <w:name w:val="page number2"/>
    <w:basedOn w:val="a6"/>
    <w:unhideWhenUsed/>
    <w:qFormat/>
    <w:rPr>
      <w:rFonts w:cs="Times New Roman" w:hint="default"/>
      <w:sz w:val="24"/>
      <w:szCs w:val="24"/>
    </w:rPr>
  </w:style>
  <w:style w:type="character" w:customStyle="1" w:styleId="220">
    <w:name w:val="页脚 字符22"/>
    <w:link w:val="1f"/>
    <w:uiPriority w:val="99"/>
    <w:unhideWhenUsed/>
    <w:qFormat/>
    <w:rPr>
      <w:rFonts w:hint="default"/>
      <w:kern w:val="2"/>
      <w:sz w:val="18"/>
      <w:szCs w:val="24"/>
    </w:rPr>
  </w:style>
  <w:style w:type="character" w:customStyle="1" w:styleId="241">
    <w:name w:val="页眉 字符24"/>
    <w:link w:val="1fd"/>
    <w:unhideWhenUsed/>
    <w:qFormat/>
    <w:rPr>
      <w:rFonts w:hint="default"/>
      <w:kern w:val="2"/>
      <w:sz w:val="18"/>
      <w:szCs w:val="24"/>
    </w:rPr>
  </w:style>
  <w:style w:type="character" w:customStyle="1" w:styleId="font841">
    <w:name w:val="font841"/>
    <w:basedOn w:val="a6"/>
    <w:qFormat/>
    <w:rPr>
      <w:rFonts w:ascii="宋体" w:eastAsia="宋体" w:hAnsi="宋体" w:cs="宋体"/>
      <w:color w:val="000000"/>
      <w:sz w:val="12"/>
      <w:szCs w:val="12"/>
      <w:u w:val="none"/>
    </w:rPr>
  </w:style>
  <w:style w:type="character" w:customStyle="1" w:styleId="font851">
    <w:name w:val="font851"/>
    <w:basedOn w:val="a6"/>
    <w:qFormat/>
    <w:rPr>
      <w:rFonts w:ascii="宋体" w:eastAsia="宋体" w:hAnsi="宋体" w:cs="宋体"/>
      <w:color w:val="040085"/>
      <w:sz w:val="12"/>
      <w:szCs w:val="12"/>
      <w:u w:val="none"/>
    </w:rPr>
  </w:style>
  <w:style w:type="character" w:customStyle="1" w:styleId="font861">
    <w:name w:val="font861"/>
    <w:basedOn w:val="a6"/>
    <w:qFormat/>
    <w:rPr>
      <w:rFonts w:ascii="宋体" w:eastAsia="宋体" w:hAnsi="宋体" w:cs="宋体"/>
      <w:color w:val="87002D"/>
      <w:sz w:val="12"/>
      <w:szCs w:val="12"/>
      <w:u w:val="none"/>
    </w:rPr>
  </w:style>
  <w:style w:type="character" w:customStyle="1" w:styleId="font871">
    <w:name w:val="font871"/>
    <w:basedOn w:val="a6"/>
    <w:qFormat/>
    <w:rPr>
      <w:rFonts w:ascii="宋体" w:eastAsia="宋体" w:hAnsi="宋体" w:cs="宋体"/>
      <w:color w:val="001E97"/>
      <w:sz w:val="12"/>
      <w:szCs w:val="12"/>
      <w:u w:val="none"/>
    </w:rPr>
  </w:style>
  <w:style w:type="character" w:customStyle="1" w:styleId="font881">
    <w:name w:val="font881"/>
    <w:basedOn w:val="a6"/>
    <w:qFormat/>
    <w:rPr>
      <w:rFonts w:ascii="宋体" w:eastAsia="宋体" w:hAnsi="宋体" w:cs="宋体"/>
      <w:color w:val="82000D"/>
      <w:sz w:val="12"/>
      <w:szCs w:val="12"/>
      <w:u w:val="none"/>
    </w:rPr>
  </w:style>
  <w:style w:type="character" w:customStyle="1" w:styleId="font891">
    <w:name w:val="font891"/>
    <w:basedOn w:val="a6"/>
    <w:qFormat/>
    <w:rPr>
      <w:rFonts w:ascii="宋体" w:eastAsia="宋体" w:hAnsi="宋体" w:cs="宋体"/>
      <w:color w:val="00058B"/>
      <w:sz w:val="12"/>
      <w:szCs w:val="12"/>
      <w:u w:val="none"/>
    </w:rPr>
  </w:style>
  <w:style w:type="character" w:customStyle="1" w:styleId="font901">
    <w:name w:val="font901"/>
    <w:basedOn w:val="a6"/>
    <w:qFormat/>
    <w:rPr>
      <w:rFonts w:ascii="宋体" w:eastAsia="宋体" w:hAnsi="宋体" w:cs="宋体"/>
      <w:color w:val="B85600"/>
      <w:sz w:val="12"/>
      <w:szCs w:val="12"/>
      <w:u w:val="none"/>
    </w:rPr>
  </w:style>
  <w:style w:type="character" w:customStyle="1" w:styleId="font912">
    <w:name w:val="font912"/>
    <w:basedOn w:val="a6"/>
    <w:qFormat/>
    <w:rPr>
      <w:rFonts w:ascii="宋体" w:eastAsia="宋体" w:hAnsi="宋体" w:cs="宋体"/>
      <w:color w:val="A23B00"/>
      <w:sz w:val="12"/>
      <w:szCs w:val="12"/>
      <w:u w:val="none"/>
    </w:rPr>
  </w:style>
  <w:style w:type="character" w:customStyle="1" w:styleId="font921">
    <w:name w:val="font921"/>
    <w:basedOn w:val="a6"/>
    <w:qFormat/>
    <w:rPr>
      <w:rFonts w:ascii="宋体" w:eastAsia="宋体" w:hAnsi="宋体" w:cs="宋体"/>
      <w:color w:val="0D0085"/>
      <w:sz w:val="12"/>
      <w:szCs w:val="12"/>
      <w:u w:val="none"/>
    </w:rPr>
  </w:style>
  <w:style w:type="character" w:customStyle="1" w:styleId="font931">
    <w:name w:val="font931"/>
    <w:basedOn w:val="a6"/>
    <w:qFormat/>
    <w:rPr>
      <w:rFonts w:ascii="宋体" w:eastAsia="宋体" w:hAnsi="宋体" w:cs="宋体"/>
      <w:color w:val="7E0D00"/>
      <w:sz w:val="12"/>
      <w:szCs w:val="12"/>
      <w:u w:val="none"/>
    </w:rPr>
  </w:style>
  <w:style w:type="character" w:customStyle="1" w:styleId="font941">
    <w:name w:val="font941"/>
    <w:basedOn w:val="a6"/>
    <w:qFormat/>
    <w:rPr>
      <w:rFonts w:ascii="宋体" w:eastAsia="宋体" w:hAnsi="宋体" w:cs="宋体"/>
      <w:color w:val="00188E"/>
      <w:sz w:val="12"/>
      <w:szCs w:val="12"/>
      <w:u w:val="none"/>
    </w:rPr>
  </w:style>
  <w:style w:type="character" w:customStyle="1" w:styleId="font951">
    <w:name w:val="font951"/>
    <w:basedOn w:val="a6"/>
    <w:qFormat/>
    <w:rPr>
      <w:rFonts w:ascii="宋体" w:eastAsia="宋体" w:hAnsi="宋体" w:cs="宋体"/>
      <w:color w:val="00178B"/>
      <w:sz w:val="12"/>
      <w:szCs w:val="12"/>
      <w:u w:val="none"/>
    </w:rPr>
  </w:style>
  <w:style w:type="character" w:customStyle="1" w:styleId="font961">
    <w:name w:val="font961"/>
    <w:basedOn w:val="a6"/>
    <w:qFormat/>
    <w:rPr>
      <w:rFonts w:ascii="宋体" w:eastAsia="宋体" w:hAnsi="宋体" w:cs="宋体"/>
      <w:color w:val="000987"/>
      <w:sz w:val="12"/>
      <w:szCs w:val="12"/>
      <w:u w:val="none"/>
    </w:rPr>
  </w:style>
  <w:style w:type="character" w:customStyle="1" w:styleId="font971">
    <w:name w:val="font971"/>
    <w:basedOn w:val="a6"/>
    <w:qFormat/>
    <w:rPr>
      <w:rFonts w:ascii="宋体" w:eastAsia="宋体" w:hAnsi="宋体" w:cs="宋体"/>
      <w:color w:val="001E98"/>
      <w:sz w:val="12"/>
      <w:szCs w:val="12"/>
      <w:u w:val="none"/>
    </w:rPr>
  </w:style>
  <w:style w:type="character" w:customStyle="1" w:styleId="font981">
    <w:name w:val="font981"/>
    <w:basedOn w:val="a6"/>
    <w:qFormat/>
    <w:rPr>
      <w:rFonts w:ascii="宋体" w:eastAsia="宋体" w:hAnsi="宋体" w:cs="宋体"/>
      <w:color w:val="001E95"/>
      <w:sz w:val="12"/>
      <w:szCs w:val="12"/>
      <w:u w:val="none"/>
    </w:rPr>
  </w:style>
  <w:style w:type="character" w:customStyle="1" w:styleId="font991">
    <w:name w:val="font991"/>
    <w:basedOn w:val="a6"/>
    <w:qFormat/>
    <w:rPr>
      <w:rFonts w:ascii="宋体" w:eastAsia="宋体" w:hAnsi="宋体" w:cs="宋体"/>
      <w:color w:val="001997"/>
      <w:sz w:val="12"/>
      <w:szCs w:val="12"/>
      <w:u w:val="none"/>
    </w:rPr>
  </w:style>
  <w:style w:type="character" w:customStyle="1" w:styleId="font1001">
    <w:name w:val="font1001"/>
    <w:basedOn w:val="a6"/>
    <w:qFormat/>
    <w:rPr>
      <w:rFonts w:ascii="宋体" w:eastAsia="宋体" w:hAnsi="宋体" w:cs="宋体"/>
      <w:color w:val="000487"/>
      <w:sz w:val="12"/>
      <w:szCs w:val="12"/>
      <w:u w:val="none"/>
    </w:rPr>
  </w:style>
  <w:style w:type="character" w:customStyle="1" w:styleId="font1012">
    <w:name w:val="font1012"/>
    <w:basedOn w:val="a6"/>
    <w:qFormat/>
    <w:rPr>
      <w:rFonts w:ascii="宋体" w:eastAsia="宋体" w:hAnsi="宋体" w:cs="宋体"/>
      <w:color w:val="7C0042"/>
      <w:sz w:val="12"/>
      <w:szCs w:val="12"/>
      <w:u w:val="none"/>
    </w:rPr>
  </w:style>
  <w:style w:type="character" w:customStyle="1" w:styleId="font1021">
    <w:name w:val="font1021"/>
    <w:basedOn w:val="a6"/>
    <w:qFormat/>
    <w:rPr>
      <w:rFonts w:ascii="宋体" w:eastAsia="宋体" w:hAnsi="宋体" w:cs="宋体"/>
      <w:color w:val="8C1C00"/>
      <w:sz w:val="12"/>
      <w:szCs w:val="12"/>
      <w:u w:val="none"/>
    </w:rPr>
  </w:style>
  <w:style w:type="character" w:customStyle="1" w:styleId="font1031">
    <w:name w:val="font1031"/>
    <w:basedOn w:val="a6"/>
    <w:qFormat/>
    <w:rPr>
      <w:rFonts w:ascii="宋体" w:eastAsia="宋体" w:hAnsi="宋体" w:cs="宋体"/>
      <w:color w:val="8F2600"/>
      <w:sz w:val="12"/>
      <w:szCs w:val="12"/>
      <w:u w:val="none"/>
    </w:rPr>
  </w:style>
  <w:style w:type="character" w:customStyle="1" w:styleId="font1041">
    <w:name w:val="font1041"/>
    <w:basedOn w:val="a6"/>
    <w:qFormat/>
    <w:rPr>
      <w:rFonts w:ascii="宋体" w:eastAsia="宋体" w:hAnsi="宋体" w:cs="宋体"/>
      <w:color w:val="0049A9"/>
      <w:sz w:val="12"/>
      <w:szCs w:val="12"/>
      <w:u w:val="none"/>
    </w:rPr>
  </w:style>
  <w:style w:type="character" w:customStyle="1" w:styleId="font1051">
    <w:name w:val="font1051"/>
    <w:basedOn w:val="a6"/>
    <w:qFormat/>
    <w:rPr>
      <w:rFonts w:ascii="宋体" w:eastAsia="宋体" w:hAnsi="宋体" w:cs="宋体"/>
      <w:color w:val="882900"/>
      <w:sz w:val="12"/>
      <w:szCs w:val="12"/>
      <w:u w:val="none"/>
    </w:rPr>
  </w:style>
  <w:style w:type="character" w:customStyle="1" w:styleId="font1191">
    <w:name w:val="font1191"/>
    <w:basedOn w:val="a6"/>
    <w:qFormat/>
    <w:rPr>
      <w:rFonts w:ascii="宋体" w:eastAsia="宋体" w:hAnsi="宋体" w:cs="宋体"/>
      <w:color w:val="937B7F"/>
      <w:sz w:val="12"/>
      <w:szCs w:val="12"/>
      <w:u w:val="none"/>
    </w:rPr>
  </w:style>
  <w:style w:type="character" w:customStyle="1" w:styleId="font1201">
    <w:name w:val="font1201"/>
    <w:basedOn w:val="a6"/>
    <w:qFormat/>
    <w:rPr>
      <w:rFonts w:ascii="宋体" w:eastAsia="宋体" w:hAnsi="宋体" w:cs="宋体"/>
      <w:color w:val="8C0038"/>
      <w:sz w:val="12"/>
      <w:szCs w:val="12"/>
      <w:u w:val="none"/>
    </w:rPr>
  </w:style>
  <w:style w:type="character" w:customStyle="1" w:styleId="font1061">
    <w:name w:val="font1061"/>
    <w:basedOn w:val="a6"/>
    <w:qFormat/>
    <w:rPr>
      <w:rFonts w:ascii="宋体" w:eastAsia="宋体" w:hAnsi="宋体" w:cs="宋体"/>
      <w:color w:val="850035"/>
      <w:sz w:val="12"/>
      <w:szCs w:val="12"/>
      <w:u w:val="none"/>
    </w:rPr>
  </w:style>
  <w:style w:type="character" w:customStyle="1" w:styleId="font1071">
    <w:name w:val="font1071"/>
    <w:basedOn w:val="a6"/>
    <w:qFormat/>
    <w:rPr>
      <w:rFonts w:ascii="宋体" w:eastAsia="宋体" w:hAnsi="宋体" w:cs="宋体"/>
      <w:color w:val="961900"/>
      <w:sz w:val="12"/>
      <w:szCs w:val="12"/>
      <w:u w:val="none"/>
    </w:rPr>
  </w:style>
  <w:style w:type="character" w:customStyle="1" w:styleId="font1081">
    <w:name w:val="font1081"/>
    <w:basedOn w:val="a6"/>
    <w:qFormat/>
    <w:rPr>
      <w:rFonts w:ascii="宋体" w:eastAsia="宋体" w:hAnsi="宋体" w:cs="宋体"/>
      <w:color w:val="7D0D00"/>
      <w:sz w:val="12"/>
      <w:szCs w:val="12"/>
      <w:u w:val="none"/>
    </w:rPr>
  </w:style>
  <w:style w:type="character" w:customStyle="1" w:styleId="font1091">
    <w:name w:val="font1091"/>
    <w:basedOn w:val="a6"/>
    <w:qFormat/>
    <w:rPr>
      <w:rFonts w:ascii="宋体" w:eastAsia="宋体" w:hAnsi="宋体" w:cs="宋体"/>
      <w:color w:val="7C1100"/>
      <w:sz w:val="12"/>
      <w:szCs w:val="12"/>
      <w:u w:val="none"/>
    </w:rPr>
  </w:style>
  <w:style w:type="character" w:customStyle="1" w:styleId="font1101">
    <w:name w:val="font1101"/>
    <w:basedOn w:val="a6"/>
    <w:qFormat/>
    <w:rPr>
      <w:rFonts w:ascii="宋体" w:eastAsia="宋体" w:hAnsi="宋体" w:cs="宋体"/>
      <w:color w:val="952300"/>
      <w:sz w:val="12"/>
      <w:szCs w:val="12"/>
      <w:u w:val="none"/>
    </w:rPr>
  </w:style>
  <w:style w:type="character" w:customStyle="1" w:styleId="font1112">
    <w:name w:val="font1112"/>
    <w:basedOn w:val="a6"/>
    <w:qFormat/>
    <w:rPr>
      <w:rFonts w:ascii="宋体" w:eastAsia="宋体" w:hAnsi="宋体" w:cs="宋体"/>
      <w:color w:val="7D696E"/>
      <w:sz w:val="12"/>
      <w:szCs w:val="12"/>
      <w:u w:val="none"/>
    </w:rPr>
  </w:style>
  <w:style w:type="character" w:customStyle="1" w:styleId="font1121">
    <w:name w:val="font1121"/>
    <w:basedOn w:val="a6"/>
    <w:qFormat/>
    <w:rPr>
      <w:rFonts w:ascii="宋体" w:eastAsia="宋体" w:hAnsi="宋体" w:cs="宋体"/>
      <w:color w:val="901800"/>
      <w:sz w:val="12"/>
      <w:szCs w:val="12"/>
      <w:u w:val="none"/>
    </w:rPr>
  </w:style>
  <w:style w:type="character" w:customStyle="1" w:styleId="font1131">
    <w:name w:val="font1131"/>
    <w:basedOn w:val="a6"/>
    <w:qFormat/>
    <w:rPr>
      <w:rFonts w:ascii="宋体" w:eastAsia="宋体" w:hAnsi="宋体" w:cs="宋体"/>
      <w:color w:val="820034"/>
      <w:sz w:val="12"/>
      <w:szCs w:val="12"/>
      <w:u w:val="none"/>
    </w:rPr>
  </w:style>
  <w:style w:type="character" w:customStyle="1" w:styleId="font1212">
    <w:name w:val="font1212"/>
    <w:basedOn w:val="a6"/>
    <w:qFormat/>
    <w:rPr>
      <w:rFonts w:ascii="宋体" w:eastAsia="宋体" w:hAnsi="宋体" w:cs="宋体"/>
      <w:color w:val="8E0034"/>
      <w:sz w:val="12"/>
      <w:szCs w:val="12"/>
      <w:u w:val="none"/>
    </w:rPr>
  </w:style>
  <w:style w:type="character" w:customStyle="1" w:styleId="font1141">
    <w:name w:val="font1141"/>
    <w:basedOn w:val="a6"/>
    <w:qFormat/>
    <w:rPr>
      <w:rFonts w:ascii="宋体" w:eastAsia="宋体" w:hAnsi="宋体" w:cs="宋体"/>
      <w:color w:val="862400"/>
      <w:sz w:val="12"/>
      <w:szCs w:val="12"/>
      <w:u w:val="none"/>
    </w:rPr>
  </w:style>
  <w:style w:type="character" w:customStyle="1" w:styleId="font1151">
    <w:name w:val="font1151"/>
    <w:basedOn w:val="a6"/>
    <w:qFormat/>
    <w:rPr>
      <w:rFonts w:ascii="宋体" w:eastAsia="宋体" w:hAnsi="宋体" w:cs="宋体"/>
      <w:color w:val="A33100"/>
      <w:sz w:val="12"/>
      <w:szCs w:val="12"/>
      <w:u w:val="none"/>
    </w:rPr>
  </w:style>
  <w:style w:type="character" w:customStyle="1" w:styleId="font1161">
    <w:name w:val="font1161"/>
    <w:basedOn w:val="a6"/>
    <w:qFormat/>
    <w:rPr>
      <w:rFonts w:ascii="宋体" w:eastAsia="宋体" w:hAnsi="宋体" w:cs="宋体"/>
      <w:color w:val="841F00"/>
      <w:sz w:val="12"/>
      <w:szCs w:val="12"/>
      <w:u w:val="none"/>
    </w:rPr>
  </w:style>
  <w:style w:type="character" w:customStyle="1" w:styleId="font1171">
    <w:name w:val="font1171"/>
    <w:basedOn w:val="a6"/>
    <w:qFormat/>
    <w:rPr>
      <w:rFonts w:ascii="宋体" w:eastAsia="宋体" w:hAnsi="宋体" w:cs="宋体"/>
      <w:color w:val="852300"/>
      <w:sz w:val="12"/>
      <w:szCs w:val="12"/>
      <w:u w:val="none"/>
    </w:rPr>
  </w:style>
  <w:style w:type="character" w:customStyle="1" w:styleId="font1181">
    <w:name w:val="font1181"/>
    <w:basedOn w:val="a6"/>
    <w:qFormat/>
    <w:rPr>
      <w:rFonts w:ascii="宋体" w:eastAsia="宋体" w:hAnsi="宋体" w:cs="宋体"/>
      <w:color w:val="A52100"/>
      <w:sz w:val="12"/>
      <w:szCs w:val="12"/>
      <w:u w:val="none"/>
    </w:rPr>
  </w:style>
  <w:style w:type="character" w:customStyle="1" w:styleId="font1222">
    <w:name w:val="font1222"/>
    <w:basedOn w:val="a6"/>
    <w:qFormat/>
    <w:rPr>
      <w:rFonts w:ascii="宋体" w:eastAsia="宋体" w:hAnsi="宋体" w:cs="宋体"/>
      <w:color w:val="8D0000"/>
      <w:sz w:val="12"/>
      <w:szCs w:val="12"/>
      <w:u w:val="none"/>
    </w:rPr>
  </w:style>
  <w:style w:type="character" w:customStyle="1" w:styleId="font1231">
    <w:name w:val="font1231"/>
    <w:basedOn w:val="a6"/>
    <w:qFormat/>
    <w:rPr>
      <w:rFonts w:ascii="宋体" w:eastAsia="宋体" w:hAnsi="宋体" w:cs="宋体"/>
      <w:color w:val="001D8F"/>
      <w:sz w:val="12"/>
      <w:szCs w:val="12"/>
      <w:u w:val="none"/>
    </w:rPr>
  </w:style>
  <w:style w:type="character" w:customStyle="1" w:styleId="font1241">
    <w:name w:val="font1241"/>
    <w:basedOn w:val="a6"/>
    <w:qFormat/>
    <w:rPr>
      <w:rFonts w:ascii="宋体" w:eastAsia="宋体" w:hAnsi="宋体" w:cs="宋体"/>
      <w:color w:val="927500"/>
      <w:sz w:val="12"/>
      <w:szCs w:val="12"/>
      <w:u w:val="none"/>
    </w:rPr>
  </w:style>
  <w:style w:type="character" w:customStyle="1" w:styleId="font1251">
    <w:name w:val="font1251"/>
    <w:basedOn w:val="a6"/>
    <w:qFormat/>
    <w:rPr>
      <w:rFonts w:ascii="宋体" w:eastAsia="宋体" w:hAnsi="宋体" w:cs="宋体"/>
      <w:color w:val="793400"/>
      <w:sz w:val="12"/>
      <w:szCs w:val="12"/>
      <w:u w:val="none"/>
    </w:rPr>
  </w:style>
  <w:style w:type="character" w:customStyle="1" w:styleId="font1261">
    <w:name w:val="font1261"/>
    <w:basedOn w:val="a6"/>
    <w:qFormat/>
    <w:rPr>
      <w:rFonts w:ascii="宋体" w:eastAsia="宋体" w:hAnsi="宋体" w:cs="宋体"/>
      <w:color w:val="9A7600"/>
      <w:sz w:val="12"/>
      <w:szCs w:val="12"/>
      <w:u w:val="none"/>
    </w:rPr>
  </w:style>
  <w:style w:type="character" w:customStyle="1" w:styleId="font1271">
    <w:name w:val="font1271"/>
    <w:basedOn w:val="a6"/>
    <w:qFormat/>
    <w:rPr>
      <w:rFonts w:ascii="宋体" w:eastAsia="宋体" w:hAnsi="宋体" w:cs="宋体"/>
      <w:color w:val="897700"/>
      <w:sz w:val="12"/>
      <w:szCs w:val="12"/>
      <w:u w:val="none"/>
    </w:rPr>
  </w:style>
  <w:style w:type="character" w:customStyle="1" w:styleId="font1281">
    <w:name w:val="font1281"/>
    <w:basedOn w:val="a6"/>
    <w:qFormat/>
    <w:rPr>
      <w:rFonts w:ascii="Calibri" w:hAnsi="Calibri" w:cs="Calibri"/>
      <w:color w:val="001E95"/>
      <w:sz w:val="12"/>
      <w:szCs w:val="12"/>
      <w:u w:val="none"/>
    </w:rPr>
  </w:style>
  <w:style w:type="character" w:customStyle="1" w:styleId="font1291">
    <w:name w:val="font1291"/>
    <w:basedOn w:val="a6"/>
    <w:qFormat/>
    <w:rPr>
      <w:rFonts w:ascii="宋体" w:eastAsia="宋体" w:hAnsi="宋体" w:cs="宋体"/>
      <w:color w:val="001996"/>
      <w:sz w:val="12"/>
      <w:szCs w:val="12"/>
      <w:u w:val="none"/>
    </w:rPr>
  </w:style>
  <w:style w:type="character" w:customStyle="1" w:styleId="font1301">
    <w:name w:val="font1301"/>
    <w:basedOn w:val="a6"/>
    <w:qFormat/>
    <w:rPr>
      <w:rFonts w:ascii="宋体" w:eastAsia="宋体" w:hAnsi="宋体" w:cs="宋体"/>
      <w:color w:val="7A6967"/>
      <w:sz w:val="12"/>
      <w:szCs w:val="12"/>
      <w:u w:val="none"/>
    </w:rPr>
  </w:style>
  <w:style w:type="character" w:customStyle="1" w:styleId="font1312">
    <w:name w:val="font1312"/>
    <w:basedOn w:val="a6"/>
    <w:qFormat/>
    <w:rPr>
      <w:rFonts w:ascii="宋体" w:eastAsia="宋体" w:hAnsi="宋体" w:cs="宋体"/>
      <w:color w:val="840004"/>
      <w:sz w:val="12"/>
      <w:szCs w:val="12"/>
      <w:u w:val="none"/>
    </w:rPr>
  </w:style>
  <w:style w:type="character" w:customStyle="1" w:styleId="font1321">
    <w:name w:val="font1321"/>
    <w:basedOn w:val="a6"/>
    <w:qFormat/>
    <w:rPr>
      <w:rFonts w:ascii="宋体" w:eastAsia="宋体" w:hAnsi="宋体" w:cs="宋体"/>
      <w:color w:val="7F0022"/>
      <w:sz w:val="12"/>
      <w:szCs w:val="12"/>
      <w:u w:val="none"/>
    </w:rPr>
  </w:style>
  <w:style w:type="character" w:customStyle="1" w:styleId="font1331">
    <w:name w:val="font1331"/>
    <w:basedOn w:val="a6"/>
    <w:qFormat/>
    <w:rPr>
      <w:rFonts w:ascii="宋体" w:eastAsia="宋体" w:hAnsi="宋体" w:cs="宋体"/>
      <w:color w:val="887672"/>
      <w:sz w:val="12"/>
      <w:szCs w:val="12"/>
      <w:u w:val="none"/>
    </w:rPr>
  </w:style>
  <w:style w:type="character" w:customStyle="1" w:styleId="font211">
    <w:name w:val="font211"/>
    <w:basedOn w:val="a6"/>
    <w:qFormat/>
    <w:rPr>
      <w:rFonts w:ascii="宋体" w:eastAsia="宋体" w:hAnsi="宋体" w:cs="宋体"/>
      <w:b/>
      <w:bCs/>
      <w:color w:val="000000"/>
      <w:sz w:val="14"/>
      <w:szCs w:val="14"/>
      <w:u w:val="none"/>
    </w:rPr>
  </w:style>
  <w:style w:type="character" w:customStyle="1" w:styleId="font251">
    <w:name w:val="font251"/>
    <w:basedOn w:val="a6"/>
    <w:qFormat/>
    <w:rPr>
      <w:rFonts w:ascii="宋体" w:eastAsia="宋体" w:hAnsi="宋体" w:cs="宋体"/>
      <w:color w:val="A03000"/>
      <w:sz w:val="14"/>
      <w:szCs w:val="14"/>
      <w:u w:val="none"/>
    </w:rPr>
  </w:style>
  <w:style w:type="character" w:customStyle="1" w:styleId="font112">
    <w:name w:val="font112"/>
    <w:basedOn w:val="a6"/>
    <w:qFormat/>
    <w:rPr>
      <w:rFonts w:ascii="宋体" w:eastAsia="宋体" w:hAnsi="宋体" w:cs="宋体"/>
      <w:color w:val="003194"/>
      <w:sz w:val="14"/>
      <w:szCs w:val="14"/>
      <w:u w:val="none"/>
    </w:rPr>
  </w:style>
  <w:style w:type="character" w:customStyle="1" w:styleId="font261">
    <w:name w:val="font261"/>
    <w:basedOn w:val="a6"/>
    <w:qFormat/>
    <w:rPr>
      <w:rFonts w:ascii="宋体" w:eastAsia="宋体" w:hAnsi="宋体" w:cs="宋体"/>
      <w:color w:val="000000"/>
      <w:sz w:val="12"/>
      <w:szCs w:val="12"/>
      <w:u w:val="none"/>
    </w:rPr>
  </w:style>
  <w:style w:type="character" w:customStyle="1" w:styleId="font271">
    <w:name w:val="font271"/>
    <w:basedOn w:val="a6"/>
    <w:qFormat/>
    <w:rPr>
      <w:rFonts w:ascii="宋体" w:eastAsia="宋体" w:hAnsi="宋体" w:cs="宋体"/>
      <w:color w:val="93817C"/>
      <w:sz w:val="14"/>
      <w:szCs w:val="14"/>
      <w:u w:val="none"/>
    </w:rPr>
  </w:style>
  <w:style w:type="character" w:customStyle="1" w:styleId="font281">
    <w:name w:val="font281"/>
    <w:basedOn w:val="a6"/>
    <w:qFormat/>
    <w:rPr>
      <w:rFonts w:ascii="宋体" w:eastAsia="宋体" w:hAnsi="宋体" w:cs="宋体"/>
      <w:color w:val="050097"/>
      <w:sz w:val="14"/>
      <w:szCs w:val="14"/>
      <w:u w:val="none"/>
    </w:rPr>
  </w:style>
  <w:style w:type="character" w:customStyle="1" w:styleId="font291">
    <w:name w:val="font291"/>
    <w:basedOn w:val="a6"/>
    <w:qFormat/>
    <w:rPr>
      <w:rFonts w:ascii="宋体" w:eastAsia="宋体" w:hAnsi="宋体" w:cs="宋体"/>
      <w:color w:val="000E8C"/>
      <w:sz w:val="14"/>
      <w:szCs w:val="14"/>
      <w:u w:val="none"/>
    </w:rPr>
  </w:style>
  <w:style w:type="character" w:customStyle="1" w:styleId="font301">
    <w:name w:val="font301"/>
    <w:basedOn w:val="a6"/>
    <w:qFormat/>
    <w:rPr>
      <w:rFonts w:ascii="宋体" w:eastAsia="宋体" w:hAnsi="宋体" w:cs="宋体"/>
      <w:color w:val="00389A"/>
      <w:sz w:val="14"/>
      <w:szCs w:val="14"/>
      <w:u w:val="none"/>
    </w:rPr>
  </w:style>
  <w:style w:type="character" w:customStyle="1" w:styleId="font221">
    <w:name w:val="font221"/>
    <w:basedOn w:val="a6"/>
    <w:qFormat/>
    <w:rPr>
      <w:rFonts w:ascii="宋体" w:eastAsia="宋体" w:hAnsi="宋体" w:cs="宋体"/>
      <w:color w:val="0021A7"/>
      <w:sz w:val="14"/>
      <w:szCs w:val="14"/>
      <w:u w:val="none"/>
    </w:rPr>
  </w:style>
  <w:style w:type="character" w:customStyle="1" w:styleId="font231">
    <w:name w:val="font231"/>
    <w:basedOn w:val="a6"/>
    <w:qFormat/>
    <w:rPr>
      <w:rFonts w:ascii="宋体" w:eastAsia="宋体" w:hAnsi="宋体" w:cs="宋体"/>
      <w:color w:val="003AAE"/>
      <w:sz w:val="14"/>
      <w:szCs w:val="14"/>
      <w:u w:val="none"/>
    </w:rPr>
  </w:style>
  <w:style w:type="character" w:customStyle="1" w:styleId="font242">
    <w:name w:val="font242"/>
    <w:basedOn w:val="a6"/>
    <w:qFormat/>
    <w:rPr>
      <w:rFonts w:ascii="宋体" w:eastAsia="宋体" w:hAnsi="宋体" w:cs="宋体"/>
      <w:color w:val="0020A0"/>
      <w:sz w:val="14"/>
      <w:szCs w:val="14"/>
      <w:u w:val="none"/>
    </w:rPr>
  </w:style>
  <w:style w:type="character" w:customStyle="1" w:styleId="font471">
    <w:name w:val="font471"/>
    <w:basedOn w:val="a6"/>
    <w:qFormat/>
    <w:rPr>
      <w:rFonts w:ascii="宋体" w:eastAsia="宋体" w:hAnsi="宋体" w:cs="宋体"/>
      <w:b/>
      <w:bCs/>
      <w:color w:val="000000"/>
      <w:sz w:val="30"/>
      <w:szCs w:val="30"/>
      <w:u w:val="none"/>
    </w:rPr>
  </w:style>
  <w:style w:type="character" w:customStyle="1" w:styleId="font481">
    <w:name w:val="font481"/>
    <w:basedOn w:val="a6"/>
    <w:qFormat/>
    <w:rPr>
      <w:rFonts w:ascii="宋体" w:eastAsia="宋体" w:hAnsi="宋体" w:cs="宋体"/>
      <w:color w:val="000000"/>
      <w:sz w:val="30"/>
      <w:szCs w:val="30"/>
      <w:u w:val="none"/>
    </w:rPr>
  </w:style>
  <w:style w:type="character" w:customStyle="1" w:styleId="font431">
    <w:name w:val="font431"/>
    <w:basedOn w:val="a6"/>
    <w:qFormat/>
    <w:rPr>
      <w:rFonts w:ascii="宋体" w:eastAsia="宋体" w:hAnsi="宋体" w:cs="宋体"/>
      <w:color w:val="000000"/>
      <w:sz w:val="16"/>
      <w:szCs w:val="16"/>
      <w:u w:val="none"/>
    </w:rPr>
  </w:style>
  <w:style w:type="character" w:customStyle="1" w:styleId="font441">
    <w:name w:val="font441"/>
    <w:basedOn w:val="a6"/>
    <w:qFormat/>
    <w:rPr>
      <w:rFonts w:ascii="宋体" w:eastAsia="宋体" w:hAnsi="宋体" w:cs="宋体"/>
      <w:color w:val="000000"/>
      <w:sz w:val="18"/>
      <w:szCs w:val="18"/>
      <w:u w:val="none"/>
    </w:rPr>
  </w:style>
  <w:style w:type="character" w:customStyle="1" w:styleId="font451">
    <w:name w:val="font451"/>
    <w:basedOn w:val="a6"/>
    <w:qFormat/>
    <w:rPr>
      <w:rFonts w:ascii="宋体" w:eastAsia="宋体" w:hAnsi="宋体" w:cs="宋体"/>
      <w:color w:val="000000"/>
      <w:sz w:val="14"/>
      <w:szCs w:val="14"/>
      <w:u w:val="none"/>
    </w:rPr>
  </w:style>
  <w:style w:type="character" w:customStyle="1" w:styleId="font32">
    <w:name w:val="font32"/>
    <w:basedOn w:val="a6"/>
    <w:qFormat/>
    <w:rPr>
      <w:rFonts w:ascii="宋体" w:eastAsia="宋体" w:hAnsi="宋体" w:cs="宋体"/>
      <w:color w:val="002791"/>
      <w:sz w:val="14"/>
      <w:szCs w:val="14"/>
      <w:u w:val="none"/>
    </w:rPr>
  </w:style>
  <w:style w:type="character" w:customStyle="1" w:styleId="font311">
    <w:name w:val="font311"/>
    <w:basedOn w:val="a6"/>
    <w:qFormat/>
    <w:rPr>
      <w:rFonts w:ascii="宋体" w:eastAsia="宋体" w:hAnsi="宋体" w:cs="宋体"/>
      <w:color w:val="002896"/>
      <w:sz w:val="14"/>
      <w:szCs w:val="14"/>
      <w:u w:val="none"/>
    </w:rPr>
  </w:style>
  <w:style w:type="character" w:customStyle="1" w:styleId="font491">
    <w:name w:val="font491"/>
    <w:basedOn w:val="a6"/>
    <w:qFormat/>
    <w:rPr>
      <w:rFonts w:ascii="宋体" w:eastAsia="宋体" w:hAnsi="宋体" w:cs="宋体"/>
      <w:color w:val="000000"/>
      <w:sz w:val="26"/>
      <w:szCs w:val="26"/>
      <w:u w:val="none"/>
    </w:rPr>
  </w:style>
  <w:style w:type="character" w:customStyle="1" w:styleId="font322">
    <w:name w:val="font322"/>
    <w:basedOn w:val="a6"/>
    <w:qFormat/>
    <w:rPr>
      <w:rFonts w:ascii="宋体" w:eastAsia="宋体" w:hAnsi="宋体" w:cs="宋体"/>
      <w:color w:val="002897"/>
      <w:sz w:val="14"/>
      <w:szCs w:val="14"/>
      <w:u w:val="none"/>
    </w:rPr>
  </w:style>
  <w:style w:type="character" w:customStyle="1" w:styleId="font461">
    <w:name w:val="font461"/>
    <w:basedOn w:val="a6"/>
    <w:qFormat/>
    <w:rPr>
      <w:rFonts w:ascii="宋体" w:eastAsia="宋体" w:hAnsi="宋体" w:cs="宋体"/>
      <w:color w:val="00308F"/>
      <w:sz w:val="14"/>
      <w:szCs w:val="14"/>
      <w:u w:val="none"/>
    </w:rPr>
  </w:style>
  <w:style w:type="character" w:customStyle="1" w:styleId="font331">
    <w:name w:val="font331"/>
    <w:basedOn w:val="a6"/>
    <w:qFormat/>
    <w:rPr>
      <w:rFonts w:ascii="宋体" w:eastAsia="宋体" w:hAnsi="宋体" w:cs="宋体"/>
      <w:color w:val="00299B"/>
      <w:sz w:val="14"/>
      <w:szCs w:val="14"/>
      <w:u w:val="none"/>
    </w:rPr>
  </w:style>
  <w:style w:type="character" w:customStyle="1" w:styleId="font241">
    <w:name w:val="font241"/>
    <w:basedOn w:val="a6"/>
    <w:qFormat/>
    <w:rPr>
      <w:rFonts w:ascii="宋体" w:eastAsia="宋体" w:hAnsi="宋体" w:cs="宋体"/>
      <w:color w:val="003297"/>
      <w:sz w:val="14"/>
      <w:szCs w:val="14"/>
      <w:u w:val="none"/>
    </w:rPr>
  </w:style>
  <w:style w:type="character" w:customStyle="1" w:styleId="font42">
    <w:name w:val="font42"/>
    <w:basedOn w:val="a6"/>
    <w:qFormat/>
    <w:rPr>
      <w:rFonts w:ascii="宋体" w:eastAsia="宋体" w:hAnsi="宋体" w:cs="宋体"/>
      <w:color w:val="00349B"/>
      <w:sz w:val="14"/>
      <w:szCs w:val="14"/>
      <w:u w:val="none"/>
    </w:rPr>
  </w:style>
  <w:style w:type="character" w:customStyle="1" w:styleId="font341">
    <w:name w:val="font341"/>
    <w:basedOn w:val="a6"/>
    <w:qFormat/>
    <w:rPr>
      <w:rFonts w:ascii="宋体" w:eastAsia="宋体" w:hAnsi="宋体" w:cs="宋体"/>
      <w:color w:val="002A9C"/>
      <w:sz w:val="14"/>
      <w:szCs w:val="14"/>
      <w:u w:val="none"/>
    </w:rPr>
  </w:style>
  <w:style w:type="character" w:customStyle="1" w:styleId="font122">
    <w:name w:val="font122"/>
    <w:basedOn w:val="a6"/>
    <w:qFormat/>
    <w:rPr>
      <w:rFonts w:ascii="宋体" w:eastAsia="宋体" w:hAnsi="宋体" w:cs="宋体"/>
      <w:color w:val="001D90"/>
      <w:sz w:val="16"/>
      <w:szCs w:val="16"/>
      <w:u w:val="none"/>
    </w:rPr>
  </w:style>
  <w:style w:type="character" w:customStyle="1" w:styleId="font351">
    <w:name w:val="font351"/>
    <w:basedOn w:val="a6"/>
    <w:qFormat/>
    <w:rPr>
      <w:rFonts w:ascii="宋体" w:eastAsia="宋体" w:hAnsi="宋体" w:cs="宋体"/>
      <w:color w:val="002897"/>
      <w:sz w:val="16"/>
      <w:szCs w:val="16"/>
      <w:u w:val="none"/>
    </w:rPr>
  </w:style>
  <w:style w:type="character" w:customStyle="1" w:styleId="font361">
    <w:name w:val="font361"/>
    <w:basedOn w:val="a6"/>
    <w:qFormat/>
    <w:rPr>
      <w:rFonts w:ascii="宋体" w:eastAsia="宋体" w:hAnsi="宋体" w:cs="宋体"/>
      <w:color w:val="0025A0"/>
      <w:sz w:val="16"/>
      <w:szCs w:val="16"/>
      <w:u w:val="none"/>
    </w:rPr>
  </w:style>
  <w:style w:type="character" w:customStyle="1" w:styleId="font371">
    <w:name w:val="font371"/>
    <w:basedOn w:val="a6"/>
    <w:qFormat/>
    <w:rPr>
      <w:rFonts w:ascii="宋体" w:eastAsia="宋体" w:hAnsi="宋体" w:cs="宋体"/>
      <w:color w:val="002A9C"/>
      <w:sz w:val="16"/>
      <w:szCs w:val="16"/>
      <w:u w:val="none"/>
    </w:rPr>
  </w:style>
  <w:style w:type="character" w:customStyle="1" w:styleId="font381">
    <w:name w:val="font381"/>
    <w:basedOn w:val="a6"/>
    <w:qFormat/>
    <w:rPr>
      <w:rFonts w:ascii="宋体" w:eastAsia="宋体" w:hAnsi="宋体" w:cs="宋体"/>
      <w:color w:val="00299B"/>
      <w:sz w:val="16"/>
      <w:szCs w:val="16"/>
      <w:u w:val="none"/>
    </w:rPr>
  </w:style>
  <w:style w:type="character" w:customStyle="1" w:styleId="font212">
    <w:name w:val="font212"/>
    <w:basedOn w:val="a6"/>
    <w:qFormat/>
    <w:rPr>
      <w:rFonts w:ascii="宋体" w:eastAsia="宋体" w:hAnsi="宋体" w:cs="宋体"/>
      <w:color w:val="7C6871"/>
      <w:sz w:val="14"/>
      <w:szCs w:val="14"/>
      <w:u w:val="none"/>
    </w:rPr>
  </w:style>
  <w:style w:type="character" w:customStyle="1" w:styleId="font401">
    <w:name w:val="font401"/>
    <w:basedOn w:val="a6"/>
    <w:qFormat/>
    <w:rPr>
      <w:rFonts w:ascii="宋体" w:eastAsia="宋体" w:hAnsi="宋体" w:cs="宋体"/>
      <w:color w:val="7A0051"/>
      <w:sz w:val="14"/>
      <w:szCs w:val="14"/>
      <w:u w:val="none"/>
    </w:rPr>
  </w:style>
  <w:style w:type="character" w:customStyle="1" w:styleId="3240">
    <w:name w:val="标题 3 字符24"/>
    <w:unhideWhenUsed/>
    <w:qFormat/>
    <w:rPr>
      <w:rFonts w:hint="default"/>
      <w:b/>
      <w:kern w:val="2"/>
      <w:sz w:val="32"/>
      <w:szCs w:val="24"/>
    </w:rPr>
  </w:style>
  <w:style w:type="character" w:customStyle="1" w:styleId="263">
    <w:name w:val="正文缩进 字符26"/>
    <w:unhideWhenUsed/>
    <w:qFormat/>
    <w:rPr>
      <w:rFonts w:hint="default"/>
      <w:kern w:val="2"/>
      <w:sz w:val="21"/>
      <w:szCs w:val="24"/>
    </w:rPr>
  </w:style>
  <w:style w:type="character" w:customStyle="1" w:styleId="325">
    <w:name w:val="标题 3 字符25"/>
    <w:link w:val="310"/>
    <w:unhideWhenUsed/>
    <w:qFormat/>
    <w:rPr>
      <w:rFonts w:hint="default"/>
      <w:b/>
      <w:kern w:val="2"/>
      <w:sz w:val="32"/>
      <w:szCs w:val="24"/>
    </w:rPr>
  </w:style>
  <w:style w:type="character" w:customStyle="1" w:styleId="270">
    <w:name w:val="正文缩进 字符27"/>
    <w:link w:val="1b"/>
    <w:unhideWhenUsed/>
    <w:qFormat/>
    <w:rPr>
      <w:rFonts w:hint="default"/>
      <w:kern w:val="2"/>
      <w:sz w:val="21"/>
      <w:szCs w:val="24"/>
    </w:rPr>
  </w:style>
  <w:style w:type="character" w:customStyle="1" w:styleId="font111">
    <w:name w:val="font111"/>
    <w:basedOn w:val="a6"/>
    <w:qFormat/>
    <w:rPr>
      <w:rFonts w:ascii="宋体" w:eastAsia="宋体" w:hAnsi="宋体" w:cs="宋体"/>
      <w:color w:val="000486"/>
      <w:sz w:val="18"/>
      <w:szCs w:val="18"/>
      <w:u w:val="none"/>
    </w:rPr>
  </w:style>
  <w:style w:type="table" w:customStyle="1" w:styleId="66">
    <w:name w:val="网格型6"/>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21">
    <w:name w:val="font121"/>
    <w:basedOn w:val="a6"/>
    <w:qFormat/>
    <w:rPr>
      <w:rFonts w:ascii="宋体" w:eastAsia="宋体" w:hAnsi="宋体" w:cs="宋体"/>
      <w:b/>
      <w:bCs/>
      <w:color w:val="000000"/>
      <w:sz w:val="14"/>
      <w:szCs w:val="14"/>
      <w:u w:val="none"/>
    </w:rPr>
  </w:style>
  <w:style w:type="paragraph" w:customStyle="1" w:styleId="0A">
    <w:name w:val="0A 小四正文"/>
    <w:unhideWhenUsed/>
    <w:qFormat/>
    <w:pPr>
      <w:widowControl w:val="0"/>
      <w:snapToGrid w:val="0"/>
      <w:spacing w:line="500" w:lineRule="exact"/>
      <w:ind w:firstLineChars="200" w:firstLine="480"/>
      <w:jc w:val="both"/>
    </w:pPr>
    <w:rPr>
      <w:rFonts w:hint="eastAsia"/>
      <w:kern w:val="2"/>
      <w:sz w:val="24"/>
      <w:szCs w:val="24"/>
    </w:rPr>
  </w:style>
  <w:style w:type="paragraph" w:customStyle="1" w:styleId="1fffffff">
    <w:name w:val="修订1"/>
    <w:hidden/>
    <w:uiPriority w:val="99"/>
    <w:unhideWhenUsed/>
    <w:qFormat/>
    <w:rPr>
      <w:rFonts w:hint="eastAsia"/>
      <w:sz w:val="21"/>
    </w:rPr>
  </w:style>
  <w:style w:type="paragraph" w:customStyle="1" w:styleId="TOC10">
    <w:name w:val="TOC 标题1"/>
    <w:basedOn w:val="1"/>
    <w:next w:val="a3"/>
    <w:uiPriority w:val="39"/>
    <w:unhideWhenUsed/>
    <w:qFormat/>
    <w:pPr>
      <w:widowControl/>
      <w:spacing w:line="276" w:lineRule="auto"/>
      <w:jc w:val="left"/>
    </w:pPr>
    <w:rPr>
      <w:rFonts w:ascii="Cambria" w:hAnsi="Cambria"/>
      <w:color w:val="365F91"/>
      <w:sz w:val="28"/>
      <w:szCs w:val="28"/>
    </w:rPr>
  </w:style>
  <w:style w:type="paragraph" w:customStyle="1" w:styleId="6CharCharCharChar">
    <w:name w:val="6 Char Char Char Char"/>
    <w:basedOn w:val="a3"/>
    <w:unhideWhenUsed/>
    <w:qFormat/>
    <w:pPr>
      <w:widowControl/>
      <w:jc w:val="left"/>
    </w:pPr>
    <w:rPr>
      <w:rFonts w:ascii="宋体" w:hAnsi="宋体" w:cs="宋体" w:hint="eastAsia"/>
      <w:sz w:val="21"/>
      <w:szCs w:val="24"/>
    </w:rPr>
  </w:style>
  <w:style w:type="paragraph" w:customStyle="1" w:styleId="j">
    <w:name w:val="正文j"/>
    <w:basedOn w:val="a3"/>
    <w:unhideWhenUsed/>
    <w:qFormat/>
    <w:pPr>
      <w:widowControl/>
      <w:jc w:val="left"/>
    </w:pPr>
    <w:rPr>
      <w:rFonts w:ascii="宋体" w:hAnsi="宋体" w:cs="宋体" w:hint="eastAsia"/>
      <w:sz w:val="28"/>
      <w:szCs w:val="20"/>
    </w:rPr>
  </w:style>
  <w:style w:type="paragraph" w:customStyle="1" w:styleId="afffffffffffffffffffffffff2">
    <w:name w:val="表格文字小四号"/>
    <w:basedOn w:val="a3"/>
    <w:unhideWhenUsed/>
    <w:qFormat/>
    <w:pPr>
      <w:widowControl/>
      <w:spacing w:line="320" w:lineRule="exact"/>
      <w:jc w:val="center"/>
    </w:pPr>
    <w:rPr>
      <w:rFonts w:ascii="宋体" w:hAnsi="宋体" w:cs="宋体" w:hint="eastAsia"/>
      <w:szCs w:val="18"/>
    </w:rPr>
  </w:style>
  <w:style w:type="paragraph" w:customStyle="1" w:styleId="3232">
    <w:name w:val="正文3 + 首行缩进:  2 字符3 + 首行缩进:  2 字符"/>
    <w:basedOn w:val="a3"/>
    <w:unhideWhenUsed/>
    <w:qFormat/>
    <w:pPr>
      <w:widowControl/>
      <w:suppressAutoHyphens/>
      <w:overflowPunct w:val="0"/>
      <w:topLinePunct/>
      <w:spacing w:line="480" w:lineRule="exact"/>
      <w:ind w:firstLine="501"/>
      <w:jc w:val="left"/>
    </w:pPr>
    <w:rPr>
      <w:rFonts w:ascii="宋体" w:hAnsi="宋体" w:cs="宋体" w:hint="eastAsia"/>
      <w:szCs w:val="24"/>
      <w:lang w:val="zh-CN"/>
    </w:rPr>
  </w:style>
  <w:style w:type="paragraph" w:customStyle="1" w:styleId="afffffffffffffffffffffffff3">
    <w:name w:val="扉页"/>
    <w:basedOn w:val="a3"/>
    <w:unhideWhenUsed/>
    <w:qFormat/>
    <w:pPr>
      <w:widowControl/>
      <w:tabs>
        <w:tab w:val="left" w:pos="606"/>
      </w:tabs>
      <w:autoSpaceDE w:val="0"/>
      <w:autoSpaceDN w:val="0"/>
      <w:spacing w:line="520" w:lineRule="exact"/>
      <w:ind w:firstLine="454"/>
      <w:jc w:val="left"/>
    </w:pPr>
    <w:rPr>
      <w:rFonts w:ascii="宋体" w:hAnsi="宋体" w:cs="宋体" w:hint="eastAsia"/>
      <w:szCs w:val="24"/>
    </w:rPr>
  </w:style>
  <w:style w:type="paragraph" w:customStyle="1" w:styleId="323221">
    <w:name w:val="样式 正文3 + 首行缩进:  2 字符3 + 首行缩进:  2 字符 + 首行缩进:  2 字符1"/>
    <w:basedOn w:val="3232"/>
    <w:unhideWhenUsed/>
    <w:qFormat/>
    <w:pPr>
      <w:ind w:firstLine="469"/>
    </w:pPr>
    <w:rPr>
      <w:szCs w:val="20"/>
    </w:rPr>
  </w:style>
  <w:style w:type="paragraph" w:customStyle="1" w:styleId="3013424">
    <w:name w:val="样式 标题 3 + 黑体 小四 段前: 0 磅 段后: 13.4 磅 行距: 固定值 24 磅"/>
    <w:basedOn w:val="31"/>
    <w:unhideWhenUsed/>
    <w:qFormat/>
    <w:pPr>
      <w:widowControl/>
      <w:spacing w:before="50" w:after="240" w:line="480" w:lineRule="exact"/>
      <w:jc w:val="left"/>
    </w:pPr>
    <w:rPr>
      <w:rFonts w:ascii="黑体" w:hAnsi="宋体" w:cs="宋体"/>
      <w:sz w:val="28"/>
      <w:szCs w:val="20"/>
    </w:rPr>
  </w:style>
  <w:style w:type="paragraph" w:customStyle="1" w:styleId="30134240">
    <w:name w:val="样式 标题 3 + 黑体 小四 红色 段前: 0 磅 段后: 13.4 磅 行距: 固定值 24 磅"/>
    <w:basedOn w:val="31"/>
    <w:unhideWhenUsed/>
    <w:qFormat/>
    <w:pPr>
      <w:widowControl/>
      <w:spacing w:before="50" w:after="240" w:line="480" w:lineRule="exact"/>
      <w:jc w:val="left"/>
    </w:pPr>
    <w:rPr>
      <w:rFonts w:ascii="黑体" w:eastAsia="黑体" w:hAnsi="宋体" w:cs="宋体"/>
      <w:color w:val="FF0000"/>
      <w:sz w:val="28"/>
      <w:szCs w:val="20"/>
    </w:rPr>
  </w:style>
  <w:style w:type="paragraph" w:customStyle="1" w:styleId="3013424050">
    <w:name w:val="样式 样式 标题 3 + 黑体 小四 红色 段前: 0 磅 段后: 13.4 磅 行距: 固定值 24 磅 + 段前: 0.5 行"/>
    <w:basedOn w:val="31"/>
    <w:unhideWhenUsed/>
    <w:qFormat/>
    <w:pPr>
      <w:widowControl/>
      <w:spacing w:before="260" w:after="260" w:line="416" w:lineRule="auto"/>
      <w:jc w:val="left"/>
    </w:pPr>
    <w:rPr>
      <w:rFonts w:ascii="宋体" w:hAnsi="宋体" w:cs="宋体"/>
    </w:rPr>
  </w:style>
  <w:style w:type="paragraph" w:customStyle="1" w:styleId="301342400">
    <w:name w:val="样式 样式 样式 标题 3 + 黑体 小四 红色 段前: 0 磅 段后: 13.4 磅 行距: 固定值 24 磅 + 段前: 0..."/>
    <w:basedOn w:val="3013424050"/>
    <w:next w:val="a3"/>
    <w:unhideWhenUsed/>
    <w:qFormat/>
    <w:pPr>
      <w:spacing w:before="120" w:after="240" w:line="415" w:lineRule="auto"/>
    </w:pPr>
    <w:rPr>
      <w:sz w:val="28"/>
    </w:rPr>
  </w:style>
  <w:style w:type="paragraph" w:customStyle="1" w:styleId="307824">
    <w:name w:val="样式 标题 3 + 黑体 小四 红色 段前: 0 磅 段后: 7.8 磅 行距: 固定值 24 磅"/>
    <w:basedOn w:val="31"/>
    <w:unhideWhenUsed/>
    <w:qFormat/>
    <w:pPr>
      <w:widowControl/>
      <w:spacing w:before="50" w:after="240" w:line="480" w:lineRule="exact"/>
      <w:jc w:val="left"/>
    </w:pPr>
    <w:rPr>
      <w:rFonts w:ascii="黑体" w:hAnsi="宋体" w:cs="宋体"/>
      <w:color w:val="000000"/>
      <w:sz w:val="28"/>
      <w:szCs w:val="20"/>
    </w:rPr>
  </w:style>
  <w:style w:type="paragraph" w:customStyle="1" w:styleId="30782405">
    <w:name w:val="样式 样式 标题 3 + 黑体 小四 红色 段前: 0 磅 段后: 7.8 磅 行距: 固定值 24 磅 + 段前: 0.5 行"/>
    <w:basedOn w:val="307824"/>
    <w:unhideWhenUsed/>
    <w:qFormat/>
    <w:pPr>
      <w:spacing w:line="415" w:lineRule="auto"/>
    </w:pPr>
  </w:style>
  <w:style w:type="paragraph" w:customStyle="1" w:styleId="-40">
    <w:name w:val="报告正文-4号字"/>
    <w:basedOn w:val="a3"/>
    <w:unhideWhenUsed/>
    <w:qFormat/>
    <w:pPr>
      <w:keepNext/>
      <w:widowControl/>
      <w:spacing w:line="500" w:lineRule="exact"/>
      <w:jc w:val="left"/>
    </w:pPr>
    <w:rPr>
      <w:rFonts w:ascii="宋体" w:hAnsi="宋体" w:cs="宋体" w:hint="eastAsia"/>
      <w:sz w:val="28"/>
      <w:szCs w:val="24"/>
    </w:rPr>
  </w:style>
  <w:style w:type="paragraph" w:customStyle="1" w:styleId="025">
    <w:name w:val="样式 表格 + 段后: 0.25 行"/>
    <w:unhideWhenUsed/>
    <w:qFormat/>
    <w:pPr>
      <w:keepNext/>
      <w:spacing w:before="60" w:afterLines="25" w:after="25"/>
    </w:pPr>
    <w:rPr>
      <w:rFonts w:ascii="宋体" w:hAnsi="宋体" w:cs="宋体" w:hint="eastAsia"/>
      <w:sz w:val="21"/>
    </w:rPr>
  </w:style>
  <w:style w:type="paragraph" w:customStyle="1" w:styleId="Char90">
    <w:name w:val="Char9"/>
    <w:basedOn w:val="a3"/>
    <w:unhideWhenUsed/>
    <w:qFormat/>
    <w:pPr>
      <w:widowControl/>
      <w:jc w:val="left"/>
    </w:pPr>
    <w:rPr>
      <w:rFonts w:ascii="宋体" w:hAnsi="宋体" w:cs="宋体" w:hint="eastAsia"/>
      <w:sz w:val="21"/>
      <w:szCs w:val="24"/>
    </w:rPr>
  </w:style>
  <w:style w:type="paragraph" w:customStyle="1" w:styleId="11CharCharCharCharCharCharChar">
    <w:name w:val="样式 标题 1标题 1 Char Char Char Char Char Char Char + 宋体 小四 两端对齐 ..."/>
    <w:basedOn w:val="1"/>
    <w:unhideWhenUsed/>
    <w:qFormat/>
    <w:pPr>
      <w:pageBreakBefore/>
      <w:widowControl/>
      <w:spacing w:beforeLines="50" w:before="120" w:after="120" w:line="480" w:lineRule="exact"/>
    </w:pPr>
    <w:rPr>
      <w:rFonts w:ascii="宋体" w:hAnsi="宋体" w:cs="宋体"/>
      <w:sz w:val="24"/>
      <w:szCs w:val="20"/>
    </w:rPr>
  </w:style>
  <w:style w:type="paragraph" w:customStyle="1" w:styleId="1330">
    <w:name w:val="样式 13 磅 黑色 行距: 固定值 30 磅"/>
    <w:basedOn w:val="a3"/>
    <w:unhideWhenUsed/>
    <w:qFormat/>
    <w:pPr>
      <w:widowControl/>
      <w:ind w:firstLine="520"/>
      <w:jc w:val="left"/>
    </w:pPr>
    <w:rPr>
      <w:rFonts w:ascii="宋体" w:hAnsi="宋体" w:cs="宋体" w:hint="eastAsia"/>
      <w:sz w:val="26"/>
      <w:szCs w:val="20"/>
    </w:rPr>
  </w:style>
  <w:style w:type="paragraph" w:customStyle="1" w:styleId="afffffffffffffffffffffffff4">
    <w:name w:val="封皮"/>
    <w:basedOn w:val="a3"/>
    <w:link w:val="Charfffffff2"/>
    <w:unhideWhenUsed/>
    <w:qFormat/>
    <w:pPr>
      <w:adjustRightInd w:val="0"/>
      <w:snapToGrid w:val="0"/>
      <w:ind w:firstLine="843"/>
      <w:jc w:val="center"/>
    </w:pPr>
    <w:rPr>
      <w:rFonts w:cs="宋体" w:hint="eastAsia"/>
      <w:b/>
      <w:sz w:val="42"/>
      <w:szCs w:val="20"/>
    </w:rPr>
  </w:style>
  <w:style w:type="paragraph" w:customStyle="1" w:styleId="1fffffff0">
    <w:name w:val="样式 1"/>
    <w:link w:val="1Charf0"/>
    <w:unhideWhenUsed/>
    <w:qFormat/>
    <w:pPr>
      <w:ind w:firstLine="600"/>
    </w:pPr>
    <w:rPr>
      <w:rFonts w:ascii="仿宋_GB2312" w:eastAsia="仿宋_GB2312" w:hint="eastAsia"/>
      <w:kern w:val="2"/>
      <w:sz w:val="30"/>
      <w:szCs w:val="30"/>
    </w:rPr>
  </w:style>
  <w:style w:type="paragraph" w:customStyle="1" w:styleId="Afffffffffffffffffffffffff5">
    <w:name w:val="正文 A"/>
    <w:unhideWhenUsed/>
    <w:qFormat/>
    <w:rPr>
      <w:rFonts w:ascii="宋体" w:hAnsi="宋体" w:cs="宋体" w:hint="eastAsia"/>
      <w:color w:val="000000"/>
      <w:sz w:val="24"/>
      <w:szCs w:val="24"/>
      <w:u w:color="000000"/>
    </w:rPr>
  </w:style>
  <w:style w:type="paragraph" w:customStyle="1" w:styleId="3013424051">
    <w:name w:val="样式 样式 样式 标题 3 + 黑体 小四 段前: 0 磅 段后: 13.4 磅 行距: 固定值 24 磅 + 段前: 0.5 ..."/>
    <w:basedOn w:val="301342405"/>
    <w:unhideWhenUsed/>
    <w:qFormat/>
    <w:pPr>
      <w:widowControl w:val="0"/>
      <w:spacing w:before="120"/>
      <w:jc w:val="both"/>
    </w:pPr>
    <w:rPr>
      <w:rFonts w:hint="eastAsia"/>
      <w:sz w:val="24"/>
    </w:rPr>
  </w:style>
  <w:style w:type="paragraph" w:customStyle="1" w:styleId="4fe">
    <w:name w:val="4级"/>
    <w:basedOn w:val="a3"/>
    <w:unhideWhenUsed/>
    <w:qFormat/>
    <w:pPr>
      <w:widowControl/>
      <w:jc w:val="left"/>
      <w:outlineLvl w:val="4"/>
    </w:pPr>
    <w:rPr>
      <w:rFonts w:eastAsia="仿宋_GB2312" w:hint="eastAsia"/>
      <w:sz w:val="28"/>
      <w:szCs w:val="20"/>
    </w:rPr>
  </w:style>
  <w:style w:type="paragraph" w:customStyle="1" w:styleId="afffffffffffffffffffffffff6">
    <w:name w:val="默认段落"/>
    <w:basedOn w:val="a3"/>
    <w:link w:val="Charfffffff3"/>
    <w:unhideWhenUsed/>
    <w:qFormat/>
    <w:pPr>
      <w:topLinePunct/>
      <w:adjustRightInd w:val="0"/>
      <w:snapToGrid w:val="0"/>
    </w:pPr>
    <w:rPr>
      <w:rFonts w:hint="eastAsia"/>
      <w:szCs w:val="24"/>
      <w:lang w:val="zh-CN"/>
    </w:rPr>
  </w:style>
  <w:style w:type="paragraph" w:customStyle="1" w:styleId="Char80">
    <w:name w:val="Char8"/>
    <w:basedOn w:val="a3"/>
    <w:unhideWhenUsed/>
    <w:qFormat/>
    <w:pPr>
      <w:widowControl/>
      <w:jc w:val="left"/>
    </w:pPr>
    <w:rPr>
      <w:rFonts w:ascii="宋体" w:hAnsi="宋体" w:cs="宋体" w:hint="eastAsia"/>
      <w:sz w:val="21"/>
      <w:szCs w:val="24"/>
    </w:rPr>
  </w:style>
  <w:style w:type="paragraph" w:customStyle="1" w:styleId="msonormal0">
    <w:name w:val="msonormal"/>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fff7">
    <w:name w:val="表头A"/>
    <w:basedOn w:val="a3"/>
    <w:unhideWhenUsed/>
    <w:qFormat/>
    <w:pPr>
      <w:spacing w:after="200" w:line="400" w:lineRule="exact"/>
      <w:ind w:firstLine="420"/>
      <w:jc w:val="center"/>
    </w:pPr>
    <w:rPr>
      <w:rFonts w:hint="eastAsia"/>
      <w:sz w:val="21"/>
      <w:szCs w:val="22"/>
    </w:rPr>
  </w:style>
  <w:style w:type="paragraph" w:customStyle="1" w:styleId="1fffffff1">
    <w:name w:val="正文文本1"/>
    <w:basedOn w:val="a3"/>
    <w:link w:val="Char1ff6"/>
    <w:unhideWhenUsed/>
    <w:qFormat/>
    <w:pPr>
      <w:widowControl/>
      <w:spacing w:after="120"/>
      <w:jc w:val="left"/>
    </w:pPr>
    <w:rPr>
      <w:rFonts w:hint="eastAsia"/>
      <w:szCs w:val="24"/>
    </w:rPr>
  </w:style>
  <w:style w:type="paragraph" w:customStyle="1" w:styleId="0A16">
    <w:name w:val="0A 表格内文字小五16"/>
    <w:unhideWhenUsed/>
    <w:qFormat/>
    <w:pPr>
      <w:snapToGrid w:val="0"/>
      <w:spacing w:line="320" w:lineRule="exact"/>
      <w:jc w:val="center"/>
    </w:pPr>
    <w:rPr>
      <w:rFonts w:hint="eastAsia"/>
      <w:spacing w:val="5"/>
      <w:kern w:val="2"/>
      <w:sz w:val="18"/>
      <w:szCs w:val="21"/>
      <w:lang w:bidi="he-IL"/>
    </w:rPr>
  </w:style>
  <w:style w:type="character" w:customStyle="1" w:styleId="1fffffff2">
    <w:name w:val="不明显强调1"/>
    <w:uiPriority w:val="19"/>
    <w:unhideWhenUsed/>
    <w:qFormat/>
    <w:rPr>
      <w:rFonts w:hint="default"/>
      <w:i/>
      <w:color w:val="808080"/>
      <w:sz w:val="24"/>
      <w:szCs w:val="24"/>
    </w:rPr>
  </w:style>
  <w:style w:type="character" w:customStyle="1" w:styleId="5Char0">
    <w:name w:val="5级正文 Char"/>
    <w:link w:val="57"/>
    <w:unhideWhenUsed/>
    <w:qFormat/>
    <w:rPr>
      <w:rFonts w:hint="default"/>
      <w:b/>
      <w:kern w:val="2"/>
      <w:sz w:val="24"/>
      <w:szCs w:val="24"/>
    </w:rPr>
  </w:style>
  <w:style w:type="character" w:customStyle="1" w:styleId="1fffffff3">
    <w:name w:val="明显强调1"/>
    <w:unhideWhenUsed/>
    <w:qFormat/>
    <w:rPr>
      <w:rFonts w:eastAsia="黑体" w:hint="default"/>
      <w:color w:val="auto"/>
      <w:sz w:val="21"/>
      <w:szCs w:val="24"/>
    </w:rPr>
  </w:style>
  <w:style w:type="character" w:customStyle="1" w:styleId="1fffffff4">
    <w:name w:val="不明显参考1"/>
    <w:unhideWhenUsed/>
    <w:qFormat/>
    <w:rPr>
      <w:rFonts w:hint="default"/>
      <w:smallCaps/>
      <w:color w:val="C0504D"/>
      <w:sz w:val="24"/>
      <w:szCs w:val="24"/>
      <w:u w:val="single"/>
    </w:rPr>
  </w:style>
  <w:style w:type="character" w:customStyle="1" w:styleId="1fffffff5">
    <w:name w:val="明显参考1"/>
    <w:unhideWhenUsed/>
    <w:qFormat/>
    <w:rPr>
      <w:rFonts w:hint="default"/>
      <w:b/>
      <w:smallCaps/>
      <w:color w:val="C0504D"/>
      <w:spacing w:val="5"/>
      <w:sz w:val="24"/>
      <w:szCs w:val="24"/>
      <w:u w:val="single"/>
    </w:rPr>
  </w:style>
  <w:style w:type="character" w:customStyle="1" w:styleId="1fffffff6">
    <w:name w:val="书籍标题1"/>
    <w:unhideWhenUsed/>
    <w:qFormat/>
    <w:rPr>
      <w:rFonts w:hint="default"/>
      <w:b/>
      <w:smallCaps/>
      <w:spacing w:val="5"/>
      <w:sz w:val="24"/>
      <w:szCs w:val="24"/>
    </w:rPr>
  </w:style>
  <w:style w:type="character" w:customStyle="1" w:styleId="1CharCharCharCharCharCharCharChar1">
    <w:name w:val="标题 1 Char Char Char Char Char Char Char Char1"/>
    <w:unhideWhenUsed/>
    <w:qFormat/>
    <w:rPr>
      <w:rFonts w:ascii="宋体" w:eastAsia="黑体" w:hAnsi="宋体" w:hint="eastAsia"/>
      <w:b/>
      <w:kern w:val="44"/>
      <w:sz w:val="44"/>
      <w:szCs w:val="24"/>
      <w:lang w:val="en-US" w:eastAsia="zh-CN"/>
    </w:rPr>
  </w:style>
  <w:style w:type="character" w:customStyle="1" w:styleId="Charfffffff4">
    <w:name w:val="页脚 Char"/>
    <w:uiPriority w:val="99"/>
    <w:unhideWhenUsed/>
    <w:qFormat/>
    <w:rPr>
      <w:rFonts w:ascii="宋体" w:eastAsia="宋体" w:hint="eastAsia"/>
      <w:sz w:val="18"/>
      <w:szCs w:val="24"/>
    </w:rPr>
  </w:style>
  <w:style w:type="character" w:customStyle="1" w:styleId="unnamed1">
    <w:name w:val="unnamed1"/>
    <w:basedOn w:val="a6"/>
    <w:unhideWhenUsed/>
    <w:qFormat/>
    <w:rPr>
      <w:rFonts w:cs="Times New Roman" w:hint="default"/>
      <w:sz w:val="24"/>
      <w:szCs w:val="24"/>
    </w:rPr>
  </w:style>
  <w:style w:type="character" w:customStyle="1" w:styleId="3232Char">
    <w:name w:val="正文3 + 首行缩进:  2 字符3 + 首行缩进:  2 字符 Char"/>
    <w:unhideWhenUsed/>
    <w:qFormat/>
    <w:rPr>
      <w:rFonts w:ascii="宋体" w:eastAsia="宋体" w:hAnsi="宋体" w:hint="eastAsia"/>
      <w:sz w:val="24"/>
      <w:szCs w:val="24"/>
      <w:lang w:val="zh-CN" w:eastAsia="zh-CN"/>
    </w:rPr>
  </w:style>
  <w:style w:type="character" w:customStyle="1" w:styleId="highlight1">
    <w:name w:val="highlight1"/>
    <w:unhideWhenUsed/>
    <w:qFormat/>
    <w:rPr>
      <w:rFonts w:hint="default"/>
      <w:sz w:val="21"/>
      <w:szCs w:val="24"/>
    </w:rPr>
  </w:style>
  <w:style w:type="character" w:customStyle="1" w:styleId="1CharCharCharCharCharCharCharChar">
    <w:name w:val="标题 1 Char Char Char Char Char Char Char Char"/>
    <w:unhideWhenUsed/>
    <w:qFormat/>
    <w:rPr>
      <w:rFonts w:hint="default"/>
      <w:kern w:val="44"/>
      <w:sz w:val="28"/>
      <w:szCs w:val="24"/>
    </w:rPr>
  </w:style>
  <w:style w:type="character" w:customStyle="1" w:styleId="-4Char1">
    <w:name w:val="报告正文-4号字 Char1"/>
    <w:unhideWhenUsed/>
    <w:qFormat/>
    <w:rPr>
      <w:rFonts w:ascii="宋体" w:eastAsia="宋体" w:hint="eastAsia"/>
      <w:kern w:val="2"/>
      <w:sz w:val="28"/>
      <w:szCs w:val="24"/>
      <w:lang w:val="en-US" w:eastAsia="zh-CN"/>
    </w:rPr>
  </w:style>
  <w:style w:type="character" w:customStyle="1" w:styleId="67">
    <w:name w:val="标题6"/>
    <w:basedOn w:val="a6"/>
    <w:unhideWhenUsed/>
    <w:qFormat/>
    <w:rPr>
      <w:rFonts w:cs="Times New Roman" w:hint="default"/>
      <w:sz w:val="24"/>
      <w:szCs w:val="24"/>
    </w:rPr>
  </w:style>
  <w:style w:type="character" w:customStyle="1" w:styleId="wen21">
    <w:name w:val="wen21"/>
    <w:unhideWhenUsed/>
    <w:qFormat/>
    <w:rPr>
      <w:rFonts w:hint="default"/>
      <w:color w:val="000000"/>
      <w:sz w:val="18"/>
      <w:szCs w:val="24"/>
    </w:rPr>
  </w:style>
  <w:style w:type="character" w:customStyle="1" w:styleId="Charfffffff2">
    <w:name w:val="封皮 Char"/>
    <w:link w:val="afffffffffffffffffffffffff4"/>
    <w:unhideWhenUsed/>
    <w:qFormat/>
    <w:rPr>
      <w:rFonts w:hint="default"/>
      <w:b/>
      <w:kern w:val="2"/>
      <w:sz w:val="42"/>
      <w:szCs w:val="24"/>
    </w:rPr>
  </w:style>
  <w:style w:type="character" w:customStyle="1" w:styleId="styleliwei31">
    <w:name w:val="styleliwei31"/>
    <w:unhideWhenUsed/>
    <w:qFormat/>
    <w:rPr>
      <w:rFonts w:ascii="??" w:hint="default"/>
      <w:color w:val="000000"/>
      <w:sz w:val="21"/>
      <w:szCs w:val="24"/>
    </w:rPr>
  </w:style>
  <w:style w:type="character" w:customStyle="1" w:styleId="1Charf0">
    <w:name w:val="样式 1 Char"/>
    <w:link w:val="1fffffff0"/>
    <w:unhideWhenUsed/>
    <w:qFormat/>
    <w:rPr>
      <w:rFonts w:ascii="仿宋_GB2312" w:eastAsia="仿宋_GB2312" w:hint="eastAsia"/>
      <w:kern w:val="2"/>
      <w:sz w:val="30"/>
      <w:szCs w:val="24"/>
    </w:rPr>
  </w:style>
  <w:style w:type="character" w:customStyle="1" w:styleId="Charfffffff5">
    <w:name w:val="批注文字 Char"/>
    <w:unhideWhenUsed/>
    <w:qFormat/>
    <w:rPr>
      <w:rFonts w:ascii="宋体" w:eastAsia="宋体" w:hint="eastAsia"/>
      <w:sz w:val="24"/>
      <w:szCs w:val="24"/>
    </w:rPr>
  </w:style>
  <w:style w:type="character" w:customStyle="1" w:styleId="Charfffffff6">
    <w:name w:val="批注主题 Char"/>
    <w:unhideWhenUsed/>
    <w:qFormat/>
    <w:rPr>
      <w:rFonts w:ascii="宋体" w:eastAsia="宋体" w:hint="eastAsia"/>
      <w:b/>
      <w:sz w:val="24"/>
      <w:szCs w:val="24"/>
    </w:rPr>
  </w:style>
  <w:style w:type="character" w:customStyle="1" w:styleId="afffffffffffffffffffffffff8">
    <w:name w:val="无"/>
    <w:unhideWhenUsed/>
    <w:qFormat/>
    <w:rPr>
      <w:rFonts w:hint="default"/>
      <w:sz w:val="24"/>
      <w:szCs w:val="24"/>
    </w:rPr>
  </w:style>
  <w:style w:type="character" w:customStyle="1" w:styleId="font01">
    <w:name w:val="font01"/>
    <w:unhideWhenUsed/>
    <w:qFormat/>
    <w:rPr>
      <w:rFonts w:ascii="宋体" w:eastAsia="宋体" w:hAnsi="宋体" w:hint="eastAsia"/>
      <w:color w:val="000000"/>
      <w:sz w:val="21"/>
      <w:szCs w:val="24"/>
    </w:rPr>
  </w:style>
  <w:style w:type="character" w:customStyle="1" w:styleId="Charfffffff3">
    <w:name w:val="默认段落 Char"/>
    <w:link w:val="afffffffffffffffffffffffff6"/>
    <w:unhideWhenUsed/>
    <w:qFormat/>
    <w:rPr>
      <w:rFonts w:hint="default"/>
      <w:sz w:val="24"/>
      <w:szCs w:val="24"/>
      <w:lang w:val="zh-CN"/>
    </w:rPr>
  </w:style>
  <w:style w:type="character" w:customStyle="1" w:styleId="78">
    <w:name w:val="标题7"/>
    <w:basedOn w:val="a6"/>
    <w:unhideWhenUsed/>
    <w:qFormat/>
    <w:rPr>
      <w:rFonts w:cs="Times New Roman" w:hint="default"/>
      <w:sz w:val="24"/>
      <w:szCs w:val="24"/>
    </w:rPr>
  </w:style>
  <w:style w:type="character" w:customStyle="1" w:styleId="Char1ff6">
    <w:name w:val="正文文本 Char1"/>
    <w:link w:val="1fffffff1"/>
    <w:unhideWhenUsed/>
    <w:qFormat/>
    <w:rPr>
      <w:rFonts w:hint="default"/>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0" w:unhideWhenUsed="0" w:qFormat="1"/>
    <w:lsdException w:name="heading 6" w:uiPriority="9" w:unhideWhenUsed="0" w:qFormat="1"/>
    <w:lsdException w:name="heading 7" w:uiPriority="0" w:unhideWhenUsed="0" w:qFormat="1"/>
    <w:lsdException w:name="heading 8" w:uiPriority="9" w:qFormat="1"/>
    <w:lsdException w:name="heading 9" w:uiPriority="0" w:qFormat="1"/>
    <w:lsdException w:name="index 1" w:uiPriority="0" w:unhideWhenUsed="0" w:qFormat="1"/>
    <w:lsdException w:name="index 2" w:uiPriority="0" w:qFormat="1"/>
    <w:lsdException w:name="index 3" w:uiPriority="0" w:qFormat="1"/>
    <w:lsdException w:name="index 4" w:uiPriority="0" w:qFormat="1"/>
    <w:lsdException w:name="index 5" w:uiPriority="0" w:unhideWhenUsed="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qFormat="1"/>
    <w:lsdException w:name="annotation text" w:qFormat="1"/>
    <w:lsdException w:name="header" w:qFormat="1"/>
    <w:lsdException w:name="footer" w:qFormat="1"/>
    <w:lsdException w:name="index heading" w:uiPriority="0" w:qFormat="1"/>
    <w:lsdException w:name="caption" w:uiPriority="0" w:unhideWhenUsed="0" w:qFormat="1"/>
    <w:lsdException w:name="table of figures" w:uiPriority="0" w:qFormat="1"/>
    <w:lsdException w:name="envelope address" w:uiPriority="0" w:qFormat="1"/>
    <w:lsdException w:name="envelope return" w:uiPriority="0" w:qFormat="1"/>
    <w:lsdException w:name="footnote reference" w:qFormat="1"/>
    <w:lsdException w:name="annotation reference" w:qFormat="1"/>
    <w:lsdException w:name="line number" w:uiPriority="0" w:qFormat="1"/>
    <w:lsdException w:name="page number" w:uiPriority="0" w:unhideWhenUsed="0" w:qFormat="1"/>
    <w:lsdException w:name="endnote reference" w:uiPriority="0" w:qFormat="1"/>
    <w:lsdException w:name="endnote text" w:uiPriority="0" w:qFormat="1"/>
    <w:lsdException w:name="table of authorities" w:uiPriority="0" w:unhideWhenUsed="0" w:qFormat="1"/>
    <w:lsdException w:name="macro" w:semiHidden="1"/>
    <w:lsdException w:name="toa heading" w:uiPriority="0" w:qFormat="1"/>
    <w:lsdException w:name="List" w:uiPriority="0" w:unhideWhenUsed="0" w:qFormat="1"/>
    <w:lsdException w:name="List Bullet" w:semiHidden="1" w:qFormat="1"/>
    <w:lsdException w:name="List Number" w:semiHidden="1" w:qFormat="1"/>
    <w:lsdException w:name="List 2" w:uiPriority="0" w:qFormat="1"/>
    <w:lsdException w:name="List 3" w:uiPriority="0" w:qFormat="1"/>
    <w:lsdException w:name="List 4" w:uiPriority="0" w:qFormat="1"/>
    <w:lsdException w:name="List 5" w:uiPriority="0"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10" w:unhideWhenUsed="0" w:qFormat="1"/>
    <w:lsdException w:name="Closing" w:uiPriority="0" w:qFormat="1"/>
    <w:lsdException w:name="Signature" w:uiPriority="0" w:qFormat="1"/>
    <w:lsdException w:name="Default Paragraph Font" w:semiHidden="1" w:uiPriority="1" w:qFormat="1"/>
    <w:lsdException w:name="Body Text" w:semiHidden="1" w:qFormat="1"/>
    <w:lsdException w:name="Body Text Indent" w:uiPriority="0" w:unhideWhenUsed="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semiHidden="1" w:qFormat="1"/>
    <w:lsdException w:name="Body Text First Indent" w:qFormat="1"/>
    <w:lsdException w:name="Body Text First Indent 2" w:semiHidden="1" w:qFormat="1"/>
    <w:lsdException w:name="Note Heading" w:uiPriority="0" w:qFormat="1"/>
    <w:lsdException w:name="Body Text 2" w:semiHidden="1" w:qFormat="1"/>
    <w:lsdException w:name="Body Text 3" w:uiPriority="0" w:qFormat="1"/>
    <w:lsdException w:name="Body Text Indent 2" w:uiPriority="0" w:unhideWhenUsed="0" w:qFormat="1"/>
    <w:lsdException w:name="Body Text Indent 3" w:uiPriority="0" w:qFormat="1"/>
    <w:lsdException w:name="Block Text" w:uiPriority="0" w:qFormat="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uiPriority="0" w:qFormat="1"/>
    <w:lsdException w:name="E-mail Signature" w:uiPriority="0" w:qFormat="1"/>
    <w:lsdException w:name="HTML Top of Form" w:semiHidden="1"/>
    <w:lsdException w:name="HTML Bottom of Form" w:semiHidden="1"/>
    <w:lsdException w:name="Normal (Web)" w:semiHidden="1" w:qFormat="1"/>
    <w:lsdException w:name="HTML Acronym" w:uiPriority="0" w:qFormat="1"/>
    <w:lsdException w:name="HTML Address"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semiHidden="1" w:qFormat="1"/>
    <w:lsdException w:name="HTML Sample" w:uiPriority="0" w:qFormat="1"/>
    <w:lsdException w:name="HTML Typewriter" w:uiPriority="0" w:qFormat="1"/>
    <w:lsdException w:name="HTML Variable" w:uiPriority="0" w:qFormat="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uiPriority="0" w:qFormat="1"/>
    <w:lsdException w:name="No Spacing" w:uiPriority="1"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1" w:unhideWhenUsed="0" w:qFormat="1"/>
    <w:lsdException w:name="Quote" w:uiPriority="0" w:qFormat="1"/>
    <w:lsdException w:name="Intense Quote" w:uiPriority="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3">
    <w:name w:val="Normal"/>
    <w:qFormat/>
    <w:pPr>
      <w:widowControl w:val="0"/>
      <w:spacing w:line="360" w:lineRule="auto"/>
      <w:ind w:firstLineChars="200" w:firstLine="200"/>
      <w:jc w:val="both"/>
    </w:pPr>
    <w:rPr>
      <w:rFonts w:cstheme="minorBidi"/>
      <w:kern w:val="2"/>
      <w:sz w:val="24"/>
      <w:szCs w:val="21"/>
    </w:rPr>
  </w:style>
  <w:style w:type="paragraph" w:styleId="1">
    <w:name w:val="heading 1"/>
    <w:basedOn w:val="a3"/>
    <w:next w:val="a3"/>
    <w:link w:val="1Char"/>
    <w:uiPriority w:val="9"/>
    <w:qFormat/>
    <w:pPr>
      <w:ind w:firstLineChars="0" w:firstLine="0"/>
      <w:jc w:val="center"/>
      <w:outlineLvl w:val="0"/>
    </w:pPr>
    <w:rPr>
      <w:rFonts w:hint="eastAsia"/>
      <w:b/>
      <w:kern w:val="44"/>
      <w:sz w:val="44"/>
      <w:szCs w:val="44"/>
    </w:rPr>
  </w:style>
  <w:style w:type="paragraph" w:styleId="21">
    <w:name w:val="heading 2"/>
    <w:basedOn w:val="a3"/>
    <w:next w:val="a3"/>
    <w:link w:val="2Char"/>
    <w:uiPriority w:val="9"/>
    <w:unhideWhenUsed/>
    <w:qFormat/>
    <w:pPr>
      <w:keepNext/>
      <w:keepLines/>
      <w:ind w:firstLineChars="0" w:firstLine="0"/>
      <w:outlineLvl w:val="1"/>
    </w:pPr>
    <w:rPr>
      <w:rFonts w:hint="eastAsia"/>
      <w:b/>
      <w:sz w:val="32"/>
      <w:szCs w:val="32"/>
    </w:rPr>
  </w:style>
  <w:style w:type="paragraph" w:styleId="31">
    <w:name w:val="heading 3"/>
    <w:basedOn w:val="a3"/>
    <w:next w:val="a3"/>
    <w:link w:val="3Char4"/>
    <w:uiPriority w:val="9"/>
    <w:unhideWhenUsed/>
    <w:qFormat/>
    <w:pPr>
      <w:keepNext/>
      <w:keepLines/>
      <w:ind w:firstLineChars="0" w:firstLine="0"/>
      <w:outlineLvl w:val="2"/>
    </w:pPr>
    <w:rPr>
      <w:rFonts w:hint="eastAsia"/>
      <w:b/>
      <w:sz w:val="32"/>
      <w:szCs w:val="32"/>
    </w:rPr>
  </w:style>
  <w:style w:type="paragraph" w:styleId="42">
    <w:name w:val="heading 4"/>
    <w:basedOn w:val="a3"/>
    <w:next w:val="a4"/>
    <w:link w:val="4Char"/>
    <w:uiPriority w:val="9"/>
    <w:unhideWhenUsed/>
    <w:qFormat/>
    <w:pPr>
      <w:keepNext/>
      <w:keepLines/>
      <w:ind w:firstLineChars="0" w:firstLine="0"/>
      <w:outlineLvl w:val="3"/>
    </w:pPr>
    <w:rPr>
      <w:rFonts w:hint="eastAsia"/>
      <w:b/>
      <w:i/>
      <w:kern w:val="28"/>
      <w:szCs w:val="24"/>
    </w:rPr>
  </w:style>
  <w:style w:type="paragraph" w:styleId="52">
    <w:name w:val="heading 5"/>
    <w:basedOn w:val="a3"/>
    <w:next w:val="a4"/>
    <w:link w:val="5Char"/>
    <w:qFormat/>
    <w:pPr>
      <w:keepNext/>
      <w:widowControl/>
      <w:tabs>
        <w:tab w:val="right" w:pos="5040"/>
      </w:tabs>
      <w:ind w:firstLine="0"/>
      <w:jc w:val="left"/>
      <w:outlineLvl w:val="4"/>
    </w:pPr>
    <w:rPr>
      <w:rFonts w:hint="eastAsia"/>
      <w:b/>
      <w:sz w:val="28"/>
      <w:szCs w:val="28"/>
    </w:rPr>
  </w:style>
  <w:style w:type="paragraph" w:styleId="6">
    <w:name w:val="heading 6"/>
    <w:basedOn w:val="a3"/>
    <w:next w:val="a5"/>
    <w:link w:val="6Char"/>
    <w:uiPriority w:val="9"/>
    <w:qFormat/>
    <w:pPr>
      <w:keepNext/>
      <w:widowControl/>
      <w:overflowPunct w:val="0"/>
      <w:autoSpaceDE w:val="0"/>
      <w:autoSpaceDN w:val="0"/>
      <w:adjustRightInd w:val="0"/>
      <w:snapToGrid w:val="0"/>
      <w:spacing w:before="120" w:after="80"/>
      <w:textAlignment w:val="baseline"/>
      <w:outlineLvl w:val="5"/>
    </w:pPr>
    <w:rPr>
      <w:rFonts w:ascii="Calibri Light" w:hAnsi="Calibri Light" w:hint="eastAsia"/>
      <w:b/>
      <w:szCs w:val="24"/>
    </w:rPr>
  </w:style>
  <w:style w:type="paragraph" w:styleId="7">
    <w:name w:val="heading 7"/>
    <w:basedOn w:val="a3"/>
    <w:next w:val="a5"/>
    <w:link w:val="7Char"/>
    <w:qFormat/>
    <w:pPr>
      <w:keepNext/>
      <w:widowControl/>
      <w:overflowPunct w:val="0"/>
      <w:autoSpaceDE w:val="0"/>
      <w:autoSpaceDN w:val="0"/>
      <w:adjustRightInd w:val="0"/>
      <w:snapToGrid w:val="0"/>
      <w:spacing w:before="80" w:after="60"/>
      <w:textAlignment w:val="baseline"/>
      <w:outlineLvl w:val="6"/>
    </w:pPr>
    <w:rPr>
      <w:rFonts w:hint="eastAsia"/>
      <w:b/>
      <w:szCs w:val="24"/>
    </w:rPr>
  </w:style>
  <w:style w:type="paragraph" w:styleId="8">
    <w:name w:val="heading 8"/>
    <w:basedOn w:val="a3"/>
    <w:next w:val="a5"/>
    <w:link w:val="8Char"/>
    <w:uiPriority w:val="9"/>
    <w:unhideWhenUsed/>
    <w:qFormat/>
    <w:pPr>
      <w:keepNext/>
      <w:widowControl/>
      <w:overflowPunct w:val="0"/>
      <w:autoSpaceDE w:val="0"/>
      <w:autoSpaceDN w:val="0"/>
      <w:adjustRightInd w:val="0"/>
      <w:snapToGrid w:val="0"/>
      <w:spacing w:before="80" w:after="60"/>
      <w:textAlignment w:val="baseline"/>
      <w:outlineLvl w:val="7"/>
    </w:pPr>
    <w:rPr>
      <w:rFonts w:hint="eastAsia"/>
      <w:b/>
      <w:i/>
      <w:kern w:val="28"/>
      <w:sz w:val="18"/>
      <w:szCs w:val="24"/>
    </w:rPr>
  </w:style>
  <w:style w:type="paragraph" w:styleId="9">
    <w:name w:val="heading 9"/>
    <w:basedOn w:val="a3"/>
    <w:next w:val="a5"/>
    <w:link w:val="9Char"/>
    <w:unhideWhenUsed/>
    <w:qFormat/>
    <w:pPr>
      <w:keepNext/>
      <w:widowControl/>
      <w:overflowPunct w:val="0"/>
      <w:autoSpaceDE w:val="0"/>
      <w:autoSpaceDN w:val="0"/>
      <w:adjustRightInd w:val="0"/>
      <w:snapToGrid w:val="0"/>
      <w:spacing w:before="80" w:after="60"/>
      <w:textAlignment w:val="baseline"/>
      <w:outlineLvl w:val="8"/>
    </w:pPr>
    <w:rPr>
      <w:rFonts w:hint="eastAsia"/>
      <w:b/>
      <w:i/>
      <w:kern w:val="28"/>
      <w:sz w:val="18"/>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Normal Indent"/>
    <w:basedOn w:val="a3"/>
    <w:qFormat/>
    <w:pPr>
      <w:ind w:firstLine="420"/>
    </w:pPr>
    <w:rPr>
      <w:rFonts w:hint="eastAsia"/>
      <w:sz w:val="21"/>
      <w:szCs w:val="20"/>
    </w:rPr>
  </w:style>
  <w:style w:type="paragraph" w:styleId="a5">
    <w:name w:val="Body Text"/>
    <w:basedOn w:val="a3"/>
    <w:link w:val="Char2"/>
    <w:uiPriority w:val="99"/>
    <w:semiHidden/>
    <w:unhideWhenUsed/>
    <w:qFormat/>
    <w:pPr>
      <w:spacing w:after="120"/>
    </w:pPr>
    <w:rPr>
      <w:rFonts w:hint="eastAsia"/>
      <w:szCs w:val="24"/>
    </w:rPr>
  </w:style>
  <w:style w:type="paragraph" w:styleId="32">
    <w:name w:val="List 3"/>
    <w:basedOn w:val="a3"/>
    <w:unhideWhenUsed/>
    <w:qFormat/>
    <w:pPr>
      <w:ind w:leftChars="400" w:left="100" w:hangingChars="200" w:hanging="200"/>
    </w:pPr>
    <w:rPr>
      <w:rFonts w:hint="eastAsia"/>
      <w:sz w:val="21"/>
      <w:szCs w:val="24"/>
    </w:rPr>
  </w:style>
  <w:style w:type="paragraph" w:styleId="70">
    <w:name w:val="toc 7"/>
    <w:basedOn w:val="a3"/>
    <w:next w:val="a3"/>
    <w:uiPriority w:val="39"/>
    <w:unhideWhenUsed/>
    <w:qFormat/>
    <w:pPr>
      <w:spacing w:line="240" w:lineRule="auto"/>
      <w:ind w:leftChars="1200" w:left="2520" w:firstLineChars="0" w:firstLine="0"/>
    </w:pPr>
    <w:rPr>
      <w:rFonts w:eastAsiaTheme="minorEastAsia"/>
      <w:sz w:val="21"/>
      <w:szCs w:val="22"/>
    </w:rPr>
  </w:style>
  <w:style w:type="paragraph" w:styleId="20">
    <w:name w:val="List Number 2"/>
    <w:basedOn w:val="a3"/>
    <w:uiPriority w:val="99"/>
    <w:semiHidden/>
    <w:unhideWhenUsed/>
    <w:qFormat/>
    <w:pPr>
      <w:numPr>
        <w:numId w:val="1"/>
      </w:numPr>
    </w:pPr>
  </w:style>
  <w:style w:type="paragraph" w:styleId="a9">
    <w:name w:val="table of authorities"/>
    <w:basedOn w:val="a3"/>
    <w:next w:val="a3"/>
    <w:qFormat/>
    <w:pPr>
      <w:ind w:leftChars="200" w:left="420"/>
    </w:pPr>
  </w:style>
  <w:style w:type="paragraph" w:styleId="aa">
    <w:name w:val="Note Heading"/>
    <w:basedOn w:val="a3"/>
    <w:next w:val="a3"/>
    <w:link w:val="Char"/>
    <w:unhideWhenUsed/>
    <w:qFormat/>
    <w:pPr>
      <w:jc w:val="center"/>
    </w:pPr>
    <w:rPr>
      <w:rFonts w:ascii="宋体" w:hint="eastAsia"/>
      <w:sz w:val="21"/>
      <w:szCs w:val="20"/>
    </w:rPr>
  </w:style>
  <w:style w:type="paragraph" w:styleId="4">
    <w:name w:val="List Bullet 4"/>
    <w:basedOn w:val="a3"/>
    <w:uiPriority w:val="99"/>
    <w:semiHidden/>
    <w:unhideWhenUsed/>
    <w:qFormat/>
    <w:pPr>
      <w:numPr>
        <w:numId w:val="2"/>
      </w:numPr>
    </w:pPr>
  </w:style>
  <w:style w:type="paragraph" w:styleId="80">
    <w:name w:val="index 8"/>
    <w:basedOn w:val="a3"/>
    <w:next w:val="a3"/>
    <w:unhideWhenUsed/>
    <w:qFormat/>
    <w:pPr>
      <w:ind w:leftChars="1400" w:left="1400"/>
    </w:pPr>
    <w:rPr>
      <w:rFonts w:hint="eastAsia"/>
      <w:sz w:val="21"/>
      <w:szCs w:val="24"/>
    </w:rPr>
  </w:style>
  <w:style w:type="paragraph" w:styleId="ab">
    <w:name w:val="E-mail Signature"/>
    <w:basedOn w:val="a3"/>
    <w:link w:val="Char0"/>
    <w:unhideWhenUsed/>
    <w:qFormat/>
    <w:rPr>
      <w:rFonts w:hint="eastAsia"/>
      <w:sz w:val="21"/>
      <w:szCs w:val="24"/>
    </w:rPr>
  </w:style>
  <w:style w:type="paragraph" w:styleId="a">
    <w:name w:val="List Number"/>
    <w:basedOn w:val="a3"/>
    <w:uiPriority w:val="99"/>
    <w:semiHidden/>
    <w:unhideWhenUsed/>
    <w:qFormat/>
    <w:pPr>
      <w:numPr>
        <w:numId w:val="3"/>
      </w:numPr>
    </w:pPr>
  </w:style>
  <w:style w:type="paragraph" w:styleId="ac">
    <w:name w:val="caption"/>
    <w:basedOn w:val="a3"/>
    <w:next w:val="a3"/>
    <w:link w:val="Char1"/>
    <w:qFormat/>
    <w:rPr>
      <w:rFonts w:ascii="Arial" w:eastAsia="黑体" w:hAnsi="Arial" w:hint="eastAsia"/>
      <w:sz w:val="20"/>
      <w:szCs w:val="20"/>
    </w:rPr>
  </w:style>
  <w:style w:type="paragraph" w:styleId="53">
    <w:name w:val="index 5"/>
    <w:basedOn w:val="a3"/>
    <w:next w:val="a3"/>
    <w:qFormat/>
    <w:pPr>
      <w:ind w:left="1680"/>
    </w:pPr>
  </w:style>
  <w:style w:type="paragraph" w:styleId="a2">
    <w:name w:val="List Bullet"/>
    <w:basedOn w:val="a3"/>
    <w:uiPriority w:val="99"/>
    <w:semiHidden/>
    <w:unhideWhenUsed/>
    <w:qFormat/>
    <w:pPr>
      <w:numPr>
        <w:numId w:val="4"/>
      </w:numPr>
    </w:pPr>
  </w:style>
  <w:style w:type="paragraph" w:styleId="ad">
    <w:name w:val="envelope address"/>
    <w:basedOn w:val="a3"/>
    <w:unhideWhenUsed/>
    <w:qFormat/>
    <w:pPr>
      <w:framePr w:w="7920" w:h="1980" w:hRule="exact" w:hSpace="180" w:wrap="auto" w:hAnchor="page" w:xAlign="center" w:yAlign="bottom"/>
      <w:widowControl/>
      <w:overflowPunct w:val="0"/>
      <w:autoSpaceDE w:val="0"/>
      <w:autoSpaceDN w:val="0"/>
      <w:adjustRightInd w:val="0"/>
      <w:spacing w:line="264" w:lineRule="auto"/>
      <w:ind w:left="2880"/>
      <w:jc w:val="left"/>
      <w:textAlignment w:val="baseline"/>
    </w:pPr>
    <w:rPr>
      <w:rFonts w:ascii="Arial" w:hAnsi="Arial" w:hint="eastAsia"/>
      <w:sz w:val="22"/>
      <w:szCs w:val="20"/>
      <w:lang w:val="en-GB"/>
    </w:rPr>
  </w:style>
  <w:style w:type="paragraph" w:styleId="ae">
    <w:name w:val="Document Map"/>
    <w:basedOn w:val="a3"/>
    <w:link w:val="Char3"/>
    <w:uiPriority w:val="99"/>
    <w:unhideWhenUsed/>
    <w:qFormat/>
    <w:pPr>
      <w:shd w:val="clear" w:color="auto" w:fill="000080"/>
    </w:pPr>
    <w:rPr>
      <w:rFonts w:hint="eastAsia"/>
      <w:sz w:val="21"/>
      <w:szCs w:val="24"/>
    </w:rPr>
  </w:style>
  <w:style w:type="paragraph" w:styleId="af">
    <w:name w:val="toa heading"/>
    <w:basedOn w:val="a3"/>
    <w:next w:val="a3"/>
    <w:unhideWhenUsed/>
    <w:qFormat/>
    <w:pPr>
      <w:spacing w:before="120"/>
    </w:pPr>
    <w:rPr>
      <w:rFonts w:ascii="Arial" w:hAnsi="Arial" w:cs="Arial" w:hint="eastAsia"/>
      <w:szCs w:val="24"/>
    </w:rPr>
  </w:style>
  <w:style w:type="paragraph" w:styleId="af0">
    <w:name w:val="annotation text"/>
    <w:basedOn w:val="a3"/>
    <w:link w:val="Char20"/>
    <w:uiPriority w:val="99"/>
    <w:unhideWhenUsed/>
    <w:qFormat/>
    <w:pPr>
      <w:widowControl/>
      <w:jc w:val="left"/>
    </w:pPr>
    <w:rPr>
      <w:rFonts w:hint="eastAsia"/>
      <w:sz w:val="21"/>
      <w:szCs w:val="24"/>
    </w:rPr>
  </w:style>
  <w:style w:type="paragraph" w:styleId="60">
    <w:name w:val="index 6"/>
    <w:basedOn w:val="a3"/>
    <w:next w:val="a3"/>
    <w:unhideWhenUsed/>
    <w:qFormat/>
    <w:pPr>
      <w:ind w:leftChars="1000" w:left="1000"/>
    </w:pPr>
    <w:rPr>
      <w:rFonts w:hint="eastAsia"/>
      <w:sz w:val="21"/>
      <w:szCs w:val="24"/>
    </w:rPr>
  </w:style>
  <w:style w:type="paragraph" w:styleId="af1">
    <w:name w:val="Salutation"/>
    <w:basedOn w:val="af2"/>
    <w:next w:val="a3"/>
    <w:link w:val="Char4"/>
    <w:unhideWhenUsed/>
    <w:qFormat/>
    <w:pPr>
      <w:spacing w:line="400" w:lineRule="exact"/>
      <w:ind w:firstLine="480"/>
    </w:pPr>
    <w:rPr>
      <w:rFonts w:cs="Times New Roman"/>
      <w:sz w:val="24"/>
    </w:rPr>
  </w:style>
  <w:style w:type="paragraph" w:styleId="af2">
    <w:name w:val="Plain Text"/>
    <w:basedOn w:val="a3"/>
    <w:link w:val="Char5"/>
    <w:unhideWhenUsed/>
    <w:qFormat/>
    <w:rPr>
      <w:rFonts w:ascii="宋体" w:hAnsi="Courier New" w:cs="Courier New" w:hint="eastAsia"/>
      <w:sz w:val="21"/>
    </w:rPr>
  </w:style>
  <w:style w:type="paragraph" w:styleId="33">
    <w:name w:val="Body Text 3"/>
    <w:basedOn w:val="a3"/>
    <w:unhideWhenUsed/>
    <w:qFormat/>
    <w:pPr>
      <w:adjustRightInd w:val="0"/>
      <w:snapToGrid w:val="0"/>
      <w:ind w:right="6"/>
    </w:pPr>
    <w:rPr>
      <w:rFonts w:hint="eastAsia"/>
      <w:szCs w:val="24"/>
    </w:rPr>
  </w:style>
  <w:style w:type="paragraph" w:styleId="af3">
    <w:name w:val="Closing"/>
    <w:basedOn w:val="a3"/>
    <w:link w:val="Char6"/>
    <w:unhideWhenUsed/>
    <w:qFormat/>
    <w:pPr>
      <w:ind w:leftChars="2100" w:left="100"/>
    </w:pPr>
    <w:rPr>
      <w:rFonts w:ascii="仿宋_GB2312" w:eastAsia="仿宋_GB2312" w:hint="eastAsia"/>
      <w:sz w:val="32"/>
      <w:szCs w:val="32"/>
    </w:rPr>
  </w:style>
  <w:style w:type="paragraph" w:styleId="30">
    <w:name w:val="List Bullet 3"/>
    <w:basedOn w:val="a3"/>
    <w:uiPriority w:val="99"/>
    <w:semiHidden/>
    <w:unhideWhenUsed/>
    <w:qFormat/>
    <w:pPr>
      <w:numPr>
        <w:numId w:val="5"/>
      </w:numPr>
    </w:pPr>
  </w:style>
  <w:style w:type="paragraph" w:styleId="af4">
    <w:name w:val="Body Text Indent"/>
    <w:basedOn w:val="a3"/>
    <w:qFormat/>
    <w:pPr>
      <w:spacing w:after="120"/>
      <w:ind w:leftChars="200" w:left="420"/>
    </w:pPr>
  </w:style>
  <w:style w:type="paragraph" w:styleId="3">
    <w:name w:val="List Number 3"/>
    <w:basedOn w:val="a3"/>
    <w:uiPriority w:val="99"/>
    <w:semiHidden/>
    <w:unhideWhenUsed/>
    <w:qFormat/>
    <w:pPr>
      <w:numPr>
        <w:numId w:val="6"/>
      </w:numPr>
    </w:pPr>
  </w:style>
  <w:style w:type="paragraph" w:styleId="22">
    <w:name w:val="List 2"/>
    <w:basedOn w:val="a3"/>
    <w:unhideWhenUsed/>
    <w:qFormat/>
    <w:pPr>
      <w:ind w:leftChars="200" w:left="100" w:hangingChars="200" w:hanging="200"/>
    </w:pPr>
    <w:rPr>
      <w:rFonts w:hint="eastAsia"/>
      <w:sz w:val="21"/>
      <w:szCs w:val="24"/>
    </w:rPr>
  </w:style>
  <w:style w:type="paragraph" w:styleId="af5">
    <w:name w:val="List Continue"/>
    <w:basedOn w:val="a3"/>
    <w:unhideWhenUsed/>
    <w:qFormat/>
    <w:pPr>
      <w:spacing w:after="120"/>
      <w:ind w:leftChars="200" w:left="420"/>
    </w:pPr>
    <w:rPr>
      <w:rFonts w:hint="eastAsia"/>
      <w:sz w:val="21"/>
      <w:szCs w:val="24"/>
    </w:rPr>
  </w:style>
  <w:style w:type="paragraph" w:styleId="af6">
    <w:name w:val="Block Text"/>
    <w:basedOn w:val="a3"/>
    <w:unhideWhenUsed/>
    <w:qFormat/>
    <w:pPr>
      <w:tabs>
        <w:tab w:val="left" w:pos="9660"/>
        <w:tab w:val="left" w:pos="9765"/>
      </w:tabs>
      <w:spacing w:line="480" w:lineRule="auto"/>
      <w:ind w:left="420" w:right="773" w:firstLine="630"/>
    </w:pPr>
    <w:rPr>
      <w:rFonts w:hint="eastAsia"/>
      <w:spacing w:val="26"/>
      <w:sz w:val="28"/>
      <w:szCs w:val="20"/>
    </w:rPr>
  </w:style>
  <w:style w:type="paragraph" w:styleId="2">
    <w:name w:val="List Bullet 2"/>
    <w:basedOn w:val="a3"/>
    <w:uiPriority w:val="99"/>
    <w:semiHidden/>
    <w:unhideWhenUsed/>
    <w:qFormat/>
    <w:pPr>
      <w:numPr>
        <w:numId w:val="7"/>
      </w:numPr>
    </w:pPr>
  </w:style>
  <w:style w:type="paragraph" w:styleId="HTML">
    <w:name w:val="HTML Address"/>
    <w:basedOn w:val="a3"/>
    <w:link w:val="HTMLChar"/>
    <w:unhideWhenUsed/>
    <w:qFormat/>
    <w:rPr>
      <w:rFonts w:hint="eastAsia"/>
      <w:i/>
      <w:sz w:val="21"/>
      <w:szCs w:val="24"/>
    </w:rPr>
  </w:style>
  <w:style w:type="paragraph" w:styleId="43">
    <w:name w:val="index 4"/>
    <w:basedOn w:val="a3"/>
    <w:next w:val="a3"/>
    <w:unhideWhenUsed/>
    <w:qFormat/>
    <w:pPr>
      <w:ind w:leftChars="600" w:left="600"/>
    </w:pPr>
    <w:rPr>
      <w:rFonts w:hint="eastAsia"/>
      <w:sz w:val="21"/>
      <w:szCs w:val="24"/>
    </w:rPr>
  </w:style>
  <w:style w:type="paragraph" w:styleId="54">
    <w:name w:val="toc 5"/>
    <w:basedOn w:val="a3"/>
    <w:next w:val="a3"/>
    <w:uiPriority w:val="39"/>
    <w:unhideWhenUsed/>
    <w:qFormat/>
    <w:pPr>
      <w:spacing w:line="240" w:lineRule="auto"/>
      <w:ind w:leftChars="800" w:left="1680" w:firstLineChars="0" w:firstLine="0"/>
    </w:pPr>
    <w:rPr>
      <w:rFonts w:eastAsiaTheme="minorEastAsia"/>
      <w:sz w:val="21"/>
      <w:szCs w:val="22"/>
    </w:rPr>
  </w:style>
  <w:style w:type="paragraph" w:styleId="34">
    <w:name w:val="toc 3"/>
    <w:basedOn w:val="a3"/>
    <w:next w:val="a3"/>
    <w:uiPriority w:val="39"/>
    <w:unhideWhenUsed/>
    <w:qFormat/>
    <w:pPr>
      <w:ind w:leftChars="400" w:left="840"/>
    </w:pPr>
  </w:style>
  <w:style w:type="paragraph" w:styleId="50">
    <w:name w:val="List Bullet 5"/>
    <w:basedOn w:val="a3"/>
    <w:uiPriority w:val="99"/>
    <w:semiHidden/>
    <w:unhideWhenUsed/>
    <w:qFormat/>
    <w:pPr>
      <w:numPr>
        <w:numId w:val="8"/>
      </w:numPr>
    </w:pPr>
  </w:style>
  <w:style w:type="paragraph" w:styleId="40">
    <w:name w:val="List Number 4"/>
    <w:basedOn w:val="a3"/>
    <w:uiPriority w:val="99"/>
    <w:semiHidden/>
    <w:unhideWhenUsed/>
    <w:qFormat/>
    <w:pPr>
      <w:numPr>
        <w:numId w:val="9"/>
      </w:numPr>
    </w:pPr>
  </w:style>
  <w:style w:type="paragraph" w:styleId="82">
    <w:name w:val="toc 8"/>
    <w:basedOn w:val="a3"/>
    <w:next w:val="a3"/>
    <w:uiPriority w:val="39"/>
    <w:unhideWhenUsed/>
    <w:qFormat/>
    <w:pPr>
      <w:spacing w:line="240" w:lineRule="auto"/>
      <w:ind w:leftChars="1400" w:left="2940" w:firstLineChars="0" w:firstLine="0"/>
    </w:pPr>
    <w:rPr>
      <w:rFonts w:eastAsiaTheme="minorEastAsia"/>
      <w:sz w:val="21"/>
      <w:szCs w:val="22"/>
    </w:rPr>
  </w:style>
  <w:style w:type="paragraph" w:styleId="35">
    <w:name w:val="index 3"/>
    <w:basedOn w:val="a3"/>
    <w:next w:val="a3"/>
    <w:unhideWhenUsed/>
    <w:qFormat/>
    <w:pPr>
      <w:ind w:leftChars="400" w:left="400"/>
    </w:pPr>
    <w:rPr>
      <w:rFonts w:hint="eastAsia"/>
      <w:sz w:val="21"/>
      <w:szCs w:val="24"/>
    </w:rPr>
  </w:style>
  <w:style w:type="paragraph" w:styleId="af7">
    <w:name w:val="Date"/>
    <w:basedOn w:val="a3"/>
    <w:next w:val="a3"/>
    <w:link w:val="Char7"/>
    <w:uiPriority w:val="99"/>
    <w:semiHidden/>
    <w:unhideWhenUsed/>
    <w:qFormat/>
    <w:pPr>
      <w:ind w:leftChars="2500" w:left="100"/>
    </w:pPr>
  </w:style>
  <w:style w:type="paragraph" w:styleId="23">
    <w:name w:val="Body Text Indent 2"/>
    <w:basedOn w:val="a3"/>
    <w:qFormat/>
    <w:pPr>
      <w:ind w:firstLine="539"/>
    </w:pPr>
    <w:rPr>
      <w:rFonts w:hint="eastAsia"/>
      <w:szCs w:val="24"/>
    </w:rPr>
  </w:style>
  <w:style w:type="paragraph" w:styleId="af8">
    <w:name w:val="endnote text"/>
    <w:basedOn w:val="a3"/>
    <w:link w:val="Char8"/>
    <w:unhideWhenUsed/>
    <w:qFormat/>
    <w:pPr>
      <w:snapToGrid w:val="0"/>
      <w:jc w:val="left"/>
    </w:pPr>
    <w:rPr>
      <w:rFonts w:hint="eastAsia"/>
      <w:sz w:val="21"/>
      <w:szCs w:val="20"/>
    </w:rPr>
  </w:style>
  <w:style w:type="paragraph" w:styleId="55">
    <w:name w:val="List Continue 5"/>
    <w:basedOn w:val="a3"/>
    <w:unhideWhenUsed/>
    <w:qFormat/>
    <w:pPr>
      <w:spacing w:after="120"/>
      <w:ind w:leftChars="1000" w:left="2100"/>
    </w:pPr>
    <w:rPr>
      <w:rFonts w:hint="eastAsia"/>
      <w:sz w:val="21"/>
      <w:szCs w:val="24"/>
    </w:rPr>
  </w:style>
  <w:style w:type="paragraph" w:styleId="af9">
    <w:name w:val="Balloon Text"/>
    <w:basedOn w:val="a3"/>
    <w:link w:val="Char21"/>
    <w:uiPriority w:val="99"/>
    <w:semiHidden/>
    <w:unhideWhenUsed/>
    <w:qFormat/>
    <w:pPr>
      <w:spacing w:line="240" w:lineRule="auto"/>
    </w:pPr>
    <w:rPr>
      <w:sz w:val="18"/>
      <w:szCs w:val="18"/>
    </w:rPr>
  </w:style>
  <w:style w:type="paragraph" w:styleId="afa">
    <w:name w:val="footer"/>
    <w:basedOn w:val="a3"/>
    <w:link w:val="Char30"/>
    <w:uiPriority w:val="99"/>
    <w:unhideWhenUsed/>
    <w:qFormat/>
    <w:pPr>
      <w:tabs>
        <w:tab w:val="center" w:pos="4153"/>
        <w:tab w:val="right" w:pos="8306"/>
      </w:tabs>
      <w:snapToGrid w:val="0"/>
      <w:jc w:val="left"/>
    </w:pPr>
    <w:rPr>
      <w:rFonts w:hint="eastAsia"/>
      <w:sz w:val="18"/>
      <w:szCs w:val="18"/>
    </w:rPr>
  </w:style>
  <w:style w:type="paragraph" w:styleId="afb">
    <w:name w:val="envelope return"/>
    <w:basedOn w:val="a3"/>
    <w:unhideWhenUsed/>
    <w:qFormat/>
    <w:pPr>
      <w:snapToGrid w:val="0"/>
    </w:pPr>
    <w:rPr>
      <w:rFonts w:ascii="Arial" w:hAnsi="Arial" w:cs="Arial" w:hint="eastAsia"/>
      <w:sz w:val="21"/>
      <w:szCs w:val="24"/>
    </w:rPr>
  </w:style>
  <w:style w:type="paragraph" w:styleId="afc">
    <w:name w:val="header"/>
    <w:basedOn w:val="a3"/>
    <w:next w:val="a3"/>
    <w:link w:val="Char9"/>
    <w:uiPriority w:val="99"/>
    <w:unhideWhenUsed/>
    <w:qFormat/>
    <w:pPr>
      <w:pBdr>
        <w:bottom w:val="single" w:sz="6" w:space="1" w:color="auto"/>
      </w:pBdr>
      <w:tabs>
        <w:tab w:val="center" w:pos="4153"/>
        <w:tab w:val="right" w:pos="8306"/>
      </w:tabs>
      <w:snapToGrid w:val="0"/>
      <w:jc w:val="center"/>
    </w:pPr>
    <w:rPr>
      <w:rFonts w:hint="eastAsia"/>
      <w:sz w:val="18"/>
      <w:szCs w:val="18"/>
    </w:rPr>
  </w:style>
  <w:style w:type="paragraph" w:styleId="afd">
    <w:name w:val="Signature"/>
    <w:basedOn w:val="a3"/>
    <w:link w:val="Chara"/>
    <w:unhideWhenUsed/>
    <w:qFormat/>
    <w:pPr>
      <w:ind w:leftChars="2100" w:left="100"/>
    </w:pPr>
    <w:rPr>
      <w:rFonts w:hint="eastAsia"/>
      <w:sz w:val="21"/>
      <w:szCs w:val="24"/>
    </w:rPr>
  </w:style>
  <w:style w:type="paragraph" w:styleId="10">
    <w:name w:val="toc 1"/>
    <w:basedOn w:val="a3"/>
    <w:next w:val="a3"/>
    <w:link w:val="1Char0"/>
    <w:uiPriority w:val="39"/>
    <w:unhideWhenUsed/>
    <w:qFormat/>
    <w:pPr>
      <w:tabs>
        <w:tab w:val="right" w:leader="dot" w:pos="8296"/>
      </w:tabs>
      <w:spacing w:line="400" w:lineRule="exact"/>
      <w:ind w:firstLineChars="0" w:firstLine="0"/>
    </w:pPr>
    <w:rPr>
      <w:rFonts w:hint="eastAsia"/>
      <w:b/>
      <w:caps/>
      <w:sz w:val="20"/>
      <w:szCs w:val="20"/>
    </w:rPr>
  </w:style>
  <w:style w:type="paragraph" w:styleId="44">
    <w:name w:val="List Continue 4"/>
    <w:basedOn w:val="a3"/>
    <w:unhideWhenUsed/>
    <w:qFormat/>
    <w:pPr>
      <w:spacing w:after="120"/>
      <w:ind w:leftChars="800" w:left="1680"/>
    </w:pPr>
    <w:rPr>
      <w:rFonts w:hint="eastAsia"/>
      <w:sz w:val="21"/>
      <w:szCs w:val="24"/>
    </w:rPr>
  </w:style>
  <w:style w:type="paragraph" w:styleId="45">
    <w:name w:val="toc 4"/>
    <w:basedOn w:val="a3"/>
    <w:next w:val="a3"/>
    <w:uiPriority w:val="39"/>
    <w:unhideWhenUsed/>
    <w:qFormat/>
    <w:pPr>
      <w:spacing w:line="240" w:lineRule="auto"/>
      <w:ind w:leftChars="600" w:left="1260" w:firstLineChars="0" w:firstLine="0"/>
    </w:pPr>
    <w:rPr>
      <w:rFonts w:eastAsiaTheme="minorEastAsia"/>
      <w:sz w:val="21"/>
      <w:szCs w:val="22"/>
    </w:rPr>
  </w:style>
  <w:style w:type="paragraph" w:styleId="afe">
    <w:name w:val="index heading"/>
    <w:basedOn w:val="a3"/>
    <w:next w:val="11"/>
    <w:unhideWhenUsed/>
    <w:qFormat/>
    <w:rPr>
      <w:rFonts w:ascii="Cambria" w:hAnsi="Cambria" w:cs="Times New Roman"/>
      <w:b/>
      <w:bCs/>
      <w:sz w:val="21"/>
      <w:szCs w:val="22"/>
    </w:rPr>
  </w:style>
  <w:style w:type="paragraph" w:styleId="11">
    <w:name w:val="index 1"/>
    <w:basedOn w:val="a3"/>
    <w:next w:val="a3"/>
    <w:qFormat/>
  </w:style>
  <w:style w:type="paragraph" w:styleId="aff">
    <w:name w:val="Subtitle"/>
    <w:basedOn w:val="a3"/>
    <w:next w:val="a3"/>
    <w:link w:val="Charb"/>
    <w:unhideWhenUsed/>
    <w:qFormat/>
    <w:pPr>
      <w:adjustRightInd w:val="0"/>
      <w:snapToGrid w:val="0"/>
      <w:spacing w:before="240" w:after="60" w:line="312" w:lineRule="auto"/>
      <w:jc w:val="center"/>
      <w:outlineLvl w:val="1"/>
    </w:pPr>
    <w:rPr>
      <w:rFonts w:ascii="Cambria" w:hAnsi="Cambria" w:hint="eastAsia"/>
      <w:b/>
      <w:kern w:val="28"/>
      <w:sz w:val="32"/>
      <w:szCs w:val="32"/>
    </w:rPr>
  </w:style>
  <w:style w:type="paragraph" w:styleId="5">
    <w:name w:val="List Number 5"/>
    <w:basedOn w:val="a3"/>
    <w:uiPriority w:val="99"/>
    <w:semiHidden/>
    <w:unhideWhenUsed/>
    <w:qFormat/>
    <w:pPr>
      <w:numPr>
        <w:numId w:val="10"/>
      </w:numPr>
    </w:pPr>
  </w:style>
  <w:style w:type="paragraph" w:styleId="aff0">
    <w:name w:val="List"/>
    <w:basedOn w:val="a3"/>
    <w:qFormat/>
    <w:pPr>
      <w:ind w:left="420" w:hanging="420"/>
    </w:pPr>
  </w:style>
  <w:style w:type="paragraph" w:styleId="aff1">
    <w:name w:val="footnote text"/>
    <w:basedOn w:val="a3"/>
    <w:link w:val="Charc"/>
    <w:uiPriority w:val="99"/>
    <w:unhideWhenUsed/>
    <w:qFormat/>
    <w:pPr>
      <w:snapToGrid w:val="0"/>
    </w:pPr>
    <w:rPr>
      <w:sz w:val="18"/>
      <w:szCs w:val="18"/>
    </w:rPr>
  </w:style>
  <w:style w:type="paragraph" w:styleId="62">
    <w:name w:val="toc 6"/>
    <w:basedOn w:val="a3"/>
    <w:next w:val="a3"/>
    <w:uiPriority w:val="39"/>
    <w:unhideWhenUsed/>
    <w:qFormat/>
    <w:pPr>
      <w:spacing w:line="240" w:lineRule="auto"/>
      <w:ind w:leftChars="1000" w:left="2100" w:firstLineChars="0" w:firstLine="0"/>
    </w:pPr>
    <w:rPr>
      <w:rFonts w:eastAsiaTheme="minorEastAsia"/>
      <w:sz w:val="21"/>
      <w:szCs w:val="22"/>
    </w:rPr>
  </w:style>
  <w:style w:type="paragraph" w:styleId="56">
    <w:name w:val="List 5"/>
    <w:basedOn w:val="a3"/>
    <w:unhideWhenUsed/>
    <w:qFormat/>
    <w:pPr>
      <w:ind w:leftChars="800" w:left="100" w:hangingChars="200" w:hanging="200"/>
    </w:pPr>
    <w:rPr>
      <w:rFonts w:hint="eastAsia"/>
      <w:sz w:val="21"/>
      <w:szCs w:val="24"/>
    </w:rPr>
  </w:style>
  <w:style w:type="paragraph" w:styleId="36">
    <w:name w:val="Body Text Indent 3"/>
    <w:basedOn w:val="a3"/>
    <w:unhideWhenUsed/>
    <w:qFormat/>
    <w:pPr>
      <w:widowControl/>
      <w:ind w:firstLineChars="100" w:firstLine="280"/>
      <w:jc w:val="left"/>
    </w:pPr>
    <w:rPr>
      <w:rFonts w:hint="eastAsia"/>
      <w:sz w:val="28"/>
      <w:szCs w:val="24"/>
    </w:rPr>
  </w:style>
  <w:style w:type="paragraph" w:styleId="72">
    <w:name w:val="index 7"/>
    <w:basedOn w:val="a3"/>
    <w:next w:val="a3"/>
    <w:unhideWhenUsed/>
    <w:qFormat/>
    <w:pPr>
      <w:ind w:leftChars="1200" w:left="1200"/>
    </w:pPr>
    <w:rPr>
      <w:rFonts w:hint="eastAsia"/>
      <w:sz w:val="21"/>
      <w:szCs w:val="24"/>
    </w:rPr>
  </w:style>
  <w:style w:type="paragraph" w:styleId="90">
    <w:name w:val="index 9"/>
    <w:basedOn w:val="a3"/>
    <w:next w:val="a3"/>
    <w:unhideWhenUsed/>
    <w:qFormat/>
    <w:pPr>
      <w:ind w:leftChars="1600" w:left="1600"/>
    </w:pPr>
    <w:rPr>
      <w:rFonts w:hint="eastAsia"/>
      <w:sz w:val="21"/>
      <w:szCs w:val="24"/>
    </w:rPr>
  </w:style>
  <w:style w:type="paragraph" w:styleId="aff2">
    <w:name w:val="table of figures"/>
    <w:basedOn w:val="a3"/>
    <w:next w:val="a3"/>
    <w:unhideWhenUsed/>
    <w:qFormat/>
    <w:pPr>
      <w:ind w:left="600" w:hanging="600"/>
      <w:jc w:val="left"/>
    </w:pPr>
    <w:rPr>
      <w:rFonts w:hint="eastAsia"/>
      <w:smallCaps/>
      <w:sz w:val="20"/>
      <w:szCs w:val="20"/>
    </w:rPr>
  </w:style>
  <w:style w:type="paragraph" w:styleId="24">
    <w:name w:val="toc 2"/>
    <w:basedOn w:val="a3"/>
    <w:next w:val="a3"/>
    <w:uiPriority w:val="39"/>
    <w:unhideWhenUsed/>
    <w:qFormat/>
    <w:pPr>
      <w:tabs>
        <w:tab w:val="right" w:leader="dot" w:pos="8296"/>
      </w:tabs>
      <w:spacing w:line="440" w:lineRule="exact"/>
      <w:ind w:firstLine="560"/>
    </w:pPr>
  </w:style>
  <w:style w:type="paragraph" w:styleId="92">
    <w:name w:val="toc 9"/>
    <w:basedOn w:val="a3"/>
    <w:next w:val="a3"/>
    <w:uiPriority w:val="39"/>
    <w:unhideWhenUsed/>
    <w:qFormat/>
    <w:pPr>
      <w:spacing w:line="240" w:lineRule="auto"/>
      <w:ind w:leftChars="1600" w:left="3360" w:firstLineChars="0" w:firstLine="0"/>
    </w:pPr>
    <w:rPr>
      <w:rFonts w:eastAsiaTheme="minorEastAsia"/>
      <w:sz w:val="21"/>
      <w:szCs w:val="22"/>
    </w:rPr>
  </w:style>
  <w:style w:type="paragraph" w:styleId="25">
    <w:name w:val="Body Text 2"/>
    <w:basedOn w:val="a3"/>
    <w:link w:val="2Char0"/>
    <w:uiPriority w:val="99"/>
    <w:semiHidden/>
    <w:unhideWhenUsed/>
    <w:qFormat/>
    <w:pPr>
      <w:spacing w:after="120" w:line="480" w:lineRule="auto"/>
    </w:pPr>
  </w:style>
  <w:style w:type="paragraph" w:styleId="46">
    <w:name w:val="List 4"/>
    <w:basedOn w:val="a3"/>
    <w:unhideWhenUsed/>
    <w:qFormat/>
    <w:pPr>
      <w:ind w:leftChars="600" w:left="100" w:hangingChars="200" w:hanging="200"/>
    </w:pPr>
    <w:rPr>
      <w:rFonts w:hint="eastAsia"/>
      <w:sz w:val="21"/>
      <w:szCs w:val="24"/>
    </w:rPr>
  </w:style>
  <w:style w:type="paragraph" w:styleId="26">
    <w:name w:val="List Continue 2"/>
    <w:basedOn w:val="a3"/>
    <w:unhideWhenUsed/>
    <w:qFormat/>
    <w:pPr>
      <w:spacing w:after="120"/>
      <w:ind w:left="840"/>
    </w:pPr>
    <w:rPr>
      <w:rFonts w:ascii="新宋体" w:eastAsia="仿宋_GB2312" w:hAnsi="新宋体" w:hint="eastAsia"/>
      <w:sz w:val="28"/>
      <w:szCs w:val="20"/>
    </w:rPr>
  </w:style>
  <w:style w:type="paragraph" w:styleId="aff3">
    <w:name w:val="Message Header"/>
    <w:basedOn w:val="a3"/>
    <w:link w:val="Chard"/>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hint="eastAsia"/>
      <w:sz w:val="21"/>
      <w:szCs w:val="24"/>
    </w:rPr>
  </w:style>
  <w:style w:type="paragraph" w:styleId="HTML0">
    <w:name w:val="HTML Preformatted"/>
    <w:basedOn w:val="a3"/>
    <w:link w:val="HTMLChar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Cs w:val="24"/>
    </w:rPr>
  </w:style>
  <w:style w:type="paragraph" w:styleId="aff4">
    <w:name w:val="Normal (Web)"/>
    <w:basedOn w:val="a3"/>
    <w:uiPriority w:val="99"/>
    <w:semiHidden/>
    <w:unhideWhenUsed/>
    <w:qFormat/>
    <w:pPr>
      <w:spacing w:beforeAutospacing="1" w:afterAutospacing="1"/>
      <w:jc w:val="left"/>
    </w:pPr>
    <w:rPr>
      <w:rFonts w:ascii="宋体" w:hAnsi="宋体" w:cs="宋体" w:hint="eastAsia"/>
      <w:color w:val="000000"/>
      <w:szCs w:val="24"/>
    </w:rPr>
  </w:style>
  <w:style w:type="paragraph" w:styleId="37">
    <w:name w:val="List Continue 3"/>
    <w:basedOn w:val="a3"/>
    <w:unhideWhenUsed/>
    <w:qFormat/>
    <w:pPr>
      <w:spacing w:after="120"/>
      <w:ind w:leftChars="600" w:left="1260"/>
    </w:pPr>
    <w:rPr>
      <w:rFonts w:hint="eastAsia"/>
      <w:sz w:val="21"/>
      <w:szCs w:val="24"/>
    </w:rPr>
  </w:style>
  <w:style w:type="paragraph" w:styleId="27">
    <w:name w:val="index 2"/>
    <w:basedOn w:val="a3"/>
    <w:next w:val="a3"/>
    <w:unhideWhenUsed/>
    <w:qFormat/>
    <w:pPr>
      <w:ind w:leftChars="200" w:left="200"/>
    </w:pPr>
    <w:rPr>
      <w:rFonts w:hint="eastAsia"/>
      <w:sz w:val="21"/>
      <w:szCs w:val="24"/>
    </w:rPr>
  </w:style>
  <w:style w:type="paragraph" w:styleId="aff5">
    <w:name w:val="Title"/>
    <w:basedOn w:val="a3"/>
    <w:next w:val="a3"/>
    <w:link w:val="Char10"/>
    <w:uiPriority w:val="10"/>
    <w:qFormat/>
    <w:pPr>
      <w:spacing w:before="240" w:after="60"/>
      <w:jc w:val="center"/>
      <w:outlineLvl w:val="0"/>
    </w:pPr>
    <w:rPr>
      <w:rFonts w:ascii="Arial" w:hAnsi="Arial"/>
      <w:b/>
      <w:bCs/>
      <w:sz w:val="32"/>
      <w:szCs w:val="32"/>
    </w:rPr>
  </w:style>
  <w:style w:type="paragraph" w:styleId="aff6">
    <w:name w:val="annotation subject"/>
    <w:basedOn w:val="af0"/>
    <w:next w:val="af0"/>
    <w:link w:val="Char31"/>
    <w:uiPriority w:val="99"/>
    <w:semiHidden/>
    <w:unhideWhenUsed/>
    <w:qFormat/>
    <w:pPr>
      <w:widowControl w:val="0"/>
    </w:pPr>
    <w:rPr>
      <w:b/>
    </w:rPr>
  </w:style>
  <w:style w:type="paragraph" w:styleId="aff7">
    <w:name w:val="Body Text First Indent"/>
    <w:basedOn w:val="a5"/>
    <w:link w:val="Chare"/>
    <w:uiPriority w:val="99"/>
    <w:unhideWhenUsed/>
    <w:qFormat/>
    <w:pPr>
      <w:ind w:firstLineChars="100" w:firstLine="420"/>
    </w:pPr>
  </w:style>
  <w:style w:type="paragraph" w:styleId="28">
    <w:name w:val="Body Text First Indent 2"/>
    <w:basedOn w:val="af4"/>
    <w:link w:val="2Char1"/>
    <w:uiPriority w:val="99"/>
    <w:semiHidden/>
    <w:unhideWhenUsed/>
    <w:qFormat/>
    <w:pPr>
      <w:ind w:firstLine="420"/>
    </w:pPr>
  </w:style>
  <w:style w:type="table" w:styleId="aff8">
    <w:name w:val="Table Grid"/>
    <w:basedOn w:val="a7"/>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6"/>
    <w:uiPriority w:val="22"/>
    <w:qFormat/>
    <w:rPr>
      <w:b/>
    </w:rPr>
  </w:style>
  <w:style w:type="character" w:styleId="affa">
    <w:name w:val="endnote reference"/>
    <w:unhideWhenUsed/>
    <w:qFormat/>
    <w:rPr>
      <w:rFonts w:eastAsia="宋体" w:hint="default"/>
      <w:kern w:val="2"/>
      <w:sz w:val="21"/>
      <w:szCs w:val="24"/>
      <w:vertAlign w:val="superscript"/>
      <w:lang w:val="en-US" w:eastAsia="zh-CN"/>
    </w:rPr>
  </w:style>
  <w:style w:type="character" w:styleId="affb">
    <w:name w:val="page number"/>
    <w:basedOn w:val="a6"/>
    <w:qFormat/>
  </w:style>
  <w:style w:type="character" w:styleId="affc">
    <w:name w:val="FollowedHyperlink"/>
    <w:basedOn w:val="a6"/>
    <w:uiPriority w:val="99"/>
    <w:semiHidden/>
    <w:unhideWhenUsed/>
    <w:qFormat/>
    <w:rPr>
      <w:color w:val="800080"/>
      <w:u w:val="single"/>
    </w:rPr>
  </w:style>
  <w:style w:type="character" w:styleId="affd">
    <w:name w:val="Emphasis"/>
    <w:basedOn w:val="a6"/>
    <w:uiPriority w:val="20"/>
    <w:qFormat/>
    <w:rPr>
      <w:i/>
    </w:rPr>
  </w:style>
  <w:style w:type="character" w:styleId="affe">
    <w:name w:val="line number"/>
    <w:basedOn w:val="a6"/>
    <w:unhideWhenUsed/>
    <w:qFormat/>
    <w:rPr>
      <w:rFonts w:cs="Times New Roman" w:hint="default"/>
      <w:sz w:val="24"/>
      <w:szCs w:val="24"/>
    </w:rPr>
  </w:style>
  <w:style w:type="character" w:styleId="HTML1">
    <w:name w:val="HTML Definition"/>
    <w:unhideWhenUsed/>
    <w:qFormat/>
    <w:rPr>
      <w:rFonts w:hint="default"/>
      <w:i/>
      <w:sz w:val="24"/>
      <w:szCs w:val="24"/>
    </w:rPr>
  </w:style>
  <w:style w:type="character" w:styleId="HTML2">
    <w:name w:val="HTML Typewriter"/>
    <w:unhideWhenUsed/>
    <w:qFormat/>
    <w:rPr>
      <w:rFonts w:ascii="Courier New" w:hint="default"/>
      <w:sz w:val="20"/>
      <w:szCs w:val="24"/>
    </w:rPr>
  </w:style>
  <w:style w:type="character" w:styleId="HTML3">
    <w:name w:val="HTML Acronym"/>
    <w:basedOn w:val="a6"/>
    <w:unhideWhenUsed/>
    <w:qFormat/>
    <w:rPr>
      <w:rFonts w:cs="Times New Roman" w:hint="default"/>
      <w:sz w:val="24"/>
      <w:szCs w:val="24"/>
    </w:rPr>
  </w:style>
  <w:style w:type="character" w:styleId="HTML4">
    <w:name w:val="HTML Variable"/>
    <w:unhideWhenUsed/>
    <w:qFormat/>
    <w:rPr>
      <w:rFonts w:hint="default"/>
      <w:i/>
      <w:sz w:val="24"/>
      <w:szCs w:val="24"/>
    </w:rPr>
  </w:style>
  <w:style w:type="character" w:styleId="afff">
    <w:name w:val="Hyperlink"/>
    <w:basedOn w:val="a6"/>
    <w:uiPriority w:val="99"/>
    <w:unhideWhenUsed/>
    <w:qFormat/>
    <w:rPr>
      <w:color w:val="0000FF" w:themeColor="hyperlink"/>
      <w:u w:val="single"/>
    </w:rPr>
  </w:style>
  <w:style w:type="character" w:styleId="HTML5">
    <w:name w:val="HTML Code"/>
    <w:unhideWhenUsed/>
    <w:qFormat/>
    <w:rPr>
      <w:rFonts w:ascii="Courier New" w:hint="default"/>
      <w:sz w:val="20"/>
      <w:szCs w:val="24"/>
    </w:rPr>
  </w:style>
  <w:style w:type="character" w:styleId="afff0">
    <w:name w:val="annotation reference"/>
    <w:basedOn w:val="a6"/>
    <w:uiPriority w:val="99"/>
    <w:unhideWhenUsed/>
    <w:qFormat/>
    <w:rPr>
      <w:sz w:val="21"/>
      <w:szCs w:val="21"/>
    </w:rPr>
  </w:style>
  <w:style w:type="character" w:styleId="HTML6">
    <w:name w:val="HTML Cite"/>
    <w:unhideWhenUsed/>
    <w:qFormat/>
    <w:rPr>
      <w:rFonts w:hint="default"/>
      <w:i/>
      <w:sz w:val="24"/>
      <w:szCs w:val="24"/>
    </w:rPr>
  </w:style>
  <w:style w:type="character" w:styleId="afff1">
    <w:name w:val="footnote reference"/>
    <w:uiPriority w:val="99"/>
    <w:unhideWhenUsed/>
    <w:qFormat/>
    <w:rPr>
      <w:vertAlign w:val="superscript"/>
    </w:rPr>
  </w:style>
  <w:style w:type="character" w:styleId="HTML7">
    <w:name w:val="HTML Keyboard"/>
    <w:unhideWhenUsed/>
    <w:qFormat/>
    <w:rPr>
      <w:rFonts w:ascii="Courier New" w:hint="default"/>
      <w:sz w:val="20"/>
      <w:szCs w:val="24"/>
    </w:rPr>
  </w:style>
  <w:style w:type="character" w:styleId="HTML8">
    <w:name w:val="HTML Sample"/>
    <w:unhideWhenUsed/>
    <w:qFormat/>
    <w:rPr>
      <w:rFonts w:ascii="Courier New" w:hint="default"/>
      <w:sz w:val="24"/>
      <w:szCs w:val="24"/>
    </w:rPr>
  </w:style>
  <w:style w:type="paragraph" w:customStyle="1" w:styleId="PlainText1">
    <w:name w:val="Plain Text1"/>
    <w:basedOn w:val="a3"/>
    <w:link w:val="230"/>
    <w:unhideWhenUsed/>
    <w:qFormat/>
    <w:pPr>
      <w:adjustRightInd w:val="0"/>
      <w:textAlignment w:val="baseline"/>
    </w:pPr>
    <w:rPr>
      <w:rFonts w:ascii="宋体" w:hAnsi="Courier New" w:hint="eastAsia"/>
      <w:sz w:val="28"/>
      <w:szCs w:val="20"/>
    </w:rPr>
  </w:style>
  <w:style w:type="paragraph" w:customStyle="1" w:styleId="12">
    <w:name w:val="正文文本1"/>
    <w:basedOn w:val="a3"/>
    <w:link w:val="210"/>
    <w:unhideWhenUsed/>
    <w:qFormat/>
    <w:pPr>
      <w:widowControl/>
      <w:spacing w:after="120"/>
      <w:jc w:val="left"/>
    </w:pPr>
    <w:rPr>
      <w:rFonts w:hint="eastAsia"/>
      <w:szCs w:val="24"/>
    </w:rPr>
  </w:style>
  <w:style w:type="paragraph" w:customStyle="1" w:styleId="BodyTextIndent1">
    <w:name w:val="Body Text Indent1"/>
    <w:basedOn w:val="a3"/>
    <w:link w:val="211"/>
    <w:unhideWhenUsed/>
    <w:qFormat/>
    <w:pPr>
      <w:spacing w:after="120"/>
      <w:ind w:leftChars="200" w:left="420"/>
    </w:pPr>
    <w:rPr>
      <w:rFonts w:hint="eastAsia"/>
      <w:sz w:val="21"/>
      <w:szCs w:val="24"/>
    </w:rPr>
  </w:style>
  <w:style w:type="paragraph" w:customStyle="1" w:styleId="xl27">
    <w:name w:val="xl27"/>
    <w:basedOn w:val="a3"/>
    <w:qFormat/>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afff2">
    <w:name w:val="表格内"/>
    <w:basedOn w:val="a3"/>
    <w:qFormat/>
    <w:pPr>
      <w:widowControl/>
      <w:adjustRightInd w:val="0"/>
      <w:snapToGrid w:val="0"/>
      <w:spacing w:after="200" w:line="360" w:lineRule="exact"/>
      <w:jc w:val="center"/>
    </w:pPr>
    <w:rPr>
      <w:rFonts w:eastAsia="微软雅黑"/>
      <w:snapToGrid w:val="0"/>
      <w:kern w:val="0"/>
      <w:sz w:val="22"/>
    </w:rPr>
  </w:style>
  <w:style w:type="paragraph" w:customStyle="1" w:styleId="47">
    <w:name w:val="正文4"/>
    <w:qFormat/>
    <w:pPr>
      <w:widowControl w:val="0"/>
      <w:spacing w:line="540" w:lineRule="exact"/>
      <w:ind w:firstLineChars="200" w:firstLine="200"/>
    </w:pPr>
    <w:rPr>
      <w:rFonts w:ascii="宋体" w:hAnsi="宋体"/>
      <w:kern w:val="2"/>
      <w:sz w:val="28"/>
      <w:szCs w:val="28"/>
    </w:rPr>
  </w:style>
  <w:style w:type="paragraph" w:customStyle="1" w:styleId="13">
    <w:name w:val="1"/>
    <w:basedOn w:val="10"/>
    <w:next w:val="af4"/>
    <w:semiHidden/>
    <w:qFormat/>
    <w:rPr>
      <w:szCs w:val="24"/>
    </w:rPr>
  </w:style>
  <w:style w:type="character" w:customStyle="1" w:styleId="29">
    <w:name w:val="标题 2 字符"/>
    <w:basedOn w:val="a6"/>
    <w:uiPriority w:val="9"/>
    <w:qFormat/>
    <w:rPr>
      <w:rFonts w:ascii="Times New Roman" w:eastAsia="宋体" w:hAnsi="Times New Roman" w:cstheme="majorBidi"/>
      <w:b/>
      <w:bCs/>
      <w:sz w:val="28"/>
      <w:szCs w:val="32"/>
    </w:rPr>
  </w:style>
  <w:style w:type="paragraph" w:customStyle="1" w:styleId="afff3">
    <w:name w:val="表头"/>
    <w:link w:val="Charf"/>
    <w:qFormat/>
    <w:pPr>
      <w:ind w:firstLineChars="200" w:firstLine="200"/>
    </w:pPr>
    <w:rPr>
      <w:rFonts w:cstheme="minorBidi"/>
      <w:b/>
      <w:color w:val="000000" w:themeColor="text1"/>
      <w:kern w:val="2"/>
      <w:sz w:val="24"/>
      <w:szCs w:val="21"/>
    </w:rPr>
  </w:style>
  <w:style w:type="character" w:customStyle="1" w:styleId="Charf">
    <w:name w:val="表头 Char"/>
    <w:basedOn w:val="a6"/>
    <w:link w:val="afff3"/>
    <w:qFormat/>
    <w:rPr>
      <w:rFonts w:ascii="Times New Roman" w:eastAsia="宋体" w:hAnsi="Times New Roman"/>
      <w:b/>
      <w:color w:val="000000" w:themeColor="text1"/>
      <w:sz w:val="24"/>
    </w:rPr>
  </w:style>
  <w:style w:type="character" w:customStyle="1" w:styleId="38">
    <w:name w:val="标题 3 字符"/>
    <w:basedOn w:val="a6"/>
    <w:uiPriority w:val="9"/>
    <w:qFormat/>
    <w:rPr>
      <w:rFonts w:eastAsia="宋体"/>
      <w:b/>
      <w:bCs/>
      <w:sz w:val="28"/>
      <w:szCs w:val="32"/>
    </w:rPr>
  </w:style>
  <w:style w:type="paragraph" w:customStyle="1" w:styleId="Default">
    <w:name w:val="Default"/>
    <w:basedOn w:val="14"/>
    <w:link w:val="Default0"/>
    <w:qFormat/>
    <w:pPr>
      <w:autoSpaceDE w:val="0"/>
      <w:autoSpaceDN w:val="0"/>
    </w:pPr>
    <w:rPr>
      <w:rFonts w:ascii="Times New Roman" w:hAnsi="Times New Roman" w:cs="Times New Roman"/>
      <w:color w:val="000000"/>
      <w:szCs w:val="24"/>
    </w:rPr>
  </w:style>
  <w:style w:type="paragraph" w:customStyle="1" w:styleId="14">
    <w:name w:val="纯文本1"/>
    <w:basedOn w:val="a3"/>
    <w:qFormat/>
    <w:pPr>
      <w:tabs>
        <w:tab w:val="left" w:pos="2760"/>
      </w:tabs>
      <w:adjustRightInd w:val="0"/>
    </w:pPr>
    <w:rPr>
      <w:rFonts w:ascii="宋体" w:hAnsi="Courier New"/>
      <w:szCs w:val="20"/>
    </w:rPr>
  </w:style>
  <w:style w:type="character" w:customStyle="1" w:styleId="Char2">
    <w:name w:val="正文文本 Char2"/>
    <w:basedOn w:val="a6"/>
    <w:link w:val="a5"/>
    <w:uiPriority w:val="99"/>
    <w:semiHidden/>
    <w:qFormat/>
    <w:rPr>
      <w:rFonts w:eastAsia="宋体"/>
      <w:sz w:val="28"/>
    </w:rPr>
  </w:style>
  <w:style w:type="character" w:customStyle="1" w:styleId="15">
    <w:name w:val="标题 1 字符"/>
    <w:basedOn w:val="a6"/>
    <w:uiPriority w:val="9"/>
    <w:qFormat/>
    <w:rPr>
      <w:rFonts w:eastAsia="宋体"/>
      <w:b/>
      <w:color w:val="000000" w:themeColor="text1"/>
      <w:sz w:val="30"/>
    </w:rPr>
  </w:style>
  <w:style w:type="character" w:customStyle="1" w:styleId="48">
    <w:name w:val="标题 4 字符"/>
    <w:basedOn w:val="a6"/>
    <w:uiPriority w:val="9"/>
    <w:qFormat/>
    <w:rPr>
      <w:rFonts w:ascii="Times New Roman" w:eastAsia="宋体" w:hAnsi="Times New Roman" w:cstheme="majorBidi"/>
      <w:b/>
      <w:bCs/>
      <w:sz w:val="28"/>
      <w:szCs w:val="28"/>
    </w:rPr>
  </w:style>
  <w:style w:type="character" w:customStyle="1" w:styleId="Char9">
    <w:name w:val="页眉 Char"/>
    <w:basedOn w:val="a6"/>
    <w:link w:val="afc"/>
    <w:uiPriority w:val="99"/>
    <w:qFormat/>
    <w:rPr>
      <w:sz w:val="18"/>
      <w:szCs w:val="18"/>
    </w:rPr>
  </w:style>
  <w:style w:type="character" w:customStyle="1" w:styleId="Char30">
    <w:name w:val="页脚 Char3"/>
    <w:basedOn w:val="a6"/>
    <w:link w:val="afa"/>
    <w:uiPriority w:val="99"/>
    <w:qFormat/>
    <w:rPr>
      <w:sz w:val="18"/>
      <w:szCs w:val="18"/>
    </w:rPr>
  </w:style>
  <w:style w:type="table" w:customStyle="1" w:styleId="afff4">
    <w:name w:val="表格"/>
    <w:basedOn w:val="a7"/>
    <w:uiPriority w:val="99"/>
    <w:qFormat/>
    <w:pPr>
      <w:jc w:val="center"/>
    </w:pPr>
    <w:rPr>
      <w:rFonts w:eastAsia="仿宋_GB2312" w:hint="eastAsia"/>
      <w:sz w:val="24"/>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6">
    <w:name w:val="表1"/>
    <w:basedOn w:val="a7"/>
    <w:uiPriority w:val="99"/>
    <w:qFormat/>
    <w:rPr>
      <w:rFonts w:hint="eastAsia"/>
      <w:sz w:val="21"/>
      <w:szCs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character" w:customStyle="1" w:styleId="Char21">
    <w:name w:val="批注框文本 Char2"/>
    <w:basedOn w:val="a6"/>
    <w:link w:val="af9"/>
    <w:uiPriority w:val="99"/>
    <w:semiHidden/>
    <w:qFormat/>
    <w:rPr>
      <w:rFonts w:eastAsia="宋体"/>
      <w:sz w:val="18"/>
      <w:szCs w:val="18"/>
    </w:rPr>
  </w:style>
  <w:style w:type="character" w:customStyle="1" w:styleId="afff5">
    <w:name w:val="日期 字符"/>
    <w:basedOn w:val="a6"/>
    <w:uiPriority w:val="99"/>
    <w:semiHidden/>
    <w:qFormat/>
    <w:rPr>
      <w:rFonts w:eastAsia="宋体"/>
      <w:sz w:val="28"/>
    </w:rPr>
  </w:style>
  <w:style w:type="character" w:customStyle="1" w:styleId="Char20">
    <w:name w:val="批注文字 Char2"/>
    <w:basedOn w:val="a6"/>
    <w:link w:val="af0"/>
    <w:uiPriority w:val="99"/>
    <w:qFormat/>
    <w:rPr>
      <w:rFonts w:ascii="Times New Roman" w:eastAsia="宋体" w:hAnsi="Times New Roman"/>
      <w:sz w:val="24"/>
      <w:szCs w:val="22"/>
    </w:rPr>
  </w:style>
  <w:style w:type="paragraph" w:customStyle="1" w:styleId="afff6">
    <w:name w:val="表格内文字"/>
    <w:basedOn w:val="a3"/>
    <w:link w:val="Charf0"/>
    <w:qFormat/>
    <w:pPr>
      <w:widowControl/>
      <w:spacing w:line="320" w:lineRule="exact"/>
      <w:ind w:firstLineChars="0" w:firstLine="0"/>
      <w:jc w:val="center"/>
    </w:pPr>
    <w:rPr>
      <w:sz w:val="21"/>
    </w:rPr>
  </w:style>
  <w:style w:type="character" w:customStyle="1" w:styleId="Charf0">
    <w:name w:val="表格内文字 Char"/>
    <w:basedOn w:val="a6"/>
    <w:link w:val="afff6"/>
    <w:qFormat/>
    <w:rPr>
      <w:rFonts w:ascii="Times New Roman" w:eastAsia="宋体" w:hAnsi="Times New Roman"/>
    </w:rPr>
  </w:style>
  <w:style w:type="character" w:customStyle="1" w:styleId="afff7">
    <w:name w:val="批注主题 字符"/>
    <w:basedOn w:val="Char20"/>
    <w:uiPriority w:val="99"/>
    <w:semiHidden/>
    <w:qFormat/>
    <w:rPr>
      <w:rFonts w:ascii="Times New Roman" w:eastAsia="宋体" w:hAnsi="Times New Roman"/>
      <w:b/>
      <w:bCs/>
      <w:sz w:val="28"/>
      <w:szCs w:val="22"/>
    </w:rPr>
  </w:style>
  <w:style w:type="character" w:customStyle="1" w:styleId="2a">
    <w:name w:val="正文文本 2 字符"/>
    <w:basedOn w:val="a6"/>
    <w:uiPriority w:val="99"/>
    <w:semiHidden/>
    <w:qFormat/>
    <w:rPr>
      <w:rFonts w:eastAsia="宋体"/>
      <w:sz w:val="28"/>
    </w:rPr>
  </w:style>
  <w:style w:type="character" w:customStyle="1" w:styleId="afff8">
    <w:name w:val="正文文本首行缩进 字符"/>
    <w:basedOn w:val="Char2"/>
    <w:uiPriority w:val="99"/>
    <w:semiHidden/>
    <w:qFormat/>
    <w:rPr>
      <w:rFonts w:eastAsia="宋体"/>
      <w:sz w:val="28"/>
    </w:rPr>
  </w:style>
  <w:style w:type="character" w:customStyle="1" w:styleId="Char11">
    <w:name w:val="批注文字 Char1"/>
    <w:basedOn w:val="a6"/>
    <w:uiPriority w:val="99"/>
    <w:semiHidden/>
    <w:qFormat/>
    <w:rPr>
      <w:rFonts w:ascii="Times New Roman" w:eastAsia="宋体" w:hAnsi="Times New Roman" w:cs="Times New Roman"/>
      <w:szCs w:val="24"/>
    </w:rPr>
  </w:style>
  <w:style w:type="paragraph" w:styleId="afff9">
    <w:name w:val="List Paragraph"/>
    <w:basedOn w:val="a3"/>
    <w:link w:val="Charf1"/>
    <w:uiPriority w:val="1"/>
    <w:qFormat/>
    <w:pPr>
      <w:ind w:left="1498" w:hanging="602"/>
    </w:pPr>
    <w:rPr>
      <w:rFonts w:ascii="宋体" w:hAnsi="宋体" w:cs="宋体"/>
      <w:lang w:val="zh-CN" w:bidi="zh-CN"/>
    </w:rPr>
  </w:style>
  <w:style w:type="paragraph" w:customStyle="1" w:styleId="afffa">
    <w:name w:val="表内"/>
    <w:basedOn w:val="a3"/>
    <w:qFormat/>
    <w:pPr>
      <w:widowControl/>
      <w:jc w:val="center"/>
    </w:pPr>
    <w:rPr>
      <w:rFonts w:cs="宋体"/>
      <w:kern w:val="0"/>
    </w:rPr>
  </w:style>
  <w:style w:type="paragraph" w:customStyle="1" w:styleId="TableParagraph">
    <w:name w:val="Table Paragraph"/>
    <w:basedOn w:val="a3"/>
    <w:link w:val="TableParagraphChar"/>
    <w:uiPriority w:val="1"/>
    <w:qFormat/>
  </w:style>
  <w:style w:type="paragraph" w:customStyle="1" w:styleId="afffb">
    <w:name w:val="注：样式"/>
    <w:qFormat/>
    <w:pPr>
      <w:widowControl w:val="0"/>
      <w:ind w:firstLineChars="200" w:firstLine="200"/>
      <w:jc w:val="both"/>
    </w:pPr>
    <w:rPr>
      <w:rFonts w:eastAsia="黑体" w:cstheme="minorBidi"/>
      <w:kern w:val="2"/>
      <w:sz w:val="21"/>
      <w:szCs w:val="21"/>
    </w:rPr>
  </w:style>
  <w:style w:type="character" w:customStyle="1" w:styleId="font11">
    <w:name w:val="font11"/>
    <w:basedOn w:val="a6"/>
    <w:qFormat/>
    <w:rPr>
      <w:rFonts w:ascii="Times New Roman" w:hAnsi="Times New Roman" w:cs="Times New Roman" w:hint="default"/>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Bodytext1">
    <w:name w:val="Body text|1"/>
    <w:basedOn w:val="a3"/>
    <w:qFormat/>
    <w:pPr>
      <w:spacing w:line="403" w:lineRule="auto"/>
      <w:ind w:firstLine="400"/>
    </w:pPr>
    <w:rPr>
      <w:rFonts w:ascii="宋体" w:hAnsi="宋体" w:cs="宋体"/>
      <w:sz w:val="28"/>
      <w:szCs w:val="28"/>
      <w:lang w:val="zh-TW" w:eastAsia="zh-TW" w:bidi="zh-TW"/>
    </w:rPr>
  </w:style>
  <w:style w:type="paragraph" w:customStyle="1" w:styleId="afffc">
    <w:name w:val="文章正文"/>
    <w:basedOn w:val="a3"/>
    <w:qFormat/>
    <w:pPr>
      <w:tabs>
        <w:tab w:val="left" w:pos="560"/>
        <w:tab w:val="left" w:pos="630"/>
      </w:tabs>
      <w:spacing w:line="500" w:lineRule="exact"/>
      <w:ind w:firstLine="571"/>
      <w:jc w:val="left"/>
    </w:pPr>
    <w:rPr>
      <w:rFonts w:ascii="宋体" w:hAnsi="宋体"/>
      <w:color w:val="000000"/>
      <w:szCs w:val="28"/>
      <w:lang w:val="zh-CN"/>
    </w:rPr>
  </w:style>
  <w:style w:type="paragraph" w:customStyle="1" w:styleId="08505">
    <w:name w:val="样式 样式 首行缩进:  0.85 厘米 + 段前: 0.5 行"/>
    <w:basedOn w:val="a3"/>
    <w:qFormat/>
    <w:pPr>
      <w:spacing w:before="50"/>
      <w:ind w:firstLine="482"/>
    </w:pPr>
  </w:style>
  <w:style w:type="paragraph" w:customStyle="1" w:styleId="afffd">
    <w:name w:val="表头、图号"/>
    <w:basedOn w:val="a3"/>
    <w:qFormat/>
    <w:pPr>
      <w:spacing w:beforeLines="10" w:before="10" w:afterLines="10" w:after="10"/>
      <w:ind w:firstLineChars="0" w:firstLine="0"/>
      <w:jc w:val="center"/>
    </w:pPr>
    <w:rPr>
      <w:rFonts w:eastAsia="黑体"/>
    </w:rPr>
  </w:style>
  <w:style w:type="paragraph" w:customStyle="1" w:styleId="afffe">
    <w:name w:val="表内文字"/>
    <w:basedOn w:val="a3"/>
    <w:qFormat/>
    <w:pPr>
      <w:spacing w:line="240" w:lineRule="auto"/>
      <w:ind w:firstLineChars="0" w:firstLine="0"/>
      <w:jc w:val="center"/>
    </w:pPr>
    <w:rPr>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Other1">
    <w:name w:val="Other|1"/>
    <w:basedOn w:val="a3"/>
    <w:qFormat/>
    <w:pPr>
      <w:ind w:firstLine="340"/>
    </w:pPr>
    <w:rPr>
      <w:rFonts w:ascii="宋体" w:hAnsi="宋体" w:cs="宋体"/>
      <w:sz w:val="18"/>
      <w:szCs w:val="18"/>
      <w:lang w:val="zh-TW" w:eastAsia="zh-TW" w:bidi="zh-TW"/>
    </w:rPr>
  </w:style>
  <w:style w:type="paragraph" w:customStyle="1" w:styleId="affff">
    <w:name w:val="！正文"/>
    <w:basedOn w:val="a3"/>
    <w:qFormat/>
    <w:pPr>
      <w:ind w:firstLine="420"/>
    </w:pPr>
  </w:style>
  <w:style w:type="paragraph" w:customStyle="1" w:styleId="affff0">
    <w:name w:val="表格文字"/>
    <w:basedOn w:val="PlainText1"/>
    <w:qFormat/>
    <w:pPr>
      <w:spacing w:line="240" w:lineRule="auto"/>
      <w:jc w:val="center"/>
    </w:pPr>
  </w:style>
  <w:style w:type="paragraph" w:customStyle="1" w:styleId="-">
    <w:name w:val="水保-表头"/>
    <w:basedOn w:val="a3"/>
    <w:qFormat/>
    <w:pPr>
      <w:widowControl/>
      <w:spacing w:line="240" w:lineRule="auto"/>
      <w:ind w:firstLine="480"/>
      <w:jc w:val="left"/>
    </w:pPr>
    <w:rPr>
      <w:rFonts w:eastAsia="黑体" w:cs="宋体"/>
      <w:kern w:val="0"/>
    </w:rPr>
  </w:style>
  <w:style w:type="paragraph" w:customStyle="1" w:styleId="-0">
    <w:name w:val="水保-表格内"/>
    <w:basedOn w:val="a3"/>
    <w:qFormat/>
    <w:pPr>
      <w:jc w:val="center"/>
    </w:pPr>
  </w:style>
  <w:style w:type="paragraph" w:customStyle="1" w:styleId="affff1">
    <w:name w:val="a正文排版格式"/>
    <w:basedOn w:val="a3"/>
    <w:qFormat/>
    <w:pPr>
      <w:tabs>
        <w:tab w:val="left" w:pos="2520"/>
      </w:tabs>
      <w:ind w:firstLine="560"/>
    </w:pPr>
    <w:rPr>
      <w:rFonts w:ascii="仿宋_GB2312" w:eastAsia="仿宋_GB2312"/>
      <w:kern w:val="0"/>
      <w:sz w:val="28"/>
      <w:szCs w:val="28"/>
    </w:rPr>
  </w:style>
  <w:style w:type="paragraph" w:customStyle="1" w:styleId="affff2">
    <w:name w:val="报告表格"/>
    <w:qFormat/>
    <w:pPr>
      <w:widowControl w:val="0"/>
      <w:autoSpaceDE w:val="0"/>
      <w:autoSpaceDN w:val="0"/>
      <w:adjustRightInd w:val="0"/>
      <w:jc w:val="center"/>
      <w:textAlignment w:val="baseline"/>
    </w:pPr>
    <w:rPr>
      <w:rFonts w:cstheme="minorBidi"/>
      <w:sz w:val="21"/>
    </w:rPr>
  </w:style>
  <w:style w:type="paragraph" w:customStyle="1" w:styleId="2b">
    <w:name w:val="正文文本 (2)"/>
    <w:basedOn w:val="a3"/>
    <w:qFormat/>
    <w:pPr>
      <w:shd w:val="clear" w:color="auto" w:fill="FFFFFF"/>
      <w:spacing w:line="277" w:lineRule="exact"/>
      <w:ind w:hanging="360"/>
      <w:jc w:val="distribute"/>
    </w:pPr>
    <w:rPr>
      <w:rFonts w:ascii="宋体" w:hAnsi="宋体"/>
      <w:kern w:val="0"/>
      <w:sz w:val="14"/>
      <w:szCs w:val="14"/>
    </w:rPr>
  </w:style>
  <w:style w:type="character" w:customStyle="1" w:styleId="2TimesNewRoman">
    <w:name w:val="正文文本 (2) + Times New Roman"/>
    <w:qFormat/>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character" w:customStyle="1" w:styleId="27pt">
    <w:name w:val="正文文本 (2) + 7 pt"/>
    <w:qFormat/>
    <w:rPr>
      <w:rFonts w:ascii="宋体" w:eastAsia="宋体" w:hAnsi="宋体" w:cs="宋体"/>
      <w:b/>
      <w:bCs/>
      <w:color w:val="000000"/>
      <w:spacing w:val="-10"/>
      <w:w w:val="100"/>
      <w:position w:val="0"/>
      <w:sz w:val="14"/>
      <w:szCs w:val="14"/>
      <w:u w:val="none"/>
      <w:shd w:val="clear" w:color="auto" w:fill="FFFFFF"/>
      <w:lang w:val="en-US" w:eastAsia="en-US" w:bidi="en-US"/>
    </w:rPr>
  </w:style>
  <w:style w:type="paragraph" w:customStyle="1" w:styleId="C">
    <w:name w:val="C表格正文"/>
    <w:basedOn w:val="affff3"/>
    <w:qFormat/>
    <w:pPr>
      <w:wordWrap w:val="0"/>
    </w:pPr>
    <w:rPr>
      <w:color w:val="auto"/>
    </w:rPr>
  </w:style>
  <w:style w:type="paragraph" w:customStyle="1" w:styleId="affff3">
    <w:name w:val="表格正文"/>
    <w:basedOn w:val="a3"/>
    <w:link w:val="Charf2"/>
    <w:qFormat/>
    <w:pPr>
      <w:snapToGrid w:val="0"/>
      <w:spacing w:line="240" w:lineRule="auto"/>
      <w:ind w:firstLineChars="0" w:firstLine="0"/>
      <w:jc w:val="center"/>
    </w:pPr>
    <w:rPr>
      <w:color w:val="000000"/>
      <w:kern w:val="0"/>
      <w:sz w:val="21"/>
    </w:rPr>
  </w:style>
  <w:style w:type="paragraph" w:customStyle="1" w:styleId="C0">
    <w:name w:val="C正文"/>
    <w:basedOn w:val="a3"/>
    <w:qFormat/>
    <w:pPr>
      <w:wordWrap w:val="0"/>
      <w:ind w:firstLine="480"/>
    </w:pPr>
  </w:style>
  <w:style w:type="paragraph" w:customStyle="1" w:styleId="17">
    <w:name w:val="正文文本 (17)"/>
    <w:basedOn w:val="a3"/>
    <w:qFormat/>
    <w:pPr>
      <w:shd w:val="clear" w:color="auto" w:fill="FFFFFF"/>
      <w:spacing w:before="60" w:line="306" w:lineRule="exact"/>
      <w:jc w:val="left"/>
    </w:pPr>
    <w:rPr>
      <w:rFonts w:ascii="宋体" w:hAnsi="宋体"/>
      <w:kern w:val="0"/>
      <w:sz w:val="14"/>
      <w:szCs w:val="14"/>
    </w:rPr>
  </w:style>
  <w:style w:type="character" w:customStyle="1" w:styleId="17TimesNewRoman">
    <w:name w:val="正文文本 (17) + Times New Roman"/>
    <w:qFormat/>
    <w:rPr>
      <w:rFonts w:ascii="Times New Roman" w:eastAsia="Times New Roman" w:hAnsi="Times New Roman" w:cs="Times New Roman"/>
      <w:color w:val="000000"/>
      <w:spacing w:val="20"/>
      <w:w w:val="100"/>
      <w:position w:val="0"/>
      <w:sz w:val="17"/>
      <w:szCs w:val="17"/>
      <w:shd w:val="clear" w:color="auto" w:fill="FFFFFF"/>
      <w:lang w:val="en-US" w:eastAsia="en-US" w:bidi="en-US"/>
    </w:rPr>
  </w:style>
  <w:style w:type="paragraph" w:customStyle="1" w:styleId="18">
    <w:name w:val="正文文本 (18)"/>
    <w:basedOn w:val="a3"/>
    <w:qFormat/>
    <w:pPr>
      <w:shd w:val="clear" w:color="auto" w:fill="FFFFFF"/>
      <w:spacing w:line="296" w:lineRule="exact"/>
      <w:jc w:val="left"/>
    </w:pPr>
    <w:rPr>
      <w:rFonts w:ascii="宋体" w:hAnsi="宋体"/>
      <w:kern w:val="0"/>
      <w:sz w:val="14"/>
      <w:szCs w:val="14"/>
    </w:rPr>
  </w:style>
  <w:style w:type="character" w:customStyle="1" w:styleId="18-1pt">
    <w:name w:val="正文文本 (18) + 间距 -1 pt"/>
    <w:qFormat/>
    <w:rPr>
      <w:rFonts w:ascii="宋体" w:eastAsia="宋体" w:hAnsi="宋体" w:cs="宋体"/>
      <w:color w:val="000000"/>
      <w:spacing w:val="-20"/>
      <w:w w:val="100"/>
      <w:position w:val="0"/>
      <w:sz w:val="14"/>
      <w:szCs w:val="14"/>
      <w:shd w:val="clear" w:color="auto" w:fill="FFFFFF"/>
      <w:lang w:val="en-US" w:eastAsia="en-US" w:bidi="en-US"/>
    </w:rPr>
  </w:style>
  <w:style w:type="character" w:customStyle="1" w:styleId="font31">
    <w:name w:val="font31"/>
    <w:basedOn w:val="a6"/>
    <w:qFormat/>
    <w:rPr>
      <w:rFonts w:ascii="宋体" w:eastAsia="宋体" w:hAnsi="宋体" w:cs="宋体"/>
      <w:color w:val="000000"/>
      <w:sz w:val="30"/>
      <w:szCs w:val="30"/>
      <w:u w:val="none"/>
    </w:rPr>
  </w:style>
  <w:style w:type="character" w:customStyle="1" w:styleId="font41">
    <w:name w:val="font41"/>
    <w:basedOn w:val="a6"/>
    <w:qFormat/>
    <w:rPr>
      <w:rFonts w:ascii="Calibri" w:hAnsi="Calibri" w:cs="Calibri"/>
      <w:b/>
      <w:bCs/>
      <w:color w:val="000000"/>
      <w:sz w:val="26"/>
      <w:szCs w:val="26"/>
      <w:u w:val="none"/>
    </w:rPr>
  </w:style>
  <w:style w:type="character" w:customStyle="1" w:styleId="font51">
    <w:name w:val="font51"/>
    <w:basedOn w:val="a6"/>
    <w:qFormat/>
    <w:rPr>
      <w:rFonts w:ascii="宋体" w:eastAsia="宋体" w:hAnsi="宋体" w:cs="宋体"/>
      <w:color w:val="000000"/>
      <w:sz w:val="26"/>
      <w:szCs w:val="26"/>
      <w:u w:val="none"/>
    </w:rPr>
  </w:style>
  <w:style w:type="paragraph" w:customStyle="1" w:styleId="TableText">
    <w:name w:val="Table Text"/>
    <w:basedOn w:val="a3"/>
    <w:semiHidden/>
    <w:qFormat/>
    <w:rPr>
      <w:rFonts w:eastAsia="Times New Roman" w:cs="Times New Roman"/>
      <w:sz w:val="19"/>
      <w:szCs w:val="19"/>
      <w:lang w:eastAsia="en-US"/>
    </w:rPr>
  </w:style>
  <w:style w:type="paragraph" w:customStyle="1" w:styleId="affff4">
    <w:name w:val="陈正文"/>
    <w:basedOn w:val="a3"/>
    <w:next w:val="a3"/>
    <w:link w:val="Charf3"/>
    <w:qFormat/>
    <w:rPr>
      <w:rFonts w:ascii="宋体" w:eastAsiaTheme="minorEastAsia" w:hAnsi="宋体" w:cs="宋体"/>
      <w:szCs w:val="24"/>
    </w:rPr>
  </w:style>
  <w:style w:type="table" w:customStyle="1" w:styleId="610">
    <w:name w:val="网格型61"/>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图表头"/>
    <w:qFormat/>
    <w:pPr>
      <w:widowControl w:val="0"/>
      <w:adjustRightInd w:val="0"/>
      <w:spacing w:line="360" w:lineRule="auto"/>
      <w:jc w:val="center"/>
      <w:textAlignment w:val="baseline"/>
    </w:pPr>
    <w:rPr>
      <w:rFonts w:ascii="黑体" w:eastAsia="黑体"/>
      <w:spacing w:val="5"/>
      <w:sz w:val="21"/>
      <w:szCs w:val="24"/>
    </w:rPr>
  </w:style>
  <w:style w:type="character" w:customStyle="1" w:styleId="textismpc">
    <w:name w:val="text_ismpc"/>
    <w:qFormat/>
  </w:style>
  <w:style w:type="paragraph" w:customStyle="1" w:styleId="CM4">
    <w:name w:val="CM4"/>
    <w:basedOn w:val="Default"/>
    <w:next w:val="Default"/>
    <w:uiPriority w:val="99"/>
    <w:qFormat/>
    <w:pPr>
      <w:spacing w:line="468" w:lineRule="atLeast"/>
    </w:pPr>
    <w:rPr>
      <w:color w:val="auto"/>
    </w:rPr>
  </w:style>
  <w:style w:type="paragraph" w:customStyle="1" w:styleId="19">
    <w:name w:val="表格内容1"/>
    <w:basedOn w:val="a3"/>
    <w:qFormat/>
    <w:pPr>
      <w:tabs>
        <w:tab w:val="left" w:pos="1535"/>
        <w:tab w:val="left" w:pos="3105"/>
        <w:tab w:val="left" w:pos="4676"/>
        <w:tab w:val="left" w:pos="6247"/>
        <w:tab w:val="left" w:pos="7740"/>
        <w:tab w:val="left" w:pos="9288"/>
      </w:tabs>
      <w:snapToGrid w:val="0"/>
      <w:spacing w:line="240" w:lineRule="exact"/>
      <w:ind w:firstLineChars="0" w:firstLine="0"/>
      <w:jc w:val="center"/>
      <w:textAlignment w:val="baseline"/>
    </w:pPr>
    <w:rPr>
      <w:rFonts w:ascii="宋体" w:hAnsi="宋体" w:cs="Times New Roman"/>
      <w:color w:val="000000"/>
      <w:kern w:val="0"/>
      <w:sz w:val="21"/>
      <w:szCs w:val="16"/>
    </w:rPr>
  </w:style>
  <w:style w:type="paragraph" w:customStyle="1" w:styleId="001">
    <w:name w:val="正文001"/>
    <w:basedOn w:val="a3"/>
    <w:link w:val="001Char"/>
    <w:qFormat/>
    <w:pPr>
      <w:ind w:firstLine="482"/>
    </w:pPr>
  </w:style>
  <w:style w:type="paragraph" w:customStyle="1" w:styleId="affff6">
    <w:name w:val="表格内容"/>
    <w:basedOn w:val="a3"/>
    <w:link w:val="Char12"/>
    <w:qFormat/>
    <w:pPr>
      <w:overflowPunct w:val="0"/>
      <w:adjustRightInd w:val="0"/>
      <w:spacing w:before="40" w:after="60" w:line="200" w:lineRule="atLeast"/>
      <w:textAlignment w:val="baseline"/>
    </w:pPr>
    <w:rPr>
      <w:rFonts w:ascii="Arial" w:eastAsia="仿宋_GB2312" w:hAnsi="Arial"/>
      <w:kern w:val="0"/>
      <w:szCs w:val="20"/>
    </w:rPr>
  </w:style>
  <w:style w:type="paragraph" w:customStyle="1" w:styleId="A-">
    <w:name w:val="A-表格文字"/>
    <w:basedOn w:val="a3"/>
    <w:next w:val="a3"/>
    <w:link w:val="A-Char"/>
    <w:qFormat/>
    <w:pPr>
      <w:widowControl/>
      <w:autoSpaceDE w:val="0"/>
      <w:autoSpaceDN w:val="0"/>
      <w:adjustRightInd w:val="0"/>
      <w:jc w:val="center"/>
      <w:textAlignment w:val="center"/>
    </w:pPr>
    <w:rPr>
      <w:rFonts w:ascii="宋体" w:hAnsi="宋体" w:cs="宋体"/>
      <w:kern w:val="0"/>
      <w:lang w:eastAsia="en-US"/>
    </w:rPr>
  </w:style>
  <w:style w:type="table" w:customStyle="1" w:styleId="affff7">
    <w:name w:val="毛的表格"/>
    <w:basedOn w:val="a7"/>
    <w:qFormat/>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8">
    <w:name w:val="[正文格式]"/>
    <w:basedOn w:val="a3"/>
    <w:link w:val="Charf4"/>
    <w:qFormat/>
    <w:pPr>
      <w:spacing w:line="440" w:lineRule="exact"/>
      <w:ind w:firstLine="480"/>
    </w:pPr>
  </w:style>
  <w:style w:type="character" w:customStyle="1" w:styleId="font131">
    <w:name w:val="font131"/>
    <w:basedOn w:val="a6"/>
    <w:qFormat/>
    <w:rPr>
      <w:rFonts w:ascii="宋体" w:eastAsia="宋体" w:hAnsi="宋体" w:cs="宋体"/>
      <w:color w:val="000000"/>
      <w:sz w:val="4"/>
      <w:szCs w:val="4"/>
      <w:u w:val="none"/>
    </w:rPr>
  </w:style>
  <w:style w:type="character" w:customStyle="1" w:styleId="font141">
    <w:name w:val="font141"/>
    <w:basedOn w:val="a6"/>
    <w:qFormat/>
    <w:rPr>
      <w:rFonts w:ascii="Arial" w:hAnsi="Arial" w:cs="Arial"/>
      <w:color w:val="000000"/>
      <w:sz w:val="15"/>
      <w:szCs w:val="15"/>
      <w:u w:val="none"/>
    </w:rPr>
  </w:style>
  <w:style w:type="character" w:customStyle="1" w:styleId="font151">
    <w:name w:val="font151"/>
    <w:basedOn w:val="a6"/>
    <w:qFormat/>
    <w:rPr>
      <w:rFonts w:ascii="宋体" w:eastAsia="宋体" w:hAnsi="宋体" w:cs="宋体"/>
      <w:b/>
      <w:bCs/>
      <w:color w:val="000000"/>
      <w:sz w:val="16"/>
      <w:szCs w:val="16"/>
      <w:u w:val="none"/>
    </w:rPr>
  </w:style>
  <w:style w:type="character" w:customStyle="1" w:styleId="font161">
    <w:name w:val="font161"/>
    <w:basedOn w:val="a6"/>
    <w:qFormat/>
    <w:rPr>
      <w:rFonts w:ascii="宋体" w:eastAsia="宋体" w:hAnsi="宋体" w:cs="宋体"/>
      <w:color w:val="000000"/>
      <w:sz w:val="16"/>
      <w:szCs w:val="16"/>
      <w:u w:val="none"/>
    </w:rPr>
  </w:style>
  <w:style w:type="character" w:customStyle="1" w:styleId="font171">
    <w:name w:val="font171"/>
    <w:basedOn w:val="a6"/>
    <w:qFormat/>
    <w:rPr>
      <w:rFonts w:ascii="宋体" w:eastAsia="宋体" w:hAnsi="宋体" w:cs="宋体"/>
      <w:color w:val="842800"/>
      <w:sz w:val="16"/>
      <w:szCs w:val="16"/>
      <w:u w:val="none"/>
    </w:rPr>
  </w:style>
  <w:style w:type="character" w:customStyle="1" w:styleId="font61">
    <w:name w:val="font61"/>
    <w:basedOn w:val="a6"/>
    <w:qFormat/>
    <w:rPr>
      <w:rFonts w:ascii="宋体" w:eastAsia="宋体" w:hAnsi="宋体" w:cs="宋体"/>
      <w:color w:val="120085"/>
      <w:sz w:val="16"/>
      <w:szCs w:val="16"/>
      <w:u w:val="none"/>
    </w:rPr>
  </w:style>
  <w:style w:type="table" w:customStyle="1" w:styleId="TableGrid">
    <w:name w:val="TableGrid"/>
    <w:qFormat/>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font181">
    <w:name w:val="font181"/>
    <w:basedOn w:val="a6"/>
    <w:qFormat/>
    <w:rPr>
      <w:rFonts w:ascii="宋体" w:eastAsia="宋体" w:hAnsi="宋体" w:cs="宋体"/>
      <w:color w:val="000000"/>
      <w:sz w:val="8"/>
      <w:szCs w:val="8"/>
      <w:u w:val="none"/>
    </w:rPr>
  </w:style>
  <w:style w:type="character" w:customStyle="1" w:styleId="font191">
    <w:name w:val="font191"/>
    <w:basedOn w:val="a6"/>
    <w:qFormat/>
    <w:rPr>
      <w:rFonts w:ascii="宋体" w:eastAsia="宋体" w:hAnsi="宋体" w:cs="宋体"/>
      <w:color w:val="000000"/>
      <w:sz w:val="12"/>
      <w:szCs w:val="12"/>
      <w:u w:val="none"/>
    </w:rPr>
  </w:style>
  <w:style w:type="character" w:customStyle="1" w:styleId="font71">
    <w:name w:val="font71"/>
    <w:basedOn w:val="a6"/>
    <w:qFormat/>
    <w:rPr>
      <w:rFonts w:ascii="宋体" w:eastAsia="宋体" w:hAnsi="宋体" w:cs="宋体"/>
      <w:color w:val="002791"/>
      <w:sz w:val="10"/>
      <w:szCs w:val="10"/>
      <w:u w:val="none"/>
    </w:rPr>
  </w:style>
  <w:style w:type="character" w:customStyle="1" w:styleId="font201">
    <w:name w:val="font201"/>
    <w:basedOn w:val="a6"/>
    <w:qFormat/>
    <w:rPr>
      <w:rFonts w:ascii="宋体" w:eastAsia="宋体" w:hAnsi="宋体" w:cs="宋体"/>
      <w:color w:val="7A6674"/>
      <w:sz w:val="10"/>
      <w:szCs w:val="10"/>
      <w:u w:val="none"/>
    </w:rPr>
  </w:style>
  <w:style w:type="character" w:customStyle="1" w:styleId="font81">
    <w:name w:val="font81"/>
    <w:basedOn w:val="a6"/>
    <w:qFormat/>
    <w:rPr>
      <w:rFonts w:ascii="Arial" w:hAnsi="Arial" w:cs="Arial" w:hint="default"/>
      <w:color w:val="000000"/>
      <w:sz w:val="6"/>
      <w:szCs w:val="6"/>
      <w:u w:val="none"/>
    </w:rPr>
  </w:style>
  <w:style w:type="table" w:customStyle="1" w:styleId="1a">
    <w:name w:val="毛的表格1"/>
    <w:basedOn w:val="a7"/>
    <w:qFormat/>
    <w:pPr>
      <w:jc w:val="center"/>
    </w:pPr>
    <w:rPr>
      <w:rFonts w:ascii="Calibri" w:hAnsi="Calibri"/>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01342405">
    <w:name w:val="样式 样式 标题 3 + 黑体 小四 段前: 0 磅 段后: 13.4 磅 行距: 固定值 24 磅 + 段前: 0.5 行"/>
    <w:basedOn w:val="a3"/>
    <w:qFormat/>
    <w:pPr>
      <w:keepNext/>
      <w:keepLines/>
      <w:widowControl/>
      <w:spacing w:beforeLines="50" w:before="268" w:after="240" w:line="480" w:lineRule="exact"/>
      <w:jc w:val="left"/>
      <w:outlineLvl w:val="2"/>
    </w:pPr>
    <w:rPr>
      <w:rFonts w:ascii="黑体" w:hAnsi="宋体" w:cs="宋体"/>
      <w:b/>
      <w:bCs/>
      <w:kern w:val="0"/>
      <w:sz w:val="28"/>
      <w:szCs w:val="20"/>
    </w:rPr>
  </w:style>
  <w:style w:type="paragraph" w:customStyle="1" w:styleId="affff9">
    <w:name w:val="表头图名"/>
    <w:basedOn w:val="a3"/>
    <w:link w:val="Charf5"/>
    <w:qFormat/>
    <w:pPr>
      <w:spacing w:line="520" w:lineRule="exact"/>
      <w:contextualSpacing/>
      <w:jc w:val="center"/>
    </w:pPr>
    <w:rPr>
      <w:rFonts w:eastAsia="黑体"/>
    </w:rPr>
  </w:style>
  <w:style w:type="paragraph" w:customStyle="1" w:styleId="57">
    <w:name w:val="5级正文"/>
    <w:basedOn w:val="affffa"/>
    <w:next w:val="affffa"/>
    <w:link w:val="5Char0"/>
    <w:qFormat/>
    <w:pPr>
      <w:tabs>
        <w:tab w:val="left" w:pos="1200"/>
      </w:tabs>
      <w:ind w:firstLineChars="0" w:firstLine="0"/>
      <w:outlineLvl w:val="4"/>
    </w:pPr>
    <w:rPr>
      <w:b/>
    </w:rPr>
  </w:style>
  <w:style w:type="paragraph" w:customStyle="1" w:styleId="affffa">
    <w:name w:val="缩进"/>
    <w:basedOn w:val="a3"/>
    <w:link w:val="Charf6"/>
    <w:qFormat/>
  </w:style>
  <w:style w:type="paragraph" w:customStyle="1" w:styleId="1-">
    <w:name w:val="1-正文"/>
    <w:basedOn w:val="a3"/>
    <w:qFormat/>
    <w:pPr>
      <w:ind w:firstLine="480"/>
    </w:pPr>
    <w:rPr>
      <w:rFonts w:ascii="宋体" w:hAnsi="宋体"/>
    </w:rPr>
  </w:style>
  <w:style w:type="paragraph" w:customStyle="1" w:styleId="affffb">
    <w:name w:val="新正文"/>
    <w:basedOn w:val="a3"/>
    <w:link w:val="Charf7"/>
    <w:qFormat/>
    <w:pPr>
      <w:spacing w:before="60" w:line="460" w:lineRule="exact"/>
    </w:pPr>
    <w:rPr>
      <w:szCs w:val="20"/>
    </w:rPr>
  </w:style>
  <w:style w:type="paragraph" w:customStyle="1" w:styleId="affffc">
    <w:name w:val="正文（首缩进）"/>
    <w:basedOn w:val="a3"/>
    <w:qFormat/>
    <w:pPr>
      <w:jc w:val="left"/>
    </w:pPr>
  </w:style>
  <w:style w:type="paragraph" w:customStyle="1" w:styleId="-1">
    <w:name w:val="报告正文-连续目录"/>
    <w:basedOn w:val="a3"/>
    <w:link w:val="-CharChar"/>
    <w:qFormat/>
    <w:pPr>
      <w:spacing w:line="440" w:lineRule="exact"/>
    </w:pPr>
    <w:rPr>
      <w:rFonts w:ascii="Arial" w:hAnsi="Arial"/>
      <w:snapToGrid w:val="0"/>
    </w:rPr>
  </w:style>
  <w:style w:type="table" w:customStyle="1" w:styleId="58">
    <w:name w:val="网格型5"/>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标题 41"/>
    <w:basedOn w:val="a3"/>
    <w:next w:val="a5"/>
    <w:link w:val="426"/>
    <w:uiPriority w:val="9"/>
    <w:unhideWhenUsed/>
    <w:qFormat/>
    <w:pPr>
      <w:keepNext/>
      <w:widowControl/>
      <w:overflowPunct w:val="0"/>
      <w:autoSpaceDE w:val="0"/>
      <w:autoSpaceDN w:val="0"/>
      <w:adjustRightInd w:val="0"/>
      <w:spacing w:beforeLines="50" w:afterLines="50"/>
      <w:textAlignment w:val="baseline"/>
      <w:outlineLvl w:val="3"/>
    </w:pPr>
    <w:rPr>
      <w:rFonts w:hint="eastAsia"/>
      <w:b/>
      <w:i/>
      <w:kern w:val="28"/>
      <w:szCs w:val="24"/>
    </w:rPr>
  </w:style>
  <w:style w:type="paragraph" w:customStyle="1" w:styleId="1b">
    <w:name w:val="正文缩进1"/>
    <w:basedOn w:val="a3"/>
    <w:link w:val="270"/>
    <w:unhideWhenUsed/>
    <w:qFormat/>
    <w:pPr>
      <w:ind w:firstLine="420"/>
    </w:pPr>
    <w:rPr>
      <w:rFonts w:hint="eastAsia"/>
      <w:sz w:val="21"/>
      <w:szCs w:val="20"/>
    </w:rPr>
  </w:style>
  <w:style w:type="character" w:customStyle="1" w:styleId="4Char">
    <w:name w:val="标题 4 Char"/>
    <w:link w:val="42"/>
    <w:uiPriority w:val="9"/>
    <w:unhideWhenUsed/>
    <w:qFormat/>
    <w:rPr>
      <w:rFonts w:hint="default"/>
      <w:b/>
      <w:i/>
      <w:kern w:val="28"/>
      <w:sz w:val="24"/>
      <w:szCs w:val="24"/>
    </w:rPr>
  </w:style>
  <w:style w:type="character" w:customStyle="1" w:styleId="2c">
    <w:name w:val="正文缩进 字符2"/>
    <w:unhideWhenUsed/>
    <w:qFormat/>
    <w:rPr>
      <w:rFonts w:hint="default"/>
      <w:kern w:val="2"/>
      <w:sz w:val="21"/>
      <w:szCs w:val="24"/>
    </w:rPr>
  </w:style>
  <w:style w:type="character" w:customStyle="1" w:styleId="421">
    <w:name w:val="标题 4 字符21"/>
    <w:uiPriority w:val="9"/>
    <w:unhideWhenUsed/>
    <w:qFormat/>
    <w:rPr>
      <w:rFonts w:hint="default"/>
      <w:b/>
      <w:i/>
      <w:kern w:val="28"/>
      <w:sz w:val="24"/>
      <w:szCs w:val="24"/>
    </w:rPr>
  </w:style>
  <w:style w:type="character" w:customStyle="1" w:styleId="212">
    <w:name w:val="正文缩进 字符21"/>
    <w:unhideWhenUsed/>
    <w:qFormat/>
    <w:rPr>
      <w:rFonts w:hint="default"/>
      <w:kern w:val="2"/>
      <w:sz w:val="21"/>
      <w:szCs w:val="24"/>
    </w:rPr>
  </w:style>
  <w:style w:type="character" w:customStyle="1" w:styleId="Default0">
    <w:name w:val="Default 字符"/>
    <w:link w:val="Default"/>
    <w:unhideWhenUsed/>
    <w:qFormat/>
    <w:rPr>
      <w:rFonts w:ascii="宋体" w:eastAsia="宋体" w:hint="eastAsia"/>
      <w:color w:val="000000"/>
      <w:sz w:val="24"/>
      <w:szCs w:val="24"/>
    </w:rPr>
  </w:style>
  <w:style w:type="paragraph" w:customStyle="1" w:styleId="110">
    <w:name w:val="标题 11"/>
    <w:basedOn w:val="a3"/>
    <w:next w:val="a3"/>
    <w:link w:val="124"/>
    <w:uiPriority w:val="9"/>
    <w:unhideWhenUsed/>
    <w:qFormat/>
    <w:pPr>
      <w:keepNext/>
      <w:keepLines/>
      <w:spacing w:beforeLines="100" w:afterLines="50"/>
      <w:outlineLvl w:val="0"/>
    </w:pPr>
    <w:rPr>
      <w:rFonts w:hint="eastAsia"/>
      <w:b/>
      <w:kern w:val="44"/>
      <w:sz w:val="44"/>
      <w:szCs w:val="44"/>
    </w:rPr>
  </w:style>
  <w:style w:type="paragraph" w:customStyle="1" w:styleId="213">
    <w:name w:val="标题 21"/>
    <w:basedOn w:val="a3"/>
    <w:next w:val="a3"/>
    <w:link w:val="224"/>
    <w:unhideWhenUsed/>
    <w:qFormat/>
    <w:pPr>
      <w:keepNext/>
      <w:keepLines/>
      <w:spacing w:beforeLines="50" w:afterLines="50"/>
      <w:outlineLvl w:val="1"/>
    </w:pPr>
    <w:rPr>
      <w:rFonts w:hint="eastAsia"/>
      <w:b/>
      <w:sz w:val="32"/>
      <w:szCs w:val="32"/>
    </w:rPr>
  </w:style>
  <w:style w:type="paragraph" w:customStyle="1" w:styleId="310">
    <w:name w:val="标题 31"/>
    <w:basedOn w:val="a3"/>
    <w:next w:val="a3"/>
    <w:link w:val="325"/>
    <w:unhideWhenUsed/>
    <w:qFormat/>
    <w:pPr>
      <w:keepNext/>
      <w:keepLines/>
      <w:spacing w:beforeLines="50" w:afterLines="50"/>
      <w:outlineLvl w:val="2"/>
    </w:pPr>
    <w:rPr>
      <w:rFonts w:hint="eastAsia"/>
      <w:b/>
      <w:sz w:val="32"/>
      <w:szCs w:val="32"/>
    </w:rPr>
  </w:style>
  <w:style w:type="character" w:customStyle="1" w:styleId="1Char">
    <w:name w:val="标题 1 Char"/>
    <w:link w:val="1"/>
    <w:uiPriority w:val="9"/>
    <w:unhideWhenUsed/>
    <w:qFormat/>
    <w:rPr>
      <w:rFonts w:hint="default"/>
      <w:b/>
      <w:kern w:val="44"/>
      <w:sz w:val="44"/>
      <w:szCs w:val="24"/>
    </w:rPr>
  </w:style>
  <w:style w:type="character" w:customStyle="1" w:styleId="2Char">
    <w:name w:val="标题 2 Char"/>
    <w:link w:val="21"/>
    <w:unhideWhenUsed/>
    <w:qFormat/>
    <w:rPr>
      <w:rFonts w:hint="default"/>
      <w:b/>
      <w:kern w:val="2"/>
      <w:sz w:val="32"/>
      <w:szCs w:val="24"/>
    </w:rPr>
  </w:style>
  <w:style w:type="character" w:customStyle="1" w:styleId="3Char4">
    <w:name w:val="标题 3 Char4"/>
    <w:link w:val="31"/>
    <w:unhideWhenUsed/>
    <w:qFormat/>
    <w:rPr>
      <w:rFonts w:hint="default"/>
      <w:b/>
      <w:kern w:val="2"/>
      <w:sz w:val="32"/>
      <w:szCs w:val="24"/>
    </w:rPr>
  </w:style>
  <w:style w:type="character" w:customStyle="1" w:styleId="422">
    <w:name w:val="标题 4 字符22"/>
    <w:uiPriority w:val="9"/>
    <w:unhideWhenUsed/>
    <w:qFormat/>
    <w:rPr>
      <w:rFonts w:hint="default"/>
      <w:b/>
      <w:i/>
      <w:kern w:val="28"/>
      <w:sz w:val="24"/>
      <w:szCs w:val="24"/>
    </w:rPr>
  </w:style>
  <w:style w:type="paragraph" w:customStyle="1" w:styleId="CharCharCharCharCharCharCharCharChar">
    <w:name w:val="Char Char Char Char Char Char Char Char Char"/>
    <w:basedOn w:val="a3"/>
    <w:unhideWhenUsed/>
    <w:qFormat/>
    <w:rPr>
      <w:rFonts w:hint="eastAsia"/>
      <w:sz w:val="21"/>
      <w:szCs w:val="20"/>
    </w:rPr>
  </w:style>
  <w:style w:type="paragraph" w:customStyle="1" w:styleId="1c">
    <w:name w:val="题注1"/>
    <w:basedOn w:val="a3"/>
    <w:next w:val="a3"/>
    <w:link w:val="240"/>
    <w:unhideWhenUsed/>
    <w:qFormat/>
    <w:rPr>
      <w:rFonts w:ascii="Arial" w:eastAsia="黑体" w:hAnsi="Arial" w:hint="eastAsia"/>
      <w:sz w:val="20"/>
      <w:szCs w:val="20"/>
    </w:rPr>
  </w:style>
  <w:style w:type="character" w:customStyle="1" w:styleId="Char1">
    <w:name w:val="题注 Char"/>
    <w:link w:val="ac"/>
    <w:unhideWhenUsed/>
    <w:qFormat/>
    <w:rPr>
      <w:rFonts w:ascii="Arial" w:eastAsia="黑体" w:hAnsi="Arial" w:hint="eastAsia"/>
      <w:kern w:val="2"/>
      <w:sz w:val="24"/>
      <w:szCs w:val="24"/>
    </w:rPr>
  </w:style>
  <w:style w:type="character" w:customStyle="1" w:styleId="font91">
    <w:name w:val="font91"/>
    <w:basedOn w:val="a6"/>
    <w:qFormat/>
    <w:rPr>
      <w:rFonts w:ascii="宋体" w:eastAsia="宋体" w:hAnsi="宋体" w:cs="宋体"/>
      <w:b/>
      <w:bCs/>
      <w:color w:val="000000"/>
      <w:sz w:val="16"/>
      <w:szCs w:val="16"/>
      <w:u w:val="none"/>
    </w:rPr>
  </w:style>
  <w:style w:type="character" w:customStyle="1" w:styleId="font101">
    <w:name w:val="font101"/>
    <w:basedOn w:val="a6"/>
    <w:qFormat/>
    <w:rPr>
      <w:rFonts w:ascii="宋体" w:eastAsia="宋体" w:hAnsi="宋体" w:cs="宋体"/>
      <w:color w:val="000000"/>
      <w:sz w:val="16"/>
      <w:szCs w:val="16"/>
      <w:u w:val="none"/>
    </w:rPr>
  </w:style>
  <w:style w:type="paragraph" w:customStyle="1" w:styleId="51">
    <w:name w:val="标题 51"/>
    <w:basedOn w:val="a3"/>
    <w:next w:val="1b"/>
    <w:link w:val="523"/>
    <w:unhideWhenUsed/>
    <w:qFormat/>
    <w:pPr>
      <w:keepNext/>
      <w:keepLines/>
      <w:numPr>
        <w:ilvl w:val="4"/>
        <w:numId w:val="11"/>
      </w:numPr>
      <w:spacing w:before="280" w:after="290" w:line="376" w:lineRule="auto"/>
      <w:ind w:left="1008" w:hanging="432"/>
      <w:outlineLvl w:val="4"/>
    </w:pPr>
    <w:rPr>
      <w:rFonts w:hint="eastAsia"/>
      <w:b/>
      <w:sz w:val="28"/>
      <w:szCs w:val="28"/>
    </w:rPr>
  </w:style>
  <w:style w:type="paragraph" w:customStyle="1" w:styleId="61">
    <w:name w:val="标题 61"/>
    <w:basedOn w:val="a3"/>
    <w:next w:val="12"/>
    <w:link w:val="623"/>
    <w:uiPriority w:val="9"/>
    <w:unhideWhenUsed/>
    <w:qFormat/>
    <w:pPr>
      <w:keepNext/>
      <w:keepLines/>
      <w:numPr>
        <w:ilvl w:val="5"/>
        <w:numId w:val="11"/>
      </w:numPr>
      <w:spacing w:before="240" w:after="64" w:line="320" w:lineRule="auto"/>
      <w:ind w:left="1152" w:hanging="432"/>
      <w:outlineLvl w:val="5"/>
    </w:pPr>
    <w:rPr>
      <w:rFonts w:ascii="Calibri Light" w:hAnsi="Calibri Light" w:hint="eastAsia"/>
      <w:b/>
      <w:szCs w:val="24"/>
    </w:rPr>
  </w:style>
  <w:style w:type="paragraph" w:customStyle="1" w:styleId="71">
    <w:name w:val="标题 71"/>
    <w:basedOn w:val="a3"/>
    <w:next w:val="12"/>
    <w:link w:val="723"/>
    <w:unhideWhenUsed/>
    <w:qFormat/>
    <w:pPr>
      <w:keepNext/>
      <w:keepLines/>
      <w:numPr>
        <w:ilvl w:val="6"/>
        <w:numId w:val="11"/>
      </w:numPr>
      <w:spacing w:before="240" w:after="64" w:line="320" w:lineRule="auto"/>
      <w:ind w:left="1296" w:hanging="288"/>
      <w:outlineLvl w:val="6"/>
    </w:pPr>
    <w:rPr>
      <w:rFonts w:hint="eastAsia"/>
      <w:b/>
      <w:szCs w:val="24"/>
    </w:rPr>
  </w:style>
  <w:style w:type="paragraph" w:customStyle="1" w:styleId="81">
    <w:name w:val="标题 81"/>
    <w:basedOn w:val="a3"/>
    <w:next w:val="12"/>
    <w:link w:val="823"/>
    <w:uiPriority w:val="9"/>
    <w:unhideWhenUsed/>
    <w:qFormat/>
    <w:pPr>
      <w:keepNext/>
      <w:keepLines/>
      <w:numPr>
        <w:ilvl w:val="7"/>
        <w:numId w:val="11"/>
      </w:numPr>
      <w:spacing w:before="240" w:after="64" w:line="320" w:lineRule="auto"/>
      <w:ind w:left="1440" w:hanging="432"/>
      <w:outlineLvl w:val="7"/>
    </w:pPr>
    <w:rPr>
      <w:rFonts w:hint="eastAsia"/>
      <w:b/>
      <w:i/>
      <w:kern w:val="28"/>
      <w:sz w:val="18"/>
      <w:szCs w:val="24"/>
    </w:rPr>
  </w:style>
  <w:style w:type="paragraph" w:customStyle="1" w:styleId="91">
    <w:name w:val="标题 91"/>
    <w:basedOn w:val="a3"/>
    <w:next w:val="12"/>
    <w:link w:val="923"/>
    <w:unhideWhenUsed/>
    <w:qFormat/>
    <w:pPr>
      <w:keepNext/>
      <w:keepLines/>
      <w:numPr>
        <w:ilvl w:val="8"/>
        <w:numId w:val="11"/>
      </w:numPr>
      <w:spacing w:before="240" w:after="64" w:line="320" w:lineRule="auto"/>
      <w:ind w:left="1584" w:hanging="144"/>
      <w:outlineLvl w:val="8"/>
    </w:pPr>
    <w:rPr>
      <w:rFonts w:hint="eastAsia"/>
      <w:b/>
      <w:i/>
      <w:kern w:val="28"/>
      <w:sz w:val="18"/>
      <w:szCs w:val="24"/>
    </w:rPr>
  </w:style>
  <w:style w:type="paragraph" w:customStyle="1" w:styleId="63">
    <w:name w:val="6"/>
    <w:basedOn w:val="a3"/>
    <w:unhideWhenUsed/>
    <w:qFormat/>
    <w:rPr>
      <w:rFonts w:ascii="宋体" w:hAnsi="宋体" w:cs="宋体" w:hint="eastAsia"/>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unhideWhenUsed/>
    <w:qFormat/>
    <w:rPr>
      <w:rFonts w:hint="eastAsia"/>
      <w:sz w:val="21"/>
      <w:szCs w:val="20"/>
    </w:rPr>
  </w:style>
  <w:style w:type="paragraph" w:customStyle="1" w:styleId="affffd">
    <w:name w:val="三级标题"/>
    <w:basedOn w:val="01"/>
    <w:link w:val="Char13"/>
    <w:unhideWhenUsed/>
    <w:qFormat/>
    <w:pPr>
      <w:spacing w:before="300"/>
      <w:ind w:firstLineChars="0" w:firstLine="0"/>
      <w:outlineLvl w:val="2"/>
    </w:pPr>
    <w:rPr>
      <w:b/>
    </w:rPr>
  </w:style>
  <w:style w:type="paragraph" w:customStyle="1" w:styleId="01">
    <w:name w:val="正文01"/>
    <w:basedOn w:val="a3"/>
    <w:link w:val="01Char"/>
    <w:unhideWhenUsed/>
    <w:qFormat/>
    <w:pPr>
      <w:spacing w:before="60" w:line="460" w:lineRule="exact"/>
    </w:pPr>
    <w:rPr>
      <w:rFonts w:hint="eastAsia"/>
      <w:szCs w:val="24"/>
    </w:rPr>
  </w:style>
  <w:style w:type="paragraph" w:customStyle="1" w:styleId="affffe">
    <w:name w:val="正文格式"/>
    <w:basedOn w:val="a3"/>
    <w:link w:val="Charf8"/>
    <w:unhideWhenUsed/>
    <w:qFormat/>
    <w:pPr>
      <w:spacing w:line="500" w:lineRule="exact"/>
    </w:pPr>
    <w:rPr>
      <w:rFonts w:ascii="宋体" w:hAnsi="宋体" w:hint="eastAsia"/>
      <w:szCs w:val="24"/>
    </w:rPr>
  </w:style>
  <w:style w:type="paragraph" w:customStyle="1" w:styleId="2d">
    <w:name w:val="正文首行缩进2个字"/>
    <w:basedOn w:val="a3"/>
    <w:link w:val="2Char2"/>
    <w:unhideWhenUsed/>
    <w:qFormat/>
    <w:pPr>
      <w:ind w:firstLine="480"/>
    </w:pPr>
    <w:rPr>
      <w:rFonts w:hint="eastAsia"/>
      <w:szCs w:val="24"/>
    </w:rPr>
  </w:style>
  <w:style w:type="paragraph" w:customStyle="1" w:styleId="afffff">
    <w:name w:val="样式 正文格式"/>
    <w:basedOn w:val="BodyTextIndent1"/>
    <w:link w:val="Charf9"/>
    <w:unhideWhenUsed/>
    <w:qFormat/>
    <w:pPr>
      <w:spacing w:after="0" w:line="480" w:lineRule="exact"/>
      <w:ind w:leftChars="0" w:left="0" w:firstLine="480"/>
    </w:pPr>
    <w:rPr>
      <w:sz w:val="24"/>
    </w:rPr>
  </w:style>
  <w:style w:type="paragraph" w:customStyle="1" w:styleId="1d">
    <w:name w:val="批注文字1"/>
    <w:basedOn w:val="a3"/>
    <w:link w:val="214"/>
    <w:uiPriority w:val="99"/>
    <w:unhideWhenUsed/>
    <w:qFormat/>
    <w:pPr>
      <w:jc w:val="left"/>
    </w:pPr>
    <w:rPr>
      <w:rFonts w:hint="eastAsia"/>
      <w:sz w:val="21"/>
      <w:szCs w:val="24"/>
    </w:rPr>
  </w:style>
  <w:style w:type="paragraph" w:customStyle="1" w:styleId="215">
    <w:name w:val="正文文本缩进 21"/>
    <w:basedOn w:val="a3"/>
    <w:link w:val="221"/>
    <w:unhideWhenUsed/>
    <w:qFormat/>
    <w:pPr>
      <w:adjustRightInd w:val="0"/>
      <w:snapToGrid w:val="0"/>
      <w:spacing w:after="120" w:line="480" w:lineRule="auto"/>
      <w:ind w:leftChars="200" w:left="420"/>
    </w:pPr>
    <w:rPr>
      <w:rFonts w:hint="eastAsia"/>
      <w:szCs w:val="24"/>
    </w:rPr>
  </w:style>
  <w:style w:type="paragraph" w:customStyle="1" w:styleId="49">
    <w:name w:val="4级（小）标题"/>
    <w:basedOn w:val="a3"/>
    <w:link w:val="4Char0"/>
    <w:unhideWhenUsed/>
    <w:qFormat/>
    <w:pPr>
      <w:spacing w:before="60"/>
      <w:outlineLvl w:val="3"/>
    </w:pPr>
    <w:rPr>
      <w:rFonts w:hint="eastAsia"/>
      <w:b/>
      <w:szCs w:val="24"/>
    </w:rPr>
  </w:style>
  <w:style w:type="paragraph" w:customStyle="1" w:styleId="afffff0">
    <w:name w:val="表格下方正文"/>
    <w:basedOn w:val="a3"/>
    <w:link w:val="Charfa"/>
    <w:unhideWhenUsed/>
    <w:qFormat/>
    <w:pPr>
      <w:spacing w:before="300" w:line="460" w:lineRule="exact"/>
    </w:pPr>
    <w:rPr>
      <w:rFonts w:hint="eastAsia"/>
      <w:szCs w:val="24"/>
    </w:rPr>
  </w:style>
  <w:style w:type="paragraph" w:customStyle="1" w:styleId="1e">
    <w:name w:val="样式1"/>
    <w:basedOn w:val="a3"/>
    <w:link w:val="1Char1"/>
    <w:unhideWhenUsed/>
    <w:qFormat/>
    <w:pPr>
      <w:tabs>
        <w:tab w:val="left" w:pos="360"/>
      </w:tabs>
      <w:spacing w:line="500" w:lineRule="exact"/>
      <w:ind w:left="360" w:right="-1038" w:hanging="360"/>
      <w:outlineLvl w:val="0"/>
    </w:pPr>
    <w:rPr>
      <w:rFonts w:ascii="方正大标宋简体" w:eastAsia="方正大标宋简体" w:hint="eastAsia"/>
      <w:b/>
      <w:sz w:val="44"/>
      <w:szCs w:val="20"/>
    </w:rPr>
  </w:style>
  <w:style w:type="paragraph" w:customStyle="1" w:styleId="afffff1">
    <w:name w:val="图表标题"/>
    <w:basedOn w:val="a3"/>
    <w:link w:val="Charfb"/>
    <w:unhideWhenUsed/>
    <w:qFormat/>
    <w:pPr>
      <w:jc w:val="center"/>
      <w:outlineLvl w:val="4"/>
    </w:pPr>
    <w:rPr>
      <w:rFonts w:hint="eastAsia"/>
      <w:b/>
      <w:sz w:val="21"/>
      <w:szCs w:val="24"/>
    </w:rPr>
  </w:style>
  <w:style w:type="paragraph" w:customStyle="1" w:styleId="39">
    <w:name w:val="3级（次）标题"/>
    <w:basedOn w:val="a3"/>
    <w:link w:val="3Char"/>
    <w:unhideWhenUsed/>
    <w:qFormat/>
    <w:pPr>
      <w:ind w:firstLineChars="100" w:firstLine="241"/>
      <w:outlineLvl w:val="2"/>
    </w:pPr>
    <w:rPr>
      <w:rFonts w:ascii="宋体" w:hAnsi="宋体" w:hint="eastAsia"/>
      <w:b/>
      <w:szCs w:val="24"/>
    </w:rPr>
  </w:style>
  <w:style w:type="paragraph" w:customStyle="1" w:styleId="1f">
    <w:name w:val="页脚1"/>
    <w:basedOn w:val="a3"/>
    <w:link w:val="220"/>
    <w:uiPriority w:val="99"/>
    <w:unhideWhenUsed/>
    <w:qFormat/>
    <w:pPr>
      <w:tabs>
        <w:tab w:val="center" w:pos="4153"/>
        <w:tab w:val="right" w:pos="8306"/>
      </w:tabs>
      <w:snapToGrid w:val="0"/>
      <w:jc w:val="left"/>
    </w:pPr>
    <w:rPr>
      <w:rFonts w:hint="eastAsia"/>
      <w:sz w:val="18"/>
      <w:szCs w:val="18"/>
    </w:rPr>
  </w:style>
  <w:style w:type="paragraph" w:customStyle="1" w:styleId="1f0">
    <w:name w:val="批注主题1"/>
    <w:basedOn w:val="1d"/>
    <w:next w:val="1d"/>
    <w:link w:val="216"/>
    <w:uiPriority w:val="99"/>
    <w:unhideWhenUsed/>
    <w:qFormat/>
    <w:rPr>
      <w:b/>
    </w:rPr>
  </w:style>
  <w:style w:type="paragraph" w:customStyle="1" w:styleId="212TimesNewRoman">
    <w:name w:val="样式 样式 标题 2 + 段后: 12 行 + Times New Roman"/>
    <w:basedOn w:val="a3"/>
    <w:link w:val="212TimesNewRomanChar"/>
    <w:unhideWhenUsed/>
    <w:qFormat/>
    <w:pPr>
      <w:keepNext/>
      <w:keepLines/>
      <w:spacing w:before="240" w:after="240"/>
      <w:outlineLvl w:val="1"/>
    </w:pPr>
    <w:rPr>
      <w:rFonts w:eastAsia="华文中宋" w:hint="eastAsia"/>
      <w:b/>
      <w:sz w:val="32"/>
      <w:szCs w:val="24"/>
    </w:rPr>
  </w:style>
  <w:style w:type="paragraph" w:customStyle="1" w:styleId="xl24">
    <w:name w:val="xl2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Cs w:val="24"/>
    </w:rPr>
  </w:style>
  <w:style w:type="paragraph" w:customStyle="1" w:styleId="xl49">
    <w:name w:val="xl49"/>
    <w:basedOn w:val="a3"/>
    <w:unhideWhenUsed/>
    <w:qFormat/>
    <w:pPr>
      <w:widowControl/>
      <w:pBdr>
        <w:top w:val="single" w:sz="4" w:space="0" w:color="auto"/>
        <w:bottom w:val="single" w:sz="4" w:space="0" w:color="auto"/>
      </w:pBdr>
      <w:spacing w:before="100" w:beforeAutospacing="1" w:after="100" w:afterAutospacing="1"/>
      <w:jc w:val="center"/>
    </w:pPr>
    <w:rPr>
      <w:rFonts w:ascii="宋体" w:hAnsi="宋体" w:hint="eastAsia"/>
      <w:szCs w:val="24"/>
    </w:rPr>
  </w:style>
  <w:style w:type="paragraph" w:customStyle="1" w:styleId="095063">
    <w:name w:val="样式 正文文本缩进 + 左侧:  0.95 厘米 首行缩进:  0.63 厘米"/>
    <w:basedOn w:val="BodyTextIndent1"/>
    <w:unhideWhenUsed/>
    <w:qFormat/>
    <w:pPr>
      <w:spacing w:after="0"/>
      <w:ind w:leftChars="0" w:left="539" w:firstLine="510"/>
    </w:pPr>
    <w:rPr>
      <w:rFonts w:cs="宋体"/>
      <w:color w:val="000000"/>
      <w:sz w:val="24"/>
      <w:szCs w:val="20"/>
    </w:rPr>
  </w:style>
  <w:style w:type="paragraph" w:customStyle="1" w:styleId="004">
    <w:name w:val="标题004"/>
    <w:basedOn w:val="001"/>
    <w:unhideWhenUsed/>
    <w:qFormat/>
    <w:pPr>
      <w:ind w:firstLine="0"/>
      <w:outlineLvl w:val="3"/>
    </w:pPr>
    <w:rPr>
      <w:rFonts w:hint="eastAsia"/>
      <w:b/>
      <w:szCs w:val="24"/>
    </w:rPr>
  </w:style>
  <w:style w:type="paragraph" w:customStyle="1" w:styleId="4a">
    <w:name w:val="样式 标题 4 + 两端对齐"/>
    <w:basedOn w:val="410"/>
    <w:unhideWhenUsed/>
    <w:qFormat/>
    <w:pPr>
      <w:keepNext w:val="0"/>
      <w:tabs>
        <w:tab w:val="left" w:pos="900"/>
        <w:tab w:val="left" w:pos="2880"/>
      </w:tabs>
      <w:spacing w:after="120"/>
      <w:ind w:firstLineChars="0" w:firstLine="0"/>
    </w:pPr>
    <w:rPr>
      <w:rFonts w:ascii="宋体" w:hAnsi="宋体" w:cs="宋体"/>
      <w:b w:val="0"/>
    </w:rPr>
  </w:style>
  <w:style w:type="paragraph" w:customStyle="1" w:styleId="1f1">
    <w:name w:val="文本块1"/>
    <w:basedOn w:val="a3"/>
    <w:link w:val="111"/>
    <w:unhideWhenUsed/>
    <w:qFormat/>
    <w:pPr>
      <w:tabs>
        <w:tab w:val="left" w:pos="9660"/>
        <w:tab w:val="left" w:pos="9765"/>
      </w:tabs>
      <w:spacing w:line="480" w:lineRule="auto"/>
      <w:ind w:left="420" w:right="773" w:firstLine="630"/>
    </w:pPr>
    <w:rPr>
      <w:rFonts w:hint="eastAsia"/>
      <w:spacing w:val="26"/>
      <w:sz w:val="28"/>
      <w:szCs w:val="20"/>
    </w:rPr>
  </w:style>
  <w:style w:type="paragraph" w:customStyle="1" w:styleId="xl61">
    <w:name w:val="xl6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Cs w:val="24"/>
    </w:rPr>
  </w:style>
  <w:style w:type="paragraph" w:customStyle="1" w:styleId="xl77">
    <w:name w:val="xl7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sz w:val="20"/>
      <w:szCs w:val="20"/>
    </w:rPr>
  </w:style>
  <w:style w:type="paragraph" w:customStyle="1" w:styleId="afffff2">
    <w:name w:val="标书正文"/>
    <w:basedOn w:val="12"/>
    <w:unhideWhenUsed/>
    <w:qFormat/>
    <w:pPr>
      <w:widowControl w:val="0"/>
      <w:spacing w:after="0"/>
      <w:jc w:val="both"/>
    </w:pPr>
    <w:rPr>
      <w:rFonts w:ascii="Arial Narrow" w:eastAsia="仿宋_GB2312" w:hAnsi="Arial Narrow"/>
    </w:rPr>
  </w:style>
  <w:style w:type="paragraph" w:customStyle="1" w:styleId="CharCharCharChar">
    <w:name w:val="Char Char Char Char"/>
    <w:basedOn w:val="a3"/>
    <w:unhideWhenUsed/>
    <w:qFormat/>
    <w:pPr>
      <w:spacing w:beforeLines="20" w:line="440" w:lineRule="atLeast"/>
    </w:pPr>
    <w:rPr>
      <w:rFonts w:hint="eastAsia"/>
      <w:szCs w:val="24"/>
    </w:rPr>
  </w:style>
  <w:style w:type="paragraph" w:customStyle="1" w:styleId="xl88">
    <w:name w:val="xl88"/>
    <w:basedOn w:val="a3"/>
    <w:unhideWhenUsed/>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1085">
    <w:name w:val="样式 表头样式1 + 首行缩进:  0.85 厘米"/>
    <w:basedOn w:val="1f2"/>
    <w:unhideWhenUsed/>
    <w:qFormat/>
    <w:pPr>
      <w:spacing w:beforeLines="20" w:afterLines="20" w:line="360" w:lineRule="auto"/>
      <w:jc w:val="center"/>
    </w:pPr>
    <w:rPr>
      <w:rFonts w:ascii="黑体" w:eastAsia="黑体" w:hAnsi="宋体"/>
      <w:sz w:val="24"/>
      <w:szCs w:val="20"/>
      <w:lang w:eastAsia="zh-CN"/>
    </w:rPr>
  </w:style>
  <w:style w:type="paragraph" w:customStyle="1" w:styleId="1f2">
    <w:name w:val="表头样式1"/>
    <w:basedOn w:val="a3"/>
    <w:unhideWhenUsed/>
    <w:qFormat/>
    <w:pPr>
      <w:adjustRightInd w:val="0"/>
      <w:snapToGrid w:val="0"/>
      <w:spacing w:before="200" w:after="200" w:line="500" w:lineRule="exact"/>
    </w:pPr>
    <w:rPr>
      <w:rFonts w:ascii="宋体" w:hint="eastAsia"/>
      <w:color w:val="000000"/>
      <w:sz w:val="28"/>
      <w:szCs w:val="24"/>
      <w:lang w:eastAsia="zh-TW"/>
    </w:rPr>
  </w:style>
  <w:style w:type="paragraph" w:customStyle="1" w:styleId="xl26">
    <w:name w:val="xl26"/>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szCs w:val="24"/>
    </w:rPr>
  </w:style>
  <w:style w:type="paragraph" w:customStyle="1" w:styleId="xl33">
    <w:name w:val="xl3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8">
    <w:name w:val="xl48"/>
    <w:basedOn w:val="a3"/>
    <w:unhideWhenUsed/>
    <w:qFormat/>
    <w:pPr>
      <w:widowControl/>
      <w:pBdr>
        <w:top w:val="single" w:sz="4" w:space="0" w:color="auto"/>
        <w:bottom w:val="single" w:sz="4" w:space="0" w:color="auto"/>
      </w:pBdr>
      <w:spacing w:before="100" w:beforeAutospacing="1" w:after="100" w:afterAutospacing="1"/>
      <w:jc w:val="center"/>
      <w:textAlignment w:val="center"/>
    </w:pPr>
    <w:rPr>
      <w:rFonts w:ascii="宋体" w:hAnsi="宋体" w:hint="eastAsia"/>
      <w:szCs w:val="24"/>
    </w:rPr>
  </w:style>
  <w:style w:type="paragraph" w:customStyle="1" w:styleId="120">
    <w:name w:val="标题12"/>
    <w:basedOn w:val="a3"/>
    <w:next w:val="21"/>
    <w:unhideWhenUsed/>
    <w:qFormat/>
    <w:pPr>
      <w:spacing w:before="240" w:after="240"/>
      <w:jc w:val="center"/>
    </w:pPr>
    <w:rPr>
      <w:rFonts w:hint="eastAsia"/>
      <w:b/>
      <w:sz w:val="32"/>
      <w:szCs w:val="20"/>
    </w:rPr>
  </w:style>
  <w:style w:type="paragraph" w:customStyle="1" w:styleId="xl58">
    <w:name w:val="xl5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b/>
      <w:sz w:val="20"/>
      <w:szCs w:val="20"/>
    </w:rPr>
  </w:style>
  <w:style w:type="paragraph" w:customStyle="1" w:styleId="xl60">
    <w:name w:val="xl6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6">
    <w:name w:val="xl7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 w:val="20"/>
      <w:szCs w:val="20"/>
    </w:rPr>
  </w:style>
  <w:style w:type="paragraph" w:customStyle="1" w:styleId="xl87">
    <w:name w:val="xl87"/>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xl31">
    <w:name w:val="xl3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xl47">
    <w:name w:val="xl47"/>
    <w:basedOn w:val="a3"/>
    <w:unhideWhenUsed/>
    <w:qFormat/>
    <w:pPr>
      <w:widowControl/>
      <w:pBdr>
        <w:top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3a">
    <w:name w:val="3级标题"/>
    <w:basedOn w:val="a3"/>
    <w:unhideWhenUsed/>
    <w:qFormat/>
    <w:pPr>
      <w:spacing w:before="300" w:line="460" w:lineRule="exact"/>
      <w:outlineLvl w:val="2"/>
    </w:pPr>
    <w:rPr>
      <w:rFonts w:ascii="Arial" w:hAnsi="Arial" w:hint="eastAsia"/>
      <w:b/>
      <w:szCs w:val="20"/>
    </w:rPr>
  </w:style>
  <w:style w:type="paragraph" w:customStyle="1" w:styleId="afffff3">
    <w:name w:val="论文正文"/>
    <w:basedOn w:val="1b"/>
    <w:unhideWhenUsed/>
    <w:qFormat/>
    <w:pPr>
      <w:ind w:firstLine="480"/>
    </w:pPr>
    <w:rPr>
      <w:rFonts w:ascii="宋体" w:hAnsi="宋体"/>
      <w:sz w:val="28"/>
    </w:rPr>
  </w:style>
  <w:style w:type="paragraph" w:customStyle="1" w:styleId="afffff4">
    <w:name w:val="图像样式"/>
    <w:basedOn w:val="a3"/>
    <w:unhideWhenUsed/>
    <w:qFormat/>
    <w:pPr>
      <w:snapToGrid w:val="0"/>
      <w:spacing w:beforeLines="50" w:afterLines="50"/>
      <w:jc w:val="center"/>
    </w:pPr>
    <w:rPr>
      <w:rFonts w:hint="eastAsia"/>
      <w:szCs w:val="24"/>
    </w:rPr>
  </w:style>
  <w:style w:type="paragraph" w:customStyle="1" w:styleId="2e">
    <w:name w:val="2级标题"/>
    <w:basedOn w:val="a3"/>
    <w:unhideWhenUsed/>
    <w:qFormat/>
    <w:pPr>
      <w:spacing w:before="60" w:line="460" w:lineRule="exact"/>
      <w:outlineLvl w:val="1"/>
    </w:pPr>
    <w:rPr>
      <w:rFonts w:ascii="Arial" w:hAnsi="Arial" w:hint="eastAsia"/>
      <w:b/>
      <w:sz w:val="28"/>
      <w:szCs w:val="20"/>
    </w:rPr>
  </w:style>
  <w:style w:type="paragraph" w:customStyle="1" w:styleId="0010">
    <w:name w:val="表格001"/>
    <w:basedOn w:val="a3"/>
    <w:unhideWhenUsed/>
    <w:qFormat/>
    <w:pPr>
      <w:jc w:val="center"/>
    </w:pPr>
    <w:rPr>
      <w:rFonts w:hint="eastAsia"/>
      <w:sz w:val="21"/>
    </w:rPr>
  </w:style>
  <w:style w:type="paragraph" w:customStyle="1" w:styleId="93">
    <w:name w:val="样式9表格"/>
    <w:next w:val="a3"/>
    <w:unhideWhenUsed/>
    <w:qFormat/>
    <w:pPr>
      <w:spacing w:before="120" w:line="300" w:lineRule="auto"/>
      <w:jc w:val="center"/>
    </w:pPr>
    <w:rPr>
      <w:rFonts w:hint="eastAsia"/>
      <w:sz w:val="21"/>
    </w:rPr>
  </w:style>
  <w:style w:type="paragraph" w:customStyle="1" w:styleId="xl57">
    <w:name w:val="xl5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hint="eastAsia"/>
      <w:b/>
      <w:szCs w:val="24"/>
    </w:rPr>
  </w:style>
  <w:style w:type="paragraph" w:customStyle="1" w:styleId="3b">
    <w:name w:val="3"/>
    <w:basedOn w:val="a3"/>
    <w:next w:val="1b"/>
    <w:unhideWhenUsed/>
    <w:qFormat/>
    <w:pPr>
      <w:ind w:firstLine="420"/>
    </w:pPr>
    <w:rPr>
      <w:rFonts w:hint="eastAsia"/>
      <w:sz w:val="21"/>
      <w:szCs w:val="24"/>
    </w:rPr>
  </w:style>
  <w:style w:type="paragraph" w:customStyle="1" w:styleId="xl59">
    <w:name w:val="xl5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5">
    <w:name w:val="xl75"/>
    <w:basedOn w:val="a3"/>
    <w:unhideWhenUsed/>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b/>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unhideWhenUsed/>
    <w:qFormat/>
    <w:rPr>
      <w:rFonts w:ascii="宋体" w:hAnsi="宋体" w:cs="宋体" w:hint="eastAsia"/>
      <w:szCs w:val="24"/>
    </w:rPr>
  </w:style>
  <w:style w:type="paragraph" w:customStyle="1" w:styleId="0">
    <w:name w:val="样式0表换行"/>
    <w:basedOn w:val="a3"/>
    <w:unhideWhenUsed/>
    <w:qFormat/>
    <w:pPr>
      <w:spacing w:line="300" w:lineRule="auto"/>
      <w:jc w:val="center"/>
    </w:pPr>
    <w:rPr>
      <w:rFonts w:hint="eastAsia"/>
      <w:sz w:val="21"/>
      <w:szCs w:val="20"/>
    </w:rPr>
  </w:style>
  <w:style w:type="paragraph" w:customStyle="1" w:styleId="xl86">
    <w:name w:val="xl86"/>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0011">
    <w:name w:val="标题001"/>
    <w:basedOn w:val="a3"/>
    <w:unhideWhenUsed/>
    <w:qFormat/>
    <w:pPr>
      <w:spacing w:before="60" w:line="480" w:lineRule="exact"/>
      <w:outlineLvl w:val="0"/>
    </w:pPr>
    <w:rPr>
      <w:rFonts w:hint="eastAsia"/>
      <w:b/>
      <w:sz w:val="32"/>
      <w:szCs w:val="20"/>
    </w:rPr>
  </w:style>
  <w:style w:type="paragraph" w:customStyle="1" w:styleId="xl30">
    <w:name w:val="xl30"/>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6">
    <w:name w:val="xl46"/>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afffff5">
    <w:name w:val="表前文字"/>
    <w:basedOn w:val="a3"/>
    <w:unhideWhenUsed/>
    <w:qFormat/>
    <w:pPr>
      <w:jc w:val="center"/>
    </w:pPr>
    <w:rPr>
      <w:rFonts w:hint="eastAsia"/>
      <w:color w:val="FF0000"/>
      <w:sz w:val="21"/>
      <w:szCs w:val="24"/>
    </w:rPr>
  </w:style>
  <w:style w:type="paragraph" w:customStyle="1" w:styleId="afffff6">
    <w:name w:val="框架"/>
    <w:basedOn w:val="a3"/>
    <w:unhideWhenUsed/>
    <w:qFormat/>
    <w:pPr>
      <w:adjustRightInd w:val="0"/>
      <w:snapToGrid w:val="0"/>
      <w:jc w:val="center"/>
    </w:pPr>
    <w:rPr>
      <w:rFonts w:ascii="宋体" w:hAnsi="宋体" w:hint="eastAsia"/>
      <w:sz w:val="18"/>
      <w:szCs w:val="20"/>
    </w:rPr>
  </w:style>
  <w:style w:type="paragraph" w:customStyle="1" w:styleId="010">
    <w:name w:val="表格01"/>
    <w:basedOn w:val="a3"/>
    <w:unhideWhenUsed/>
    <w:qFormat/>
    <w:pPr>
      <w:spacing w:before="100" w:beforeAutospacing="1" w:line="240" w:lineRule="atLeast"/>
    </w:pPr>
    <w:rPr>
      <w:rFonts w:hint="eastAsia"/>
      <w:szCs w:val="24"/>
    </w:rPr>
  </w:style>
  <w:style w:type="paragraph" w:customStyle="1" w:styleId="xl56">
    <w:name w:val="xl5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xl25">
    <w:name w:val="xl25"/>
    <w:basedOn w:val="a3"/>
    <w:unhideWhenUsed/>
    <w:qFormat/>
    <w:pPr>
      <w:widowControl/>
      <w:pBdr>
        <w:left w:val="single" w:sz="12" w:space="0" w:color="auto"/>
      </w:pBdr>
      <w:spacing w:before="100" w:beforeAutospacing="1" w:after="100" w:afterAutospacing="1"/>
      <w:jc w:val="center"/>
    </w:pPr>
    <w:rPr>
      <w:rFonts w:ascii="宋体" w:hAnsi="宋体" w:hint="eastAsia"/>
      <w:szCs w:val="24"/>
    </w:rPr>
  </w:style>
  <w:style w:type="paragraph" w:customStyle="1" w:styleId="xl74">
    <w:name w:val="xl7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sz w:val="20"/>
      <w:szCs w:val="20"/>
    </w:rPr>
  </w:style>
  <w:style w:type="paragraph" w:customStyle="1" w:styleId="afffff7">
    <w:name w:val="表格标题"/>
    <w:basedOn w:val="001"/>
    <w:link w:val="Charfc"/>
    <w:unhideWhenUsed/>
    <w:qFormat/>
    <w:pPr>
      <w:ind w:firstLine="0"/>
      <w:jc w:val="center"/>
    </w:pPr>
    <w:rPr>
      <w:rFonts w:hint="eastAsia"/>
      <w:szCs w:val="20"/>
    </w:rPr>
  </w:style>
  <w:style w:type="paragraph" w:customStyle="1" w:styleId="afffff8">
    <w:name w:val="四级条标题"/>
    <w:basedOn w:val="afffff9"/>
    <w:next w:val="a3"/>
    <w:unhideWhenUsed/>
    <w:qFormat/>
    <w:pPr>
      <w:tabs>
        <w:tab w:val="left" w:pos="2520"/>
        <w:tab w:val="left" w:pos="3000"/>
      </w:tabs>
      <w:outlineLvl w:val="5"/>
    </w:pPr>
  </w:style>
  <w:style w:type="paragraph" w:customStyle="1" w:styleId="afffff9">
    <w:name w:val="三级条标题"/>
    <w:basedOn w:val="afffffa"/>
    <w:next w:val="a3"/>
    <w:unhideWhenUsed/>
    <w:qFormat/>
    <w:pPr>
      <w:tabs>
        <w:tab w:val="left" w:pos="2100"/>
        <w:tab w:val="left" w:pos="2580"/>
      </w:tabs>
      <w:outlineLvl w:val="4"/>
    </w:pPr>
  </w:style>
  <w:style w:type="paragraph" w:customStyle="1" w:styleId="afffffa">
    <w:name w:val="二级条标题"/>
    <w:basedOn w:val="afffffb"/>
    <w:next w:val="a3"/>
    <w:unhideWhenUsed/>
    <w:qFormat/>
    <w:pPr>
      <w:tabs>
        <w:tab w:val="left" w:pos="1680"/>
        <w:tab w:val="left" w:pos="2160"/>
      </w:tabs>
      <w:outlineLvl w:val="3"/>
    </w:pPr>
  </w:style>
  <w:style w:type="paragraph" w:customStyle="1" w:styleId="afffffb">
    <w:name w:val="一级条标题"/>
    <w:basedOn w:val="110"/>
    <w:next w:val="a3"/>
    <w:unhideWhenUsed/>
    <w:qFormat/>
    <w:pPr>
      <w:keepNext w:val="0"/>
      <w:pageBreakBefore/>
      <w:widowControl/>
      <w:tabs>
        <w:tab w:val="left" w:pos="1260"/>
      </w:tabs>
      <w:spacing w:line="240" w:lineRule="auto"/>
      <w:ind w:firstLineChars="0" w:firstLine="0"/>
      <w:outlineLvl w:val="2"/>
    </w:pPr>
    <w:rPr>
      <w:rFonts w:ascii="黑体" w:eastAsia="黑体"/>
      <w:b w:val="0"/>
      <w:sz w:val="21"/>
      <w:szCs w:val="20"/>
    </w:rPr>
  </w:style>
  <w:style w:type="paragraph" w:customStyle="1" w:styleId="1f3">
    <w:name w:val="普通(网站)1"/>
    <w:basedOn w:val="a3"/>
    <w:uiPriority w:val="99"/>
    <w:unhideWhenUsed/>
    <w:qFormat/>
    <w:pPr>
      <w:widowControl/>
      <w:spacing w:before="100" w:beforeAutospacing="1" w:after="100" w:afterAutospacing="1"/>
      <w:jc w:val="left"/>
    </w:pPr>
    <w:rPr>
      <w:rFonts w:ascii="宋体" w:hAnsi="宋体" w:cs="宋体" w:hint="eastAsia"/>
      <w:color w:val="000000"/>
      <w:szCs w:val="24"/>
    </w:rPr>
  </w:style>
  <w:style w:type="paragraph" w:customStyle="1" w:styleId="xl85">
    <w:name w:val="xl85"/>
    <w:basedOn w:val="a3"/>
    <w:unhideWhenUsed/>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02">
    <w:name w:val="正文02"/>
    <w:basedOn w:val="a3"/>
    <w:unhideWhenUsed/>
    <w:qFormat/>
    <w:pPr>
      <w:spacing w:before="300" w:line="460" w:lineRule="exact"/>
    </w:pPr>
    <w:rPr>
      <w:rFonts w:hint="eastAsia"/>
      <w:szCs w:val="24"/>
    </w:rPr>
  </w:style>
  <w:style w:type="paragraph" w:customStyle="1" w:styleId="112">
    <w:name w:val="目录 11"/>
    <w:basedOn w:val="a3"/>
    <w:next w:val="a3"/>
    <w:link w:val="TOC11"/>
    <w:uiPriority w:val="39"/>
    <w:unhideWhenUsed/>
    <w:qFormat/>
    <w:pPr>
      <w:spacing w:before="120" w:after="120"/>
      <w:jc w:val="left"/>
    </w:pPr>
    <w:rPr>
      <w:rFonts w:hint="eastAsia"/>
      <w:b/>
      <w:caps/>
      <w:sz w:val="20"/>
      <w:szCs w:val="20"/>
    </w:rPr>
  </w:style>
  <w:style w:type="paragraph" w:customStyle="1" w:styleId="xl29">
    <w:name w:val="xl29"/>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xl45">
    <w:name w:val="xl45"/>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hint="eastAsia"/>
      <w:szCs w:val="24"/>
    </w:rPr>
  </w:style>
  <w:style w:type="paragraph" w:customStyle="1" w:styleId="1f4">
    <w:name w:val="表格样式1"/>
    <w:unhideWhenUsed/>
    <w:qFormat/>
    <w:pPr>
      <w:tabs>
        <w:tab w:val="center" w:pos="546"/>
      </w:tabs>
      <w:spacing w:line="440" w:lineRule="exact"/>
      <w:jc w:val="center"/>
    </w:pPr>
    <w:rPr>
      <w:rFonts w:eastAsia="仿宋_GB2312" w:hint="eastAsia"/>
      <w:sz w:val="21"/>
    </w:rPr>
  </w:style>
  <w:style w:type="paragraph" w:customStyle="1" w:styleId="CharCharCharCharCharChar">
    <w:name w:val="Char Char Char Char Char Char"/>
    <w:basedOn w:val="a3"/>
    <w:unhideWhenUsed/>
    <w:qFormat/>
    <w:rPr>
      <w:rFonts w:ascii="宋体" w:hAnsi="宋体" w:hint="eastAsia"/>
      <w:szCs w:val="24"/>
    </w:rPr>
  </w:style>
  <w:style w:type="paragraph" w:customStyle="1" w:styleId="xl55">
    <w:name w:val="xl5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73">
    <w:name w:val="xl7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afffffc">
    <w:name w:val="报告"/>
    <w:basedOn w:val="a3"/>
    <w:unhideWhenUsed/>
    <w:qFormat/>
    <w:pPr>
      <w:adjustRightInd w:val="0"/>
      <w:ind w:firstLine="505"/>
      <w:textAlignment w:val="baseline"/>
    </w:pPr>
    <w:rPr>
      <w:rFonts w:hint="eastAsia"/>
      <w:szCs w:val="20"/>
    </w:rPr>
  </w:style>
  <w:style w:type="paragraph" w:customStyle="1" w:styleId="afffffd">
    <w:name w:val="正文文字缩进"/>
    <w:basedOn w:val="a3"/>
    <w:unhideWhenUsed/>
    <w:qFormat/>
    <w:pPr>
      <w:ind w:firstLine="560"/>
    </w:pPr>
    <w:rPr>
      <w:rFonts w:hint="eastAsia"/>
      <w:sz w:val="28"/>
      <w:szCs w:val="28"/>
    </w:rPr>
  </w:style>
  <w:style w:type="paragraph" w:customStyle="1" w:styleId="afffffe">
    <w:name w:val="小四表格"/>
    <w:basedOn w:val="a3"/>
    <w:unhideWhenUsed/>
    <w:qFormat/>
    <w:pPr>
      <w:snapToGrid w:val="0"/>
      <w:jc w:val="center"/>
    </w:pPr>
    <w:rPr>
      <w:rFonts w:hint="eastAsia"/>
      <w:szCs w:val="20"/>
    </w:rPr>
  </w:style>
  <w:style w:type="paragraph" w:customStyle="1" w:styleId="CharChar1CharCharCharCharCharCharCharCharCharCharCharCharCharCharCharCharCharChar1">
    <w:name w:val="Char Char1 Char Char Char Char Char Char Char Char Char Char Char Char Char Char Char Char Char Char1"/>
    <w:basedOn w:val="a3"/>
    <w:unhideWhenUsed/>
    <w:qFormat/>
    <w:rPr>
      <w:rFonts w:hint="eastAsia"/>
      <w:sz w:val="21"/>
      <w:szCs w:val="20"/>
    </w:rPr>
  </w:style>
  <w:style w:type="paragraph" w:customStyle="1" w:styleId="xl28">
    <w:name w:val="xl2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 w:val="22"/>
      <w:szCs w:val="22"/>
    </w:rPr>
  </w:style>
  <w:style w:type="paragraph" w:customStyle="1" w:styleId="xl44">
    <w:name w:val="xl44"/>
    <w:basedOn w:val="a3"/>
    <w:unhideWhenUsed/>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hint="eastAsia"/>
      <w:szCs w:val="24"/>
    </w:rPr>
  </w:style>
  <w:style w:type="paragraph" w:customStyle="1" w:styleId="ParaChar">
    <w:name w:val="默认段落字体 Para Char"/>
    <w:basedOn w:val="a3"/>
    <w:unhideWhenUsed/>
    <w:qFormat/>
    <w:rPr>
      <w:rFonts w:hint="eastAsia"/>
      <w:sz w:val="21"/>
      <w:szCs w:val="24"/>
    </w:rPr>
  </w:style>
  <w:style w:type="paragraph" w:customStyle="1" w:styleId="affffff">
    <w:name w:val="a"/>
    <w:basedOn w:val="a3"/>
    <w:unhideWhenUsed/>
    <w:qFormat/>
    <w:pPr>
      <w:adjustRightInd w:val="0"/>
      <w:spacing w:before="120" w:after="120" w:line="440" w:lineRule="atLeast"/>
      <w:jc w:val="center"/>
      <w:textAlignment w:val="baseline"/>
    </w:pPr>
    <w:rPr>
      <w:rFonts w:hint="eastAsia"/>
      <w:sz w:val="28"/>
      <w:szCs w:val="20"/>
    </w:rPr>
  </w:style>
  <w:style w:type="paragraph" w:customStyle="1" w:styleId="xl54">
    <w:name w:val="xl5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72">
    <w:name w:val="xl7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sz w:val="20"/>
      <w:szCs w:val="20"/>
    </w:rPr>
  </w:style>
  <w:style w:type="paragraph" w:customStyle="1" w:styleId="1f5">
    <w:name w:val="标1"/>
    <w:basedOn w:val="a3"/>
    <w:unhideWhenUsed/>
    <w:qFormat/>
    <w:pPr>
      <w:spacing w:before="60" w:line="460" w:lineRule="exact"/>
      <w:outlineLvl w:val="0"/>
    </w:pPr>
    <w:rPr>
      <w:rFonts w:hint="eastAsia"/>
      <w:b/>
      <w:sz w:val="32"/>
      <w:szCs w:val="20"/>
    </w:rPr>
  </w:style>
  <w:style w:type="paragraph" w:customStyle="1" w:styleId="CharCharChar2CharCharCharCharCharCharCharCharCharCharChar">
    <w:name w:val="Char Char Char2 Char Char Char Char Char Char Char Char Char Char Char"/>
    <w:basedOn w:val="a3"/>
    <w:unhideWhenUsed/>
    <w:qFormat/>
    <w:pPr>
      <w:spacing w:beforeLines="20" w:line="440" w:lineRule="atLeast"/>
    </w:pPr>
    <w:rPr>
      <w:rFonts w:hint="eastAsia"/>
      <w:szCs w:val="24"/>
    </w:rPr>
  </w:style>
  <w:style w:type="paragraph" w:customStyle="1" w:styleId="2f">
    <w:name w:val="2"/>
    <w:basedOn w:val="a3"/>
    <w:next w:val="af4"/>
    <w:unhideWhenUsed/>
    <w:qFormat/>
    <w:pPr>
      <w:ind w:left="360" w:firstLine="360"/>
    </w:pPr>
    <w:rPr>
      <w:rFonts w:ascii="宋体" w:hint="eastAsia"/>
      <w:spacing w:val="4"/>
      <w:sz w:val="28"/>
      <w:szCs w:val="24"/>
    </w:rPr>
  </w:style>
  <w:style w:type="paragraph" w:customStyle="1" w:styleId="xl43">
    <w:name w:val="xl43"/>
    <w:basedOn w:val="a3"/>
    <w:unhideWhenUsed/>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szCs w:val="24"/>
    </w:rPr>
  </w:style>
  <w:style w:type="paragraph" w:customStyle="1" w:styleId="Charfd">
    <w:name w:val="表格文字 Char"/>
    <w:basedOn w:val="1b"/>
    <w:unhideWhenUsed/>
    <w:qFormat/>
    <w:pPr>
      <w:spacing w:beforeLines="50"/>
      <w:ind w:firstLineChars="0" w:firstLine="0"/>
      <w:jc w:val="center"/>
    </w:pPr>
    <w:rPr>
      <w:sz w:val="24"/>
    </w:rPr>
  </w:style>
  <w:style w:type="paragraph" w:customStyle="1" w:styleId="affffff0">
    <w:name w:val="君邦正文"/>
    <w:unhideWhenUsed/>
    <w:qFormat/>
    <w:pPr>
      <w:spacing w:after="60" w:line="360" w:lineRule="auto"/>
      <w:ind w:firstLineChars="200" w:firstLine="480"/>
      <w:jc w:val="both"/>
    </w:pPr>
    <w:rPr>
      <w:rFonts w:hint="eastAsia"/>
      <w:sz w:val="24"/>
    </w:rPr>
  </w:style>
  <w:style w:type="paragraph" w:customStyle="1" w:styleId="2f0">
    <w:name w:val="表格2"/>
    <w:basedOn w:val="a3"/>
    <w:next w:val="a3"/>
    <w:unhideWhenUsed/>
    <w:qFormat/>
    <w:pPr>
      <w:keepNext/>
      <w:autoSpaceDE w:val="0"/>
      <w:autoSpaceDN w:val="0"/>
      <w:adjustRightInd w:val="0"/>
      <w:jc w:val="center"/>
      <w:textAlignment w:val="baseline"/>
    </w:pPr>
    <w:rPr>
      <w:rFonts w:ascii="宋体" w:hint="eastAsia"/>
      <w:position w:val="-28"/>
    </w:rPr>
  </w:style>
  <w:style w:type="paragraph" w:customStyle="1" w:styleId="2f1">
    <w:name w:val="正文2"/>
    <w:basedOn w:val="a3"/>
    <w:unhideWhenUsed/>
    <w:qFormat/>
    <w:pPr>
      <w:adjustRightInd w:val="0"/>
      <w:snapToGrid w:val="0"/>
      <w:spacing w:line="440" w:lineRule="atLeast"/>
      <w:ind w:firstLine="510"/>
    </w:pPr>
    <w:rPr>
      <w:rFonts w:hint="eastAsia"/>
      <w:sz w:val="21"/>
      <w:szCs w:val="20"/>
    </w:rPr>
  </w:style>
  <w:style w:type="paragraph" w:customStyle="1" w:styleId="2f2">
    <w:name w:val="样式 正文格式 + 首行缩进:  2 字符"/>
    <w:basedOn w:val="a3"/>
    <w:unhideWhenUsed/>
    <w:qFormat/>
    <w:pPr>
      <w:ind w:firstLine="480"/>
    </w:pPr>
    <w:rPr>
      <w:rFonts w:cs="宋体" w:hint="eastAsia"/>
      <w:szCs w:val="20"/>
    </w:rPr>
  </w:style>
  <w:style w:type="paragraph" w:customStyle="1" w:styleId="xl71">
    <w:name w:val="xl7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b/>
      <w:szCs w:val="24"/>
    </w:rPr>
  </w:style>
  <w:style w:type="paragraph" w:customStyle="1" w:styleId="59">
    <w:name w:val="5"/>
    <w:basedOn w:val="a3"/>
    <w:next w:val="215"/>
    <w:unhideWhenUsed/>
    <w:qFormat/>
    <w:pPr>
      <w:adjustRightInd w:val="0"/>
      <w:snapToGrid w:val="0"/>
      <w:ind w:firstLine="420"/>
    </w:pPr>
    <w:rPr>
      <w:rFonts w:hint="eastAsia"/>
      <w:szCs w:val="24"/>
    </w:rPr>
  </w:style>
  <w:style w:type="paragraph" w:customStyle="1" w:styleId="affffff1">
    <w:name w:val="四级标题"/>
    <w:basedOn w:val="a3"/>
    <w:unhideWhenUsed/>
    <w:qFormat/>
    <w:pPr>
      <w:spacing w:before="60" w:line="460" w:lineRule="exact"/>
    </w:pPr>
    <w:rPr>
      <w:rFonts w:hint="eastAsia"/>
      <w:szCs w:val="24"/>
    </w:rPr>
  </w:style>
  <w:style w:type="paragraph" w:customStyle="1" w:styleId="xl42">
    <w:name w:val="xl42"/>
    <w:basedOn w:val="a3"/>
    <w:unhideWhenUsed/>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szCs w:val="24"/>
    </w:rPr>
  </w:style>
  <w:style w:type="paragraph" w:customStyle="1" w:styleId="affffff2">
    <w:name w:val="正文五"/>
    <w:basedOn w:val="a3"/>
    <w:unhideWhenUsed/>
    <w:qFormat/>
    <w:pPr>
      <w:snapToGrid w:val="0"/>
      <w:jc w:val="center"/>
    </w:pPr>
    <w:rPr>
      <w:rFonts w:hint="eastAsia"/>
      <w:sz w:val="21"/>
      <w:szCs w:val="28"/>
    </w:rPr>
  </w:style>
  <w:style w:type="paragraph" w:customStyle="1" w:styleId="font14">
    <w:name w:val="font14"/>
    <w:basedOn w:val="a3"/>
    <w:unhideWhenUsed/>
    <w:qFormat/>
    <w:pPr>
      <w:widowControl/>
      <w:spacing w:before="100" w:beforeAutospacing="1" w:after="100" w:afterAutospacing="1"/>
      <w:jc w:val="left"/>
    </w:pPr>
    <w:rPr>
      <w:rFonts w:eastAsia="Arial Unicode MS" w:hint="eastAsia"/>
      <w:b/>
      <w:sz w:val="20"/>
      <w:szCs w:val="20"/>
    </w:rPr>
  </w:style>
  <w:style w:type="paragraph" w:customStyle="1" w:styleId="12251">
    <w:name w:val="样式 表样式1 + 首行缩进:  2.25 字符1"/>
    <w:basedOn w:val="1f6"/>
    <w:unhideWhenUsed/>
    <w:qFormat/>
    <w:pPr>
      <w:snapToGrid w:val="0"/>
      <w:ind w:leftChars="-10" w:left="-10" w:rightChars="-10" w:right="-10"/>
    </w:pPr>
    <w:rPr>
      <w:sz w:val="21"/>
      <w:szCs w:val="20"/>
      <w:lang w:eastAsia="zh-TW"/>
    </w:rPr>
  </w:style>
  <w:style w:type="paragraph" w:customStyle="1" w:styleId="1f6">
    <w:name w:val="表样式1"/>
    <w:basedOn w:val="a3"/>
    <w:unhideWhenUsed/>
    <w:qFormat/>
    <w:pPr>
      <w:spacing w:beforeLines="20"/>
      <w:jc w:val="center"/>
    </w:pPr>
    <w:rPr>
      <w:rFonts w:hint="eastAsia"/>
      <w:color w:val="000000"/>
      <w:spacing w:val="-10"/>
      <w:szCs w:val="24"/>
      <w:u w:val="single"/>
    </w:rPr>
  </w:style>
  <w:style w:type="paragraph" w:customStyle="1" w:styleId="CharCharCharCharCharChar2CharCharCharChar">
    <w:name w:val="Char Char Char Char Char Char2 Char Char Char Char"/>
    <w:basedOn w:val="a3"/>
    <w:unhideWhenUsed/>
    <w:qFormat/>
    <w:rPr>
      <w:rFonts w:hint="eastAsia"/>
      <w:sz w:val="21"/>
      <w:szCs w:val="24"/>
    </w:rPr>
  </w:style>
  <w:style w:type="paragraph" w:customStyle="1" w:styleId="affffff3">
    <w:name w:val="列表项目"/>
    <w:basedOn w:val="a2"/>
    <w:unhideWhenUsed/>
    <w:qFormat/>
    <w:pPr>
      <w:tabs>
        <w:tab w:val="clear" w:pos="360"/>
      </w:tabs>
      <w:spacing w:before="120"/>
      <w:ind w:left="0" w:firstLineChars="0" w:firstLine="0"/>
      <w:jc w:val="center"/>
    </w:pPr>
    <w:rPr>
      <w:rFonts w:hint="eastAsia"/>
      <w:b/>
      <w:sz w:val="30"/>
      <w:szCs w:val="20"/>
    </w:rPr>
  </w:style>
  <w:style w:type="paragraph" w:customStyle="1" w:styleId="xl70">
    <w:name w:val="xl7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affffff4">
    <w:name w:val="内表头"/>
    <w:basedOn w:val="a3"/>
    <w:unhideWhenUsed/>
    <w:qFormat/>
    <w:pPr>
      <w:adjustRightInd w:val="0"/>
      <w:snapToGrid w:val="0"/>
      <w:jc w:val="center"/>
    </w:pPr>
    <w:rPr>
      <w:rFonts w:eastAsia="黑体" w:cs="Arial" w:hint="eastAsia"/>
      <w:sz w:val="20"/>
      <w:szCs w:val="24"/>
    </w:rPr>
  </w:style>
  <w:style w:type="paragraph" w:customStyle="1" w:styleId="BodyText22">
    <w:name w:val="Body Text 22"/>
    <w:basedOn w:val="a3"/>
    <w:unhideWhenUsed/>
    <w:qFormat/>
    <w:pPr>
      <w:adjustRightInd w:val="0"/>
      <w:spacing w:line="440" w:lineRule="atLeast"/>
      <w:ind w:firstLine="480"/>
      <w:textAlignment w:val="baseline"/>
    </w:pPr>
    <w:rPr>
      <w:rFonts w:eastAsia="仿宋_GB2312" w:hint="eastAsia"/>
      <w:szCs w:val="20"/>
    </w:rPr>
  </w:style>
  <w:style w:type="paragraph" w:customStyle="1" w:styleId="CharCharCharCharCharChar1CharCharCharChar">
    <w:name w:val="Char Char Char Char Char Char1 Char Char Char Char"/>
    <w:basedOn w:val="a3"/>
    <w:unhideWhenUsed/>
    <w:qFormat/>
    <w:rPr>
      <w:rFonts w:hint="eastAsia"/>
      <w:szCs w:val="24"/>
    </w:rPr>
  </w:style>
  <w:style w:type="paragraph" w:customStyle="1" w:styleId="font10">
    <w:name w:val="font10"/>
    <w:basedOn w:val="a3"/>
    <w:unhideWhenUsed/>
    <w:qFormat/>
    <w:pPr>
      <w:widowControl/>
      <w:spacing w:before="100" w:beforeAutospacing="1" w:after="100" w:afterAutospacing="1"/>
      <w:jc w:val="left"/>
    </w:pPr>
    <w:rPr>
      <w:rFonts w:hint="eastAsia"/>
      <w:sz w:val="22"/>
      <w:szCs w:val="22"/>
    </w:rPr>
  </w:style>
  <w:style w:type="paragraph" w:customStyle="1" w:styleId="xl39">
    <w:name w:val="xl39"/>
    <w:basedOn w:val="a3"/>
    <w:unhideWhenUsed/>
    <w:qFormat/>
    <w:pPr>
      <w:widowControl/>
      <w:spacing w:before="100" w:beforeAutospacing="1" w:after="100" w:afterAutospacing="1"/>
      <w:jc w:val="center"/>
      <w:textAlignment w:val="center"/>
    </w:pPr>
    <w:rPr>
      <w:rFonts w:ascii="仿宋_GB2312" w:eastAsia="仿宋_GB2312" w:hAnsi="宋体" w:hint="eastAsia"/>
      <w:b/>
      <w:sz w:val="28"/>
      <w:szCs w:val="28"/>
    </w:rPr>
  </w:style>
  <w:style w:type="paragraph" w:customStyle="1" w:styleId="xl41">
    <w:name w:val="xl41"/>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xl52">
    <w:name w:val="xl5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sz w:val="20"/>
      <w:szCs w:val="20"/>
    </w:rPr>
  </w:style>
  <w:style w:type="paragraph" w:customStyle="1" w:styleId="-biao">
    <w:name w:val="正文-biao"/>
    <w:basedOn w:val="a3"/>
    <w:unhideWhenUsed/>
    <w:qFormat/>
    <w:pPr>
      <w:spacing w:before="60" w:line="460" w:lineRule="exact"/>
      <w:ind w:firstLine="482"/>
    </w:pPr>
    <w:rPr>
      <w:rFonts w:hAnsi="宋体" w:hint="eastAsia"/>
      <w:szCs w:val="24"/>
    </w:rPr>
  </w:style>
  <w:style w:type="paragraph" w:customStyle="1" w:styleId="font13">
    <w:name w:val="font13"/>
    <w:basedOn w:val="a3"/>
    <w:unhideWhenUsed/>
    <w:qFormat/>
    <w:pPr>
      <w:widowControl/>
      <w:spacing w:before="100" w:beforeAutospacing="1" w:after="100" w:afterAutospacing="1"/>
      <w:jc w:val="left"/>
    </w:pPr>
    <w:rPr>
      <w:rFonts w:ascii="Arial" w:eastAsia="Arial Unicode MS" w:hAnsi="Arial" w:cs="Arial" w:hint="eastAsia"/>
      <w:b/>
      <w:szCs w:val="24"/>
    </w:rPr>
  </w:style>
  <w:style w:type="paragraph" w:customStyle="1" w:styleId="1f7">
    <w:name w:val="无间隔1"/>
    <w:unhideWhenUsed/>
    <w:qFormat/>
    <w:pPr>
      <w:widowControl w:val="0"/>
      <w:jc w:val="both"/>
    </w:pPr>
    <w:rPr>
      <w:rFonts w:ascii="Calibri" w:hAnsi="Calibri" w:cs="Calibri" w:hint="eastAsia"/>
      <w:kern w:val="2"/>
      <w:sz w:val="21"/>
      <w:szCs w:val="21"/>
    </w:rPr>
  </w:style>
  <w:style w:type="paragraph" w:customStyle="1" w:styleId="xl69">
    <w:name w:val="xl6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hint="eastAsia"/>
      <w:color w:val="FF00FF"/>
      <w:sz w:val="20"/>
      <w:szCs w:val="20"/>
    </w:rPr>
  </w:style>
  <w:style w:type="paragraph" w:customStyle="1" w:styleId="font9">
    <w:name w:val="font9"/>
    <w:basedOn w:val="a3"/>
    <w:unhideWhenUsed/>
    <w:qFormat/>
    <w:pPr>
      <w:widowControl/>
      <w:spacing w:before="100" w:beforeAutospacing="1" w:after="100" w:afterAutospacing="1"/>
      <w:jc w:val="left"/>
    </w:pPr>
    <w:rPr>
      <w:rFonts w:ascii="宋体" w:hAnsi="宋体" w:hint="eastAsia"/>
      <w:sz w:val="22"/>
      <w:szCs w:val="22"/>
    </w:rPr>
  </w:style>
  <w:style w:type="paragraph" w:customStyle="1" w:styleId="1f8">
    <w:name w:val="默认段落字体1"/>
    <w:basedOn w:val="a3"/>
    <w:unhideWhenUsed/>
    <w:qFormat/>
    <w:rPr>
      <w:rFonts w:ascii="宋体" w:hAnsi="宋体" w:cs="宋体" w:hint="eastAsia"/>
      <w:szCs w:val="24"/>
    </w:rPr>
  </w:style>
  <w:style w:type="paragraph" w:customStyle="1" w:styleId="BodyText21">
    <w:name w:val="Body Text 21"/>
    <w:basedOn w:val="a3"/>
    <w:unhideWhenUsed/>
    <w:qFormat/>
    <w:pPr>
      <w:autoSpaceDE w:val="0"/>
      <w:autoSpaceDN w:val="0"/>
      <w:adjustRightInd w:val="0"/>
      <w:spacing w:line="480" w:lineRule="exact"/>
      <w:ind w:firstLine="540"/>
      <w:textAlignment w:val="baseline"/>
    </w:pPr>
    <w:rPr>
      <w:rFonts w:ascii="宋体" w:hAnsi="Tms Rmn" w:hint="eastAsia"/>
      <w:szCs w:val="20"/>
    </w:rPr>
  </w:style>
  <w:style w:type="paragraph" w:customStyle="1" w:styleId="affffff5">
    <w:name w:val="前言、引言标题"/>
    <w:next w:val="a3"/>
    <w:unhideWhenUsed/>
    <w:qFormat/>
    <w:pPr>
      <w:shd w:val="clear" w:color="FFFFFF" w:fill="FFFFFF"/>
      <w:tabs>
        <w:tab w:val="left" w:pos="903"/>
      </w:tabs>
      <w:spacing w:before="640" w:after="560"/>
      <w:ind w:left="903" w:hanging="315"/>
      <w:jc w:val="center"/>
      <w:outlineLvl w:val="0"/>
    </w:pPr>
    <w:rPr>
      <w:rFonts w:ascii="黑体" w:eastAsia="黑体" w:hint="eastAsia"/>
      <w:sz w:val="32"/>
    </w:rPr>
  </w:style>
  <w:style w:type="paragraph" w:customStyle="1" w:styleId="affffff6">
    <w:name w:val="一级标题"/>
    <w:basedOn w:val="a3"/>
    <w:unhideWhenUsed/>
    <w:qFormat/>
    <w:pPr>
      <w:spacing w:before="60" w:line="500" w:lineRule="exact"/>
      <w:outlineLvl w:val="0"/>
    </w:pPr>
    <w:rPr>
      <w:rFonts w:hint="eastAsia"/>
      <w:b/>
      <w:sz w:val="32"/>
      <w:szCs w:val="24"/>
    </w:rPr>
  </w:style>
  <w:style w:type="paragraph" w:customStyle="1" w:styleId="affffff7">
    <w:name w:val="注释"/>
    <w:basedOn w:val="a3"/>
    <w:unhideWhenUsed/>
    <w:qFormat/>
    <w:pPr>
      <w:spacing w:before="60" w:line="360" w:lineRule="exact"/>
    </w:pPr>
    <w:rPr>
      <w:rFonts w:hint="eastAsia"/>
      <w:sz w:val="21"/>
      <w:szCs w:val="24"/>
    </w:rPr>
  </w:style>
  <w:style w:type="paragraph" w:customStyle="1" w:styleId="xl68">
    <w:name w:val="xl6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color w:val="000000"/>
      <w:sz w:val="20"/>
      <w:szCs w:val="20"/>
    </w:rPr>
  </w:style>
  <w:style w:type="paragraph" w:customStyle="1" w:styleId="xl84">
    <w:name w:val="xl84"/>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2Char3">
    <w:name w:val="正文2 Char"/>
    <w:basedOn w:val="a3"/>
    <w:unhideWhenUsed/>
    <w:qFormat/>
    <w:pPr>
      <w:adjustRightInd w:val="0"/>
      <w:snapToGrid w:val="0"/>
      <w:spacing w:line="500" w:lineRule="atLeast"/>
      <w:ind w:firstLine="567"/>
    </w:pPr>
    <w:rPr>
      <w:rFonts w:hint="eastAsia"/>
      <w:szCs w:val="20"/>
    </w:rPr>
  </w:style>
  <w:style w:type="paragraph" w:customStyle="1" w:styleId="1f9">
    <w:name w:val="页面标题1"/>
    <w:basedOn w:val="a3"/>
    <w:unhideWhenUsed/>
    <w:qFormat/>
    <w:pPr>
      <w:adjustRightInd w:val="0"/>
      <w:jc w:val="center"/>
      <w:textAlignment w:val="baseline"/>
    </w:pPr>
    <w:rPr>
      <w:rFonts w:ascii="黑体" w:eastAsia="黑体" w:hAnsi="宋体" w:hint="eastAsia"/>
      <w:b/>
      <w:kern w:val="24"/>
      <w:sz w:val="52"/>
      <w:szCs w:val="20"/>
    </w:rPr>
  </w:style>
  <w:style w:type="paragraph" w:customStyle="1" w:styleId="font8">
    <w:name w:val="font8"/>
    <w:basedOn w:val="a3"/>
    <w:unhideWhenUsed/>
    <w:qFormat/>
    <w:pPr>
      <w:widowControl/>
      <w:spacing w:before="100" w:beforeAutospacing="1" w:after="100" w:afterAutospacing="1"/>
      <w:jc w:val="left"/>
    </w:pPr>
    <w:rPr>
      <w:rFonts w:ascii="宋体" w:hAnsi="宋体" w:hint="eastAsia"/>
      <w:szCs w:val="24"/>
    </w:rPr>
  </w:style>
  <w:style w:type="paragraph" w:customStyle="1" w:styleId="xl40">
    <w:name w:val="xl40"/>
    <w:basedOn w:val="a3"/>
    <w:unhideWhenUsed/>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hint="eastAsia"/>
      <w:szCs w:val="24"/>
    </w:rPr>
  </w:style>
  <w:style w:type="paragraph" w:customStyle="1" w:styleId="311">
    <w:name w:val="正文文本 31"/>
    <w:basedOn w:val="a3"/>
    <w:link w:val="321"/>
    <w:unhideWhenUsed/>
    <w:qFormat/>
    <w:pPr>
      <w:adjustRightInd w:val="0"/>
      <w:snapToGrid w:val="0"/>
      <w:ind w:right="6"/>
    </w:pPr>
    <w:rPr>
      <w:rFonts w:hint="eastAsia"/>
      <w:szCs w:val="24"/>
    </w:rPr>
  </w:style>
  <w:style w:type="paragraph" w:customStyle="1" w:styleId="xl67">
    <w:name w:val="xl6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Cs w:val="24"/>
    </w:rPr>
  </w:style>
  <w:style w:type="paragraph" w:customStyle="1" w:styleId="xl83">
    <w:name w:val="xl83"/>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Cs w:val="24"/>
    </w:rPr>
  </w:style>
  <w:style w:type="paragraph" w:customStyle="1" w:styleId="003">
    <w:name w:val="标题003"/>
    <w:basedOn w:val="a3"/>
    <w:unhideWhenUsed/>
    <w:qFormat/>
    <w:pPr>
      <w:spacing w:line="440" w:lineRule="exact"/>
      <w:outlineLvl w:val="2"/>
    </w:pPr>
    <w:rPr>
      <w:rFonts w:hint="eastAsia"/>
      <w:szCs w:val="20"/>
    </w:rPr>
  </w:style>
  <w:style w:type="paragraph" w:customStyle="1" w:styleId="font7">
    <w:name w:val="font7"/>
    <w:basedOn w:val="a3"/>
    <w:unhideWhenUsed/>
    <w:qFormat/>
    <w:pPr>
      <w:widowControl/>
      <w:spacing w:before="100" w:beforeAutospacing="1" w:after="100" w:afterAutospacing="1"/>
      <w:jc w:val="left"/>
    </w:pPr>
    <w:rPr>
      <w:rFonts w:hint="eastAsia"/>
      <w:szCs w:val="24"/>
    </w:rPr>
  </w:style>
  <w:style w:type="paragraph" w:customStyle="1" w:styleId="xl38">
    <w:name w:val="xl3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affffff8">
    <w:name w:val="表内格式"/>
    <w:basedOn w:val="a3"/>
    <w:unhideWhenUsed/>
    <w:qFormat/>
    <w:pPr>
      <w:spacing w:line="280" w:lineRule="exact"/>
      <w:jc w:val="center"/>
    </w:pPr>
    <w:rPr>
      <w:rFonts w:ascii="宋体" w:hint="eastAsia"/>
      <w:sz w:val="18"/>
      <w:szCs w:val="20"/>
    </w:rPr>
  </w:style>
  <w:style w:type="paragraph" w:customStyle="1" w:styleId="ST201">
    <w:name w:val="ST20_1"/>
    <w:basedOn w:val="a3"/>
    <w:unhideWhenUsed/>
    <w:qFormat/>
    <w:pPr>
      <w:autoSpaceDE w:val="0"/>
      <w:autoSpaceDN w:val="0"/>
      <w:adjustRightInd w:val="0"/>
      <w:spacing w:line="312" w:lineRule="atLeast"/>
      <w:jc w:val="center"/>
      <w:textAlignment w:val="baseline"/>
    </w:pPr>
    <w:rPr>
      <w:rFonts w:ascii="宋体" w:hAnsi="Tms Rmn" w:hint="eastAsia"/>
      <w:szCs w:val="20"/>
    </w:rPr>
  </w:style>
  <w:style w:type="paragraph" w:customStyle="1" w:styleId="1fa">
    <w:name w:val="正文 1"/>
    <w:basedOn w:val="a3"/>
    <w:unhideWhenUsed/>
    <w:qFormat/>
    <w:pPr>
      <w:adjustRightInd w:val="0"/>
      <w:snapToGrid w:val="0"/>
      <w:spacing w:line="440" w:lineRule="exact"/>
    </w:pPr>
    <w:rPr>
      <w:rFonts w:hint="eastAsia"/>
      <w:szCs w:val="24"/>
    </w:rPr>
  </w:style>
  <w:style w:type="paragraph" w:customStyle="1" w:styleId="24125">
    <w:name w:val="样式 小四 首行缩进:  24 磅 行距: 多倍行距 1.25 字行"/>
    <w:basedOn w:val="a3"/>
    <w:unhideWhenUsed/>
    <w:qFormat/>
    <w:pPr>
      <w:adjustRightInd w:val="0"/>
      <w:spacing w:line="440" w:lineRule="exact"/>
      <w:ind w:firstLine="480"/>
      <w:textAlignment w:val="baseline"/>
    </w:pPr>
    <w:rPr>
      <w:rFonts w:hint="eastAsia"/>
      <w:szCs w:val="20"/>
    </w:rPr>
  </w:style>
  <w:style w:type="paragraph" w:customStyle="1" w:styleId="xl66">
    <w:name w:val="xl6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b/>
      <w:sz w:val="20"/>
      <w:szCs w:val="20"/>
    </w:rPr>
  </w:style>
  <w:style w:type="paragraph" w:customStyle="1" w:styleId="xl82">
    <w:name w:val="xl8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000000"/>
      <w:szCs w:val="24"/>
    </w:rPr>
  </w:style>
  <w:style w:type="paragraph" w:customStyle="1" w:styleId="affffff9">
    <w:name w:val="表格字体"/>
    <w:basedOn w:val="a3"/>
    <w:unhideWhenUsed/>
    <w:qFormat/>
    <w:pPr>
      <w:tabs>
        <w:tab w:val="left" w:pos="0"/>
        <w:tab w:val="left" w:pos="180"/>
      </w:tabs>
      <w:jc w:val="center"/>
    </w:pPr>
    <w:rPr>
      <w:rFonts w:ascii="宋体" w:hAnsi="宋体" w:hint="eastAsia"/>
      <w:sz w:val="21"/>
    </w:rPr>
  </w:style>
  <w:style w:type="paragraph" w:customStyle="1" w:styleId="2f3">
    <w:name w:val="表格文字2"/>
    <w:basedOn w:val="a3"/>
    <w:link w:val="2Char4"/>
    <w:unhideWhenUsed/>
    <w:qFormat/>
    <w:pPr>
      <w:tabs>
        <w:tab w:val="left" w:pos="277"/>
        <w:tab w:val="left" w:pos="600"/>
        <w:tab w:val="left" w:pos="780"/>
        <w:tab w:val="left" w:pos="2517"/>
      </w:tabs>
      <w:adjustRightInd w:val="0"/>
      <w:spacing w:before="60"/>
      <w:jc w:val="center"/>
      <w:textAlignment w:val="baseline"/>
    </w:pPr>
    <w:rPr>
      <w:rFonts w:hint="eastAsia"/>
      <w:sz w:val="21"/>
      <w:szCs w:val="20"/>
    </w:rPr>
  </w:style>
  <w:style w:type="paragraph" w:customStyle="1" w:styleId="font6">
    <w:name w:val="font6"/>
    <w:basedOn w:val="a3"/>
    <w:unhideWhenUsed/>
    <w:qFormat/>
    <w:pPr>
      <w:widowControl/>
      <w:spacing w:before="100" w:beforeAutospacing="1" w:after="100" w:afterAutospacing="1"/>
      <w:jc w:val="left"/>
    </w:pPr>
    <w:rPr>
      <w:rFonts w:ascii="宋体" w:hAnsi="宋体" w:hint="eastAsia"/>
      <w:sz w:val="18"/>
      <w:szCs w:val="18"/>
    </w:rPr>
  </w:style>
  <w:style w:type="paragraph" w:customStyle="1" w:styleId="xl37">
    <w:name w:val="xl3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szCs w:val="24"/>
    </w:rPr>
  </w:style>
  <w:style w:type="paragraph" w:customStyle="1" w:styleId="4b">
    <w:name w:val="4"/>
    <w:basedOn w:val="a3"/>
    <w:next w:val="1b"/>
    <w:unhideWhenUsed/>
    <w:qFormat/>
    <w:pPr>
      <w:ind w:firstLine="420"/>
    </w:pPr>
    <w:rPr>
      <w:rFonts w:hint="eastAsia"/>
      <w:sz w:val="21"/>
      <w:szCs w:val="24"/>
    </w:rPr>
  </w:style>
  <w:style w:type="paragraph" w:customStyle="1" w:styleId="affffffa">
    <w:name w:val="表"/>
    <w:basedOn w:val="a3"/>
    <w:link w:val="Charfe"/>
    <w:unhideWhenUsed/>
    <w:qFormat/>
    <w:pPr>
      <w:snapToGrid w:val="0"/>
      <w:jc w:val="center"/>
    </w:pPr>
    <w:rPr>
      <w:rFonts w:hint="eastAsia"/>
      <w:spacing w:val="2"/>
      <w:sz w:val="21"/>
      <w:szCs w:val="20"/>
    </w:rPr>
  </w:style>
  <w:style w:type="paragraph" w:customStyle="1" w:styleId="Char1CharCharChar">
    <w:name w:val="Char1 Char Char Char"/>
    <w:basedOn w:val="a3"/>
    <w:unhideWhenUsed/>
    <w:qFormat/>
    <w:rPr>
      <w:rFonts w:hint="eastAsia"/>
      <w:sz w:val="21"/>
    </w:rPr>
  </w:style>
  <w:style w:type="paragraph" w:customStyle="1" w:styleId="020">
    <w:name w:val="标题02"/>
    <w:basedOn w:val="a3"/>
    <w:next w:val="a3"/>
    <w:unhideWhenUsed/>
    <w:qFormat/>
    <w:pPr>
      <w:adjustRightInd w:val="0"/>
      <w:snapToGrid w:val="0"/>
      <w:spacing w:line="440" w:lineRule="atLeast"/>
      <w:outlineLvl w:val="1"/>
    </w:pPr>
    <w:rPr>
      <w:rFonts w:hint="eastAsia"/>
      <w:b/>
      <w:szCs w:val="20"/>
    </w:rPr>
  </w:style>
  <w:style w:type="paragraph" w:customStyle="1" w:styleId="011">
    <w:name w:val="符号_01"/>
    <w:unhideWhenUsed/>
    <w:qFormat/>
    <w:pPr>
      <w:tabs>
        <w:tab w:val="left" w:pos="2040"/>
        <w:tab w:val="right" w:leader="dot" w:pos="6896"/>
        <w:tab w:val="left" w:pos="7070"/>
      </w:tabs>
      <w:spacing w:afterLines="50" w:line="240" w:lineRule="atLeast"/>
      <w:ind w:leftChars="800" w:left="2040" w:rightChars="200" w:right="420" w:hangingChars="200" w:hanging="360"/>
      <w:jc w:val="both"/>
    </w:pPr>
    <w:rPr>
      <w:rFonts w:ascii="Garamond" w:eastAsia="楷体_GB2312" w:hAnsi="Garamond" w:hint="eastAsia"/>
      <w:kern w:val="2"/>
      <w:sz w:val="28"/>
      <w:szCs w:val="28"/>
    </w:rPr>
  </w:style>
  <w:style w:type="paragraph" w:customStyle="1" w:styleId="affffffb">
    <w:name w:val="居中正文"/>
    <w:basedOn w:val="1fb"/>
    <w:unhideWhenUsed/>
    <w:qFormat/>
    <w:pPr>
      <w:adjustRightInd w:val="0"/>
      <w:ind w:firstLineChars="0" w:firstLine="0"/>
      <w:jc w:val="center"/>
      <w:textAlignment w:val="baseline"/>
    </w:pPr>
    <w:rPr>
      <w:rFonts w:ascii="宋体"/>
      <w:kern w:val="28"/>
      <w:szCs w:val="20"/>
    </w:rPr>
  </w:style>
  <w:style w:type="paragraph" w:customStyle="1" w:styleId="1fb">
    <w:name w:val="正文文本首行缩进1"/>
    <w:basedOn w:val="12"/>
    <w:link w:val="Char33"/>
    <w:unhideWhenUsed/>
    <w:qFormat/>
    <w:pPr>
      <w:widowControl w:val="0"/>
      <w:spacing w:after="0"/>
      <w:ind w:firstLine="480"/>
      <w:jc w:val="both"/>
    </w:pPr>
  </w:style>
  <w:style w:type="paragraph" w:customStyle="1" w:styleId="xl65">
    <w:name w:val="xl6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0"/>
      <w:szCs w:val="20"/>
    </w:rPr>
  </w:style>
  <w:style w:type="paragraph" w:customStyle="1" w:styleId="xl81">
    <w:name w:val="xl81"/>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sz w:val="20"/>
      <w:szCs w:val="20"/>
    </w:rPr>
  </w:style>
  <w:style w:type="paragraph" w:customStyle="1" w:styleId="affffffc">
    <w:name w:val="定表"/>
    <w:basedOn w:val="a3"/>
    <w:unhideWhenUsed/>
    <w:qFormat/>
    <w:pPr>
      <w:snapToGrid w:val="0"/>
      <w:spacing w:afterLines="50"/>
    </w:pPr>
    <w:rPr>
      <w:rFonts w:hint="eastAsia"/>
      <w:sz w:val="21"/>
      <w:szCs w:val="24"/>
    </w:rPr>
  </w:style>
  <w:style w:type="paragraph" w:customStyle="1" w:styleId="ParaCharCharCharChar">
    <w:name w:val="默认段落字体 Para Char Char Char Char"/>
    <w:basedOn w:val="a3"/>
    <w:unhideWhenUsed/>
    <w:qFormat/>
    <w:rPr>
      <w:rFonts w:hint="eastAsia"/>
      <w:sz w:val="21"/>
      <w:szCs w:val="24"/>
    </w:rPr>
  </w:style>
  <w:style w:type="paragraph" w:customStyle="1" w:styleId="affffffd">
    <w:name w:val="二级标题"/>
    <w:basedOn w:val="213"/>
    <w:unhideWhenUsed/>
    <w:qFormat/>
    <w:pPr>
      <w:tabs>
        <w:tab w:val="left" w:pos="1322"/>
      </w:tabs>
      <w:spacing w:before="60" w:line="460" w:lineRule="exact"/>
      <w:ind w:firstLineChars="0" w:firstLine="0"/>
    </w:pPr>
    <w:rPr>
      <w:sz w:val="28"/>
    </w:rPr>
  </w:style>
  <w:style w:type="paragraph" w:customStyle="1" w:styleId="font5">
    <w:name w:val="font5"/>
    <w:basedOn w:val="a3"/>
    <w:unhideWhenUsed/>
    <w:qFormat/>
    <w:pPr>
      <w:widowControl/>
      <w:spacing w:before="100" w:beforeAutospacing="1" w:after="100" w:afterAutospacing="1"/>
      <w:jc w:val="left"/>
    </w:pPr>
    <w:rPr>
      <w:rFonts w:ascii="黑体" w:eastAsia="黑体" w:hAnsi="宋体" w:hint="eastAsia"/>
      <w:b/>
      <w:sz w:val="36"/>
      <w:szCs w:val="36"/>
    </w:rPr>
  </w:style>
  <w:style w:type="paragraph" w:customStyle="1" w:styleId="xl36">
    <w:name w:val="xl3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font1">
    <w:name w:val="font1"/>
    <w:basedOn w:val="a3"/>
    <w:unhideWhenUsed/>
    <w:qFormat/>
    <w:pPr>
      <w:widowControl/>
      <w:spacing w:before="100" w:beforeAutospacing="1" w:after="100" w:afterAutospacing="1"/>
      <w:jc w:val="left"/>
    </w:pPr>
    <w:rPr>
      <w:rFonts w:ascii="宋体" w:hAnsi="宋体" w:hint="eastAsia"/>
      <w:szCs w:val="24"/>
    </w:rPr>
  </w:style>
  <w:style w:type="paragraph" w:customStyle="1" w:styleId="xl51">
    <w:name w:val="xl51"/>
    <w:basedOn w:val="a3"/>
    <w:unhideWhenUsed/>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hint="eastAsia"/>
      <w:szCs w:val="24"/>
    </w:rPr>
  </w:style>
  <w:style w:type="paragraph" w:customStyle="1" w:styleId="03">
    <w:name w:val="标题03"/>
    <w:basedOn w:val="a3"/>
    <w:unhideWhenUsed/>
    <w:qFormat/>
    <w:pPr>
      <w:tabs>
        <w:tab w:val="left" w:pos="610"/>
        <w:tab w:val="left" w:pos="860"/>
        <w:tab w:val="left" w:pos="1075"/>
      </w:tabs>
      <w:snapToGrid w:val="0"/>
      <w:spacing w:before="100" w:beforeAutospacing="1" w:after="100" w:afterAutospacing="1"/>
      <w:jc w:val="left"/>
      <w:outlineLvl w:val="2"/>
    </w:pPr>
    <w:rPr>
      <w:rFonts w:hint="eastAsia"/>
      <w:b/>
      <w:spacing w:val="2"/>
      <w:szCs w:val="20"/>
    </w:rPr>
  </w:style>
  <w:style w:type="paragraph" w:customStyle="1" w:styleId="T">
    <w:name w:val="T正文"/>
    <w:unhideWhenUsed/>
    <w:qFormat/>
    <w:pPr>
      <w:widowControl w:val="0"/>
      <w:adjustRightInd w:val="0"/>
      <w:snapToGrid w:val="0"/>
      <w:spacing w:line="360" w:lineRule="auto"/>
      <w:ind w:firstLineChars="200" w:firstLine="200"/>
      <w:jc w:val="both"/>
    </w:pPr>
    <w:rPr>
      <w:rFonts w:eastAsia="仿宋_GB2312" w:hint="eastAsia"/>
      <w:sz w:val="28"/>
    </w:rPr>
  </w:style>
  <w:style w:type="paragraph" w:customStyle="1" w:styleId="font12">
    <w:name w:val="font12"/>
    <w:basedOn w:val="a3"/>
    <w:unhideWhenUsed/>
    <w:qFormat/>
    <w:pPr>
      <w:widowControl/>
      <w:spacing w:before="100" w:beforeAutospacing="1" w:after="100" w:afterAutospacing="1"/>
      <w:jc w:val="left"/>
    </w:pPr>
    <w:rPr>
      <w:rFonts w:eastAsia="Arial Unicode MS" w:hint="eastAsia"/>
      <w:b/>
      <w:szCs w:val="24"/>
    </w:rPr>
  </w:style>
  <w:style w:type="paragraph" w:customStyle="1" w:styleId="012">
    <w:name w:val="标题01"/>
    <w:basedOn w:val="a3"/>
    <w:unhideWhenUsed/>
    <w:qFormat/>
    <w:pPr>
      <w:adjustRightInd w:val="0"/>
      <w:snapToGrid w:val="0"/>
      <w:spacing w:after="120" w:line="460" w:lineRule="atLeast"/>
      <w:ind w:firstLine="480"/>
      <w:jc w:val="center"/>
      <w:outlineLvl w:val="0"/>
    </w:pPr>
    <w:rPr>
      <w:rFonts w:hint="eastAsia"/>
      <w:b/>
      <w:sz w:val="30"/>
      <w:szCs w:val="20"/>
    </w:rPr>
  </w:style>
  <w:style w:type="paragraph" w:customStyle="1" w:styleId="xl64">
    <w:name w:val="xl6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80">
    <w:name w:val="xl80"/>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Cs w:val="24"/>
    </w:rPr>
  </w:style>
  <w:style w:type="paragraph" w:customStyle="1" w:styleId="affffffe">
    <w:name w:val="简单回函地址"/>
    <w:basedOn w:val="a3"/>
    <w:unhideWhenUsed/>
    <w:qFormat/>
    <w:pPr>
      <w:adjustRightInd w:val="0"/>
      <w:snapToGrid w:val="0"/>
    </w:pPr>
    <w:rPr>
      <w:rFonts w:hint="eastAsia"/>
      <w:szCs w:val="20"/>
    </w:rPr>
  </w:style>
  <w:style w:type="paragraph" w:customStyle="1" w:styleId="xl91">
    <w:name w:val="xl91"/>
    <w:basedOn w:val="a3"/>
    <w:unhideWhenUsed/>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5a">
    <w:name w:val="样式5"/>
    <w:basedOn w:val="a3"/>
    <w:link w:val="5Char1"/>
    <w:unhideWhenUsed/>
    <w:qFormat/>
    <w:pPr>
      <w:spacing w:line="500" w:lineRule="exact"/>
      <w:ind w:firstLine="480"/>
    </w:pPr>
    <w:rPr>
      <w:rFonts w:ascii="宋体" w:hAnsi="宋体" w:hint="eastAsia"/>
      <w:color w:val="000000"/>
      <w:szCs w:val="24"/>
    </w:rPr>
  </w:style>
  <w:style w:type="paragraph" w:customStyle="1" w:styleId="font0">
    <w:name w:val="font0"/>
    <w:basedOn w:val="a3"/>
    <w:unhideWhenUsed/>
    <w:qFormat/>
    <w:pPr>
      <w:widowControl/>
      <w:spacing w:before="100" w:beforeAutospacing="1" w:after="100" w:afterAutospacing="1"/>
      <w:jc w:val="left"/>
    </w:pPr>
    <w:rPr>
      <w:rFonts w:ascii="宋体" w:hAnsi="宋体" w:hint="eastAsia"/>
      <w:szCs w:val="24"/>
    </w:rPr>
  </w:style>
  <w:style w:type="paragraph" w:customStyle="1" w:styleId="xl35">
    <w:name w:val="xl3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hint="eastAsia"/>
      <w:szCs w:val="24"/>
    </w:rPr>
  </w:style>
  <w:style w:type="paragraph" w:customStyle="1" w:styleId="002">
    <w:name w:val="标题002"/>
    <w:basedOn w:val="a3"/>
    <w:unhideWhenUsed/>
    <w:qFormat/>
    <w:pPr>
      <w:adjustRightInd w:val="0"/>
      <w:spacing w:before="160" w:line="480" w:lineRule="exact"/>
      <w:textAlignment w:val="baseline"/>
      <w:outlineLvl w:val="1"/>
    </w:pPr>
    <w:rPr>
      <w:rFonts w:hint="eastAsia"/>
      <w:b/>
      <w:sz w:val="28"/>
      <w:szCs w:val="20"/>
    </w:rPr>
  </w:style>
  <w:style w:type="paragraph" w:customStyle="1" w:styleId="xl53">
    <w:name w:val="xl5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hint="eastAsia"/>
      <w:sz w:val="20"/>
      <w:szCs w:val="20"/>
    </w:rPr>
  </w:style>
  <w:style w:type="character" w:customStyle="1" w:styleId="font11Char">
    <w:name w:val="font11 Char"/>
    <w:unhideWhenUsed/>
    <w:qFormat/>
    <w:rPr>
      <w:rFonts w:eastAsia="Arial Unicode MS" w:hint="eastAsia"/>
      <w:sz w:val="20"/>
      <w:szCs w:val="20"/>
    </w:rPr>
  </w:style>
  <w:style w:type="paragraph" w:customStyle="1" w:styleId="afffffff">
    <w:name w:val="流程图"/>
    <w:basedOn w:val="a3"/>
    <w:unhideWhenUsed/>
    <w:qFormat/>
    <w:pPr>
      <w:tabs>
        <w:tab w:val="left" w:pos="0"/>
      </w:tabs>
      <w:autoSpaceDE w:val="0"/>
      <w:autoSpaceDN w:val="0"/>
      <w:adjustRightInd w:val="0"/>
      <w:spacing w:line="240" w:lineRule="atLeast"/>
      <w:jc w:val="center"/>
      <w:textAlignment w:val="bottom"/>
    </w:pPr>
    <w:rPr>
      <w:rFonts w:ascii="宋体" w:hint="eastAsia"/>
      <w:sz w:val="21"/>
      <w:szCs w:val="20"/>
    </w:rPr>
  </w:style>
  <w:style w:type="paragraph" w:customStyle="1" w:styleId="xl63">
    <w:name w:val="xl63"/>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hint="eastAsia"/>
      <w:b/>
      <w:sz w:val="20"/>
      <w:szCs w:val="20"/>
    </w:rPr>
  </w:style>
  <w:style w:type="paragraph" w:customStyle="1" w:styleId="xl79">
    <w:name w:val="xl79"/>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b/>
      <w:color w:val="FF00FF"/>
      <w:sz w:val="20"/>
      <w:szCs w:val="20"/>
    </w:rPr>
  </w:style>
  <w:style w:type="paragraph" w:customStyle="1" w:styleId="xl90">
    <w:name w:val="xl90"/>
    <w:basedOn w:val="a3"/>
    <w:unhideWhenUsed/>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xl32">
    <w:name w:val="xl32"/>
    <w:basedOn w:val="a3"/>
    <w:unhideWhenUsed/>
    <w:qFormat/>
    <w:pPr>
      <w:widowControl/>
      <w:spacing w:before="100" w:beforeAutospacing="1" w:after="100" w:afterAutospacing="1"/>
      <w:jc w:val="center"/>
      <w:textAlignment w:val="center"/>
    </w:pPr>
    <w:rPr>
      <w:rFonts w:ascii="黑体" w:eastAsia="黑体" w:hAnsi="宋体" w:hint="eastAsia"/>
      <w:b/>
      <w:sz w:val="28"/>
      <w:szCs w:val="28"/>
    </w:rPr>
  </w:style>
  <w:style w:type="paragraph" w:customStyle="1" w:styleId="xl34">
    <w:name w:val="xl34"/>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szCs w:val="24"/>
    </w:rPr>
  </w:style>
  <w:style w:type="paragraph" w:customStyle="1" w:styleId="xl50">
    <w:name w:val="xl50"/>
    <w:basedOn w:val="a3"/>
    <w:unhideWhenUsed/>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szCs w:val="24"/>
    </w:rPr>
  </w:style>
  <w:style w:type="paragraph" w:customStyle="1" w:styleId="afffffff0">
    <w:name w:val="五级条标题"/>
    <w:basedOn w:val="afffff8"/>
    <w:next w:val="a3"/>
    <w:unhideWhenUsed/>
    <w:qFormat/>
    <w:pPr>
      <w:tabs>
        <w:tab w:val="clear" w:pos="2520"/>
        <w:tab w:val="clear" w:pos="3000"/>
        <w:tab w:val="left" w:pos="2940"/>
        <w:tab w:val="left" w:pos="3420"/>
      </w:tabs>
      <w:outlineLvl w:val="6"/>
    </w:pPr>
  </w:style>
  <w:style w:type="paragraph" w:customStyle="1" w:styleId="312">
    <w:name w:val="正文文本缩进 31"/>
    <w:basedOn w:val="a3"/>
    <w:link w:val="3210"/>
    <w:unhideWhenUsed/>
    <w:qFormat/>
    <w:pPr>
      <w:widowControl/>
      <w:ind w:firstLineChars="100" w:firstLine="280"/>
      <w:jc w:val="left"/>
    </w:pPr>
    <w:rPr>
      <w:rFonts w:hint="eastAsia"/>
      <w:sz w:val="28"/>
      <w:szCs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unhideWhenUsed/>
    <w:qFormat/>
    <w:rPr>
      <w:rFonts w:hint="eastAsia"/>
      <w:b/>
      <w:color w:val="000000"/>
      <w:szCs w:val="20"/>
    </w:rPr>
  </w:style>
  <w:style w:type="paragraph" w:customStyle="1" w:styleId="1fc">
    <w:name w:val="普通表格1"/>
    <w:basedOn w:val="PlainText1"/>
    <w:unhideWhenUsed/>
    <w:qFormat/>
    <w:pPr>
      <w:snapToGrid w:val="0"/>
      <w:spacing w:line="380" w:lineRule="exact"/>
    </w:pPr>
    <w:rPr>
      <w:rFonts w:ascii="Times New Roman" w:hAnsi="Times New Roman" w:cs="Times New Roman"/>
      <w:sz w:val="24"/>
    </w:rPr>
  </w:style>
  <w:style w:type="paragraph" w:customStyle="1" w:styleId="CharCharCharChar2">
    <w:name w:val="Char Char Char Char2"/>
    <w:basedOn w:val="a3"/>
    <w:unhideWhenUsed/>
    <w:qFormat/>
    <w:rPr>
      <w:rFonts w:hint="eastAsia"/>
      <w:sz w:val="21"/>
      <w:szCs w:val="24"/>
    </w:rPr>
  </w:style>
  <w:style w:type="paragraph" w:customStyle="1" w:styleId="xl62">
    <w:name w:val="xl6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szCs w:val="24"/>
    </w:rPr>
  </w:style>
  <w:style w:type="paragraph" w:customStyle="1" w:styleId="xl78">
    <w:name w:val="xl7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hint="eastAsia"/>
      <w:color w:val="000000"/>
      <w:sz w:val="20"/>
      <w:szCs w:val="20"/>
    </w:rPr>
  </w:style>
  <w:style w:type="paragraph" w:customStyle="1" w:styleId="CharChar3CharCharCharChar">
    <w:name w:val="Char Char3 Char Char Char Char"/>
    <w:basedOn w:val="a3"/>
    <w:unhideWhenUsed/>
    <w:qFormat/>
    <w:pPr>
      <w:widowControl/>
      <w:spacing w:after="160" w:line="240" w:lineRule="exact"/>
      <w:jc w:val="left"/>
    </w:pPr>
    <w:rPr>
      <w:rFonts w:hint="eastAsia"/>
      <w:sz w:val="21"/>
      <w:szCs w:val="20"/>
    </w:rPr>
  </w:style>
  <w:style w:type="paragraph" w:customStyle="1" w:styleId="1fd">
    <w:name w:val="页眉1"/>
    <w:basedOn w:val="a3"/>
    <w:link w:val="241"/>
    <w:unhideWhenUsed/>
    <w:qFormat/>
    <w:pPr>
      <w:pBdr>
        <w:bottom w:val="single" w:sz="6" w:space="1" w:color="auto"/>
      </w:pBdr>
      <w:tabs>
        <w:tab w:val="center" w:pos="4153"/>
        <w:tab w:val="right" w:pos="8306"/>
      </w:tabs>
      <w:snapToGrid w:val="0"/>
      <w:jc w:val="center"/>
    </w:pPr>
    <w:rPr>
      <w:rFonts w:hint="eastAsia"/>
      <w:sz w:val="18"/>
      <w:szCs w:val="18"/>
    </w:rPr>
  </w:style>
  <w:style w:type="paragraph" w:customStyle="1" w:styleId="xl89">
    <w:name w:val="xl89"/>
    <w:basedOn w:val="a3"/>
    <w:unhideWhenUsed/>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sz w:val="20"/>
      <w:szCs w:val="20"/>
    </w:rPr>
  </w:style>
  <w:style w:type="paragraph" w:customStyle="1" w:styleId="CharChar">
    <w:name w:val="Char Char"/>
    <w:basedOn w:val="a3"/>
    <w:unhideWhenUsed/>
    <w:qFormat/>
    <w:rPr>
      <w:rFonts w:hint="eastAsia"/>
      <w:sz w:val="21"/>
      <w:szCs w:val="24"/>
    </w:rPr>
  </w:style>
  <w:style w:type="paragraph" w:customStyle="1" w:styleId="CharCharCharCharCharCharCharCharCharCharCharCharCharCharCharChar">
    <w:name w:val="Char Char Char Char Char Char Char Char Char Char Char Char Char Char Char Char"/>
    <w:basedOn w:val="a3"/>
    <w:unhideWhenUsed/>
    <w:qFormat/>
    <w:rPr>
      <w:rFonts w:ascii="宋体" w:hAnsi="宋体" w:cs="宋体" w:hint="eastAsia"/>
      <w:szCs w:val="24"/>
    </w:rPr>
  </w:style>
  <w:style w:type="paragraph" w:customStyle="1" w:styleId="CharCharCharCharCharCharCharCharCharCharCharCharCharCharCharChar1">
    <w:name w:val="Char Char Char Char Char Char Char Char Char Char Char Char Char Char Char Char1"/>
    <w:basedOn w:val="a3"/>
    <w:unhideWhenUsed/>
    <w:qFormat/>
    <w:rPr>
      <w:rFonts w:ascii="宋体" w:hAnsi="宋体" w:cs="宋体" w:hint="eastAsia"/>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unhideWhenUsed/>
    <w:qFormat/>
    <w:rPr>
      <w:rFonts w:hint="eastAsia"/>
      <w:sz w:val="21"/>
      <w:szCs w:val="20"/>
    </w:rPr>
  </w:style>
  <w:style w:type="paragraph" w:customStyle="1" w:styleId="afffffff1">
    <w:name w:val="本文正文"/>
    <w:basedOn w:val="a3"/>
    <w:unhideWhenUsed/>
    <w:qFormat/>
    <w:pPr>
      <w:widowControl/>
      <w:spacing w:line="480" w:lineRule="exact"/>
      <w:jc w:val="left"/>
    </w:pPr>
    <w:rPr>
      <w:rFonts w:ascii="宋体" w:hAnsi="宋体" w:cs="宋体" w:hint="eastAsia"/>
      <w:szCs w:val="24"/>
    </w:rPr>
  </w:style>
  <w:style w:type="paragraph" w:customStyle="1" w:styleId="cucd-0">
    <w:name w:val="cucd-0"/>
    <w:link w:val="cucd-0Char"/>
    <w:unhideWhenUsed/>
    <w:qFormat/>
    <w:pPr>
      <w:spacing w:line="360" w:lineRule="auto"/>
      <w:ind w:firstLineChars="200" w:firstLine="480"/>
    </w:pPr>
    <w:rPr>
      <w:rFonts w:hint="eastAsia"/>
      <w:kern w:val="2"/>
      <w:sz w:val="24"/>
      <w:szCs w:val="24"/>
    </w:rPr>
  </w:style>
  <w:style w:type="paragraph" w:customStyle="1" w:styleId="100">
    <w:name w:val="1.0"/>
    <w:basedOn w:val="a3"/>
    <w:unhideWhenUsed/>
    <w:qFormat/>
    <w:pPr>
      <w:ind w:left="540" w:hanging="540"/>
    </w:pPr>
    <w:rPr>
      <w:rFonts w:eastAsia="PMingLiU" w:hint="eastAsia"/>
      <w:b/>
      <w:sz w:val="28"/>
      <w:szCs w:val="20"/>
      <w:lang w:eastAsia="zh-TW"/>
    </w:rPr>
  </w:style>
  <w:style w:type="paragraph" w:customStyle="1" w:styleId="xl236">
    <w:name w:val="xl236"/>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pPr>
    <w:rPr>
      <w:rFonts w:hint="eastAsia"/>
      <w:sz w:val="18"/>
      <w:szCs w:val="18"/>
    </w:rPr>
  </w:style>
  <w:style w:type="paragraph" w:customStyle="1" w:styleId="xl237">
    <w:name w:val="xl237"/>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sz w:val="18"/>
      <w:szCs w:val="18"/>
    </w:rPr>
  </w:style>
  <w:style w:type="paragraph" w:customStyle="1" w:styleId="xl238">
    <w:name w:val="xl238"/>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pPr>
    <w:rPr>
      <w:rFonts w:hint="eastAsia"/>
      <w:color w:val="FF0000"/>
      <w:sz w:val="18"/>
      <w:szCs w:val="18"/>
    </w:rPr>
  </w:style>
  <w:style w:type="paragraph" w:customStyle="1" w:styleId="xl239">
    <w:name w:val="xl239"/>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0000FF"/>
      <w:sz w:val="18"/>
      <w:szCs w:val="18"/>
    </w:rPr>
  </w:style>
  <w:style w:type="paragraph" w:customStyle="1" w:styleId="xl240">
    <w:name w:val="xl240"/>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FF0000"/>
      <w:sz w:val="18"/>
      <w:szCs w:val="18"/>
    </w:rPr>
  </w:style>
  <w:style w:type="paragraph" w:customStyle="1" w:styleId="xl241">
    <w:name w:val="xl241"/>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0000FF"/>
      <w:sz w:val="18"/>
      <w:szCs w:val="18"/>
    </w:rPr>
  </w:style>
  <w:style w:type="paragraph" w:customStyle="1" w:styleId="xl242">
    <w:name w:val="xl242"/>
    <w:basedOn w:val="a3"/>
    <w:unhideWhenUsed/>
    <w:qFormat/>
    <w:pPr>
      <w:widowControl/>
      <w:pBdr>
        <w:bottom w:val="single" w:sz="8" w:space="0" w:color="auto"/>
        <w:right w:val="single" w:sz="8" w:space="0" w:color="auto"/>
      </w:pBdr>
      <w:shd w:val="clear" w:color="auto" w:fill="FFFF99"/>
      <w:spacing w:before="100" w:beforeAutospacing="1" w:after="100" w:afterAutospacing="1"/>
      <w:jc w:val="center"/>
      <w:textAlignment w:val="bottom"/>
    </w:pPr>
    <w:rPr>
      <w:rFonts w:hint="eastAsia"/>
      <w:color w:val="FF0000"/>
      <w:sz w:val="18"/>
      <w:szCs w:val="18"/>
    </w:rPr>
  </w:style>
  <w:style w:type="paragraph" w:customStyle="1" w:styleId="1fe">
    <w:name w:val="正文1"/>
    <w:basedOn w:val="a3"/>
    <w:link w:val="1Char10"/>
    <w:unhideWhenUsed/>
    <w:qFormat/>
    <w:pPr>
      <w:spacing w:line="440" w:lineRule="exact"/>
      <w:ind w:firstLine="510"/>
    </w:pPr>
    <w:rPr>
      <w:rFonts w:hint="eastAsia"/>
      <w:szCs w:val="20"/>
    </w:rPr>
  </w:style>
  <w:style w:type="paragraph" w:customStyle="1" w:styleId="2f4">
    <w:name w:val="纯文本2"/>
    <w:basedOn w:val="a3"/>
    <w:unhideWhenUsed/>
    <w:qFormat/>
    <w:pPr>
      <w:adjustRightInd w:val="0"/>
      <w:textAlignment w:val="baseline"/>
    </w:pPr>
    <w:rPr>
      <w:rFonts w:ascii="宋体" w:hAnsi="Courier New" w:hint="eastAsia"/>
      <w:sz w:val="21"/>
      <w:szCs w:val="20"/>
    </w:rPr>
  </w:style>
  <w:style w:type="paragraph" w:customStyle="1" w:styleId="afffffff2">
    <w:name w:val="表中文字"/>
    <w:basedOn w:val="a3"/>
    <w:link w:val="Char110"/>
    <w:unhideWhenUsed/>
    <w:qFormat/>
    <w:pPr>
      <w:jc w:val="center"/>
    </w:pPr>
    <w:rPr>
      <w:rFonts w:hint="eastAsia"/>
      <w:sz w:val="21"/>
      <w:szCs w:val="20"/>
    </w:rPr>
  </w:style>
  <w:style w:type="paragraph" w:customStyle="1" w:styleId="2f5">
    <w:name w:val="样式 首行缩进:  2 字符"/>
    <w:basedOn w:val="a3"/>
    <w:unhideWhenUsed/>
    <w:qFormat/>
    <w:pPr>
      <w:ind w:firstLine="560"/>
    </w:pPr>
    <w:rPr>
      <w:rFonts w:eastAsia="仿宋_GB2312" w:hint="eastAsia"/>
      <w:sz w:val="28"/>
      <w:szCs w:val="28"/>
    </w:rPr>
  </w:style>
  <w:style w:type="paragraph" w:customStyle="1" w:styleId="Char120">
    <w:name w:val="Char12"/>
    <w:basedOn w:val="a3"/>
    <w:unhideWhenUsed/>
    <w:qFormat/>
    <w:pPr>
      <w:widowControl/>
      <w:spacing w:after="160" w:line="240" w:lineRule="exact"/>
      <w:jc w:val="left"/>
    </w:pPr>
    <w:rPr>
      <w:rFonts w:ascii="Tahoma" w:hAnsi="Tahoma" w:hint="eastAsia"/>
      <w:szCs w:val="20"/>
      <w:lang w:eastAsia="en-US"/>
    </w:rPr>
  </w:style>
  <w:style w:type="paragraph" w:customStyle="1" w:styleId="Char70">
    <w:name w:val="Char7"/>
    <w:basedOn w:val="a3"/>
    <w:unhideWhenUsed/>
    <w:qFormat/>
    <w:rPr>
      <w:rFonts w:ascii="宋体" w:hAnsi="宋体" w:cs="宋体" w:hint="eastAsia"/>
      <w:szCs w:val="24"/>
    </w:rPr>
  </w:style>
  <w:style w:type="paragraph" w:customStyle="1" w:styleId="CharCharCharCharCharCharCharCharCharChar">
    <w:name w:val="Char Char Char Char Char Char Char Char Char Char"/>
    <w:basedOn w:val="a3"/>
    <w:unhideWhenUsed/>
    <w:qFormat/>
    <w:rPr>
      <w:rFonts w:hint="eastAsia"/>
      <w:sz w:val="21"/>
      <w:szCs w:val="24"/>
    </w:rPr>
  </w:style>
  <w:style w:type="paragraph" w:customStyle="1" w:styleId="CharCharChar1Char">
    <w:name w:val="Char Char Char1 Char"/>
    <w:basedOn w:val="a3"/>
    <w:unhideWhenUsed/>
    <w:qFormat/>
    <w:rPr>
      <w:rFonts w:hint="eastAsia"/>
      <w:sz w:val="21"/>
      <w:szCs w:val="24"/>
    </w:rPr>
  </w:style>
  <w:style w:type="paragraph" w:customStyle="1" w:styleId="CharCharCharCharCharCharCharCharCharCharCharCharCharCharCharCharCharCharChar">
    <w:name w:val="Char Char Char Char Char Char Char Char Char Char Char Char Char Char Char Char Char Char Char"/>
    <w:basedOn w:val="a3"/>
    <w:unhideWhenUsed/>
    <w:qFormat/>
    <w:rPr>
      <w:rFonts w:ascii="宋体" w:hAnsi="宋体" w:cs="宋体" w:hint="eastAsia"/>
      <w:szCs w:val="24"/>
    </w:rPr>
  </w:style>
  <w:style w:type="paragraph" w:customStyle="1" w:styleId="CharCharCharChar4">
    <w:name w:val="Char Char Char Char4"/>
    <w:basedOn w:val="a3"/>
    <w:unhideWhenUsed/>
    <w:qFormat/>
    <w:pPr>
      <w:snapToGrid w:val="0"/>
      <w:spacing w:line="440" w:lineRule="atLeast"/>
    </w:pPr>
    <w:rPr>
      <w:rFonts w:ascii="宋体" w:hint="eastAsia"/>
      <w:szCs w:val="24"/>
    </w:rPr>
  </w:style>
  <w:style w:type="paragraph" w:customStyle="1" w:styleId="afffffff3">
    <w:name w:val="章标题"/>
    <w:next w:val="a3"/>
    <w:unhideWhenUsed/>
    <w:qFormat/>
    <w:pPr>
      <w:tabs>
        <w:tab w:val="left" w:pos="903"/>
      </w:tabs>
      <w:spacing w:before="50" w:after="50"/>
      <w:ind w:left="903" w:hanging="315"/>
      <w:jc w:val="both"/>
      <w:outlineLvl w:val="1"/>
    </w:pPr>
    <w:rPr>
      <w:rFonts w:ascii="黑体" w:eastAsia="黑体" w:hint="eastAsia"/>
      <w:sz w:val="21"/>
    </w:rPr>
  </w:style>
  <w:style w:type="paragraph" w:customStyle="1" w:styleId="afffffff4">
    <w:name w:val="表格数字"/>
    <w:basedOn w:val="a3"/>
    <w:link w:val="Charff"/>
    <w:unhideWhenUsed/>
    <w:qFormat/>
    <w:pPr>
      <w:spacing w:line="360" w:lineRule="exact"/>
      <w:jc w:val="center"/>
    </w:pPr>
    <w:rPr>
      <w:rFonts w:ascii="Arial" w:hAnsi="Arial" w:cs="宋体" w:hint="eastAsia"/>
      <w:sz w:val="21"/>
      <w:szCs w:val="20"/>
    </w:rPr>
  </w:style>
  <w:style w:type="paragraph" w:customStyle="1" w:styleId="CharCharCharCharCharChar3">
    <w:name w:val="Char Char Char Char Char Char3"/>
    <w:basedOn w:val="a3"/>
    <w:unhideWhenUsed/>
    <w:qFormat/>
    <w:rPr>
      <w:rFonts w:ascii="宋体" w:hAnsi="宋体" w:hint="eastAsia"/>
      <w:szCs w:val="24"/>
    </w:rPr>
  </w:style>
  <w:style w:type="paragraph" w:customStyle="1" w:styleId="CharCharChar2CharCharCharCharCharCharCharCharCharCharChar1">
    <w:name w:val="Char Char Char2 Char Char Char Char Char Char Char Char Char Char Char1"/>
    <w:basedOn w:val="a3"/>
    <w:unhideWhenUsed/>
    <w:qFormat/>
    <w:pPr>
      <w:spacing w:beforeLines="20" w:line="440" w:lineRule="atLeast"/>
    </w:pPr>
    <w:rPr>
      <w:rFonts w:hint="eastAsia"/>
      <w:szCs w:val="24"/>
    </w:rPr>
  </w:style>
  <w:style w:type="paragraph" w:customStyle="1" w:styleId="CharCharCharCharCharChar1CharCharCharChar1">
    <w:name w:val="Char Char Char Char Char Char1 Char Char Char Char1"/>
    <w:basedOn w:val="a3"/>
    <w:unhideWhenUsed/>
    <w:qFormat/>
    <w:rPr>
      <w:rFonts w:hint="eastAsia"/>
      <w:szCs w:val="24"/>
    </w:rPr>
  </w:style>
  <w:style w:type="paragraph" w:customStyle="1" w:styleId="CharCharCharCharCharChar2CharCharCharChar1">
    <w:name w:val="Char Char Char Char Char Char2 Char Char Char Char1"/>
    <w:basedOn w:val="a3"/>
    <w:unhideWhenUsed/>
    <w:qFormat/>
    <w:rPr>
      <w:rFonts w:hint="eastAsia"/>
      <w:sz w:val="21"/>
      <w:szCs w:val="24"/>
    </w:rPr>
  </w:style>
  <w:style w:type="paragraph" w:customStyle="1" w:styleId="Bullet">
    <w:name w:val="Bullet"/>
    <w:unhideWhenUsed/>
    <w:qFormat/>
    <w:pPr>
      <w:widowControl w:val="0"/>
      <w:autoSpaceDE w:val="0"/>
      <w:autoSpaceDN w:val="0"/>
      <w:adjustRightInd w:val="0"/>
      <w:ind w:left="720"/>
    </w:pPr>
    <w:rPr>
      <w:rFonts w:ascii="MingLiU" w:eastAsia="MingLiU" w:hint="eastAsia"/>
      <w:color w:val="000000"/>
      <w:sz w:val="24"/>
      <w:lang w:eastAsia="zh-TW"/>
    </w:rPr>
  </w:style>
  <w:style w:type="paragraph" w:customStyle="1" w:styleId="101">
    <w:name w:val="样式 正文1 + 段前: 0.1 行"/>
    <w:basedOn w:val="a3"/>
    <w:unhideWhenUsed/>
    <w:qFormat/>
    <w:pPr>
      <w:snapToGrid w:val="0"/>
      <w:spacing w:beforeLines="10" w:line="440" w:lineRule="atLeast"/>
      <w:ind w:firstLine="510"/>
    </w:pPr>
    <w:rPr>
      <w:rFonts w:hint="eastAsia"/>
      <w:szCs w:val="20"/>
    </w:rPr>
  </w:style>
  <w:style w:type="paragraph" w:customStyle="1" w:styleId="3c">
    <w:name w:val="标题3"/>
    <w:basedOn w:val="a3"/>
    <w:next w:val="a3"/>
    <w:link w:val="3Char0"/>
    <w:unhideWhenUsed/>
    <w:qFormat/>
    <w:pPr>
      <w:snapToGrid w:val="0"/>
      <w:spacing w:line="440" w:lineRule="atLeast"/>
      <w:ind w:firstLine="567"/>
      <w:outlineLvl w:val="2"/>
    </w:pPr>
    <w:rPr>
      <w:rFonts w:hint="eastAsia"/>
      <w:b/>
      <w:szCs w:val="20"/>
    </w:rPr>
  </w:style>
  <w:style w:type="paragraph" w:customStyle="1" w:styleId="0012">
    <w:name w:val="样式 正文001 + 首行缩进:  2 字符"/>
    <w:basedOn w:val="a3"/>
    <w:link w:val="0012Char"/>
    <w:unhideWhenUsed/>
    <w:qFormat/>
    <w:pPr>
      <w:spacing w:line="500" w:lineRule="atLeast"/>
      <w:ind w:firstLine="480"/>
    </w:pPr>
    <w:rPr>
      <w:rFonts w:hint="eastAsia"/>
      <w:szCs w:val="24"/>
    </w:rPr>
  </w:style>
  <w:style w:type="paragraph" w:customStyle="1" w:styleId="1ff">
    <w:name w:val="正文样式1"/>
    <w:basedOn w:val="a3"/>
    <w:link w:val="1Char2"/>
    <w:unhideWhenUsed/>
    <w:qFormat/>
    <w:pPr>
      <w:adjustRightInd w:val="0"/>
      <w:spacing w:line="288" w:lineRule="auto"/>
      <w:ind w:firstLineChars="150" w:firstLine="360"/>
      <w:textAlignment w:val="baseline"/>
    </w:pPr>
    <w:rPr>
      <w:rFonts w:hint="eastAsia"/>
      <w:szCs w:val="20"/>
    </w:rPr>
  </w:style>
  <w:style w:type="paragraph" w:customStyle="1" w:styleId="2f6">
    <w:name w:val="样式2"/>
    <w:basedOn w:val="a3"/>
    <w:link w:val="2Char5"/>
    <w:unhideWhenUsed/>
    <w:qFormat/>
    <w:rPr>
      <w:rFonts w:eastAsia="仿宋_GB2312" w:hint="eastAsia"/>
      <w:b/>
      <w:sz w:val="28"/>
      <w:szCs w:val="24"/>
    </w:rPr>
  </w:style>
  <w:style w:type="paragraph" w:customStyle="1" w:styleId="CM2">
    <w:name w:val="CM2"/>
    <w:basedOn w:val="Default"/>
    <w:next w:val="Default"/>
    <w:unhideWhenUsed/>
    <w:qFormat/>
    <w:pPr>
      <w:spacing w:line="468" w:lineRule="atLeast"/>
    </w:pPr>
    <w:rPr>
      <w:rFonts w:ascii="楷体" w:eastAsia="楷体" w:hint="eastAsia"/>
    </w:rPr>
  </w:style>
  <w:style w:type="paragraph" w:customStyle="1" w:styleId="afffffff5">
    <w:name w:val="首页要点"/>
    <w:basedOn w:val="a3"/>
    <w:link w:val="Charff0"/>
    <w:unhideWhenUsed/>
    <w:qFormat/>
    <w:pPr>
      <w:tabs>
        <w:tab w:val="left" w:pos="607"/>
      </w:tabs>
      <w:spacing w:beforeLines="50"/>
      <w:ind w:left="607" w:hanging="420"/>
    </w:pPr>
    <w:rPr>
      <w:rFonts w:ascii="Arial" w:eastAsia="楷体_GB2312" w:hAnsi="Arial" w:hint="eastAsia"/>
      <w:sz w:val="21"/>
    </w:rPr>
  </w:style>
  <w:style w:type="paragraph" w:customStyle="1" w:styleId="CM3">
    <w:name w:val="CM3"/>
    <w:basedOn w:val="Default"/>
    <w:next w:val="Default"/>
    <w:unhideWhenUsed/>
    <w:qFormat/>
    <w:pPr>
      <w:spacing w:line="468" w:lineRule="atLeast"/>
    </w:pPr>
    <w:rPr>
      <w:rFonts w:ascii="楷体" w:eastAsia="楷体" w:hint="eastAsia"/>
    </w:rPr>
  </w:style>
  <w:style w:type="paragraph" w:customStyle="1" w:styleId="CM1">
    <w:name w:val="CM1"/>
    <w:basedOn w:val="Default"/>
    <w:next w:val="Default"/>
    <w:unhideWhenUsed/>
    <w:qFormat/>
    <w:rPr>
      <w:rFonts w:ascii="楷体" w:eastAsia="楷体" w:hint="eastAsia"/>
    </w:rPr>
  </w:style>
  <w:style w:type="paragraph" w:customStyle="1" w:styleId="CM17">
    <w:name w:val="CM17"/>
    <w:basedOn w:val="Default"/>
    <w:next w:val="Default"/>
    <w:unhideWhenUsed/>
    <w:qFormat/>
    <w:pPr>
      <w:spacing w:after="263"/>
    </w:pPr>
    <w:rPr>
      <w:rFonts w:ascii="楷体" w:eastAsia="楷体" w:hint="eastAsia"/>
    </w:rPr>
  </w:style>
  <w:style w:type="paragraph" w:customStyle="1" w:styleId="CM20">
    <w:name w:val="CM20"/>
    <w:basedOn w:val="Default"/>
    <w:next w:val="Default"/>
    <w:unhideWhenUsed/>
    <w:qFormat/>
    <w:pPr>
      <w:spacing w:after="208"/>
    </w:pPr>
    <w:rPr>
      <w:rFonts w:ascii="楷体" w:eastAsia="楷体" w:hint="eastAsia"/>
    </w:rPr>
  </w:style>
  <w:style w:type="paragraph" w:customStyle="1" w:styleId="CM21">
    <w:name w:val="CM21"/>
    <w:basedOn w:val="Default"/>
    <w:next w:val="Default"/>
    <w:unhideWhenUsed/>
    <w:qFormat/>
    <w:pPr>
      <w:spacing w:after="358"/>
    </w:pPr>
    <w:rPr>
      <w:rFonts w:ascii="楷体" w:eastAsia="楷体" w:hint="eastAsia"/>
    </w:rPr>
  </w:style>
  <w:style w:type="paragraph" w:customStyle="1" w:styleId="CM13">
    <w:name w:val="CM13"/>
    <w:basedOn w:val="Default"/>
    <w:next w:val="Default"/>
    <w:unhideWhenUsed/>
    <w:qFormat/>
    <w:rPr>
      <w:rFonts w:ascii="楷体" w:eastAsia="楷体" w:hint="eastAsia"/>
    </w:rPr>
  </w:style>
  <w:style w:type="paragraph" w:customStyle="1" w:styleId="CharCharChar1CharCharCharCharCharCharCharCharCharCharCharCharCharCharCharChar">
    <w:name w:val="Char Char Char1 Char Char Char Char Char Char Char Char Char Char Char Char Char Char Char Char"/>
    <w:basedOn w:val="a3"/>
    <w:unhideWhenUsed/>
    <w:qFormat/>
    <w:rPr>
      <w:rFonts w:hint="eastAsia"/>
      <w:sz w:val="21"/>
      <w:szCs w:val="24"/>
    </w:rPr>
  </w:style>
  <w:style w:type="paragraph" w:customStyle="1" w:styleId="afffffff6">
    <w:name w:val="框图"/>
    <w:basedOn w:val="a3"/>
    <w:unhideWhenUsed/>
    <w:qFormat/>
    <w:pPr>
      <w:jc w:val="center"/>
    </w:pPr>
    <w:rPr>
      <w:rFonts w:hint="eastAsia"/>
      <w:sz w:val="21"/>
      <w:szCs w:val="24"/>
    </w:rPr>
  </w:style>
  <w:style w:type="paragraph" w:customStyle="1" w:styleId="2Char6">
    <w:name w:val="小四正文缩进2 Char"/>
    <w:basedOn w:val="a3"/>
    <w:link w:val="2CharChar"/>
    <w:unhideWhenUsed/>
    <w:qFormat/>
    <w:rPr>
      <w:rFonts w:hint="eastAsia"/>
      <w:szCs w:val="24"/>
    </w:rPr>
  </w:style>
  <w:style w:type="paragraph" w:customStyle="1" w:styleId="afffffff7">
    <w:name w:val="说明正文"/>
    <w:basedOn w:val="12"/>
    <w:unhideWhenUsed/>
    <w:qFormat/>
    <w:pPr>
      <w:widowControl w:val="0"/>
      <w:adjustRightInd w:val="0"/>
      <w:snapToGrid w:val="0"/>
      <w:spacing w:after="0"/>
      <w:jc w:val="center"/>
    </w:pPr>
    <w:rPr>
      <w:rFonts w:ascii="仿宋_GB2312" w:eastAsia="仿宋_GB2312" w:hAnsi="宋体"/>
      <w:sz w:val="28"/>
    </w:rPr>
  </w:style>
  <w:style w:type="paragraph" w:customStyle="1" w:styleId="afffffff8">
    <w:name w:val="保留正文"/>
    <w:basedOn w:val="a3"/>
    <w:unhideWhenUsed/>
    <w:qFormat/>
    <w:pPr>
      <w:keepNext/>
      <w:adjustRightInd w:val="0"/>
      <w:spacing w:after="160" w:line="480" w:lineRule="auto"/>
      <w:textAlignment w:val="baseline"/>
    </w:pPr>
    <w:rPr>
      <w:rFonts w:ascii="宋体" w:hint="eastAsia"/>
      <w:szCs w:val="24"/>
    </w:rPr>
  </w:style>
  <w:style w:type="paragraph" w:customStyle="1" w:styleId="td3">
    <w:name w:val="td3"/>
    <w:basedOn w:val="a3"/>
    <w:unhideWhenUsed/>
    <w:qFormat/>
    <w:pPr>
      <w:widowControl/>
      <w:spacing w:before="100" w:beforeAutospacing="1" w:after="100" w:afterAutospacing="1"/>
      <w:jc w:val="left"/>
    </w:pPr>
    <w:rPr>
      <w:rFonts w:ascii="Arial Unicode MS" w:eastAsia="Arial Unicode MS" w:hAnsi="Arial Unicode MS" w:cs="Arial Unicode MS" w:hint="eastAsia"/>
      <w:color w:val="5D5D5D"/>
      <w:sz w:val="18"/>
      <w:szCs w:val="18"/>
    </w:rPr>
  </w:style>
  <w:style w:type="paragraph" w:customStyle="1" w:styleId="211TimesNewRoman">
    <w:name w:val="样式 样式 标题 2节标题 1.1 + Times New Roman 四号 +"/>
    <w:basedOn w:val="a3"/>
    <w:link w:val="211TimesNewRomanChar"/>
    <w:unhideWhenUsed/>
    <w:qFormat/>
    <w:pPr>
      <w:keepNext/>
      <w:keepLines/>
      <w:spacing w:before="100" w:beforeAutospacing="1" w:after="100" w:afterAutospacing="1"/>
      <w:outlineLvl w:val="1"/>
    </w:pPr>
    <w:rPr>
      <w:rFonts w:hint="eastAsia"/>
      <w:b/>
      <w:sz w:val="28"/>
      <w:szCs w:val="32"/>
    </w:rPr>
  </w:style>
  <w:style w:type="paragraph" w:customStyle="1" w:styleId="afffffff9">
    <w:name w:val="可研报告正文"/>
    <w:basedOn w:val="a3"/>
    <w:link w:val="Charff1"/>
    <w:unhideWhenUsed/>
    <w:qFormat/>
    <w:pPr>
      <w:tabs>
        <w:tab w:val="left" w:pos="4620"/>
      </w:tabs>
      <w:spacing w:beforeLines="50" w:afterLines="50" w:line="440" w:lineRule="exact"/>
      <w:ind w:left="425" w:firstLine="482"/>
    </w:pPr>
    <w:rPr>
      <w:rFonts w:hint="eastAsia"/>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unhideWhenUsed/>
    <w:qFormat/>
    <w:rPr>
      <w:rFonts w:ascii="宋体" w:hAnsi="宋体" w:cs="宋体" w:hint="eastAsia"/>
      <w:szCs w:val="24"/>
    </w:rPr>
  </w:style>
  <w:style w:type="paragraph" w:customStyle="1" w:styleId="afffffffa">
    <w:name w:val="图名"/>
    <w:basedOn w:val="a3"/>
    <w:unhideWhenUsed/>
    <w:qFormat/>
    <w:pPr>
      <w:snapToGrid w:val="0"/>
      <w:spacing w:before="60" w:line="460" w:lineRule="atLeast"/>
      <w:jc w:val="center"/>
    </w:pPr>
    <w:rPr>
      <w:rFonts w:hint="eastAsia"/>
      <w:b/>
      <w:szCs w:val="24"/>
    </w:rPr>
  </w:style>
  <w:style w:type="paragraph" w:customStyle="1" w:styleId="afffffffb">
    <w:name w:val="表格中"/>
    <w:link w:val="Charff2"/>
    <w:unhideWhenUsed/>
    <w:qFormat/>
    <w:rPr>
      <w:rFonts w:hint="eastAsia"/>
      <w:sz w:val="21"/>
      <w:szCs w:val="24"/>
    </w:rPr>
  </w:style>
  <w:style w:type="paragraph" w:customStyle="1" w:styleId="td1">
    <w:name w:val="td1"/>
    <w:basedOn w:val="a3"/>
    <w:unhideWhenUsed/>
    <w:qFormat/>
    <w:pPr>
      <w:widowControl/>
      <w:spacing w:before="100" w:beforeAutospacing="1" w:after="100" w:afterAutospacing="1"/>
      <w:jc w:val="center"/>
    </w:pPr>
    <w:rPr>
      <w:rFonts w:ascii="Arial Unicode MS" w:eastAsia="Arial Unicode MS" w:hAnsi="Arial Unicode MS" w:cs="Arial Unicode MS" w:hint="eastAsia"/>
      <w:b/>
      <w:color w:val="0000FF"/>
      <w:sz w:val="28"/>
      <w:szCs w:val="28"/>
      <w:u w:val="single"/>
    </w:rPr>
  </w:style>
  <w:style w:type="paragraph" w:customStyle="1" w:styleId="2CharChar0">
    <w:name w:val="正文缩进2 Char Char"/>
    <w:basedOn w:val="a3"/>
    <w:link w:val="2CharCharChar"/>
    <w:unhideWhenUsed/>
    <w:qFormat/>
    <w:pPr>
      <w:spacing w:before="60" w:line="460" w:lineRule="atLeast"/>
      <w:ind w:firstLine="480"/>
    </w:pPr>
    <w:rPr>
      <w:rFonts w:cs="宋体" w:hint="eastAsia"/>
      <w:szCs w:val="20"/>
    </w:rPr>
  </w:style>
  <w:style w:type="paragraph" w:customStyle="1" w:styleId="1ff0">
    <w:name w:val="正文文本缩进1"/>
    <w:basedOn w:val="a3"/>
    <w:unhideWhenUsed/>
    <w:qFormat/>
    <w:pPr>
      <w:ind w:firstLine="560"/>
    </w:pPr>
    <w:rPr>
      <w:rFonts w:ascii="宋体" w:hAnsi="宋体" w:hint="eastAsia"/>
      <w:sz w:val="28"/>
      <w:szCs w:val="28"/>
    </w:rPr>
  </w:style>
  <w:style w:type="paragraph" w:customStyle="1" w:styleId="1ff1">
    <w:name w:val="注释标题1"/>
    <w:basedOn w:val="a3"/>
    <w:next w:val="a3"/>
    <w:link w:val="217"/>
    <w:unhideWhenUsed/>
    <w:qFormat/>
    <w:pPr>
      <w:jc w:val="center"/>
    </w:pPr>
    <w:rPr>
      <w:rFonts w:ascii="宋体" w:hint="eastAsia"/>
      <w:sz w:val="21"/>
      <w:szCs w:val="20"/>
    </w:rPr>
  </w:style>
  <w:style w:type="paragraph" w:customStyle="1" w:styleId="afffffffc">
    <w:name w:val="样式上"/>
    <w:basedOn w:val="a3"/>
    <w:unhideWhenUsed/>
    <w:qFormat/>
    <w:pPr>
      <w:snapToGrid w:val="0"/>
      <w:jc w:val="center"/>
    </w:pPr>
    <w:rPr>
      <w:rFonts w:hint="eastAsia"/>
      <w:sz w:val="28"/>
      <w:szCs w:val="28"/>
    </w:rPr>
  </w:style>
  <w:style w:type="paragraph" w:customStyle="1" w:styleId="3111111033CharChar3CharCharChar">
    <w:name w:val="样式 标题 3条标题1.1.11.1.1标题03标题 3 Char Char标题 3 Char Char Char标..."/>
    <w:basedOn w:val="310"/>
    <w:unhideWhenUsed/>
    <w:qFormat/>
    <w:pPr>
      <w:spacing w:line="240" w:lineRule="auto"/>
      <w:ind w:firstLineChars="0" w:firstLine="0"/>
    </w:pPr>
    <w:rPr>
      <w:rFonts w:eastAsia="黑体" w:cs="宋体"/>
      <w:b w:val="0"/>
      <w:szCs w:val="20"/>
    </w:rPr>
  </w:style>
  <w:style w:type="paragraph" w:customStyle="1" w:styleId="afffffffd">
    <w:name w:val="封面标准文稿类别"/>
    <w:unhideWhenUsed/>
    <w:qFormat/>
    <w:pPr>
      <w:spacing w:before="440" w:line="400" w:lineRule="exact"/>
      <w:jc w:val="center"/>
    </w:pPr>
    <w:rPr>
      <w:rFonts w:ascii="宋体" w:hint="eastAsia"/>
      <w:sz w:val="24"/>
    </w:rPr>
  </w:style>
  <w:style w:type="paragraph" w:customStyle="1" w:styleId="CharCharChar">
    <w:name w:val="表中 Char Char Char"/>
    <w:basedOn w:val="a3"/>
    <w:link w:val="CharCharCharChar0"/>
    <w:unhideWhenUsed/>
    <w:qFormat/>
    <w:pPr>
      <w:jc w:val="center"/>
    </w:pPr>
    <w:rPr>
      <w:rFonts w:hint="eastAsia"/>
      <w:sz w:val="21"/>
    </w:rPr>
  </w:style>
  <w:style w:type="paragraph" w:customStyle="1" w:styleId="afffffffe">
    <w:name w:val="表格居左"/>
    <w:basedOn w:val="a3"/>
    <w:link w:val="Char14"/>
    <w:unhideWhenUsed/>
    <w:qFormat/>
    <w:pPr>
      <w:jc w:val="left"/>
    </w:pPr>
    <w:rPr>
      <w:rFonts w:hint="eastAsia"/>
      <w:sz w:val="21"/>
    </w:rPr>
  </w:style>
  <w:style w:type="paragraph" w:customStyle="1" w:styleId="2Char7">
    <w:name w:val="正文2缩进主要格式 Char"/>
    <w:basedOn w:val="a3"/>
    <w:link w:val="2CharChar1"/>
    <w:unhideWhenUsed/>
    <w:qFormat/>
    <w:pPr>
      <w:ind w:firstLine="480"/>
    </w:pPr>
    <w:rPr>
      <w:rFonts w:ascii="宋体" w:hAnsi="宋体" w:cs="宋体" w:hint="eastAsia"/>
      <w:szCs w:val="20"/>
    </w:rPr>
  </w:style>
  <w:style w:type="paragraph" w:customStyle="1" w:styleId="Charff3">
    <w:name w:val="表格居中 Char"/>
    <w:basedOn w:val="a3"/>
    <w:link w:val="CharChar0"/>
    <w:unhideWhenUsed/>
    <w:qFormat/>
    <w:pPr>
      <w:jc w:val="center"/>
    </w:pPr>
    <w:rPr>
      <w:rFonts w:hint="eastAsia"/>
      <w:sz w:val="21"/>
      <w:szCs w:val="24"/>
    </w:rPr>
  </w:style>
  <w:style w:type="paragraph" w:customStyle="1" w:styleId="4c">
    <w:name w:val="样式4"/>
    <w:basedOn w:val="410"/>
    <w:link w:val="4Char1"/>
    <w:unhideWhenUsed/>
    <w:qFormat/>
    <w:pPr>
      <w:tabs>
        <w:tab w:val="left" w:pos="2880"/>
      </w:tabs>
      <w:ind w:firstLineChars="0" w:firstLine="0"/>
    </w:pPr>
    <w:rPr>
      <w:rFonts w:ascii="Arial" w:hAnsi="Arial"/>
      <w:szCs w:val="28"/>
    </w:rPr>
  </w:style>
  <w:style w:type="paragraph" w:customStyle="1" w:styleId="affffffff">
    <w:name w:val="表中"/>
    <w:basedOn w:val="a3"/>
    <w:unhideWhenUsed/>
    <w:qFormat/>
    <w:pPr>
      <w:jc w:val="center"/>
    </w:pPr>
    <w:rPr>
      <w:rFonts w:hint="eastAsia"/>
      <w:sz w:val="21"/>
    </w:rPr>
  </w:style>
  <w:style w:type="paragraph" w:customStyle="1" w:styleId="102">
    <w:name w:val="10"/>
    <w:basedOn w:val="a3"/>
    <w:unhideWhenUsed/>
    <w:qFormat/>
    <w:rPr>
      <w:rFonts w:ascii="宋体" w:hAnsi="宋体" w:cs="宋体" w:hint="eastAsia"/>
      <w:szCs w:val="24"/>
    </w:rPr>
  </w:style>
  <w:style w:type="paragraph" w:customStyle="1" w:styleId="2Char8">
    <w:name w:val="正文缩进2 Char"/>
    <w:basedOn w:val="a3"/>
    <w:link w:val="2CharChar10"/>
    <w:unhideWhenUsed/>
    <w:qFormat/>
    <w:rPr>
      <w:rFonts w:hint="eastAsia"/>
    </w:rPr>
  </w:style>
  <w:style w:type="paragraph" w:customStyle="1" w:styleId="2Char9">
    <w:name w:val="2缩正 Char"/>
    <w:basedOn w:val="a3"/>
    <w:link w:val="2CharChar2"/>
    <w:unhideWhenUsed/>
    <w:qFormat/>
    <w:rPr>
      <w:rFonts w:hint="eastAsia"/>
      <w:szCs w:val="24"/>
    </w:rPr>
  </w:style>
  <w:style w:type="paragraph" w:customStyle="1" w:styleId="affffffff0">
    <w:name w:val="表格居中"/>
    <w:basedOn w:val="a3"/>
    <w:unhideWhenUsed/>
    <w:qFormat/>
    <w:pPr>
      <w:jc w:val="center"/>
    </w:pPr>
    <w:rPr>
      <w:rFonts w:hint="eastAsia"/>
      <w:sz w:val="21"/>
      <w:szCs w:val="24"/>
    </w:rPr>
  </w:style>
  <w:style w:type="paragraph" w:customStyle="1" w:styleId="2f7">
    <w:name w:val="小四正文缩进2"/>
    <w:basedOn w:val="a3"/>
    <w:unhideWhenUsed/>
    <w:qFormat/>
    <w:rPr>
      <w:rFonts w:hint="eastAsia"/>
      <w:szCs w:val="24"/>
    </w:rPr>
  </w:style>
  <w:style w:type="paragraph" w:customStyle="1" w:styleId="Charff4">
    <w:name w:val="表中 Char"/>
    <w:basedOn w:val="a3"/>
    <w:unhideWhenUsed/>
    <w:qFormat/>
    <w:pPr>
      <w:jc w:val="center"/>
    </w:pPr>
    <w:rPr>
      <w:rFonts w:hint="eastAsia"/>
      <w:sz w:val="21"/>
    </w:rPr>
  </w:style>
  <w:style w:type="paragraph" w:customStyle="1" w:styleId="CharCharChar1CharCharCharCharCharCharCharCharCharCharCharCharChar">
    <w:name w:val="Char Char Char1 Char Char Char Char Char Char Char Char Char Char Char Char Char"/>
    <w:basedOn w:val="a3"/>
    <w:unhideWhenUsed/>
    <w:qFormat/>
    <w:rPr>
      <w:rFonts w:hint="eastAsia"/>
      <w:sz w:val="21"/>
      <w:szCs w:val="24"/>
    </w:rPr>
  </w:style>
  <w:style w:type="paragraph" w:customStyle="1" w:styleId="myChar">
    <w:name w:val="my Char"/>
    <w:unhideWhenUsed/>
    <w:qFormat/>
    <w:pPr>
      <w:widowControl w:val="0"/>
      <w:spacing w:before="60" w:line="460" w:lineRule="exact"/>
      <w:ind w:firstLineChars="200" w:firstLine="200"/>
    </w:pPr>
    <w:rPr>
      <w:rFonts w:hint="eastAsia"/>
      <w:sz w:val="24"/>
      <w:szCs w:val="24"/>
    </w:rPr>
  </w:style>
  <w:style w:type="paragraph" w:customStyle="1" w:styleId="1CharCharCharChar">
    <w:name w:val="1 Char Char Char Char"/>
    <w:basedOn w:val="a3"/>
    <w:next w:val="a3"/>
    <w:unhideWhenUsed/>
    <w:qFormat/>
    <w:rPr>
      <w:rFonts w:ascii="宋体" w:hAnsi="宋体" w:cs="宋体" w:hint="eastAsia"/>
      <w:szCs w:val="24"/>
    </w:rPr>
  </w:style>
  <w:style w:type="paragraph" w:customStyle="1" w:styleId="3d">
    <w:name w:val="样式 标题 3 + 宋体 小四 加粗"/>
    <w:basedOn w:val="310"/>
    <w:unhideWhenUsed/>
    <w:qFormat/>
    <w:pPr>
      <w:spacing w:before="50" w:after="50"/>
      <w:ind w:firstLineChars="0" w:firstLine="0"/>
    </w:pPr>
    <w:rPr>
      <w:rFonts w:ascii="宋体" w:hAnsi="宋体"/>
      <w:sz w:val="24"/>
    </w:rPr>
  </w:style>
  <w:style w:type="paragraph" w:customStyle="1" w:styleId="Char1CharCharChar2">
    <w:name w:val="Char1 Char Char Char2"/>
    <w:basedOn w:val="a3"/>
    <w:unhideWhenUsed/>
    <w:qFormat/>
    <w:rPr>
      <w:rFonts w:ascii="Tahoma" w:hAnsi="Tahoma" w:hint="eastAsia"/>
      <w:szCs w:val="20"/>
    </w:rPr>
  </w:style>
  <w:style w:type="paragraph" w:customStyle="1" w:styleId="affffffff1">
    <w:name w:val="字元 字元"/>
    <w:basedOn w:val="a3"/>
    <w:unhideWhenUsed/>
    <w:qFormat/>
    <w:rPr>
      <w:rFonts w:ascii="宋体" w:hAnsi="宋体" w:cs="宋体" w:hint="eastAsia"/>
      <w:szCs w:val="24"/>
    </w:rPr>
  </w:style>
  <w:style w:type="paragraph" w:customStyle="1" w:styleId="Char22">
    <w:name w:val="Char2"/>
    <w:basedOn w:val="a3"/>
    <w:next w:val="a3"/>
    <w:unhideWhenUsed/>
    <w:qFormat/>
    <w:rPr>
      <w:rFonts w:ascii="宋体" w:hAnsi="宋体" w:cs="宋体" w:hint="eastAsia"/>
      <w:szCs w:val="24"/>
    </w:rPr>
  </w:style>
  <w:style w:type="paragraph" w:customStyle="1" w:styleId="Char2CharCharChar">
    <w:name w:val="Char2 Char Char Char"/>
    <w:basedOn w:val="a3"/>
    <w:unhideWhenUsed/>
    <w:qFormat/>
    <w:rPr>
      <w:rFonts w:hint="eastAsia"/>
      <w:szCs w:val="24"/>
    </w:rPr>
  </w:style>
  <w:style w:type="paragraph" w:customStyle="1" w:styleId="00">
    <w:name w:val="样式 首行缩进:  0 字符"/>
    <w:basedOn w:val="a3"/>
    <w:unhideWhenUsed/>
    <w:qFormat/>
    <w:rPr>
      <w:rFonts w:hint="eastAsia"/>
      <w:szCs w:val="20"/>
    </w:rPr>
  </w:style>
  <w:style w:type="paragraph" w:customStyle="1" w:styleId="affffffff2">
    <w:name w:val="第四层次"/>
    <w:basedOn w:val="410"/>
    <w:unhideWhenUsed/>
    <w:qFormat/>
    <w:pPr>
      <w:tabs>
        <w:tab w:val="left" w:pos="2880"/>
      </w:tabs>
      <w:ind w:firstLineChars="0" w:firstLine="0"/>
    </w:pPr>
    <w:rPr>
      <w:rFonts w:ascii="黑体" w:hAnsi="黑体"/>
      <w:b w:val="0"/>
      <w:szCs w:val="28"/>
    </w:rPr>
  </w:style>
  <w:style w:type="paragraph" w:customStyle="1" w:styleId="CharCharCharCharCharCharChar">
    <w:name w:val="Char Char Char Char Char Char Char"/>
    <w:basedOn w:val="410"/>
    <w:unhideWhenUsed/>
    <w:qFormat/>
    <w:pPr>
      <w:tabs>
        <w:tab w:val="left" w:pos="2880"/>
      </w:tabs>
      <w:spacing w:before="140" w:line="220" w:lineRule="atLeast"/>
      <w:ind w:left="720" w:firstLineChars="0" w:firstLine="0"/>
      <w:jc w:val="left"/>
    </w:pPr>
    <w:rPr>
      <w:rFonts w:ascii="Futura Bk BT" w:cs="Futura Bk BT" w:hint="default"/>
      <w:b w:val="0"/>
      <w:spacing w:val="-4"/>
      <w:sz w:val="21"/>
      <w:szCs w:val="20"/>
      <w:lang w:val="en-AU" w:eastAsia="en-US"/>
    </w:rPr>
  </w:style>
  <w:style w:type="paragraph" w:customStyle="1" w:styleId="affffffff3">
    <w:name w:val="图内容"/>
    <w:unhideWhenUsed/>
    <w:qFormat/>
    <w:pPr>
      <w:widowControl w:val="0"/>
      <w:adjustRightInd w:val="0"/>
      <w:jc w:val="center"/>
      <w:textAlignment w:val="baseline"/>
    </w:pPr>
    <w:rPr>
      <w:rFonts w:eastAsia="仿宋体" w:hint="eastAsia"/>
      <w:sz w:val="24"/>
    </w:rPr>
  </w:style>
  <w:style w:type="paragraph" w:customStyle="1" w:styleId="affffffff4">
    <w:name w:val="正文居中"/>
    <w:basedOn w:val="a3"/>
    <w:next w:val="a3"/>
    <w:unhideWhenUsed/>
    <w:qFormat/>
    <w:pPr>
      <w:widowControl/>
      <w:jc w:val="center"/>
    </w:pPr>
    <w:rPr>
      <w:rFonts w:hint="eastAsia"/>
      <w:sz w:val="28"/>
      <w:szCs w:val="24"/>
    </w:rPr>
  </w:style>
  <w:style w:type="paragraph" w:customStyle="1" w:styleId="Achievement">
    <w:name w:val="Achievement"/>
    <w:basedOn w:val="12"/>
    <w:unhideWhenUsed/>
    <w:qFormat/>
    <w:pPr>
      <w:spacing w:after="60" w:line="220" w:lineRule="atLeast"/>
      <w:ind w:left="840" w:right="-360" w:hanging="360"/>
    </w:pPr>
    <w:rPr>
      <w:sz w:val="20"/>
      <w:szCs w:val="20"/>
    </w:rPr>
  </w:style>
  <w:style w:type="paragraph" w:customStyle="1" w:styleId="10505">
    <w:name w:val="样式 标题 1 + 段前: 0.5行 段后: 0.5 行"/>
    <w:basedOn w:val="110"/>
    <w:unhideWhenUsed/>
    <w:qFormat/>
    <w:pPr>
      <w:tabs>
        <w:tab w:val="left" w:pos="840"/>
        <w:tab w:val="left" w:pos="1134"/>
      </w:tabs>
      <w:ind w:left="840" w:firstLineChars="0" w:hanging="360"/>
    </w:pPr>
    <w:rPr>
      <w:caps/>
      <w:kern w:val="2"/>
      <w:sz w:val="24"/>
      <w:szCs w:val="24"/>
    </w:rPr>
  </w:style>
  <w:style w:type="paragraph" w:customStyle="1" w:styleId="c6">
    <w:name w:val="c6"/>
    <w:basedOn w:val="a3"/>
    <w:unhideWhenUsed/>
    <w:qFormat/>
    <w:pPr>
      <w:autoSpaceDE w:val="0"/>
      <w:autoSpaceDN w:val="0"/>
      <w:adjustRightInd w:val="0"/>
      <w:spacing w:line="240" w:lineRule="atLeast"/>
      <w:jc w:val="center"/>
      <w:textAlignment w:val="baseline"/>
    </w:pPr>
    <w:rPr>
      <w:rFonts w:hint="eastAsia"/>
      <w:szCs w:val="20"/>
    </w:rPr>
  </w:style>
  <w:style w:type="paragraph" w:customStyle="1" w:styleId="3e">
    <w:name w:val="样式3"/>
    <w:basedOn w:val="a3"/>
    <w:link w:val="3Char1"/>
    <w:unhideWhenUsed/>
    <w:qFormat/>
    <w:pPr>
      <w:widowControl/>
    </w:pPr>
    <w:rPr>
      <w:rFonts w:ascii="宋体" w:hint="eastAsia"/>
      <w:szCs w:val="20"/>
    </w:rPr>
  </w:style>
  <w:style w:type="paragraph" w:customStyle="1" w:styleId="Bullet1">
    <w:name w:val="Bullet 1"/>
    <w:unhideWhenUsed/>
    <w:qFormat/>
    <w:pPr>
      <w:tabs>
        <w:tab w:val="left" w:pos="720"/>
        <w:tab w:val="left" w:pos="1080"/>
      </w:tabs>
      <w:spacing w:before="120" w:after="120"/>
      <w:ind w:left="840" w:hanging="360"/>
      <w:jc w:val="both"/>
    </w:pPr>
    <w:rPr>
      <w:rFonts w:ascii="Arial" w:hAnsi="Arial" w:hint="eastAsia"/>
      <w:color w:val="000000"/>
      <w:sz w:val="24"/>
      <w:lang w:eastAsia="en-US"/>
    </w:rPr>
  </w:style>
  <w:style w:type="paragraph" w:customStyle="1" w:styleId="affffffff5">
    <w:name w:val="表格（大）"/>
    <w:basedOn w:val="a3"/>
    <w:unhideWhenUsed/>
    <w:qFormat/>
    <w:pPr>
      <w:widowControl/>
      <w:spacing w:line="240" w:lineRule="atLeast"/>
      <w:outlineLvl w:val="1"/>
    </w:pPr>
    <w:rPr>
      <w:rFonts w:ascii="宋体" w:hAnsi="宋体" w:hint="eastAsia"/>
      <w:spacing w:val="-2"/>
      <w:w w:val="80"/>
      <w:kern w:val="20"/>
      <w:position w:val="4"/>
      <w:szCs w:val="24"/>
    </w:rPr>
  </w:style>
  <w:style w:type="paragraph" w:customStyle="1" w:styleId="73">
    <w:name w:val="正文7"/>
    <w:basedOn w:val="a3"/>
    <w:unhideWhenUsed/>
    <w:qFormat/>
    <w:pPr>
      <w:ind w:left="900" w:hanging="420"/>
    </w:pPr>
    <w:rPr>
      <w:rFonts w:hint="eastAsia"/>
      <w:sz w:val="21"/>
      <w:szCs w:val="24"/>
    </w:rPr>
  </w:style>
  <w:style w:type="paragraph" w:customStyle="1" w:styleId="DefaultText">
    <w:name w:val="Default Text"/>
    <w:basedOn w:val="a3"/>
    <w:unhideWhenUsed/>
    <w:qFormat/>
    <w:pPr>
      <w:widowControl/>
      <w:tabs>
        <w:tab w:val="left" w:pos="1080"/>
      </w:tabs>
    </w:pPr>
    <w:rPr>
      <w:rFonts w:ascii="Arial" w:hAnsi="Arial" w:hint="eastAsia"/>
      <w:szCs w:val="20"/>
      <w:lang w:eastAsia="en-US"/>
    </w:rPr>
  </w:style>
  <w:style w:type="paragraph" w:customStyle="1" w:styleId="IDCA-Head2ndLine">
    <w:name w:val="IDC A-Head (2nd Line)"/>
    <w:basedOn w:val="a3"/>
    <w:next w:val="a3"/>
    <w:unhideWhenUsed/>
    <w:qFormat/>
    <w:pPr>
      <w:widowControl/>
      <w:jc w:val="center"/>
    </w:pPr>
    <w:rPr>
      <w:rFonts w:ascii="宋体" w:hAnsi="宋体" w:hint="eastAsia"/>
      <w:caps/>
      <w:szCs w:val="20"/>
    </w:rPr>
  </w:style>
  <w:style w:type="paragraph" w:customStyle="1" w:styleId="affffffff6">
    <w:name w:val="正文一"/>
    <w:basedOn w:val="a3"/>
    <w:unhideWhenUsed/>
    <w:qFormat/>
    <w:pPr>
      <w:adjustRightInd w:val="0"/>
      <w:snapToGrid w:val="0"/>
      <w:spacing w:line="480" w:lineRule="auto"/>
      <w:ind w:firstLine="480"/>
    </w:pPr>
    <w:rPr>
      <w:rFonts w:ascii="华文细黑" w:eastAsia="华文细黑" w:hAnsi="华文细黑" w:hint="eastAsia"/>
      <w:color w:val="000000"/>
      <w:position w:val="-26"/>
      <w:szCs w:val="24"/>
    </w:rPr>
  </w:style>
  <w:style w:type="paragraph" w:customStyle="1" w:styleId="Char2CharCharChar1">
    <w:name w:val="Char2 Char Char Char1"/>
    <w:basedOn w:val="a3"/>
    <w:unhideWhenUsed/>
    <w:qFormat/>
    <w:rPr>
      <w:rFonts w:hint="eastAsia"/>
      <w:szCs w:val="24"/>
    </w:rPr>
  </w:style>
  <w:style w:type="paragraph" w:customStyle="1" w:styleId="CharCharChar1CharCharCharCharCharCharCharCharChar1Char">
    <w:name w:val="Char Char Char1 Char Char Char Char Char Char Char Char Char1 Char"/>
    <w:basedOn w:val="a3"/>
    <w:unhideWhenUsed/>
    <w:qFormat/>
    <w:rPr>
      <w:rFonts w:hint="eastAsia"/>
      <w:sz w:val="21"/>
      <w:szCs w:val="24"/>
    </w:rPr>
  </w:style>
  <w:style w:type="paragraph" w:customStyle="1" w:styleId="4d">
    <w:name w:val="4级标题"/>
    <w:basedOn w:val="01"/>
    <w:unhideWhenUsed/>
    <w:qFormat/>
  </w:style>
  <w:style w:type="paragraph" w:customStyle="1" w:styleId="CM6">
    <w:name w:val="CM6"/>
    <w:basedOn w:val="Default"/>
    <w:next w:val="Default"/>
    <w:unhideWhenUsed/>
    <w:qFormat/>
    <w:pPr>
      <w:spacing w:line="468" w:lineRule="atLeast"/>
    </w:pPr>
    <w:rPr>
      <w:rFonts w:hint="eastAsia"/>
    </w:rPr>
  </w:style>
  <w:style w:type="paragraph" w:customStyle="1" w:styleId="CM12">
    <w:name w:val="CM12"/>
    <w:basedOn w:val="Default"/>
    <w:next w:val="Default"/>
    <w:unhideWhenUsed/>
    <w:qFormat/>
    <w:pPr>
      <w:spacing w:line="468" w:lineRule="atLeast"/>
    </w:pPr>
    <w:rPr>
      <w:rFonts w:hint="eastAsia"/>
    </w:rPr>
  </w:style>
  <w:style w:type="paragraph" w:customStyle="1" w:styleId="CM24">
    <w:name w:val="CM24"/>
    <w:basedOn w:val="Default"/>
    <w:next w:val="Default"/>
    <w:unhideWhenUsed/>
    <w:qFormat/>
    <w:pPr>
      <w:spacing w:line="468" w:lineRule="atLeast"/>
    </w:pPr>
    <w:rPr>
      <w:rFonts w:hint="eastAsia"/>
    </w:rPr>
  </w:style>
  <w:style w:type="paragraph" w:customStyle="1" w:styleId="CM55">
    <w:name w:val="CM55"/>
    <w:basedOn w:val="Default"/>
    <w:next w:val="Default"/>
    <w:unhideWhenUsed/>
    <w:qFormat/>
    <w:pPr>
      <w:spacing w:after="188"/>
    </w:pPr>
    <w:rPr>
      <w:rFonts w:hint="eastAsia"/>
    </w:rPr>
  </w:style>
  <w:style w:type="paragraph" w:customStyle="1" w:styleId="CM37">
    <w:name w:val="CM37"/>
    <w:basedOn w:val="Default"/>
    <w:next w:val="Default"/>
    <w:unhideWhenUsed/>
    <w:qFormat/>
    <w:pPr>
      <w:spacing w:line="468" w:lineRule="atLeast"/>
    </w:pPr>
    <w:rPr>
      <w:rFonts w:hint="eastAsia"/>
    </w:rPr>
  </w:style>
  <w:style w:type="paragraph" w:customStyle="1" w:styleId="CM10">
    <w:name w:val="CM10"/>
    <w:basedOn w:val="Default"/>
    <w:next w:val="Default"/>
    <w:unhideWhenUsed/>
    <w:qFormat/>
    <w:pPr>
      <w:spacing w:line="468" w:lineRule="atLeast"/>
    </w:pPr>
    <w:rPr>
      <w:rFonts w:hint="eastAsia"/>
    </w:rPr>
  </w:style>
  <w:style w:type="paragraph" w:customStyle="1" w:styleId="CM56">
    <w:name w:val="CM56"/>
    <w:basedOn w:val="Default"/>
    <w:next w:val="Default"/>
    <w:unhideWhenUsed/>
    <w:qFormat/>
    <w:pPr>
      <w:spacing w:after="245"/>
    </w:pPr>
    <w:rPr>
      <w:rFonts w:hint="eastAsia"/>
    </w:rPr>
  </w:style>
  <w:style w:type="paragraph" w:customStyle="1" w:styleId="CM39">
    <w:name w:val="CM39"/>
    <w:basedOn w:val="Default"/>
    <w:next w:val="Default"/>
    <w:unhideWhenUsed/>
    <w:qFormat/>
    <w:pPr>
      <w:spacing w:line="468" w:lineRule="atLeast"/>
    </w:pPr>
    <w:rPr>
      <w:rFonts w:hint="eastAsia"/>
    </w:rPr>
  </w:style>
  <w:style w:type="paragraph" w:customStyle="1" w:styleId="affffffff7">
    <w:name w:val="标题五"/>
    <w:basedOn w:val="51"/>
    <w:link w:val="CharChar1"/>
    <w:unhideWhenUsed/>
    <w:qFormat/>
    <w:pPr>
      <w:numPr>
        <w:ilvl w:val="0"/>
        <w:numId w:val="0"/>
      </w:numPr>
      <w:tabs>
        <w:tab w:val="clear" w:pos="720"/>
        <w:tab w:val="left" w:pos="567"/>
        <w:tab w:val="left" w:pos="700"/>
      </w:tabs>
      <w:autoSpaceDE w:val="0"/>
      <w:autoSpaceDN w:val="0"/>
      <w:adjustRightInd w:val="0"/>
      <w:spacing w:before="0" w:after="0" w:line="440" w:lineRule="exact"/>
      <w:jc w:val="center"/>
    </w:pPr>
    <w:rPr>
      <w:rFonts w:ascii="Arial" w:hAnsi="Arial"/>
      <w:b w:val="0"/>
      <w:sz w:val="24"/>
      <w:szCs w:val="20"/>
    </w:rPr>
  </w:style>
  <w:style w:type="paragraph" w:customStyle="1" w:styleId="CharCharCharCharCharCharCharCharCharChar1">
    <w:name w:val="Char Char Char Char Char Char Char Char Char Char1"/>
    <w:basedOn w:val="a3"/>
    <w:unhideWhenUsed/>
    <w:qFormat/>
    <w:rPr>
      <w:rFonts w:hint="eastAsia"/>
      <w:szCs w:val="24"/>
    </w:rPr>
  </w:style>
  <w:style w:type="paragraph" w:customStyle="1" w:styleId="p0">
    <w:name w:val="p0"/>
    <w:basedOn w:val="a3"/>
    <w:unhideWhenUsed/>
    <w:qFormat/>
    <w:pPr>
      <w:widowControl/>
    </w:pPr>
    <w:rPr>
      <w:rFonts w:ascii="Calibri" w:hAnsi="Calibri" w:cs="宋体" w:hint="eastAsia"/>
      <w:sz w:val="21"/>
    </w:rPr>
  </w:style>
  <w:style w:type="paragraph" w:customStyle="1" w:styleId="ssy3Char">
    <w:name w:val="ssy3 Char"/>
    <w:basedOn w:val="310"/>
    <w:link w:val="ssy3CharChar"/>
    <w:unhideWhenUsed/>
    <w:qFormat/>
    <w:pPr>
      <w:spacing w:line="520" w:lineRule="exact"/>
      <w:ind w:firstLineChars="0" w:firstLine="555"/>
    </w:pPr>
    <w:rPr>
      <w:rFonts w:ascii="宋体" w:hAnsi="宋体"/>
      <w:sz w:val="24"/>
      <w:szCs w:val="28"/>
    </w:rPr>
  </w:style>
  <w:style w:type="paragraph" w:customStyle="1" w:styleId="03Char">
    <w:name w:val="03 Char"/>
    <w:basedOn w:val="a3"/>
    <w:link w:val="03CharChar"/>
    <w:unhideWhenUsed/>
    <w:qFormat/>
    <w:pPr>
      <w:ind w:firstLine="397"/>
    </w:pPr>
    <w:rPr>
      <w:rFonts w:ascii="宋体" w:hAnsi="宋体" w:cs="宋体" w:hint="eastAsia"/>
      <w:szCs w:val="24"/>
    </w:rPr>
  </w:style>
  <w:style w:type="paragraph" w:customStyle="1" w:styleId="000">
    <w:name w:val="00"/>
    <w:basedOn w:val="110"/>
    <w:link w:val="00Char"/>
    <w:unhideWhenUsed/>
    <w:qFormat/>
    <w:pPr>
      <w:spacing w:after="340"/>
      <w:ind w:firstLineChars="0" w:firstLine="0"/>
      <w:jc w:val="center"/>
    </w:pPr>
    <w:rPr>
      <w:rFonts w:ascii="黑体" w:eastAsia="黑体" w:cs="宋体"/>
      <w:sz w:val="30"/>
      <w:szCs w:val="20"/>
    </w:rPr>
  </w:style>
  <w:style w:type="paragraph" w:customStyle="1" w:styleId="021">
    <w:name w:val="02"/>
    <w:basedOn w:val="310"/>
    <w:link w:val="02Char"/>
    <w:unhideWhenUsed/>
    <w:qFormat/>
    <w:pPr>
      <w:spacing w:line="408" w:lineRule="auto"/>
      <w:ind w:firstLineChars="0" w:firstLine="0"/>
      <w:jc w:val="left"/>
    </w:pPr>
    <w:rPr>
      <w:rFonts w:eastAsia="黑体"/>
      <w:sz w:val="24"/>
    </w:rPr>
  </w:style>
  <w:style w:type="paragraph" w:customStyle="1" w:styleId="3w11">
    <w:name w:val="样式 样式 标题 3w + 首行缩进:  1 字符 + 首行缩进:  1 字符"/>
    <w:basedOn w:val="a3"/>
    <w:unhideWhenUsed/>
    <w:qFormat/>
    <w:pPr>
      <w:keepNext/>
      <w:keepLines/>
      <w:ind w:firstLineChars="100" w:firstLine="100"/>
      <w:outlineLvl w:val="2"/>
    </w:pPr>
    <w:rPr>
      <w:rFonts w:cs="宋体" w:hint="eastAsia"/>
      <w:b/>
      <w:szCs w:val="20"/>
    </w:rPr>
  </w:style>
  <w:style w:type="paragraph" w:customStyle="1" w:styleId="affffffff8">
    <w:name w:val="表格样式"/>
    <w:basedOn w:val="a3"/>
    <w:unhideWhenUsed/>
    <w:qFormat/>
    <w:pPr>
      <w:jc w:val="center"/>
    </w:pPr>
    <w:rPr>
      <w:rFonts w:cs="宋体" w:hint="eastAsia"/>
      <w:szCs w:val="20"/>
    </w:rPr>
  </w:style>
  <w:style w:type="paragraph" w:customStyle="1" w:styleId="2w">
    <w:name w:val="标题 2w"/>
    <w:basedOn w:val="213"/>
    <w:unhideWhenUsed/>
    <w:qFormat/>
    <w:pPr>
      <w:tabs>
        <w:tab w:val="left" w:pos="1322"/>
      </w:tabs>
      <w:spacing w:before="120" w:after="60"/>
      <w:ind w:firstLineChars="0" w:firstLine="0"/>
      <w:jc w:val="left"/>
    </w:pPr>
    <w:rPr>
      <w:rFonts w:cs="宋体"/>
      <w:sz w:val="28"/>
      <w:szCs w:val="20"/>
    </w:rPr>
  </w:style>
  <w:style w:type="paragraph" w:customStyle="1" w:styleId="013">
    <w:name w:val="01"/>
    <w:basedOn w:val="213"/>
    <w:unhideWhenUsed/>
    <w:qFormat/>
    <w:pPr>
      <w:tabs>
        <w:tab w:val="left" w:pos="1322"/>
      </w:tabs>
      <w:spacing w:line="408" w:lineRule="auto"/>
      <w:ind w:firstLineChars="0" w:firstLine="0"/>
      <w:jc w:val="left"/>
    </w:pPr>
    <w:rPr>
      <w:sz w:val="28"/>
    </w:rPr>
  </w:style>
  <w:style w:type="paragraph" w:customStyle="1" w:styleId="2f8">
    <w:name w:val="表格中文字2"/>
    <w:basedOn w:val="25"/>
    <w:unhideWhenUsed/>
    <w:qFormat/>
    <w:pPr>
      <w:spacing w:beforeLines="20" w:afterLines="20" w:line="220" w:lineRule="exact"/>
    </w:pPr>
    <w:rPr>
      <w:rFonts w:eastAsia="仿宋_GB2312" w:hint="eastAsia"/>
      <w:b/>
      <w:sz w:val="18"/>
      <w:szCs w:val="24"/>
    </w:rPr>
  </w:style>
  <w:style w:type="paragraph" w:customStyle="1" w:styleId="-2">
    <w:name w:val="正文文字-参考资料"/>
    <w:basedOn w:val="12"/>
    <w:unhideWhenUsed/>
    <w:qFormat/>
    <w:pPr>
      <w:widowControl w:val="0"/>
      <w:tabs>
        <w:tab w:val="left" w:pos="900"/>
        <w:tab w:val="left" w:pos="1620"/>
      </w:tabs>
      <w:spacing w:beforeLines="20" w:after="0" w:line="360" w:lineRule="exact"/>
      <w:ind w:leftChars="600" w:left="600" w:firstLine="448"/>
      <w:jc w:val="both"/>
    </w:pPr>
    <w:rPr>
      <w:rFonts w:ascii="宋体" w:hAnsi="Technic"/>
      <w:b/>
      <w:spacing w:val="2"/>
      <w:sz w:val="22"/>
      <w:szCs w:val="18"/>
    </w:rPr>
  </w:style>
  <w:style w:type="paragraph" w:customStyle="1" w:styleId="3f">
    <w:name w:val="标...正文文字3"/>
    <w:basedOn w:val="12"/>
    <w:unhideWhenUsed/>
    <w:qFormat/>
    <w:pPr>
      <w:widowControl w:val="0"/>
      <w:spacing w:after="0" w:line="380" w:lineRule="exact"/>
      <w:ind w:firstLine="488"/>
      <w:jc w:val="both"/>
    </w:pPr>
    <w:rPr>
      <w:rFonts w:ascii="宋体" w:hAnsi="宋体"/>
      <w:b/>
      <w:spacing w:val="2"/>
      <w:lang w:val="eu-ES"/>
    </w:rPr>
  </w:style>
  <w:style w:type="paragraph" w:customStyle="1" w:styleId="150">
    <w:name w:val="样式 小四 首行缩进:  1.5 字符"/>
    <w:basedOn w:val="a3"/>
    <w:unhideWhenUsed/>
    <w:qFormat/>
    <w:pPr>
      <w:tabs>
        <w:tab w:val="left" w:pos="1200"/>
        <w:tab w:val="left" w:pos="5040"/>
      </w:tabs>
      <w:spacing w:line="300" w:lineRule="auto"/>
      <w:ind w:left="1200" w:hanging="720"/>
    </w:pPr>
    <w:rPr>
      <w:rFonts w:hint="eastAsia"/>
      <w:b/>
      <w:sz w:val="21"/>
      <w:szCs w:val="24"/>
    </w:rPr>
  </w:style>
  <w:style w:type="paragraph" w:customStyle="1" w:styleId="4e">
    <w:name w:val="标...正文文字4"/>
    <w:basedOn w:val="3f"/>
    <w:next w:val="3f"/>
    <w:unhideWhenUsed/>
    <w:qFormat/>
    <w:pPr>
      <w:tabs>
        <w:tab w:val="left" w:pos="1080"/>
        <w:tab w:val="left" w:pos="1320"/>
      </w:tabs>
      <w:spacing w:beforeLines="20" w:line="300" w:lineRule="exact"/>
      <w:ind w:left="1271" w:firstLineChars="0" w:hanging="851"/>
    </w:pPr>
    <w:rPr>
      <w:sz w:val="21"/>
      <w:lang w:val="en-US"/>
    </w:rPr>
  </w:style>
  <w:style w:type="paragraph" w:customStyle="1" w:styleId="affffffff9">
    <w:name w:val="标...法规文字"/>
    <w:basedOn w:val="a3"/>
    <w:unhideWhenUsed/>
    <w:qFormat/>
    <w:pPr>
      <w:tabs>
        <w:tab w:val="left" w:pos="360"/>
        <w:tab w:val="left" w:pos="780"/>
      </w:tabs>
      <w:spacing w:line="420" w:lineRule="exact"/>
      <w:ind w:left="360" w:hanging="360"/>
    </w:pPr>
    <w:rPr>
      <w:rFonts w:ascii="宋体" w:hAnsi="宋体" w:hint="eastAsia"/>
      <w:b/>
      <w:szCs w:val="24"/>
    </w:rPr>
  </w:style>
  <w:style w:type="paragraph" w:customStyle="1" w:styleId="2f9">
    <w:name w:val="表头文字2"/>
    <w:basedOn w:val="affffffffa"/>
    <w:unhideWhenUsed/>
    <w:qFormat/>
    <w:pPr>
      <w:spacing w:line="300" w:lineRule="exact"/>
    </w:pPr>
    <w:rPr>
      <w:sz w:val="18"/>
    </w:rPr>
  </w:style>
  <w:style w:type="paragraph" w:customStyle="1" w:styleId="affffffffa">
    <w:name w:val="表头文字"/>
    <w:basedOn w:val="a3"/>
    <w:next w:val="a5"/>
    <w:unhideWhenUsed/>
    <w:qFormat/>
    <w:pPr>
      <w:snapToGrid w:val="0"/>
      <w:spacing w:line="240" w:lineRule="atLeast"/>
      <w:jc w:val="center"/>
    </w:pPr>
    <w:rPr>
      <w:rFonts w:hint="eastAsia"/>
      <w:b/>
      <w:sz w:val="21"/>
      <w:szCs w:val="24"/>
    </w:rPr>
  </w:style>
  <w:style w:type="paragraph" w:customStyle="1" w:styleId="affffffffb">
    <w:name w:val="级别表格里目录"/>
    <w:basedOn w:val="a3"/>
    <w:unhideWhenUsed/>
    <w:qFormat/>
    <w:pPr>
      <w:ind w:left="-122" w:right="-110"/>
      <w:jc w:val="center"/>
    </w:pPr>
    <w:rPr>
      <w:rFonts w:hint="eastAsia"/>
      <w:sz w:val="21"/>
      <w:szCs w:val="32"/>
    </w:rPr>
  </w:style>
  <w:style w:type="paragraph" w:styleId="affffffffc">
    <w:name w:val="No Spacing"/>
    <w:basedOn w:val="a3"/>
    <w:link w:val="Charff5"/>
    <w:uiPriority w:val="1"/>
    <w:unhideWhenUsed/>
    <w:qFormat/>
    <w:rPr>
      <w:rFonts w:hint="eastAsia"/>
      <w:sz w:val="21"/>
      <w:szCs w:val="32"/>
    </w:rPr>
  </w:style>
  <w:style w:type="paragraph" w:styleId="affffffffd">
    <w:name w:val="Quote"/>
    <w:basedOn w:val="a3"/>
    <w:next w:val="a3"/>
    <w:link w:val="Charff6"/>
    <w:unhideWhenUsed/>
    <w:qFormat/>
    <w:rPr>
      <w:rFonts w:hint="eastAsia"/>
      <w:i/>
      <w:sz w:val="21"/>
      <w:szCs w:val="24"/>
    </w:rPr>
  </w:style>
  <w:style w:type="paragraph" w:styleId="affffffffe">
    <w:name w:val="Intense Quote"/>
    <w:basedOn w:val="a3"/>
    <w:next w:val="a3"/>
    <w:link w:val="Charff7"/>
    <w:unhideWhenUsed/>
    <w:qFormat/>
    <w:pPr>
      <w:ind w:left="720" w:right="720"/>
    </w:pPr>
    <w:rPr>
      <w:rFonts w:hint="eastAsia"/>
      <w:b/>
      <w:i/>
      <w:sz w:val="21"/>
      <w:szCs w:val="22"/>
    </w:rPr>
  </w:style>
  <w:style w:type="paragraph" w:customStyle="1" w:styleId="pic-info">
    <w:name w:val="pic-info"/>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
    <w:name w:val="表格内标"/>
    <w:basedOn w:val="a3"/>
    <w:next w:val="a3"/>
    <w:link w:val="Charff8"/>
    <w:unhideWhenUsed/>
    <w:qFormat/>
    <w:pPr>
      <w:adjustRightInd w:val="0"/>
      <w:snapToGrid w:val="0"/>
      <w:jc w:val="center"/>
    </w:pPr>
    <w:rPr>
      <w:rFonts w:eastAsia="黑体" w:hint="eastAsia"/>
      <w:sz w:val="20"/>
      <w:szCs w:val="20"/>
    </w:rPr>
  </w:style>
  <w:style w:type="paragraph" w:customStyle="1" w:styleId="afffffffff0">
    <w:name w:val="公式注解"/>
    <w:basedOn w:val="BodyTextIndent1"/>
    <w:unhideWhenUsed/>
    <w:qFormat/>
    <w:pPr>
      <w:spacing w:after="0" w:line="480" w:lineRule="exact"/>
      <w:ind w:leftChars="0" w:left="0" w:firstLineChars="500" w:firstLine="1200"/>
    </w:pPr>
    <w:rPr>
      <w:rFonts w:cs="宋体"/>
      <w:position w:val="-4"/>
      <w:sz w:val="24"/>
      <w:szCs w:val="20"/>
    </w:rPr>
  </w:style>
  <w:style w:type="paragraph" w:customStyle="1" w:styleId="afffffffff1">
    <w:name w:val="正文悬挂"/>
    <w:basedOn w:val="a3"/>
    <w:next w:val="a3"/>
    <w:unhideWhenUsed/>
    <w:qFormat/>
    <w:rPr>
      <w:rFonts w:ascii="宋体" w:hAnsi="宋体" w:cs="宋体" w:hint="eastAsia"/>
      <w:color w:val="FF0000"/>
      <w:szCs w:val="24"/>
    </w:rPr>
  </w:style>
  <w:style w:type="paragraph" w:customStyle="1" w:styleId="CharCharCharChar1CharChar">
    <w:name w:val="Char Char Char Char1 Char Char"/>
    <w:basedOn w:val="410"/>
    <w:unhideWhenUsed/>
    <w:qFormat/>
    <w:pPr>
      <w:tabs>
        <w:tab w:val="left" w:pos="0"/>
        <w:tab w:val="left" w:pos="2880"/>
      </w:tabs>
      <w:ind w:firstLineChars="0" w:firstLine="0"/>
      <w:jc w:val="center"/>
    </w:pPr>
    <w:rPr>
      <w:rFonts w:ascii="Arial" w:eastAsia="仿宋_GB2312" w:hAnsi="Arial" w:cs="Arial"/>
      <w:color w:val="FF0000"/>
    </w:rPr>
  </w:style>
  <w:style w:type="paragraph" w:customStyle="1" w:styleId="Afffffffff2">
    <w:name w:val="正文A"/>
    <w:basedOn w:val="a3"/>
    <w:unhideWhenUsed/>
    <w:qFormat/>
    <w:pPr>
      <w:autoSpaceDE w:val="0"/>
      <w:autoSpaceDN w:val="0"/>
      <w:adjustRightInd w:val="0"/>
      <w:snapToGrid w:val="0"/>
      <w:spacing w:line="400" w:lineRule="atLeast"/>
      <w:ind w:firstLine="539"/>
      <w:textAlignment w:val="baseline"/>
    </w:pPr>
    <w:rPr>
      <w:rFonts w:ascii="宋体" w:hAnsi="宋体" w:hint="eastAsia"/>
      <w:szCs w:val="20"/>
    </w:rPr>
  </w:style>
  <w:style w:type="paragraph" w:customStyle="1" w:styleId="zhang">
    <w:name w:val="zhang正文"/>
    <w:basedOn w:val="BodyTextIndent1"/>
    <w:unhideWhenUsed/>
    <w:qFormat/>
    <w:pPr>
      <w:autoSpaceDE w:val="0"/>
      <w:autoSpaceDN w:val="0"/>
      <w:adjustRightInd w:val="0"/>
      <w:snapToGrid w:val="0"/>
      <w:spacing w:after="0" w:line="500" w:lineRule="atLeast"/>
      <w:ind w:leftChars="0" w:left="0" w:firstLine="539"/>
    </w:pPr>
    <w:rPr>
      <w:rFonts w:eastAsia="楷体_GB2312"/>
      <w:sz w:val="28"/>
      <w:szCs w:val="20"/>
    </w:rPr>
  </w:style>
  <w:style w:type="paragraph" w:customStyle="1" w:styleId="Char2CharCharCharCharCharCharCharCharCharCharCharChar">
    <w:name w:val="Char2 Char Char Char Char Char Char Char Char Char Char Char Char"/>
    <w:basedOn w:val="a3"/>
    <w:unhideWhenUsed/>
    <w:qFormat/>
    <w:pPr>
      <w:spacing w:line="560" w:lineRule="exact"/>
    </w:pPr>
    <w:rPr>
      <w:rFonts w:hint="eastAsia"/>
      <w:sz w:val="28"/>
      <w:szCs w:val="28"/>
    </w:rPr>
  </w:style>
  <w:style w:type="paragraph" w:customStyle="1" w:styleId="1ff2">
    <w:name w:val="1文章"/>
    <w:basedOn w:val="a3"/>
    <w:unhideWhenUsed/>
    <w:qFormat/>
    <w:pPr>
      <w:snapToGrid w:val="0"/>
      <w:spacing w:line="400" w:lineRule="atLeast"/>
      <w:ind w:firstLine="573"/>
      <w:outlineLvl w:val="4"/>
    </w:pPr>
    <w:rPr>
      <w:rFonts w:hint="eastAsia"/>
      <w:szCs w:val="24"/>
    </w:rPr>
  </w:style>
  <w:style w:type="paragraph" w:customStyle="1" w:styleId="152">
    <w:name w:val="样式 宋体 行距: 1.5 倍行距2"/>
    <w:basedOn w:val="a3"/>
    <w:unhideWhenUsed/>
    <w:qFormat/>
    <w:pPr>
      <w:ind w:firstLineChars="210" w:firstLine="441"/>
    </w:pPr>
    <w:rPr>
      <w:rFonts w:ascii="宋体" w:hAnsi="宋体" w:hint="eastAsia"/>
      <w:szCs w:val="20"/>
    </w:rPr>
  </w:style>
  <w:style w:type="paragraph" w:customStyle="1" w:styleId="151">
    <w:name w:val="样式 宋体 行距: 1.5 倍行距"/>
    <w:basedOn w:val="a3"/>
    <w:unhideWhenUsed/>
    <w:qFormat/>
    <w:pPr>
      <w:ind w:firstLine="420"/>
    </w:pPr>
    <w:rPr>
      <w:rFonts w:ascii="宋体" w:hAnsi="宋体" w:hint="eastAsia"/>
      <w:szCs w:val="20"/>
    </w:rPr>
  </w:style>
  <w:style w:type="paragraph" w:customStyle="1" w:styleId="0505">
    <w:name w:val="样式 表头 + 段前: 0.5 行 段后: 0.5 行"/>
    <w:basedOn w:val="afff3"/>
    <w:unhideWhenUsed/>
    <w:qFormat/>
    <w:pPr>
      <w:autoSpaceDE w:val="0"/>
      <w:autoSpaceDN w:val="0"/>
      <w:adjustRightInd w:val="0"/>
      <w:spacing w:beforeAutospacing="1" w:after="100" w:afterAutospacing="1" w:line="480" w:lineRule="exact"/>
    </w:pPr>
    <w:rPr>
      <w:rFonts w:hint="eastAsia"/>
      <w:b w:val="0"/>
      <w:szCs w:val="20"/>
      <w:lang w:val="zh-CN"/>
    </w:rPr>
  </w:style>
  <w:style w:type="paragraph" w:customStyle="1" w:styleId="GB231201222">
    <w:name w:val="样式 仿宋_GB2312 小四 紧缩量  0.1 磅 行距: 固定值 22 磅 首行缩进:  2 字符"/>
    <w:basedOn w:val="a3"/>
    <w:next w:val="a3"/>
    <w:unhideWhenUsed/>
    <w:qFormat/>
    <w:pPr>
      <w:spacing w:line="440" w:lineRule="exact"/>
    </w:pPr>
    <w:rPr>
      <w:rFonts w:ascii="仿宋_GB2312" w:eastAsia="仿宋_GB2312" w:hint="eastAsia"/>
      <w:spacing w:val="-2"/>
      <w:szCs w:val="20"/>
    </w:rPr>
  </w:style>
  <w:style w:type="paragraph" w:customStyle="1" w:styleId="83">
    <w:name w:val="8"/>
    <w:basedOn w:val="a3"/>
    <w:unhideWhenUsed/>
    <w:qFormat/>
    <w:pPr>
      <w:ind w:firstLine="480"/>
    </w:pPr>
    <w:rPr>
      <w:rFonts w:hint="eastAsia"/>
      <w:kern w:val="10"/>
      <w:szCs w:val="20"/>
    </w:rPr>
  </w:style>
  <w:style w:type="paragraph" w:customStyle="1" w:styleId="8Char1CharChar">
    <w:name w:val="8 Char1 Char Char"/>
    <w:basedOn w:val="a3"/>
    <w:unhideWhenUsed/>
    <w:qFormat/>
    <w:pPr>
      <w:ind w:firstLine="480"/>
    </w:pPr>
    <w:rPr>
      <w:rFonts w:hint="eastAsia"/>
      <w:kern w:val="10"/>
      <w:szCs w:val="20"/>
    </w:rPr>
  </w:style>
  <w:style w:type="paragraph" w:customStyle="1" w:styleId="8Char0">
    <w:name w:val="8 Char"/>
    <w:basedOn w:val="a3"/>
    <w:unhideWhenUsed/>
    <w:qFormat/>
    <w:pPr>
      <w:ind w:firstLine="480"/>
    </w:pPr>
    <w:rPr>
      <w:rFonts w:hint="eastAsia"/>
      <w:kern w:val="10"/>
      <w:szCs w:val="24"/>
    </w:rPr>
  </w:style>
  <w:style w:type="paragraph" w:customStyle="1" w:styleId="CharCharCharCharCharCharCharCharChar0">
    <w:name w:val="样式 题注题注 Char Char Char + (中文) 宋体 四号 红色 Char Char Char Char Char Char"/>
    <w:basedOn w:val="1c"/>
    <w:unhideWhenUsed/>
    <w:qFormat/>
    <w:pPr>
      <w:tabs>
        <w:tab w:val="left" w:pos="0"/>
      </w:tabs>
      <w:jc w:val="center"/>
    </w:pPr>
    <w:rPr>
      <w:rFonts w:ascii="Times New Roman" w:eastAsia="宋体" w:hAnsi="Times New Roman"/>
      <w:b/>
      <w:spacing w:val="-6"/>
      <w:sz w:val="28"/>
      <w:szCs w:val="28"/>
    </w:rPr>
  </w:style>
  <w:style w:type="paragraph" w:customStyle="1" w:styleId="CharCharCharCharChar">
    <w:name w:val="样式 题注题注 Char Char Char + (中文) 宋体 四号 红色 Char Char"/>
    <w:basedOn w:val="1c"/>
    <w:unhideWhenUsed/>
    <w:qFormat/>
    <w:pPr>
      <w:tabs>
        <w:tab w:val="left" w:pos="0"/>
      </w:tabs>
      <w:ind w:left="284" w:hanging="284"/>
      <w:jc w:val="center"/>
    </w:pPr>
    <w:rPr>
      <w:rFonts w:ascii="Times New Roman" w:eastAsia="宋体" w:hAnsi="Times New Roman"/>
      <w:b/>
      <w:spacing w:val="-6"/>
      <w:sz w:val="28"/>
      <w:szCs w:val="28"/>
    </w:rPr>
  </w:style>
  <w:style w:type="paragraph" w:customStyle="1" w:styleId="afffffffff3">
    <w:name w:val="正文段"/>
    <w:basedOn w:val="a3"/>
    <w:link w:val="Char23"/>
    <w:unhideWhenUsed/>
    <w:qFormat/>
    <w:pPr>
      <w:ind w:firstLine="536"/>
    </w:pPr>
    <w:rPr>
      <w:rFonts w:ascii="仿宋_GB2312" w:eastAsia="仿宋_GB2312" w:hAnsi="宋体" w:cs="宋体" w:hint="eastAsia"/>
      <w:sz w:val="28"/>
      <w:szCs w:val="18"/>
    </w:rPr>
  </w:style>
  <w:style w:type="paragraph" w:customStyle="1" w:styleId="CharCharCharCharCharCharCharChar">
    <w:name w:val="样式 题注题注 Char Char Char + (中文) 宋体 四号 红色 Char Char Char Char Char"/>
    <w:basedOn w:val="1c"/>
    <w:unhideWhenUsed/>
    <w:qFormat/>
    <w:pPr>
      <w:tabs>
        <w:tab w:val="left" w:pos="0"/>
      </w:tabs>
      <w:ind w:left="284" w:hanging="284"/>
      <w:jc w:val="center"/>
    </w:pPr>
    <w:rPr>
      <w:rFonts w:ascii="Times New Roman" w:eastAsia="宋体" w:hAnsi="Times New Roman"/>
      <w:b/>
      <w:spacing w:val="-6"/>
      <w:sz w:val="28"/>
      <w:szCs w:val="28"/>
    </w:rPr>
  </w:style>
  <w:style w:type="paragraph" w:customStyle="1" w:styleId="2fa">
    <w:name w:val="样式 正文缩进 + 首行缩进:  2 字符"/>
    <w:basedOn w:val="1b"/>
    <w:unhideWhenUsed/>
    <w:qFormat/>
    <w:pPr>
      <w:snapToGrid w:val="0"/>
      <w:ind w:firstLine="560"/>
    </w:pPr>
    <w:rPr>
      <w:rFonts w:cs="宋体"/>
      <w:sz w:val="28"/>
    </w:rPr>
  </w:style>
  <w:style w:type="paragraph" w:customStyle="1" w:styleId="p2">
    <w:name w:val="p2"/>
    <w:basedOn w:val="a3"/>
    <w:unhideWhenUsed/>
    <w:qFormat/>
    <w:pPr>
      <w:widowControl/>
      <w:spacing w:before="100" w:beforeAutospacing="1" w:after="100" w:afterAutospacing="1" w:line="360" w:lineRule="atLeast"/>
      <w:jc w:val="left"/>
    </w:pPr>
    <w:rPr>
      <w:rFonts w:ascii="宋体" w:hAnsi="宋体" w:hint="eastAsia"/>
      <w:sz w:val="18"/>
      <w:szCs w:val="18"/>
    </w:rPr>
  </w:style>
  <w:style w:type="paragraph" w:customStyle="1" w:styleId="afffffffff4">
    <w:name w:val="表文字"/>
    <w:basedOn w:val="a3"/>
    <w:link w:val="Char15"/>
    <w:unhideWhenUsed/>
    <w:qFormat/>
    <w:pPr>
      <w:spacing w:line="320" w:lineRule="exact"/>
    </w:pPr>
    <w:rPr>
      <w:rFonts w:hint="eastAsia"/>
      <w:sz w:val="21"/>
      <w:szCs w:val="20"/>
    </w:rPr>
  </w:style>
  <w:style w:type="paragraph" w:customStyle="1" w:styleId="1ff3">
    <w:name w:val="1表格"/>
    <w:basedOn w:val="a3"/>
    <w:unhideWhenUsed/>
    <w:qFormat/>
    <w:pPr>
      <w:spacing w:line="160" w:lineRule="atLeast"/>
      <w:jc w:val="center"/>
    </w:pPr>
    <w:rPr>
      <w:rFonts w:ascii="仿宋_GB2312" w:eastAsia="仿宋_GB2312" w:hAnsi="仿宋体" w:hint="eastAsia"/>
      <w:sz w:val="21"/>
      <w:szCs w:val="28"/>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unhideWhenUsed/>
    <w:qFormat/>
    <w:rPr>
      <w:rFonts w:hint="eastAsia"/>
      <w:sz w:val="21"/>
      <w:szCs w:val="20"/>
    </w:rPr>
  </w:style>
  <w:style w:type="paragraph" w:customStyle="1" w:styleId="218">
    <w:name w:val="纯文本21"/>
    <w:basedOn w:val="a3"/>
    <w:unhideWhenUsed/>
    <w:qFormat/>
    <w:pPr>
      <w:adjustRightInd w:val="0"/>
      <w:textAlignment w:val="baseline"/>
    </w:pPr>
    <w:rPr>
      <w:rFonts w:ascii="宋体" w:hAnsi="Courier New" w:hint="eastAsia"/>
      <w:sz w:val="21"/>
      <w:szCs w:val="20"/>
    </w:rPr>
  </w:style>
  <w:style w:type="paragraph" w:customStyle="1" w:styleId="CharCharChar1Char4">
    <w:name w:val="Char Char Char1 Char4"/>
    <w:basedOn w:val="a3"/>
    <w:unhideWhenUsed/>
    <w:qFormat/>
    <w:rPr>
      <w:rFonts w:hint="eastAsia"/>
      <w:sz w:val="21"/>
      <w:szCs w:val="24"/>
    </w:rPr>
  </w:style>
  <w:style w:type="paragraph" w:customStyle="1" w:styleId="CharCharCharCharCharCharCharCharCharCharCharCharCharCharCharCharCharCharChar1">
    <w:name w:val="Char Char Char Char Char Char Char Char Char Char Char Char Char Char Char Char Char Char Char1"/>
    <w:basedOn w:val="a3"/>
    <w:unhideWhenUsed/>
    <w:qFormat/>
    <w:rPr>
      <w:rFonts w:ascii="宋体" w:hAnsi="宋体" w:cs="宋体" w:hint="eastAsia"/>
      <w:szCs w:val="24"/>
    </w:rPr>
  </w:style>
  <w:style w:type="paragraph" w:customStyle="1" w:styleId="CharCharChar1CharCharCharCharCharCharCharCharCharCharCharCharCharCharCharChar1">
    <w:name w:val="Char Char Char1 Char Char Char Char Char Char Char Char Char Char Char Char Char Char Char Char1"/>
    <w:basedOn w:val="a3"/>
    <w:unhideWhenUsed/>
    <w:qFormat/>
    <w:rPr>
      <w:rFonts w:hint="eastAsia"/>
      <w:sz w:val="21"/>
      <w:szCs w:val="24"/>
    </w:rPr>
  </w:style>
  <w:style w:type="paragraph" w:customStyle="1" w:styleId="113">
    <w:name w:val="正文文本缩进11"/>
    <w:basedOn w:val="a3"/>
    <w:unhideWhenUsed/>
    <w:qFormat/>
    <w:pPr>
      <w:ind w:firstLine="560"/>
    </w:pPr>
    <w:rPr>
      <w:rFonts w:ascii="宋体" w:hAnsi="宋体" w:hint="eastAsia"/>
      <w:sz w:val="28"/>
      <w:szCs w:val="28"/>
    </w:rPr>
  </w:style>
  <w:style w:type="paragraph" w:customStyle="1" w:styleId="CharCharChar1CharCharCharCharCharCharCharCharCharCharCharCharChar1">
    <w:name w:val="Char Char Char1 Char Char Char Char Char Char Char Char Char Char Char Char Char1"/>
    <w:basedOn w:val="a3"/>
    <w:unhideWhenUsed/>
    <w:qFormat/>
    <w:rPr>
      <w:rFonts w:hint="eastAsia"/>
      <w:sz w:val="21"/>
      <w:szCs w:val="24"/>
    </w:rPr>
  </w:style>
  <w:style w:type="paragraph" w:customStyle="1" w:styleId="1ff4">
    <w:name w:val="字元 字元1"/>
    <w:basedOn w:val="a3"/>
    <w:unhideWhenUsed/>
    <w:qFormat/>
    <w:rPr>
      <w:rFonts w:ascii="宋体" w:hAnsi="宋体" w:cs="宋体" w:hint="eastAsia"/>
      <w:szCs w:val="24"/>
    </w:rPr>
  </w:style>
  <w:style w:type="paragraph" w:customStyle="1" w:styleId="Char210">
    <w:name w:val="Char21"/>
    <w:basedOn w:val="a3"/>
    <w:next w:val="a3"/>
    <w:unhideWhenUsed/>
    <w:qFormat/>
    <w:rPr>
      <w:rFonts w:ascii="宋体" w:hAnsi="宋体" w:cs="宋体" w:hint="eastAsia"/>
      <w:szCs w:val="24"/>
    </w:rPr>
  </w:style>
  <w:style w:type="paragraph" w:customStyle="1" w:styleId="CharCharCharCharCharCharChar1">
    <w:name w:val="Char Char Char Char Char Char Char1"/>
    <w:basedOn w:val="410"/>
    <w:unhideWhenUsed/>
    <w:qFormat/>
    <w:pPr>
      <w:tabs>
        <w:tab w:val="left" w:pos="2880"/>
      </w:tabs>
      <w:spacing w:before="140" w:line="220" w:lineRule="atLeast"/>
      <w:ind w:left="720" w:firstLineChars="0" w:firstLine="0"/>
      <w:jc w:val="left"/>
    </w:pPr>
    <w:rPr>
      <w:rFonts w:ascii="Futura Bk BT" w:cs="Futura Bk BT" w:hint="default"/>
      <w:b w:val="0"/>
      <w:spacing w:val="-4"/>
      <w:sz w:val="21"/>
      <w:szCs w:val="20"/>
      <w:lang w:val="en-AU" w:eastAsia="en-US"/>
    </w:rPr>
  </w:style>
  <w:style w:type="paragraph" w:customStyle="1" w:styleId="CharCharChar1CharCharCharCharCharCharCharCharChar1Char1">
    <w:name w:val="Char Char Char1 Char Char Char Char Char Char Char Char Char1 Char1"/>
    <w:basedOn w:val="a3"/>
    <w:unhideWhenUsed/>
    <w:qFormat/>
    <w:rPr>
      <w:rFonts w:hint="eastAsia"/>
      <w:sz w:val="21"/>
      <w:szCs w:val="24"/>
    </w:rPr>
  </w:style>
  <w:style w:type="paragraph" w:customStyle="1" w:styleId="CharCharCharChar1CharChar1">
    <w:name w:val="Char Char Char Char1 Char Char1"/>
    <w:basedOn w:val="410"/>
    <w:unhideWhenUsed/>
    <w:qFormat/>
    <w:pPr>
      <w:tabs>
        <w:tab w:val="left" w:pos="0"/>
        <w:tab w:val="left" w:pos="2880"/>
      </w:tabs>
      <w:ind w:firstLineChars="0" w:firstLine="0"/>
      <w:jc w:val="center"/>
    </w:pPr>
    <w:rPr>
      <w:rFonts w:ascii="Arial" w:eastAsia="仿宋_GB2312" w:hAnsi="Arial" w:cs="Arial"/>
      <w:color w:val="FF0000"/>
    </w:rPr>
  </w:style>
  <w:style w:type="paragraph" w:customStyle="1" w:styleId="Char2CharCharCharCharCharCharCharCharCharCharCharChar1">
    <w:name w:val="Char2 Char Char Char Char Char Char Char Char Char Char Char Char1"/>
    <w:basedOn w:val="a3"/>
    <w:unhideWhenUsed/>
    <w:qFormat/>
    <w:pPr>
      <w:spacing w:line="560" w:lineRule="exact"/>
    </w:pPr>
    <w:rPr>
      <w:rFonts w:hint="eastAsia"/>
      <w:sz w:val="28"/>
      <w:szCs w:val="28"/>
    </w:rPr>
  </w:style>
  <w:style w:type="paragraph" w:customStyle="1" w:styleId="CharChar15CharChar">
    <w:name w:val="Char Char15 Char Char"/>
    <w:basedOn w:val="a3"/>
    <w:unhideWhenUsed/>
    <w:qFormat/>
    <w:rPr>
      <w:rFonts w:ascii="宋体" w:hAnsi="宋体" w:cs="宋体" w:hint="eastAsia"/>
      <w:szCs w:val="24"/>
    </w:rPr>
  </w:style>
  <w:style w:type="paragraph" w:customStyle="1" w:styleId="CharChar7CharChar">
    <w:name w:val="Char Char7 Char Char"/>
    <w:basedOn w:val="a3"/>
    <w:unhideWhenUsed/>
    <w:qFormat/>
    <w:rPr>
      <w:rFonts w:ascii="宋体" w:hAnsi="宋体" w:cs="宋体" w:hint="eastAsia"/>
      <w:szCs w:val="24"/>
    </w:rPr>
  </w:style>
  <w:style w:type="paragraph" w:customStyle="1" w:styleId="CharCharCharCharCharCharCharCharChar5">
    <w:name w:val="Char Char Char Char Char Char Char Char Char5"/>
    <w:basedOn w:val="a3"/>
    <w:unhideWhenUsed/>
    <w:qFormat/>
    <w:pPr>
      <w:widowControl/>
      <w:spacing w:after="160" w:line="240" w:lineRule="exact"/>
      <w:jc w:val="left"/>
    </w:pPr>
    <w:rPr>
      <w:rFonts w:ascii="Verdana" w:eastAsia="仿宋_GB2312" w:hAnsi="Verdana" w:hint="eastAsia"/>
      <w:szCs w:val="20"/>
      <w:lang w:eastAsia="en-US"/>
    </w:rPr>
  </w:style>
  <w:style w:type="paragraph" w:customStyle="1" w:styleId="CharChar151">
    <w:name w:val="Char Char151"/>
    <w:basedOn w:val="a3"/>
    <w:unhideWhenUsed/>
    <w:qFormat/>
    <w:rPr>
      <w:rFonts w:ascii="宋体" w:hAnsi="宋体" w:cs="宋体" w:hint="eastAsia"/>
      <w:szCs w:val="24"/>
    </w:rPr>
  </w:style>
  <w:style w:type="paragraph" w:customStyle="1" w:styleId="1110">
    <w:name w:val="标题111"/>
    <w:basedOn w:val="a3"/>
    <w:unhideWhenUsed/>
    <w:qFormat/>
    <w:pPr>
      <w:spacing w:beforeLines="50" w:afterLines="50"/>
      <w:outlineLvl w:val="0"/>
    </w:pPr>
    <w:rPr>
      <w:rFonts w:hint="eastAsia"/>
      <w:b/>
      <w:sz w:val="36"/>
      <w:szCs w:val="36"/>
    </w:rPr>
  </w:style>
  <w:style w:type="paragraph" w:customStyle="1" w:styleId="CharChar7CharChar1">
    <w:name w:val="Char Char7 Char Char1"/>
    <w:basedOn w:val="a3"/>
    <w:unhideWhenUsed/>
    <w:qFormat/>
    <w:rPr>
      <w:rFonts w:ascii="宋体" w:hAnsi="宋体" w:cs="宋体" w:hint="eastAsia"/>
      <w:szCs w:val="24"/>
    </w:rPr>
  </w:style>
  <w:style w:type="paragraph" w:customStyle="1" w:styleId="CharChar7CharChar1CharChar">
    <w:name w:val="Char Char7 Char Char1 Char Char"/>
    <w:basedOn w:val="a3"/>
    <w:unhideWhenUsed/>
    <w:qFormat/>
    <w:rPr>
      <w:rFonts w:ascii="宋体" w:hAnsi="宋体" w:cs="宋体" w:hint="eastAsia"/>
      <w:szCs w:val="24"/>
    </w:rPr>
  </w:style>
  <w:style w:type="paragraph" w:customStyle="1" w:styleId="030">
    <w:name w:val="表格03"/>
    <w:basedOn w:val="a3"/>
    <w:unhideWhenUsed/>
    <w:qFormat/>
    <w:pPr>
      <w:spacing w:line="400" w:lineRule="exact"/>
      <w:jc w:val="center"/>
    </w:pPr>
    <w:rPr>
      <w:rFonts w:hint="eastAsia"/>
      <w:sz w:val="21"/>
    </w:rPr>
  </w:style>
  <w:style w:type="paragraph" w:customStyle="1" w:styleId="CharChar7CharChar1CharCharCharChar">
    <w:name w:val="Char Char7 Char Char1 Char Char Char Char"/>
    <w:basedOn w:val="a3"/>
    <w:unhideWhenUsed/>
    <w:qFormat/>
    <w:rPr>
      <w:rFonts w:ascii="宋体" w:hAnsi="宋体" w:cs="宋体" w:hint="eastAsia"/>
      <w:szCs w:val="24"/>
    </w:rPr>
  </w:style>
  <w:style w:type="paragraph" w:customStyle="1" w:styleId="afffffffff5">
    <w:name w:val="正文文字"/>
    <w:basedOn w:val="a3"/>
    <w:unhideWhenUsed/>
    <w:qFormat/>
    <w:pPr>
      <w:widowControl/>
      <w:spacing w:after="200"/>
      <w:ind w:left="539"/>
      <w:jc w:val="left"/>
    </w:pPr>
    <w:rPr>
      <w:rFonts w:ascii="Arial" w:hAnsi="宋体" w:cs="Arial" w:hint="eastAsia"/>
      <w:szCs w:val="22"/>
    </w:rPr>
  </w:style>
  <w:style w:type="paragraph" w:customStyle="1" w:styleId="-3">
    <w:name w:val="徐-报告正文"/>
    <w:basedOn w:val="a3"/>
    <w:unhideWhenUsed/>
    <w:qFormat/>
    <w:pPr>
      <w:widowControl/>
      <w:jc w:val="left"/>
    </w:pPr>
    <w:rPr>
      <w:rFonts w:cs="宋体" w:hint="eastAsia"/>
      <w:szCs w:val="24"/>
    </w:rPr>
  </w:style>
  <w:style w:type="paragraph" w:customStyle="1" w:styleId="cucd-TB">
    <w:name w:val="cucd-TB"/>
    <w:unhideWhenUsed/>
    <w:qFormat/>
    <w:pPr>
      <w:spacing w:line="360" w:lineRule="auto"/>
      <w:jc w:val="center"/>
    </w:pPr>
    <w:rPr>
      <w:rFonts w:hint="eastAsia"/>
      <w:kern w:val="2"/>
      <w:sz w:val="21"/>
      <w:szCs w:val="24"/>
    </w:rPr>
  </w:style>
  <w:style w:type="paragraph" w:customStyle="1" w:styleId="CharChar7CharCharCharChar">
    <w:name w:val="Char Char7 Char Char Char Char"/>
    <w:basedOn w:val="a3"/>
    <w:unhideWhenUsed/>
    <w:qFormat/>
    <w:rPr>
      <w:rFonts w:ascii="宋体" w:hAnsi="宋体" w:cs="宋体" w:hint="eastAsia"/>
      <w:szCs w:val="24"/>
    </w:rPr>
  </w:style>
  <w:style w:type="paragraph" w:customStyle="1" w:styleId="CharChar7CharChar1CharCharCharCharCharChar">
    <w:name w:val="Char Char7 Char Char1 Char Char Char Char Char Char"/>
    <w:basedOn w:val="a3"/>
    <w:unhideWhenUsed/>
    <w:qFormat/>
    <w:rPr>
      <w:rFonts w:ascii="宋体" w:hAnsi="宋体" w:cs="宋体" w:hint="eastAsia"/>
      <w:szCs w:val="24"/>
    </w:rPr>
  </w:style>
  <w:style w:type="paragraph" w:customStyle="1" w:styleId="CharChar7">
    <w:name w:val="Char Char7"/>
    <w:basedOn w:val="a3"/>
    <w:unhideWhenUsed/>
    <w:qFormat/>
    <w:rPr>
      <w:rFonts w:ascii="宋体" w:hAnsi="宋体" w:cs="宋体" w:hint="eastAsia"/>
      <w:szCs w:val="24"/>
    </w:rPr>
  </w:style>
  <w:style w:type="paragraph" w:customStyle="1" w:styleId="CharChar7CharChar1CharCharCharCharCharCharCharChar">
    <w:name w:val="Char Char7 Char Char1 Char Char Char Char Char Char Char Char"/>
    <w:basedOn w:val="a3"/>
    <w:unhideWhenUsed/>
    <w:qFormat/>
    <w:rPr>
      <w:rFonts w:ascii="宋体" w:hAnsi="宋体" w:cs="宋体" w:hint="eastAsia"/>
      <w:szCs w:val="24"/>
    </w:rPr>
  </w:style>
  <w:style w:type="paragraph" w:customStyle="1" w:styleId="153">
    <w:name w:val="正文 小四 行距: 1.5 倍行距"/>
    <w:basedOn w:val="a3"/>
    <w:link w:val="15Char"/>
    <w:unhideWhenUsed/>
    <w:qFormat/>
    <w:pPr>
      <w:ind w:firstLine="480"/>
    </w:pPr>
    <w:rPr>
      <w:rFonts w:hint="eastAsia"/>
      <w:szCs w:val="20"/>
    </w:rPr>
  </w:style>
  <w:style w:type="paragraph" w:customStyle="1" w:styleId="CharCharCharCharCharCharCharCharCharCharCharCharChar">
    <w:name w:val="Char Char Char Char Char Char Char Char Char Char Char Char Char"/>
    <w:basedOn w:val="a3"/>
    <w:next w:val="a3"/>
    <w:unhideWhenUsed/>
    <w:qFormat/>
    <w:rPr>
      <w:rFonts w:hint="eastAsia"/>
      <w:szCs w:val="24"/>
    </w:rPr>
  </w:style>
  <w:style w:type="paragraph" w:customStyle="1" w:styleId="afffffffff6">
    <w:name w:val="表体"/>
    <w:basedOn w:val="a3"/>
    <w:link w:val="Charff9"/>
    <w:unhideWhenUsed/>
    <w:qFormat/>
    <w:pPr>
      <w:overflowPunct w:val="0"/>
      <w:adjustRightInd w:val="0"/>
      <w:spacing w:line="200" w:lineRule="exact"/>
      <w:jc w:val="center"/>
      <w:textAlignment w:val="baseline"/>
    </w:pPr>
    <w:rPr>
      <w:rFonts w:hint="eastAsia"/>
      <w:spacing w:val="-28"/>
      <w:kern w:val="24"/>
      <w:sz w:val="18"/>
      <w:szCs w:val="18"/>
    </w:rPr>
  </w:style>
  <w:style w:type="paragraph" w:customStyle="1" w:styleId="Style22">
    <w:name w:val="_Style 22"/>
    <w:basedOn w:val="a3"/>
    <w:next w:val="12"/>
    <w:unhideWhenUsed/>
    <w:qFormat/>
    <w:pPr>
      <w:spacing w:line="240" w:lineRule="exact"/>
      <w:jc w:val="center"/>
    </w:pPr>
    <w:rPr>
      <w:rFonts w:eastAsia="方正仿宋简体" w:hint="eastAsia"/>
      <w:w w:val="80"/>
      <w:sz w:val="21"/>
      <w:szCs w:val="24"/>
    </w:rPr>
  </w:style>
  <w:style w:type="paragraph" w:customStyle="1" w:styleId="afffffffff7">
    <w:name w:val="标准"/>
    <w:basedOn w:val="a3"/>
    <w:unhideWhenUsed/>
    <w:qFormat/>
    <w:pPr>
      <w:adjustRightInd w:val="0"/>
      <w:spacing w:line="480" w:lineRule="exact"/>
      <w:textAlignment w:val="baseline"/>
    </w:pPr>
    <w:rPr>
      <w:rFonts w:hint="eastAsia"/>
      <w:sz w:val="28"/>
      <w:szCs w:val="20"/>
      <w:lang w:val="en-GB"/>
    </w:rPr>
  </w:style>
  <w:style w:type="paragraph" w:customStyle="1" w:styleId="04">
    <w:name w:val="表格04"/>
    <w:basedOn w:val="a3"/>
    <w:unhideWhenUsed/>
    <w:qFormat/>
    <w:pPr>
      <w:adjustRightInd w:val="0"/>
      <w:spacing w:line="360" w:lineRule="exact"/>
      <w:jc w:val="center"/>
      <w:textAlignment w:val="baseline"/>
    </w:pPr>
    <w:rPr>
      <w:rFonts w:cs="宋体" w:hint="eastAsia"/>
      <w:spacing w:val="-2"/>
      <w:sz w:val="18"/>
      <w:szCs w:val="18"/>
    </w:rPr>
  </w:style>
  <w:style w:type="paragraph" w:customStyle="1" w:styleId="040">
    <w:name w:val="表格04左"/>
    <w:basedOn w:val="04"/>
    <w:unhideWhenUsed/>
    <w:qFormat/>
    <w:pPr>
      <w:snapToGrid w:val="0"/>
      <w:jc w:val="left"/>
    </w:pPr>
  </w:style>
  <w:style w:type="paragraph" w:customStyle="1" w:styleId="1ff5">
    <w:name w:val="1正文段落"/>
    <w:basedOn w:val="a3"/>
    <w:link w:val="1Char3"/>
    <w:unhideWhenUsed/>
    <w:qFormat/>
    <w:pPr>
      <w:ind w:firstLine="480"/>
      <w:jc w:val="left"/>
    </w:pPr>
    <w:rPr>
      <w:rFonts w:hint="eastAsia"/>
      <w:szCs w:val="24"/>
    </w:rPr>
  </w:style>
  <w:style w:type="paragraph" w:customStyle="1" w:styleId="4f">
    <w:name w:val="标题4"/>
    <w:basedOn w:val="a3"/>
    <w:next w:val="a3"/>
    <w:unhideWhenUsed/>
    <w:qFormat/>
    <w:pPr>
      <w:keepNext/>
      <w:keepLines/>
      <w:adjustRightInd w:val="0"/>
      <w:spacing w:before="40" w:after="40" w:line="376" w:lineRule="atLeast"/>
      <w:jc w:val="left"/>
      <w:outlineLvl w:val="3"/>
    </w:pPr>
    <w:rPr>
      <w:rFonts w:ascii="新宋体" w:eastAsia="仿宋_GB2312" w:hAnsi="新宋体" w:hint="eastAsia"/>
      <w:sz w:val="28"/>
      <w:szCs w:val="20"/>
    </w:rPr>
  </w:style>
  <w:style w:type="paragraph" w:customStyle="1" w:styleId="2fb">
    <w:name w:val="标题样式2"/>
    <w:basedOn w:val="a3"/>
    <w:unhideWhenUsed/>
    <w:qFormat/>
    <w:pPr>
      <w:adjustRightInd w:val="0"/>
      <w:spacing w:line="480" w:lineRule="atLeast"/>
      <w:textAlignment w:val="baseline"/>
    </w:pPr>
    <w:rPr>
      <w:rFonts w:ascii="新宋体" w:eastAsia="仿宋_GB2312" w:hAnsi="新宋体" w:hint="eastAsia"/>
      <w:sz w:val="28"/>
      <w:szCs w:val="20"/>
    </w:rPr>
  </w:style>
  <w:style w:type="paragraph" w:customStyle="1" w:styleId="afffffffff8">
    <w:name w:val="正文样式一"/>
    <w:basedOn w:val="a3"/>
    <w:unhideWhenUsed/>
    <w:qFormat/>
    <w:pPr>
      <w:adjustRightInd w:val="0"/>
      <w:spacing w:line="400" w:lineRule="atLeast"/>
      <w:ind w:firstLine="510"/>
      <w:textAlignment w:val="baseline"/>
    </w:pPr>
    <w:rPr>
      <w:rFonts w:hint="eastAsia"/>
      <w:szCs w:val="20"/>
    </w:rPr>
  </w:style>
  <w:style w:type="paragraph" w:customStyle="1" w:styleId="afffffffff9">
    <w:name w:val="图表名"/>
    <w:basedOn w:val="a3"/>
    <w:unhideWhenUsed/>
    <w:qFormat/>
    <w:pPr>
      <w:adjustRightInd w:val="0"/>
      <w:snapToGrid w:val="0"/>
      <w:jc w:val="center"/>
    </w:pPr>
    <w:rPr>
      <w:rFonts w:eastAsia="黑体" w:hint="eastAsia"/>
      <w:color w:val="000000"/>
      <w:sz w:val="28"/>
      <w:szCs w:val="28"/>
    </w:rPr>
  </w:style>
  <w:style w:type="paragraph" w:customStyle="1" w:styleId="afffffffffa">
    <w:name w:val="表号"/>
    <w:basedOn w:val="a3"/>
    <w:link w:val="Charffa"/>
    <w:unhideWhenUsed/>
    <w:qFormat/>
    <w:pPr>
      <w:adjustRightInd w:val="0"/>
      <w:snapToGrid w:val="0"/>
      <w:ind w:firstLine="480"/>
    </w:pPr>
    <w:rPr>
      <w:rFonts w:hint="eastAsia"/>
      <w:color w:val="000000"/>
      <w:szCs w:val="24"/>
    </w:rPr>
  </w:style>
  <w:style w:type="paragraph" w:customStyle="1" w:styleId="afffffffffb">
    <w:name w:val="样式 样式 表格 + (符号) 宋体 五号 居中 + 小五"/>
    <w:basedOn w:val="a3"/>
    <w:link w:val="Charffb"/>
    <w:unhideWhenUsed/>
    <w:qFormat/>
    <w:pPr>
      <w:kinsoku w:val="0"/>
      <w:overflowPunct w:val="0"/>
      <w:adjustRightInd w:val="0"/>
      <w:snapToGrid w:val="0"/>
      <w:jc w:val="center"/>
    </w:pPr>
    <w:rPr>
      <w:rFonts w:hint="eastAsia"/>
      <w:sz w:val="18"/>
    </w:rPr>
  </w:style>
  <w:style w:type="paragraph" w:customStyle="1" w:styleId="afffffffffc">
    <w:name w:val="样式 表格 + 居中"/>
    <w:basedOn w:val="a3"/>
    <w:unhideWhenUsed/>
    <w:qFormat/>
    <w:pPr>
      <w:kinsoku w:val="0"/>
      <w:overflowPunct w:val="0"/>
      <w:adjustRightInd w:val="0"/>
      <w:snapToGrid w:val="0"/>
      <w:jc w:val="center"/>
    </w:pPr>
    <w:rPr>
      <w:rFonts w:hint="eastAsia"/>
      <w:color w:val="000000"/>
      <w:szCs w:val="24"/>
    </w:rPr>
  </w:style>
  <w:style w:type="paragraph" w:customStyle="1" w:styleId="afffffffffd">
    <w:name w:val="注×："/>
    <w:unhideWhenUsed/>
    <w:qFormat/>
    <w:pPr>
      <w:widowControl w:val="0"/>
      <w:tabs>
        <w:tab w:val="left" w:pos="570"/>
        <w:tab w:val="left" w:pos="630"/>
      </w:tabs>
      <w:autoSpaceDE w:val="0"/>
      <w:autoSpaceDN w:val="0"/>
      <w:ind w:left="570" w:hanging="570"/>
      <w:jc w:val="both"/>
    </w:pPr>
    <w:rPr>
      <w:rFonts w:ascii="宋体" w:hint="eastAsia"/>
      <w:sz w:val="18"/>
    </w:rPr>
  </w:style>
  <w:style w:type="paragraph" w:customStyle="1" w:styleId="afffffffffe">
    <w:name w:val="样式"/>
    <w:basedOn w:val="a3"/>
    <w:next w:val="312"/>
    <w:unhideWhenUsed/>
    <w:qFormat/>
    <w:pPr>
      <w:tabs>
        <w:tab w:val="left" w:pos="6720"/>
      </w:tabs>
      <w:ind w:firstLine="480"/>
    </w:pPr>
    <w:rPr>
      <w:rFonts w:ascii="楷体_GB2312" w:eastAsia="楷体_GB2312" w:hint="eastAsia"/>
      <w:szCs w:val="24"/>
    </w:rPr>
  </w:style>
  <w:style w:type="paragraph" w:customStyle="1" w:styleId="114">
    <w:name w:val="11"/>
    <w:basedOn w:val="a3"/>
    <w:next w:val="1f3"/>
    <w:unhideWhenUsed/>
    <w:qFormat/>
    <w:rPr>
      <w:rFonts w:eastAsia="仿宋_GB2312" w:hint="eastAsia"/>
      <w:szCs w:val="24"/>
    </w:rPr>
  </w:style>
  <w:style w:type="paragraph" w:customStyle="1" w:styleId="219">
    <w:name w:val="样式 正文格式 + 首行缩进:  2 字符1"/>
    <w:basedOn w:val="affffe"/>
    <w:unhideWhenUsed/>
    <w:qFormat/>
    <w:pPr>
      <w:adjustRightInd w:val="0"/>
      <w:snapToGrid w:val="0"/>
      <w:spacing w:line="480" w:lineRule="exact"/>
      <w:ind w:firstLine="560"/>
    </w:pPr>
    <w:rPr>
      <w:rFonts w:cs="宋体"/>
      <w:sz w:val="28"/>
      <w:szCs w:val="20"/>
    </w:rPr>
  </w:style>
  <w:style w:type="paragraph" w:customStyle="1" w:styleId="422222">
    <w:name w:val="样式 样式 样式 标题4 + 加粗 首行缩进:  2.2 字符 + 首行缩进:  2.2 字符 + 首行缩进:  2 字符"/>
    <w:basedOn w:val="a3"/>
    <w:unhideWhenUsed/>
    <w:qFormat/>
    <w:pPr>
      <w:adjustRightInd w:val="0"/>
      <w:snapToGrid w:val="0"/>
      <w:spacing w:beforeLines="50"/>
    </w:pPr>
    <w:rPr>
      <w:rFonts w:eastAsia="黑体" w:cs="宋体" w:hint="eastAsia"/>
      <w:b/>
      <w:szCs w:val="20"/>
    </w:rPr>
  </w:style>
  <w:style w:type="paragraph" w:customStyle="1" w:styleId="Charffc">
    <w:name w:val="图表名 Char"/>
    <w:basedOn w:val="a3"/>
    <w:unhideWhenUsed/>
    <w:qFormat/>
    <w:pPr>
      <w:adjustRightInd w:val="0"/>
      <w:snapToGrid w:val="0"/>
      <w:jc w:val="center"/>
    </w:pPr>
    <w:rPr>
      <w:rFonts w:eastAsia="黑体" w:hint="eastAsia"/>
      <w:szCs w:val="24"/>
    </w:rPr>
  </w:style>
  <w:style w:type="paragraph" w:customStyle="1" w:styleId="250">
    <w:name w:val="样式 四号 加粗 左 行距: 固定值 25 磅"/>
    <w:basedOn w:val="310"/>
    <w:unhideWhenUsed/>
    <w:qFormat/>
    <w:pPr>
      <w:spacing w:beforeLines="0" w:afterLines="0" w:line="400" w:lineRule="exact"/>
      <w:ind w:firstLineChars="64" w:firstLine="180"/>
      <w:jc w:val="left"/>
    </w:pPr>
    <w:rPr>
      <w:rFonts w:ascii="仿宋_GB2312" w:eastAsia="仿宋_GB2312" w:cs="宋体"/>
      <w:sz w:val="28"/>
      <w:szCs w:val="20"/>
      <w:lang w:val="zh-CN"/>
    </w:rPr>
  </w:style>
  <w:style w:type="paragraph" w:customStyle="1" w:styleId="74">
    <w:name w:val="7"/>
    <w:basedOn w:val="a3"/>
    <w:next w:val="1b"/>
    <w:unhideWhenUsed/>
    <w:qFormat/>
    <w:pPr>
      <w:ind w:firstLine="420"/>
    </w:pPr>
    <w:rPr>
      <w:rFonts w:hint="eastAsia"/>
      <w:sz w:val="21"/>
      <w:szCs w:val="24"/>
    </w:rPr>
  </w:style>
  <w:style w:type="paragraph" w:customStyle="1" w:styleId="10115">
    <w:name w:val="样式 小四 首行缩进:  1.01 厘米 行距: 1.5 倍行距"/>
    <w:basedOn w:val="a3"/>
    <w:link w:val="10115Char"/>
    <w:unhideWhenUsed/>
    <w:qFormat/>
    <w:pPr>
      <w:adjustRightInd w:val="0"/>
      <w:ind w:firstLine="570"/>
      <w:jc w:val="left"/>
      <w:textAlignment w:val="baseline"/>
    </w:pPr>
    <w:rPr>
      <w:rFonts w:hint="eastAsia"/>
      <w:szCs w:val="20"/>
    </w:rPr>
  </w:style>
  <w:style w:type="paragraph" w:customStyle="1" w:styleId="3-3">
    <w:name w:val="标题3-3"/>
    <w:basedOn w:val="310"/>
    <w:unhideWhenUsed/>
    <w:qFormat/>
    <w:pPr>
      <w:keepNext w:val="0"/>
      <w:tabs>
        <w:tab w:val="left" w:pos="1260"/>
      </w:tabs>
      <w:adjustRightInd w:val="0"/>
      <w:spacing w:before="50" w:afterLines="25"/>
      <w:ind w:left="1260" w:firstLineChars="0" w:hanging="420"/>
      <w:jc w:val="left"/>
      <w:textAlignment w:val="baseline"/>
    </w:pPr>
    <w:rPr>
      <w:rFonts w:ascii="Arial" w:eastAsia="黑体" w:hAnsi="Arial"/>
      <w:b w:val="0"/>
      <w:color w:val="000000"/>
      <w:sz w:val="24"/>
      <w:szCs w:val="24"/>
    </w:rPr>
  </w:style>
  <w:style w:type="paragraph" w:customStyle="1" w:styleId="affffffffff">
    <w:name w:val="表名"/>
    <w:basedOn w:val="a3"/>
    <w:link w:val="Charffd"/>
    <w:unhideWhenUsed/>
    <w:qFormat/>
    <w:pPr>
      <w:keepNext/>
      <w:jc w:val="center"/>
    </w:pPr>
    <w:rPr>
      <w:rFonts w:ascii="宋体" w:hint="eastAsia"/>
      <w:b/>
      <w:szCs w:val="20"/>
    </w:rPr>
  </w:style>
  <w:style w:type="paragraph" w:customStyle="1" w:styleId="xl22">
    <w:name w:val="xl2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int="eastAsia"/>
      <w:sz w:val="21"/>
    </w:rPr>
  </w:style>
  <w:style w:type="paragraph" w:customStyle="1" w:styleId="94">
    <w:name w:val="9"/>
    <w:basedOn w:val="a3"/>
    <w:next w:val="af4"/>
    <w:unhideWhenUsed/>
    <w:qFormat/>
    <w:pPr>
      <w:spacing w:line="460" w:lineRule="exact"/>
      <w:ind w:firstLine="480"/>
    </w:pPr>
    <w:rPr>
      <w:rFonts w:ascii="宋体" w:hAnsi="宋体" w:hint="eastAsia"/>
      <w:szCs w:val="24"/>
    </w:rPr>
  </w:style>
  <w:style w:type="paragraph" w:customStyle="1" w:styleId="affffffffff0">
    <w:name w:val="表文"/>
    <w:unhideWhenUsed/>
    <w:qFormat/>
    <w:pPr>
      <w:spacing w:line="500" w:lineRule="exact"/>
      <w:jc w:val="both"/>
    </w:pPr>
    <w:rPr>
      <w:rFonts w:eastAsia="楷体_GB2312" w:hint="eastAsia"/>
      <w:sz w:val="28"/>
    </w:rPr>
  </w:style>
  <w:style w:type="paragraph" w:customStyle="1" w:styleId="1111">
    <w:name w:val="正文111"/>
    <w:basedOn w:val="1b"/>
    <w:unhideWhenUsed/>
    <w:qFormat/>
    <w:pPr>
      <w:spacing w:afterLines="25"/>
      <w:ind w:firstLine="200"/>
    </w:pPr>
    <w:rPr>
      <w:sz w:val="24"/>
      <w:szCs w:val="24"/>
    </w:rPr>
  </w:style>
  <w:style w:type="paragraph" w:customStyle="1" w:styleId="affffffffff1">
    <w:name w:val="段"/>
    <w:unhideWhenUsed/>
    <w:qFormat/>
    <w:pPr>
      <w:autoSpaceDE w:val="0"/>
      <w:autoSpaceDN w:val="0"/>
      <w:ind w:firstLineChars="200" w:firstLine="200"/>
      <w:jc w:val="both"/>
    </w:pPr>
    <w:rPr>
      <w:rFonts w:ascii="宋体" w:hint="eastAsia"/>
      <w:sz w:val="21"/>
    </w:rPr>
  </w:style>
  <w:style w:type="paragraph" w:customStyle="1" w:styleId="affffffffff2">
    <w:name w:val="表、图名"/>
    <w:basedOn w:val="a3"/>
    <w:link w:val="Charffe"/>
    <w:unhideWhenUsed/>
    <w:qFormat/>
    <w:pPr>
      <w:adjustRightInd w:val="0"/>
      <w:snapToGrid w:val="0"/>
      <w:spacing w:line="400" w:lineRule="exact"/>
      <w:ind w:left="-6" w:firstLine="482"/>
    </w:pPr>
    <w:rPr>
      <w:rFonts w:ascii="宋体" w:hAnsi="宋体" w:hint="eastAsia"/>
      <w:b/>
      <w:color w:val="000000"/>
      <w:szCs w:val="24"/>
    </w:rPr>
  </w:style>
  <w:style w:type="paragraph" w:customStyle="1" w:styleId="6Char0">
    <w:name w:val="6 Char"/>
    <w:basedOn w:val="a3"/>
    <w:unhideWhenUsed/>
    <w:qFormat/>
    <w:rPr>
      <w:rFonts w:hint="eastAsia"/>
      <w:sz w:val="21"/>
      <w:szCs w:val="24"/>
    </w:rPr>
  </w:style>
  <w:style w:type="paragraph" w:customStyle="1" w:styleId="affffffffff3">
    <w:name w:val="正文(首行缩进)"/>
    <w:basedOn w:val="a3"/>
    <w:link w:val="Charfff"/>
    <w:unhideWhenUsed/>
    <w:qFormat/>
    <w:pPr>
      <w:tabs>
        <w:tab w:val="left" w:pos="4584"/>
      </w:tabs>
      <w:adjustRightInd w:val="0"/>
      <w:snapToGrid w:val="0"/>
    </w:pPr>
    <w:rPr>
      <w:rFonts w:hint="eastAsia"/>
      <w:szCs w:val="24"/>
    </w:rPr>
  </w:style>
  <w:style w:type="paragraph" w:customStyle="1" w:styleId="6CharCharCharCharCharChar1Char">
    <w:name w:val="6 Char Char Char Char Char Char1 Char"/>
    <w:basedOn w:val="a3"/>
    <w:unhideWhenUsed/>
    <w:qFormat/>
    <w:rPr>
      <w:rFonts w:hint="eastAsia"/>
      <w:sz w:val="21"/>
    </w:rPr>
  </w:style>
  <w:style w:type="paragraph" w:customStyle="1" w:styleId="64">
    <w:name w:val="样式6"/>
    <w:basedOn w:val="a3"/>
    <w:link w:val="6Char1"/>
    <w:unhideWhenUsed/>
    <w:qFormat/>
    <w:pPr>
      <w:ind w:firstLineChars="197" w:firstLine="527"/>
    </w:pPr>
    <w:rPr>
      <w:rFonts w:ascii="宋体" w:hAnsi="宋体" w:hint="eastAsia"/>
      <w:color w:val="FF0000"/>
      <w:szCs w:val="24"/>
    </w:rPr>
  </w:style>
  <w:style w:type="paragraph" w:customStyle="1" w:styleId="ParaCharCharCharCharChar">
    <w:name w:val="默认段落字体 Para Char Char Char Char Char"/>
    <w:basedOn w:val="a3"/>
    <w:unhideWhenUsed/>
    <w:qFormat/>
    <w:rPr>
      <w:rFonts w:hint="eastAsia"/>
      <w:sz w:val="21"/>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unhideWhenUsed/>
    <w:qFormat/>
    <w:pPr>
      <w:spacing w:line="240" w:lineRule="exact"/>
    </w:pPr>
    <w:rPr>
      <w:rFonts w:ascii="宋体" w:hAnsi="宋体" w:cs="宋体" w:hint="eastAsia"/>
      <w:szCs w:val="24"/>
    </w:rPr>
  </w:style>
  <w:style w:type="paragraph" w:customStyle="1" w:styleId="L">
    <w:name w:val="L正文"/>
    <w:basedOn w:val="a3"/>
    <w:link w:val="LChar"/>
    <w:unhideWhenUsed/>
    <w:qFormat/>
    <w:pPr>
      <w:autoSpaceDE w:val="0"/>
      <w:autoSpaceDN w:val="0"/>
      <w:adjustRightInd w:val="0"/>
      <w:snapToGrid w:val="0"/>
    </w:pPr>
    <w:rPr>
      <w:rFonts w:hint="eastAsia"/>
      <w:sz w:val="26"/>
      <w:szCs w:val="26"/>
    </w:rPr>
  </w:style>
  <w:style w:type="paragraph" w:customStyle="1" w:styleId="affffffffff4">
    <w:name w:val="热电厂正文"/>
    <w:basedOn w:val="a3"/>
    <w:link w:val="Charfff0"/>
    <w:unhideWhenUsed/>
    <w:qFormat/>
    <w:pPr>
      <w:spacing w:line="440" w:lineRule="exact"/>
      <w:ind w:firstLine="480"/>
    </w:pPr>
    <w:rPr>
      <w:rFonts w:hint="eastAsia"/>
      <w:szCs w:val="24"/>
    </w:rPr>
  </w:style>
  <w:style w:type="paragraph" w:customStyle="1" w:styleId="affffffffff5">
    <w:name w:val="报告正文"/>
    <w:basedOn w:val="a3"/>
    <w:link w:val="Charfff1"/>
    <w:unhideWhenUsed/>
    <w:qFormat/>
    <w:pPr>
      <w:ind w:firstLineChars="192" w:firstLine="538"/>
    </w:pPr>
    <w:rPr>
      <w:rFonts w:eastAsia="仿宋_GB2312" w:hint="eastAsia"/>
      <w:sz w:val="28"/>
      <w:szCs w:val="24"/>
    </w:rPr>
  </w:style>
  <w:style w:type="paragraph" w:customStyle="1" w:styleId="008">
    <w:name w:val="008"/>
    <w:basedOn w:val="a3"/>
    <w:link w:val="008Char"/>
    <w:unhideWhenUsed/>
    <w:qFormat/>
    <w:pPr>
      <w:adjustRightInd w:val="0"/>
      <w:ind w:firstLine="560"/>
    </w:pPr>
    <w:rPr>
      <w:rFonts w:ascii="宋体" w:hAnsi="宋体" w:hint="eastAsia"/>
      <w:sz w:val="28"/>
      <w:szCs w:val="20"/>
    </w:rPr>
  </w:style>
  <w:style w:type="paragraph" w:customStyle="1" w:styleId="affffffffff6">
    <w:name w:val="表题"/>
    <w:basedOn w:val="1c"/>
    <w:link w:val="Char16"/>
    <w:unhideWhenUsed/>
    <w:qFormat/>
    <w:pPr>
      <w:tabs>
        <w:tab w:val="left" w:pos="720"/>
      </w:tabs>
      <w:jc w:val="center"/>
    </w:pPr>
    <w:rPr>
      <w:rFonts w:ascii="Times New Roman" w:eastAsia="宋体" w:hAnsi="Times New Roman"/>
      <w:b/>
      <w:sz w:val="21"/>
      <w:szCs w:val="21"/>
    </w:rPr>
  </w:style>
  <w:style w:type="paragraph" w:customStyle="1" w:styleId="xl23">
    <w:name w:val="xl23"/>
    <w:basedOn w:val="a3"/>
    <w:unhideWhenUsed/>
    <w:qFormat/>
    <w:pPr>
      <w:widowControl/>
      <w:spacing w:before="100" w:beforeAutospacing="1" w:after="100" w:afterAutospacing="1"/>
      <w:jc w:val="center"/>
    </w:pPr>
    <w:rPr>
      <w:rFonts w:ascii="宋体" w:hAnsi="宋体" w:hint="eastAsia"/>
      <w:szCs w:val="24"/>
    </w:rPr>
  </w:style>
  <w:style w:type="paragraph" w:customStyle="1" w:styleId="affffffffff7">
    <w:name w:val="报告文字"/>
    <w:basedOn w:val="a3"/>
    <w:link w:val="Char24"/>
    <w:unhideWhenUsed/>
    <w:qFormat/>
    <w:pPr>
      <w:adjustRightInd w:val="0"/>
      <w:snapToGrid w:val="0"/>
      <w:ind w:firstLine="560"/>
      <w:outlineLvl w:val="2"/>
    </w:pPr>
    <w:rPr>
      <w:rFonts w:ascii="仿宋_GB2312" w:eastAsia="仿宋_GB2312" w:hint="eastAsia"/>
      <w:sz w:val="28"/>
      <w:szCs w:val="24"/>
    </w:rPr>
  </w:style>
  <w:style w:type="paragraph" w:customStyle="1" w:styleId="12CharCharCharChar">
    <w:name w:val="12 Char Char Char Char"/>
    <w:basedOn w:val="a3"/>
    <w:unhideWhenUsed/>
    <w:qFormat/>
    <w:pPr>
      <w:jc w:val="left"/>
    </w:pPr>
    <w:rPr>
      <w:rFonts w:ascii="宋体" w:hAnsi="宋体" w:hint="eastAsia"/>
      <w:position w:val="-6"/>
      <w:sz w:val="28"/>
      <w:szCs w:val="20"/>
      <w:u w:val="single"/>
    </w:rPr>
  </w:style>
  <w:style w:type="paragraph" w:customStyle="1" w:styleId="icsptext">
    <w:name w:val="icsp_text"/>
    <w:basedOn w:val="a3"/>
    <w:unhideWhenUsed/>
    <w:qFormat/>
    <w:pPr>
      <w:adjustRightInd w:val="0"/>
      <w:snapToGrid w:val="0"/>
      <w:spacing w:line="480" w:lineRule="exact"/>
      <w:ind w:firstLineChars="225" w:firstLine="540"/>
    </w:pPr>
    <w:rPr>
      <w:rFonts w:ascii="宋体" w:hAnsi="宋体" w:cs="Arial Unicode MS" w:hint="eastAsia"/>
      <w:szCs w:val="24"/>
    </w:rPr>
  </w:style>
  <w:style w:type="paragraph" w:customStyle="1" w:styleId="L0">
    <w:name w:val="L表格文字"/>
    <w:basedOn w:val="a3"/>
    <w:unhideWhenUsed/>
    <w:qFormat/>
    <w:pPr>
      <w:adjustRightInd w:val="0"/>
      <w:snapToGrid w:val="0"/>
      <w:jc w:val="center"/>
    </w:pPr>
    <w:rPr>
      <w:rFonts w:cs="宋体" w:hint="eastAsia"/>
      <w:sz w:val="26"/>
      <w:szCs w:val="26"/>
    </w:rPr>
  </w:style>
  <w:style w:type="paragraph" w:customStyle="1" w:styleId="6CharCharCharCharCharCharCharCharCharCharCharCharChar">
    <w:name w:val="6 Char Char Char Char Char Char Char Char Char Char Char Char Char"/>
    <w:basedOn w:val="a3"/>
    <w:unhideWhenUsed/>
    <w:qFormat/>
    <w:rPr>
      <w:rFonts w:hint="eastAsia"/>
      <w:sz w:val="21"/>
      <w:szCs w:val="24"/>
    </w:rPr>
  </w:style>
  <w:style w:type="paragraph" w:customStyle="1" w:styleId="CharCharCharCharCharCharCharCharChar1CharCharCharChar">
    <w:name w:val="Char Char Char Char Char Char Char Char Char1 Char Char Char Char"/>
    <w:basedOn w:val="a3"/>
    <w:unhideWhenUsed/>
    <w:qFormat/>
    <w:rPr>
      <w:rFonts w:ascii="宋体" w:hAnsi="宋体" w:cs="宋体" w:hint="eastAsia"/>
      <w:szCs w:val="26"/>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3"/>
    <w:unhideWhenUsed/>
    <w:qFormat/>
    <w:rPr>
      <w:rFonts w:hint="eastAsia"/>
      <w:sz w:val="21"/>
      <w:szCs w:val="24"/>
    </w:rPr>
  </w:style>
  <w:style w:type="paragraph" w:customStyle="1" w:styleId="affffffffff8">
    <w:name w:val="表格内正文"/>
    <w:unhideWhenUsed/>
    <w:qFormat/>
    <w:pPr>
      <w:widowControl w:val="0"/>
      <w:jc w:val="center"/>
    </w:pPr>
    <w:rPr>
      <w:rFonts w:hint="eastAsia"/>
      <w:kern w:val="2"/>
      <w:sz w:val="21"/>
      <w:szCs w:val="21"/>
    </w:rPr>
  </w:style>
  <w:style w:type="paragraph" w:customStyle="1" w:styleId="84">
    <w:name w:val="样式8"/>
    <w:basedOn w:val="a3"/>
    <w:link w:val="8Char1"/>
    <w:unhideWhenUsed/>
    <w:qFormat/>
    <w:pPr>
      <w:ind w:firstLine="499"/>
    </w:pPr>
    <w:rPr>
      <w:rFonts w:ascii="宋体" w:hint="eastAsia"/>
      <w:szCs w:val="20"/>
    </w:rPr>
  </w:style>
  <w:style w:type="paragraph" w:customStyle="1" w:styleId="-0232">
    <w:name w:val="样式 左侧:  -0.23 厘米 首行缩进:  2 字符"/>
    <w:basedOn w:val="a3"/>
    <w:unhideWhenUsed/>
    <w:qFormat/>
    <w:pPr>
      <w:adjustRightInd w:val="0"/>
      <w:snapToGrid w:val="0"/>
    </w:pPr>
    <w:rPr>
      <w:rFonts w:hint="eastAsia"/>
      <w:sz w:val="28"/>
      <w:szCs w:val="28"/>
    </w:rPr>
  </w:style>
  <w:style w:type="paragraph" w:customStyle="1" w:styleId="CharCharCharChar1CharCharChar">
    <w:name w:val="Char Char Char Char1 Char Char Char"/>
    <w:basedOn w:val="a3"/>
    <w:unhideWhenUsed/>
    <w:qFormat/>
    <w:rPr>
      <w:rFonts w:hint="eastAsia"/>
      <w:sz w:val="21"/>
      <w:szCs w:val="20"/>
    </w:rPr>
  </w:style>
  <w:style w:type="paragraph" w:customStyle="1" w:styleId="12CharCharCharCharCharCharChar">
    <w:name w:val="12 Char Char Char Char Char Char Char"/>
    <w:basedOn w:val="a3"/>
    <w:unhideWhenUsed/>
    <w:qFormat/>
    <w:pPr>
      <w:jc w:val="left"/>
    </w:pPr>
    <w:rPr>
      <w:rFonts w:ascii="宋体" w:hAnsi="宋体" w:hint="eastAsia"/>
      <w:position w:val="-6"/>
      <w:sz w:val="28"/>
      <w:szCs w:val="20"/>
      <w:u w:val="single"/>
    </w:rPr>
  </w:style>
  <w:style w:type="paragraph" w:customStyle="1" w:styleId="gchh">
    <w:name w:val="gchh"/>
    <w:unhideWhenUsed/>
    <w:qFormat/>
    <w:pPr>
      <w:widowControl w:val="0"/>
      <w:tabs>
        <w:tab w:val="left" w:pos="567"/>
      </w:tabs>
      <w:adjustRightInd w:val="0"/>
      <w:snapToGrid w:val="0"/>
      <w:spacing w:line="400" w:lineRule="atLeast"/>
      <w:jc w:val="both"/>
    </w:pPr>
    <w:rPr>
      <w:rFonts w:ascii="宋体" w:hint="eastAsia"/>
      <w:color w:val="000000"/>
      <w:kern w:val="2"/>
      <w:sz w:val="24"/>
    </w:rPr>
  </w:style>
  <w:style w:type="paragraph" w:customStyle="1" w:styleId="05">
    <w:name w:val="正文0"/>
    <w:basedOn w:val="a3"/>
    <w:next w:val="a3"/>
    <w:unhideWhenUsed/>
    <w:qFormat/>
    <w:rPr>
      <w:rFonts w:hint="eastAsia"/>
      <w:szCs w:val="24"/>
    </w:rPr>
  </w:style>
  <w:style w:type="paragraph" w:customStyle="1" w:styleId="affffffffff9">
    <w:name w:val="正文样板"/>
    <w:basedOn w:val="a3"/>
    <w:link w:val="Charfff2"/>
    <w:unhideWhenUsed/>
    <w:qFormat/>
    <w:pPr>
      <w:adjustRightInd w:val="0"/>
      <w:snapToGrid w:val="0"/>
      <w:spacing w:line="326" w:lineRule="auto"/>
      <w:ind w:firstLineChars="198" w:firstLine="578"/>
    </w:pPr>
    <w:rPr>
      <w:rFonts w:hint="eastAsia"/>
      <w:color w:val="000000"/>
      <w:spacing w:val="6"/>
      <w:sz w:val="28"/>
      <w:szCs w:val="28"/>
    </w:rPr>
  </w:style>
  <w:style w:type="paragraph" w:customStyle="1" w:styleId="CharCharChar3">
    <w:name w:val="Char Char Char3"/>
    <w:basedOn w:val="a3"/>
    <w:unhideWhenUsed/>
    <w:qFormat/>
    <w:rPr>
      <w:rFonts w:hint="eastAsia"/>
      <w:sz w:val="21"/>
      <w:szCs w:val="24"/>
    </w:rPr>
  </w:style>
  <w:style w:type="paragraph" w:customStyle="1" w:styleId="affffffffffa">
    <w:name w:val="标题三"/>
    <w:basedOn w:val="a3"/>
    <w:unhideWhenUsed/>
    <w:qFormat/>
    <w:pPr>
      <w:jc w:val="left"/>
      <w:outlineLvl w:val="0"/>
    </w:pPr>
    <w:rPr>
      <w:rFonts w:eastAsia="黑体" w:hint="eastAsia"/>
      <w:color w:val="000000"/>
      <w:sz w:val="30"/>
      <w:szCs w:val="32"/>
    </w:rPr>
  </w:style>
  <w:style w:type="paragraph" w:customStyle="1" w:styleId="CharCharChar1CharCharChar">
    <w:name w:val="Char Char Char1 Char Char Char"/>
    <w:basedOn w:val="a3"/>
    <w:unhideWhenUsed/>
    <w:qFormat/>
    <w:rPr>
      <w:rFonts w:hint="eastAsia"/>
      <w:sz w:val="21"/>
      <w:szCs w:val="24"/>
    </w:rPr>
  </w:style>
  <w:style w:type="paragraph" w:customStyle="1" w:styleId="Charfff3">
    <w:name w:val="Char 正文"/>
    <w:basedOn w:val="110"/>
    <w:unhideWhenUsed/>
    <w:qFormat/>
    <w:pPr>
      <w:snapToGrid w:val="0"/>
      <w:spacing w:beforeLines="0" w:afterLines="0" w:line="348" w:lineRule="auto"/>
      <w:ind w:firstLineChars="0" w:firstLine="0"/>
    </w:pPr>
    <w:rPr>
      <w:rFonts w:ascii="Tahoma" w:hAnsi="Tahoma"/>
      <w:sz w:val="24"/>
      <w:szCs w:val="20"/>
    </w:rPr>
  </w:style>
  <w:style w:type="paragraph" w:customStyle="1" w:styleId="211112h2l22ndlevelTitre2Header2H2UNDERR">
    <w:name w:val="样式 标题 2节标题 1.11.1标题2h2l22nd levelTitre2Header 2H2UNDERR..."/>
    <w:basedOn w:val="213"/>
    <w:unhideWhenUsed/>
    <w:qFormat/>
    <w:pPr>
      <w:keepNext w:val="0"/>
      <w:tabs>
        <w:tab w:val="left" w:pos="0"/>
        <w:tab w:val="left" w:pos="1322"/>
      </w:tabs>
      <w:adjustRightInd w:val="0"/>
      <w:snapToGrid w:val="0"/>
      <w:spacing w:beforeLines="0" w:afterLines="0" w:line="440" w:lineRule="atLeast"/>
      <w:ind w:firstLineChars="0" w:firstLine="0"/>
    </w:pPr>
    <w:rPr>
      <w:rFonts w:ascii="黑体" w:eastAsia="黑体" w:cs="宋体"/>
      <w:b w:val="0"/>
      <w:sz w:val="24"/>
      <w:szCs w:val="20"/>
    </w:rPr>
  </w:style>
  <w:style w:type="paragraph" w:customStyle="1" w:styleId="12Char">
    <w:name w:val="12 Char"/>
    <w:basedOn w:val="a3"/>
    <w:unhideWhenUsed/>
    <w:qFormat/>
    <w:pPr>
      <w:jc w:val="left"/>
    </w:pPr>
    <w:rPr>
      <w:rFonts w:ascii="宋体" w:hAnsi="宋体" w:hint="eastAsia"/>
      <w:position w:val="-6"/>
      <w:sz w:val="28"/>
      <w:szCs w:val="20"/>
      <w:u w:val="single"/>
    </w:rPr>
  </w:style>
  <w:style w:type="paragraph" w:customStyle="1" w:styleId="DefinitionTerm">
    <w:name w:val="Definition Term"/>
    <w:basedOn w:val="a3"/>
    <w:next w:val="DefinitionList"/>
    <w:unhideWhenUsed/>
    <w:qFormat/>
    <w:pPr>
      <w:autoSpaceDE w:val="0"/>
      <w:autoSpaceDN w:val="0"/>
      <w:adjustRightInd w:val="0"/>
      <w:jc w:val="left"/>
    </w:pPr>
    <w:rPr>
      <w:rFonts w:hint="eastAsia"/>
      <w:szCs w:val="20"/>
    </w:rPr>
  </w:style>
  <w:style w:type="paragraph" w:customStyle="1" w:styleId="DefinitionList">
    <w:name w:val="Definition List"/>
    <w:basedOn w:val="a3"/>
    <w:next w:val="DefinitionTerm"/>
    <w:unhideWhenUsed/>
    <w:qFormat/>
    <w:pPr>
      <w:autoSpaceDE w:val="0"/>
      <w:autoSpaceDN w:val="0"/>
      <w:adjustRightInd w:val="0"/>
      <w:ind w:left="360"/>
      <w:jc w:val="left"/>
    </w:pPr>
    <w:rPr>
      <w:rFonts w:hint="eastAsia"/>
      <w:szCs w:val="20"/>
    </w:rPr>
  </w:style>
  <w:style w:type="paragraph" w:customStyle="1" w:styleId="affffffffffb">
    <w:name w:val="节正文"/>
    <w:basedOn w:val="a3"/>
    <w:unhideWhenUsed/>
    <w:qFormat/>
    <w:pPr>
      <w:spacing w:beforeLines="20" w:afterLines="20"/>
      <w:ind w:leftChars="100" w:left="100"/>
    </w:pPr>
    <w:rPr>
      <w:rFonts w:hint="eastAsia"/>
      <w:szCs w:val="20"/>
    </w:rPr>
  </w:style>
  <w:style w:type="paragraph" w:customStyle="1" w:styleId="s422">
    <w:name w:val="样式 样式 正文缩进s4 + 首行缩进:  2 字符 + 首行缩进:  2 字符"/>
    <w:basedOn w:val="a3"/>
    <w:unhideWhenUsed/>
    <w:qFormat/>
    <w:pPr>
      <w:adjustRightInd w:val="0"/>
      <w:snapToGrid w:val="0"/>
      <w:spacing w:line="336" w:lineRule="auto"/>
      <w:ind w:firstLineChars="227" w:firstLine="545"/>
    </w:pPr>
    <w:rPr>
      <w:rFonts w:ascii="宋体" w:hAnsi="宋体" w:hint="eastAsia"/>
      <w:color w:val="000000"/>
      <w:sz w:val="28"/>
      <w:szCs w:val="20"/>
    </w:rPr>
  </w:style>
  <w:style w:type="paragraph" w:customStyle="1" w:styleId="CharCharChar1CharCharCharCharCharCharChar">
    <w:name w:val="Char Char Char1 Char Char Char Char Char Char Char"/>
    <w:basedOn w:val="a3"/>
    <w:unhideWhenUsed/>
    <w:qFormat/>
    <w:rPr>
      <w:rFonts w:hint="eastAsia"/>
      <w:sz w:val="21"/>
      <w:szCs w:val="20"/>
    </w:rPr>
  </w:style>
  <w:style w:type="paragraph" w:customStyle="1" w:styleId="affffffffffc">
    <w:name w:val="表内式样"/>
    <w:unhideWhenUsed/>
    <w:qFormat/>
    <w:pPr>
      <w:keepLines/>
      <w:widowControl w:val="0"/>
      <w:kinsoku w:val="0"/>
      <w:overflowPunct w:val="0"/>
      <w:adjustRightInd w:val="0"/>
      <w:jc w:val="center"/>
    </w:pPr>
    <w:rPr>
      <w:rFonts w:ascii="宋体" w:hint="eastAsia"/>
      <w:sz w:val="21"/>
    </w:rPr>
  </w:style>
  <w:style w:type="paragraph" w:customStyle="1" w:styleId="1ff6">
    <w:name w:val="分目录1"/>
    <w:basedOn w:val="a3"/>
    <w:link w:val="1Char4"/>
    <w:unhideWhenUsed/>
    <w:qFormat/>
    <w:pPr>
      <w:tabs>
        <w:tab w:val="right" w:leader="dot" w:pos="8304"/>
      </w:tabs>
      <w:adjustRightInd w:val="0"/>
      <w:snapToGrid w:val="0"/>
    </w:pPr>
    <w:rPr>
      <w:rFonts w:hint="eastAsia"/>
      <w:sz w:val="28"/>
      <w:szCs w:val="20"/>
    </w:rPr>
  </w:style>
  <w:style w:type="paragraph" w:customStyle="1" w:styleId="85">
    <w:name w:val="样式 首行缩进:  8 字符"/>
    <w:basedOn w:val="a3"/>
    <w:next w:val="a3"/>
    <w:unhideWhenUsed/>
    <w:qFormat/>
    <w:pPr>
      <w:ind w:firstLineChars="800" w:firstLine="800"/>
    </w:pPr>
    <w:rPr>
      <w:rFonts w:hint="eastAsia"/>
      <w:b/>
      <w:szCs w:val="20"/>
    </w:rPr>
  </w:style>
  <w:style w:type="paragraph" w:customStyle="1" w:styleId="6CharCharCharCharCharChar1CharCharCharCharCharCharChar">
    <w:name w:val="6 Char Char Char Char Char Char1 Char Char Char Char Char Char Char"/>
    <w:basedOn w:val="a3"/>
    <w:unhideWhenUsed/>
    <w:qFormat/>
    <w:rPr>
      <w:rFonts w:hint="eastAsia"/>
      <w:sz w:val="21"/>
      <w:szCs w:val="20"/>
    </w:rPr>
  </w:style>
  <w:style w:type="paragraph" w:customStyle="1" w:styleId="06">
    <w:name w:val="0"/>
    <w:basedOn w:val="a3"/>
    <w:link w:val="0Char"/>
    <w:unhideWhenUsed/>
    <w:qFormat/>
    <w:pPr>
      <w:widowControl/>
      <w:spacing w:line="425" w:lineRule="atLeast"/>
      <w:textAlignment w:val="baseline"/>
    </w:pPr>
    <w:rPr>
      <w:rFonts w:hint="eastAsia"/>
      <w:color w:val="000000"/>
      <w:sz w:val="21"/>
      <w:szCs w:val="20"/>
    </w:rPr>
  </w:style>
  <w:style w:type="paragraph" w:customStyle="1" w:styleId="420">
    <w:name w:val="样式 标题 4 + 首行缩进:  2 字符"/>
    <w:basedOn w:val="410"/>
    <w:unhideWhenUsed/>
    <w:qFormat/>
    <w:pPr>
      <w:keepNext w:val="0"/>
      <w:tabs>
        <w:tab w:val="left" w:pos="2880"/>
      </w:tabs>
      <w:topLinePunct/>
      <w:snapToGrid w:val="0"/>
      <w:spacing w:before="163" w:afterLines="0" w:line="460" w:lineRule="exact"/>
      <w:ind w:firstLineChars="0" w:firstLine="0"/>
    </w:pPr>
    <w:rPr>
      <w:rFonts w:eastAsia="黑体" w:cs="宋体"/>
      <w:sz w:val="26"/>
      <w:szCs w:val="20"/>
    </w:rPr>
  </w:style>
  <w:style w:type="paragraph" w:customStyle="1" w:styleId="CharCharCharCharChar2">
    <w:name w:val="Char Char Char Char Char2"/>
    <w:basedOn w:val="a3"/>
    <w:unhideWhenUsed/>
    <w:qFormat/>
    <w:rPr>
      <w:rFonts w:hint="eastAsia"/>
      <w:sz w:val="21"/>
      <w:szCs w:val="24"/>
    </w:rPr>
  </w:style>
  <w:style w:type="paragraph" w:customStyle="1" w:styleId="115">
    <w:name w:val="样式 四号 首行缩进:  1 厘米 行距: 1.5 倍行距"/>
    <w:basedOn w:val="a3"/>
    <w:unhideWhenUsed/>
    <w:qFormat/>
    <w:rPr>
      <w:rFonts w:ascii="宋体" w:cs="宋体" w:hint="eastAsia"/>
      <w:sz w:val="28"/>
      <w:szCs w:val="20"/>
    </w:rPr>
  </w:style>
  <w:style w:type="paragraph" w:customStyle="1" w:styleId="1112">
    <w:name w:val="表头111"/>
    <w:basedOn w:val="1ff"/>
    <w:unhideWhenUsed/>
    <w:qFormat/>
    <w:pPr>
      <w:spacing w:line="500" w:lineRule="exact"/>
      <w:ind w:firstLineChars="200" w:firstLine="420"/>
      <w:jc w:val="left"/>
    </w:pPr>
    <w:rPr>
      <w:color w:val="000000"/>
      <w:sz w:val="21"/>
    </w:rPr>
  </w:style>
  <w:style w:type="paragraph" w:customStyle="1" w:styleId="affffffffffd">
    <w:name w:val="格格"/>
    <w:basedOn w:val="1ff"/>
    <w:unhideWhenUsed/>
    <w:qFormat/>
    <w:pPr>
      <w:snapToGrid w:val="0"/>
      <w:spacing w:line="280" w:lineRule="exact"/>
      <w:ind w:leftChars="-50" w:left="-50" w:rightChars="-50" w:right="-50" w:firstLineChars="0" w:firstLine="0"/>
      <w:jc w:val="center"/>
    </w:pPr>
    <w:rPr>
      <w:color w:val="000000"/>
      <w:sz w:val="21"/>
      <w:szCs w:val="21"/>
    </w:rPr>
  </w:style>
  <w:style w:type="paragraph" w:customStyle="1" w:styleId="1ff7">
    <w:name w:val="插图1"/>
    <w:basedOn w:val="a3"/>
    <w:unhideWhenUsed/>
    <w:qFormat/>
    <w:pPr>
      <w:jc w:val="center"/>
    </w:pPr>
    <w:rPr>
      <w:rFonts w:hint="eastAsia"/>
      <w:sz w:val="32"/>
      <w:szCs w:val="24"/>
    </w:rPr>
  </w:style>
  <w:style w:type="paragraph" w:customStyle="1" w:styleId="318">
    <w:name w:val="样式 标题3 + 小四 加粗 黑色 左侧:  1.8 字符"/>
    <w:basedOn w:val="3c"/>
    <w:unhideWhenUsed/>
    <w:qFormat/>
    <w:pPr>
      <w:snapToGrid/>
      <w:spacing w:line="480" w:lineRule="exact"/>
      <w:ind w:leftChars="180" w:left="504" w:firstLine="0"/>
    </w:pPr>
    <w:rPr>
      <w:rFonts w:eastAsia="黑体" w:cs="宋体"/>
      <w:b w:val="0"/>
      <w:color w:val="000000"/>
      <w:sz w:val="30"/>
    </w:rPr>
  </w:style>
  <w:style w:type="paragraph" w:customStyle="1" w:styleId="affffffffffe">
    <w:name w:val="表下注："/>
    <w:basedOn w:val="a3"/>
    <w:unhideWhenUsed/>
    <w:qFormat/>
    <w:pPr>
      <w:keepNext/>
      <w:adjustRightInd w:val="0"/>
      <w:snapToGrid w:val="0"/>
    </w:pPr>
    <w:rPr>
      <w:rFonts w:hint="eastAsia"/>
      <w:sz w:val="21"/>
      <w:szCs w:val="24"/>
    </w:rPr>
  </w:style>
  <w:style w:type="paragraph" w:customStyle="1" w:styleId="afffffffffff">
    <w:name w:val="审签页 审签字"/>
    <w:basedOn w:val="a3"/>
    <w:unhideWhenUsed/>
    <w:qFormat/>
    <w:pPr>
      <w:adjustRightInd w:val="0"/>
      <w:snapToGrid w:val="0"/>
      <w:spacing w:beforeLines="100"/>
      <w:ind w:leftChars="1100" w:left="3080"/>
    </w:pPr>
    <w:rPr>
      <w:rFonts w:eastAsia="楷体_GB2312" w:hint="eastAsia"/>
      <w:sz w:val="30"/>
      <w:szCs w:val="20"/>
    </w:rPr>
  </w:style>
  <w:style w:type="paragraph" w:customStyle="1" w:styleId="1ff8">
    <w:name w:val="标题样式1"/>
    <w:basedOn w:val="12"/>
    <w:unhideWhenUsed/>
    <w:qFormat/>
    <w:pPr>
      <w:widowControl w:val="0"/>
      <w:adjustRightInd w:val="0"/>
      <w:ind w:firstLine="539"/>
      <w:jc w:val="both"/>
      <w:textAlignment w:val="baseline"/>
    </w:pPr>
    <w:rPr>
      <w:szCs w:val="20"/>
    </w:rPr>
  </w:style>
  <w:style w:type="paragraph" w:customStyle="1" w:styleId="3f0">
    <w:name w:val="正文样式3"/>
    <w:basedOn w:val="a3"/>
    <w:unhideWhenUsed/>
    <w:qFormat/>
    <w:pPr>
      <w:keepLines/>
      <w:adjustRightInd w:val="0"/>
      <w:spacing w:line="20" w:lineRule="atLeast"/>
      <w:jc w:val="center"/>
      <w:textAlignment w:val="baseline"/>
    </w:pPr>
    <w:rPr>
      <w:rFonts w:hint="eastAsia"/>
      <w:szCs w:val="20"/>
    </w:rPr>
  </w:style>
  <w:style w:type="paragraph" w:customStyle="1" w:styleId="2fc">
    <w:name w:val="正文样式2"/>
    <w:basedOn w:val="a3"/>
    <w:unhideWhenUsed/>
    <w:qFormat/>
    <w:pPr>
      <w:adjustRightInd w:val="0"/>
      <w:snapToGrid w:val="0"/>
      <w:ind w:firstLine="510"/>
      <w:textAlignment w:val="baseline"/>
    </w:pPr>
    <w:rPr>
      <w:rFonts w:ascii="宋体" w:hint="eastAsia"/>
      <w:kern w:val="24"/>
      <w:szCs w:val="20"/>
    </w:rPr>
  </w:style>
  <w:style w:type="paragraph" w:customStyle="1" w:styleId="afffffffffff0">
    <w:name w:val="报告一"/>
    <w:basedOn w:val="a3"/>
    <w:next w:val="a3"/>
    <w:unhideWhenUsed/>
    <w:qFormat/>
    <w:pPr>
      <w:ind w:firstLineChars="198" w:firstLine="539"/>
      <w:outlineLvl w:val="3"/>
    </w:pPr>
    <w:rPr>
      <w:rFonts w:ascii="仿宋_GB2312" w:eastAsia="仿宋_GB2312" w:hint="eastAsia"/>
      <w:spacing w:val="-4"/>
      <w:sz w:val="28"/>
      <w:szCs w:val="20"/>
    </w:rPr>
  </w:style>
  <w:style w:type="paragraph" w:customStyle="1" w:styleId="08515">
    <w:name w:val="样式 小四 加粗 左侧:  0.85 厘米 行距: 1.5 倍行距"/>
    <w:basedOn w:val="a3"/>
    <w:unhideWhenUsed/>
    <w:qFormat/>
    <w:pPr>
      <w:adjustRightInd w:val="0"/>
      <w:snapToGrid w:val="0"/>
    </w:pPr>
    <w:rPr>
      <w:rFonts w:hint="eastAsia"/>
      <w:b/>
      <w:szCs w:val="20"/>
    </w:rPr>
  </w:style>
  <w:style w:type="paragraph" w:customStyle="1" w:styleId="CharCharCharCharCharCharCharCharChar1CharCharCharChar1">
    <w:name w:val="Char Char Char Char Char Char Char Char Char1 Char Char Char Char1"/>
    <w:basedOn w:val="a3"/>
    <w:unhideWhenUsed/>
    <w:qFormat/>
    <w:rPr>
      <w:rFonts w:ascii="宋体" w:hAnsi="宋体" w:cs="宋体" w:hint="eastAsia"/>
      <w:szCs w:val="26"/>
    </w:rPr>
  </w:style>
  <w:style w:type="paragraph" w:customStyle="1" w:styleId="085">
    <w:name w:val="样式 (符号) 宋体 首行缩进:  0.85 厘米"/>
    <w:basedOn w:val="a3"/>
    <w:unhideWhenUsed/>
    <w:qFormat/>
    <w:pPr>
      <w:spacing w:line="500" w:lineRule="exact"/>
    </w:pPr>
    <w:rPr>
      <w:rFonts w:hAnsi="宋体" w:cs="宋体" w:hint="eastAsia"/>
      <w:szCs w:val="20"/>
    </w:rPr>
  </w:style>
  <w:style w:type="paragraph" w:customStyle="1" w:styleId="12CharCharCharCharCharCharCharCharCharChar">
    <w:name w:val="12 Char Char Char Char Char Char Char Char Char Char"/>
    <w:basedOn w:val="a3"/>
    <w:unhideWhenUsed/>
    <w:qFormat/>
    <w:pPr>
      <w:jc w:val="left"/>
    </w:pPr>
    <w:rPr>
      <w:rFonts w:ascii="宋体" w:hAnsi="宋体" w:hint="eastAsia"/>
      <w:position w:val="-6"/>
      <w:sz w:val="28"/>
      <w:szCs w:val="20"/>
      <w:u w:val="single"/>
    </w:rPr>
  </w:style>
  <w:style w:type="paragraph" w:customStyle="1" w:styleId="CharCharCharCharCharCharCharCharCharCharChar">
    <w:name w:val="Char Char Char Char Char Char Char Char Char Char Char"/>
    <w:basedOn w:val="BodyTextIndent1"/>
    <w:unhideWhenUsed/>
    <w:qFormat/>
    <w:pPr>
      <w:ind w:left="0"/>
    </w:pPr>
  </w:style>
  <w:style w:type="paragraph" w:customStyle="1" w:styleId="afffffffffff1">
    <w:name w:val="表格小"/>
    <w:basedOn w:val="a3"/>
    <w:unhideWhenUsed/>
    <w:qFormat/>
    <w:pPr>
      <w:jc w:val="center"/>
    </w:pPr>
    <w:rPr>
      <w:rFonts w:hint="eastAsia"/>
      <w:sz w:val="18"/>
      <w:szCs w:val="24"/>
    </w:rPr>
  </w:style>
  <w:style w:type="paragraph" w:customStyle="1" w:styleId="afffffffffff2">
    <w:name w:val="表格注"/>
    <w:basedOn w:val="a3"/>
    <w:next w:val="a3"/>
    <w:unhideWhenUsed/>
    <w:qFormat/>
    <w:pPr>
      <w:spacing w:line="240" w:lineRule="exact"/>
      <w:jc w:val="left"/>
    </w:pPr>
    <w:rPr>
      <w:rFonts w:hint="eastAsia"/>
      <w:sz w:val="18"/>
      <w:szCs w:val="24"/>
    </w:rPr>
  </w:style>
  <w:style w:type="paragraph" w:customStyle="1" w:styleId="Char60">
    <w:name w:val="Char6"/>
    <w:basedOn w:val="a3"/>
    <w:unhideWhenUsed/>
    <w:qFormat/>
    <w:rPr>
      <w:rFonts w:ascii="宋体" w:hAnsi="宋体" w:cs="宋体" w:hint="eastAsia"/>
      <w:szCs w:val="24"/>
    </w:rPr>
  </w:style>
  <w:style w:type="paragraph" w:customStyle="1" w:styleId="CharCharCharCharCharChar1Char">
    <w:name w:val="Char Char Char Char Char Char1 Char"/>
    <w:basedOn w:val="a3"/>
    <w:unhideWhenUsed/>
    <w:qFormat/>
    <w:rPr>
      <w:rFonts w:hint="eastAsia"/>
      <w:sz w:val="21"/>
      <w:szCs w:val="24"/>
    </w:rPr>
  </w:style>
  <w:style w:type="paragraph" w:customStyle="1" w:styleId="afffffffffff3">
    <w:name w:val="水利部"/>
    <w:basedOn w:val="a3"/>
    <w:link w:val="Charfff4"/>
    <w:unhideWhenUsed/>
    <w:qFormat/>
    <w:pPr>
      <w:adjustRightInd w:val="0"/>
      <w:snapToGrid w:val="0"/>
      <w:spacing w:line="500" w:lineRule="exact"/>
      <w:ind w:firstLineChars="400" w:firstLine="1205"/>
    </w:pPr>
    <w:rPr>
      <w:rFonts w:hint="eastAsia"/>
      <w:b/>
      <w:sz w:val="30"/>
      <w:szCs w:val="20"/>
    </w:rPr>
  </w:style>
  <w:style w:type="paragraph" w:customStyle="1" w:styleId="130">
    <w:name w:val="正文13"/>
    <w:basedOn w:val="a3"/>
    <w:link w:val="13CharChar"/>
    <w:unhideWhenUsed/>
    <w:qFormat/>
    <w:pPr>
      <w:adjustRightInd w:val="0"/>
      <w:snapToGrid w:val="0"/>
      <w:ind w:firstLine="510"/>
    </w:pPr>
    <w:rPr>
      <w:rFonts w:ascii="宋体" w:hAnsi="宋体" w:hint="eastAsia"/>
      <w:szCs w:val="24"/>
    </w:rPr>
  </w:style>
  <w:style w:type="paragraph" w:customStyle="1" w:styleId="L1">
    <w:name w:val="L图表名"/>
    <w:basedOn w:val="a3"/>
    <w:next w:val="a3"/>
    <w:unhideWhenUsed/>
    <w:qFormat/>
    <w:pPr>
      <w:keepNext/>
      <w:adjustRightInd w:val="0"/>
      <w:snapToGrid w:val="0"/>
      <w:spacing w:beforeLines="50"/>
      <w:jc w:val="center"/>
    </w:pPr>
    <w:rPr>
      <w:rFonts w:eastAsia="黑体" w:hint="eastAsia"/>
      <w:b/>
      <w:sz w:val="28"/>
      <w:szCs w:val="28"/>
    </w:rPr>
  </w:style>
  <w:style w:type="paragraph" w:customStyle="1" w:styleId="Para">
    <w:name w:val="默认段落字体 Para"/>
    <w:basedOn w:val="a3"/>
    <w:unhideWhenUsed/>
    <w:qFormat/>
    <w:rPr>
      <w:rFonts w:hint="eastAsia"/>
      <w:sz w:val="21"/>
      <w:szCs w:val="24"/>
    </w:rPr>
  </w:style>
  <w:style w:type="paragraph" w:customStyle="1" w:styleId="Char1CharCharCharCharChar">
    <w:name w:val="Char1 Char Char Char Char Char"/>
    <w:basedOn w:val="a3"/>
    <w:unhideWhenUsed/>
    <w:qFormat/>
    <w:pPr>
      <w:spacing w:beforeLines="1000" w:afterLines="1000" w:line="400" w:lineRule="exact"/>
    </w:pPr>
    <w:rPr>
      <w:rFonts w:hint="eastAsia"/>
      <w:sz w:val="21"/>
      <w:szCs w:val="24"/>
    </w:rPr>
  </w:style>
  <w:style w:type="paragraph" w:customStyle="1" w:styleId="CharCharCharCharCharCharCharCharChar1CharCharCharCharCharChar">
    <w:name w:val="Char Char Char Char Char Char Char Char Char1 Char Char Char Char Char Char"/>
    <w:basedOn w:val="a3"/>
    <w:unhideWhenUsed/>
    <w:qFormat/>
    <w:pPr>
      <w:adjustRightInd w:val="0"/>
    </w:pPr>
    <w:rPr>
      <w:rFonts w:hint="eastAsia"/>
      <w:szCs w:val="20"/>
    </w:rPr>
  </w:style>
  <w:style w:type="paragraph" w:customStyle="1" w:styleId="CharChar7Char">
    <w:name w:val="Char Char7 Char"/>
    <w:basedOn w:val="a3"/>
    <w:unhideWhenUsed/>
    <w:qFormat/>
    <w:pPr>
      <w:widowControl/>
      <w:spacing w:after="160" w:line="240" w:lineRule="exact"/>
      <w:jc w:val="left"/>
    </w:pPr>
    <w:rPr>
      <w:rFonts w:ascii="Verdana" w:hAnsi="Verdana" w:hint="eastAsia"/>
      <w:sz w:val="20"/>
      <w:szCs w:val="20"/>
      <w:lang w:eastAsia="en-US"/>
    </w:rPr>
  </w:style>
  <w:style w:type="paragraph" w:customStyle="1" w:styleId="afffffffffff4">
    <w:name w:val="文本框小四"/>
    <w:basedOn w:val="a3"/>
    <w:unhideWhenUsed/>
    <w:qFormat/>
    <w:pPr>
      <w:jc w:val="center"/>
    </w:pPr>
    <w:rPr>
      <w:rFonts w:hint="eastAsia"/>
      <w:sz w:val="21"/>
    </w:rPr>
  </w:style>
  <w:style w:type="paragraph" w:customStyle="1" w:styleId="108527878">
    <w:name w:val="样式 目录 1 + 两端对齐 左侧:  0.85 厘米 首行缩进:  2 字符 段前: 7.8 磅 段后: 7.8 磅"/>
    <w:basedOn w:val="112"/>
    <w:unhideWhenUsed/>
    <w:qFormat/>
    <w:pPr>
      <w:tabs>
        <w:tab w:val="right" w:leader="dot" w:pos="8834"/>
      </w:tabs>
      <w:spacing w:before="0" w:after="0"/>
      <w:jc w:val="both"/>
    </w:pPr>
    <w:rPr>
      <w:rFonts w:cs="宋体"/>
      <w:caps w:val="0"/>
    </w:rPr>
  </w:style>
  <w:style w:type="paragraph" w:customStyle="1" w:styleId="afffffffffff5">
    <w:name w:val="流程图文字"/>
    <w:basedOn w:val="a3"/>
    <w:unhideWhenUsed/>
    <w:qFormat/>
    <w:pPr>
      <w:adjustRightInd w:val="0"/>
      <w:snapToGrid w:val="0"/>
      <w:jc w:val="center"/>
    </w:pPr>
    <w:rPr>
      <w:rFonts w:ascii="宋体" w:hAnsi="宋体" w:hint="eastAsia"/>
      <w:color w:val="000000"/>
      <w:sz w:val="21"/>
    </w:rPr>
  </w:style>
  <w:style w:type="paragraph" w:customStyle="1" w:styleId="1CharCharCharCharCharCharChar">
    <w:name w:val="1 Char Char Char Char Char Char Char"/>
    <w:basedOn w:val="a3"/>
    <w:unhideWhenUsed/>
    <w:qFormat/>
    <w:rPr>
      <w:rFonts w:hint="eastAsia"/>
      <w:sz w:val="21"/>
      <w:szCs w:val="24"/>
    </w:rPr>
  </w:style>
  <w:style w:type="paragraph" w:customStyle="1" w:styleId="222">
    <w:name w:val="样式 样式 设计正文 + 首行缩进:  2 字符 + 首行缩进:  2 字符"/>
    <w:basedOn w:val="a3"/>
    <w:unhideWhenUsed/>
    <w:qFormat/>
    <w:pPr>
      <w:tabs>
        <w:tab w:val="left" w:pos="-360"/>
        <w:tab w:val="left" w:pos="0"/>
      </w:tabs>
      <w:autoSpaceDE w:val="0"/>
      <w:autoSpaceDN w:val="0"/>
      <w:ind w:firstLine="480"/>
    </w:pPr>
    <w:rPr>
      <w:rFonts w:ascii="宋体" w:hAnsi="宋体" w:cs="宋体" w:hint="eastAsia"/>
      <w:szCs w:val="24"/>
    </w:rPr>
  </w:style>
  <w:style w:type="paragraph" w:customStyle="1" w:styleId="y">
    <w:name w:val="?y??"/>
    <w:link w:val="yChar"/>
    <w:unhideWhenUsed/>
    <w:qFormat/>
    <w:pPr>
      <w:widowControl w:val="0"/>
      <w:overflowPunct w:val="0"/>
      <w:autoSpaceDE w:val="0"/>
      <w:autoSpaceDN w:val="0"/>
      <w:adjustRightInd w:val="0"/>
      <w:spacing w:line="351" w:lineRule="atLeast"/>
      <w:ind w:firstLine="419"/>
      <w:jc w:val="both"/>
      <w:textAlignment w:val="baseline"/>
    </w:pPr>
    <w:rPr>
      <w:rFonts w:hint="eastAsia"/>
      <w:color w:val="000000"/>
      <w:sz w:val="21"/>
    </w:rPr>
  </w:style>
  <w:style w:type="paragraph" w:customStyle="1" w:styleId="afffffffffff6">
    <w:name w:val="样式 表头 + 小五"/>
    <w:basedOn w:val="afff3"/>
    <w:link w:val="Charfff5"/>
    <w:unhideWhenUsed/>
    <w:qFormat/>
    <w:pPr>
      <w:ind w:firstLineChars="100" w:firstLine="240"/>
      <w:jc w:val="right"/>
    </w:pPr>
    <w:rPr>
      <w:rFonts w:ascii="宋体" w:hint="eastAsia"/>
      <w:b w:val="0"/>
      <w:sz w:val="18"/>
    </w:rPr>
  </w:style>
  <w:style w:type="paragraph" w:customStyle="1" w:styleId="2fd">
    <w:name w:val="样式 设计正文 + 首行缩进:  2 字符"/>
    <w:basedOn w:val="a3"/>
    <w:link w:val="2CharChar3"/>
    <w:unhideWhenUsed/>
    <w:qFormat/>
    <w:pPr>
      <w:tabs>
        <w:tab w:val="left" w:pos="-360"/>
        <w:tab w:val="left" w:pos="0"/>
      </w:tabs>
      <w:autoSpaceDE w:val="0"/>
      <w:autoSpaceDN w:val="0"/>
      <w:ind w:firstLine="480"/>
    </w:pPr>
    <w:rPr>
      <w:rFonts w:ascii="宋体" w:hAnsi="宋体" w:hint="eastAsia"/>
      <w:szCs w:val="24"/>
    </w:rPr>
  </w:style>
  <w:style w:type="paragraph" w:customStyle="1" w:styleId="11b1H111otesTITULO-11H11H12">
    <w:name w:val="样式 标题 1章标题 1章节标题b1封面大标题H11标题 1otesTITULO-1河石1H11H12章..."/>
    <w:basedOn w:val="110"/>
    <w:unhideWhenUsed/>
    <w:qFormat/>
    <w:pPr>
      <w:widowControl/>
      <w:spacing w:beforeLines="0" w:afterLines="0"/>
      <w:ind w:firstLineChars="0" w:firstLine="0"/>
    </w:pPr>
    <w:rPr>
      <w:rFonts w:ascii="宋体" w:hAnsi="宋体" w:cs="宋体"/>
      <w:sz w:val="32"/>
      <w:szCs w:val="20"/>
    </w:rPr>
  </w:style>
  <w:style w:type="paragraph" w:customStyle="1" w:styleId="211112112Charb2W2H22CharCh">
    <w:name w:val="样式 标题 2节标题 1.11.1标题2例如：1.1 内容标题 2 Charb2W2H2标题 2 Char Ch..."/>
    <w:basedOn w:val="213"/>
    <w:link w:val="211112112Charb2W2H22CharChChar"/>
    <w:unhideWhenUsed/>
    <w:qFormat/>
    <w:pPr>
      <w:tabs>
        <w:tab w:val="left" w:pos="1322"/>
      </w:tabs>
      <w:spacing w:beforeLines="0" w:afterLines="0"/>
      <w:ind w:firstLineChars="0" w:firstLine="0"/>
    </w:pPr>
    <w:rPr>
      <w:rFonts w:ascii="宋体" w:hAnsi="宋体"/>
      <w:sz w:val="30"/>
    </w:rPr>
  </w:style>
  <w:style w:type="paragraph" w:customStyle="1" w:styleId="211112112Charb2W2H22CharCh1">
    <w:name w:val="样式 标题 2节标题 1.11.1标题2例如：1.1 内容标题 2 Charb2W2H2标题 2 Char Ch...1"/>
    <w:basedOn w:val="213"/>
    <w:link w:val="211112112Charb2W2H22CharCh1Char"/>
    <w:unhideWhenUsed/>
    <w:qFormat/>
    <w:pPr>
      <w:tabs>
        <w:tab w:val="left" w:pos="1322"/>
      </w:tabs>
      <w:spacing w:beforeLines="0" w:afterLines="0"/>
      <w:ind w:firstLineChars="0" w:firstLine="0"/>
    </w:pPr>
    <w:rPr>
      <w:rFonts w:ascii="宋体" w:hAnsi="宋体"/>
      <w:sz w:val="30"/>
    </w:rPr>
  </w:style>
  <w:style w:type="paragraph" w:customStyle="1" w:styleId="11b1H111otesTITULO-11H11H121">
    <w:name w:val="样式 标题 1章标题 1章节标题b1封面大标题H11标题 1otesTITULO-1河石1H11H12章...1"/>
    <w:basedOn w:val="110"/>
    <w:unhideWhenUsed/>
    <w:qFormat/>
    <w:pPr>
      <w:widowControl/>
      <w:spacing w:beforeLines="0" w:afterLines="0"/>
      <w:ind w:firstLineChars="0" w:firstLine="0"/>
    </w:pPr>
    <w:rPr>
      <w:rFonts w:ascii="黑体" w:hAnsi="宋体" w:cs="宋体"/>
      <w:sz w:val="32"/>
      <w:szCs w:val="20"/>
    </w:rPr>
  </w:style>
  <w:style w:type="paragraph" w:customStyle="1" w:styleId="11b1H111otesTITULO-11H11H122">
    <w:name w:val="样式 标题 1章标题 1章节标题b1封面大标题H11标题 1otesTITULO-1河石1H11H12章...2"/>
    <w:basedOn w:val="110"/>
    <w:unhideWhenUsed/>
    <w:qFormat/>
    <w:pPr>
      <w:widowControl/>
      <w:spacing w:beforeLines="0" w:afterLines="0"/>
      <w:ind w:firstLineChars="0" w:firstLine="0"/>
    </w:pPr>
    <w:rPr>
      <w:rFonts w:ascii="黑体" w:eastAsia="黑体" w:hAnsi="宋体" w:cs="宋体"/>
      <w:sz w:val="32"/>
      <w:szCs w:val="20"/>
    </w:rPr>
  </w:style>
  <w:style w:type="paragraph" w:customStyle="1" w:styleId="afffffffffff7">
    <w:name w:val="标准条文"/>
    <w:unhideWhenUsed/>
    <w:qFormat/>
    <w:pPr>
      <w:spacing w:beforeLines="20" w:afterLines="20"/>
      <w:ind w:firstLineChars="200" w:firstLine="200"/>
    </w:pPr>
    <w:rPr>
      <w:rFonts w:hint="eastAsia"/>
      <w:kern w:val="2"/>
      <w:sz w:val="21"/>
    </w:rPr>
  </w:style>
  <w:style w:type="paragraph" w:customStyle="1" w:styleId="afffffffffff8">
    <w:name w:val="陈表格中内容"/>
    <w:basedOn w:val="a3"/>
    <w:next w:val="a3"/>
    <w:link w:val="Charfff6"/>
    <w:unhideWhenUsed/>
    <w:qFormat/>
    <w:pPr>
      <w:jc w:val="center"/>
    </w:pPr>
    <w:rPr>
      <w:rFonts w:ascii="宋体" w:hAnsi="宋体" w:hint="eastAsia"/>
      <w:spacing w:val="-6"/>
      <w:sz w:val="21"/>
      <w:szCs w:val="20"/>
    </w:rPr>
  </w:style>
  <w:style w:type="paragraph" w:customStyle="1" w:styleId="223">
    <w:name w:val="准 正文 左侧:  2 字符 + 首行缩进:  2 字符"/>
    <w:basedOn w:val="a3"/>
    <w:link w:val="22Char"/>
    <w:unhideWhenUsed/>
    <w:qFormat/>
    <w:pPr>
      <w:ind w:firstLine="480"/>
    </w:pPr>
    <w:rPr>
      <w:rFonts w:hint="eastAsia"/>
      <w:szCs w:val="20"/>
    </w:rPr>
  </w:style>
  <w:style w:type="paragraph" w:customStyle="1" w:styleId="1ff9">
    <w:name w:val="列出段落1"/>
    <w:basedOn w:val="a3"/>
    <w:unhideWhenUsed/>
    <w:qFormat/>
    <w:pPr>
      <w:ind w:firstLine="420"/>
    </w:pPr>
    <w:rPr>
      <w:rFonts w:ascii="Calibri" w:hAnsi="Calibri" w:hint="eastAsia"/>
      <w:sz w:val="21"/>
      <w:szCs w:val="20"/>
    </w:rPr>
  </w:style>
  <w:style w:type="paragraph" w:customStyle="1" w:styleId="140">
    <w:name w:val="14"/>
    <w:basedOn w:val="a3"/>
    <w:next w:val="af2"/>
    <w:unhideWhenUsed/>
    <w:qFormat/>
    <w:rPr>
      <w:rFonts w:ascii="宋体" w:hAnsi="Courier New" w:hint="eastAsia"/>
      <w:sz w:val="21"/>
      <w:szCs w:val="20"/>
    </w:rPr>
  </w:style>
  <w:style w:type="paragraph" w:customStyle="1" w:styleId="niloCharCharCharChar">
    <w:name w:val="nilo_正文 Char Char Char Char"/>
    <w:basedOn w:val="a3"/>
    <w:unhideWhenUsed/>
    <w:qFormat/>
    <w:pPr>
      <w:ind w:left="1031" w:hanging="851"/>
    </w:pPr>
    <w:rPr>
      <w:rFonts w:ascii="Arial" w:hAnsi="Arial" w:hint="eastAsia"/>
      <w:sz w:val="21"/>
    </w:rPr>
  </w:style>
  <w:style w:type="paragraph" w:customStyle="1" w:styleId="205">
    <w:name w:val="样式 标题 2 + 段前: 0.5 行"/>
    <w:basedOn w:val="213"/>
    <w:unhideWhenUsed/>
    <w:qFormat/>
    <w:pPr>
      <w:tabs>
        <w:tab w:val="left" w:pos="1322"/>
      </w:tabs>
      <w:adjustRightInd w:val="0"/>
      <w:snapToGrid w:val="0"/>
      <w:spacing w:before="50" w:afterLines="0" w:line="415" w:lineRule="auto"/>
      <w:jc w:val="left"/>
    </w:pPr>
    <w:rPr>
      <w:rFonts w:ascii="Arial" w:eastAsia="黑体" w:hAnsi="Arial" w:cs="宋体"/>
      <w:szCs w:val="20"/>
    </w:rPr>
  </w:style>
  <w:style w:type="paragraph" w:customStyle="1" w:styleId="afffffffffff9">
    <w:name w:val="样式 普通文字 + (符号) 宋体 小四"/>
    <w:basedOn w:val="PlainText1"/>
    <w:unhideWhenUsed/>
    <w:qFormat/>
    <w:rPr>
      <w:rFonts w:cs="Times New Roman"/>
      <w:sz w:val="24"/>
    </w:rPr>
  </w:style>
  <w:style w:type="paragraph" w:customStyle="1" w:styleId="afffffffffffa">
    <w:name w:val="表格五号修"/>
    <w:basedOn w:val="a3"/>
    <w:unhideWhenUsed/>
    <w:qFormat/>
    <w:pPr>
      <w:spacing w:line="360" w:lineRule="exact"/>
    </w:pPr>
    <w:rPr>
      <w:rFonts w:hint="eastAsia"/>
      <w:color w:val="000000"/>
      <w:sz w:val="21"/>
      <w:szCs w:val="24"/>
    </w:rPr>
  </w:style>
  <w:style w:type="paragraph" w:customStyle="1" w:styleId="afffffffffffb">
    <w:name w:val="报告名"/>
    <w:basedOn w:val="a3"/>
    <w:unhideWhenUsed/>
    <w:qFormat/>
    <w:pPr>
      <w:adjustRightInd w:val="0"/>
      <w:snapToGrid w:val="0"/>
      <w:spacing w:line="300" w:lineRule="auto"/>
      <w:jc w:val="center"/>
    </w:pPr>
    <w:rPr>
      <w:rFonts w:cs="宋体" w:hint="eastAsia"/>
      <w:b/>
      <w:sz w:val="56"/>
      <w:szCs w:val="56"/>
    </w:rPr>
  </w:style>
  <w:style w:type="paragraph" w:customStyle="1" w:styleId="CharCharCharCharCharCharCharChar0">
    <w:name w:val="Char Char Char Char Char Char Char Char"/>
    <w:basedOn w:val="a3"/>
    <w:unhideWhenUsed/>
    <w:qFormat/>
    <w:rPr>
      <w:rFonts w:hint="eastAsia"/>
      <w:sz w:val="21"/>
      <w:szCs w:val="24"/>
    </w:rPr>
  </w:style>
  <w:style w:type="paragraph" w:customStyle="1" w:styleId="Char3CharCharChar">
    <w:name w:val="Char3 Char Char Char"/>
    <w:basedOn w:val="a3"/>
    <w:unhideWhenUsed/>
    <w:qFormat/>
    <w:rPr>
      <w:rFonts w:hint="eastAsia"/>
      <w:sz w:val="21"/>
      <w:szCs w:val="24"/>
    </w:rPr>
  </w:style>
  <w:style w:type="paragraph" w:customStyle="1" w:styleId="2081101">
    <w:name w:val="样式 样式 审签页 审签字 + 20 磅 非加粗 左侧:  8 字符 段前: 1 行 + 左侧:  10 字符 段前: 1 行"/>
    <w:basedOn w:val="a3"/>
    <w:unhideWhenUsed/>
    <w:qFormat/>
    <w:pPr>
      <w:adjustRightInd w:val="0"/>
      <w:snapToGrid w:val="0"/>
      <w:spacing w:beforeLines="100" w:line="700" w:lineRule="exact"/>
      <w:ind w:leftChars="1100" w:left="1100"/>
    </w:pPr>
    <w:rPr>
      <w:rFonts w:eastAsia="楷体_GB2312" w:cs="宋体" w:hint="eastAsia"/>
      <w:b/>
      <w:sz w:val="32"/>
      <w:szCs w:val="32"/>
    </w:rPr>
  </w:style>
  <w:style w:type="paragraph" w:customStyle="1" w:styleId="afffffffffffc">
    <w:name w:val="报告大标题"/>
    <w:basedOn w:val="110"/>
    <w:unhideWhenUsed/>
    <w:qFormat/>
    <w:pPr>
      <w:spacing w:beforeLines="0" w:afterLines="0" w:line="240" w:lineRule="auto"/>
      <w:ind w:firstLineChars="0" w:firstLine="0"/>
      <w:jc w:val="center"/>
      <w:textAlignment w:val="baseline"/>
    </w:pPr>
    <w:rPr>
      <w:rFonts w:ascii="黑体" w:eastAsia="黑体" w:hAnsi="宋体" w:cs="Arial"/>
      <w:b w:val="0"/>
      <w:spacing w:val="10"/>
      <w:kern w:val="56"/>
      <w:sz w:val="40"/>
      <w:szCs w:val="40"/>
    </w:rPr>
  </w:style>
  <w:style w:type="paragraph" w:customStyle="1" w:styleId="Charfff7">
    <w:name w:val="样式  Char + 宋体 小四"/>
    <w:basedOn w:val="a3"/>
    <w:link w:val="CharChar2"/>
    <w:unhideWhenUsed/>
    <w:qFormat/>
    <w:pPr>
      <w:snapToGrid w:val="0"/>
      <w:ind w:firstLine="480"/>
    </w:pPr>
    <w:rPr>
      <w:rFonts w:ascii="宋体" w:hAnsi="宋体" w:hint="eastAsia"/>
      <w:szCs w:val="24"/>
    </w:rPr>
  </w:style>
  <w:style w:type="paragraph" w:customStyle="1" w:styleId="CharCharCharCharCharCharCharCharCharCharCharChar">
    <w:name w:val="Char Char Char Char Char Char Char Char Char Char Char Char"/>
    <w:basedOn w:val="a3"/>
    <w:unhideWhenUsed/>
    <w:qFormat/>
    <w:rPr>
      <w:rFonts w:ascii="宋体" w:hint="eastAsia"/>
      <w:sz w:val="21"/>
      <w:szCs w:val="24"/>
    </w:rPr>
  </w:style>
  <w:style w:type="paragraph" w:customStyle="1" w:styleId="afffffffffffd">
    <w:name w:val="南郊正文"/>
    <w:basedOn w:val="a3"/>
    <w:next w:val="a3"/>
    <w:unhideWhenUsed/>
    <w:qFormat/>
    <w:rPr>
      <w:rFonts w:hint="eastAsia"/>
      <w:szCs w:val="24"/>
    </w:rPr>
  </w:style>
  <w:style w:type="paragraph" w:customStyle="1" w:styleId="afffffffffffe">
    <w:name w:val="表内容"/>
    <w:unhideWhenUsed/>
    <w:qFormat/>
    <w:pPr>
      <w:jc w:val="center"/>
    </w:pPr>
    <w:rPr>
      <w:rFonts w:hint="eastAsia"/>
      <w:kern w:val="2"/>
      <w:sz w:val="21"/>
    </w:rPr>
  </w:style>
  <w:style w:type="paragraph" w:customStyle="1" w:styleId="affffffffffff">
    <w:name w:val="【图片】"/>
    <w:next w:val="1fb"/>
    <w:link w:val="Charfff8"/>
    <w:unhideWhenUsed/>
    <w:qFormat/>
    <w:pPr>
      <w:jc w:val="center"/>
    </w:pPr>
    <w:rPr>
      <w:rFonts w:ascii="宋体" w:hAnsi="宋体" w:hint="eastAsia"/>
      <w:kern w:val="2"/>
      <w:sz w:val="24"/>
    </w:rPr>
  </w:style>
  <w:style w:type="paragraph" w:customStyle="1" w:styleId="wwww">
    <w:name w:val="wwww"/>
    <w:link w:val="wwwwChar"/>
    <w:unhideWhenUsed/>
    <w:qFormat/>
    <w:pPr>
      <w:ind w:firstLineChars="200" w:firstLine="200"/>
    </w:pPr>
    <w:rPr>
      <w:rFonts w:ascii="宋体" w:hAnsi="宋体" w:hint="eastAsia"/>
      <w:kern w:val="2"/>
      <w:sz w:val="28"/>
    </w:rPr>
  </w:style>
  <w:style w:type="paragraph" w:customStyle="1" w:styleId="TimesNewRoman">
    <w:name w:val="样式 (西文) Times New Roman (符号) 华文中宋"/>
    <w:basedOn w:val="a3"/>
    <w:link w:val="TimesNewRomanChar"/>
    <w:unhideWhenUsed/>
    <w:qFormat/>
    <w:pPr>
      <w:spacing w:line="500" w:lineRule="exact"/>
    </w:pPr>
    <w:rPr>
      <w:rFonts w:ascii="Calibri" w:eastAsia="华文中宋" w:hAnsi="华文中宋" w:hint="eastAsia"/>
      <w:szCs w:val="20"/>
    </w:rPr>
  </w:style>
  <w:style w:type="paragraph" w:customStyle="1" w:styleId="CharCharCharCharCharCharCharCharCh">
    <w:name w:val="样式 纯文本普通文字 Char普通文字 Char Char Char普通文字 Char Char Char Char Ch..."/>
    <w:basedOn w:val="PlainText1"/>
    <w:unhideWhenUsed/>
    <w:qFormat/>
    <w:pPr>
      <w:ind w:left="-14" w:firstLineChars="230" w:firstLine="552"/>
    </w:pPr>
    <w:rPr>
      <w:rFonts w:ascii="Times New Roman" w:hAnsi="Times New Roman" w:cs="宋体"/>
      <w:sz w:val="24"/>
      <w:szCs w:val="24"/>
    </w:rPr>
  </w:style>
  <w:style w:type="paragraph" w:customStyle="1" w:styleId="03030303">
    <w:name w:val="样式 样式 样式 标题四 + 非加粗 + 段前: 0.3 行 段后: 0.3 行 + 段前: 0.3 行 段后: 0.3 行"/>
    <w:basedOn w:val="a3"/>
    <w:unhideWhenUsed/>
    <w:qFormat/>
    <w:pPr>
      <w:autoSpaceDE w:val="0"/>
      <w:autoSpaceDN w:val="0"/>
      <w:adjustRightInd w:val="0"/>
      <w:snapToGrid w:val="0"/>
      <w:textAlignment w:val="baseline"/>
    </w:pPr>
    <w:rPr>
      <w:rFonts w:ascii="宋体" w:hAnsi="宋体" w:hint="eastAsia"/>
      <w:b/>
      <w:sz w:val="18"/>
      <w:szCs w:val="18"/>
    </w:rPr>
  </w:style>
  <w:style w:type="paragraph" w:customStyle="1" w:styleId="affffffffffff0">
    <w:name w:val="表标号"/>
    <w:link w:val="Charfff9"/>
    <w:unhideWhenUsed/>
    <w:qFormat/>
    <w:pPr>
      <w:adjustRightInd w:val="0"/>
      <w:spacing w:beforeLines="10" w:afterLines="10" w:line="360" w:lineRule="auto"/>
      <w:ind w:firstLineChars="200" w:firstLine="480"/>
      <w:jc w:val="both"/>
    </w:pPr>
    <w:rPr>
      <w:rFonts w:eastAsia="黑体" w:hint="eastAsia"/>
      <w:sz w:val="24"/>
      <w:szCs w:val="24"/>
    </w:rPr>
  </w:style>
  <w:style w:type="paragraph" w:customStyle="1" w:styleId="affffffffffff1">
    <w:name w:val="准 表头"/>
    <w:link w:val="Charfffa"/>
    <w:unhideWhenUsed/>
    <w:qFormat/>
    <w:pPr>
      <w:spacing w:line="360" w:lineRule="auto"/>
      <w:jc w:val="center"/>
    </w:pPr>
    <w:rPr>
      <w:rFonts w:eastAsia="黑体" w:hint="eastAsia"/>
      <w:szCs w:val="21"/>
    </w:rPr>
  </w:style>
  <w:style w:type="paragraph" w:customStyle="1" w:styleId="CharChar1CharCharCharCharCharChar">
    <w:name w:val="Char Char1 Char Char Char Char Char Char"/>
    <w:basedOn w:val="a3"/>
    <w:unhideWhenUsed/>
    <w:qFormat/>
    <w:rPr>
      <w:rFonts w:ascii="宋体" w:hAnsi="宋体" w:cs="宋体" w:hint="eastAsia"/>
      <w:szCs w:val="24"/>
    </w:rPr>
  </w:style>
  <w:style w:type="paragraph" w:customStyle="1" w:styleId="CharCharCharCharCharChar1CharCharCharCharCharCharChar">
    <w:name w:val="Char Char Char Char Char Char1 Char Char Char Char Char Char Char"/>
    <w:basedOn w:val="a3"/>
    <w:unhideWhenUsed/>
    <w:qFormat/>
    <w:rPr>
      <w:rFonts w:hint="eastAsia"/>
      <w:sz w:val="21"/>
      <w:szCs w:val="20"/>
    </w:rPr>
  </w:style>
  <w:style w:type="paragraph" w:customStyle="1" w:styleId="CharCharCharCharCharCharCharCharCharCharCharCharChar1">
    <w:name w:val="Char Char Char Char Char Char Char Char Char Char Char Char Char1"/>
    <w:basedOn w:val="a3"/>
    <w:unhideWhenUsed/>
    <w:qFormat/>
    <w:rPr>
      <w:rFonts w:hint="eastAsia"/>
      <w:sz w:val="21"/>
      <w:szCs w:val="24"/>
    </w:rPr>
  </w:style>
  <w:style w:type="paragraph" w:customStyle="1" w:styleId="CharCharChar1CharCharChar1">
    <w:name w:val="Char Char Char1 Char Char Char1"/>
    <w:basedOn w:val="a3"/>
    <w:unhideWhenUsed/>
    <w:qFormat/>
    <w:rPr>
      <w:rFonts w:hint="eastAsia"/>
      <w:sz w:val="21"/>
      <w:szCs w:val="24"/>
    </w:rPr>
  </w:style>
  <w:style w:type="paragraph" w:customStyle="1" w:styleId="CharCharChar1CharCharCharCharCharCharChar1">
    <w:name w:val="Char Char Char1 Char Char Char Char Char Char Char1"/>
    <w:basedOn w:val="a3"/>
    <w:unhideWhenUsed/>
    <w:qFormat/>
    <w:rPr>
      <w:rFonts w:hint="eastAsia"/>
      <w:sz w:val="21"/>
      <w:szCs w:val="20"/>
    </w:rPr>
  </w:style>
  <w:style w:type="paragraph" w:customStyle="1" w:styleId="CharCharCharChar1CharCharChar1">
    <w:name w:val="Char Char Char Char1 Char Char Char1"/>
    <w:basedOn w:val="a3"/>
    <w:unhideWhenUsed/>
    <w:qFormat/>
    <w:rPr>
      <w:rFonts w:hint="eastAsia"/>
      <w:sz w:val="21"/>
      <w:szCs w:val="20"/>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3"/>
    <w:unhideWhenUsed/>
    <w:qFormat/>
    <w:rPr>
      <w:rFonts w:hint="eastAsia"/>
      <w:sz w:val="21"/>
      <w:szCs w:val="24"/>
    </w:rPr>
  </w:style>
  <w:style w:type="paragraph" w:customStyle="1" w:styleId="CharCharCharCharCharChar1Char1">
    <w:name w:val="Char Char Char Char Char Char1 Char1"/>
    <w:basedOn w:val="a3"/>
    <w:unhideWhenUsed/>
    <w:qFormat/>
    <w:rPr>
      <w:rFonts w:ascii="宋体" w:hAnsi="宋体" w:hint="eastAsia"/>
      <w:position w:val="-6"/>
      <w:sz w:val="28"/>
      <w:szCs w:val="28"/>
    </w:rPr>
  </w:style>
  <w:style w:type="paragraph" w:customStyle="1" w:styleId="CharChar1CharCharCharCharCharChar1">
    <w:name w:val="Char Char1 Char Char Char Char Char Char1"/>
    <w:basedOn w:val="a3"/>
    <w:unhideWhenUsed/>
    <w:qFormat/>
    <w:rPr>
      <w:rFonts w:ascii="宋体" w:hAnsi="宋体" w:cs="宋体" w:hint="eastAsia"/>
      <w:szCs w:val="24"/>
    </w:rPr>
  </w:style>
  <w:style w:type="paragraph" w:customStyle="1" w:styleId="Char61">
    <w:name w:val="Char61"/>
    <w:basedOn w:val="a3"/>
    <w:unhideWhenUsed/>
    <w:qFormat/>
    <w:rPr>
      <w:rFonts w:ascii="宋体" w:hAnsi="宋体" w:cs="宋体" w:hint="eastAsia"/>
      <w:szCs w:val="24"/>
    </w:rPr>
  </w:style>
  <w:style w:type="paragraph" w:customStyle="1" w:styleId="CharChar7Char1">
    <w:name w:val="Char Char7 Char1"/>
    <w:basedOn w:val="a3"/>
    <w:unhideWhenUsed/>
    <w:qFormat/>
    <w:pPr>
      <w:widowControl/>
      <w:spacing w:after="160" w:line="240" w:lineRule="exact"/>
      <w:jc w:val="left"/>
    </w:pPr>
    <w:rPr>
      <w:rFonts w:ascii="Verdana" w:hAnsi="Verdana" w:hint="eastAsia"/>
      <w:sz w:val="20"/>
      <w:szCs w:val="20"/>
      <w:lang w:eastAsia="en-US"/>
    </w:rPr>
  </w:style>
  <w:style w:type="paragraph" w:customStyle="1" w:styleId="Char3CharCharChar1">
    <w:name w:val="Char3 Char Char Char1"/>
    <w:basedOn w:val="a3"/>
    <w:unhideWhenUsed/>
    <w:qFormat/>
    <w:rPr>
      <w:rFonts w:hint="eastAsia"/>
      <w:sz w:val="21"/>
      <w:szCs w:val="24"/>
    </w:rPr>
  </w:style>
  <w:style w:type="paragraph" w:customStyle="1" w:styleId="CharCharCharCharCharChar1CharCharCharCharCharCharChar1">
    <w:name w:val="Char Char Char Char Char Char1 Char Char Char Char Char Char Char1"/>
    <w:basedOn w:val="a3"/>
    <w:unhideWhenUsed/>
    <w:qFormat/>
    <w:rPr>
      <w:rFonts w:hint="eastAsia"/>
      <w:sz w:val="21"/>
      <w:szCs w:val="20"/>
    </w:rPr>
  </w:style>
  <w:style w:type="paragraph" w:customStyle="1" w:styleId="affffffffffff2">
    <w:name w:val="陈表头文字"/>
    <w:basedOn w:val="a3"/>
    <w:next w:val="a3"/>
    <w:link w:val="Charfffb"/>
    <w:unhideWhenUsed/>
    <w:qFormat/>
    <w:pPr>
      <w:keepNext/>
      <w:spacing w:line="288" w:lineRule="auto"/>
      <w:jc w:val="center"/>
    </w:pPr>
    <w:rPr>
      <w:rFonts w:ascii="宋体" w:hAnsi="宋体" w:hint="eastAsia"/>
      <w:b/>
      <w:szCs w:val="24"/>
    </w:rPr>
  </w:style>
  <w:style w:type="paragraph" w:customStyle="1" w:styleId="3030">
    <w:name w:val="样式 样式 标题 3 + 段前: 0.3 行 + 首行缩进:  0 厘米"/>
    <w:basedOn w:val="a3"/>
    <w:unhideWhenUsed/>
    <w:qFormat/>
    <w:pPr>
      <w:keepLines/>
      <w:spacing w:before="60" w:after="60"/>
      <w:jc w:val="left"/>
      <w:outlineLvl w:val="2"/>
    </w:pPr>
    <w:rPr>
      <w:rFonts w:cs="宋体" w:hint="eastAsia"/>
      <w:b/>
      <w:spacing w:val="16"/>
      <w:w w:val="95"/>
      <w:szCs w:val="20"/>
    </w:rPr>
  </w:style>
  <w:style w:type="paragraph" w:customStyle="1" w:styleId="2Char2CharCF22-11112b">
    <w:name w:val="样式 标题 2 Char标题 2 Char节(C+F2)节，一宋三标题 2-王鹏节标题 1.11.1标题2b..."/>
    <w:basedOn w:val="213"/>
    <w:unhideWhenUsed/>
    <w:qFormat/>
    <w:pPr>
      <w:tabs>
        <w:tab w:val="left" w:pos="1322"/>
      </w:tabs>
      <w:adjustRightInd w:val="0"/>
      <w:snapToGrid w:val="0"/>
      <w:spacing w:beforeLines="0" w:afterLines="0"/>
      <w:ind w:firstLineChars="0" w:firstLine="0"/>
      <w:jc w:val="left"/>
      <w:outlineLvl w:val="2"/>
    </w:pPr>
    <w:rPr>
      <w:rFonts w:ascii="宋体" w:hAnsi="宋体"/>
      <w:sz w:val="24"/>
      <w:szCs w:val="24"/>
    </w:rPr>
  </w:style>
  <w:style w:type="paragraph" w:customStyle="1" w:styleId="yyp">
    <w:name w:val="yyp"/>
    <w:basedOn w:val="1fb"/>
    <w:link w:val="yypChar"/>
    <w:unhideWhenUsed/>
    <w:qFormat/>
    <w:pPr>
      <w:spacing w:after="120"/>
    </w:pPr>
  </w:style>
  <w:style w:type="paragraph" w:customStyle="1" w:styleId="Arial2415">
    <w:name w:val="样式 Arial 小四 黑色 首行缩进:  24 磅 行距: 1.5 倍行距"/>
    <w:basedOn w:val="a3"/>
    <w:link w:val="Arial2415Char"/>
    <w:unhideWhenUsed/>
    <w:qFormat/>
    <w:pPr>
      <w:adjustRightInd w:val="0"/>
      <w:snapToGrid w:val="0"/>
    </w:pPr>
    <w:rPr>
      <w:rFonts w:ascii="Arial" w:hAnsi="Arial" w:hint="eastAsia"/>
      <w:color w:val="000000"/>
      <w:szCs w:val="20"/>
    </w:rPr>
  </w:style>
  <w:style w:type="paragraph" w:customStyle="1" w:styleId="TimesNewRoman15">
    <w:name w:val="样式 Times New Roman 行距: 1.5 倍行距"/>
    <w:basedOn w:val="a3"/>
    <w:link w:val="TimesNewRoman15Char"/>
    <w:unhideWhenUsed/>
    <w:qFormat/>
    <w:pPr>
      <w:ind w:firstLine="480"/>
    </w:pPr>
    <w:rPr>
      <w:rFonts w:hint="eastAsia"/>
      <w:kern w:val="24"/>
      <w:sz w:val="28"/>
      <w:szCs w:val="28"/>
    </w:rPr>
  </w:style>
  <w:style w:type="paragraph" w:customStyle="1" w:styleId="CharCharChar3CharCharCharCharCharCharCharCharCharCharCharCharChar">
    <w:name w:val="Char Char Char3 Char Char Char Char Char Char Char Char Char Char Char Char Char"/>
    <w:basedOn w:val="a3"/>
    <w:unhideWhenUsed/>
    <w:qFormat/>
    <w:rPr>
      <w:rFonts w:hint="eastAsia"/>
      <w:sz w:val="21"/>
      <w:szCs w:val="20"/>
    </w:rPr>
  </w:style>
  <w:style w:type="paragraph" w:customStyle="1" w:styleId="z-1">
    <w:name w:val="z-窗体顶端1"/>
    <w:basedOn w:val="a3"/>
    <w:next w:val="a3"/>
    <w:unhideWhenUsed/>
    <w:qFormat/>
    <w:pPr>
      <w:pBdr>
        <w:bottom w:val="single" w:sz="6" w:space="1" w:color="auto"/>
      </w:pBdr>
      <w:jc w:val="center"/>
    </w:pPr>
    <w:rPr>
      <w:rFonts w:ascii="Arial" w:hAnsi="Arial" w:hint="eastAsia"/>
      <w:vanish/>
      <w:sz w:val="16"/>
      <w:szCs w:val="16"/>
    </w:rPr>
  </w:style>
  <w:style w:type="paragraph" w:customStyle="1" w:styleId="110028">
    <w:name w:val="样式 标题 1章标题 1 + (符号) 宋体 四号 段前: 0 磅 段后: 0 磅 行距: 最小值 28 磅"/>
    <w:basedOn w:val="110"/>
    <w:unhideWhenUsed/>
    <w:qFormat/>
    <w:pPr>
      <w:keepNext w:val="0"/>
      <w:tabs>
        <w:tab w:val="left" w:pos="425"/>
      </w:tabs>
      <w:autoSpaceDE w:val="0"/>
      <w:autoSpaceDN w:val="0"/>
      <w:adjustRightInd w:val="0"/>
      <w:snapToGrid w:val="0"/>
      <w:spacing w:beforeLines="0" w:afterLines="0" w:line="560" w:lineRule="atLeast"/>
      <w:ind w:firstLineChars="0" w:firstLine="0"/>
      <w:textAlignment w:val="baseline"/>
    </w:pPr>
    <w:rPr>
      <w:rFonts w:ascii="黑体" w:eastAsia="黑体" w:hAnsi="宋体" w:cs="宋体"/>
      <w:sz w:val="30"/>
      <w:szCs w:val="20"/>
    </w:rPr>
  </w:style>
  <w:style w:type="paragraph" w:customStyle="1" w:styleId="affffffffffff3">
    <w:name w:val="样式 小四"/>
    <w:basedOn w:val="a3"/>
    <w:unhideWhenUsed/>
    <w:qFormat/>
    <w:rPr>
      <w:rFonts w:hint="eastAsia"/>
      <w:szCs w:val="24"/>
    </w:rPr>
  </w:style>
  <w:style w:type="paragraph" w:customStyle="1" w:styleId="75">
    <w:name w:val="样式7"/>
    <w:basedOn w:val="1fd"/>
    <w:link w:val="7Char0"/>
    <w:unhideWhenUsed/>
    <w:qFormat/>
    <w:pPr>
      <w:pBdr>
        <w:bottom w:val="none" w:sz="0" w:space="0" w:color="auto"/>
      </w:pBdr>
    </w:pPr>
  </w:style>
  <w:style w:type="paragraph" w:customStyle="1" w:styleId="95">
    <w:name w:val="样式9"/>
    <w:basedOn w:val="1f"/>
    <w:link w:val="9Char0"/>
    <w:unhideWhenUsed/>
    <w:qFormat/>
    <w:pPr>
      <w:autoSpaceDE w:val="0"/>
      <w:autoSpaceDN w:val="0"/>
      <w:adjustRightInd w:val="0"/>
      <w:spacing w:before="72" w:line="240" w:lineRule="atLeast"/>
      <w:jc w:val="right"/>
      <w:textAlignment w:val="bottom"/>
    </w:pPr>
    <w:rPr>
      <w:rFonts w:ascii="宋体" w:hAnsi="宋体"/>
      <w:b/>
    </w:rPr>
  </w:style>
  <w:style w:type="paragraph" w:customStyle="1" w:styleId="1ffa">
    <w:name w:val="修订1"/>
    <w:hidden/>
    <w:uiPriority w:val="99"/>
    <w:unhideWhenUsed/>
    <w:qFormat/>
    <w:rPr>
      <w:rFonts w:hint="eastAsia"/>
      <w:sz w:val="21"/>
    </w:rPr>
  </w:style>
  <w:style w:type="paragraph" w:customStyle="1" w:styleId="Char1CharCharCharCharCharCharCharCharCharCharChar1Char">
    <w:name w:val="Char1 Char Char Char Char Char Char Char Char Char Char Char1 Char"/>
    <w:basedOn w:val="a3"/>
    <w:unhideWhenUsed/>
    <w:qFormat/>
    <w:rPr>
      <w:rFonts w:hint="eastAsia"/>
      <w:sz w:val="21"/>
      <w:szCs w:val="24"/>
    </w:rPr>
  </w:style>
  <w:style w:type="paragraph" w:customStyle="1" w:styleId="CharCharCharCharCharCharCharCharCharCharCharChar1">
    <w:name w:val="Char Char Char Char Char Char Char Char Char Char Char Char1"/>
    <w:basedOn w:val="a3"/>
    <w:unhideWhenUsed/>
    <w:qFormat/>
    <w:rPr>
      <w:rFonts w:ascii="宋体" w:hint="eastAsia"/>
      <w:sz w:val="21"/>
      <w:szCs w:val="24"/>
    </w:rPr>
  </w:style>
  <w:style w:type="paragraph" w:customStyle="1" w:styleId="21111212Heading2HiddenHeading2">
    <w:name w:val="样式 标题 2节标题 1.11.1标题2第*章第*章1第*章2Heading 2 HiddenHeading 2 ..."/>
    <w:basedOn w:val="213"/>
    <w:unhideWhenUsed/>
    <w:qFormat/>
    <w:pPr>
      <w:keepNext w:val="0"/>
      <w:widowControl/>
      <w:tabs>
        <w:tab w:val="left" w:pos="1322"/>
      </w:tabs>
      <w:adjustRightInd w:val="0"/>
      <w:snapToGrid w:val="0"/>
      <w:spacing w:beforeLines="0" w:afterLines="0" w:line="440" w:lineRule="atLeast"/>
      <w:ind w:firstLineChars="0" w:firstLine="0"/>
    </w:pPr>
    <w:rPr>
      <w:rFonts w:ascii="黑体" w:eastAsia="黑体" w:hAnsi="宋体" w:cs="宋体"/>
      <w:b w:val="0"/>
      <w:sz w:val="24"/>
      <w:szCs w:val="24"/>
    </w:rPr>
  </w:style>
  <w:style w:type="paragraph" w:customStyle="1" w:styleId="11b1111">
    <w:name w:val="样式 标题 1章标题 1章节标题b111标题 1 + 非加粗 自动设置"/>
    <w:basedOn w:val="110"/>
    <w:link w:val="11b1111Char"/>
    <w:unhideWhenUsed/>
    <w:qFormat/>
    <w:pPr>
      <w:tabs>
        <w:tab w:val="left" w:pos="567"/>
      </w:tabs>
      <w:adjustRightInd w:val="0"/>
      <w:snapToGrid w:val="0"/>
      <w:spacing w:beforeLines="0" w:afterLines="0" w:line="440" w:lineRule="atLeast"/>
      <w:ind w:firstLineChars="0" w:firstLine="0"/>
      <w:textAlignment w:val="baseline"/>
    </w:pPr>
    <w:rPr>
      <w:rFonts w:ascii="黑体" w:eastAsia="黑体" w:hAnsi="宋体"/>
      <w:b w:val="0"/>
      <w:sz w:val="28"/>
      <w:szCs w:val="32"/>
    </w:rPr>
  </w:style>
  <w:style w:type="paragraph" w:customStyle="1" w:styleId="TOC1">
    <w:name w:val="TOC 标题1"/>
    <w:basedOn w:val="110"/>
    <w:next w:val="a3"/>
    <w:uiPriority w:val="39"/>
    <w:unhideWhenUsed/>
    <w:qFormat/>
    <w:pPr>
      <w:widowControl/>
      <w:spacing w:beforeLines="0" w:afterLines="0" w:line="276" w:lineRule="auto"/>
      <w:ind w:firstLineChars="0" w:firstLine="0"/>
      <w:jc w:val="left"/>
    </w:pPr>
    <w:rPr>
      <w:rFonts w:ascii="Cambria" w:hAnsi="Cambria"/>
      <w:color w:val="365F91"/>
      <w:sz w:val="28"/>
      <w:szCs w:val="28"/>
    </w:rPr>
  </w:style>
  <w:style w:type="paragraph" w:customStyle="1" w:styleId="xl92">
    <w:name w:val="xl92"/>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szCs w:val="24"/>
    </w:rPr>
  </w:style>
  <w:style w:type="paragraph" w:customStyle="1" w:styleId="xl93">
    <w:name w:val="xl93"/>
    <w:basedOn w:val="a3"/>
    <w:unhideWhenUsed/>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hAnsi="宋体" w:cs="宋体" w:hint="eastAsia"/>
      <w:color w:val="000000"/>
      <w:szCs w:val="24"/>
    </w:rPr>
  </w:style>
  <w:style w:type="paragraph" w:customStyle="1" w:styleId="xl94">
    <w:name w:val="xl94"/>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color w:val="000000"/>
      <w:szCs w:val="24"/>
    </w:rPr>
  </w:style>
  <w:style w:type="paragraph" w:customStyle="1" w:styleId="xl95">
    <w:name w:val="xl95"/>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hint="eastAsia"/>
      <w:color w:val="000000"/>
      <w:szCs w:val="24"/>
    </w:rPr>
  </w:style>
  <w:style w:type="paragraph" w:customStyle="1" w:styleId="xl96">
    <w:name w:val="xl96"/>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b/>
      <w:color w:val="000000"/>
      <w:szCs w:val="24"/>
    </w:rPr>
  </w:style>
  <w:style w:type="paragraph" w:customStyle="1" w:styleId="affffffffffff4">
    <w:name w:val="表格头"/>
    <w:basedOn w:val="a3"/>
    <w:unhideWhenUsed/>
    <w:qFormat/>
    <w:pPr>
      <w:adjustRightInd w:val="0"/>
      <w:snapToGrid w:val="0"/>
      <w:spacing w:line="240" w:lineRule="atLeast"/>
      <w:jc w:val="right"/>
    </w:pPr>
    <w:rPr>
      <w:rFonts w:hAnsi="宋体" w:hint="eastAsia"/>
      <w:sz w:val="21"/>
    </w:rPr>
  </w:style>
  <w:style w:type="paragraph" w:customStyle="1" w:styleId="affffffffffff5">
    <w:name w:val="朔电正文"/>
    <w:basedOn w:val="a3"/>
    <w:unhideWhenUsed/>
    <w:qFormat/>
    <w:pPr>
      <w:adjustRightInd w:val="0"/>
      <w:snapToGrid w:val="0"/>
      <w:spacing w:beforeLines="25" w:line="440" w:lineRule="exact"/>
      <w:ind w:firstLine="480"/>
    </w:pPr>
    <w:rPr>
      <w:rFonts w:hint="eastAsia"/>
      <w:color w:val="000000"/>
      <w:kern w:val="32"/>
      <w:szCs w:val="24"/>
    </w:rPr>
  </w:style>
  <w:style w:type="paragraph" w:customStyle="1" w:styleId="3f1">
    <w:name w:val="宁标题3"/>
    <w:basedOn w:val="310"/>
    <w:unhideWhenUsed/>
    <w:qFormat/>
    <w:pPr>
      <w:spacing w:beforeLines="0" w:afterLines="0"/>
      <w:ind w:firstLineChars="0" w:firstLine="0"/>
      <w:jc w:val="left"/>
    </w:pPr>
    <w:rPr>
      <w:rFonts w:eastAsia="黑体"/>
      <w:b w:val="0"/>
      <w:sz w:val="30"/>
      <w:szCs w:val="30"/>
    </w:rPr>
  </w:style>
  <w:style w:type="paragraph" w:customStyle="1" w:styleId="1ffb">
    <w:name w:val="正文水资源论证1"/>
    <w:basedOn w:val="a3"/>
    <w:unhideWhenUsed/>
    <w:qFormat/>
    <w:pPr>
      <w:spacing w:line="520" w:lineRule="exact"/>
      <w:ind w:firstLine="560"/>
    </w:pPr>
    <w:rPr>
      <w:rFonts w:ascii="宋体" w:hAnsi="宋体" w:hint="eastAsia"/>
      <w:sz w:val="28"/>
      <w:szCs w:val="24"/>
    </w:rPr>
  </w:style>
  <w:style w:type="paragraph" w:customStyle="1" w:styleId="affffffffffff6">
    <w:name w:val="表注"/>
    <w:basedOn w:val="a3"/>
    <w:link w:val="Charfffc"/>
    <w:unhideWhenUsed/>
    <w:qFormat/>
    <w:pPr>
      <w:widowControl/>
      <w:adjustRightInd w:val="0"/>
      <w:snapToGrid w:val="0"/>
      <w:spacing w:before="60" w:line="280" w:lineRule="exact"/>
      <w:ind w:firstLine="300"/>
      <w:jc w:val="left"/>
    </w:pPr>
    <w:rPr>
      <w:rFonts w:ascii="Calibri" w:hAnsi="Calibri" w:hint="eastAsia"/>
      <w:kern w:val="32"/>
      <w:sz w:val="15"/>
      <w:szCs w:val="24"/>
      <w:lang w:eastAsia="en-US"/>
    </w:rPr>
  </w:style>
  <w:style w:type="paragraph" w:customStyle="1" w:styleId="290">
    <w:name w:val="样式29"/>
    <w:basedOn w:val="a3"/>
    <w:unhideWhenUsed/>
    <w:qFormat/>
    <w:pPr>
      <w:widowControl/>
      <w:tabs>
        <w:tab w:val="left" w:pos="45"/>
      </w:tabs>
      <w:spacing w:line="240" w:lineRule="exact"/>
      <w:jc w:val="center"/>
    </w:pPr>
    <w:rPr>
      <w:rFonts w:ascii="Calibri" w:hAnsi="Calibri" w:hint="eastAsia"/>
      <w:b/>
      <w:szCs w:val="24"/>
      <w:lang w:eastAsia="en-US"/>
    </w:rPr>
  </w:style>
  <w:style w:type="paragraph" w:customStyle="1" w:styleId="z-10">
    <w:name w:val="z-窗体底端1"/>
    <w:basedOn w:val="a3"/>
    <w:next w:val="a3"/>
    <w:unhideWhenUsed/>
    <w:qFormat/>
    <w:pPr>
      <w:pBdr>
        <w:top w:val="single" w:sz="6" w:space="1" w:color="auto"/>
      </w:pBdr>
      <w:jc w:val="center"/>
    </w:pPr>
    <w:rPr>
      <w:rFonts w:ascii="宋体" w:hAnsi="Courier New" w:hint="eastAsia"/>
      <w:sz w:val="21"/>
      <w:szCs w:val="20"/>
    </w:rPr>
  </w:style>
  <w:style w:type="paragraph" w:customStyle="1" w:styleId="CharCharChar1">
    <w:name w:val="Char Char Char1"/>
    <w:basedOn w:val="a3"/>
    <w:next w:val="a3"/>
    <w:unhideWhenUsed/>
    <w:qFormat/>
    <w:pPr>
      <w:keepNext/>
      <w:keepLines/>
      <w:widowControl/>
      <w:adjustRightInd w:val="0"/>
      <w:spacing w:before="40" w:after="40"/>
      <w:textAlignment w:val="baseline"/>
      <w:outlineLvl w:val="3"/>
    </w:pPr>
    <w:rPr>
      <w:rFonts w:eastAsia="仿宋_GB2312" w:cs="宋体" w:hint="eastAsia"/>
      <w:b/>
      <w:szCs w:val="28"/>
    </w:rPr>
  </w:style>
  <w:style w:type="paragraph" w:customStyle="1" w:styleId="300">
    <w:name w:val="样式 四号 加粗 左 行距: 固定值 30 磅"/>
    <w:basedOn w:val="310"/>
    <w:unhideWhenUsed/>
    <w:qFormat/>
    <w:pPr>
      <w:spacing w:beforeLines="0" w:afterLines="0" w:line="300" w:lineRule="exact"/>
      <w:ind w:firstLineChars="128" w:firstLine="360"/>
      <w:jc w:val="left"/>
    </w:pPr>
    <w:rPr>
      <w:sz w:val="28"/>
      <w:szCs w:val="20"/>
    </w:rPr>
  </w:style>
  <w:style w:type="paragraph" w:customStyle="1" w:styleId="Frontmatter">
    <w:name w:val="Frontmatter"/>
    <w:basedOn w:val="a3"/>
    <w:unhideWhenUsed/>
    <w:qFormat/>
    <w:pPr>
      <w:widowControl/>
      <w:spacing w:afterLines="200"/>
      <w:jc w:val="center"/>
      <w:outlineLvl w:val="0"/>
    </w:pPr>
    <w:rPr>
      <w:sz w:val="28"/>
      <w:szCs w:val="20"/>
    </w:rPr>
  </w:style>
  <w:style w:type="paragraph" w:customStyle="1" w:styleId="522">
    <w:name w:val="样式 样式 样式5 + 首行缩进:  2 字符2 +"/>
    <w:basedOn w:val="5220"/>
    <w:unhideWhenUsed/>
    <w:qFormat/>
    <w:pPr>
      <w:spacing w:line="500" w:lineRule="exact"/>
    </w:pPr>
  </w:style>
  <w:style w:type="paragraph" w:customStyle="1" w:styleId="5220">
    <w:name w:val="样式 样式5 + 首行缩进:  2 字符2"/>
    <w:basedOn w:val="5a"/>
    <w:unhideWhenUsed/>
    <w:qFormat/>
    <w:pPr>
      <w:spacing w:line="560" w:lineRule="exact"/>
      <w:ind w:firstLineChars="0" w:firstLine="200"/>
      <w:textAlignment w:val="baseline"/>
    </w:pPr>
    <w:rPr>
      <w:rFonts w:ascii="Times New Roman" w:hAnsi="Times New Roman"/>
      <w:b/>
      <w:sz w:val="26"/>
      <w:szCs w:val="20"/>
    </w:rPr>
  </w:style>
  <w:style w:type="paragraph" w:customStyle="1" w:styleId="5b">
    <w:name w:val="表格5"/>
    <w:unhideWhenUsed/>
    <w:qFormat/>
    <w:pPr>
      <w:jc w:val="both"/>
    </w:pPr>
    <w:rPr>
      <w:rFonts w:ascii="宋体" w:hAnsi="宋体" w:hint="eastAsia"/>
      <w:color w:val="000000"/>
      <w:sz w:val="24"/>
    </w:rPr>
  </w:style>
  <w:style w:type="paragraph" w:customStyle="1" w:styleId="MTDisplayEquation">
    <w:name w:val="MTDisplayEquation"/>
    <w:basedOn w:val="a3"/>
    <w:next w:val="a3"/>
    <w:link w:val="MTDisplayEquationChar"/>
    <w:unhideWhenUsed/>
    <w:qFormat/>
    <w:pPr>
      <w:widowControl/>
      <w:tabs>
        <w:tab w:val="center" w:pos="4500"/>
        <w:tab w:val="right" w:pos="9000"/>
      </w:tabs>
      <w:spacing w:before="60" w:after="120"/>
      <w:jc w:val="left"/>
    </w:pPr>
    <w:rPr>
      <w:rFonts w:hint="eastAsia"/>
      <w:szCs w:val="20"/>
    </w:rPr>
  </w:style>
  <w:style w:type="paragraph" w:customStyle="1" w:styleId="Preformatted">
    <w:name w:val="Preformatted"/>
    <w:basedOn w:val="a3"/>
    <w:unhideWhenUsed/>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hint="eastAsia"/>
      <w:sz w:val="20"/>
      <w:szCs w:val="20"/>
    </w:rPr>
  </w:style>
  <w:style w:type="paragraph" w:customStyle="1" w:styleId="2fe">
    <w:name w:val="目录2"/>
    <w:basedOn w:val="112"/>
    <w:unhideWhenUsed/>
    <w:qFormat/>
    <w:pPr>
      <w:tabs>
        <w:tab w:val="left" w:pos="0"/>
        <w:tab w:val="right" w:leader="dot" w:pos="8260"/>
        <w:tab w:val="right" w:leader="dot" w:pos="8296"/>
        <w:tab w:val="right" w:leader="dot" w:pos="8349"/>
      </w:tabs>
      <w:autoSpaceDE w:val="0"/>
      <w:autoSpaceDN w:val="0"/>
      <w:adjustRightInd w:val="0"/>
      <w:snapToGrid w:val="0"/>
      <w:spacing w:line="500" w:lineRule="exact"/>
      <w:jc w:val="both"/>
      <w:textAlignment w:val="baseline"/>
    </w:pPr>
    <w:rPr>
      <w:rFonts w:ascii="黑体" w:eastAsia="黑体" w:hAnsi="宋体"/>
      <w:spacing w:val="10"/>
      <w:kern w:val="10"/>
      <w:sz w:val="23"/>
    </w:rPr>
  </w:style>
  <w:style w:type="paragraph" w:customStyle="1" w:styleId="reference">
    <w:name w:val="reference"/>
    <w:basedOn w:val="icsptext"/>
    <w:unhideWhenUsed/>
    <w:qFormat/>
    <w:pPr>
      <w:tabs>
        <w:tab w:val="left" w:pos="720"/>
      </w:tabs>
      <w:adjustRightInd/>
      <w:snapToGrid/>
      <w:spacing w:line="240" w:lineRule="auto"/>
      <w:ind w:left="720" w:firstLineChars="0" w:hanging="720"/>
    </w:pPr>
    <w:rPr>
      <w:rFonts w:ascii="Times New Roman" w:eastAsia="仿宋_GB2312" w:hAnsi="Times New Roman" w:cs="Times New Roman"/>
      <w:color w:val="000000"/>
      <w:sz w:val="30"/>
      <w:szCs w:val="20"/>
    </w:rPr>
  </w:style>
  <w:style w:type="paragraph" w:customStyle="1" w:styleId="Figure">
    <w:name w:val="Figure"/>
    <w:basedOn w:val="a3"/>
    <w:unhideWhenUsed/>
    <w:qFormat/>
    <w:pPr>
      <w:widowControl/>
      <w:jc w:val="center"/>
    </w:pPr>
    <w:rPr>
      <w:rFonts w:hint="eastAsia"/>
      <w:szCs w:val="20"/>
    </w:rPr>
  </w:style>
  <w:style w:type="paragraph" w:customStyle="1" w:styleId="032251">
    <w:name w:val="样式 小三 加粗 左 首行缩进:  0.32 厘米 行距: 固定值 25 磅1"/>
    <w:basedOn w:val="213"/>
    <w:unhideWhenUsed/>
    <w:qFormat/>
    <w:pPr>
      <w:tabs>
        <w:tab w:val="left" w:pos="1322"/>
      </w:tabs>
      <w:adjustRightInd w:val="0"/>
      <w:spacing w:beforeLines="0" w:afterLines="0" w:line="300" w:lineRule="exact"/>
      <w:ind w:firstLineChars="0" w:firstLine="0"/>
      <w:jc w:val="left"/>
    </w:pPr>
    <w:rPr>
      <w:rFonts w:ascii="仿宋_GB2312" w:eastAsia="仿宋_GB2312" w:hAnsi="Arial"/>
      <w:sz w:val="30"/>
      <w:szCs w:val="20"/>
      <w:lang w:val="zh-CN"/>
    </w:rPr>
  </w:style>
  <w:style w:type="paragraph" w:customStyle="1" w:styleId="520">
    <w:name w:val="样式 样式5 + 首行缩进:  2 字符"/>
    <w:basedOn w:val="5a"/>
    <w:unhideWhenUsed/>
    <w:qFormat/>
    <w:pPr>
      <w:autoSpaceDE w:val="0"/>
      <w:autoSpaceDN w:val="0"/>
      <w:spacing w:line="276" w:lineRule="auto"/>
      <w:ind w:firstLineChars="0" w:firstLine="600"/>
      <w:textAlignment w:val="center"/>
    </w:pPr>
    <w:rPr>
      <w:rFonts w:ascii="Times New Roman" w:hAnsi="Times New Roman"/>
      <w:b/>
      <w:spacing w:val="10"/>
      <w:kern w:val="28"/>
      <w:sz w:val="26"/>
      <w:szCs w:val="20"/>
    </w:rPr>
  </w:style>
  <w:style w:type="paragraph" w:customStyle="1" w:styleId="affffffffffff7">
    <w:name w:val="表格内容格式"/>
    <w:basedOn w:val="a3"/>
    <w:unhideWhenUsed/>
    <w:qFormat/>
    <w:pPr>
      <w:widowControl/>
      <w:jc w:val="left"/>
    </w:pPr>
    <w:rPr>
      <w:rFonts w:hint="eastAsia"/>
      <w:sz w:val="21"/>
      <w:szCs w:val="20"/>
    </w:rPr>
  </w:style>
  <w:style w:type="paragraph" w:customStyle="1" w:styleId="1ffc">
    <w:name w:val="样式 标题 1封面大标题 + 三号"/>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4-105">
    <w:name w:val="样式 标题4 + 左侧:  -1.05 字符"/>
    <w:basedOn w:val="a3"/>
    <w:unhideWhenUsed/>
    <w:qFormat/>
    <w:pPr>
      <w:spacing w:line="600" w:lineRule="exact"/>
      <w:ind w:left="595"/>
    </w:pPr>
    <w:rPr>
      <w:rFonts w:eastAsia="黑体" w:hint="eastAsia"/>
      <w:szCs w:val="20"/>
    </w:rPr>
  </w:style>
  <w:style w:type="paragraph" w:customStyle="1" w:styleId="affffffffffff8">
    <w:name w:val="样式 宋体 四号"/>
    <w:basedOn w:val="a3"/>
    <w:unhideWhenUsed/>
    <w:qFormat/>
    <w:pPr>
      <w:spacing w:beforeLines="50" w:afterLines="50" w:line="560" w:lineRule="exact"/>
    </w:pPr>
    <w:rPr>
      <w:rFonts w:ascii="宋体" w:hint="eastAsia"/>
      <w:b/>
      <w:sz w:val="28"/>
      <w:szCs w:val="20"/>
    </w:rPr>
  </w:style>
  <w:style w:type="paragraph" w:customStyle="1" w:styleId="StyletitleNotBoldAllcaps">
    <w:name w:val="Style title + Not Bold All caps"/>
    <w:basedOn w:val="213"/>
    <w:unhideWhenUsed/>
    <w:qFormat/>
    <w:pPr>
      <w:keepNext w:val="0"/>
      <w:widowControl/>
      <w:tabs>
        <w:tab w:val="left" w:pos="1322"/>
      </w:tabs>
      <w:spacing w:beforeLines="0" w:afterLines="0"/>
      <w:ind w:firstLineChars="0" w:firstLine="0"/>
      <w:jc w:val="center"/>
    </w:pPr>
    <w:rPr>
      <w:caps/>
      <w:sz w:val="28"/>
      <w:szCs w:val="20"/>
    </w:rPr>
  </w:style>
  <w:style w:type="paragraph" w:customStyle="1" w:styleId="Table10">
    <w:name w:val="Table 10"/>
    <w:basedOn w:val="Tablecontents"/>
    <w:unhideWhenUsed/>
    <w:qFormat/>
    <w:pPr>
      <w:jc w:val="left"/>
    </w:pPr>
    <w:rPr>
      <w:sz w:val="20"/>
    </w:rPr>
  </w:style>
  <w:style w:type="paragraph" w:customStyle="1" w:styleId="Tablecontents">
    <w:name w:val="Table contents"/>
    <w:basedOn w:val="a3"/>
    <w:unhideWhenUsed/>
    <w:qFormat/>
    <w:pPr>
      <w:widowControl/>
      <w:jc w:val="center"/>
    </w:pPr>
    <w:rPr>
      <w:rFonts w:hint="eastAsia"/>
      <w:kern w:val="24"/>
      <w:szCs w:val="20"/>
      <w:lang w:eastAsia="en-US"/>
    </w:rPr>
  </w:style>
  <w:style w:type="paragraph" w:customStyle="1" w:styleId="affffffffffff9">
    <w:name w:val="样式 五号 居中"/>
    <w:basedOn w:val="a3"/>
    <w:unhideWhenUsed/>
    <w:qFormat/>
    <w:pPr>
      <w:spacing w:line="280" w:lineRule="exact"/>
      <w:jc w:val="center"/>
    </w:pPr>
    <w:rPr>
      <w:rFonts w:hint="eastAsia"/>
      <w:sz w:val="21"/>
      <w:szCs w:val="20"/>
    </w:rPr>
  </w:style>
  <w:style w:type="paragraph" w:customStyle="1" w:styleId="TimesNewRoman-12212">
    <w:name w:val="样式 表 + Times New Roman 左侧:  -1.22 厘米 行距: 最小值 12 磅"/>
    <w:basedOn w:val="affffffa"/>
    <w:unhideWhenUsed/>
    <w:qFormat/>
    <w:pPr>
      <w:keepLines/>
      <w:tabs>
        <w:tab w:val="left" w:pos="369"/>
        <w:tab w:val="left" w:pos="7740"/>
      </w:tabs>
      <w:adjustRightInd w:val="0"/>
      <w:spacing w:line="240" w:lineRule="atLeast"/>
    </w:pPr>
    <w:rPr>
      <w:rFonts w:ascii="宋体" w:hAnsi="宋体"/>
      <w:color w:val="FF0000"/>
      <w:sz w:val="24"/>
    </w:rPr>
  </w:style>
  <w:style w:type="paragraph" w:customStyle="1" w:styleId="affffffffffffa">
    <w:name w:val="表图名"/>
    <w:unhideWhenUsed/>
    <w:qFormat/>
    <w:pPr>
      <w:spacing w:beforeLines="50" w:afterLines="50" w:line="360" w:lineRule="auto"/>
      <w:jc w:val="center"/>
    </w:pPr>
    <w:rPr>
      <w:rFonts w:hint="eastAsia"/>
      <w:b/>
      <w:kern w:val="2"/>
      <w:sz w:val="21"/>
    </w:rPr>
  </w:style>
  <w:style w:type="paragraph" w:customStyle="1" w:styleId="TableFigureCaption">
    <w:name w:val="Table Figure Caption"/>
    <w:basedOn w:val="a3"/>
    <w:link w:val="TableFigureCaptionChar"/>
    <w:unhideWhenUsed/>
    <w:qFormat/>
    <w:pPr>
      <w:widowControl/>
      <w:jc w:val="center"/>
    </w:pPr>
    <w:rPr>
      <w:rFonts w:hint="eastAsia"/>
      <w:szCs w:val="20"/>
    </w:rPr>
  </w:style>
  <w:style w:type="paragraph" w:customStyle="1" w:styleId="Style1">
    <w:name w:val="Style1"/>
    <w:basedOn w:val="a3"/>
    <w:unhideWhenUsed/>
    <w:qFormat/>
    <w:pPr>
      <w:widowControl/>
      <w:tabs>
        <w:tab w:val="left" w:pos="-720"/>
      </w:tabs>
      <w:spacing w:after="120"/>
    </w:pPr>
    <w:rPr>
      <w:rFonts w:hint="eastAsia"/>
      <w:spacing w:val="-3"/>
      <w:szCs w:val="20"/>
      <w:lang w:val="en-AU" w:eastAsia="en-US"/>
    </w:rPr>
  </w:style>
  <w:style w:type="paragraph" w:customStyle="1" w:styleId="singlespace">
    <w:name w:val="single space"/>
    <w:basedOn w:val="a3"/>
    <w:unhideWhenUsed/>
    <w:qFormat/>
    <w:pPr>
      <w:widowControl/>
      <w:jc w:val="center"/>
    </w:pPr>
    <w:rPr>
      <w:rFonts w:hint="eastAsia"/>
      <w:szCs w:val="20"/>
    </w:rPr>
  </w:style>
  <w:style w:type="paragraph" w:customStyle="1" w:styleId="305">
    <w:name w:val="样式 标题 3 + 段前: 0.5 行"/>
    <w:basedOn w:val="310"/>
    <w:unhideWhenUsed/>
    <w:qFormat/>
    <w:pPr>
      <w:spacing w:beforeLines="100" w:line="240" w:lineRule="auto"/>
      <w:ind w:left="-288" w:firstLineChars="0" w:firstLine="0"/>
    </w:pPr>
    <w:rPr>
      <w:rFonts w:ascii="宋体" w:eastAsia="黑体" w:hAnsi="宋体"/>
      <w:sz w:val="28"/>
      <w:szCs w:val="20"/>
    </w:rPr>
  </w:style>
  <w:style w:type="paragraph" w:customStyle="1" w:styleId="1156">
    <w:name w:val="样式 标题 1封面大标题 + 段后: 15.6 磅"/>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28050">
    <w:name w:val="样式 (中文) 黑体 28 磅 居中 段前: 0.5 行 首行缩进:  0 字符"/>
    <w:unhideWhenUsed/>
    <w:qFormat/>
    <w:pPr>
      <w:spacing w:before="652"/>
      <w:jc w:val="center"/>
    </w:pPr>
    <w:rPr>
      <w:rFonts w:eastAsia="黑体" w:hint="eastAsia"/>
      <w:kern w:val="2"/>
      <w:sz w:val="56"/>
    </w:rPr>
  </w:style>
  <w:style w:type="paragraph" w:customStyle="1" w:styleId="tempheading1">
    <w:name w:val="temp heading1"/>
    <w:basedOn w:val="310"/>
    <w:unhideWhenUsed/>
    <w:qFormat/>
    <w:pPr>
      <w:jc w:val="left"/>
      <w:outlineLvl w:val="0"/>
    </w:pPr>
    <w:rPr>
      <w:sz w:val="28"/>
      <w:szCs w:val="20"/>
    </w:rPr>
  </w:style>
  <w:style w:type="paragraph" w:customStyle="1" w:styleId="105050">
    <w:name w:val="样式 样式 样式 标题 1封面大标题 + 段前: 0.5 行 段后: 0.5 行 + +"/>
    <w:basedOn w:val="105051"/>
    <w:unhideWhenUsed/>
    <w:qFormat/>
    <w:pPr>
      <w:spacing w:beforeLines="100" w:afterLines="100"/>
    </w:pPr>
  </w:style>
  <w:style w:type="paragraph" w:customStyle="1" w:styleId="105051">
    <w:name w:val="样式 样式 标题 1封面大标题 + 段前: 0.5 行 段后: 0.5 行 +"/>
    <w:basedOn w:val="105052"/>
    <w:unhideWhenUsed/>
    <w:qFormat/>
    <w:pPr>
      <w:spacing w:beforeLines="60" w:afterLines="60"/>
    </w:pPr>
  </w:style>
  <w:style w:type="paragraph" w:customStyle="1" w:styleId="105052">
    <w:name w:val="样式 标题 1封面大标题 + 段前: 0.5 行 段后: 0.5 行"/>
    <w:basedOn w:val="110"/>
    <w:unhideWhenUsed/>
    <w:qFormat/>
    <w:pPr>
      <w:spacing w:beforeLines="50" w:line="600" w:lineRule="exact"/>
      <w:ind w:firstLineChars="0" w:firstLine="0"/>
      <w:jc w:val="center"/>
      <w:textAlignment w:val="baseline"/>
    </w:pPr>
    <w:rPr>
      <w:rFonts w:ascii="宋体" w:hAnsi="宋体"/>
      <w:b w:val="0"/>
      <w:spacing w:val="10"/>
      <w:sz w:val="40"/>
      <w:szCs w:val="20"/>
    </w:rPr>
  </w:style>
  <w:style w:type="paragraph" w:customStyle="1" w:styleId="251">
    <w:name w:val="样式 四号 行距: 固定值 25 磅"/>
    <w:basedOn w:val="a3"/>
    <w:unhideWhenUsed/>
    <w:qFormat/>
    <w:pPr>
      <w:spacing w:line="480" w:lineRule="exact"/>
      <w:ind w:firstLine="420"/>
    </w:pPr>
    <w:rPr>
      <w:rFonts w:ascii="宋体" w:hAnsi="宋体" w:hint="eastAsia"/>
      <w:szCs w:val="20"/>
    </w:rPr>
  </w:style>
  <w:style w:type="paragraph" w:customStyle="1" w:styleId="225">
    <w:name w:val="样式 分目录2 + 首行缩进:  2 字符"/>
    <w:basedOn w:val="2ff"/>
    <w:unhideWhenUsed/>
    <w:qFormat/>
    <w:pPr>
      <w:spacing w:line="360" w:lineRule="auto"/>
      <w:ind w:firstLine="482"/>
    </w:pPr>
    <w:rPr>
      <w:sz w:val="24"/>
    </w:rPr>
  </w:style>
  <w:style w:type="paragraph" w:customStyle="1" w:styleId="2ff">
    <w:name w:val="分目录2"/>
    <w:basedOn w:val="1ff6"/>
    <w:link w:val="2Chara"/>
    <w:unhideWhenUsed/>
    <w:qFormat/>
    <w:pPr>
      <w:spacing w:line="500" w:lineRule="exact"/>
      <w:ind w:firstLine="480"/>
    </w:pPr>
    <w:rPr>
      <w:color w:val="000000"/>
    </w:rPr>
  </w:style>
  <w:style w:type="paragraph" w:customStyle="1" w:styleId="affffffffffffb">
    <w:name w:val="参考文献"/>
    <w:basedOn w:val="a3"/>
    <w:unhideWhenUsed/>
    <w:qFormat/>
    <w:pPr>
      <w:adjustRightInd w:val="0"/>
      <w:snapToGrid w:val="0"/>
      <w:spacing w:line="500" w:lineRule="exact"/>
      <w:ind w:firstLine="480"/>
    </w:pPr>
    <w:rPr>
      <w:rFonts w:hint="eastAsia"/>
      <w:szCs w:val="20"/>
    </w:rPr>
  </w:style>
  <w:style w:type="paragraph" w:customStyle="1" w:styleId="11561">
    <w:name w:val="样式 标题 1封面大标题 + 段后: 15.6 磅1"/>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5c">
    <w:name w:val="表5号字"/>
    <w:basedOn w:val="a3"/>
    <w:unhideWhenUsed/>
    <w:qFormat/>
    <w:pPr>
      <w:widowControl/>
      <w:jc w:val="left"/>
    </w:pPr>
    <w:rPr>
      <w:rFonts w:hint="eastAsia"/>
      <w:sz w:val="21"/>
      <w:szCs w:val="20"/>
    </w:rPr>
  </w:style>
  <w:style w:type="paragraph" w:customStyle="1" w:styleId="2ff0">
    <w:name w:val="正文首行缩进2字符"/>
    <w:basedOn w:val="BodyTextIndent1"/>
    <w:link w:val="2CharChar4"/>
    <w:unhideWhenUsed/>
    <w:qFormat/>
    <w:pPr>
      <w:spacing w:beforeLines="50" w:after="0"/>
      <w:ind w:leftChars="0" w:left="0"/>
    </w:pPr>
    <w:rPr>
      <w:sz w:val="24"/>
      <w:szCs w:val="20"/>
    </w:rPr>
  </w:style>
  <w:style w:type="paragraph" w:customStyle="1" w:styleId="423">
    <w:name w:val="正文格式42"/>
    <w:basedOn w:val="a3"/>
    <w:unhideWhenUsed/>
    <w:qFormat/>
    <w:pPr>
      <w:widowControl/>
      <w:spacing w:beforeLines="50" w:afterLines="50"/>
      <w:ind w:firstLine="482"/>
      <w:jc w:val="left"/>
    </w:pPr>
    <w:rPr>
      <w:rFonts w:ascii="宋体" w:hAnsi="宋体" w:hint="eastAsia"/>
      <w:szCs w:val="20"/>
    </w:rPr>
  </w:style>
  <w:style w:type="paragraph" w:customStyle="1" w:styleId="320">
    <w:name w:val="样式 目录3 + 首行缩进:  2 字符"/>
    <w:basedOn w:val="3f2"/>
    <w:unhideWhenUsed/>
    <w:qFormat/>
    <w:pPr>
      <w:ind w:firstLine="560"/>
    </w:pPr>
    <w:rPr>
      <w:b w:val="0"/>
    </w:rPr>
  </w:style>
  <w:style w:type="paragraph" w:customStyle="1" w:styleId="3f2">
    <w:name w:val="目录3"/>
    <w:basedOn w:val="a3"/>
    <w:unhideWhenUsed/>
    <w:qFormat/>
    <w:pPr>
      <w:tabs>
        <w:tab w:val="right" w:leader="dot" w:pos="8777"/>
      </w:tabs>
      <w:spacing w:line="400" w:lineRule="exact"/>
    </w:pPr>
    <w:rPr>
      <w:rFonts w:hint="eastAsia"/>
      <w:b/>
      <w:szCs w:val="20"/>
    </w:rPr>
  </w:style>
  <w:style w:type="paragraph" w:customStyle="1" w:styleId="810851">
    <w:name w:val="样式 样式 样式 样式 审签页 审签字 + 左侧:  8 字符 段前: 1 行 + 首行缩进:  0.85 厘米 段前: 1 行..."/>
    <w:basedOn w:val="a3"/>
    <w:unhideWhenUsed/>
    <w:qFormat/>
    <w:pPr>
      <w:adjustRightInd w:val="0"/>
      <w:snapToGrid w:val="0"/>
      <w:spacing w:beforeLines="100" w:line="700" w:lineRule="exact"/>
      <w:ind w:leftChars="1000" w:left="1000"/>
    </w:pPr>
    <w:rPr>
      <w:rFonts w:eastAsia="楷体_GB2312" w:hint="eastAsia"/>
      <w:color w:val="000000"/>
      <w:sz w:val="21"/>
      <w:szCs w:val="20"/>
    </w:rPr>
  </w:style>
  <w:style w:type="paragraph" w:customStyle="1" w:styleId="524">
    <w:name w:val="样式 样式5 + 首行缩进:  2 字符4"/>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30505">
    <w:name w:val="样式 标题 3 + 段前: 0.5 行 段后: 0.5 行"/>
    <w:basedOn w:val="310"/>
    <w:unhideWhenUsed/>
    <w:qFormat/>
    <w:pPr>
      <w:spacing w:beforeLines="100" w:afterLines="40" w:line="240" w:lineRule="auto"/>
      <w:ind w:left="-288" w:firstLineChars="0" w:firstLine="0"/>
    </w:pPr>
    <w:rPr>
      <w:rFonts w:ascii="宋体" w:eastAsia="黑体" w:hAnsi="宋体"/>
      <w:sz w:val="28"/>
      <w:szCs w:val="20"/>
    </w:rPr>
  </w:style>
  <w:style w:type="paragraph" w:customStyle="1" w:styleId="4f0">
    <w:name w:val="陈标题4"/>
    <w:basedOn w:val="a3"/>
    <w:next w:val="a3"/>
    <w:link w:val="4Char2"/>
    <w:unhideWhenUsed/>
    <w:qFormat/>
    <w:pPr>
      <w:keepNext/>
      <w:keepLines/>
      <w:spacing w:line="288" w:lineRule="auto"/>
      <w:outlineLvl w:val="3"/>
    </w:pPr>
    <w:rPr>
      <w:rFonts w:hint="eastAsia"/>
      <w:b/>
      <w:szCs w:val="20"/>
    </w:rPr>
  </w:style>
  <w:style w:type="paragraph" w:customStyle="1" w:styleId="3-1031-103">
    <w:name w:val="样式 样式 样式 样式 标题 3 + 左  -1.03 字符 首行缩进:  1 字符 + 左侧:  -1.03 字符 + 左侧:..."/>
    <w:basedOn w:val="a3"/>
    <w:unhideWhenUsed/>
    <w:qFormat/>
    <w:pPr>
      <w:spacing w:line="600" w:lineRule="exact"/>
      <w:ind w:firstLine="560"/>
    </w:pPr>
    <w:rPr>
      <w:rFonts w:hint="eastAsia"/>
      <w:sz w:val="28"/>
      <w:szCs w:val="20"/>
    </w:rPr>
  </w:style>
  <w:style w:type="paragraph" w:customStyle="1" w:styleId="2W200">
    <w:name w:val="样式 标题 2W2 + (西文) 宋体 四号 段前: 0 磅 段后: 0 磅 行距: 单倍行距"/>
    <w:basedOn w:val="213"/>
    <w:unhideWhenUsed/>
    <w:qFormat/>
    <w:pPr>
      <w:tabs>
        <w:tab w:val="left" w:pos="360"/>
        <w:tab w:val="left" w:pos="1320"/>
        <w:tab w:val="left" w:pos="1322"/>
      </w:tabs>
      <w:spacing w:line="240" w:lineRule="auto"/>
      <w:ind w:left="1320" w:firstLineChars="0" w:hanging="420"/>
    </w:pPr>
    <w:rPr>
      <w:rFonts w:ascii="黑体" w:eastAsia="黑体" w:hAnsi="宋体"/>
      <w:b w:val="0"/>
      <w:spacing w:val="10"/>
      <w:sz w:val="30"/>
      <w:szCs w:val="20"/>
    </w:rPr>
  </w:style>
  <w:style w:type="paragraph" w:customStyle="1" w:styleId="Text">
    <w:name w:val="Text"/>
    <w:basedOn w:val="a3"/>
    <w:unhideWhenUsed/>
    <w:qFormat/>
    <w:pPr>
      <w:widowControl/>
      <w:spacing w:before="240"/>
      <w:jc w:val="left"/>
    </w:pPr>
    <w:rPr>
      <w:rFonts w:hint="eastAsia"/>
      <w:szCs w:val="20"/>
    </w:rPr>
  </w:style>
  <w:style w:type="paragraph" w:customStyle="1" w:styleId="StyleTextItalic">
    <w:name w:val="Style Text + Italic"/>
    <w:basedOn w:val="Text"/>
    <w:unhideWhenUsed/>
    <w:qFormat/>
    <w:rPr>
      <w:i/>
    </w:rPr>
  </w:style>
  <w:style w:type="paragraph" w:customStyle="1" w:styleId="CharCharCharChar11">
    <w:name w:val="Char Char Char Char11"/>
    <w:basedOn w:val="a3"/>
    <w:unhideWhenUsed/>
    <w:qFormat/>
    <w:rPr>
      <w:rFonts w:hint="eastAsia"/>
      <w:sz w:val="21"/>
      <w:szCs w:val="20"/>
    </w:rPr>
  </w:style>
  <w:style w:type="paragraph" w:customStyle="1" w:styleId="3f3">
    <w:name w:val="样式 标题 3 + 黑体 小四"/>
    <w:basedOn w:val="a3"/>
    <w:link w:val="3Char2"/>
    <w:unhideWhenUsed/>
    <w:qFormat/>
    <w:pPr>
      <w:spacing w:line="600" w:lineRule="exact"/>
    </w:pPr>
    <w:rPr>
      <w:rFonts w:ascii="黑体" w:hAnsi="黑体" w:hint="eastAsia"/>
      <w:szCs w:val="20"/>
    </w:rPr>
  </w:style>
  <w:style w:type="paragraph" w:customStyle="1" w:styleId="3180">
    <w:name w:val="样式 标题3 + 小四 左侧:  1.8 字符"/>
    <w:basedOn w:val="3c"/>
    <w:unhideWhenUsed/>
    <w:qFormat/>
    <w:pPr>
      <w:snapToGrid/>
      <w:spacing w:line="480" w:lineRule="exact"/>
      <w:ind w:leftChars="180" w:left="504" w:firstLine="0"/>
    </w:pPr>
    <w:rPr>
      <w:rFonts w:eastAsia="黑体"/>
      <w:sz w:val="30"/>
    </w:rPr>
  </w:style>
  <w:style w:type="paragraph" w:customStyle="1" w:styleId="subhead1">
    <w:name w:val="subhead1"/>
    <w:basedOn w:val="a3"/>
    <w:unhideWhenUsed/>
    <w:qFormat/>
    <w:pPr>
      <w:widowControl/>
      <w:jc w:val="left"/>
    </w:pPr>
    <w:rPr>
      <w:rFonts w:hint="eastAsia"/>
      <w:szCs w:val="20"/>
    </w:rPr>
  </w:style>
  <w:style w:type="paragraph" w:customStyle="1" w:styleId="StyleTextCenteredLinespacingsingle">
    <w:name w:val="Style Text + Centered Line spacing:  single"/>
    <w:basedOn w:val="Text"/>
    <w:unhideWhenUsed/>
    <w:qFormat/>
    <w:pPr>
      <w:spacing w:beforeLines="60" w:line="240" w:lineRule="auto"/>
      <w:jc w:val="center"/>
    </w:pPr>
  </w:style>
  <w:style w:type="paragraph" w:customStyle="1" w:styleId="c1">
    <w:name w:val="正文c"/>
    <w:basedOn w:val="a3"/>
    <w:link w:val="cChar"/>
    <w:unhideWhenUsed/>
    <w:qFormat/>
    <w:pPr>
      <w:jc w:val="center"/>
    </w:pPr>
    <w:rPr>
      <w:rFonts w:eastAsia="仿宋_GB2312" w:hint="eastAsia"/>
      <w:sz w:val="28"/>
      <w:szCs w:val="20"/>
    </w:rPr>
  </w:style>
  <w:style w:type="paragraph" w:customStyle="1" w:styleId="2W205050505">
    <w:name w:val="样式 样式 标题 2W2 + 段前: 0.5 行 段后: 0.5 行 + 段前: 0.5 行 段后: 0.5 行"/>
    <w:basedOn w:val="2W20505"/>
    <w:unhideWhenUsed/>
    <w:qFormat/>
    <w:pPr>
      <w:spacing w:beforeLines="100"/>
    </w:pPr>
  </w:style>
  <w:style w:type="paragraph" w:customStyle="1" w:styleId="2W20505">
    <w:name w:val="样式 标题 2W2 + 段前: 0.5 行 段后: 0.5 行"/>
    <w:basedOn w:val="213"/>
    <w:unhideWhenUsed/>
    <w:qFormat/>
    <w:pPr>
      <w:tabs>
        <w:tab w:val="left" w:pos="1322"/>
      </w:tabs>
      <w:spacing w:line="400" w:lineRule="exact"/>
      <w:ind w:left="-288" w:firstLineChars="0" w:firstLine="0"/>
    </w:pPr>
    <w:rPr>
      <w:rFonts w:eastAsia="黑体"/>
      <w:spacing w:val="10"/>
      <w:sz w:val="30"/>
      <w:szCs w:val="20"/>
    </w:rPr>
  </w:style>
  <w:style w:type="paragraph" w:customStyle="1" w:styleId="affffffffffffc">
    <w:name w:val="样式 正文缩进 + 宋体 小四"/>
    <w:basedOn w:val="1b"/>
    <w:unhideWhenUsed/>
    <w:qFormat/>
    <w:pPr>
      <w:spacing w:line="600" w:lineRule="exact"/>
    </w:pPr>
    <w:rPr>
      <w:rFonts w:ascii="宋体" w:hAnsi="宋体"/>
      <w:spacing w:val="-2"/>
      <w:sz w:val="28"/>
    </w:rPr>
  </w:style>
  <w:style w:type="paragraph" w:customStyle="1" w:styleId="affffffffffffd">
    <w:name w:val="居中 单倍行距"/>
    <w:basedOn w:val="154"/>
    <w:unhideWhenUsed/>
    <w:qFormat/>
    <w:pPr>
      <w:spacing w:line="240" w:lineRule="auto"/>
    </w:pPr>
  </w:style>
  <w:style w:type="paragraph" w:customStyle="1" w:styleId="154">
    <w:name w:val="居中 1.5 倍行距"/>
    <w:basedOn w:val="a3"/>
    <w:unhideWhenUsed/>
    <w:qFormat/>
    <w:pPr>
      <w:spacing w:beforeLines="50"/>
      <w:jc w:val="center"/>
    </w:pPr>
    <w:rPr>
      <w:rFonts w:hint="eastAsia"/>
      <w:szCs w:val="20"/>
    </w:rPr>
  </w:style>
  <w:style w:type="paragraph" w:customStyle="1" w:styleId="affffffffffffe">
    <w:name w:val="附录标识"/>
    <w:basedOn w:val="a3"/>
    <w:next w:val="a3"/>
    <w:unhideWhenUsed/>
    <w:qFormat/>
    <w:pPr>
      <w:widowControl/>
      <w:shd w:val="clear" w:color="FFFFFF" w:fill="FFFFFF"/>
      <w:spacing w:before="120" w:line="460" w:lineRule="exact"/>
      <w:ind w:right="420" w:firstLine="480"/>
      <w:outlineLvl w:val="0"/>
    </w:pPr>
    <w:rPr>
      <w:rFonts w:ascii="宋体" w:hAnsi="宋体" w:hint="eastAsia"/>
      <w:spacing w:val="10"/>
      <w:sz w:val="18"/>
      <w:szCs w:val="20"/>
    </w:rPr>
  </w:style>
  <w:style w:type="paragraph" w:customStyle="1" w:styleId="ParaCharCharCharCharCharCharChar">
    <w:name w:val="默认段落字体 Para Char Char Char Char Char Char Char"/>
    <w:basedOn w:val="a3"/>
    <w:unhideWhenUsed/>
    <w:qFormat/>
    <w:rPr>
      <w:rFonts w:ascii="宋体" w:hint="eastAsia"/>
      <w:szCs w:val="20"/>
    </w:rPr>
  </w:style>
  <w:style w:type="paragraph" w:customStyle="1" w:styleId="2113">
    <w:name w:val="2.1.1 标题 3"/>
    <w:basedOn w:val="310"/>
    <w:unhideWhenUsed/>
    <w:qFormat/>
    <w:pPr>
      <w:ind w:firstLineChars="0" w:firstLine="0"/>
      <w:jc w:val="left"/>
    </w:pPr>
    <w:rPr>
      <w:b w:val="0"/>
      <w:color w:val="FF0000"/>
      <w:sz w:val="28"/>
      <w:szCs w:val="20"/>
    </w:rPr>
  </w:style>
  <w:style w:type="paragraph" w:customStyle="1" w:styleId="afffffffffffff">
    <w:name w:val="分目录"/>
    <w:basedOn w:val="a3"/>
    <w:unhideWhenUsed/>
    <w:qFormat/>
    <w:pPr>
      <w:adjustRightInd w:val="0"/>
      <w:snapToGrid w:val="0"/>
      <w:spacing w:line="500" w:lineRule="exact"/>
      <w:jc w:val="center"/>
    </w:pPr>
    <w:rPr>
      <w:rFonts w:hint="eastAsia"/>
      <w:b/>
      <w:color w:val="000000"/>
      <w:sz w:val="32"/>
      <w:szCs w:val="20"/>
    </w:rPr>
  </w:style>
  <w:style w:type="paragraph" w:customStyle="1" w:styleId="StyleTablecontentsLeft">
    <w:name w:val="Style Table contents + Left"/>
    <w:basedOn w:val="Tablecontents"/>
    <w:unhideWhenUsed/>
    <w:qFormat/>
    <w:pPr>
      <w:jc w:val="left"/>
    </w:pPr>
    <w:rPr>
      <w:rFonts w:hint="default"/>
    </w:rPr>
  </w:style>
  <w:style w:type="paragraph" w:customStyle="1" w:styleId="2ff1">
    <w:name w:val="题注2"/>
    <w:basedOn w:val="a3"/>
    <w:unhideWhenUsed/>
    <w:qFormat/>
    <w:pPr>
      <w:suppressLineNumbers/>
      <w:suppressAutoHyphens/>
      <w:spacing w:beforeLines="50" w:afterLines="50"/>
      <w:jc w:val="left"/>
    </w:pPr>
    <w:rPr>
      <w:rFonts w:hint="eastAsia"/>
      <w:i/>
      <w:szCs w:val="20"/>
    </w:rPr>
  </w:style>
  <w:style w:type="paragraph" w:customStyle="1" w:styleId="2ff2">
    <w:name w:val="封面2"/>
    <w:unhideWhenUsed/>
    <w:qFormat/>
    <w:pPr>
      <w:tabs>
        <w:tab w:val="left" w:pos="6083"/>
      </w:tabs>
      <w:snapToGrid w:val="0"/>
      <w:spacing w:line="360" w:lineRule="auto"/>
      <w:jc w:val="center"/>
    </w:pPr>
    <w:rPr>
      <w:rFonts w:eastAsia="仿宋_GB2312" w:hint="eastAsia"/>
      <w:b/>
      <w:sz w:val="52"/>
    </w:rPr>
  </w:style>
  <w:style w:type="paragraph" w:customStyle="1" w:styleId="CM9">
    <w:name w:val="CM9"/>
    <w:basedOn w:val="Default"/>
    <w:next w:val="Default"/>
    <w:unhideWhenUsed/>
    <w:qFormat/>
    <w:pPr>
      <w:spacing w:line="540" w:lineRule="atLeast"/>
    </w:pPr>
    <w:rPr>
      <w:rFonts w:ascii="Arial" w:hAnsi="Arial" w:hint="eastAsia"/>
      <w:sz w:val="20"/>
      <w:szCs w:val="20"/>
    </w:rPr>
  </w:style>
  <w:style w:type="paragraph" w:customStyle="1" w:styleId="420505">
    <w:name w:val="样式 样式 样式 标题 4 + 首行缩进:  2 字符 段前: 0.5 行 段后: 0.5 行 + +"/>
    <w:basedOn w:val="4205050"/>
    <w:unhideWhenUsed/>
    <w:qFormat/>
  </w:style>
  <w:style w:type="paragraph" w:customStyle="1" w:styleId="4205050">
    <w:name w:val="样式 样式 标题 4 + 首行缩进:  2 字符 段前: 0.5 行 段后: 0.5 行 +"/>
    <w:basedOn w:val="4205051"/>
    <w:unhideWhenUsed/>
    <w:qFormat/>
    <w:pPr>
      <w:spacing w:beforeLines="0" w:after="50"/>
      <w:ind w:firstLine="200"/>
    </w:pPr>
  </w:style>
  <w:style w:type="paragraph" w:customStyle="1" w:styleId="4205051">
    <w:name w:val="样式 标题 4 + 首行缩进:  2 字符 段前: 0.5 行 段后: 0.5 行"/>
    <w:basedOn w:val="410"/>
    <w:unhideWhenUsed/>
    <w:qFormat/>
    <w:pPr>
      <w:keepNext w:val="0"/>
      <w:tabs>
        <w:tab w:val="left" w:pos="2880"/>
      </w:tabs>
      <w:topLinePunct/>
      <w:snapToGrid w:val="0"/>
      <w:spacing w:afterLines="0" w:line="460" w:lineRule="exact"/>
      <w:ind w:firstLineChars="0" w:firstLine="560"/>
    </w:pPr>
    <w:rPr>
      <w:rFonts w:ascii="宋体" w:eastAsia="黑体"/>
      <w:b w:val="0"/>
      <w:kern w:val="4"/>
      <w:sz w:val="26"/>
      <w:szCs w:val="20"/>
    </w:rPr>
  </w:style>
  <w:style w:type="paragraph" w:customStyle="1" w:styleId="1ffd">
    <w:name w:val="样式 标题 1封面大标题 +"/>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afffffffffffff0">
    <w:name w:val="主标题"/>
    <w:basedOn w:val="a3"/>
    <w:unhideWhenUsed/>
    <w:qFormat/>
    <w:pPr>
      <w:autoSpaceDE w:val="0"/>
      <w:autoSpaceDN w:val="0"/>
      <w:adjustRightInd w:val="0"/>
      <w:snapToGrid w:val="0"/>
      <w:jc w:val="center"/>
    </w:pPr>
    <w:rPr>
      <w:rFonts w:eastAsia="黑体" w:hint="eastAsia"/>
      <w:sz w:val="52"/>
      <w:szCs w:val="20"/>
    </w:rPr>
  </w:style>
  <w:style w:type="paragraph" w:customStyle="1" w:styleId="5d">
    <w:name w:val="表格小5"/>
    <w:unhideWhenUsed/>
    <w:qFormat/>
    <w:pPr>
      <w:jc w:val="center"/>
    </w:pPr>
    <w:rPr>
      <w:rFonts w:hint="eastAsia"/>
      <w:sz w:val="18"/>
    </w:rPr>
  </w:style>
  <w:style w:type="paragraph" w:customStyle="1" w:styleId="2ff3">
    <w:name w:val="样式 手册正文 + 首行缩进:  2 字符"/>
    <w:basedOn w:val="a3"/>
    <w:unhideWhenUsed/>
    <w:qFormat/>
    <w:pPr>
      <w:adjustRightInd w:val="0"/>
      <w:spacing w:line="60" w:lineRule="atLeast"/>
      <w:ind w:firstLine="420"/>
    </w:pPr>
    <w:rPr>
      <w:rFonts w:hint="eastAsia"/>
      <w:color w:val="000000"/>
      <w:sz w:val="21"/>
      <w:szCs w:val="20"/>
    </w:rPr>
  </w:style>
  <w:style w:type="paragraph" w:customStyle="1" w:styleId="4205052">
    <w:name w:val="样式 标题 4 + 首行缩进:  2 字符 段前: 0.5 行 段后: 0.5 行2"/>
    <w:basedOn w:val="410"/>
    <w:unhideWhenUsed/>
    <w:qFormat/>
    <w:pPr>
      <w:tabs>
        <w:tab w:val="left" w:pos="360"/>
        <w:tab w:val="left" w:pos="1680"/>
        <w:tab w:val="left" w:pos="2880"/>
      </w:tabs>
      <w:ind w:firstLineChars="0" w:firstLine="0"/>
    </w:pPr>
    <w:rPr>
      <w:rFonts w:ascii="宋体" w:eastAsia="黑体"/>
      <w:kern w:val="4"/>
      <w:sz w:val="26"/>
      <w:szCs w:val="20"/>
    </w:rPr>
  </w:style>
  <w:style w:type="paragraph" w:customStyle="1" w:styleId="2W2">
    <w:name w:val="样式 标题 2W2 + 非加粗"/>
    <w:basedOn w:val="213"/>
    <w:unhideWhenUsed/>
    <w:qFormat/>
    <w:pPr>
      <w:tabs>
        <w:tab w:val="left" w:pos="1322"/>
      </w:tabs>
      <w:spacing w:line="240" w:lineRule="auto"/>
      <w:ind w:left="-288" w:firstLineChars="0" w:firstLine="0"/>
    </w:pPr>
    <w:rPr>
      <w:rFonts w:eastAsia="黑体"/>
      <w:spacing w:val="10"/>
      <w:sz w:val="30"/>
      <w:szCs w:val="20"/>
    </w:rPr>
  </w:style>
  <w:style w:type="paragraph" w:customStyle="1" w:styleId="Referencelist">
    <w:name w:val="Reference list"/>
    <w:basedOn w:val="a3"/>
    <w:unhideWhenUsed/>
    <w:qFormat/>
    <w:pPr>
      <w:widowControl/>
      <w:ind w:left="720" w:hanging="720"/>
      <w:jc w:val="left"/>
    </w:pPr>
    <w:rPr>
      <w:rFonts w:hint="eastAsia"/>
      <w:szCs w:val="20"/>
    </w:rPr>
  </w:style>
  <w:style w:type="paragraph" w:customStyle="1" w:styleId="Book">
    <w:name w:val="Book"/>
    <w:basedOn w:val="a3"/>
    <w:unhideWhenUsed/>
    <w:qFormat/>
    <w:rPr>
      <w:rFonts w:hint="eastAsia"/>
      <w:szCs w:val="20"/>
    </w:rPr>
  </w:style>
  <w:style w:type="paragraph" w:customStyle="1" w:styleId="afffffffffffff1">
    <w:name w:val="样式一——标题"/>
    <w:basedOn w:val="Default"/>
    <w:unhideWhenUsed/>
    <w:qFormat/>
    <w:rPr>
      <w:rFonts w:ascii="Arial" w:hAnsi="Arial" w:hint="eastAsia"/>
      <w:szCs w:val="20"/>
    </w:rPr>
  </w:style>
  <w:style w:type="paragraph" w:customStyle="1" w:styleId="155">
    <w:name w:val="样式 宋体 小四 行距: 1.5 倍行距"/>
    <w:basedOn w:val="a3"/>
    <w:unhideWhenUsed/>
    <w:qFormat/>
    <w:pPr>
      <w:ind w:firstLine="480"/>
    </w:pPr>
    <w:rPr>
      <w:rFonts w:ascii="宋体" w:hAnsi="宋体" w:hint="eastAsia"/>
      <w:szCs w:val="20"/>
    </w:rPr>
  </w:style>
  <w:style w:type="paragraph" w:customStyle="1" w:styleId="4105">
    <w:name w:val="样式 标题4 + 左侧:  1.05 字符"/>
    <w:basedOn w:val="1b"/>
    <w:unhideWhenUsed/>
    <w:qFormat/>
    <w:pPr>
      <w:keepNext/>
      <w:keepLines/>
      <w:tabs>
        <w:tab w:val="left" w:pos="2310"/>
      </w:tabs>
      <w:spacing w:beforeLines="50"/>
      <w:ind w:leftChars="120" w:left="120" w:firstLine="200"/>
      <w:outlineLvl w:val="3"/>
    </w:pPr>
    <w:rPr>
      <w:rFonts w:eastAsia="黑体"/>
      <w:b/>
      <w:sz w:val="26"/>
    </w:rPr>
  </w:style>
  <w:style w:type="paragraph" w:customStyle="1" w:styleId="1ffe">
    <w:name w:val="样式 标题 1 + 黑体 四号"/>
    <w:basedOn w:val="110"/>
    <w:unhideWhenUsed/>
    <w:qFormat/>
    <w:pPr>
      <w:spacing w:beforeLines="0" w:afterLines="0" w:line="576" w:lineRule="auto"/>
      <w:ind w:firstLineChars="0" w:firstLine="0"/>
    </w:pPr>
    <w:rPr>
      <w:rFonts w:ascii="宋体" w:hAnsi="黑体"/>
      <w:sz w:val="21"/>
      <w:szCs w:val="20"/>
    </w:rPr>
  </w:style>
  <w:style w:type="paragraph" w:customStyle="1" w:styleId="afffffffffffff2">
    <w:name w:val="表后标题"/>
    <w:basedOn w:val="a3"/>
    <w:next w:val="a3"/>
    <w:link w:val="Charfffd"/>
    <w:unhideWhenUsed/>
    <w:qFormat/>
    <w:pPr>
      <w:spacing w:line="480" w:lineRule="exact"/>
      <w:ind w:firstLine="482"/>
      <w:textAlignment w:val="center"/>
    </w:pPr>
    <w:rPr>
      <w:rFonts w:hAnsi="宋体" w:hint="eastAsia"/>
      <w:b/>
      <w:sz w:val="21"/>
      <w:szCs w:val="20"/>
    </w:rPr>
  </w:style>
  <w:style w:type="paragraph" w:customStyle="1" w:styleId="4205">
    <w:name w:val="样式 标题 4 + 首行缩进:  2 字符 段前: 0.5 行"/>
    <w:basedOn w:val="410"/>
    <w:unhideWhenUsed/>
    <w:qFormat/>
    <w:pPr>
      <w:keepNext w:val="0"/>
      <w:tabs>
        <w:tab w:val="left" w:pos="2880"/>
      </w:tabs>
      <w:topLinePunct/>
      <w:snapToGrid w:val="0"/>
      <w:spacing w:beforeLines="100"/>
      <w:ind w:firstLineChars="0" w:firstLine="0"/>
    </w:pPr>
    <w:rPr>
      <w:rFonts w:ascii="宋体" w:eastAsia="黑体"/>
      <w:kern w:val="4"/>
      <w:sz w:val="26"/>
      <w:szCs w:val="20"/>
    </w:rPr>
  </w:style>
  <w:style w:type="paragraph" w:customStyle="1" w:styleId="afffffffffffff3">
    <w:name w:val="目录三级"/>
    <w:basedOn w:val="zjj2"/>
    <w:unhideWhenUsed/>
    <w:qFormat/>
    <w:pPr>
      <w:autoSpaceDE/>
      <w:autoSpaceDN/>
      <w:adjustRightInd/>
      <w:snapToGrid/>
      <w:spacing w:beforeLines="50" w:afterLines="50" w:line="420" w:lineRule="exact"/>
      <w:ind w:firstLineChars="400" w:firstLine="1120"/>
      <w:textAlignment w:val="auto"/>
    </w:pPr>
    <w:rPr>
      <w:rFonts w:eastAsia="宋体"/>
      <w:kern w:val="2"/>
      <w:sz w:val="28"/>
    </w:rPr>
  </w:style>
  <w:style w:type="paragraph" w:customStyle="1" w:styleId="zjj2">
    <w:name w:val="目录zjj2"/>
    <w:basedOn w:val="112"/>
    <w:unhideWhenUsed/>
    <w:qFormat/>
    <w:pPr>
      <w:tabs>
        <w:tab w:val="left" w:pos="0"/>
        <w:tab w:val="right" w:leader="dot" w:pos="8260"/>
        <w:tab w:val="right" w:leader="dot" w:pos="8303"/>
        <w:tab w:val="right" w:leader="dot" w:pos="8349"/>
      </w:tabs>
      <w:autoSpaceDE w:val="0"/>
      <w:autoSpaceDN w:val="0"/>
      <w:adjustRightInd w:val="0"/>
      <w:snapToGrid w:val="0"/>
      <w:spacing w:before="156" w:after="156" w:line="440" w:lineRule="exact"/>
      <w:textAlignment w:val="baseline"/>
    </w:pPr>
    <w:rPr>
      <w:rFonts w:ascii="黑体" w:eastAsia="黑体" w:hAnsi="宋体"/>
      <w:spacing w:val="10"/>
      <w:kern w:val="10"/>
    </w:rPr>
  </w:style>
  <w:style w:type="paragraph" w:customStyle="1" w:styleId="395">
    <w:name w:val="样式 标题 3 + 段后: 9.5 磅"/>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www">
    <w:name w:val="www"/>
    <w:basedOn w:val="a3"/>
    <w:unhideWhenUsed/>
    <w:qFormat/>
    <w:pPr>
      <w:adjustRightInd w:val="0"/>
      <w:snapToGrid w:val="0"/>
      <w:ind w:firstLine="560"/>
    </w:pPr>
    <w:rPr>
      <w:rFonts w:ascii="宋体" w:hint="eastAsia"/>
      <w:sz w:val="28"/>
      <w:szCs w:val="20"/>
    </w:rPr>
  </w:style>
  <w:style w:type="paragraph" w:customStyle="1" w:styleId="22-21212">
    <w:name w:val="样式 样式 标题22 + 左侧:  -2.1 字符 首行缩进:  2 字符1 + 首行缩进:  2 字符"/>
    <w:basedOn w:val="22-2121"/>
    <w:unhideWhenUsed/>
    <w:qFormat/>
    <w:pPr>
      <w:ind w:left="-454"/>
    </w:pPr>
  </w:style>
  <w:style w:type="paragraph" w:customStyle="1" w:styleId="22-2121">
    <w:name w:val="样式 标题22 + 左侧:  -2.1 字符 首行缩进:  2 字符1"/>
    <w:basedOn w:val="a3"/>
    <w:unhideWhenUsed/>
    <w:qFormat/>
    <w:pPr>
      <w:spacing w:before="120" w:after="120" w:line="600" w:lineRule="exact"/>
      <w:ind w:left="-397"/>
    </w:pPr>
    <w:rPr>
      <w:rFonts w:eastAsia="黑体" w:hint="eastAsia"/>
      <w:sz w:val="32"/>
      <w:szCs w:val="20"/>
    </w:rPr>
  </w:style>
  <w:style w:type="paragraph" w:customStyle="1" w:styleId="afffffffffffff4">
    <w:name w:val="表图"/>
    <w:basedOn w:val="a3"/>
    <w:unhideWhenUsed/>
    <w:qFormat/>
    <w:pPr>
      <w:widowControl/>
      <w:jc w:val="left"/>
    </w:pPr>
    <w:rPr>
      <w:rFonts w:hint="eastAsia"/>
      <w:sz w:val="20"/>
      <w:szCs w:val="20"/>
    </w:rPr>
  </w:style>
  <w:style w:type="paragraph" w:customStyle="1" w:styleId="1fff">
    <w:name w:val="表标题1"/>
    <w:basedOn w:val="a3"/>
    <w:link w:val="1Char5"/>
    <w:unhideWhenUsed/>
    <w:qFormat/>
    <w:pPr>
      <w:spacing w:line="480" w:lineRule="exact"/>
    </w:pPr>
    <w:rPr>
      <w:rFonts w:hint="eastAsia"/>
      <w:b/>
      <w:szCs w:val="20"/>
    </w:rPr>
  </w:style>
  <w:style w:type="paragraph" w:customStyle="1" w:styleId="131">
    <w:name w:val="样式13"/>
    <w:basedOn w:val="a3"/>
    <w:unhideWhenUsed/>
    <w:qFormat/>
    <w:pPr>
      <w:ind w:leftChars="200" w:left="420" w:rightChars="200" w:right="200" w:firstLineChars="428" w:firstLine="1198"/>
      <w:jc w:val="center"/>
    </w:pPr>
    <w:rPr>
      <w:rFonts w:ascii="宋体" w:hAnsi="宋体" w:hint="eastAsia"/>
      <w:sz w:val="28"/>
      <w:szCs w:val="20"/>
    </w:rPr>
  </w:style>
  <w:style w:type="paragraph" w:customStyle="1" w:styleId="StyleStyleHeading5Left05ch1Left15ch">
    <w:name w:val="Style Style Heading 5 + Left:  0.5 ch1 + Left:  1.5 ch"/>
    <w:basedOn w:val="StyleHeading5Left05ch1"/>
    <w:unhideWhenUsed/>
    <w:qFormat/>
    <w:pPr>
      <w:ind w:leftChars="250" w:left="250"/>
    </w:pPr>
  </w:style>
  <w:style w:type="paragraph" w:customStyle="1" w:styleId="StyleHeading5Left05ch1">
    <w:name w:val="Style Heading 5 + Left:  0.5 ch1"/>
    <w:basedOn w:val="51"/>
    <w:unhideWhenUsed/>
    <w:qFormat/>
    <w:pPr>
      <w:keepNext w:val="0"/>
      <w:widowControl/>
      <w:numPr>
        <w:ilvl w:val="0"/>
        <w:numId w:val="0"/>
      </w:numPr>
      <w:spacing w:before="240" w:after="60" w:line="360" w:lineRule="auto"/>
      <w:ind w:leftChars="150" w:left="150"/>
    </w:pPr>
    <w:rPr>
      <w:i/>
      <w:sz w:val="24"/>
      <w:szCs w:val="20"/>
      <w:u w:val="single"/>
    </w:rPr>
  </w:style>
  <w:style w:type="paragraph" w:customStyle="1" w:styleId="2W20">
    <w:name w:val="样式 标题 2W2 + (西文) 宋体 四号 行距: 单倍行距"/>
    <w:basedOn w:val="213"/>
    <w:unhideWhenUsed/>
    <w:qFormat/>
    <w:pPr>
      <w:tabs>
        <w:tab w:val="left" w:pos="1322"/>
      </w:tabs>
      <w:spacing w:line="240" w:lineRule="auto"/>
      <w:ind w:left="-288" w:firstLineChars="0" w:firstLine="0"/>
    </w:pPr>
    <w:rPr>
      <w:rFonts w:ascii="黑体" w:eastAsia="黑体" w:hAnsi="宋体"/>
      <w:spacing w:val="10"/>
      <w:sz w:val="30"/>
      <w:szCs w:val="20"/>
    </w:rPr>
  </w:style>
  <w:style w:type="paragraph" w:customStyle="1" w:styleId="5221">
    <w:name w:val="样式 样式 样式5 + 首行缩进:  2 字符 + 首行缩进:  2 字符"/>
    <w:basedOn w:val="520"/>
    <w:unhideWhenUsed/>
    <w:qFormat/>
    <w:pPr>
      <w:spacing w:line="600" w:lineRule="exact"/>
      <w:ind w:firstLine="200"/>
    </w:pPr>
  </w:style>
  <w:style w:type="paragraph" w:customStyle="1" w:styleId="afffffffffffff5">
    <w:name w:val="正文二"/>
    <w:basedOn w:val="a3"/>
    <w:unhideWhenUsed/>
    <w:qFormat/>
    <w:pPr>
      <w:spacing w:after="120"/>
    </w:pPr>
    <w:rPr>
      <w:rFonts w:ascii="Arial" w:hAnsi="Arial" w:hint="eastAsia"/>
      <w:szCs w:val="20"/>
    </w:rPr>
  </w:style>
  <w:style w:type="paragraph" w:customStyle="1" w:styleId="WPSPlain">
    <w:name w:val="WPS Plain"/>
    <w:unhideWhenUsed/>
    <w:qFormat/>
    <w:rPr>
      <w:rFonts w:hint="eastAsia"/>
    </w:rPr>
  </w:style>
  <w:style w:type="paragraph" w:customStyle="1" w:styleId="Style">
    <w:name w:val="Style 正文文本 +"/>
    <w:basedOn w:val="a3"/>
    <w:link w:val="StyleChar"/>
    <w:unhideWhenUsed/>
    <w:qFormat/>
    <w:pPr>
      <w:widowControl/>
      <w:spacing w:beforeLines="50" w:afterLines="50"/>
      <w:ind w:leftChars="50" w:left="50"/>
      <w:jc w:val="left"/>
    </w:pPr>
    <w:rPr>
      <w:rFonts w:hint="eastAsia"/>
      <w:szCs w:val="20"/>
    </w:rPr>
  </w:style>
  <w:style w:type="paragraph" w:customStyle="1" w:styleId="afffffffffffff6">
    <w:name w:val="目录二级"/>
    <w:basedOn w:val="zjj2"/>
    <w:unhideWhenUsed/>
    <w:qFormat/>
    <w:pPr>
      <w:tabs>
        <w:tab w:val="clear" w:pos="0"/>
      </w:tabs>
      <w:autoSpaceDE/>
      <w:autoSpaceDN/>
      <w:adjustRightInd/>
      <w:snapToGrid/>
      <w:spacing w:beforeLines="50" w:afterLines="50" w:line="420" w:lineRule="exact"/>
      <w:textAlignment w:val="auto"/>
    </w:pPr>
    <w:rPr>
      <w:rFonts w:eastAsia="宋体"/>
      <w:kern w:val="2"/>
      <w:sz w:val="28"/>
    </w:rPr>
  </w:style>
  <w:style w:type="paragraph" w:customStyle="1" w:styleId="CharCharChar1Char1">
    <w:name w:val="Char Char Char1 Char1"/>
    <w:basedOn w:val="a3"/>
    <w:unhideWhenUsed/>
    <w:qFormat/>
    <w:rPr>
      <w:rFonts w:hint="eastAsia"/>
      <w:szCs w:val="20"/>
    </w:rPr>
  </w:style>
  <w:style w:type="paragraph" w:customStyle="1" w:styleId="2W205">
    <w:name w:val="样式 标题 2W2 + 段前: 0.5 行"/>
    <w:basedOn w:val="213"/>
    <w:unhideWhenUsed/>
    <w:qFormat/>
    <w:pPr>
      <w:tabs>
        <w:tab w:val="left" w:pos="1322"/>
      </w:tabs>
      <w:spacing w:beforeLines="100" w:line="240" w:lineRule="auto"/>
      <w:ind w:left="-288" w:firstLineChars="0" w:firstLine="0"/>
    </w:pPr>
    <w:rPr>
      <w:rFonts w:ascii="黑体" w:eastAsia="黑体" w:hAnsi="宋体"/>
      <w:spacing w:val="10"/>
      <w:sz w:val="30"/>
      <w:szCs w:val="20"/>
    </w:rPr>
  </w:style>
  <w:style w:type="paragraph" w:customStyle="1" w:styleId="07">
    <w:name w:val="样式 表后标题 + 首行缩进:  0 厘米"/>
    <w:basedOn w:val="afffffffffffff2"/>
    <w:unhideWhenUsed/>
    <w:qFormat/>
  </w:style>
  <w:style w:type="paragraph" w:customStyle="1" w:styleId="11560">
    <w:name w:val="样式 标题 1封面大标题 + 三号 段后: 15.6 磅"/>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CM38">
    <w:name w:val="CM38"/>
    <w:basedOn w:val="a3"/>
    <w:next w:val="a3"/>
    <w:unhideWhenUsed/>
    <w:qFormat/>
    <w:pPr>
      <w:autoSpaceDE w:val="0"/>
      <w:autoSpaceDN w:val="0"/>
      <w:adjustRightInd w:val="0"/>
      <w:spacing w:line="440" w:lineRule="atLeast"/>
      <w:jc w:val="left"/>
    </w:pPr>
    <w:rPr>
      <w:rFonts w:ascii="华文中宋" w:eastAsia="华文中宋" w:hint="eastAsia"/>
      <w:sz w:val="20"/>
      <w:szCs w:val="20"/>
    </w:rPr>
  </w:style>
  <w:style w:type="paragraph" w:customStyle="1" w:styleId="1fff0">
    <w:name w:val="(1)"/>
    <w:basedOn w:val="a3"/>
    <w:unhideWhenUsed/>
    <w:qFormat/>
    <w:pPr>
      <w:autoSpaceDE w:val="0"/>
      <w:autoSpaceDN w:val="0"/>
      <w:jc w:val="center"/>
    </w:pPr>
    <w:rPr>
      <w:rFonts w:ascii="宋体" w:hAnsi="宋体" w:hint="eastAsia"/>
      <w:szCs w:val="20"/>
    </w:rPr>
  </w:style>
  <w:style w:type="paragraph" w:customStyle="1" w:styleId="2ff4">
    <w:name w:val="公式2"/>
    <w:basedOn w:val="afffffffffffff7"/>
    <w:unhideWhenUsed/>
    <w:qFormat/>
    <w:pPr>
      <w:spacing w:beforeLines="0" w:afterLines="0" w:line="700" w:lineRule="exact"/>
    </w:pPr>
  </w:style>
  <w:style w:type="paragraph" w:customStyle="1" w:styleId="afffffffffffff7">
    <w:name w:val="公式"/>
    <w:basedOn w:val="5a"/>
    <w:unhideWhenUsed/>
    <w:qFormat/>
    <w:pPr>
      <w:spacing w:beforeLines="50" w:afterLines="50" w:line="1000" w:lineRule="exact"/>
      <w:ind w:firstLineChars="400" w:firstLine="400"/>
      <w:textAlignment w:val="center"/>
    </w:pPr>
    <w:rPr>
      <w:rFonts w:ascii="Times New Roman" w:hAnsi="Times New Roman"/>
      <w:b/>
      <w:sz w:val="28"/>
      <w:szCs w:val="20"/>
    </w:rPr>
  </w:style>
  <w:style w:type="paragraph" w:customStyle="1" w:styleId="37825">
    <w:name w:val="样式 标题 3 + 段后: 7.8 磅 行距: 固定值 25 磅"/>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305051">
    <w:name w:val="样式 标题 3 + 段前: 0.5 行 段后: 0.5 行1"/>
    <w:basedOn w:val="310"/>
    <w:unhideWhenUsed/>
    <w:qFormat/>
    <w:pPr>
      <w:spacing w:afterLines="40" w:line="240" w:lineRule="auto"/>
      <w:ind w:left="-288" w:firstLineChars="0" w:firstLine="0"/>
    </w:pPr>
    <w:rPr>
      <w:rFonts w:ascii="宋体" w:eastAsia="黑体" w:hAnsi="宋体"/>
      <w:sz w:val="28"/>
      <w:szCs w:val="20"/>
    </w:rPr>
  </w:style>
  <w:style w:type="paragraph" w:customStyle="1" w:styleId="afffffffffffff8">
    <w:name w:val="小点"/>
    <w:basedOn w:val="a3"/>
    <w:unhideWhenUsed/>
    <w:qFormat/>
    <w:pPr>
      <w:wordWrap w:val="0"/>
      <w:autoSpaceDE w:val="0"/>
      <w:autoSpaceDN w:val="0"/>
      <w:adjustRightInd w:val="0"/>
      <w:snapToGrid w:val="0"/>
      <w:textAlignment w:val="baseline"/>
    </w:pPr>
    <w:rPr>
      <w:rFonts w:ascii="Arial" w:hAnsi="Arial" w:hint="eastAsia"/>
      <w:sz w:val="26"/>
      <w:szCs w:val="20"/>
    </w:rPr>
  </w:style>
  <w:style w:type="paragraph" w:customStyle="1" w:styleId="afffffffffffff9">
    <w:name w:val="正文表标题"/>
    <w:next w:val="affffffffff1"/>
    <w:unhideWhenUsed/>
    <w:qFormat/>
    <w:pPr>
      <w:jc w:val="center"/>
    </w:pPr>
    <w:rPr>
      <w:rFonts w:ascii="黑体" w:eastAsia="黑体" w:hint="eastAsia"/>
      <w:sz w:val="21"/>
    </w:rPr>
  </w:style>
  <w:style w:type="paragraph" w:customStyle="1" w:styleId="CharCharChar1CharCharCharChar1CharChar">
    <w:name w:val="Char Char Char1 Char Char Char Char1 Char Char"/>
    <w:basedOn w:val="a3"/>
    <w:unhideWhenUsed/>
    <w:qFormat/>
    <w:rPr>
      <w:rFonts w:hint="eastAsia"/>
      <w:sz w:val="21"/>
      <w:szCs w:val="20"/>
    </w:rPr>
  </w:style>
  <w:style w:type="paragraph" w:customStyle="1" w:styleId="42105">
    <w:name w:val="样式 标题 4 + 首行缩进:  2 字符 段前: 1 行 段后: 0.5 行"/>
    <w:basedOn w:val="410"/>
    <w:unhideWhenUsed/>
    <w:qFormat/>
    <w:pPr>
      <w:keepNext w:val="0"/>
      <w:tabs>
        <w:tab w:val="left" w:pos="2880"/>
      </w:tabs>
      <w:topLinePunct/>
      <w:snapToGrid w:val="0"/>
      <w:spacing w:afterLines="0" w:line="440" w:lineRule="exact"/>
      <w:ind w:firstLineChars="0" w:firstLine="0"/>
    </w:pPr>
    <w:rPr>
      <w:rFonts w:ascii="宋体" w:eastAsia="黑体"/>
      <w:kern w:val="4"/>
      <w:sz w:val="26"/>
      <w:szCs w:val="20"/>
    </w:rPr>
  </w:style>
  <w:style w:type="paragraph" w:customStyle="1" w:styleId="22-212121">
    <w:name w:val="样式 样式 标题22 + 左侧:  -2.1 字符 首行缩进:  2 字符1 + 首行缩进:  2 字符1"/>
    <w:basedOn w:val="a3"/>
    <w:unhideWhenUsed/>
    <w:qFormat/>
    <w:pPr>
      <w:spacing w:before="120" w:after="120" w:line="600" w:lineRule="exact"/>
      <w:ind w:leftChars="-105" w:left="-105"/>
    </w:pPr>
    <w:rPr>
      <w:rFonts w:eastAsia="黑体" w:hint="eastAsia"/>
      <w:sz w:val="32"/>
      <w:szCs w:val="20"/>
    </w:rPr>
  </w:style>
  <w:style w:type="paragraph" w:customStyle="1" w:styleId="CM11">
    <w:name w:val="CM11"/>
    <w:basedOn w:val="Default"/>
    <w:next w:val="Default"/>
    <w:unhideWhenUsed/>
    <w:qFormat/>
    <w:pPr>
      <w:spacing w:line="540" w:lineRule="atLeast"/>
    </w:pPr>
    <w:rPr>
      <w:rFonts w:ascii="Arial" w:hAnsi="Arial" w:hint="eastAsia"/>
      <w:sz w:val="20"/>
      <w:szCs w:val="20"/>
    </w:rPr>
  </w:style>
  <w:style w:type="paragraph" w:customStyle="1" w:styleId="afffffffffffffa">
    <w:name w:val="标题二"/>
    <w:basedOn w:val="a3"/>
    <w:unhideWhenUsed/>
    <w:qFormat/>
    <w:pPr>
      <w:jc w:val="center"/>
      <w:outlineLvl w:val="1"/>
    </w:pPr>
    <w:rPr>
      <w:rFonts w:eastAsia="黑体" w:hint="eastAsia"/>
      <w:color w:val="000000"/>
      <w:sz w:val="30"/>
      <w:szCs w:val="20"/>
    </w:rPr>
  </w:style>
  <w:style w:type="paragraph" w:customStyle="1" w:styleId="CharCharCharChar1CharCharCharCharCharChar">
    <w:name w:val="Char Char Char Char1 Char Char Char Char Char Char"/>
    <w:basedOn w:val="a3"/>
    <w:unhideWhenUsed/>
    <w:qFormat/>
    <w:rPr>
      <w:rFonts w:hint="eastAsia"/>
      <w:sz w:val="21"/>
      <w:szCs w:val="20"/>
    </w:rPr>
  </w:style>
  <w:style w:type="paragraph" w:customStyle="1" w:styleId="5-043">
    <w:name w:val="样式 样式5 + 右侧:  -0.43 厘米"/>
    <w:basedOn w:val="5a"/>
    <w:unhideWhenUsed/>
    <w:qFormat/>
    <w:pPr>
      <w:spacing w:line="460" w:lineRule="exact"/>
      <w:ind w:firstLineChars="0" w:firstLine="200"/>
      <w:textAlignment w:val="baseline"/>
    </w:pPr>
    <w:rPr>
      <w:rFonts w:ascii="Times New Roman" w:hAnsi="Times New Roman"/>
      <w:b/>
      <w:sz w:val="26"/>
      <w:szCs w:val="20"/>
    </w:rPr>
  </w:style>
  <w:style w:type="paragraph" w:customStyle="1" w:styleId="afffffffffffffb">
    <w:name w:val="目录样式"/>
    <w:basedOn w:val="24"/>
    <w:unhideWhenUsed/>
    <w:qFormat/>
    <w:pPr>
      <w:tabs>
        <w:tab w:val="clear" w:pos="8296"/>
        <w:tab w:val="right" w:leader="dot" w:pos="8260"/>
        <w:tab w:val="right" w:leader="dot" w:pos="8302"/>
        <w:tab w:val="right" w:leader="dot" w:pos="8349"/>
        <w:tab w:val="right" w:leader="dot" w:pos="8777"/>
        <w:tab w:val="right" w:leader="dot" w:pos="8834"/>
      </w:tabs>
      <w:adjustRightInd w:val="0"/>
      <w:spacing w:before="120" w:after="120" w:line="360" w:lineRule="auto"/>
      <w:ind w:firstLine="200"/>
    </w:pPr>
    <w:rPr>
      <w:rFonts w:ascii="宋体" w:hAnsi="宋体" w:hint="eastAsia"/>
      <w:caps/>
      <w:smallCaps/>
      <w:color w:val="000000"/>
      <w:szCs w:val="20"/>
    </w:rPr>
  </w:style>
  <w:style w:type="paragraph" w:customStyle="1" w:styleId="StyleDefaultTimesNewRoman">
    <w:name w:val="Style Default + Times New Roman"/>
    <w:basedOn w:val="a3"/>
    <w:unhideWhenUsed/>
    <w:qFormat/>
    <w:pPr>
      <w:widowControl/>
      <w:autoSpaceDE w:val="0"/>
      <w:autoSpaceDN w:val="0"/>
      <w:adjustRightInd w:val="0"/>
      <w:jc w:val="left"/>
    </w:pPr>
    <w:rPr>
      <w:sz w:val="20"/>
      <w:szCs w:val="20"/>
      <w:lang w:eastAsia="en-US"/>
    </w:rPr>
  </w:style>
  <w:style w:type="paragraph" w:customStyle="1" w:styleId="afffffffffffffc">
    <w:name w:val="列项——"/>
    <w:unhideWhenUsed/>
    <w:qFormat/>
    <w:pPr>
      <w:widowControl w:val="0"/>
      <w:tabs>
        <w:tab w:val="left" w:pos="1011"/>
      </w:tabs>
      <w:ind w:left="1011" w:hanging="420"/>
      <w:jc w:val="both"/>
    </w:pPr>
    <w:rPr>
      <w:rFonts w:ascii="宋体" w:hint="eastAsia"/>
      <w:sz w:val="21"/>
    </w:rPr>
  </w:style>
  <w:style w:type="paragraph" w:customStyle="1" w:styleId="8108510">
    <w:name w:val="样式 样式 样式 审签页 审签字 + 左侧:  8 字符 段前: 1 行 + 首行缩进:  0.85 厘米 段前: 1 行 + ..."/>
    <w:basedOn w:val="a3"/>
    <w:unhideWhenUsed/>
    <w:qFormat/>
    <w:pPr>
      <w:adjustRightInd w:val="0"/>
      <w:snapToGrid w:val="0"/>
      <w:spacing w:beforeLines="100" w:line="700" w:lineRule="exact"/>
      <w:ind w:leftChars="1200" w:left="1200"/>
    </w:pPr>
    <w:rPr>
      <w:rFonts w:eastAsia="楷体_GB2312" w:hint="eastAsia"/>
      <w:sz w:val="30"/>
      <w:szCs w:val="20"/>
    </w:rPr>
  </w:style>
  <w:style w:type="paragraph" w:customStyle="1" w:styleId="42222">
    <w:name w:val="样式 样式 标题4 + 加粗 首行缩进:  2.2 字符 + 首行缩进:  2.2 字符"/>
    <w:basedOn w:val="a3"/>
    <w:unhideWhenUsed/>
    <w:qFormat/>
    <w:pPr>
      <w:adjustRightInd w:val="0"/>
      <w:snapToGrid w:val="0"/>
    </w:pPr>
    <w:rPr>
      <w:rFonts w:eastAsia="黑体" w:hint="eastAsia"/>
      <w:b/>
      <w:szCs w:val="20"/>
    </w:rPr>
  </w:style>
  <w:style w:type="paragraph" w:customStyle="1" w:styleId="CharCharCharCharCharChar1">
    <w:name w:val="Char Char Char Char Char Char1"/>
    <w:basedOn w:val="a3"/>
    <w:unhideWhenUsed/>
    <w:qFormat/>
    <w:rPr>
      <w:rFonts w:hint="eastAsia"/>
      <w:sz w:val="21"/>
      <w:szCs w:val="20"/>
    </w:rPr>
  </w:style>
  <w:style w:type="paragraph" w:customStyle="1" w:styleId="afffffffffffffd">
    <w:name w:val="文章题目"/>
    <w:basedOn w:val="a3"/>
    <w:unhideWhenUsed/>
    <w:qFormat/>
    <w:pPr>
      <w:spacing w:beforeLines="150" w:afterLines="100"/>
      <w:jc w:val="center"/>
    </w:pPr>
    <w:rPr>
      <w:rFonts w:eastAsia="黑体" w:hint="eastAsia"/>
      <w:sz w:val="32"/>
      <w:szCs w:val="20"/>
    </w:rPr>
  </w:style>
  <w:style w:type="paragraph" w:customStyle="1" w:styleId="ZUOCharChar">
    <w:name w:val="ZUO Char Char"/>
    <w:basedOn w:val="a3"/>
    <w:unhideWhenUsed/>
    <w:qFormat/>
    <w:rPr>
      <w:rFonts w:hint="eastAsia"/>
      <w:szCs w:val="20"/>
    </w:rPr>
  </w:style>
  <w:style w:type="paragraph" w:customStyle="1" w:styleId="521">
    <w:name w:val="样式 样式 样式5 + 首行缩进:  2 字符1 +"/>
    <w:basedOn w:val="5210"/>
    <w:unhideWhenUsed/>
    <w:qFormat/>
    <w:pPr>
      <w:spacing w:line="500" w:lineRule="exact"/>
      <w:ind w:firstLine="200"/>
    </w:pPr>
  </w:style>
  <w:style w:type="paragraph" w:customStyle="1" w:styleId="5210">
    <w:name w:val="样式 样式5 + 首行缩进:  2 字符1"/>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121">
    <w:name w:val="样式 公式1 + 首行缩进:  2 字符"/>
    <w:basedOn w:val="1fff1"/>
    <w:unhideWhenUsed/>
    <w:qFormat/>
    <w:pPr>
      <w:tabs>
        <w:tab w:val="left" w:pos="0"/>
      </w:tabs>
      <w:textAlignment w:val="baseline"/>
    </w:pPr>
  </w:style>
  <w:style w:type="paragraph" w:customStyle="1" w:styleId="1fff1">
    <w:name w:val="公式1"/>
    <w:basedOn w:val="2ff4"/>
    <w:unhideWhenUsed/>
    <w:qFormat/>
    <w:pPr>
      <w:spacing w:line="1000" w:lineRule="exact"/>
    </w:pPr>
  </w:style>
  <w:style w:type="paragraph" w:customStyle="1" w:styleId="4f1">
    <w:name w:val="表格小4居中"/>
    <w:basedOn w:val="a3"/>
    <w:unhideWhenUsed/>
    <w:qFormat/>
    <w:pPr>
      <w:ind w:left="70" w:hangingChars="29" w:hanging="70"/>
      <w:jc w:val="center"/>
    </w:pPr>
    <w:rPr>
      <w:rFonts w:ascii="宋体" w:hAnsi="宋体" w:hint="eastAsia"/>
      <w:color w:val="000000"/>
      <w:szCs w:val="20"/>
    </w:rPr>
  </w:style>
  <w:style w:type="paragraph" w:customStyle="1" w:styleId="CharCharChar1CharCharCharChar1">
    <w:name w:val="Char Char Char1 Char Char Char Char1"/>
    <w:basedOn w:val="a3"/>
    <w:unhideWhenUsed/>
    <w:qFormat/>
    <w:rPr>
      <w:rFonts w:hint="eastAsia"/>
      <w:sz w:val="21"/>
      <w:szCs w:val="20"/>
    </w:rPr>
  </w:style>
  <w:style w:type="paragraph" w:customStyle="1" w:styleId="252523">
    <w:name w:val="样式 黑体 加粗 黑色 左 段前: 2.5 磅 段后: 2.5 磅 行距: 固定值 23 磅"/>
    <w:basedOn w:val="213"/>
    <w:unhideWhenUsed/>
    <w:qFormat/>
    <w:pPr>
      <w:tabs>
        <w:tab w:val="left" w:pos="1322"/>
      </w:tabs>
      <w:spacing w:beforeLines="0" w:afterLines="0" w:line="460" w:lineRule="exact"/>
      <w:ind w:left="57" w:right="-123" w:firstLineChars="0" w:firstLine="0"/>
      <w:jc w:val="left"/>
      <w:textAlignment w:val="baseline"/>
    </w:pPr>
    <w:rPr>
      <w:rFonts w:ascii="宋体" w:hAnsi="黑体"/>
      <w:color w:val="000000"/>
      <w:kern w:val="28"/>
      <w:sz w:val="28"/>
      <w:szCs w:val="20"/>
    </w:rPr>
  </w:style>
  <w:style w:type="paragraph" w:customStyle="1" w:styleId="3050">
    <w:name w:val="样式 标题3 + 段后: 0.5 行"/>
    <w:basedOn w:val="3c"/>
    <w:unhideWhenUsed/>
    <w:qFormat/>
    <w:pPr>
      <w:keepNext/>
      <w:keepLines/>
      <w:snapToGrid/>
      <w:spacing w:beforeLines="50" w:line="480" w:lineRule="exact"/>
      <w:ind w:firstLine="0"/>
      <w:textAlignment w:val="baseline"/>
      <w:outlineLvl w:val="1"/>
    </w:pPr>
    <w:rPr>
      <w:rFonts w:ascii="黑体" w:eastAsia="黑体" w:hAnsi="宋体"/>
      <w:b w:val="0"/>
      <w:sz w:val="30"/>
    </w:rPr>
  </w:style>
  <w:style w:type="paragraph" w:customStyle="1" w:styleId="42050">
    <w:name w:val="样式 标题4 + 首行缩进:  2 字符 段前: 0.5 行"/>
    <w:basedOn w:val="a3"/>
    <w:unhideWhenUsed/>
    <w:qFormat/>
    <w:pPr>
      <w:keepNext/>
      <w:keepLines/>
      <w:spacing w:beforeLines="30" w:afterLines="20" w:line="500" w:lineRule="exact"/>
      <w:ind w:firstLine="482"/>
      <w:outlineLvl w:val="3"/>
    </w:pPr>
    <w:rPr>
      <w:rFonts w:eastAsia="黑体" w:hint="eastAsia"/>
      <w:b/>
      <w:szCs w:val="20"/>
    </w:rPr>
  </w:style>
  <w:style w:type="paragraph" w:customStyle="1" w:styleId="afffffffffffffe">
    <w:name w:val="公式行"/>
    <w:unhideWhenUsed/>
    <w:qFormat/>
    <w:pPr>
      <w:spacing w:beforeLines="50" w:afterLines="50" w:line="360" w:lineRule="auto"/>
      <w:jc w:val="right"/>
    </w:pPr>
    <w:rPr>
      <w:rFonts w:hint="eastAsia"/>
      <w:kern w:val="2"/>
      <w:sz w:val="24"/>
    </w:rPr>
  </w:style>
  <w:style w:type="paragraph" w:customStyle="1" w:styleId="3f4">
    <w:name w:val="封面3"/>
    <w:unhideWhenUsed/>
    <w:qFormat/>
    <w:pPr>
      <w:jc w:val="center"/>
    </w:pPr>
    <w:rPr>
      <w:rFonts w:eastAsia="华文中宋" w:hint="eastAsia"/>
      <w:b/>
      <w:color w:val="000000"/>
      <w:sz w:val="44"/>
    </w:rPr>
  </w:style>
  <w:style w:type="paragraph" w:customStyle="1" w:styleId="22-212120">
    <w:name w:val="样式 样式 样式 标题22 + 左侧:  -2.1 字符 首行缩进:  2 字符1 + 首行缩进:  2 字符 + 首行缩进: ..."/>
    <w:basedOn w:val="22-21212"/>
    <w:unhideWhenUsed/>
    <w:qFormat/>
    <w:pPr>
      <w:ind w:left="-595"/>
    </w:pPr>
  </w:style>
  <w:style w:type="paragraph" w:customStyle="1" w:styleId="2W22">
    <w:name w:val="样式 标题 2W2 +2"/>
    <w:basedOn w:val="213"/>
    <w:unhideWhenUsed/>
    <w:qFormat/>
    <w:pPr>
      <w:tabs>
        <w:tab w:val="left" w:pos="1322"/>
      </w:tabs>
      <w:spacing w:line="240" w:lineRule="auto"/>
      <w:ind w:left="-288" w:firstLineChars="0" w:firstLine="0"/>
    </w:pPr>
    <w:rPr>
      <w:rFonts w:ascii="黑体" w:eastAsia="黑体" w:hAnsi="宋体"/>
      <w:spacing w:val="10"/>
      <w:sz w:val="30"/>
      <w:szCs w:val="20"/>
    </w:rPr>
  </w:style>
  <w:style w:type="paragraph" w:customStyle="1" w:styleId="260">
    <w:name w:val="样式 四号 行距: 固定值 26 磅"/>
    <w:basedOn w:val="a3"/>
    <w:unhideWhenUsed/>
    <w:qFormat/>
    <w:pPr>
      <w:spacing w:before="60" w:line="520" w:lineRule="exact"/>
      <w:ind w:firstLine="594"/>
    </w:pPr>
    <w:rPr>
      <w:rFonts w:ascii="仿宋_GB2312" w:eastAsia="仿宋_GB2312" w:hAnsi="宋体" w:hint="eastAsia"/>
      <w:sz w:val="28"/>
      <w:szCs w:val="20"/>
    </w:rPr>
  </w:style>
  <w:style w:type="paragraph" w:customStyle="1" w:styleId="527">
    <w:name w:val="样式 样式5 + 首行缩进:  2 字符7"/>
    <w:basedOn w:val="5a"/>
    <w:unhideWhenUsed/>
    <w:qFormat/>
    <w:pPr>
      <w:spacing w:line="520" w:lineRule="exact"/>
      <w:ind w:firstLineChars="0" w:firstLine="560"/>
      <w:textAlignment w:val="baseline"/>
    </w:pPr>
    <w:rPr>
      <w:rFonts w:ascii="Times New Roman" w:hAnsi="Times New Roman"/>
      <w:sz w:val="26"/>
      <w:szCs w:val="20"/>
    </w:rPr>
  </w:style>
  <w:style w:type="paragraph" w:customStyle="1" w:styleId="chapterreferences">
    <w:name w:val="chapterreferences"/>
    <w:basedOn w:val="213"/>
    <w:unhideWhenUsed/>
    <w:qFormat/>
    <w:pPr>
      <w:widowControl/>
      <w:tabs>
        <w:tab w:val="left" w:pos="1322"/>
      </w:tabs>
      <w:spacing w:beforeLines="0" w:afterLines="0" w:line="240" w:lineRule="auto"/>
      <w:ind w:firstLineChars="0" w:firstLine="0"/>
      <w:jc w:val="center"/>
    </w:pPr>
    <w:rPr>
      <w:sz w:val="28"/>
      <w:szCs w:val="20"/>
      <w:u w:val="single"/>
    </w:rPr>
  </w:style>
  <w:style w:type="paragraph" w:customStyle="1" w:styleId="122">
    <w:name w:val="样式 目录1——2 + 首行缩进:  2 字符"/>
    <w:basedOn w:val="123"/>
    <w:unhideWhenUsed/>
    <w:qFormat/>
    <w:pPr>
      <w:ind w:firstLine="520"/>
    </w:pPr>
    <w:rPr>
      <w:rFonts w:eastAsia="宋体"/>
    </w:rPr>
  </w:style>
  <w:style w:type="paragraph" w:customStyle="1" w:styleId="123">
    <w:name w:val="目录1——2"/>
    <w:basedOn w:val="1fff2"/>
    <w:unhideWhenUsed/>
    <w:qFormat/>
    <w:pPr>
      <w:ind w:firstLine="480"/>
    </w:pPr>
  </w:style>
  <w:style w:type="paragraph" w:customStyle="1" w:styleId="1fff2">
    <w:name w:val="目录1"/>
    <w:basedOn w:val="3f2"/>
    <w:unhideWhenUsed/>
    <w:qFormat/>
    <w:pPr>
      <w:spacing w:line="600" w:lineRule="exact"/>
    </w:pPr>
    <w:rPr>
      <w:rFonts w:eastAsia="黑体"/>
      <w:b w:val="0"/>
      <w:sz w:val="26"/>
    </w:rPr>
  </w:style>
  <w:style w:type="paragraph" w:customStyle="1" w:styleId="affffffffffffff">
    <w:name w:val="图形框文字"/>
    <w:unhideWhenUsed/>
    <w:qFormat/>
    <w:pPr>
      <w:widowControl w:val="0"/>
      <w:adjustRightInd w:val="0"/>
      <w:spacing w:line="360" w:lineRule="auto"/>
      <w:jc w:val="both"/>
    </w:pPr>
    <w:rPr>
      <w:rFonts w:hint="eastAsia"/>
      <w:kern w:val="2"/>
      <w:sz w:val="24"/>
    </w:rPr>
  </w:style>
  <w:style w:type="paragraph" w:customStyle="1" w:styleId="3105">
    <w:name w:val="样式 标题3 + 段前: 1 行 段后: 0.5 行"/>
    <w:basedOn w:val="3c"/>
    <w:unhideWhenUsed/>
    <w:qFormat/>
    <w:pPr>
      <w:keepNext/>
      <w:keepLines/>
      <w:snapToGrid/>
      <w:spacing w:beforeLines="60" w:after="50" w:line="480" w:lineRule="exact"/>
      <w:ind w:firstLine="0"/>
      <w:textAlignment w:val="baseline"/>
      <w:outlineLvl w:val="1"/>
    </w:pPr>
    <w:rPr>
      <w:rFonts w:ascii="黑体" w:eastAsia="黑体" w:hAnsi="宋体"/>
      <w:b w:val="0"/>
      <w:sz w:val="30"/>
    </w:rPr>
  </w:style>
  <w:style w:type="paragraph" w:customStyle="1" w:styleId="3211">
    <w:name w:val="样式 目录3 + 首行缩进:  2 字符1"/>
    <w:basedOn w:val="3f2"/>
    <w:unhideWhenUsed/>
    <w:qFormat/>
    <w:pPr>
      <w:ind w:firstLine="560"/>
    </w:pPr>
    <w:rPr>
      <w:b w:val="0"/>
    </w:rPr>
  </w:style>
  <w:style w:type="paragraph" w:customStyle="1" w:styleId="StyleHeading3Firstline2chBefore05lineAfter05">
    <w:name w:val="Style Heading 3 + First line:  2 ch Before:  0.5 line After:  0.5..."/>
    <w:basedOn w:val="310"/>
    <w:unhideWhenUsed/>
    <w:qFormat/>
    <w:pPr>
      <w:tabs>
        <w:tab w:val="left" w:pos="240"/>
      </w:tabs>
      <w:spacing w:line="413" w:lineRule="auto"/>
      <w:ind w:left="293" w:firstLineChars="0" w:hanging="173"/>
      <w:jc w:val="left"/>
    </w:pPr>
    <w:rPr>
      <w:sz w:val="28"/>
      <w:szCs w:val="20"/>
    </w:rPr>
  </w:style>
  <w:style w:type="paragraph" w:customStyle="1" w:styleId="CharCharCharCharCharCharCharCharCharCharChar2">
    <w:name w:val="Char Char Char Char Char Char Char Char Char Char Char2"/>
    <w:basedOn w:val="a3"/>
    <w:unhideWhenUsed/>
    <w:qFormat/>
    <w:rPr>
      <w:rFonts w:hint="eastAsia"/>
      <w:sz w:val="21"/>
      <w:szCs w:val="20"/>
    </w:rPr>
  </w:style>
  <w:style w:type="paragraph" w:customStyle="1" w:styleId="HTML9">
    <w:name w:val="HTML 预先格式化"/>
    <w:basedOn w:val="a3"/>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hint="eastAsia"/>
      <w:sz w:val="20"/>
      <w:szCs w:val="20"/>
    </w:rPr>
  </w:style>
  <w:style w:type="paragraph" w:customStyle="1" w:styleId="30605">
    <w:name w:val="样式 标题 3 + 段前: 0.6 行 段后: 0.5 行"/>
    <w:basedOn w:val="310"/>
    <w:unhideWhenUsed/>
    <w:qFormat/>
    <w:pPr>
      <w:spacing w:beforeLines="40" w:afterLines="40" w:line="240" w:lineRule="auto"/>
      <w:ind w:left="-288" w:firstLineChars="0" w:firstLine="0"/>
    </w:pPr>
    <w:rPr>
      <w:rFonts w:ascii="宋体" w:eastAsia="黑体" w:hAnsi="宋体"/>
      <w:b w:val="0"/>
      <w:sz w:val="28"/>
      <w:szCs w:val="20"/>
    </w:rPr>
  </w:style>
  <w:style w:type="paragraph" w:customStyle="1" w:styleId="4f2">
    <w:name w:val="正文小4"/>
    <w:basedOn w:val="a3"/>
    <w:unhideWhenUsed/>
    <w:qFormat/>
    <w:pPr>
      <w:ind w:firstLine="560"/>
    </w:pPr>
    <w:rPr>
      <w:rFonts w:ascii="宋体" w:hAnsi="宋体" w:hint="eastAsia"/>
      <w:szCs w:val="20"/>
    </w:rPr>
  </w:style>
  <w:style w:type="paragraph" w:customStyle="1" w:styleId="Style6">
    <w:name w:val="Style6"/>
    <w:basedOn w:val="a3"/>
    <w:unhideWhenUsed/>
    <w:qFormat/>
    <w:pPr>
      <w:widowControl/>
      <w:tabs>
        <w:tab w:val="left" w:pos="720"/>
      </w:tabs>
      <w:ind w:left="720" w:hanging="360"/>
      <w:jc w:val="left"/>
    </w:pPr>
    <w:rPr>
      <w:rFonts w:hint="eastAsia"/>
      <w:szCs w:val="20"/>
    </w:rPr>
  </w:style>
  <w:style w:type="paragraph" w:customStyle="1" w:styleId="2W21">
    <w:name w:val="样式 标题 2W2 +"/>
    <w:basedOn w:val="213"/>
    <w:unhideWhenUsed/>
    <w:qFormat/>
    <w:pPr>
      <w:tabs>
        <w:tab w:val="left" w:pos="1322"/>
      </w:tabs>
      <w:spacing w:beforeLines="100" w:line="240" w:lineRule="auto"/>
      <w:ind w:left="-288" w:firstLineChars="0" w:firstLine="0"/>
    </w:pPr>
    <w:rPr>
      <w:rFonts w:ascii="黑体" w:eastAsia="黑体" w:hAnsi="宋体"/>
      <w:spacing w:val="10"/>
      <w:sz w:val="30"/>
      <w:szCs w:val="20"/>
    </w:rPr>
  </w:style>
  <w:style w:type="paragraph" w:customStyle="1" w:styleId="StyleHeading5Left05ch">
    <w:name w:val="Style Heading 5 + Left:  0.5 ch"/>
    <w:basedOn w:val="51"/>
    <w:unhideWhenUsed/>
    <w:qFormat/>
    <w:pPr>
      <w:keepNext w:val="0"/>
      <w:widowControl/>
      <w:numPr>
        <w:ilvl w:val="0"/>
        <w:numId w:val="0"/>
      </w:numPr>
      <w:spacing w:before="240" w:after="60" w:line="240" w:lineRule="auto"/>
      <w:jc w:val="left"/>
    </w:pPr>
    <w:rPr>
      <w:i/>
      <w:sz w:val="24"/>
      <w:szCs w:val="20"/>
      <w:u w:val="single"/>
    </w:rPr>
  </w:style>
  <w:style w:type="paragraph" w:customStyle="1" w:styleId="1222">
    <w:name w:val="样式 样式 目录1——2 + 首行缩进:  2 字符 + 首行缩进:  2 字符"/>
    <w:basedOn w:val="122"/>
    <w:unhideWhenUsed/>
    <w:qFormat/>
  </w:style>
  <w:style w:type="paragraph" w:customStyle="1" w:styleId="42050510">
    <w:name w:val="样式 样式 标题 4 + 首行缩进:  2 字符 段前: 0.5 行 段后: 0.5 行1 +"/>
    <w:basedOn w:val="42050511"/>
    <w:unhideWhenUsed/>
    <w:qFormat/>
    <w:pPr>
      <w:ind w:firstLineChars="200" w:firstLine="200"/>
      <w:textAlignment w:val="center"/>
    </w:pPr>
    <w:rPr>
      <w:rFonts w:eastAsia="宋体"/>
    </w:rPr>
  </w:style>
  <w:style w:type="paragraph" w:customStyle="1" w:styleId="42050511">
    <w:name w:val="样式 标题 4 + 首行缩进:  2 字符 段前: 0.5 行 段后: 0.5 行1"/>
    <w:basedOn w:val="410"/>
    <w:unhideWhenUsed/>
    <w:qFormat/>
    <w:pPr>
      <w:tabs>
        <w:tab w:val="left" w:pos="360"/>
        <w:tab w:val="left" w:pos="1680"/>
        <w:tab w:val="left" w:pos="2880"/>
      </w:tabs>
      <w:ind w:left="1680" w:firstLineChars="0" w:hanging="420"/>
    </w:pPr>
    <w:rPr>
      <w:rFonts w:ascii="宋体" w:eastAsia="黑体"/>
      <w:kern w:val="4"/>
      <w:sz w:val="26"/>
      <w:szCs w:val="20"/>
    </w:rPr>
  </w:style>
  <w:style w:type="paragraph" w:customStyle="1" w:styleId="5242">
    <w:name w:val="样式 样式 样式5 + 首行缩进:  2 字符4 + 首行缩进:  2 字符"/>
    <w:basedOn w:val="524"/>
    <w:unhideWhenUsed/>
    <w:qFormat/>
    <w:pPr>
      <w:spacing w:line="500" w:lineRule="exact"/>
      <w:ind w:firstLine="200"/>
    </w:pPr>
    <w:rPr>
      <w:sz w:val="28"/>
    </w:rPr>
  </w:style>
  <w:style w:type="paragraph" w:customStyle="1" w:styleId="160">
    <w:name w:val="样式 表格样式 + 宋体 行距: 固定值 16 磅"/>
    <w:basedOn w:val="affffffff8"/>
    <w:unhideWhenUsed/>
    <w:qFormat/>
    <w:pPr>
      <w:snapToGrid w:val="0"/>
      <w:spacing w:before="312" w:after="312" w:line="320" w:lineRule="exact"/>
      <w:jc w:val="left"/>
    </w:pPr>
    <w:rPr>
      <w:rFonts w:ascii="宋体" w:hAnsi="宋体" w:cs="Times New Roman"/>
    </w:rPr>
  </w:style>
  <w:style w:type="paragraph" w:customStyle="1" w:styleId="421050">
    <w:name w:val="样式 样式 标题 4 + 首行缩进:  2 字符 段前: 1 行 段后: 0.5 行 +"/>
    <w:basedOn w:val="42105"/>
    <w:unhideWhenUsed/>
    <w:qFormat/>
    <w:pPr>
      <w:keepNext/>
      <w:keepLines/>
      <w:adjustRightInd/>
      <w:snapToGrid/>
      <w:spacing w:afterLines="50"/>
      <w:ind w:firstLine="562"/>
    </w:pPr>
  </w:style>
  <w:style w:type="paragraph" w:customStyle="1" w:styleId="3051">
    <w:name w:val="样式 标题3 + 段前: 0.5 行"/>
    <w:basedOn w:val="3c"/>
    <w:unhideWhenUsed/>
    <w:qFormat/>
    <w:pPr>
      <w:keepNext/>
      <w:keepLines/>
      <w:snapToGrid/>
      <w:spacing w:before="130" w:after="97" w:line="480" w:lineRule="exact"/>
      <w:ind w:firstLine="0"/>
      <w:textAlignment w:val="baseline"/>
      <w:outlineLvl w:val="1"/>
    </w:pPr>
    <w:rPr>
      <w:rFonts w:ascii="黑体" w:eastAsia="黑体" w:hAnsi="宋体"/>
      <w:b w:val="0"/>
      <w:sz w:val="30"/>
    </w:rPr>
  </w:style>
  <w:style w:type="paragraph" w:customStyle="1" w:styleId="322">
    <w:name w:val="标题 32"/>
    <w:basedOn w:val="a3"/>
    <w:unhideWhenUsed/>
    <w:qFormat/>
    <w:pPr>
      <w:keepNext/>
      <w:keepLines/>
      <w:tabs>
        <w:tab w:val="left" w:pos="709"/>
      </w:tabs>
      <w:spacing w:beforeLines="100" w:afterLines="50"/>
      <w:ind w:left="720" w:hanging="720"/>
      <w:jc w:val="left"/>
      <w:outlineLvl w:val="2"/>
    </w:pPr>
    <w:rPr>
      <w:rFonts w:hint="eastAsia"/>
      <w:b/>
      <w:szCs w:val="20"/>
    </w:rPr>
  </w:style>
  <w:style w:type="paragraph" w:customStyle="1" w:styleId="StyleHeading5Left008">
    <w:name w:val="Style Heading 5 + Left:  0.08&quot;"/>
    <w:basedOn w:val="51"/>
    <w:unhideWhenUsed/>
    <w:qFormat/>
    <w:pPr>
      <w:keepNext w:val="0"/>
      <w:widowControl/>
      <w:numPr>
        <w:ilvl w:val="0"/>
        <w:numId w:val="0"/>
      </w:numPr>
      <w:spacing w:before="240" w:after="60" w:line="360" w:lineRule="auto"/>
      <w:ind w:left="120"/>
      <w:jc w:val="left"/>
    </w:pPr>
    <w:rPr>
      <w:b w:val="0"/>
      <w:i/>
      <w:sz w:val="24"/>
      <w:szCs w:val="20"/>
    </w:rPr>
  </w:style>
  <w:style w:type="paragraph" w:customStyle="1" w:styleId="4220">
    <w:name w:val="样式 样式 标题 4 + 首行缩进:  2 字符 + 首行缩进:  2 字符"/>
    <w:basedOn w:val="420"/>
    <w:unhideWhenUsed/>
    <w:qFormat/>
    <w:pPr>
      <w:tabs>
        <w:tab w:val="left" w:pos="1320"/>
      </w:tabs>
      <w:spacing w:beforeLines="100"/>
      <w:ind w:left="1320" w:hanging="420"/>
    </w:pPr>
    <w:rPr>
      <w:rFonts w:ascii="宋体" w:cs="Times New Roman"/>
      <w:kern w:val="4"/>
    </w:rPr>
  </w:style>
  <w:style w:type="paragraph" w:customStyle="1" w:styleId="22-212">
    <w:name w:val="样式 标题22 + 左侧:  -2.1 字符 首行缩进:  2 字符"/>
    <w:basedOn w:val="213"/>
    <w:unhideWhenUsed/>
    <w:qFormat/>
    <w:pPr>
      <w:keepNext w:val="0"/>
      <w:tabs>
        <w:tab w:val="left" w:pos="1322"/>
      </w:tabs>
      <w:spacing w:beforeLines="0" w:afterLines="0" w:line="600" w:lineRule="exact"/>
      <w:ind w:leftChars="-210" w:left="-588" w:firstLine="640"/>
    </w:pPr>
    <w:rPr>
      <w:rFonts w:eastAsia="黑体"/>
      <w:b w:val="0"/>
      <w:szCs w:val="20"/>
    </w:rPr>
  </w:style>
  <w:style w:type="paragraph" w:customStyle="1" w:styleId="2063">
    <w:name w:val="样式 标题 2 + 左侧:  0.63 厘米"/>
    <w:basedOn w:val="213"/>
    <w:unhideWhenUsed/>
    <w:qFormat/>
    <w:pPr>
      <w:tabs>
        <w:tab w:val="left" w:pos="1322"/>
      </w:tabs>
      <w:spacing w:line="240" w:lineRule="auto"/>
      <w:ind w:left="-288" w:firstLineChars="0" w:firstLine="0"/>
    </w:pPr>
    <w:rPr>
      <w:rFonts w:ascii="黑体" w:eastAsia="黑体" w:hAnsi="宋体"/>
      <w:spacing w:val="10"/>
      <w:szCs w:val="20"/>
    </w:rPr>
  </w:style>
  <w:style w:type="paragraph" w:customStyle="1" w:styleId="Einrck1">
    <w:name w:val="Einrück 1"/>
    <w:basedOn w:val="a3"/>
    <w:unhideWhenUsed/>
    <w:qFormat/>
    <w:pPr>
      <w:widowControl/>
      <w:tabs>
        <w:tab w:val="left" w:pos="6237"/>
        <w:tab w:val="decimal" w:pos="7088"/>
        <w:tab w:val="left" w:pos="7655"/>
      </w:tabs>
      <w:spacing w:line="320" w:lineRule="exact"/>
      <w:ind w:left="851"/>
      <w:jc w:val="left"/>
    </w:pPr>
    <w:rPr>
      <w:rFonts w:ascii="Arial" w:hAnsi="Arial" w:hint="eastAsia"/>
      <w:sz w:val="22"/>
      <w:szCs w:val="20"/>
      <w:lang w:val="en-GB" w:eastAsia="de-DE"/>
    </w:rPr>
  </w:style>
  <w:style w:type="paragraph" w:customStyle="1" w:styleId="affffffffffffff0">
    <w:name w:val="空格"/>
    <w:basedOn w:val="a3"/>
    <w:unhideWhenUsed/>
    <w:qFormat/>
    <w:pPr>
      <w:ind w:firstLine="540"/>
    </w:pPr>
    <w:rPr>
      <w:rFonts w:hint="eastAsia"/>
      <w:sz w:val="28"/>
      <w:szCs w:val="20"/>
    </w:rPr>
  </w:style>
  <w:style w:type="paragraph" w:customStyle="1" w:styleId="table">
    <w:name w:val="table"/>
    <w:basedOn w:val="a3"/>
    <w:unhideWhenUsed/>
    <w:qFormat/>
    <w:pPr>
      <w:widowControl/>
      <w:spacing w:before="60"/>
      <w:jc w:val="center"/>
    </w:pPr>
    <w:rPr>
      <w:rFonts w:hint="eastAsia"/>
      <w:szCs w:val="20"/>
    </w:rPr>
  </w:style>
  <w:style w:type="paragraph" w:customStyle="1" w:styleId="affffffffffffff1">
    <w:name w:val="日期与出版地"/>
    <w:basedOn w:val="a3"/>
    <w:unhideWhenUsed/>
    <w:qFormat/>
    <w:pPr>
      <w:adjustRightInd w:val="0"/>
      <w:snapToGrid w:val="0"/>
      <w:spacing w:line="500" w:lineRule="exact"/>
      <w:jc w:val="center"/>
    </w:pPr>
    <w:rPr>
      <w:rFonts w:hint="eastAsia"/>
      <w:b/>
      <w:sz w:val="28"/>
      <w:szCs w:val="20"/>
    </w:rPr>
  </w:style>
  <w:style w:type="paragraph" w:customStyle="1" w:styleId="affffffffffffff2">
    <w:name w:val="临时内容"/>
    <w:basedOn w:val="a3"/>
    <w:link w:val="CharChar3"/>
    <w:unhideWhenUsed/>
    <w:qFormat/>
    <w:pPr>
      <w:spacing w:beforeLines="50" w:afterLines="50"/>
      <w:ind w:firstLine="480"/>
      <w:jc w:val="left"/>
    </w:pPr>
    <w:rPr>
      <w:rFonts w:hint="eastAsia"/>
      <w:color w:val="FF0000"/>
      <w:szCs w:val="20"/>
    </w:rPr>
  </w:style>
  <w:style w:type="paragraph" w:customStyle="1" w:styleId="CharCharCharCharChar2CharCharCharChar">
    <w:name w:val="Char Char Char Char Char2 Char Char Char Char"/>
    <w:basedOn w:val="a3"/>
    <w:unhideWhenUsed/>
    <w:qFormat/>
    <w:pPr>
      <w:adjustRightInd w:val="0"/>
      <w:snapToGrid w:val="0"/>
    </w:pPr>
    <w:rPr>
      <w:rFonts w:ascii="宋体" w:hAnsi="宋体" w:hint="eastAsia"/>
      <w:szCs w:val="20"/>
    </w:rPr>
  </w:style>
  <w:style w:type="paragraph" w:customStyle="1" w:styleId="526">
    <w:name w:val="样式 样式5 + 首行缩进:  2 字符6"/>
    <w:basedOn w:val="5a"/>
    <w:unhideWhenUsed/>
    <w:qFormat/>
    <w:pPr>
      <w:spacing w:line="520" w:lineRule="exact"/>
      <w:ind w:firstLineChars="0" w:firstLine="0"/>
      <w:textAlignment w:val="baseline"/>
    </w:pPr>
    <w:rPr>
      <w:rFonts w:ascii="Times New Roman" w:hAnsi="Times New Roman"/>
      <w:b/>
      <w:sz w:val="26"/>
      <w:szCs w:val="20"/>
    </w:rPr>
  </w:style>
  <w:style w:type="paragraph" w:customStyle="1" w:styleId="3f5">
    <w:name w:val="正文3"/>
    <w:unhideWhenUsed/>
    <w:qFormat/>
    <w:pPr>
      <w:widowControl w:val="0"/>
      <w:adjustRightInd w:val="0"/>
      <w:spacing w:line="360" w:lineRule="atLeast"/>
      <w:jc w:val="both"/>
      <w:textAlignment w:val="baseline"/>
    </w:pPr>
    <w:rPr>
      <w:rFonts w:ascii="宋体" w:hint="eastAsia"/>
      <w:sz w:val="24"/>
    </w:rPr>
  </w:style>
  <w:style w:type="paragraph" w:customStyle="1" w:styleId="affffffffffffff3">
    <w:name w:val="正文排版"/>
    <w:basedOn w:val="PlainText1"/>
    <w:unhideWhenUsed/>
    <w:qFormat/>
    <w:pPr>
      <w:tabs>
        <w:tab w:val="left" w:pos="0"/>
      </w:tabs>
      <w:autoSpaceDE w:val="0"/>
      <w:autoSpaceDN w:val="0"/>
      <w:spacing w:line="500" w:lineRule="exact"/>
    </w:pPr>
    <w:rPr>
      <w:rFonts w:ascii="Times New Roman" w:hAnsi="Times New Roman" w:cs="Times New Roman"/>
      <w:sz w:val="24"/>
    </w:rPr>
  </w:style>
  <w:style w:type="paragraph" w:customStyle="1" w:styleId="323">
    <w:name w:val="样式 目录 3 + 首行缩进:  2 字符"/>
    <w:basedOn w:val="34"/>
    <w:unhideWhenUsed/>
    <w:qFormat/>
    <w:rPr>
      <w:rFonts w:hint="eastAsia"/>
      <w:b/>
      <w:i/>
      <w:sz w:val="20"/>
      <w:szCs w:val="20"/>
    </w:rPr>
  </w:style>
  <w:style w:type="paragraph" w:customStyle="1" w:styleId="StyleTitlePageAfter0ptLinespacingsingle">
    <w:name w:val="Style Title Page + After:  0 pt Line spacing:  single"/>
    <w:basedOn w:val="TitlePage"/>
    <w:unhideWhenUsed/>
    <w:qFormat/>
    <w:pPr>
      <w:spacing w:after="0" w:line="240" w:lineRule="auto"/>
    </w:pPr>
  </w:style>
  <w:style w:type="paragraph" w:customStyle="1" w:styleId="TitlePage">
    <w:name w:val="Title Page"/>
    <w:basedOn w:val="a3"/>
    <w:unhideWhenUsed/>
    <w:qFormat/>
    <w:pPr>
      <w:widowControl/>
      <w:spacing w:before="60" w:after="120"/>
      <w:jc w:val="center"/>
    </w:pPr>
    <w:rPr>
      <w:szCs w:val="20"/>
      <w:lang w:eastAsia="ja-JP"/>
    </w:rPr>
  </w:style>
  <w:style w:type="paragraph" w:customStyle="1" w:styleId="listoffigureandtables">
    <w:name w:val="list of figure and tables"/>
    <w:basedOn w:val="Frontmatter"/>
    <w:unhideWhenUsed/>
    <w:qFormat/>
    <w:pPr>
      <w:spacing w:afterLines="0"/>
    </w:pPr>
  </w:style>
  <w:style w:type="paragraph" w:customStyle="1" w:styleId="324">
    <w:name w:val="样式 标题 3 + 首行缩进:  2 字符"/>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1fff3">
    <w:name w:val="副标题1"/>
    <w:basedOn w:val="a3"/>
    <w:unhideWhenUsed/>
    <w:qFormat/>
    <w:pPr>
      <w:autoSpaceDE w:val="0"/>
      <w:autoSpaceDN w:val="0"/>
      <w:adjustRightInd w:val="0"/>
      <w:snapToGrid w:val="0"/>
      <w:spacing w:line="440" w:lineRule="exact"/>
      <w:jc w:val="center"/>
    </w:pPr>
    <w:rPr>
      <w:rFonts w:eastAsia="黑体" w:hint="eastAsia"/>
      <w:sz w:val="44"/>
      <w:szCs w:val="20"/>
    </w:rPr>
  </w:style>
  <w:style w:type="paragraph" w:customStyle="1" w:styleId="StyleMTDisplayEquationCentered">
    <w:name w:val="Style MTDisplayEquation + Centered"/>
    <w:basedOn w:val="MTDisplayEquation"/>
    <w:unhideWhenUsed/>
    <w:qFormat/>
    <w:pPr>
      <w:jc w:val="center"/>
    </w:pPr>
    <w:rPr>
      <w:vanish/>
    </w:rPr>
  </w:style>
  <w:style w:type="paragraph" w:customStyle="1" w:styleId="StyleHeading2Left0Firstline0">
    <w:name w:val="Style Heading 2 + Left:  0&quot; First line:  0&quot;"/>
    <w:basedOn w:val="213"/>
    <w:unhideWhenUsed/>
    <w:qFormat/>
    <w:pPr>
      <w:widowControl/>
      <w:tabs>
        <w:tab w:val="left" w:pos="0"/>
        <w:tab w:val="left" w:pos="1322"/>
      </w:tabs>
      <w:spacing w:beforeLines="0" w:afterLines="0"/>
      <w:ind w:firstLineChars="0" w:firstLine="0"/>
      <w:jc w:val="center"/>
    </w:pPr>
    <w:rPr>
      <w:b w:val="0"/>
      <w:sz w:val="28"/>
      <w:szCs w:val="20"/>
    </w:rPr>
  </w:style>
  <w:style w:type="paragraph" w:customStyle="1" w:styleId="3-1031">
    <w:name w:val="样式 标题 3 + 左  -1.03 字符 首行缩进:  1 字符"/>
    <w:basedOn w:val="a3"/>
    <w:unhideWhenUsed/>
    <w:qFormat/>
    <w:pPr>
      <w:spacing w:line="600" w:lineRule="exact"/>
      <w:ind w:leftChars="-103" w:left="-103" w:firstLineChars="100" w:firstLine="280"/>
    </w:pPr>
    <w:rPr>
      <w:rFonts w:hint="eastAsia"/>
      <w:sz w:val="28"/>
      <w:szCs w:val="20"/>
    </w:rPr>
  </w:style>
  <w:style w:type="paragraph" w:customStyle="1" w:styleId="affffffffffffff4">
    <w:name w:val="表格 宋体 五号"/>
    <w:basedOn w:val="a3"/>
    <w:link w:val="Charfffe"/>
    <w:unhideWhenUsed/>
    <w:qFormat/>
    <w:pPr>
      <w:jc w:val="center"/>
    </w:pPr>
    <w:rPr>
      <w:rFonts w:ascii="宋体" w:hAnsi="宋体" w:hint="eastAsia"/>
      <w:sz w:val="21"/>
      <w:szCs w:val="20"/>
    </w:rPr>
  </w:style>
  <w:style w:type="paragraph" w:customStyle="1" w:styleId="1fff4">
    <w:name w:val="1、"/>
    <w:basedOn w:val="a3"/>
    <w:next w:val="a3"/>
    <w:unhideWhenUsed/>
    <w:qFormat/>
    <w:pPr>
      <w:tabs>
        <w:tab w:val="left" w:pos="127"/>
      </w:tabs>
      <w:overflowPunct w:val="0"/>
      <w:autoSpaceDE w:val="0"/>
      <w:autoSpaceDN w:val="0"/>
      <w:adjustRightInd w:val="0"/>
      <w:snapToGrid w:val="0"/>
      <w:spacing w:after="120"/>
    </w:pPr>
    <w:rPr>
      <w:rFonts w:ascii="Arial" w:hAnsi="Arial" w:hint="eastAsia"/>
      <w:szCs w:val="20"/>
    </w:rPr>
  </w:style>
  <w:style w:type="paragraph" w:customStyle="1" w:styleId="1fff5">
    <w:name w:val="样式 标题 1封面大标题 + 加粗"/>
    <w:basedOn w:val="110"/>
    <w:link w:val="1Char6"/>
    <w:unhideWhenUsed/>
    <w:qFormat/>
    <w:pPr>
      <w:spacing w:afterLines="100" w:line="240" w:lineRule="auto"/>
      <w:ind w:firstLineChars="0" w:firstLine="0"/>
      <w:jc w:val="center"/>
      <w:textAlignment w:val="baseline"/>
    </w:pPr>
    <w:rPr>
      <w:rFonts w:ascii="宋体" w:eastAsia="黑体" w:hAnsi="宋体"/>
      <w:sz w:val="32"/>
      <w:szCs w:val="20"/>
    </w:rPr>
  </w:style>
  <w:style w:type="paragraph" w:customStyle="1" w:styleId="affffffffffffff5">
    <w:name w:val="基准标题"/>
    <w:basedOn w:val="12"/>
    <w:next w:val="a5"/>
    <w:unhideWhenUsed/>
    <w:qFormat/>
    <w:pPr>
      <w:keepNext/>
      <w:keepLines/>
      <w:snapToGrid w:val="0"/>
      <w:spacing w:after="0" w:line="240" w:lineRule="atLeast"/>
      <w:outlineLvl w:val="0"/>
    </w:pPr>
    <w:rPr>
      <w:rFonts w:ascii="宋体" w:hAnsi="Arial"/>
      <w:b/>
      <w:sz w:val="28"/>
      <w:szCs w:val="20"/>
    </w:rPr>
  </w:style>
  <w:style w:type="paragraph" w:customStyle="1" w:styleId="DocumentMap1">
    <w:name w:val="Document Map1"/>
    <w:basedOn w:val="a3"/>
    <w:unhideWhenUsed/>
    <w:qFormat/>
    <w:pPr>
      <w:shd w:val="clear" w:color="auto" w:fill="000080"/>
      <w:spacing w:beforeLines="50" w:afterLines="50"/>
      <w:jc w:val="left"/>
    </w:pPr>
    <w:rPr>
      <w:rFonts w:hint="eastAsia"/>
      <w:szCs w:val="20"/>
    </w:rPr>
  </w:style>
  <w:style w:type="paragraph" w:customStyle="1" w:styleId="affffffffffffff6">
    <w:name w:val="标题一"/>
    <w:basedOn w:val="a3"/>
    <w:unhideWhenUsed/>
    <w:qFormat/>
    <w:pPr>
      <w:pageBreakBefore/>
      <w:adjustRightInd w:val="0"/>
      <w:snapToGrid w:val="0"/>
      <w:spacing w:beforeLines="100" w:afterLines="100"/>
      <w:jc w:val="center"/>
      <w:outlineLvl w:val="0"/>
    </w:pPr>
    <w:rPr>
      <w:rFonts w:eastAsia="黑体" w:hint="eastAsia"/>
      <w:b/>
      <w:color w:val="000000"/>
      <w:spacing w:val="10"/>
      <w:sz w:val="32"/>
      <w:szCs w:val="20"/>
    </w:rPr>
  </w:style>
  <w:style w:type="paragraph" w:customStyle="1" w:styleId="StyleCaptionCentered">
    <w:name w:val="Style Caption + Centered"/>
    <w:basedOn w:val="a3"/>
    <w:unhideWhenUsed/>
    <w:qFormat/>
    <w:pPr>
      <w:spacing w:beforeLines="50" w:afterLines="50"/>
      <w:jc w:val="center"/>
    </w:pPr>
    <w:rPr>
      <w:rFonts w:ascii="Arial" w:hAnsi="Arial" w:hint="eastAsia"/>
      <w:szCs w:val="20"/>
    </w:rPr>
  </w:style>
  <w:style w:type="paragraph" w:customStyle="1" w:styleId="3-1031-1031">
    <w:name w:val="样式 样式 样式 标题 3 + 左  -1.03 字符 首行缩进:  1 字符 + 左侧:  -1.03 字符 + 左侧:  1..."/>
    <w:basedOn w:val="a3"/>
    <w:unhideWhenUsed/>
    <w:qFormat/>
    <w:pPr>
      <w:spacing w:line="600" w:lineRule="exact"/>
    </w:pPr>
    <w:rPr>
      <w:rFonts w:hint="eastAsia"/>
      <w:sz w:val="28"/>
      <w:szCs w:val="20"/>
    </w:rPr>
  </w:style>
  <w:style w:type="paragraph" w:customStyle="1" w:styleId="3-1031-1030">
    <w:name w:val="样式 样式 标题 3 + 左  -1.03 字符 首行缩进:  1 字符 + 左侧:  -1.03 字符"/>
    <w:basedOn w:val="3-1031"/>
    <w:unhideWhenUsed/>
    <w:qFormat/>
    <w:pPr>
      <w:ind w:leftChars="150" w:left="150" w:firstLineChars="0" w:firstLine="0"/>
    </w:pPr>
  </w:style>
  <w:style w:type="paragraph" w:customStyle="1" w:styleId="CM23">
    <w:name w:val="CM23"/>
    <w:basedOn w:val="a3"/>
    <w:next w:val="a3"/>
    <w:unhideWhenUsed/>
    <w:qFormat/>
    <w:pPr>
      <w:autoSpaceDE w:val="0"/>
      <w:autoSpaceDN w:val="0"/>
      <w:adjustRightInd w:val="0"/>
      <w:spacing w:line="468" w:lineRule="atLeast"/>
      <w:jc w:val="left"/>
    </w:pPr>
    <w:rPr>
      <w:rFonts w:ascii="黑体" w:eastAsia="黑体" w:hint="eastAsia"/>
      <w:szCs w:val="20"/>
    </w:rPr>
  </w:style>
  <w:style w:type="paragraph" w:customStyle="1" w:styleId="4222">
    <w:name w:val="样式 样式 样式 标题 4 + 首行缩进:  2 字符 + 首行缩进:  2 字符 + 首行缩进:  2 字符"/>
    <w:basedOn w:val="4220"/>
    <w:unhideWhenUsed/>
    <w:qFormat/>
    <w:pPr>
      <w:spacing w:beforeLines="0"/>
    </w:pPr>
  </w:style>
  <w:style w:type="paragraph" w:customStyle="1" w:styleId="3222">
    <w:name w:val="样式 样式 样式 目录 3 + 首行缩进:  2 字符 + 首行缩进:  2 字符 + 首行缩进:  2 字符"/>
    <w:basedOn w:val="3220"/>
    <w:unhideWhenUsed/>
    <w:qFormat/>
    <w:pPr>
      <w:ind w:firstLine="200"/>
    </w:pPr>
  </w:style>
  <w:style w:type="paragraph" w:customStyle="1" w:styleId="3220">
    <w:name w:val="样式 样式 目录 3 + 首行缩进:  2 字符 + 首行缩进:  2 字符"/>
    <w:basedOn w:val="323"/>
    <w:unhideWhenUsed/>
    <w:qFormat/>
    <w:pPr>
      <w:ind w:firstLine="420"/>
    </w:pPr>
    <w:rPr>
      <w:sz w:val="28"/>
    </w:rPr>
  </w:style>
  <w:style w:type="paragraph" w:customStyle="1" w:styleId="1A0">
    <w:name w:val="目录1A"/>
    <w:basedOn w:val="24"/>
    <w:unhideWhenUsed/>
    <w:qFormat/>
    <w:pPr>
      <w:tabs>
        <w:tab w:val="clear" w:pos="8296"/>
        <w:tab w:val="right" w:leader="dot" w:pos="8260"/>
        <w:tab w:val="right" w:leader="dot" w:pos="8302"/>
        <w:tab w:val="right" w:leader="dot" w:pos="8349"/>
        <w:tab w:val="right" w:leader="dot" w:pos="8834"/>
      </w:tabs>
      <w:adjustRightInd w:val="0"/>
      <w:spacing w:line="360" w:lineRule="auto"/>
    </w:pPr>
    <w:rPr>
      <w:rFonts w:ascii="宋体" w:hAnsi="宋体" w:hint="eastAsia"/>
      <w:b/>
      <w:caps/>
      <w:color w:val="000000"/>
      <w:szCs w:val="20"/>
    </w:rPr>
  </w:style>
  <w:style w:type="paragraph" w:customStyle="1" w:styleId="1fff6">
    <w:name w:val="样式 标题 1封面大标题 + 两端对齐"/>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4125">
    <w:name w:val="缩进4宋125"/>
    <w:basedOn w:val="a3"/>
    <w:unhideWhenUsed/>
    <w:qFormat/>
    <w:pPr>
      <w:widowControl/>
      <w:snapToGrid w:val="0"/>
      <w:spacing w:line="300" w:lineRule="auto"/>
      <w:ind w:firstLine="539"/>
    </w:pPr>
    <w:rPr>
      <w:rFonts w:hint="eastAsia"/>
      <w:sz w:val="30"/>
      <w:szCs w:val="20"/>
    </w:rPr>
  </w:style>
  <w:style w:type="paragraph" w:customStyle="1" w:styleId="2ff5">
    <w:name w:val="正文首行缩进2 字符"/>
    <w:basedOn w:val="BodyTextIndent1"/>
    <w:link w:val="2CharChar5"/>
    <w:unhideWhenUsed/>
    <w:qFormat/>
    <w:pPr>
      <w:spacing w:beforeLines="50" w:after="0" w:line="520" w:lineRule="atLeast"/>
      <w:ind w:leftChars="0" w:left="0" w:firstLine="560"/>
    </w:pPr>
    <w:rPr>
      <w:sz w:val="28"/>
      <w:szCs w:val="20"/>
    </w:rPr>
  </w:style>
  <w:style w:type="paragraph" w:customStyle="1" w:styleId="2ff6">
    <w:name w:val="样式 题注 + 首行缩进:  2 字符"/>
    <w:basedOn w:val="1c"/>
    <w:unhideWhenUsed/>
    <w:qFormat/>
    <w:pPr>
      <w:adjustRightInd w:val="0"/>
      <w:snapToGrid w:val="0"/>
      <w:jc w:val="center"/>
    </w:pPr>
    <w:rPr>
      <w:rFonts w:ascii="Times New Roman" w:eastAsia="宋体" w:hAnsi="Times New Roman"/>
      <w:sz w:val="18"/>
    </w:rPr>
  </w:style>
  <w:style w:type="paragraph" w:customStyle="1" w:styleId="1fff7">
    <w:name w:val="样式 标题 1封面大标题 + 四号"/>
    <w:basedOn w:val="110"/>
    <w:unhideWhenUsed/>
    <w:qFormat/>
    <w:pPr>
      <w:spacing w:beforeLines="0" w:afterLines="0" w:line="240" w:lineRule="auto"/>
      <w:ind w:firstLineChars="0" w:firstLine="0"/>
      <w:jc w:val="center"/>
      <w:textAlignment w:val="baseline"/>
    </w:pPr>
    <w:rPr>
      <w:rFonts w:ascii="宋体" w:hAnsi="宋体"/>
      <w:b w:val="0"/>
      <w:spacing w:val="10"/>
      <w:sz w:val="40"/>
      <w:szCs w:val="20"/>
    </w:rPr>
  </w:style>
  <w:style w:type="paragraph" w:customStyle="1" w:styleId="CharCharChar1CharCharCharCharCharCharCharCharChar">
    <w:name w:val="Char Char Char1 Char Char Char Char Char Char Char Char Char"/>
    <w:basedOn w:val="a3"/>
    <w:unhideWhenUsed/>
    <w:qFormat/>
    <w:rPr>
      <w:rFonts w:hint="eastAsia"/>
      <w:sz w:val="21"/>
      <w:szCs w:val="20"/>
    </w:rPr>
  </w:style>
  <w:style w:type="paragraph" w:customStyle="1" w:styleId="affffffffffffff7">
    <w:name w:val="图片"/>
    <w:basedOn w:val="a3"/>
    <w:unhideWhenUsed/>
    <w:qFormat/>
    <w:rPr>
      <w:rFonts w:ascii="宋体" w:hAnsi="宋体" w:hint="eastAsia"/>
      <w:szCs w:val="20"/>
      <w:shd w:val="clear" w:color="auto" w:fill="FFFFFF"/>
    </w:rPr>
  </w:style>
  <w:style w:type="paragraph" w:customStyle="1" w:styleId="affffffffffffff8">
    <w:name w:val="点"/>
    <w:basedOn w:val="a3"/>
    <w:unhideWhenUsed/>
    <w:qFormat/>
    <w:pPr>
      <w:tabs>
        <w:tab w:val="left" w:pos="425"/>
        <w:tab w:val="left" w:pos="567"/>
        <w:tab w:val="left" w:pos="6521"/>
      </w:tabs>
      <w:autoSpaceDE w:val="0"/>
      <w:autoSpaceDN w:val="0"/>
      <w:adjustRightInd w:val="0"/>
      <w:ind w:left="425" w:hanging="425"/>
      <w:jc w:val="left"/>
      <w:textAlignment w:val="bottom"/>
    </w:pPr>
    <w:rPr>
      <w:rFonts w:ascii="Arial" w:hAnsi="Arial" w:hint="eastAsia"/>
      <w:sz w:val="26"/>
      <w:szCs w:val="20"/>
    </w:rPr>
  </w:style>
  <w:style w:type="paragraph" w:customStyle="1" w:styleId="affffffffffffff9">
    <w:name w:val="目录标题"/>
    <w:basedOn w:val="91"/>
    <w:unhideWhenUsed/>
    <w:qFormat/>
    <w:pPr>
      <w:numPr>
        <w:ilvl w:val="0"/>
        <w:numId w:val="0"/>
      </w:numPr>
      <w:autoSpaceDE w:val="0"/>
      <w:autoSpaceDN w:val="0"/>
      <w:spacing w:beforeLines="50" w:before="80" w:afterLines="50" w:after="60" w:line="320" w:lineRule="atLeast"/>
      <w:ind w:rightChars="100" w:right="100"/>
      <w:jc w:val="center"/>
      <w:textAlignment w:val="baseline"/>
    </w:pPr>
    <w:rPr>
      <w:rFonts w:ascii="宋体" w:hAnsi="宋体"/>
      <w:sz w:val="30"/>
      <w:szCs w:val="20"/>
    </w:rPr>
  </w:style>
  <w:style w:type="paragraph" w:customStyle="1" w:styleId="2ff7">
    <w:name w:val="样式 样式 表格 + 居中 + 首行缩进:  2 字符"/>
    <w:basedOn w:val="afffffffffc"/>
    <w:unhideWhenUsed/>
    <w:qFormat/>
    <w:rPr>
      <w:szCs w:val="20"/>
    </w:rPr>
  </w:style>
  <w:style w:type="paragraph" w:customStyle="1" w:styleId="StyleTextCenteredLinespacingsingle1">
    <w:name w:val="Style Text + Centered Line spacing:  single1"/>
    <w:basedOn w:val="Text"/>
    <w:unhideWhenUsed/>
    <w:qFormat/>
    <w:pPr>
      <w:spacing w:beforeLines="60" w:line="240" w:lineRule="auto"/>
      <w:jc w:val="center"/>
    </w:pPr>
  </w:style>
  <w:style w:type="paragraph" w:customStyle="1" w:styleId="2W210">
    <w:name w:val="样式 标题 2W2 +1"/>
    <w:basedOn w:val="213"/>
    <w:unhideWhenUsed/>
    <w:qFormat/>
    <w:pPr>
      <w:tabs>
        <w:tab w:val="left" w:pos="1322"/>
      </w:tabs>
      <w:spacing w:beforeLines="100" w:afterLines="30" w:line="500" w:lineRule="exact"/>
      <w:ind w:left="-288" w:firstLineChars="0" w:firstLine="0"/>
    </w:pPr>
    <w:rPr>
      <w:rFonts w:ascii="黑体" w:eastAsia="黑体" w:hAnsi="宋体"/>
      <w:b w:val="0"/>
      <w:spacing w:val="10"/>
      <w:sz w:val="28"/>
      <w:szCs w:val="20"/>
    </w:rPr>
  </w:style>
  <w:style w:type="paragraph" w:customStyle="1" w:styleId="3f6">
    <w:name w:val="标题  3"/>
    <w:basedOn w:val="310"/>
    <w:unhideWhenUsed/>
    <w:qFormat/>
    <w:pPr>
      <w:keepNext w:val="0"/>
      <w:tabs>
        <w:tab w:val="left" w:pos="0"/>
      </w:tabs>
      <w:adjustRightInd w:val="0"/>
      <w:snapToGrid w:val="0"/>
      <w:spacing w:beforeLines="0" w:afterLines="0"/>
      <w:ind w:firstLine="564"/>
      <w:jc w:val="left"/>
    </w:pPr>
    <w:rPr>
      <w:rFonts w:eastAsia="黑体"/>
      <w:sz w:val="28"/>
      <w:szCs w:val="20"/>
    </w:rPr>
  </w:style>
  <w:style w:type="paragraph" w:customStyle="1" w:styleId="subheading5">
    <w:name w:val="subheading 5"/>
    <w:basedOn w:val="a3"/>
    <w:unhideWhenUsed/>
    <w:qFormat/>
    <w:pPr>
      <w:widowControl/>
      <w:spacing w:before="240" w:after="120"/>
      <w:ind w:firstLine="720"/>
      <w:jc w:val="left"/>
    </w:pPr>
    <w:rPr>
      <w:rFonts w:hint="eastAsia"/>
      <w:szCs w:val="20"/>
      <w:u w:val="single"/>
    </w:rPr>
  </w:style>
  <w:style w:type="paragraph" w:customStyle="1" w:styleId="CharCharCharCharCharChar2">
    <w:name w:val="Char Char Char Char Char Char2"/>
    <w:basedOn w:val="a3"/>
    <w:unhideWhenUsed/>
    <w:qFormat/>
    <w:rPr>
      <w:rFonts w:hint="eastAsia"/>
      <w:sz w:val="21"/>
      <w:szCs w:val="20"/>
    </w:rPr>
  </w:style>
  <w:style w:type="paragraph" w:customStyle="1" w:styleId="References">
    <w:name w:val="References"/>
    <w:basedOn w:val="a3"/>
    <w:unhideWhenUsed/>
    <w:qFormat/>
    <w:pPr>
      <w:widowControl/>
      <w:spacing w:before="240" w:after="240"/>
      <w:ind w:left="720" w:hanging="720"/>
      <w:jc w:val="left"/>
    </w:pPr>
    <w:rPr>
      <w:rFonts w:hint="eastAsia"/>
      <w:szCs w:val="20"/>
    </w:rPr>
  </w:style>
  <w:style w:type="paragraph" w:customStyle="1" w:styleId="affffffffffffffa">
    <w:name w:val="目录一级"/>
    <w:basedOn w:val="zjj2"/>
    <w:unhideWhenUsed/>
    <w:qFormat/>
    <w:pPr>
      <w:tabs>
        <w:tab w:val="clear" w:pos="0"/>
      </w:tabs>
      <w:autoSpaceDE/>
      <w:autoSpaceDN/>
      <w:adjustRightInd/>
      <w:snapToGrid/>
      <w:spacing w:beforeLines="50" w:afterLines="50" w:line="420" w:lineRule="exact"/>
      <w:textAlignment w:val="auto"/>
    </w:pPr>
    <w:rPr>
      <w:rFonts w:eastAsia="宋体"/>
      <w:kern w:val="2"/>
      <w:sz w:val="28"/>
    </w:rPr>
  </w:style>
  <w:style w:type="paragraph" w:customStyle="1" w:styleId="5230">
    <w:name w:val="样式 样式5 + 首行缩进:  2 字符3"/>
    <w:basedOn w:val="5a"/>
    <w:unhideWhenUsed/>
    <w:qFormat/>
    <w:pPr>
      <w:spacing w:line="560" w:lineRule="exact"/>
      <w:ind w:firstLineChars="0" w:firstLine="560"/>
      <w:textAlignment w:val="baseline"/>
    </w:pPr>
    <w:rPr>
      <w:rFonts w:ascii="Times New Roman" w:hAnsi="Times New Roman"/>
      <w:b/>
      <w:sz w:val="26"/>
      <w:szCs w:val="20"/>
    </w:rPr>
  </w:style>
  <w:style w:type="paragraph" w:customStyle="1" w:styleId="affffffffffffffb">
    <w:name w:val="报告编号"/>
    <w:basedOn w:val="a3"/>
    <w:unhideWhenUsed/>
    <w:qFormat/>
    <w:pPr>
      <w:adjustRightInd w:val="0"/>
      <w:snapToGrid w:val="0"/>
      <w:spacing w:line="360" w:lineRule="exact"/>
      <w:jc w:val="center"/>
    </w:pPr>
    <w:rPr>
      <w:rFonts w:eastAsia="黑体" w:hint="eastAsia"/>
      <w:b/>
      <w:sz w:val="28"/>
      <w:szCs w:val="20"/>
    </w:rPr>
  </w:style>
  <w:style w:type="paragraph" w:customStyle="1" w:styleId="affffffffffffffc">
    <w:name w:val="公式下行"/>
    <w:unhideWhenUsed/>
    <w:qFormat/>
    <w:pPr>
      <w:spacing w:beforeLines="50" w:afterLines="50" w:line="360" w:lineRule="auto"/>
      <w:jc w:val="both"/>
    </w:pPr>
    <w:rPr>
      <w:rFonts w:hint="eastAsia"/>
      <w:kern w:val="2"/>
      <w:sz w:val="24"/>
    </w:rPr>
  </w:style>
  <w:style w:type="paragraph" w:customStyle="1" w:styleId="5e">
    <w:name w:val="样式 样式5 + 宋体"/>
    <w:basedOn w:val="5a"/>
    <w:link w:val="5Char2"/>
    <w:unhideWhenUsed/>
    <w:qFormat/>
    <w:pPr>
      <w:spacing w:line="560" w:lineRule="exact"/>
      <w:ind w:firstLineChars="0" w:firstLine="560"/>
      <w:textAlignment w:val="baseline"/>
    </w:pPr>
    <w:rPr>
      <w:rFonts w:ascii="Times New Roman" w:hAnsi="Times New Roman"/>
      <w:b/>
      <w:sz w:val="26"/>
      <w:szCs w:val="26"/>
    </w:rPr>
  </w:style>
  <w:style w:type="paragraph" w:customStyle="1" w:styleId="5037">
    <w:name w:val="样式 表格5 + 首行缩进:  0.37 厘米"/>
    <w:basedOn w:val="5b"/>
    <w:unhideWhenUsed/>
    <w:qFormat/>
    <w:rPr>
      <w:color w:val="FF0000"/>
    </w:rPr>
  </w:style>
  <w:style w:type="paragraph" w:customStyle="1" w:styleId="525">
    <w:name w:val="样式 样式5 + 首行缩进:  2 字符5"/>
    <w:basedOn w:val="5a"/>
    <w:unhideWhenUsed/>
    <w:qFormat/>
    <w:pPr>
      <w:spacing w:line="560" w:lineRule="exact"/>
      <w:ind w:firstLineChars="0" w:firstLine="200"/>
      <w:textAlignment w:val="baseline"/>
    </w:pPr>
    <w:rPr>
      <w:rFonts w:ascii="Times New Roman" w:hAnsi="Times New Roman"/>
      <w:b/>
      <w:sz w:val="26"/>
      <w:szCs w:val="20"/>
    </w:rPr>
  </w:style>
  <w:style w:type="paragraph" w:customStyle="1" w:styleId="3181">
    <w:name w:val="样式 标题3 + 左侧:  1.8 字符"/>
    <w:basedOn w:val="3c"/>
    <w:unhideWhenUsed/>
    <w:qFormat/>
    <w:pPr>
      <w:snapToGrid/>
      <w:spacing w:line="480" w:lineRule="exact"/>
      <w:ind w:leftChars="180" w:left="504" w:firstLine="0"/>
    </w:pPr>
    <w:rPr>
      <w:rFonts w:eastAsia="黑体"/>
      <w:sz w:val="30"/>
    </w:rPr>
  </w:style>
  <w:style w:type="paragraph" w:customStyle="1" w:styleId="affffffffffffffd">
    <w:name w:val="表左"/>
    <w:basedOn w:val="a3"/>
    <w:unhideWhenUsed/>
    <w:qFormat/>
    <w:pPr>
      <w:spacing w:line="280" w:lineRule="exact"/>
      <w:jc w:val="left"/>
    </w:pPr>
    <w:rPr>
      <w:rFonts w:ascii="宋体" w:hint="eastAsia"/>
      <w:color w:val="000000"/>
      <w:sz w:val="18"/>
      <w:szCs w:val="20"/>
    </w:rPr>
  </w:style>
  <w:style w:type="paragraph" w:customStyle="1" w:styleId="301">
    <w:name w:val="样式 标题 3 + 左侧:  0 厘米"/>
    <w:basedOn w:val="310"/>
    <w:unhideWhenUsed/>
    <w:qFormat/>
    <w:pPr>
      <w:spacing w:beforeLines="40" w:afterLines="40" w:line="240" w:lineRule="auto"/>
      <w:ind w:left="-288" w:firstLineChars="0" w:firstLine="0"/>
    </w:pPr>
    <w:rPr>
      <w:rFonts w:ascii="宋体" w:eastAsia="黑体" w:hAnsi="宋体"/>
      <w:sz w:val="28"/>
      <w:szCs w:val="20"/>
    </w:rPr>
  </w:style>
  <w:style w:type="paragraph" w:customStyle="1" w:styleId="affffffffffffffe">
    <w:name w:val="样式 表后标题 + (西文) 宋体"/>
    <w:basedOn w:val="afffffffffffff2"/>
    <w:unhideWhenUsed/>
    <w:qFormat/>
    <w:pPr>
      <w:ind w:right="420"/>
    </w:pPr>
    <w:rPr>
      <w:rFonts w:ascii="宋体"/>
      <w:b w:val="0"/>
    </w:rPr>
  </w:style>
  <w:style w:type="paragraph" w:customStyle="1" w:styleId="pa-57">
    <w:name w:val="pa-57"/>
    <w:basedOn w:val="a3"/>
    <w:unhideWhenUsed/>
    <w:qFormat/>
    <w:pPr>
      <w:widowControl/>
      <w:spacing w:line="360" w:lineRule="atLeast"/>
      <w:ind w:firstLine="500"/>
    </w:pPr>
    <w:rPr>
      <w:rFonts w:ascii="宋体" w:hAnsi="宋体" w:hint="eastAsia"/>
      <w:szCs w:val="20"/>
    </w:rPr>
  </w:style>
  <w:style w:type="paragraph" w:customStyle="1" w:styleId="StyleCenteredLinespacingsingle">
    <w:name w:val="Style Centered Line spacing:  single"/>
    <w:basedOn w:val="a3"/>
    <w:unhideWhenUsed/>
    <w:qFormat/>
    <w:pPr>
      <w:widowControl/>
      <w:jc w:val="center"/>
    </w:pPr>
    <w:rPr>
      <w:rFonts w:hint="eastAsia"/>
      <w:szCs w:val="20"/>
    </w:rPr>
  </w:style>
  <w:style w:type="paragraph" w:customStyle="1" w:styleId="0856615">
    <w:name w:val="样式 小四 非加粗 首行缩进:  0.85 厘米 段前: 6 磅 段后: 6 磅 行距: 1.5 倍行距"/>
    <w:basedOn w:val="a3"/>
    <w:link w:val="0856615Char"/>
    <w:unhideWhenUsed/>
    <w:qFormat/>
    <w:pPr>
      <w:spacing w:line="500" w:lineRule="atLeast"/>
      <w:ind w:firstLine="561"/>
    </w:pPr>
    <w:rPr>
      <w:rFonts w:hint="eastAsia"/>
      <w:sz w:val="28"/>
      <w:szCs w:val="28"/>
    </w:rPr>
  </w:style>
  <w:style w:type="paragraph" w:customStyle="1" w:styleId="CharCharChar0">
    <w:name w:val="默认段落字体 Char Char Char"/>
    <w:basedOn w:val="a3"/>
    <w:unhideWhenUsed/>
    <w:qFormat/>
    <w:rPr>
      <w:rFonts w:hint="eastAsia"/>
      <w:szCs w:val="24"/>
    </w:rPr>
  </w:style>
  <w:style w:type="paragraph" w:customStyle="1" w:styleId="afffffffffffffff">
    <w:name w:val="表格（小）"/>
    <w:basedOn w:val="a3"/>
    <w:unhideWhenUsed/>
    <w:qFormat/>
    <w:pPr>
      <w:adjustRightInd w:val="0"/>
      <w:snapToGrid w:val="0"/>
    </w:pPr>
    <w:rPr>
      <w:rFonts w:hint="eastAsia"/>
      <w:sz w:val="21"/>
      <w:szCs w:val="20"/>
    </w:rPr>
  </w:style>
  <w:style w:type="paragraph" w:customStyle="1" w:styleId="125">
    <w:name w:val="12"/>
    <w:basedOn w:val="a3"/>
    <w:next w:val="af2"/>
    <w:unhideWhenUsed/>
    <w:qFormat/>
    <w:rPr>
      <w:rFonts w:ascii="宋体" w:hAnsi="Courier New" w:hint="eastAsia"/>
      <w:sz w:val="21"/>
      <w:szCs w:val="20"/>
    </w:rPr>
  </w:style>
  <w:style w:type="paragraph" w:customStyle="1" w:styleId="156">
    <w:name w:val="样式 宋体 四号 行距: 1.5 倍行距"/>
    <w:basedOn w:val="a3"/>
    <w:unhideWhenUsed/>
    <w:qFormat/>
    <w:pPr>
      <w:ind w:right="-169" w:firstLine="482"/>
    </w:pPr>
    <w:rPr>
      <w:rFonts w:ascii="宋体" w:hAnsi="Arial" w:cs="宋体" w:hint="eastAsia"/>
      <w:color w:val="FF0000"/>
      <w:szCs w:val="24"/>
      <w:lang w:val="zh-CN"/>
    </w:rPr>
  </w:style>
  <w:style w:type="paragraph" w:customStyle="1" w:styleId="3212">
    <w:name w:val="样式 标题 3 + 首行缩进:  2 字符1"/>
    <w:basedOn w:val="310"/>
    <w:unhideWhenUsed/>
    <w:qFormat/>
    <w:pPr>
      <w:adjustRightInd w:val="0"/>
      <w:snapToGrid w:val="0"/>
      <w:spacing w:beforeLines="0" w:afterLines="0"/>
      <w:ind w:firstLine="422"/>
      <w:jc w:val="left"/>
    </w:pPr>
    <w:rPr>
      <w:rFonts w:eastAsia="黑体"/>
      <w:sz w:val="28"/>
      <w:szCs w:val="28"/>
    </w:rPr>
  </w:style>
  <w:style w:type="paragraph" w:customStyle="1" w:styleId="132">
    <w:name w:val="正文13号缩进"/>
    <w:basedOn w:val="a3"/>
    <w:unhideWhenUsed/>
    <w:qFormat/>
    <w:pPr>
      <w:ind w:firstLine="520"/>
    </w:pPr>
    <w:rPr>
      <w:rFonts w:cs="宋体" w:hint="eastAsia"/>
      <w:sz w:val="26"/>
      <w:szCs w:val="20"/>
    </w:rPr>
  </w:style>
  <w:style w:type="paragraph" w:customStyle="1" w:styleId="CharCharChar1CharCharChar1CharCharCharCharCharChar1CharCharChar1Char">
    <w:name w:val="Char Char Char1 Char Char Char1 Char Char Char Char Char Char1 Char Char Char1 Char"/>
    <w:basedOn w:val="a3"/>
    <w:unhideWhenUsed/>
    <w:qFormat/>
    <w:rPr>
      <w:rFonts w:hint="eastAsia"/>
      <w:sz w:val="21"/>
      <w:szCs w:val="24"/>
    </w:rPr>
  </w:style>
  <w:style w:type="paragraph" w:customStyle="1" w:styleId="4f3">
    <w:name w:val="+标题4"/>
    <w:basedOn w:val="410"/>
    <w:unhideWhenUsed/>
    <w:qFormat/>
    <w:pPr>
      <w:keepNext w:val="0"/>
      <w:tabs>
        <w:tab w:val="left" w:pos="709"/>
        <w:tab w:val="left" w:pos="2880"/>
      </w:tabs>
      <w:spacing w:beforeLines="0" w:afterLines="0" w:line="240" w:lineRule="auto"/>
      <w:ind w:firstLineChars="0" w:firstLine="0"/>
      <w:jc w:val="left"/>
    </w:pPr>
    <w:rPr>
      <w:rFonts w:ascii="宋体" w:hAnsi="宋体"/>
    </w:rPr>
  </w:style>
  <w:style w:type="paragraph" w:customStyle="1" w:styleId="280">
    <w:name w:val="28"/>
    <w:basedOn w:val="a3"/>
    <w:next w:val="af2"/>
    <w:unhideWhenUsed/>
    <w:qFormat/>
    <w:rPr>
      <w:rFonts w:ascii="宋体" w:hAnsi="Courier New" w:hint="eastAsia"/>
      <w:sz w:val="28"/>
      <w:szCs w:val="20"/>
    </w:rPr>
  </w:style>
  <w:style w:type="paragraph" w:customStyle="1" w:styleId="BodyText">
    <w:name w:val="BodyText"/>
    <w:basedOn w:val="a3"/>
    <w:unhideWhenUsed/>
    <w:qFormat/>
    <w:pPr>
      <w:tabs>
        <w:tab w:val="left" w:pos="737"/>
      </w:tabs>
      <w:adjustRightInd w:val="0"/>
      <w:snapToGrid w:val="0"/>
      <w:spacing w:before="120"/>
      <w:jc w:val="left"/>
      <w:textAlignment w:val="baseline"/>
    </w:pPr>
    <w:rPr>
      <w:rFonts w:ascii="宋体" w:hAnsi="宋体" w:hint="eastAsia"/>
      <w:color w:val="000000"/>
      <w:sz w:val="28"/>
      <w:szCs w:val="20"/>
    </w:rPr>
  </w:style>
  <w:style w:type="paragraph" w:customStyle="1" w:styleId="133">
    <w:name w:val="13"/>
    <w:basedOn w:val="a3"/>
    <w:next w:val="af2"/>
    <w:unhideWhenUsed/>
    <w:qFormat/>
    <w:rPr>
      <w:rFonts w:ascii="宋体" w:hAnsi="Courier New" w:hint="eastAsia"/>
      <w:sz w:val="21"/>
      <w:szCs w:val="20"/>
    </w:rPr>
  </w:style>
  <w:style w:type="paragraph" w:customStyle="1" w:styleId="8-2Char">
    <w:name w:val="8-2 Char"/>
    <w:basedOn w:val="a3"/>
    <w:link w:val="8-2CharCharChar"/>
    <w:unhideWhenUsed/>
    <w:qFormat/>
    <w:pPr>
      <w:spacing w:line="440" w:lineRule="exact"/>
      <w:ind w:firstLine="480"/>
      <w:jc w:val="left"/>
    </w:pPr>
    <w:rPr>
      <w:rFonts w:ascii="宋体" w:hAnsi="宋体" w:cs="宋体" w:hint="eastAsia"/>
      <w:szCs w:val="24"/>
    </w:rPr>
  </w:style>
  <w:style w:type="paragraph" w:customStyle="1" w:styleId="CharCharChar3CharCharCharCharCharCharCharCharCharCharCharCharChar1">
    <w:name w:val="Char Char Char3 Char Char Char Char Char Char Char Char Char Char Char Char Char1"/>
    <w:basedOn w:val="a3"/>
    <w:unhideWhenUsed/>
    <w:qFormat/>
    <w:rPr>
      <w:rFonts w:hint="eastAsia"/>
      <w:sz w:val="21"/>
      <w:szCs w:val="20"/>
    </w:rPr>
  </w:style>
  <w:style w:type="paragraph" w:customStyle="1" w:styleId="CharCharChar1Char11">
    <w:name w:val="Char Char Char1 Char11"/>
    <w:basedOn w:val="a3"/>
    <w:unhideWhenUsed/>
    <w:qFormat/>
    <w:rPr>
      <w:rFonts w:hint="eastAsia"/>
      <w:szCs w:val="20"/>
    </w:rPr>
  </w:style>
  <w:style w:type="paragraph" w:customStyle="1" w:styleId="CharCharChar1CharCharCharChar1CharChar1">
    <w:name w:val="Char Char Char1 Char Char Char Char1 Char Char1"/>
    <w:basedOn w:val="a3"/>
    <w:unhideWhenUsed/>
    <w:qFormat/>
    <w:rPr>
      <w:rFonts w:hint="eastAsia"/>
      <w:sz w:val="21"/>
      <w:szCs w:val="20"/>
    </w:rPr>
  </w:style>
  <w:style w:type="paragraph" w:customStyle="1" w:styleId="CharCharChar1CharCharCharChar11">
    <w:name w:val="Char Char Char1 Char Char Char Char11"/>
    <w:basedOn w:val="a3"/>
    <w:unhideWhenUsed/>
    <w:qFormat/>
    <w:rPr>
      <w:rFonts w:hint="eastAsia"/>
      <w:sz w:val="21"/>
      <w:szCs w:val="20"/>
    </w:rPr>
  </w:style>
  <w:style w:type="paragraph" w:customStyle="1" w:styleId="CharCharCharCharChar2CharCharCharChar1">
    <w:name w:val="Char Char Char Char Char2 Char Char Char Char1"/>
    <w:basedOn w:val="a3"/>
    <w:unhideWhenUsed/>
    <w:qFormat/>
    <w:pPr>
      <w:adjustRightInd w:val="0"/>
      <w:snapToGrid w:val="0"/>
    </w:pPr>
    <w:rPr>
      <w:rFonts w:ascii="宋体" w:hAnsi="宋体" w:hint="eastAsia"/>
      <w:szCs w:val="20"/>
    </w:rPr>
  </w:style>
  <w:style w:type="paragraph" w:customStyle="1" w:styleId="CharChar7CharCharCharChar1">
    <w:name w:val="Char Char7 Char Char Char Char1"/>
    <w:basedOn w:val="a3"/>
    <w:unhideWhenUsed/>
    <w:qFormat/>
    <w:pPr>
      <w:widowControl/>
      <w:spacing w:after="160" w:line="240" w:lineRule="exact"/>
      <w:jc w:val="left"/>
    </w:pPr>
    <w:rPr>
      <w:rFonts w:ascii="Verdana" w:hAnsi="Verdana" w:hint="eastAsia"/>
      <w:sz w:val="20"/>
      <w:szCs w:val="20"/>
      <w:lang w:eastAsia="en-US"/>
    </w:rPr>
  </w:style>
  <w:style w:type="paragraph" w:customStyle="1" w:styleId="CharCharChar1CharCharCharCharCharCharCharCharChar1">
    <w:name w:val="Char Char Char1 Char Char Char Char Char Char Char Char Char1"/>
    <w:basedOn w:val="a3"/>
    <w:unhideWhenUsed/>
    <w:qFormat/>
    <w:rPr>
      <w:rFonts w:hint="eastAsia"/>
      <w:sz w:val="21"/>
      <w:szCs w:val="20"/>
    </w:rPr>
  </w:style>
  <w:style w:type="paragraph" w:customStyle="1" w:styleId="CharCharChar1CharCharChar1CharCharCharCharCharChar1CharCharChar1Char1">
    <w:name w:val="Char Char Char1 Char Char Char1 Char Char Char Char Char Char1 Char Char Char1 Char1"/>
    <w:basedOn w:val="a3"/>
    <w:unhideWhenUsed/>
    <w:qFormat/>
    <w:rPr>
      <w:rFonts w:hint="eastAsia"/>
      <w:sz w:val="21"/>
      <w:szCs w:val="24"/>
    </w:rPr>
  </w:style>
  <w:style w:type="paragraph" w:customStyle="1" w:styleId="afffffffffffffff0">
    <w:name w:val="不缩进"/>
    <w:basedOn w:val="a3"/>
    <w:unhideWhenUsed/>
    <w:qFormat/>
    <w:pPr>
      <w:autoSpaceDE w:val="0"/>
      <w:autoSpaceDN w:val="0"/>
      <w:adjustRightInd w:val="0"/>
      <w:snapToGrid w:val="0"/>
      <w:spacing w:before="20" w:after="20"/>
      <w:jc w:val="center"/>
    </w:pPr>
    <w:rPr>
      <w:rFonts w:ascii="宋体" w:hAnsi="宋体" w:hint="eastAsia"/>
      <w:sz w:val="22"/>
      <w:szCs w:val="20"/>
    </w:rPr>
  </w:style>
  <w:style w:type="paragraph" w:customStyle="1" w:styleId="Times">
    <w:name w:val="样式 表头 + (符号) Times"/>
    <w:basedOn w:val="afff3"/>
    <w:link w:val="TimesChar"/>
    <w:unhideWhenUsed/>
    <w:qFormat/>
    <w:pPr>
      <w:spacing w:line="400" w:lineRule="exact"/>
      <w:ind w:firstLineChars="100" w:firstLine="240"/>
      <w:jc w:val="right"/>
    </w:pPr>
    <w:rPr>
      <w:rFonts w:ascii="仿宋_GB2312" w:eastAsia="仿宋_GB2312" w:hAnsi="宋体" w:hint="eastAsia"/>
      <w:color w:val="000000"/>
      <w:szCs w:val="24"/>
    </w:rPr>
  </w:style>
  <w:style w:type="paragraph" w:customStyle="1" w:styleId="141">
    <w:name w:val="样式14"/>
    <w:basedOn w:val="a3"/>
    <w:link w:val="14Char"/>
    <w:unhideWhenUsed/>
    <w:qFormat/>
    <w:pPr>
      <w:spacing w:line="500" w:lineRule="exact"/>
      <w:ind w:firstLine="480"/>
      <w:jc w:val="left"/>
    </w:pPr>
    <w:rPr>
      <w:rFonts w:eastAsia="华文中宋" w:hint="eastAsia"/>
      <w:color w:val="000000"/>
      <w:szCs w:val="24"/>
    </w:rPr>
  </w:style>
  <w:style w:type="paragraph" w:customStyle="1" w:styleId="afffffffffffffff1">
    <w:name w:val="文本框文字"/>
    <w:basedOn w:val="a3"/>
    <w:next w:val="a4"/>
    <w:unhideWhenUsed/>
    <w:qFormat/>
    <w:pPr>
      <w:spacing w:line="240" w:lineRule="atLeast"/>
    </w:pPr>
    <w:rPr>
      <w:rFonts w:ascii="Arial" w:hAnsi="Arial" w:hint="eastAsia"/>
      <w:sz w:val="21"/>
      <w:szCs w:val="24"/>
    </w:rPr>
  </w:style>
  <w:style w:type="paragraph" w:customStyle="1" w:styleId="afffffffffffffff2">
    <w:name w:val="表格目录"/>
    <w:basedOn w:val="a3"/>
    <w:next w:val="a3"/>
    <w:unhideWhenUsed/>
    <w:qFormat/>
    <w:pPr>
      <w:spacing w:line="440" w:lineRule="exact"/>
      <w:jc w:val="center"/>
    </w:pPr>
    <w:rPr>
      <w:rFonts w:ascii="宋体" w:hAnsi="宋体" w:hint="eastAsia"/>
      <w:b/>
      <w:sz w:val="21"/>
      <w:szCs w:val="24"/>
    </w:rPr>
  </w:style>
  <w:style w:type="paragraph" w:customStyle="1" w:styleId="afffffffffffffff3">
    <w:name w:val="符号后文字"/>
    <w:basedOn w:val="1b"/>
    <w:unhideWhenUsed/>
    <w:qFormat/>
    <w:pPr>
      <w:spacing w:line="440" w:lineRule="exact"/>
      <w:ind w:firstLine="482"/>
    </w:pPr>
    <w:rPr>
      <w:rFonts w:ascii="宋体" w:hAnsi="宋体"/>
      <w:b/>
      <w:color w:val="0000FF"/>
      <w:sz w:val="24"/>
      <w:szCs w:val="24"/>
      <w:u w:val="wave"/>
    </w:rPr>
  </w:style>
  <w:style w:type="paragraph" w:customStyle="1" w:styleId="afffffffffffffff4">
    <w:name w:val="索引"/>
    <w:basedOn w:val="27"/>
    <w:next w:val="1b"/>
    <w:unhideWhenUsed/>
    <w:qFormat/>
    <w:pPr>
      <w:keepNext/>
      <w:keepLines/>
      <w:tabs>
        <w:tab w:val="left" w:pos="0"/>
        <w:tab w:val="left" w:pos="360"/>
      </w:tabs>
      <w:spacing w:line="400" w:lineRule="exact"/>
      <w:ind w:leftChars="0" w:left="340" w:hanging="340"/>
    </w:pPr>
    <w:rPr>
      <w:sz w:val="24"/>
      <w:szCs w:val="20"/>
    </w:rPr>
  </w:style>
  <w:style w:type="paragraph" w:customStyle="1" w:styleId="StyleHeading1TimesNewRomanJustifiedBefore05line">
    <w:name w:val="Style Heading 1 + Times New Roman Justified Before:  0.5 line"/>
    <w:basedOn w:val="110"/>
    <w:unhideWhenUsed/>
    <w:qFormat/>
    <w:pPr>
      <w:tabs>
        <w:tab w:val="left" w:pos="900"/>
      </w:tabs>
      <w:spacing w:beforeLines="50" w:afterLines="0" w:line="480" w:lineRule="auto"/>
      <w:ind w:left="900" w:firstLineChars="0" w:hanging="420"/>
    </w:pPr>
    <w:rPr>
      <w:sz w:val="28"/>
      <w:szCs w:val="20"/>
    </w:rPr>
  </w:style>
  <w:style w:type="paragraph" w:customStyle="1" w:styleId="360">
    <w:name w:val="标题3，小四黑体，6磅"/>
    <w:basedOn w:val="a3"/>
    <w:unhideWhenUsed/>
    <w:qFormat/>
    <w:pPr>
      <w:keepNext/>
      <w:keepLines/>
      <w:spacing w:before="120" w:after="120" w:line="415" w:lineRule="auto"/>
      <w:outlineLvl w:val="2"/>
    </w:pPr>
    <w:rPr>
      <w:rFonts w:ascii="黑体" w:eastAsia="黑体" w:hint="eastAsia"/>
      <w:b/>
      <w:szCs w:val="32"/>
    </w:rPr>
  </w:style>
  <w:style w:type="paragraph" w:customStyle="1" w:styleId="2130">
    <w:name w:val="标题2，四号黑体，13磅，"/>
    <w:basedOn w:val="213"/>
    <w:unhideWhenUsed/>
    <w:qFormat/>
    <w:pPr>
      <w:tabs>
        <w:tab w:val="left" w:pos="1322"/>
      </w:tabs>
      <w:spacing w:beforeLines="0" w:afterLines="0"/>
      <w:ind w:firstLineChars="0" w:firstLine="0"/>
    </w:pPr>
    <w:rPr>
      <w:rFonts w:ascii="黑体" w:eastAsia="黑体" w:hAnsi="Arial"/>
      <w:color w:val="FF00FF"/>
      <w:sz w:val="28"/>
    </w:rPr>
  </w:style>
  <w:style w:type="paragraph" w:customStyle="1" w:styleId="1fff8">
    <w:name w:val="标题1，三号黑体，居中，"/>
    <w:basedOn w:val="110"/>
    <w:unhideWhenUsed/>
    <w:qFormat/>
    <w:pPr>
      <w:spacing w:beforeLines="0" w:afterLines="0"/>
      <w:ind w:firstLineChars="0" w:firstLine="0"/>
      <w:jc w:val="center"/>
    </w:pPr>
    <w:rPr>
      <w:rFonts w:ascii="黑体" w:eastAsia="黑体" w:hAnsi="宋体"/>
      <w:sz w:val="32"/>
    </w:rPr>
  </w:style>
  <w:style w:type="paragraph" w:customStyle="1" w:styleId="226">
    <w:name w:val="样式 宋体 小四 左 行距: 固定值 22 磅"/>
    <w:basedOn w:val="a3"/>
    <w:unhideWhenUsed/>
    <w:qFormat/>
    <w:pPr>
      <w:spacing w:line="440" w:lineRule="exact"/>
      <w:jc w:val="left"/>
    </w:pPr>
    <w:rPr>
      <w:rFonts w:ascii="宋体" w:hAnsi="宋体" w:cs="宋体" w:hint="eastAsia"/>
      <w:szCs w:val="20"/>
    </w:rPr>
  </w:style>
  <w:style w:type="paragraph" w:customStyle="1" w:styleId="1220">
    <w:name w:val="样式 样式 样式1 + 首行缩进:  2 字符 + 首行缩进:  2 字符"/>
    <w:basedOn w:val="a3"/>
    <w:unhideWhenUsed/>
    <w:qFormat/>
    <w:pPr>
      <w:spacing w:line="240" w:lineRule="atLeast"/>
      <w:jc w:val="left"/>
    </w:pPr>
    <w:rPr>
      <w:rFonts w:hAnsi="宋体" w:cs="宋体" w:hint="eastAsia"/>
      <w:color w:val="FF0000"/>
      <w:szCs w:val="24"/>
    </w:rPr>
  </w:style>
  <w:style w:type="paragraph" w:customStyle="1" w:styleId="afffffffffffffff5">
    <w:name w:val="方案正文样式"/>
    <w:basedOn w:val="a3"/>
    <w:link w:val="Charffff"/>
    <w:unhideWhenUsed/>
    <w:qFormat/>
    <w:pPr>
      <w:adjustRightInd w:val="0"/>
      <w:snapToGrid w:val="0"/>
      <w:ind w:firstLine="454"/>
      <w:textAlignment w:val="baseline"/>
    </w:pPr>
    <w:rPr>
      <w:rFonts w:hint="eastAsia"/>
      <w:szCs w:val="24"/>
    </w:rPr>
  </w:style>
  <w:style w:type="paragraph" w:customStyle="1" w:styleId="StyleHeading2Char2CharCF2Left0cmFirstline">
    <w:name w:val="Style Heading 2 Char标题 2 Char节(C+F2) + Left:  0 cm First line:..."/>
    <w:basedOn w:val="213"/>
    <w:unhideWhenUsed/>
    <w:qFormat/>
    <w:pPr>
      <w:tabs>
        <w:tab w:val="left" w:pos="576"/>
        <w:tab w:val="left" w:pos="1322"/>
      </w:tabs>
      <w:spacing w:beforeLines="0" w:afterLines="0" w:line="500" w:lineRule="exact"/>
      <w:ind w:left="576" w:firstLineChars="0" w:hanging="576"/>
    </w:pPr>
    <w:rPr>
      <w:rFonts w:ascii="Arial" w:hAnsi="Arial"/>
      <w:sz w:val="24"/>
      <w:szCs w:val="20"/>
    </w:rPr>
  </w:style>
  <w:style w:type="paragraph" w:customStyle="1" w:styleId="StyleHeading34CF3BoldBefore05line">
    <w:name w:val="Style Heading 3小节标题4(C+F3) + 宋体 Bold Before:  0.5 line"/>
    <w:basedOn w:val="310"/>
    <w:unhideWhenUsed/>
    <w:qFormat/>
    <w:pPr>
      <w:spacing w:before="120" w:afterLines="0" w:line="400" w:lineRule="exact"/>
      <w:ind w:firstLineChars="0" w:firstLine="0"/>
    </w:pPr>
    <w:rPr>
      <w:rFonts w:ascii="宋体" w:hAnsi="宋体"/>
      <w:sz w:val="24"/>
      <w:szCs w:val="20"/>
    </w:rPr>
  </w:style>
  <w:style w:type="paragraph" w:customStyle="1" w:styleId="StyleStyleHeading34CF3BoldBefore05lineBefo">
    <w:name w:val="Style Style Heading 3小节标题4(C+F3) + 宋体 Bold Before:  0.5 line + Befo..."/>
    <w:basedOn w:val="StyleHeading34CF3BoldBefore05line"/>
    <w:unhideWhenUsed/>
    <w:qFormat/>
    <w:pPr>
      <w:tabs>
        <w:tab w:val="left" w:pos="720"/>
      </w:tabs>
      <w:spacing w:before="156"/>
      <w:ind w:left="720" w:hanging="720"/>
    </w:pPr>
  </w:style>
  <w:style w:type="paragraph" w:customStyle="1" w:styleId="StyleHeading1LeftBefore05line">
    <w:name w:val="Style Heading 1 + Left Before:  0.5 line"/>
    <w:basedOn w:val="110"/>
    <w:next w:val="1"/>
    <w:link w:val="StyleHeading1LeftBefore05lineChar"/>
    <w:unhideWhenUsed/>
    <w:qFormat/>
    <w:pPr>
      <w:tabs>
        <w:tab w:val="left" w:pos="927"/>
      </w:tabs>
      <w:spacing w:beforeLines="50" w:afterLines="0" w:line="480" w:lineRule="auto"/>
      <w:ind w:left="711" w:firstLineChars="0" w:hanging="144"/>
      <w:jc w:val="left"/>
    </w:pPr>
    <w:rPr>
      <w:rFonts w:ascii="Arial" w:hAnsi="Arial"/>
      <w:b w:val="0"/>
      <w:sz w:val="28"/>
      <w:szCs w:val="24"/>
    </w:rPr>
  </w:style>
  <w:style w:type="paragraph" w:customStyle="1" w:styleId="StyleHeading2Char2CharCF22-1111">
    <w:name w:val="Style Heading 2 Char标题 2 Char节(C+F2)节，一宋三标题 2-王鹏节标题 1.11.1..."/>
    <w:basedOn w:val="213"/>
    <w:unhideWhenUsed/>
    <w:qFormat/>
    <w:pPr>
      <w:tabs>
        <w:tab w:val="left" w:pos="1322"/>
      </w:tabs>
      <w:spacing w:beforeLines="0" w:afterLines="0" w:line="300" w:lineRule="auto"/>
      <w:ind w:firstLineChars="0" w:firstLine="0"/>
      <w:jc w:val="left"/>
    </w:pPr>
    <w:rPr>
      <w:rFonts w:ascii="宋体" w:hAnsi="宋体"/>
      <w:smallCaps/>
      <w:kern w:val="28"/>
      <w:sz w:val="24"/>
      <w:szCs w:val="20"/>
    </w:rPr>
  </w:style>
  <w:style w:type="paragraph" w:customStyle="1" w:styleId="StyleStyleHeading2Char2CharCF22-1111">
    <w:name w:val="Style Style Heading 2 Char标题 2 Char节(C+F2)节，一宋三标题 2-王鹏节标题 1.11.1......"/>
    <w:basedOn w:val="StyleHeading2Char2CharCF22-1111"/>
    <w:unhideWhenUsed/>
    <w:qFormat/>
    <w:pPr>
      <w:tabs>
        <w:tab w:val="left" w:pos="851"/>
      </w:tabs>
      <w:ind w:left="567" w:hanging="567"/>
    </w:pPr>
    <w:rPr>
      <w:sz w:val="28"/>
    </w:rPr>
  </w:style>
  <w:style w:type="paragraph" w:customStyle="1" w:styleId="StyleHeading1H11-1-h11stlevelSectionHeadl1b">
    <w:name w:val="Style Heading 1H1标题 1-王鹏章标题 1-*+h11st levelSection Headl1b..."/>
    <w:basedOn w:val="110"/>
    <w:unhideWhenUsed/>
    <w:qFormat/>
    <w:pPr>
      <w:tabs>
        <w:tab w:val="left" w:pos="567"/>
      </w:tabs>
      <w:spacing w:beforeLines="50" w:afterLines="0" w:line="300" w:lineRule="auto"/>
      <w:ind w:left="432" w:firstLineChars="0" w:hanging="432"/>
      <w:jc w:val="left"/>
    </w:pPr>
    <w:rPr>
      <w:rFonts w:ascii="宋体" w:hAnsi="宋体"/>
      <w:caps/>
      <w:kern w:val="28"/>
      <w:sz w:val="30"/>
      <w:szCs w:val="20"/>
    </w:rPr>
  </w:style>
  <w:style w:type="paragraph" w:customStyle="1" w:styleId="afffffffffffffff6">
    <w:name w:val="封面工程项目名称"/>
    <w:basedOn w:val="a3"/>
    <w:unhideWhenUsed/>
    <w:qFormat/>
    <w:pPr>
      <w:jc w:val="center"/>
    </w:pPr>
    <w:rPr>
      <w:rFonts w:eastAsia="楷体_GB2312" w:cs="宋体" w:hint="eastAsia"/>
      <w:b/>
      <w:spacing w:val="24"/>
      <w:sz w:val="52"/>
      <w:szCs w:val="20"/>
    </w:rPr>
  </w:style>
  <w:style w:type="paragraph" w:customStyle="1" w:styleId="afffffffffffffff7">
    <w:name w:val="环境影响报告书"/>
    <w:basedOn w:val="a3"/>
    <w:next w:val="a3"/>
    <w:unhideWhenUsed/>
    <w:qFormat/>
    <w:pPr>
      <w:jc w:val="center"/>
    </w:pPr>
    <w:rPr>
      <w:rFonts w:eastAsia="黑体" w:cs="宋体" w:hint="eastAsia"/>
      <w:b/>
      <w:spacing w:val="30"/>
      <w:sz w:val="52"/>
      <w:szCs w:val="20"/>
    </w:rPr>
  </w:style>
  <w:style w:type="paragraph" w:customStyle="1" w:styleId="2TimesNewRoman0">
    <w:name w:val="正文首行缩进 2 + Times New Roman"/>
    <w:basedOn w:val="a3"/>
    <w:link w:val="2TimesNewRomanChar"/>
    <w:unhideWhenUsed/>
    <w:qFormat/>
    <w:pPr>
      <w:tabs>
        <w:tab w:val="left" w:pos="-57"/>
        <w:tab w:val="left" w:pos="0"/>
      </w:tabs>
      <w:autoSpaceDE w:val="0"/>
      <w:autoSpaceDN w:val="0"/>
      <w:ind w:firstLine="360"/>
    </w:pPr>
    <w:rPr>
      <w:rFonts w:ascii="宋体" w:hAnsi="宋体" w:hint="eastAsia"/>
      <w:color w:val="000000"/>
      <w:sz w:val="18"/>
      <w:szCs w:val="18"/>
    </w:rPr>
  </w:style>
  <w:style w:type="paragraph" w:customStyle="1" w:styleId="1fff9">
    <w:name w:val="表格文字1"/>
    <w:basedOn w:val="a3"/>
    <w:unhideWhenUsed/>
    <w:qFormat/>
    <w:pPr>
      <w:tabs>
        <w:tab w:val="left" w:pos="277"/>
        <w:tab w:val="left" w:pos="600"/>
        <w:tab w:val="left" w:pos="780"/>
        <w:tab w:val="left" w:pos="2517"/>
      </w:tabs>
      <w:adjustRightInd w:val="0"/>
      <w:snapToGrid w:val="0"/>
      <w:jc w:val="center"/>
      <w:textAlignment w:val="baseline"/>
    </w:pPr>
    <w:rPr>
      <w:rFonts w:cs="宋体" w:hint="eastAsia"/>
      <w:i/>
      <w:spacing w:val="5"/>
      <w:sz w:val="21"/>
    </w:rPr>
  </w:style>
  <w:style w:type="paragraph" w:customStyle="1" w:styleId="afffffffffffffff8">
    <w:name w:val="送审/报批稿"/>
    <w:basedOn w:val="a3"/>
    <w:next w:val="a3"/>
    <w:unhideWhenUsed/>
    <w:qFormat/>
    <w:pPr>
      <w:jc w:val="center"/>
    </w:pPr>
    <w:rPr>
      <w:rFonts w:ascii="华文新魏" w:eastAsia="华文新魏" w:cs="宋体" w:hint="eastAsia"/>
      <w:sz w:val="44"/>
      <w:szCs w:val="20"/>
    </w:rPr>
  </w:style>
  <w:style w:type="paragraph" w:customStyle="1" w:styleId="afffffffffffffff9">
    <w:name w:val="环科院名称"/>
    <w:basedOn w:val="a3"/>
    <w:unhideWhenUsed/>
    <w:qFormat/>
    <w:pPr>
      <w:ind w:leftChars="-10" w:left="-7" w:hangingChars="4" w:hanging="14"/>
      <w:jc w:val="center"/>
    </w:pPr>
    <w:rPr>
      <w:rFonts w:ascii="楷体_GB2312" w:eastAsia="楷体_GB2312" w:hAnsi="华文楷体" w:cs="宋体" w:hint="eastAsia"/>
      <w:b/>
      <w:spacing w:val="20"/>
      <w:sz w:val="32"/>
      <w:szCs w:val="20"/>
    </w:rPr>
  </w:style>
  <w:style w:type="paragraph" w:customStyle="1" w:styleId="afffffffffffffffa">
    <w:name w:val="环科院英文名称"/>
    <w:basedOn w:val="a3"/>
    <w:unhideWhenUsed/>
    <w:qFormat/>
    <w:pPr>
      <w:pBdr>
        <w:top w:val="single" w:sz="4" w:space="1" w:color="auto"/>
        <w:between w:val="single" w:sz="4" w:space="1" w:color="auto"/>
      </w:pBdr>
      <w:ind w:firstLineChars="10" w:firstLine="21"/>
      <w:jc w:val="center"/>
    </w:pPr>
    <w:rPr>
      <w:rFonts w:cs="宋体" w:hint="eastAsia"/>
      <w:sz w:val="21"/>
      <w:szCs w:val="20"/>
    </w:rPr>
  </w:style>
  <w:style w:type="paragraph" w:customStyle="1" w:styleId="AnnexLetter">
    <w:name w:val="AnnexLetter"/>
    <w:basedOn w:val="a3"/>
    <w:unhideWhenUsed/>
    <w:qFormat/>
    <w:pPr>
      <w:widowControl/>
      <w:overflowPunct w:val="0"/>
      <w:autoSpaceDE w:val="0"/>
      <w:autoSpaceDN w:val="0"/>
      <w:adjustRightInd w:val="0"/>
      <w:spacing w:before="2400" w:line="264" w:lineRule="auto"/>
      <w:ind w:left="1418" w:right="1418"/>
      <w:jc w:val="left"/>
      <w:textAlignment w:val="baseline"/>
    </w:pPr>
    <w:rPr>
      <w:rFonts w:ascii="Book Antiqua" w:hAnsi="Book Antiqua" w:hint="eastAsia"/>
      <w:sz w:val="22"/>
      <w:szCs w:val="20"/>
      <w:lang w:val="en-GB"/>
    </w:rPr>
  </w:style>
  <w:style w:type="paragraph" w:customStyle="1" w:styleId="AnnexTitle">
    <w:name w:val="AnnexTitle"/>
    <w:basedOn w:val="a3"/>
    <w:next w:val="a3"/>
    <w:unhideWhenUsed/>
    <w:qFormat/>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hint="eastAsia"/>
      <w:sz w:val="36"/>
      <w:szCs w:val="20"/>
      <w:lang w:val="en-GB"/>
    </w:rPr>
  </w:style>
  <w:style w:type="paragraph" w:customStyle="1" w:styleId="CoverClientName">
    <w:name w:val="CoverClientName"/>
    <w:basedOn w:val="a3"/>
    <w:next w:val="a3"/>
    <w:unhideWhenUsed/>
    <w:qFormat/>
    <w:pPr>
      <w:widowControl/>
      <w:overflowPunct w:val="0"/>
      <w:autoSpaceDE w:val="0"/>
      <w:autoSpaceDN w:val="0"/>
      <w:adjustRightInd w:val="0"/>
      <w:spacing w:after="480" w:line="264" w:lineRule="auto"/>
      <w:jc w:val="left"/>
      <w:textAlignment w:val="baseline"/>
    </w:pPr>
    <w:rPr>
      <w:rFonts w:ascii="Book Antiqua" w:hAnsi="Book Antiqua" w:hint="eastAsia"/>
      <w:sz w:val="22"/>
      <w:szCs w:val="20"/>
      <w:lang w:val="en-GB"/>
    </w:rPr>
  </w:style>
  <w:style w:type="paragraph" w:customStyle="1" w:styleId="CoverDate">
    <w:name w:val="CoverDate"/>
    <w:basedOn w:val="a3"/>
    <w:unhideWhenUsed/>
    <w:qFormat/>
    <w:pPr>
      <w:widowControl/>
      <w:overflowPunct w:val="0"/>
      <w:autoSpaceDE w:val="0"/>
      <w:autoSpaceDN w:val="0"/>
      <w:adjustRightInd w:val="0"/>
      <w:spacing w:before="1200" w:line="264" w:lineRule="auto"/>
      <w:jc w:val="left"/>
      <w:textAlignment w:val="baseline"/>
    </w:pPr>
    <w:rPr>
      <w:rFonts w:ascii="Book Antiqua" w:hAnsi="Book Antiqua" w:hint="eastAsia"/>
      <w:sz w:val="22"/>
      <w:szCs w:val="20"/>
      <w:lang w:val="en-GB"/>
    </w:rPr>
  </w:style>
  <w:style w:type="paragraph" w:customStyle="1" w:styleId="CoverMainTitle">
    <w:name w:val="CoverMainTitle"/>
    <w:basedOn w:val="a3"/>
    <w:next w:val="a3"/>
    <w:unhideWhenUsed/>
    <w:qFormat/>
    <w:pPr>
      <w:widowControl/>
      <w:overflowPunct w:val="0"/>
      <w:autoSpaceDE w:val="0"/>
      <w:autoSpaceDN w:val="0"/>
      <w:adjustRightInd w:val="0"/>
      <w:spacing w:before="480" w:line="264" w:lineRule="auto"/>
      <w:jc w:val="left"/>
      <w:textAlignment w:val="baseline"/>
    </w:pPr>
    <w:rPr>
      <w:rFonts w:ascii="Book Antiqua" w:hAnsi="Book Antiqua" w:hint="eastAsia"/>
      <w:sz w:val="28"/>
      <w:szCs w:val="20"/>
      <w:lang w:val="en-GB"/>
    </w:rPr>
  </w:style>
  <w:style w:type="paragraph" w:customStyle="1" w:styleId="CoverReverseHeader">
    <w:name w:val="CoverReverseHeader"/>
    <w:basedOn w:val="a3"/>
    <w:next w:val="CoverClientName"/>
    <w:unhideWhenUsed/>
    <w:qFormat/>
    <w:pPr>
      <w:widowControl/>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hint="eastAsia"/>
      <w:caps/>
      <w:color w:val="FFFFFF"/>
      <w:sz w:val="22"/>
      <w:szCs w:val="20"/>
      <w:lang w:val="en-GB"/>
    </w:rPr>
  </w:style>
  <w:style w:type="paragraph" w:customStyle="1" w:styleId="GraphicsText">
    <w:name w:val="Graphics Text"/>
    <w:basedOn w:val="a3"/>
    <w:unhideWhenUsed/>
    <w:qFormat/>
    <w:pPr>
      <w:widowControl/>
      <w:overflowPunct w:val="0"/>
      <w:autoSpaceDE w:val="0"/>
      <w:autoSpaceDN w:val="0"/>
      <w:adjustRightInd w:val="0"/>
      <w:spacing w:line="264" w:lineRule="auto"/>
      <w:jc w:val="left"/>
      <w:textAlignment w:val="baseline"/>
    </w:pPr>
    <w:rPr>
      <w:rFonts w:ascii="Arial Narrow" w:hAnsi="Arial Narrow" w:hint="eastAsia"/>
      <w:sz w:val="18"/>
      <w:szCs w:val="20"/>
      <w:lang w:val="en-GB"/>
    </w:rPr>
  </w:style>
  <w:style w:type="paragraph" w:customStyle="1" w:styleId="Heading4">
    <w:name w:val="Heading4"/>
    <w:basedOn w:val="a3"/>
    <w:unhideWhenUsed/>
    <w:qFormat/>
    <w:pPr>
      <w:widowControl/>
      <w:overflowPunct w:val="0"/>
      <w:autoSpaceDE w:val="0"/>
      <w:autoSpaceDN w:val="0"/>
      <w:adjustRightInd w:val="0"/>
      <w:spacing w:after="240" w:line="264" w:lineRule="auto"/>
      <w:jc w:val="left"/>
      <w:textAlignment w:val="baseline"/>
    </w:pPr>
    <w:rPr>
      <w:rFonts w:ascii="Book Antiqua" w:hAnsi="Book Antiqua" w:hint="eastAsia"/>
      <w:i/>
      <w:sz w:val="22"/>
      <w:szCs w:val="20"/>
      <w:lang w:val="en-GB"/>
    </w:rPr>
  </w:style>
  <w:style w:type="paragraph" w:customStyle="1" w:styleId="MarginRelease">
    <w:name w:val="MarginRelease"/>
    <w:basedOn w:val="a3"/>
    <w:next w:val="a3"/>
    <w:unhideWhenUsed/>
    <w:qFormat/>
    <w:pPr>
      <w:widowControl/>
      <w:overflowPunct w:val="0"/>
      <w:autoSpaceDE w:val="0"/>
      <w:autoSpaceDN w:val="0"/>
      <w:adjustRightInd w:val="0"/>
      <w:spacing w:line="264" w:lineRule="auto"/>
      <w:ind w:hanging="1418"/>
      <w:jc w:val="left"/>
      <w:textAlignment w:val="baseline"/>
    </w:pPr>
    <w:rPr>
      <w:rFonts w:ascii="Book Antiqua" w:hAnsi="Book Antiqua" w:hint="eastAsia"/>
      <w:sz w:val="22"/>
      <w:szCs w:val="20"/>
      <w:lang w:val="en-GB"/>
    </w:rPr>
  </w:style>
  <w:style w:type="paragraph" w:customStyle="1" w:styleId="OtherHeader">
    <w:name w:val="OtherHeader"/>
    <w:basedOn w:val="1fd"/>
    <w:next w:val="a3"/>
    <w:unhideWhenUsed/>
    <w:qFormat/>
    <w:pPr>
      <w:widowControl/>
      <w:pBdr>
        <w:bottom w:val="none" w:sz="0" w:space="0" w:color="auto"/>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sz w:val="22"/>
      <w:szCs w:val="20"/>
      <w:lang w:val="en-GB"/>
    </w:rPr>
  </w:style>
  <w:style w:type="paragraph" w:customStyle="1" w:styleId="Subtext">
    <w:name w:val="Subtext"/>
    <w:basedOn w:val="a3"/>
    <w:unhideWhenUsed/>
    <w:qFormat/>
    <w:pPr>
      <w:widowControl/>
      <w:overflowPunct w:val="0"/>
      <w:autoSpaceDE w:val="0"/>
      <w:autoSpaceDN w:val="0"/>
      <w:adjustRightInd w:val="0"/>
      <w:spacing w:line="264" w:lineRule="auto"/>
      <w:jc w:val="left"/>
      <w:textAlignment w:val="baseline"/>
    </w:pPr>
    <w:rPr>
      <w:rFonts w:ascii="Book Antiqua" w:hAnsi="Book Antiqua" w:hint="eastAsia"/>
      <w:sz w:val="18"/>
      <w:szCs w:val="20"/>
      <w:lang w:val="en-GB"/>
    </w:rPr>
  </w:style>
  <w:style w:type="paragraph" w:customStyle="1" w:styleId="XecSumm">
    <w:name w:val="XecSumm"/>
    <w:basedOn w:val="a3"/>
    <w:unhideWhenUsed/>
    <w:qFormat/>
    <w:pPr>
      <w:widowControl/>
      <w:overflowPunct w:val="0"/>
      <w:autoSpaceDE w:val="0"/>
      <w:autoSpaceDN w:val="0"/>
      <w:adjustRightInd w:val="0"/>
      <w:spacing w:line="264" w:lineRule="auto"/>
      <w:jc w:val="left"/>
      <w:textAlignment w:val="baseline"/>
    </w:pPr>
    <w:rPr>
      <w:rFonts w:ascii="Book Antiqua" w:hAnsi="Book Antiqua" w:hint="eastAsia"/>
      <w:i/>
      <w:sz w:val="22"/>
      <w:szCs w:val="20"/>
      <w:lang w:val="en-GB"/>
    </w:rPr>
  </w:style>
  <w:style w:type="paragraph" w:customStyle="1" w:styleId="StyleHeading21111H212CharChar11Underrub3">
    <w:name w:val="Style Heading 2§1.1§1.1.H21标题 2 Char Char节标题 1.1（一）Underrub...3"/>
    <w:basedOn w:val="213"/>
    <w:unhideWhenUsed/>
    <w:qFormat/>
    <w:pPr>
      <w:tabs>
        <w:tab w:val="left" w:pos="-1418"/>
        <w:tab w:val="left" w:pos="1322"/>
        <w:tab w:val="left" w:pos="2835"/>
      </w:tabs>
      <w:spacing w:beforeLines="0" w:afterLines="0"/>
      <w:ind w:firstLineChars="0" w:hanging="1412"/>
    </w:pPr>
    <w:rPr>
      <w:rFonts w:ascii="宋体" w:hAnsi="宋体"/>
      <w:smallCaps/>
      <w:kern w:val="28"/>
      <w:sz w:val="28"/>
      <w:szCs w:val="28"/>
    </w:rPr>
  </w:style>
  <w:style w:type="paragraph" w:customStyle="1" w:styleId="StyleHeading3111H33zym1113Charh3level3PI">
    <w:name w:val="Style Heading 3§1.1.1.H3标题 3zym条标题1.1.1标题 3 Charh3level_3PI..."/>
    <w:basedOn w:val="310"/>
    <w:unhideWhenUsed/>
    <w:qFormat/>
    <w:pPr>
      <w:tabs>
        <w:tab w:val="left" w:pos="-1418"/>
        <w:tab w:val="left" w:pos="851"/>
      </w:tabs>
      <w:spacing w:beforeLines="0" w:afterLines="0"/>
      <w:ind w:firstLineChars="0" w:hanging="720"/>
    </w:pPr>
    <w:rPr>
      <w:rFonts w:ascii="黑体" w:eastAsia="黑体"/>
      <w:kern w:val="28"/>
      <w:sz w:val="24"/>
      <w:szCs w:val="24"/>
    </w:rPr>
  </w:style>
  <w:style w:type="paragraph" w:customStyle="1" w:styleId="afffffffffffffffb">
    <w:name w:val="河石管道 表头"/>
    <w:unhideWhenUsed/>
    <w:qFormat/>
    <w:pPr>
      <w:jc w:val="center"/>
    </w:pPr>
    <w:rPr>
      <w:rFonts w:hint="eastAsia"/>
      <w:b/>
      <w:sz w:val="18"/>
    </w:rPr>
  </w:style>
  <w:style w:type="paragraph" w:customStyle="1" w:styleId="afffffffffffffffc">
    <w:name w:val="小四正文"/>
    <w:link w:val="Charffff0"/>
    <w:unhideWhenUsed/>
    <w:qFormat/>
    <w:pPr>
      <w:spacing w:line="480" w:lineRule="exact"/>
      <w:ind w:firstLineChars="200" w:firstLine="480"/>
      <w:jc w:val="both"/>
    </w:pPr>
    <w:rPr>
      <w:rFonts w:hint="eastAsia"/>
      <w:kern w:val="2"/>
      <w:sz w:val="24"/>
      <w:szCs w:val="24"/>
    </w:rPr>
  </w:style>
  <w:style w:type="paragraph" w:customStyle="1" w:styleId="1fffa">
    <w:name w:val="报告1"/>
    <w:basedOn w:val="a3"/>
    <w:unhideWhenUsed/>
    <w:qFormat/>
    <w:pPr>
      <w:ind w:firstLine="505"/>
    </w:pPr>
    <w:rPr>
      <w:rFonts w:hint="eastAsia"/>
      <w:kern w:val="24"/>
      <w:szCs w:val="24"/>
    </w:rPr>
  </w:style>
  <w:style w:type="paragraph" w:customStyle="1" w:styleId="SouthSuligeMainText">
    <w:name w:val="South Sulige Main Text"/>
    <w:basedOn w:val="1b"/>
    <w:unhideWhenUsed/>
    <w:qFormat/>
    <w:pPr>
      <w:widowControl/>
      <w:spacing w:beforeLines="50" w:afterLines="50"/>
      <w:ind w:firstLine="480"/>
    </w:pPr>
    <w:rPr>
      <w:kern w:val="28"/>
      <w:sz w:val="24"/>
    </w:rPr>
  </w:style>
  <w:style w:type="paragraph" w:customStyle="1" w:styleId="afffffffffffffffd">
    <w:name w:val="论文正文文字"/>
    <w:basedOn w:val="a3"/>
    <w:link w:val="Charffff1"/>
    <w:unhideWhenUsed/>
    <w:qFormat/>
    <w:pPr>
      <w:spacing w:line="400" w:lineRule="exact"/>
    </w:pPr>
    <w:rPr>
      <w:rFonts w:cs="宋体" w:hint="eastAsia"/>
      <w:szCs w:val="24"/>
    </w:rPr>
  </w:style>
  <w:style w:type="paragraph" w:customStyle="1" w:styleId="303">
    <w:name w:val="样式 标题 3 + 段前: 0.3 行"/>
    <w:basedOn w:val="310"/>
    <w:next w:val="a3"/>
    <w:unhideWhenUsed/>
    <w:qFormat/>
    <w:pPr>
      <w:keepNext w:val="0"/>
      <w:spacing w:beforeLines="0" w:afterLines="0"/>
      <w:ind w:firstLineChars="0" w:firstLine="493"/>
      <w:jc w:val="left"/>
    </w:pPr>
    <w:rPr>
      <w:b w:val="0"/>
      <w:spacing w:val="16"/>
      <w:w w:val="95"/>
      <w:sz w:val="24"/>
      <w:szCs w:val="24"/>
    </w:rPr>
  </w:style>
  <w:style w:type="paragraph" w:customStyle="1" w:styleId="21a">
    <w:name w:val="样式 正文首行缩进 + 首行缩进:  2 字符1"/>
    <w:basedOn w:val="1fb"/>
    <w:unhideWhenUsed/>
    <w:qFormat/>
  </w:style>
  <w:style w:type="paragraph" w:customStyle="1" w:styleId="2ff8">
    <w:name w:val="标题2，第二标题"/>
    <w:basedOn w:val="1fb"/>
    <w:next w:val="1fb"/>
    <w:unhideWhenUsed/>
    <w:qFormat/>
    <w:pPr>
      <w:tabs>
        <w:tab w:val="left" w:pos="628"/>
        <w:tab w:val="left" w:pos="1727"/>
        <w:tab w:val="left" w:pos="1884"/>
        <w:tab w:val="left" w:pos="2660"/>
        <w:tab w:val="left" w:pos="5460"/>
      </w:tabs>
      <w:snapToGrid w:val="0"/>
      <w:spacing w:beforeLines="30" w:afterLines="30" w:line="440" w:lineRule="exact"/>
      <w:ind w:firstLineChars="0" w:firstLine="0"/>
      <w:outlineLvl w:val="1"/>
    </w:pPr>
    <w:rPr>
      <w:rFonts w:eastAsia="黑体"/>
      <w:sz w:val="28"/>
      <w:szCs w:val="20"/>
    </w:rPr>
  </w:style>
  <w:style w:type="paragraph" w:customStyle="1" w:styleId="afffffffffffffffe">
    <w:name w:val="表格文字居中"/>
    <w:basedOn w:val="1fb"/>
    <w:unhideWhenUsed/>
    <w:qFormat/>
    <w:pPr>
      <w:tabs>
        <w:tab w:val="left" w:pos="628"/>
        <w:tab w:val="left" w:pos="1727"/>
        <w:tab w:val="left" w:pos="1884"/>
      </w:tabs>
      <w:snapToGrid w:val="0"/>
      <w:spacing w:line="240" w:lineRule="auto"/>
      <w:ind w:firstLineChars="0" w:firstLine="0"/>
      <w:jc w:val="center"/>
    </w:pPr>
    <w:rPr>
      <w:sz w:val="18"/>
      <w:szCs w:val="18"/>
    </w:rPr>
  </w:style>
  <w:style w:type="paragraph" w:customStyle="1" w:styleId="3000">
    <w:name w:val="样式 标题 3 + 左侧:  0 厘米 首行缩进:  0 厘米"/>
    <w:basedOn w:val="310"/>
    <w:unhideWhenUsed/>
    <w:qFormat/>
    <w:pPr>
      <w:spacing w:beforeLines="0" w:afterLines="0" w:line="300" w:lineRule="auto"/>
      <w:ind w:firstLineChars="0" w:firstLine="0"/>
    </w:pPr>
    <w:rPr>
      <w:rFonts w:ascii="Arial" w:eastAsia="黑体" w:hAnsi="Arial" w:cs="宋体"/>
      <w:b w:val="0"/>
      <w:sz w:val="30"/>
      <w:szCs w:val="24"/>
    </w:rPr>
  </w:style>
  <w:style w:type="paragraph" w:customStyle="1" w:styleId="TimesNewRoman78622">
    <w:name w:val="样式 表头 + Times New Roman 两端对齐 段前: 7.8 磅 段后: 6 磅 行距: 固定值 22 磅"/>
    <w:basedOn w:val="afff3"/>
    <w:unhideWhenUsed/>
    <w:qFormat/>
    <w:pPr>
      <w:keepNext/>
      <w:tabs>
        <w:tab w:val="left" w:pos="720"/>
        <w:tab w:val="left" w:pos="3319"/>
      </w:tabs>
      <w:spacing w:after="120" w:line="440" w:lineRule="exact"/>
      <w:ind w:firstLineChars="418" w:firstLine="945"/>
      <w:jc w:val="both"/>
    </w:pPr>
    <w:rPr>
      <w:rFonts w:cs="宋体" w:hint="eastAsia"/>
      <w:color w:val="FF0000"/>
      <w:spacing w:val="8"/>
      <w:kern w:val="21"/>
      <w:szCs w:val="20"/>
    </w:rPr>
  </w:style>
  <w:style w:type="paragraph" w:customStyle="1" w:styleId="142">
    <w:name w:val="样式 报告正文 + 行距: 多倍行距 1.4 字行"/>
    <w:basedOn w:val="a3"/>
    <w:unhideWhenUsed/>
    <w:qFormat/>
    <w:pPr>
      <w:adjustRightInd w:val="0"/>
      <w:snapToGrid w:val="0"/>
      <w:spacing w:line="336" w:lineRule="auto"/>
    </w:pPr>
    <w:rPr>
      <w:rFonts w:ascii="宋体" w:cs="宋体" w:hint="eastAsia"/>
      <w:sz w:val="28"/>
      <w:szCs w:val="20"/>
    </w:rPr>
  </w:style>
  <w:style w:type="paragraph" w:customStyle="1" w:styleId="BodyTextFirstIndent3">
    <w:name w:val="Body Text First Indent3"/>
    <w:basedOn w:val="12"/>
    <w:unhideWhenUsed/>
    <w:qFormat/>
    <w:pPr>
      <w:widowControl w:val="0"/>
      <w:tabs>
        <w:tab w:val="left" w:pos="7840"/>
      </w:tabs>
      <w:adjustRightInd w:val="0"/>
      <w:spacing w:before="120"/>
      <w:ind w:firstLine="567"/>
      <w:jc w:val="both"/>
      <w:textAlignment w:val="baseline"/>
    </w:pPr>
    <w:rPr>
      <w:kern w:val="28"/>
      <w:sz w:val="28"/>
      <w:szCs w:val="20"/>
    </w:rPr>
  </w:style>
  <w:style w:type="paragraph" w:customStyle="1" w:styleId="affffffffffffffff">
    <w:name w:val="责任表文"/>
    <w:basedOn w:val="a3"/>
    <w:unhideWhenUsed/>
    <w:qFormat/>
    <w:pPr>
      <w:adjustRightInd w:val="0"/>
      <w:snapToGrid w:val="0"/>
      <w:spacing w:before="120" w:after="120"/>
      <w:ind w:firstLine="480"/>
      <w:jc w:val="center"/>
      <w:textAlignment w:val="baseline"/>
    </w:pPr>
    <w:rPr>
      <w:rFonts w:ascii="宋体" w:hint="eastAsia"/>
      <w:kern w:val="24"/>
      <w:szCs w:val="20"/>
    </w:rPr>
  </w:style>
  <w:style w:type="paragraph" w:customStyle="1" w:styleId="BodyTextFirstIndent1">
    <w:name w:val="Body Text First Indent1"/>
    <w:basedOn w:val="12"/>
    <w:unhideWhenUsed/>
    <w:qFormat/>
    <w:pPr>
      <w:widowControl w:val="0"/>
      <w:tabs>
        <w:tab w:val="left" w:pos="7840"/>
      </w:tabs>
      <w:adjustRightInd w:val="0"/>
      <w:ind w:firstLine="567"/>
      <w:jc w:val="both"/>
      <w:textAlignment w:val="baseline"/>
    </w:pPr>
    <w:rPr>
      <w:kern w:val="28"/>
      <w:sz w:val="28"/>
      <w:szCs w:val="20"/>
    </w:rPr>
  </w:style>
  <w:style w:type="paragraph" w:customStyle="1" w:styleId="affffffffffffffff0">
    <w:name w:val="下标"/>
    <w:basedOn w:val="1fb"/>
    <w:unhideWhenUsed/>
    <w:qFormat/>
    <w:pPr>
      <w:tabs>
        <w:tab w:val="left" w:pos="0"/>
      </w:tabs>
      <w:autoSpaceDE w:val="0"/>
      <w:autoSpaceDN w:val="0"/>
      <w:spacing w:before="60" w:after="60"/>
      <w:ind w:firstLineChars="0" w:firstLine="567"/>
    </w:pPr>
    <w:rPr>
      <w:rFonts w:ascii="宋体"/>
      <w:spacing w:val="20"/>
      <w:vertAlign w:val="subscript"/>
    </w:rPr>
  </w:style>
  <w:style w:type="paragraph" w:customStyle="1" w:styleId="2ff9">
    <w:name w:val="页面标题2"/>
    <w:basedOn w:val="a3"/>
    <w:unhideWhenUsed/>
    <w:qFormat/>
    <w:pPr>
      <w:overflowPunct w:val="0"/>
      <w:topLinePunct/>
      <w:adjustRightInd w:val="0"/>
      <w:ind w:firstLine="480"/>
      <w:jc w:val="center"/>
      <w:textAlignment w:val="baseline"/>
    </w:pPr>
    <w:rPr>
      <w:rFonts w:ascii="黑体" w:eastAsia="黑体" w:hAnsi="宋体" w:hint="eastAsia"/>
      <w:b/>
      <w:kern w:val="24"/>
      <w:sz w:val="44"/>
      <w:szCs w:val="20"/>
    </w:rPr>
  </w:style>
  <w:style w:type="paragraph" w:customStyle="1" w:styleId="affffffffffffffff1">
    <w:name w:val="格式"/>
    <w:basedOn w:val="a3"/>
    <w:unhideWhenUsed/>
    <w:qFormat/>
    <w:pPr>
      <w:widowControl/>
      <w:snapToGrid w:val="0"/>
      <w:spacing w:line="400" w:lineRule="atLeast"/>
      <w:ind w:firstLine="567"/>
      <w:jc w:val="center"/>
    </w:pPr>
    <w:rPr>
      <w:rFonts w:eastAsia="仿宋_GB2312" w:hint="eastAsia"/>
      <w:szCs w:val="20"/>
    </w:rPr>
  </w:style>
  <w:style w:type="paragraph" w:customStyle="1" w:styleId="0741">
    <w:name w:val="样式 两端对齐 首行缩进:  0.74 厘米 段后: 1 行"/>
    <w:basedOn w:val="a3"/>
    <w:unhideWhenUsed/>
    <w:qFormat/>
    <w:pPr>
      <w:widowControl/>
      <w:ind w:firstLine="420"/>
    </w:pPr>
    <w:rPr>
      <w:rFonts w:ascii="Arial" w:hAnsi="Arial" w:hint="eastAsia"/>
      <w:szCs w:val="20"/>
      <w:lang w:val="zh-CN"/>
    </w:rPr>
  </w:style>
  <w:style w:type="paragraph" w:customStyle="1" w:styleId="11110">
    <w:name w:val="1111"/>
    <w:basedOn w:val="a3"/>
    <w:unhideWhenUsed/>
    <w:qFormat/>
    <w:pPr>
      <w:adjustRightInd w:val="0"/>
      <w:spacing w:line="360" w:lineRule="exact"/>
      <w:jc w:val="center"/>
      <w:textAlignment w:val="baseline"/>
    </w:pPr>
    <w:rPr>
      <w:rFonts w:ascii="宋体" w:hAnsi="宋体" w:hint="eastAsia"/>
      <w:sz w:val="21"/>
      <w:szCs w:val="24"/>
    </w:rPr>
  </w:style>
  <w:style w:type="paragraph" w:customStyle="1" w:styleId="227">
    <w:name w:val="样式 样式 正文首行缩进 + 首行缩进:  2 字符 + 首行缩进:  2 字符"/>
    <w:basedOn w:val="a3"/>
    <w:unhideWhenUsed/>
    <w:qFormat/>
    <w:pPr>
      <w:topLinePunct/>
      <w:adjustRightInd w:val="0"/>
      <w:snapToGrid w:val="0"/>
      <w:ind w:firstLine="480"/>
      <w:textAlignment w:val="baseline"/>
    </w:pPr>
    <w:rPr>
      <w:rFonts w:eastAsia="Times New Roman" w:hAnsi="宋体" w:hint="eastAsia"/>
      <w:szCs w:val="24"/>
    </w:rPr>
  </w:style>
  <w:style w:type="paragraph" w:customStyle="1" w:styleId="411">
    <w:name w:val="样式 标题 4 + 段后: 1 行"/>
    <w:basedOn w:val="410"/>
    <w:unhideWhenUsed/>
    <w:qFormat/>
    <w:pPr>
      <w:tabs>
        <w:tab w:val="left" w:pos="1931"/>
        <w:tab w:val="left" w:pos="2880"/>
      </w:tabs>
      <w:spacing w:beforeLines="0" w:afterLines="100"/>
      <w:ind w:left="1559" w:firstLineChars="0" w:firstLine="0"/>
    </w:pPr>
    <w:rPr>
      <w:rFonts w:ascii="Arial" w:hAnsi="Arial"/>
      <w:lang w:val="zh-CN"/>
    </w:rPr>
  </w:style>
  <w:style w:type="paragraph" w:customStyle="1" w:styleId="313">
    <w:name w:val="正文31"/>
    <w:basedOn w:val="a3"/>
    <w:unhideWhenUsed/>
    <w:qFormat/>
    <w:pPr>
      <w:keepNext/>
      <w:adjustRightInd w:val="0"/>
      <w:jc w:val="center"/>
      <w:textAlignment w:val="baseline"/>
    </w:pPr>
    <w:rPr>
      <w:rFonts w:hint="eastAsia"/>
      <w:sz w:val="28"/>
      <w:szCs w:val="20"/>
    </w:rPr>
  </w:style>
  <w:style w:type="paragraph" w:customStyle="1" w:styleId="1fffb">
    <w:name w:val="样式 正文首行缩进 + 首行缩进:  1 字符"/>
    <w:basedOn w:val="1fb"/>
    <w:unhideWhenUsed/>
    <w:qFormat/>
    <w:rPr>
      <w:rFonts w:cs="宋体"/>
    </w:rPr>
  </w:style>
  <w:style w:type="paragraph" w:customStyle="1" w:styleId="affffffffffffffff2">
    <w:name w:val="条目"/>
    <w:basedOn w:val="afffffc"/>
    <w:unhideWhenUsed/>
    <w:qFormat/>
    <w:pPr>
      <w:widowControl/>
      <w:tabs>
        <w:tab w:val="left" w:pos="1134"/>
      </w:tabs>
      <w:overflowPunct w:val="0"/>
      <w:autoSpaceDE w:val="0"/>
      <w:autoSpaceDN w:val="0"/>
      <w:adjustRightInd/>
      <w:spacing w:before="60" w:after="60" w:line="400" w:lineRule="atLeast"/>
      <w:ind w:firstLine="482"/>
      <w:textAlignment w:val="auto"/>
    </w:pPr>
    <w:rPr>
      <w:szCs w:val="24"/>
    </w:rPr>
  </w:style>
  <w:style w:type="paragraph" w:customStyle="1" w:styleId="252">
    <w:name w:val="样式 表头 + 黑色 行距: 固定值 25 磅"/>
    <w:basedOn w:val="afff3"/>
    <w:unhideWhenUsed/>
    <w:qFormat/>
    <w:pPr>
      <w:tabs>
        <w:tab w:val="left" w:pos="720"/>
        <w:tab w:val="left" w:pos="3319"/>
      </w:tabs>
      <w:ind w:firstLineChars="100" w:firstLine="240"/>
      <w:jc w:val="both"/>
    </w:pPr>
    <w:rPr>
      <w:rFonts w:ascii="黑体" w:hint="eastAsia"/>
      <w:color w:val="000000"/>
    </w:rPr>
  </w:style>
  <w:style w:type="paragraph" w:customStyle="1" w:styleId="zhengwen">
    <w:name w:val="zhengwen"/>
    <w:basedOn w:val="a3"/>
    <w:unhideWhenUsed/>
    <w:qFormat/>
    <w:pPr>
      <w:jc w:val="left"/>
    </w:pPr>
    <w:rPr>
      <w:rFonts w:ascii="Times" w:hAnsi="Times" w:hint="eastAsia"/>
      <w:spacing w:val="8"/>
      <w:szCs w:val="24"/>
    </w:rPr>
  </w:style>
  <w:style w:type="paragraph" w:customStyle="1" w:styleId="affffffffffffffff3">
    <w:name w:val="－正文"/>
    <w:basedOn w:val="a3"/>
    <w:unhideWhenUsed/>
    <w:qFormat/>
    <w:pPr>
      <w:spacing w:line="540" w:lineRule="atLeast"/>
      <w:jc w:val="left"/>
    </w:pPr>
    <w:rPr>
      <w:rFonts w:hint="eastAsia"/>
      <w:spacing w:val="8"/>
      <w:sz w:val="28"/>
      <w:szCs w:val="28"/>
    </w:rPr>
  </w:style>
  <w:style w:type="paragraph" w:customStyle="1" w:styleId="wenjian">
    <w:name w:val="wenjian"/>
    <w:basedOn w:val="zhengwen"/>
    <w:unhideWhenUsed/>
    <w:qFormat/>
    <w:pPr>
      <w:ind w:firstLine="512"/>
    </w:pPr>
    <w:rPr>
      <w:sz w:val="21"/>
    </w:rPr>
  </w:style>
  <w:style w:type="paragraph" w:customStyle="1" w:styleId="shu">
    <w:name w:val="shu 表题"/>
    <w:basedOn w:val="a3"/>
    <w:unhideWhenUsed/>
    <w:qFormat/>
    <w:pPr>
      <w:autoSpaceDE w:val="0"/>
      <w:autoSpaceDN w:val="0"/>
      <w:adjustRightInd w:val="0"/>
      <w:jc w:val="center"/>
    </w:pPr>
    <w:rPr>
      <w:rFonts w:ascii="Times" w:hAnsi="Times" w:hint="eastAsia"/>
      <w:b/>
      <w:spacing w:val="20"/>
      <w:szCs w:val="23"/>
    </w:rPr>
  </w:style>
  <w:style w:type="paragraph" w:customStyle="1" w:styleId="shu0">
    <w:name w:val="shu表文"/>
    <w:basedOn w:val="a3"/>
    <w:unhideWhenUsed/>
    <w:qFormat/>
    <w:pPr>
      <w:autoSpaceDE w:val="0"/>
      <w:autoSpaceDN w:val="0"/>
      <w:adjustRightInd w:val="0"/>
      <w:jc w:val="center"/>
    </w:pPr>
    <w:rPr>
      <w:rFonts w:ascii="Times" w:hAnsi="Times" w:hint="eastAsia"/>
      <w:spacing w:val="20"/>
      <w:sz w:val="21"/>
      <w:szCs w:val="23"/>
    </w:rPr>
  </w:style>
  <w:style w:type="paragraph" w:customStyle="1" w:styleId="2ffa">
    <w:name w:val="+标题2"/>
    <w:basedOn w:val="213"/>
    <w:unhideWhenUsed/>
    <w:qFormat/>
    <w:pPr>
      <w:tabs>
        <w:tab w:val="left" w:pos="567"/>
        <w:tab w:val="left" w:pos="1322"/>
      </w:tabs>
      <w:spacing w:beforeLines="0" w:afterLines="0"/>
      <w:ind w:firstLineChars="0" w:firstLine="0"/>
    </w:pPr>
    <w:rPr>
      <w:rFonts w:ascii="黑体" w:eastAsia="黑体" w:hAnsi="宋体"/>
      <w:sz w:val="28"/>
      <w:szCs w:val="28"/>
    </w:rPr>
  </w:style>
  <w:style w:type="paragraph" w:customStyle="1" w:styleId="CharChar4">
    <w:name w:val="报告正文 Char Char"/>
    <w:basedOn w:val="a3"/>
    <w:link w:val="CharCharChar2"/>
    <w:unhideWhenUsed/>
    <w:qFormat/>
    <w:pPr>
      <w:adjustRightInd w:val="0"/>
      <w:spacing w:beforeLines="25"/>
      <w:ind w:firstLine="482"/>
      <w:textAlignment w:val="baseline"/>
    </w:pPr>
    <w:rPr>
      <w:rFonts w:hint="eastAsia"/>
      <w:kern w:val="24"/>
      <w:szCs w:val="20"/>
    </w:rPr>
  </w:style>
  <w:style w:type="paragraph" w:customStyle="1" w:styleId="253">
    <w:name w:val="样式 表头 + 行距: 固定值 25 磅"/>
    <w:basedOn w:val="afff3"/>
    <w:unhideWhenUsed/>
    <w:qFormat/>
    <w:pPr>
      <w:tabs>
        <w:tab w:val="left" w:pos="720"/>
        <w:tab w:val="left" w:pos="3319"/>
      </w:tabs>
      <w:ind w:left="539" w:firstLineChars="100" w:firstLine="240"/>
      <w:jc w:val="both"/>
    </w:pPr>
    <w:rPr>
      <w:rFonts w:cs="宋体" w:hint="eastAsia"/>
      <w:color w:val="FF0000"/>
      <w:szCs w:val="20"/>
    </w:rPr>
  </w:style>
  <w:style w:type="paragraph" w:customStyle="1" w:styleId="affffffffffffffff4">
    <w:name w:val="表问"/>
    <w:basedOn w:val="a3"/>
    <w:unhideWhenUsed/>
    <w:qFormat/>
    <w:pPr>
      <w:spacing w:line="240" w:lineRule="atLeast"/>
      <w:jc w:val="center"/>
    </w:pPr>
    <w:rPr>
      <w:rFonts w:hint="eastAsia"/>
      <w:sz w:val="21"/>
      <w:szCs w:val="28"/>
    </w:rPr>
  </w:style>
  <w:style w:type="paragraph" w:customStyle="1" w:styleId="xl428">
    <w:name w:val="xl428"/>
    <w:basedOn w:val="a3"/>
    <w:unhideWhenUsed/>
    <w:qFormat/>
    <w:pPr>
      <w:widowControl/>
      <w:spacing w:before="100" w:beforeAutospacing="1" w:after="100" w:afterAutospacing="1"/>
      <w:jc w:val="center"/>
      <w:textAlignment w:val="center"/>
    </w:pPr>
    <w:rPr>
      <w:rFonts w:ascii="宋体" w:hAnsi="宋体" w:hint="eastAsia"/>
      <w:szCs w:val="24"/>
    </w:rPr>
  </w:style>
  <w:style w:type="paragraph" w:customStyle="1" w:styleId="08">
    <w:name w:val="样式 左  0 字符"/>
    <w:basedOn w:val="a3"/>
    <w:unhideWhenUsed/>
    <w:qFormat/>
    <w:pPr>
      <w:ind w:firstLineChars="225" w:firstLine="225"/>
    </w:pPr>
    <w:rPr>
      <w:rFonts w:cs="宋体" w:hint="eastAsia"/>
      <w:szCs w:val="20"/>
    </w:rPr>
  </w:style>
  <w:style w:type="paragraph" w:customStyle="1" w:styleId="affffffffffffffff5">
    <w:name w:val="依据文字"/>
    <w:basedOn w:val="28"/>
    <w:unhideWhenUsed/>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hint="eastAsia"/>
      <w:szCs w:val="28"/>
    </w:rPr>
  </w:style>
  <w:style w:type="paragraph" w:customStyle="1" w:styleId="affffffffffffffff6">
    <w:name w:val="总标题"/>
    <w:basedOn w:val="a3"/>
    <w:unhideWhenUsed/>
    <w:qFormat/>
    <w:pPr>
      <w:adjustRightInd w:val="0"/>
      <w:ind w:left="85" w:right="-488"/>
      <w:jc w:val="center"/>
      <w:textAlignment w:val="baseline"/>
    </w:pPr>
    <w:rPr>
      <w:rFonts w:ascii="方正魏碑简体" w:eastAsia="方正魏碑简体" w:hAnsi="Bookman Old Style" w:hint="eastAsia"/>
      <w:b/>
      <w:spacing w:val="5"/>
      <w:kern w:val="44"/>
      <w:sz w:val="32"/>
    </w:rPr>
  </w:style>
  <w:style w:type="paragraph" w:customStyle="1" w:styleId="20251">
    <w:name w:val="样式 正文首行缩进 2 + 段前: 0.25 行1"/>
    <w:basedOn w:val="28"/>
    <w:unhideWhenUsed/>
    <w:qFormat/>
    <w:pPr>
      <w:tabs>
        <w:tab w:val="left" w:pos="420"/>
        <w:tab w:val="left" w:pos="870"/>
        <w:tab w:val="left" w:pos="3150"/>
      </w:tabs>
      <w:autoSpaceDE w:val="0"/>
      <w:autoSpaceDN w:val="0"/>
      <w:adjustRightInd w:val="0"/>
      <w:spacing w:beforeLines="25" w:after="0" w:line="336" w:lineRule="auto"/>
      <w:ind w:leftChars="0" w:left="0" w:firstLineChars="0" w:firstLine="527"/>
      <w:textAlignment w:val="baseline"/>
    </w:pPr>
    <w:rPr>
      <w:rFonts w:ascii="宋体" w:hint="eastAsia"/>
      <w:szCs w:val="20"/>
    </w:rPr>
  </w:style>
  <w:style w:type="paragraph" w:customStyle="1" w:styleId="1230">
    <w:name w:val="123"/>
    <w:basedOn w:val="a3"/>
    <w:unhideWhenUsed/>
    <w:qFormat/>
    <w:pPr>
      <w:ind w:firstLine="454"/>
    </w:pPr>
    <w:rPr>
      <w:rFonts w:hint="eastAsia"/>
    </w:rPr>
  </w:style>
  <w:style w:type="paragraph" w:customStyle="1" w:styleId="affffffffffffffff7">
    <w:name w:val="正文中对齐"/>
    <w:basedOn w:val="a3"/>
    <w:unhideWhenUsed/>
    <w:qFormat/>
    <w:pPr>
      <w:snapToGrid w:val="0"/>
      <w:spacing w:before="60" w:after="60" w:line="60" w:lineRule="atLeast"/>
      <w:jc w:val="center"/>
    </w:pPr>
    <w:rPr>
      <w:rFonts w:hint="eastAsia"/>
    </w:rPr>
  </w:style>
  <w:style w:type="paragraph" w:customStyle="1" w:styleId="-20">
    <w:name w:val="宏福正文-2"/>
    <w:basedOn w:val="1fb"/>
    <w:unhideWhenUsed/>
    <w:qFormat/>
    <w:pPr>
      <w:snapToGrid w:val="0"/>
      <w:spacing w:before="240" w:line="400" w:lineRule="atLeast"/>
      <w:ind w:firstLineChars="0" w:firstLine="567"/>
    </w:pPr>
    <w:rPr>
      <w:sz w:val="28"/>
      <w:szCs w:val="28"/>
    </w:rPr>
  </w:style>
  <w:style w:type="paragraph" w:customStyle="1" w:styleId="4f4">
    <w:name w:val="宏福4"/>
    <w:basedOn w:val="-20"/>
    <w:unhideWhenUsed/>
    <w:qFormat/>
    <w:pPr>
      <w:spacing w:before="0"/>
    </w:pPr>
  </w:style>
  <w:style w:type="paragraph" w:customStyle="1" w:styleId="affffffffffffffff8">
    <w:name w:val="图文"/>
    <w:unhideWhenUsed/>
    <w:qFormat/>
    <w:pPr>
      <w:overflowPunct w:val="0"/>
      <w:autoSpaceDE w:val="0"/>
      <w:autoSpaceDN w:val="0"/>
      <w:adjustRightInd w:val="0"/>
      <w:spacing w:line="160" w:lineRule="atLeast"/>
      <w:ind w:firstLineChars="100" w:firstLine="240"/>
      <w:jc w:val="both"/>
      <w:textAlignment w:val="bottom"/>
    </w:pPr>
    <w:rPr>
      <w:rFonts w:hint="eastAsia"/>
      <w:sz w:val="21"/>
      <w:szCs w:val="24"/>
    </w:rPr>
  </w:style>
  <w:style w:type="paragraph" w:customStyle="1" w:styleId="TimesNewRoman2">
    <w:name w:val="样式 样式 正文首行缩进 + Times New Roman + 首行缩进:  2 字符"/>
    <w:basedOn w:val="a3"/>
    <w:unhideWhenUsed/>
    <w:qFormat/>
    <w:pPr>
      <w:tabs>
        <w:tab w:val="left" w:pos="0"/>
      </w:tabs>
      <w:autoSpaceDE w:val="0"/>
      <w:autoSpaceDN w:val="0"/>
      <w:adjustRightInd w:val="0"/>
      <w:textAlignment w:val="baseline"/>
    </w:pPr>
    <w:rPr>
      <w:rFonts w:hint="eastAsia"/>
      <w:szCs w:val="20"/>
    </w:rPr>
  </w:style>
  <w:style w:type="paragraph" w:customStyle="1" w:styleId="InTable">
    <w:name w:val="In Table"/>
    <w:basedOn w:val="a3"/>
    <w:unhideWhenUsed/>
    <w:qFormat/>
    <w:pPr>
      <w:tabs>
        <w:tab w:val="left" w:pos="2200"/>
        <w:tab w:val="left" w:pos="3960"/>
        <w:tab w:val="left" w:pos="5280"/>
      </w:tabs>
      <w:spacing w:before="96" w:after="96" w:line="240" w:lineRule="atLeast"/>
      <w:jc w:val="center"/>
    </w:pPr>
    <w:rPr>
      <w:rFonts w:ascii="Tahoma" w:eastAsia="华文中宋" w:hAnsi="Tahoma" w:hint="eastAsia"/>
      <w:sz w:val="21"/>
      <w:szCs w:val="20"/>
    </w:rPr>
  </w:style>
  <w:style w:type="paragraph" w:customStyle="1" w:styleId="affffffffffffffff9">
    <w:name w:val="基准篇眉"/>
    <w:basedOn w:val="a3"/>
    <w:unhideWhenUsed/>
    <w:qFormat/>
    <w:pPr>
      <w:keepLines/>
      <w:widowControl/>
      <w:tabs>
        <w:tab w:val="center" w:pos="7200"/>
        <w:tab w:val="right" w:pos="14400"/>
      </w:tabs>
      <w:overflowPunct w:val="0"/>
      <w:autoSpaceDE w:val="0"/>
      <w:autoSpaceDN w:val="0"/>
      <w:adjustRightInd w:val="0"/>
      <w:jc w:val="center"/>
      <w:textAlignment w:val="baseline"/>
    </w:pPr>
    <w:rPr>
      <w:rFonts w:hint="eastAsia"/>
      <w:spacing w:val="80"/>
      <w:sz w:val="20"/>
      <w:szCs w:val="20"/>
    </w:rPr>
  </w:style>
  <w:style w:type="paragraph" w:customStyle="1" w:styleId="affffffffffffffffa">
    <w:name w:val="首页脚注"/>
    <w:basedOn w:val="1f"/>
    <w:unhideWhenUsed/>
    <w:qFormat/>
    <w:pPr>
      <w:keepLines/>
      <w:tabs>
        <w:tab w:val="clear" w:pos="4153"/>
        <w:tab w:val="clear" w:pos="8306"/>
        <w:tab w:val="center" w:pos="4320"/>
      </w:tabs>
      <w:snapToGrid/>
      <w:jc w:val="center"/>
    </w:pPr>
    <w:rPr>
      <w:sz w:val="28"/>
      <w:szCs w:val="28"/>
    </w:rPr>
  </w:style>
  <w:style w:type="paragraph" w:customStyle="1" w:styleId="2ffb">
    <w:name w:val="样式 左侧:  2 字符"/>
    <w:basedOn w:val="a3"/>
    <w:unhideWhenUsed/>
    <w:qFormat/>
    <w:pPr>
      <w:ind w:firstLine="480"/>
    </w:pPr>
    <w:rPr>
      <w:rFonts w:hint="eastAsia"/>
      <w:szCs w:val="20"/>
    </w:rPr>
  </w:style>
  <w:style w:type="paragraph" w:customStyle="1" w:styleId="3f7">
    <w:name w:val="页面标题3"/>
    <w:basedOn w:val="2ff9"/>
    <w:unhideWhenUsed/>
    <w:qFormat/>
    <w:pPr>
      <w:ind w:leftChars="200" w:left="200"/>
    </w:pPr>
    <w:rPr>
      <w:sz w:val="32"/>
    </w:rPr>
  </w:style>
  <w:style w:type="paragraph" w:customStyle="1" w:styleId="1TimesNewRoman">
    <w:name w:val="样式 标题 1 + Times New Roman"/>
    <w:basedOn w:val="110"/>
    <w:next w:val="23"/>
    <w:unhideWhenUsed/>
    <w:qFormat/>
    <w:pPr>
      <w:spacing w:beforeLines="0" w:afterLines="0"/>
      <w:ind w:firstLineChars="0" w:firstLine="0"/>
      <w:jc w:val="left"/>
    </w:pPr>
    <w:rPr>
      <w:sz w:val="32"/>
      <w:szCs w:val="21"/>
    </w:rPr>
  </w:style>
  <w:style w:type="paragraph" w:customStyle="1" w:styleId="261">
    <w:name w:val="样式 标题 2 + 段后: 6 磅"/>
    <w:basedOn w:val="213"/>
    <w:next w:val="28"/>
    <w:unhideWhenUsed/>
    <w:qFormat/>
    <w:pPr>
      <w:tabs>
        <w:tab w:val="left" w:pos="1322"/>
      </w:tabs>
      <w:spacing w:beforeLines="0" w:beforeAutospacing="1" w:after="120"/>
      <w:ind w:firstLineChars="0" w:firstLine="0"/>
    </w:pPr>
    <w:rPr>
      <w:smallCaps/>
      <w:sz w:val="28"/>
      <w:szCs w:val="24"/>
    </w:rPr>
  </w:style>
  <w:style w:type="paragraph" w:customStyle="1" w:styleId="affffffffffffffffb">
    <w:name w:val="正文缩"/>
    <w:basedOn w:val="a3"/>
    <w:next w:val="a3"/>
    <w:unhideWhenUsed/>
    <w:qFormat/>
    <w:pPr>
      <w:adjustRightInd w:val="0"/>
      <w:snapToGrid w:val="0"/>
      <w:spacing w:line="480" w:lineRule="atLeast"/>
      <w:ind w:firstLine="567"/>
      <w:textAlignment w:val="baseline"/>
    </w:pPr>
    <w:rPr>
      <w:rFonts w:ascii="宋体" w:hint="eastAsia"/>
      <w:spacing w:val="6"/>
      <w:sz w:val="28"/>
      <w:szCs w:val="20"/>
    </w:rPr>
  </w:style>
  <w:style w:type="paragraph" w:customStyle="1" w:styleId="15218218">
    <w:name w:val="样式 样式 正文文字缩进 + 行距: 1.5 倍行距 首行缩进:  2.18 字符 + 首行缩进:  2.18 字符"/>
    <w:basedOn w:val="a3"/>
    <w:unhideWhenUsed/>
    <w:qFormat/>
    <w:pPr>
      <w:ind w:firstLineChars="218" w:firstLine="523"/>
    </w:pPr>
    <w:rPr>
      <w:rFonts w:hint="eastAsia"/>
      <w:szCs w:val="20"/>
    </w:rPr>
  </w:style>
  <w:style w:type="paragraph" w:customStyle="1" w:styleId="0515">
    <w:name w:val="样式 正文文字缩进 + 紧缩量  0.5 磅 行距: 1.5 倍行距"/>
    <w:basedOn w:val="BodyTextIndent1"/>
    <w:unhideWhenUsed/>
    <w:qFormat/>
    <w:pPr>
      <w:spacing w:after="0"/>
      <w:ind w:leftChars="0" w:left="0" w:firstLineChars="218" w:firstLine="567"/>
    </w:pPr>
    <w:rPr>
      <w:spacing w:val="-10"/>
      <w:sz w:val="24"/>
      <w:szCs w:val="20"/>
    </w:rPr>
  </w:style>
  <w:style w:type="paragraph" w:customStyle="1" w:styleId="15437">
    <w:name w:val="样式 正文文字缩进 + 行距: 1.5 倍行距 首行缩进:  4.37 字符"/>
    <w:basedOn w:val="BodyTextIndent1"/>
    <w:unhideWhenUsed/>
    <w:qFormat/>
    <w:pPr>
      <w:spacing w:after="0"/>
      <w:ind w:leftChars="0" w:left="0" w:firstLineChars="437" w:firstLine="1224"/>
    </w:pPr>
    <w:rPr>
      <w:sz w:val="24"/>
      <w:szCs w:val="20"/>
    </w:rPr>
  </w:style>
  <w:style w:type="paragraph" w:customStyle="1" w:styleId="305050505">
    <w:name w:val="样式 样式 标题 3 + 段前: 0.5 行 段后: 0.5 行 + 段前: 0.5 行 段后: 0.5 行"/>
    <w:basedOn w:val="a3"/>
    <w:unhideWhenUsed/>
    <w:qFormat/>
    <w:rPr>
      <w:rFonts w:hint="eastAsia"/>
      <w:sz w:val="21"/>
    </w:rPr>
  </w:style>
  <w:style w:type="paragraph" w:customStyle="1" w:styleId="2050">
    <w:name w:val="样式 标题 2 + 段后: 0.5 行"/>
    <w:basedOn w:val="213"/>
    <w:next w:val="a3"/>
    <w:unhideWhenUsed/>
    <w:qFormat/>
    <w:pPr>
      <w:tabs>
        <w:tab w:val="left" w:pos="1200"/>
        <w:tab w:val="left" w:pos="1322"/>
      </w:tabs>
      <w:spacing w:beforeLines="0" w:afterLines="0"/>
      <w:ind w:hangingChars="343" w:hanging="720"/>
      <w:jc w:val="left"/>
    </w:pPr>
    <w:rPr>
      <w:smallCaps/>
      <w:sz w:val="28"/>
      <w:szCs w:val="24"/>
    </w:rPr>
  </w:style>
  <w:style w:type="paragraph" w:customStyle="1" w:styleId="220505">
    <w:name w:val="样式 正文文本缩进 2 + 首行缩进:  2 字符 段前: 0.5 行 段后: 0.5 行"/>
    <w:basedOn w:val="215"/>
    <w:unhideWhenUsed/>
    <w:qFormat/>
    <w:pPr>
      <w:adjustRightInd/>
      <w:snapToGrid/>
      <w:spacing w:after="0" w:line="348" w:lineRule="auto"/>
      <w:ind w:leftChars="0" w:left="0"/>
    </w:pPr>
    <w:rPr>
      <w:szCs w:val="20"/>
    </w:rPr>
  </w:style>
  <w:style w:type="paragraph" w:customStyle="1" w:styleId="affffffffffffffffc">
    <w:name w:val="样式 题注 + (中文) 黑体 加粗"/>
    <w:basedOn w:val="1c"/>
    <w:unhideWhenUsed/>
    <w:qFormat/>
    <w:pPr>
      <w:spacing w:before="100" w:beforeAutospacing="1" w:after="120"/>
      <w:ind w:firstLineChars="990" w:firstLine="2087"/>
    </w:pPr>
    <w:rPr>
      <w:rFonts w:eastAsia="宋体"/>
      <w:b/>
      <w:sz w:val="21"/>
    </w:rPr>
  </w:style>
  <w:style w:type="paragraph" w:customStyle="1" w:styleId="affffffffffffffffd">
    <w:name w:val="样式 题注 + (中文) 黑体"/>
    <w:basedOn w:val="1c"/>
    <w:unhideWhenUsed/>
    <w:qFormat/>
    <w:pPr>
      <w:spacing w:before="100" w:beforeAutospacing="1" w:after="120"/>
      <w:ind w:firstLineChars="990" w:firstLine="2087"/>
    </w:pPr>
    <w:rPr>
      <w:rFonts w:eastAsia="宋体"/>
      <w:sz w:val="21"/>
    </w:rPr>
  </w:style>
  <w:style w:type="paragraph" w:customStyle="1" w:styleId="1ChChapterHeadingIBMSectionHead1CharChar">
    <w:name w:val="样式 标题 1章标题章ChChapter HeadingIBM Section Head标题 1 Char Char..."/>
    <w:basedOn w:val="110"/>
    <w:unhideWhenUsed/>
    <w:qFormat/>
    <w:pPr>
      <w:tabs>
        <w:tab w:val="left" w:pos="532"/>
      </w:tabs>
      <w:spacing w:afterLines="0"/>
      <w:ind w:left="532" w:firstLineChars="0" w:hanging="432"/>
    </w:pPr>
    <w:rPr>
      <w:rFonts w:ascii="宋体" w:eastAsia="黑体" w:hAnsi="宋体" w:cs="宋体"/>
      <w:szCs w:val="24"/>
    </w:rPr>
  </w:style>
  <w:style w:type="paragraph" w:customStyle="1" w:styleId="affffffffffffffffe">
    <w:name w:val="密级编号"/>
    <w:basedOn w:val="a3"/>
    <w:unhideWhenUsed/>
    <w:qFormat/>
    <w:pPr>
      <w:adjustRightInd w:val="0"/>
      <w:jc w:val="center"/>
      <w:textAlignment w:val="baseline"/>
    </w:pPr>
    <w:rPr>
      <w:rFonts w:ascii="仿宋_GB2312" w:eastAsia="仿宋_GB2312" w:hint="eastAsia"/>
      <w:szCs w:val="20"/>
    </w:rPr>
  </w:style>
  <w:style w:type="paragraph" w:customStyle="1" w:styleId="3f8">
    <w:name w:val="文3"/>
    <w:basedOn w:val="a3"/>
    <w:unhideWhenUsed/>
    <w:qFormat/>
    <w:pPr>
      <w:tabs>
        <w:tab w:val="left" w:pos="425"/>
      </w:tabs>
      <w:adjustRightInd w:val="0"/>
      <w:spacing w:line="500" w:lineRule="atLeast"/>
      <w:ind w:left="425" w:hanging="425"/>
      <w:textAlignment w:val="baseline"/>
    </w:pPr>
    <w:rPr>
      <w:rFonts w:hint="eastAsia"/>
      <w:sz w:val="28"/>
      <w:szCs w:val="20"/>
    </w:rPr>
  </w:style>
  <w:style w:type="paragraph" w:customStyle="1" w:styleId="afffffffffffffffff">
    <w:name w:val="文"/>
    <w:basedOn w:val="a3"/>
    <w:unhideWhenUsed/>
    <w:qFormat/>
    <w:pPr>
      <w:adjustRightInd w:val="0"/>
      <w:spacing w:line="500" w:lineRule="atLeast"/>
      <w:ind w:firstLine="540"/>
      <w:textAlignment w:val="baseline"/>
    </w:pPr>
    <w:rPr>
      <w:rFonts w:hint="eastAsia"/>
      <w:sz w:val="28"/>
      <w:szCs w:val="20"/>
    </w:rPr>
  </w:style>
  <w:style w:type="paragraph" w:customStyle="1" w:styleId="xl120">
    <w:name w:val="xl120"/>
    <w:basedOn w:val="a3"/>
    <w:unhideWhenUsed/>
    <w:qFormat/>
    <w:pPr>
      <w:widowControl/>
      <w:pBdr>
        <w:left w:val="single" w:sz="8" w:space="0" w:color="auto"/>
        <w:bottom w:val="single" w:sz="8" w:space="0" w:color="auto"/>
        <w:right w:val="single" w:sz="4" w:space="0" w:color="auto"/>
      </w:pBdr>
      <w:spacing w:before="100" w:beforeAutospacing="1" w:after="100" w:afterAutospacing="1"/>
      <w:jc w:val="center"/>
    </w:pPr>
    <w:rPr>
      <w:rFonts w:ascii="宋体" w:hAnsi="宋体" w:cs="Arial Unicode MS" w:hint="eastAsia"/>
      <w:sz w:val="20"/>
      <w:szCs w:val="20"/>
    </w:rPr>
  </w:style>
  <w:style w:type="paragraph" w:customStyle="1" w:styleId="3CharChar">
    <w:name w:val="样式3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Char">
    <w:name w:val="样式 Char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afffffffffffffffff0">
    <w:name w:val="样式 正文缩进 + 五号"/>
    <w:basedOn w:val="1b"/>
    <w:unhideWhenUsed/>
    <w:qFormat/>
    <w:pPr>
      <w:widowControl/>
      <w:overflowPunct w:val="0"/>
      <w:autoSpaceDE w:val="0"/>
      <w:autoSpaceDN w:val="0"/>
      <w:adjustRightInd w:val="0"/>
      <w:ind w:firstLineChars="0" w:firstLine="0"/>
      <w:jc w:val="left"/>
      <w:textAlignment w:val="baseline"/>
    </w:pPr>
    <w:rPr>
      <w:sz w:val="24"/>
    </w:rPr>
  </w:style>
  <w:style w:type="paragraph" w:customStyle="1" w:styleId="3CharCharChar">
    <w:name w:val="样式3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0">
    <w:name w:val="样式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
    <w:name w:val="样式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szCs w:val="24"/>
    </w:rPr>
  </w:style>
  <w:style w:type="paragraph" w:customStyle="1" w:styleId="CharCharCharCharCharCharCharCharCharCharCharCharCharCharCharCharCharCharCharCharCharCharCharCharCharCharCharCharCharCharCharCharCharCharCharCharCharCharCharCharCharCharCharCharCharCharChar">
    <w:name w:val="样式 正文缩进 + 五号 Char Char Char Char Char Char Char Char Char Char Char Char Char Char Char Char Char Char Char Char Char Char Char Char Char Char Char Char Char Char Char Char Char Char Char Char Char Char Char Char Char Char Char Char Char Char Char"/>
    <w:basedOn w:val="1b"/>
    <w:unhideWhenUsed/>
    <w:qFormat/>
    <w:pPr>
      <w:widowControl/>
      <w:overflowPunct w:val="0"/>
      <w:autoSpaceDE w:val="0"/>
      <w:autoSpaceDN w:val="0"/>
      <w:adjustRightInd w:val="0"/>
      <w:ind w:firstLine="491"/>
      <w:textAlignment w:val="baseline"/>
    </w:pPr>
    <w:rPr>
      <w:sz w:val="24"/>
    </w:rPr>
  </w:style>
  <w:style w:type="paragraph" w:customStyle="1" w:styleId="afffffffffffffffff1">
    <w:name w:val="新表格"/>
    <w:basedOn w:val="a3"/>
    <w:unhideWhenUsed/>
    <w:qFormat/>
    <w:pPr>
      <w:ind w:left="420"/>
      <w:jc w:val="center"/>
    </w:pPr>
    <w:rPr>
      <w:rFonts w:hint="eastAsia"/>
      <w:b/>
      <w:szCs w:val="24"/>
    </w:rPr>
  </w:style>
  <w:style w:type="paragraph" w:customStyle="1" w:styleId="307105107105">
    <w:name w:val="样式 标题（3）新 + 首行缩进:  0.71 字符 段后: 0.5 行1 + 首行缩进:  0.71 字符 段后: 0.5 行"/>
    <w:basedOn w:val="a3"/>
    <w:unhideWhenUsed/>
    <w:qFormat/>
    <w:pPr>
      <w:keepNext/>
      <w:keepLines/>
      <w:spacing w:before="120" w:afterLines="50"/>
      <w:ind w:firstLineChars="71" w:firstLine="213"/>
      <w:outlineLvl w:val="2"/>
    </w:pPr>
    <w:rPr>
      <w:rFonts w:ascii="宋体" w:hAnsi="宋体" w:hint="eastAsia"/>
      <w:b/>
      <w:sz w:val="30"/>
      <w:szCs w:val="20"/>
    </w:rPr>
  </w:style>
  <w:style w:type="paragraph" w:customStyle="1" w:styleId="3f9">
    <w:name w:val="样式 标题 3头小标题 + 自动设置"/>
    <w:basedOn w:val="310"/>
    <w:unhideWhenUsed/>
    <w:qFormat/>
    <w:pPr>
      <w:spacing w:beforeLines="0" w:afterLines="0"/>
      <w:ind w:firstLineChars="71" w:firstLine="213"/>
    </w:pPr>
    <w:rPr>
      <w:rFonts w:ascii="宋体" w:hAnsi="宋体"/>
      <w:sz w:val="30"/>
      <w:szCs w:val="24"/>
    </w:rPr>
  </w:style>
  <w:style w:type="paragraph" w:customStyle="1" w:styleId="afffffffffffffffff2">
    <w:name w:val="方程式"/>
    <w:basedOn w:val="a3"/>
    <w:unhideWhenUsed/>
    <w:qFormat/>
    <w:pPr>
      <w:overflowPunct w:val="0"/>
      <w:autoSpaceDE w:val="0"/>
      <w:autoSpaceDN w:val="0"/>
      <w:adjustRightInd w:val="0"/>
      <w:spacing w:before="60" w:after="60"/>
      <w:jc w:val="left"/>
      <w:textAlignment w:val="bottom"/>
    </w:pPr>
    <w:rPr>
      <w:rFonts w:ascii="宋体" w:hint="eastAsia"/>
      <w:spacing w:val="24"/>
      <w:szCs w:val="20"/>
    </w:rPr>
  </w:style>
  <w:style w:type="paragraph" w:customStyle="1" w:styleId="1-10316">
    <w:name w:val="样式 标题 1-*+章标题 1 + (中文) 宋体 三号 加粗 首行缩进:  0.31 字符 段前: 6 磅 行距..."/>
    <w:basedOn w:val="110"/>
    <w:unhideWhenUsed/>
    <w:qFormat/>
    <w:pPr>
      <w:tabs>
        <w:tab w:val="left" w:pos="532"/>
      </w:tabs>
      <w:spacing w:beforeLines="0" w:afterLines="0"/>
      <w:ind w:left="532" w:firstLineChars="0" w:hanging="432"/>
    </w:pPr>
    <w:rPr>
      <w:rFonts w:eastAsia="黑体" w:cs="宋体"/>
      <w:kern w:val="2"/>
    </w:rPr>
  </w:style>
  <w:style w:type="paragraph" w:customStyle="1" w:styleId="2110015">
    <w:name w:val="样式 标题 2节标题 1.1 + 小三 加粗 段前: 0 磅 段后: 0 磅 行距: 1.5 倍行距"/>
    <w:basedOn w:val="213"/>
    <w:unhideWhenUsed/>
    <w:qFormat/>
    <w:pPr>
      <w:tabs>
        <w:tab w:val="left" w:pos="-426"/>
        <w:tab w:val="left" w:pos="360"/>
        <w:tab w:val="left" w:pos="1322"/>
      </w:tabs>
      <w:spacing w:beforeLines="0" w:afterLines="0"/>
      <w:ind w:left="-426" w:firstLineChars="0" w:hanging="357"/>
    </w:pPr>
    <w:rPr>
      <w:rFonts w:eastAsia="黑体" w:cs="宋体"/>
      <w:sz w:val="30"/>
      <w:szCs w:val="24"/>
    </w:rPr>
  </w:style>
  <w:style w:type="paragraph" w:customStyle="1" w:styleId="31113h33rdlevelH3l3CT33">
    <w:name w:val="样式 标题 3条标题1.1.13h33rd levelH3l3CT头小标题 + 段前: 3 磅 段后: 3 ..."/>
    <w:basedOn w:val="310"/>
    <w:unhideWhenUsed/>
    <w:qFormat/>
    <w:pPr>
      <w:tabs>
        <w:tab w:val="left" w:pos="0"/>
      </w:tabs>
      <w:spacing w:beforeLines="0" w:afterLines="0"/>
      <w:ind w:firstLineChars="0" w:firstLine="0"/>
    </w:pPr>
    <w:rPr>
      <w:rFonts w:cs="宋体"/>
      <w:sz w:val="24"/>
      <w:szCs w:val="24"/>
    </w:rPr>
  </w:style>
  <w:style w:type="paragraph" w:customStyle="1" w:styleId="411117878">
    <w:name w:val="样式 标题 4款标题1.1.1.1 + 段前: 7.8 磅 段后: 7.8 磅"/>
    <w:basedOn w:val="410"/>
    <w:unhideWhenUsed/>
    <w:qFormat/>
    <w:pPr>
      <w:keepNext w:val="0"/>
      <w:tabs>
        <w:tab w:val="left" w:pos="964"/>
        <w:tab w:val="left" w:pos="2880"/>
      </w:tabs>
      <w:spacing w:beforeLines="0" w:afterLines="0"/>
      <w:ind w:left="964" w:firstLineChars="0" w:hanging="864"/>
    </w:pPr>
    <w:rPr>
      <w:rFonts w:cs="宋体"/>
    </w:rPr>
  </w:style>
  <w:style w:type="paragraph" w:customStyle="1" w:styleId="211SeMajorHeadingIBMSubhead2h22Cha">
    <w:name w:val="样式 标题 2节标题 1.1节标题节SeMajor HeadingIBM Subhead 2h2标题 2 Cha..."/>
    <w:basedOn w:val="213"/>
    <w:unhideWhenUsed/>
    <w:qFormat/>
    <w:pPr>
      <w:keepNext w:val="0"/>
      <w:tabs>
        <w:tab w:val="left" w:pos="576"/>
        <w:tab w:val="left" w:pos="851"/>
        <w:tab w:val="left" w:pos="1322"/>
      </w:tabs>
      <w:snapToGrid w:val="0"/>
      <w:spacing w:beforeLines="0" w:afterLines="0"/>
      <w:ind w:left="578" w:firstLineChars="0" w:hanging="578"/>
    </w:pPr>
    <w:rPr>
      <w:rFonts w:ascii="Arial" w:eastAsia="黑体" w:hAnsi="Arial" w:cs="宋体"/>
      <w:sz w:val="30"/>
      <w:szCs w:val="24"/>
    </w:rPr>
  </w:style>
  <w:style w:type="paragraph" w:customStyle="1" w:styleId="31113h33rdlevelH3l3CTChar31">
    <w:name w:val="样式 标题 3条标题1.1.13h33rd levelH3l3CT头小标题小节标题头 Char标题 31..."/>
    <w:basedOn w:val="310"/>
    <w:unhideWhenUsed/>
    <w:qFormat/>
    <w:pPr>
      <w:keepNext w:val="0"/>
      <w:tabs>
        <w:tab w:val="left" w:pos="720"/>
        <w:tab w:val="left" w:pos="851"/>
        <w:tab w:val="left" w:pos="907"/>
      </w:tabs>
      <w:spacing w:beforeLines="0" w:afterLines="0"/>
      <w:ind w:firstLineChars="0" w:hanging="720"/>
    </w:pPr>
    <w:rPr>
      <w:rFonts w:eastAsia="黑体" w:cs="宋体"/>
      <w:sz w:val="24"/>
      <w:szCs w:val="24"/>
    </w:rPr>
  </w:style>
  <w:style w:type="paragraph" w:customStyle="1" w:styleId="21115">
    <w:name w:val="样式 标题 2节标题 1.1 + 加粗 行距: 1.5 倍行距"/>
    <w:basedOn w:val="213"/>
    <w:unhideWhenUsed/>
    <w:qFormat/>
    <w:pPr>
      <w:tabs>
        <w:tab w:val="left" w:pos="576"/>
        <w:tab w:val="left" w:pos="851"/>
        <w:tab w:val="left" w:pos="1322"/>
      </w:tabs>
      <w:spacing w:beforeLines="0" w:afterLines="0"/>
      <w:ind w:firstLineChars="0" w:firstLine="0"/>
    </w:pPr>
    <w:rPr>
      <w:rFonts w:eastAsia="黑体" w:cs="宋体"/>
      <w:sz w:val="30"/>
      <w:szCs w:val="24"/>
    </w:rPr>
  </w:style>
  <w:style w:type="paragraph" w:customStyle="1" w:styleId="31113h33rdlevelH3l3CT31">
    <w:name w:val="样式 标题 3条标题1.1.13h33rd levelH3l3CT头小标题 + 段后: 3 磅 行距: 1...."/>
    <w:basedOn w:val="310"/>
    <w:unhideWhenUsed/>
    <w:qFormat/>
    <w:pPr>
      <w:tabs>
        <w:tab w:val="left" w:pos="1"/>
        <w:tab w:val="left" w:pos="851"/>
        <w:tab w:val="left" w:pos="907"/>
      </w:tabs>
      <w:spacing w:beforeLines="0" w:afterLines="0"/>
      <w:ind w:left="1" w:firstLineChars="0" w:hanging="720"/>
    </w:pPr>
    <w:rPr>
      <w:rFonts w:cs="宋体"/>
      <w:sz w:val="24"/>
      <w:szCs w:val="24"/>
    </w:rPr>
  </w:style>
  <w:style w:type="paragraph" w:customStyle="1" w:styleId="095323">
    <w:name w:val="样式 首行缩进:  0.95 厘米 段前: 3 磅 行距: 固定值 23 磅"/>
    <w:basedOn w:val="a3"/>
    <w:unhideWhenUsed/>
    <w:qFormat/>
    <w:pPr>
      <w:adjustRightInd w:val="0"/>
      <w:ind w:firstLine="539"/>
      <w:textAlignment w:val="baseline"/>
    </w:pPr>
    <w:rPr>
      <w:rFonts w:cs="宋体" w:hint="eastAsia"/>
      <w:szCs w:val="24"/>
    </w:rPr>
  </w:style>
  <w:style w:type="paragraph" w:customStyle="1" w:styleId="3Char31111CharCharChar">
    <w:name w:val="样式 标题 3小标题小节标题头 Char标题 31小标题1小节标题1小节标题1 Char Char头 Char ..."/>
    <w:basedOn w:val="310"/>
    <w:unhideWhenUsed/>
    <w:qFormat/>
    <w:pPr>
      <w:tabs>
        <w:tab w:val="left" w:pos="720"/>
        <w:tab w:val="left" w:pos="851"/>
        <w:tab w:val="left" w:pos="907"/>
      </w:tabs>
      <w:spacing w:beforeLines="0" w:afterLines="0"/>
      <w:ind w:firstLineChars="0" w:hanging="720"/>
    </w:pPr>
    <w:rPr>
      <w:rFonts w:cs="宋体"/>
      <w:sz w:val="24"/>
      <w:szCs w:val="24"/>
    </w:rPr>
  </w:style>
  <w:style w:type="paragraph" w:customStyle="1" w:styleId="4L4MinorHeadingTimesNewRoman">
    <w:name w:val="样式 标题 4L4Minor Heading + Times New Roman"/>
    <w:basedOn w:val="410"/>
    <w:next w:val="23"/>
    <w:unhideWhenUsed/>
    <w:qFormat/>
    <w:pPr>
      <w:tabs>
        <w:tab w:val="left" w:pos="964"/>
        <w:tab w:val="left" w:pos="2880"/>
      </w:tabs>
      <w:spacing w:beforeLines="25" w:line="240" w:lineRule="auto"/>
      <w:ind w:left="964" w:firstLineChars="0" w:hanging="864"/>
    </w:pPr>
    <w:rPr>
      <w:szCs w:val="28"/>
    </w:rPr>
  </w:style>
  <w:style w:type="paragraph" w:customStyle="1" w:styleId="afffffffffffffffff3">
    <w:name w:val="样式 标题"/>
    <w:basedOn w:val="410"/>
    <w:unhideWhenUsed/>
    <w:qFormat/>
    <w:pPr>
      <w:tabs>
        <w:tab w:val="left" w:pos="964"/>
        <w:tab w:val="left" w:pos="2880"/>
      </w:tabs>
      <w:spacing w:beforeLines="25" w:line="240" w:lineRule="auto"/>
      <w:ind w:left="964" w:firstLineChars="0" w:hanging="864"/>
    </w:pPr>
    <w:rPr>
      <w:rFonts w:eastAsia="黑体"/>
      <w:szCs w:val="28"/>
    </w:rPr>
  </w:style>
  <w:style w:type="paragraph" w:customStyle="1" w:styleId="2ffc">
    <w:name w:val="样式 图表目录 + 左侧:  2 字符"/>
    <w:basedOn w:val="aff2"/>
    <w:unhideWhenUsed/>
    <w:qFormat/>
    <w:pPr>
      <w:spacing w:line="300" w:lineRule="auto"/>
      <w:ind w:left="0" w:firstLine="0"/>
      <w:jc w:val="both"/>
    </w:pPr>
    <w:rPr>
      <w:rFonts w:cs="宋体"/>
      <w:smallCaps w:val="0"/>
      <w:sz w:val="24"/>
    </w:rPr>
  </w:style>
  <w:style w:type="paragraph" w:customStyle="1" w:styleId="3133Char0505">
    <w:name w:val="样式 样式 标题 3标题 13标题 3 Char + (中文) 黑体 小三 加粗 段前: 0.5 行 段后: 0.5 行 + 宋..."/>
    <w:basedOn w:val="a3"/>
    <w:unhideWhenUsed/>
    <w:qFormat/>
    <w:pPr>
      <w:keepNext/>
      <w:keepLines/>
      <w:tabs>
        <w:tab w:val="left" w:pos="1080"/>
      </w:tabs>
      <w:spacing w:beforeLines="50" w:afterLines="50" w:line="500" w:lineRule="exact"/>
      <w:ind w:leftChars="200" w:left="625" w:hanging="425"/>
      <w:jc w:val="left"/>
      <w:outlineLvl w:val="2"/>
    </w:pPr>
    <w:rPr>
      <w:rFonts w:ascii="宋体" w:hAnsi="宋体" w:cs="宋体" w:hint="eastAsia"/>
      <w:b/>
      <w:szCs w:val="20"/>
    </w:rPr>
  </w:style>
  <w:style w:type="paragraph" w:customStyle="1" w:styleId="228">
    <w:name w:val="样式 正文首行缩进 2 + 首行缩进:  2 字符"/>
    <w:basedOn w:val="28"/>
    <w:unhideWhenUsed/>
    <w:qFormat/>
    <w:pPr>
      <w:widowControl/>
      <w:spacing w:after="0" w:line="460" w:lineRule="exact"/>
      <w:ind w:leftChars="0" w:left="0" w:firstLine="480"/>
    </w:pPr>
    <w:rPr>
      <w:rFonts w:hint="eastAsia"/>
      <w:szCs w:val="24"/>
    </w:rPr>
  </w:style>
  <w:style w:type="paragraph" w:customStyle="1" w:styleId="4L4MinorHeading4CharChar11110">
    <w:name w:val="样式 标题 4L4Minor Heading标题 4 Char Char款标题1.1.1.1 + 左侧:  0 厘米 ..."/>
    <w:basedOn w:val="410"/>
    <w:unhideWhenUsed/>
    <w:qFormat/>
    <w:pPr>
      <w:tabs>
        <w:tab w:val="left" w:pos="2880"/>
      </w:tabs>
      <w:spacing w:beforeLines="0" w:afterLines="0" w:line="376" w:lineRule="atLeast"/>
      <w:ind w:firstLineChars="0" w:hanging="864"/>
    </w:pPr>
    <w:rPr>
      <w:rFonts w:eastAsia="黑体" w:hAnsi="Arial" w:cs="宋体"/>
    </w:rPr>
  </w:style>
  <w:style w:type="paragraph" w:customStyle="1" w:styleId="afffffffffffffffff4">
    <w:name w:val="宝钢正文"/>
    <w:basedOn w:val="a3"/>
    <w:unhideWhenUsed/>
    <w:qFormat/>
    <w:pPr>
      <w:tabs>
        <w:tab w:val="left" w:pos="3060"/>
      </w:tabs>
      <w:spacing w:beforeLines="50" w:afterLines="50" w:line="440" w:lineRule="exact"/>
      <w:ind w:firstLine="480"/>
      <w:outlineLvl w:val="3"/>
    </w:pPr>
    <w:rPr>
      <w:rFonts w:ascii="宋体" w:hAnsi="宋体" w:cs="宋体" w:hint="eastAsia"/>
      <w:b/>
      <w:sz w:val="21"/>
      <w:szCs w:val="20"/>
    </w:rPr>
  </w:style>
  <w:style w:type="paragraph" w:customStyle="1" w:styleId="afffffffffffffffff5">
    <w:name w:val="正文正文正文正文"/>
    <w:basedOn w:val="a3"/>
    <w:next w:val="a3"/>
    <w:unhideWhenUsed/>
    <w:qFormat/>
    <w:pPr>
      <w:keepNext/>
      <w:keepLines/>
      <w:widowControl/>
      <w:adjustRightInd w:val="0"/>
      <w:spacing w:before="40" w:after="40"/>
      <w:jc w:val="left"/>
      <w:textAlignment w:val="baseline"/>
    </w:pPr>
    <w:rPr>
      <w:rFonts w:cs="宋体" w:hint="eastAsia"/>
      <w:szCs w:val="28"/>
    </w:rPr>
  </w:style>
  <w:style w:type="paragraph" w:customStyle="1" w:styleId="TABLE2">
    <w:name w:val="TABLE2"/>
    <w:basedOn w:val="a3"/>
    <w:unhideWhenUsed/>
    <w:qFormat/>
    <w:pPr>
      <w:adjustRightInd w:val="0"/>
      <w:spacing w:line="240" w:lineRule="atLeast"/>
      <w:jc w:val="center"/>
      <w:textAlignment w:val="baseline"/>
    </w:pPr>
    <w:rPr>
      <w:rFonts w:hint="eastAsia"/>
      <w:szCs w:val="24"/>
    </w:rPr>
  </w:style>
  <w:style w:type="paragraph" w:customStyle="1" w:styleId="LNG">
    <w:name w:val="LNG－表格"/>
    <w:basedOn w:val="a3"/>
    <w:unhideWhenUsed/>
    <w:qFormat/>
    <w:pPr>
      <w:jc w:val="center"/>
    </w:pPr>
    <w:rPr>
      <w:rFonts w:hint="eastAsia"/>
      <w:sz w:val="21"/>
    </w:rPr>
  </w:style>
  <w:style w:type="paragraph" w:customStyle="1" w:styleId="afffffffffffffffff6">
    <w:name w:val="样式 正文首行缩进 + 黑色"/>
    <w:basedOn w:val="1fb"/>
    <w:link w:val="Charffff2"/>
    <w:unhideWhenUsed/>
    <w:qFormat/>
    <w:pPr>
      <w:widowControl/>
      <w:topLinePunct/>
      <w:snapToGrid w:val="0"/>
      <w:spacing w:line="420" w:lineRule="exact"/>
      <w:jc w:val="left"/>
    </w:pPr>
    <w:rPr>
      <w:color w:val="000000"/>
    </w:rPr>
  </w:style>
  <w:style w:type="paragraph" w:customStyle="1" w:styleId="afffffffffffffffff7">
    <w:name w:val="中远正文"/>
    <w:basedOn w:val="a3"/>
    <w:link w:val="Charffff3"/>
    <w:unhideWhenUsed/>
    <w:qFormat/>
    <w:pPr>
      <w:adjustRightInd w:val="0"/>
      <w:ind w:rightChars="-10" w:right="-21" w:firstLineChars="300" w:firstLine="720"/>
      <w:textAlignment w:val="baseline"/>
    </w:pPr>
    <w:rPr>
      <w:rFonts w:hint="eastAsia"/>
      <w:kern w:val="24"/>
      <w:szCs w:val="20"/>
    </w:rPr>
  </w:style>
  <w:style w:type="paragraph" w:customStyle="1" w:styleId="table1">
    <w:name w:val="table1"/>
    <w:basedOn w:val="a3"/>
    <w:unhideWhenUsed/>
    <w:qFormat/>
    <w:pPr>
      <w:adjustRightInd w:val="0"/>
      <w:spacing w:line="240" w:lineRule="atLeast"/>
      <w:jc w:val="center"/>
      <w:textAlignment w:val="baseline"/>
    </w:pPr>
    <w:rPr>
      <w:rFonts w:eastAsia="黑体" w:hint="eastAsia"/>
      <w:szCs w:val="24"/>
    </w:rPr>
  </w:style>
  <w:style w:type="paragraph" w:customStyle="1" w:styleId="afffffffffffffffff8">
    <w:name w:val="表格题注"/>
    <w:basedOn w:val="a3"/>
    <w:link w:val="Charffff4"/>
    <w:unhideWhenUsed/>
    <w:qFormat/>
    <w:pPr>
      <w:adjustRightInd w:val="0"/>
      <w:jc w:val="center"/>
      <w:textAlignment w:val="baseline"/>
    </w:pPr>
    <w:rPr>
      <w:rFonts w:hint="eastAsia"/>
      <w:b/>
      <w:kern w:val="24"/>
      <w:sz w:val="21"/>
    </w:rPr>
  </w:style>
  <w:style w:type="paragraph" w:customStyle="1" w:styleId="afffffffffffffffff9">
    <w:name w:val="表中文字居中"/>
    <w:basedOn w:val="a3"/>
    <w:link w:val="Charffff5"/>
    <w:unhideWhenUsed/>
    <w:qFormat/>
    <w:pPr>
      <w:shd w:val="clear" w:color="auto" w:fill="FFFFFF"/>
      <w:tabs>
        <w:tab w:val="left" w:pos="360"/>
        <w:tab w:val="left" w:pos="1727"/>
        <w:tab w:val="left" w:pos="1884"/>
        <w:tab w:val="right" w:pos="9072"/>
      </w:tabs>
      <w:adjustRightInd w:val="0"/>
      <w:snapToGrid w:val="0"/>
      <w:spacing w:line="240" w:lineRule="atLeast"/>
      <w:ind w:leftChars="-34" w:left="1" w:rightChars="-36" w:right="-101" w:hangingChars="40" w:hanging="96"/>
      <w:jc w:val="center"/>
      <w:outlineLvl w:val="0"/>
    </w:pPr>
    <w:rPr>
      <w:rFonts w:ascii="宋体" w:hint="eastAsia"/>
      <w:szCs w:val="20"/>
    </w:rPr>
  </w:style>
  <w:style w:type="paragraph" w:customStyle="1" w:styleId="1410">
    <w:name w:val="样式 报告正文 + 行距: 多倍行距 1.4 字行1"/>
    <w:basedOn w:val="affffffffff5"/>
    <w:unhideWhenUsed/>
    <w:qFormat/>
    <w:pPr>
      <w:adjustRightInd w:val="0"/>
      <w:snapToGrid w:val="0"/>
      <w:spacing w:line="336" w:lineRule="auto"/>
      <w:ind w:firstLineChars="200" w:firstLine="560"/>
    </w:pPr>
    <w:rPr>
      <w:rFonts w:ascii="宋体" w:eastAsia="宋体" w:cs="宋体"/>
      <w:szCs w:val="28"/>
    </w:rPr>
  </w:style>
  <w:style w:type="paragraph" w:customStyle="1" w:styleId="afffffffffffffffffa">
    <w:name w:val="燕山正文"/>
    <w:basedOn w:val="a3"/>
    <w:link w:val="Charffff6"/>
    <w:unhideWhenUsed/>
    <w:qFormat/>
    <w:pPr>
      <w:tabs>
        <w:tab w:val="left" w:pos="4680"/>
      </w:tabs>
      <w:adjustRightInd w:val="0"/>
      <w:snapToGrid w:val="0"/>
      <w:ind w:firstLine="560"/>
    </w:pPr>
    <w:rPr>
      <w:rFonts w:ascii="宋体" w:hAnsi="宋体" w:hint="eastAsia"/>
      <w:color w:val="000000"/>
      <w:szCs w:val="28"/>
    </w:rPr>
  </w:style>
  <w:style w:type="paragraph" w:customStyle="1" w:styleId="2222">
    <w:name w:val="样式 样式 样式 正文首行缩进 2 + 首行缩进:  2 字符 + 首行缩进:  2 字符 + 首行缩进:  2 字符"/>
    <w:basedOn w:val="a3"/>
    <w:unhideWhenUsed/>
    <w:qFormat/>
    <w:pPr>
      <w:spacing w:line="440" w:lineRule="exact"/>
    </w:pPr>
    <w:rPr>
      <w:rFonts w:cs="宋体" w:hint="eastAsia"/>
      <w:szCs w:val="20"/>
    </w:rPr>
  </w:style>
  <w:style w:type="paragraph" w:customStyle="1" w:styleId="afffffffffffffffffb">
    <w:name w:val="表中文字中"/>
    <w:basedOn w:val="a3"/>
    <w:next w:val="a3"/>
    <w:unhideWhenUsed/>
    <w:qFormat/>
    <w:pPr>
      <w:overflowPunct w:val="0"/>
      <w:autoSpaceDE w:val="0"/>
      <w:autoSpaceDN w:val="0"/>
      <w:adjustRightInd w:val="0"/>
      <w:snapToGrid w:val="0"/>
      <w:spacing w:line="240" w:lineRule="atLeast"/>
    </w:pPr>
    <w:rPr>
      <w:rFonts w:ascii="仿宋_GB2312" w:eastAsia="仿宋_GB2312" w:hint="eastAsia"/>
      <w:szCs w:val="24"/>
      <w:lang w:val="zh-CN"/>
    </w:rPr>
  </w:style>
  <w:style w:type="paragraph" w:customStyle="1" w:styleId="11h11stlevelSectionHeadl1b1H11">
    <w:name w:val="样式 标题 1章标题 1文章标题h11st levelSection Headl1章b1H1章节标题1标题..."/>
    <w:basedOn w:val="110"/>
    <w:unhideWhenUsed/>
    <w:qFormat/>
    <w:pPr>
      <w:spacing w:beforeLines="50" w:after="240"/>
      <w:ind w:firstLineChars="0" w:firstLine="0"/>
    </w:pPr>
    <w:rPr>
      <w:rFonts w:eastAsia="黑体"/>
      <w:b w:val="0"/>
      <w:color w:val="000000"/>
      <w:sz w:val="32"/>
      <w:szCs w:val="32"/>
    </w:rPr>
  </w:style>
  <w:style w:type="paragraph" w:customStyle="1" w:styleId="1fffc">
    <w:name w:val="1级样式."/>
    <w:basedOn w:val="a3"/>
    <w:unhideWhenUsed/>
    <w:qFormat/>
    <w:pPr>
      <w:keepNext/>
      <w:keepLines/>
      <w:spacing w:beforeLines="30" w:afterLines="30" w:line="300" w:lineRule="auto"/>
      <w:jc w:val="left"/>
      <w:outlineLvl w:val="0"/>
    </w:pPr>
    <w:rPr>
      <w:rFonts w:eastAsia="黑体" w:cs="宋体" w:hint="eastAsia"/>
      <w:color w:val="000000"/>
      <w:kern w:val="44"/>
      <w:sz w:val="32"/>
      <w:szCs w:val="20"/>
    </w:rPr>
  </w:style>
  <w:style w:type="paragraph" w:customStyle="1" w:styleId="220303">
    <w:name w:val="样式 标题 22级样式 + 段前: 0.3 行 段后: 0.3 行"/>
    <w:basedOn w:val="213"/>
    <w:unhideWhenUsed/>
    <w:qFormat/>
    <w:pPr>
      <w:tabs>
        <w:tab w:val="left" w:pos="1322"/>
      </w:tabs>
      <w:spacing w:beforeLines="30" w:afterLines="30"/>
      <w:ind w:firstLineChars="0" w:firstLine="0"/>
    </w:pPr>
    <w:rPr>
      <w:rFonts w:eastAsia="黑体" w:cs="宋体"/>
      <w:b w:val="0"/>
      <w:color w:val="003300"/>
      <w:sz w:val="30"/>
      <w:szCs w:val="30"/>
    </w:rPr>
  </w:style>
  <w:style w:type="paragraph" w:customStyle="1" w:styleId="41">
    <w:name w:val="4级样式"/>
    <w:basedOn w:val="410"/>
    <w:link w:val="4Char3"/>
    <w:unhideWhenUsed/>
    <w:qFormat/>
    <w:pPr>
      <w:numPr>
        <w:ilvl w:val="2"/>
        <w:numId w:val="12"/>
      </w:numPr>
      <w:tabs>
        <w:tab w:val="left" w:pos="2880"/>
      </w:tabs>
      <w:spacing w:beforeLines="0" w:afterLines="0"/>
    </w:pPr>
    <w:rPr>
      <w:rFonts w:ascii="Arial" w:eastAsia="黑体" w:hAnsi="Arial"/>
      <w:b w:val="0"/>
      <w:color w:val="339966"/>
    </w:rPr>
  </w:style>
  <w:style w:type="paragraph" w:customStyle="1" w:styleId="3fa">
    <w:name w:val="3 级样式"/>
    <w:basedOn w:val="310"/>
    <w:unhideWhenUsed/>
    <w:qFormat/>
    <w:pPr>
      <w:spacing w:beforeLines="20" w:afterLines="30" w:line="300" w:lineRule="auto"/>
      <w:ind w:firstLineChars="0" w:firstLine="0"/>
    </w:pPr>
    <w:rPr>
      <w:rFonts w:eastAsia="黑体" w:cs="宋体"/>
      <w:b w:val="0"/>
      <w:color w:val="339966"/>
      <w:kern w:val="28"/>
      <w:sz w:val="28"/>
      <w:szCs w:val="28"/>
    </w:rPr>
  </w:style>
  <w:style w:type="paragraph" w:customStyle="1" w:styleId="2ffd">
    <w:name w:val="2 级样式"/>
    <w:basedOn w:val="213"/>
    <w:unhideWhenUsed/>
    <w:qFormat/>
    <w:pPr>
      <w:tabs>
        <w:tab w:val="left" w:pos="1322"/>
      </w:tabs>
      <w:spacing w:beforeLines="30" w:before="93" w:afterLines="30" w:after="93" w:line="300" w:lineRule="auto"/>
      <w:ind w:firstLineChars="0" w:firstLine="0"/>
    </w:pPr>
    <w:rPr>
      <w:rFonts w:cs="宋体"/>
      <w:color w:val="000000"/>
      <w:szCs w:val="30"/>
    </w:rPr>
  </w:style>
  <w:style w:type="paragraph" w:customStyle="1" w:styleId="afffffffffffffffffc">
    <w:name w:val="首选正文"/>
    <w:basedOn w:val="a3"/>
    <w:unhideWhenUsed/>
    <w:qFormat/>
    <w:pPr>
      <w:spacing w:line="460" w:lineRule="exact"/>
    </w:pPr>
    <w:rPr>
      <w:rFonts w:cs="宋体" w:hint="eastAsia"/>
      <w:szCs w:val="24"/>
    </w:rPr>
  </w:style>
  <w:style w:type="paragraph" w:customStyle="1" w:styleId="afffffffffffffffffd">
    <w:name w:val="大写标题"/>
    <w:basedOn w:val="a3"/>
    <w:unhideWhenUsed/>
    <w:qFormat/>
    <w:pPr>
      <w:spacing w:beforeLines="50" w:afterLines="100"/>
      <w:jc w:val="center"/>
    </w:pPr>
    <w:rPr>
      <w:rFonts w:eastAsia="黑体" w:cs="宋体" w:hint="eastAsia"/>
      <w:sz w:val="32"/>
      <w:szCs w:val="32"/>
    </w:rPr>
  </w:style>
  <w:style w:type="paragraph" w:customStyle="1" w:styleId="afffffffffffffffffe">
    <w:name w:val="大 写 标 题"/>
    <w:basedOn w:val="afffffffffffffffffd"/>
    <w:unhideWhenUsed/>
    <w:qFormat/>
    <w:pPr>
      <w:spacing w:before="156" w:after="312"/>
    </w:pPr>
    <w:rPr>
      <w:sz w:val="36"/>
      <w:szCs w:val="20"/>
    </w:rPr>
  </w:style>
  <w:style w:type="paragraph" w:customStyle="1" w:styleId="affffffffffffffffff">
    <w:name w:val="表格 文字"/>
    <w:basedOn w:val="1fb"/>
    <w:unhideWhenUsed/>
    <w:qFormat/>
    <w:pPr>
      <w:tabs>
        <w:tab w:val="left" w:pos="628"/>
        <w:tab w:val="left" w:pos="1727"/>
        <w:tab w:val="left" w:pos="1884"/>
      </w:tabs>
      <w:snapToGrid w:val="0"/>
      <w:spacing w:line="240" w:lineRule="auto"/>
      <w:ind w:firstLineChars="0" w:firstLine="0"/>
      <w:jc w:val="center"/>
    </w:pPr>
    <w:rPr>
      <w:sz w:val="18"/>
      <w:szCs w:val="18"/>
    </w:rPr>
  </w:style>
  <w:style w:type="paragraph" w:customStyle="1" w:styleId="affffffffffffffffff0">
    <w:name w:val="表格中的文字"/>
    <w:basedOn w:val="affffffffffffffffff"/>
    <w:unhideWhenUsed/>
    <w:qFormat/>
  </w:style>
  <w:style w:type="paragraph" w:customStyle="1" w:styleId="affffffffffffffffff1">
    <w:name w:val="前言正文"/>
    <w:basedOn w:val="afffffffffffffffffe"/>
    <w:unhideWhenUsed/>
    <w:qFormat/>
    <w:pPr>
      <w:spacing w:beforeLines="0" w:afterLines="0" w:line="300" w:lineRule="auto"/>
      <w:jc w:val="both"/>
    </w:pPr>
    <w:rPr>
      <w:rFonts w:eastAsia="华文楷体"/>
      <w:sz w:val="24"/>
    </w:rPr>
  </w:style>
  <w:style w:type="paragraph" w:customStyle="1" w:styleId="affffffffffffffffff2">
    <w:name w:val="首行缩进正文"/>
    <w:basedOn w:val="1fb"/>
    <w:unhideWhenUsed/>
    <w:qFormat/>
    <w:pPr>
      <w:spacing w:line="460" w:lineRule="exact"/>
    </w:pPr>
    <w:rPr>
      <w:rFonts w:cs="宋体"/>
      <w:color w:val="339966"/>
      <w:szCs w:val="18"/>
    </w:rPr>
  </w:style>
  <w:style w:type="paragraph" w:customStyle="1" w:styleId="7878">
    <w:name w:val="样式 表头 + 海绿 段前: 7.8 磅 段后: 7.8 磅"/>
    <w:basedOn w:val="afff3"/>
    <w:unhideWhenUsed/>
    <w:qFormat/>
    <w:pPr>
      <w:keepNext/>
      <w:tabs>
        <w:tab w:val="left" w:pos="720"/>
        <w:tab w:val="left" w:pos="3319"/>
      </w:tabs>
      <w:spacing w:after="120" w:line="440" w:lineRule="exact"/>
      <w:ind w:firstLineChars="100" w:firstLine="240"/>
      <w:jc w:val="both"/>
    </w:pPr>
    <w:rPr>
      <w:rFonts w:hint="eastAsia"/>
      <w:color w:val="339966"/>
      <w:spacing w:val="8"/>
      <w:kern w:val="21"/>
      <w:szCs w:val="20"/>
    </w:rPr>
  </w:style>
  <w:style w:type="paragraph" w:customStyle="1" w:styleId="affffffffffffffffff3">
    <w:name w:val="表格内容（新）"/>
    <w:basedOn w:val="a3"/>
    <w:unhideWhenUsed/>
    <w:qFormat/>
    <w:pPr>
      <w:jc w:val="center"/>
    </w:pPr>
    <w:rPr>
      <w:rFonts w:cs="宋体" w:hint="eastAsia"/>
      <w:color w:val="339966"/>
      <w:sz w:val="18"/>
      <w:szCs w:val="18"/>
    </w:rPr>
  </w:style>
  <w:style w:type="paragraph" w:customStyle="1" w:styleId="352">
    <w:name w:val="样式 燕山正文 + 首行缩进:  3.5 字符2"/>
    <w:basedOn w:val="afffffffffffffffffa"/>
    <w:unhideWhenUsed/>
    <w:qFormat/>
    <w:pPr>
      <w:spacing w:line="460" w:lineRule="exact"/>
      <w:ind w:firstLine="480"/>
    </w:pPr>
    <w:rPr>
      <w:rFonts w:ascii="Times New Roman" w:hAnsi="Times New Roman"/>
      <w:szCs w:val="24"/>
    </w:rPr>
  </w:style>
  <w:style w:type="paragraph" w:customStyle="1" w:styleId="affffffffffffffffff4">
    <w:name w:val="样式 首行缩进正文 + 小四"/>
    <w:basedOn w:val="affffffffffffffffff2"/>
    <w:unhideWhenUsed/>
    <w:qFormat/>
    <w:rPr>
      <w:rFonts w:cs="Times New Roman"/>
      <w:szCs w:val="24"/>
    </w:rPr>
  </w:style>
  <w:style w:type="paragraph" w:customStyle="1" w:styleId="CharCharChar1CharCharCharCharCharCharCharCharCharChar6">
    <w:name w:val="Char Char Char1 Char Char Char Char Char Char Char Char Char Char6"/>
    <w:basedOn w:val="a3"/>
    <w:unhideWhenUsed/>
    <w:qFormat/>
    <w:rPr>
      <w:rFonts w:hint="eastAsia"/>
      <w:sz w:val="21"/>
    </w:rPr>
  </w:style>
  <w:style w:type="paragraph" w:customStyle="1" w:styleId="affffffffffffffffff5">
    <w:name w:val="表格内部"/>
    <w:basedOn w:val="a3"/>
    <w:unhideWhenUsed/>
    <w:qFormat/>
    <w:pPr>
      <w:adjustRightInd w:val="0"/>
      <w:snapToGrid w:val="0"/>
      <w:spacing w:line="240" w:lineRule="atLeast"/>
      <w:ind w:right="28"/>
      <w:jc w:val="center"/>
      <w:textAlignment w:val="baseline"/>
    </w:pPr>
    <w:rPr>
      <w:rFonts w:ascii="Arial" w:hAnsi="Arial" w:cs="Arial" w:hint="eastAsia"/>
      <w:sz w:val="21"/>
      <w:szCs w:val="20"/>
    </w:rPr>
  </w:style>
  <w:style w:type="paragraph" w:customStyle="1" w:styleId="affffffffffffffffff6">
    <w:name w:val="段落文字"/>
    <w:basedOn w:val="a3"/>
    <w:link w:val="Charffff7"/>
    <w:unhideWhenUsed/>
    <w:qFormat/>
    <w:pPr>
      <w:adjustRightInd w:val="0"/>
      <w:snapToGrid w:val="0"/>
      <w:spacing w:line="520" w:lineRule="exact"/>
      <w:ind w:firstLine="560"/>
    </w:pPr>
    <w:rPr>
      <w:rFonts w:hint="eastAsia"/>
      <w:sz w:val="28"/>
      <w:szCs w:val="24"/>
    </w:rPr>
  </w:style>
  <w:style w:type="paragraph" w:customStyle="1" w:styleId="affffffffffffffffff7">
    <w:name w:val="王秀中"/>
    <w:basedOn w:val="a3"/>
    <w:unhideWhenUsed/>
    <w:qFormat/>
    <w:pPr>
      <w:autoSpaceDE w:val="0"/>
      <w:autoSpaceDN w:val="0"/>
      <w:adjustRightInd w:val="0"/>
      <w:snapToGrid w:val="0"/>
      <w:spacing w:line="312" w:lineRule="auto"/>
      <w:ind w:firstLine="567"/>
    </w:pPr>
    <w:rPr>
      <w:rFonts w:hint="eastAsia"/>
      <w:sz w:val="28"/>
      <w:szCs w:val="20"/>
    </w:rPr>
  </w:style>
  <w:style w:type="paragraph" w:customStyle="1" w:styleId="1fffd">
    <w:name w:val="正文（1）"/>
    <w:basedOn w:val="1b"/>
    <w:next w:val="1fb"/>
    <w:unhideWhenUsed/>
    <w:qFormat/>
    <w:pPr>
      <w:widowControl/>
      <w:adjustRightInd w:val="0"/>
      <w:snapToGrid w:val="0"/>
      <w:ind w:firstLine="520"/>
    </w:pPr>
    <w:rPr>
      <w:spacing w:val="10"/>
      <w:sz w:val="24"/>
      <w:szCs w:val="24"/>
    </w:rPr>
  </w:style>
  <w:style w:type="paragraph" w:customStyle="1" w:styleId="affffffffffffffffff8">
    <w:name w:val="四号 正文"/>
    <w:basedOn w:val="a3"/>
    <w:link w:val="Charffff8"/>
    <w:unhideWhenUsed/>
    <w:qFormat/>
    <w:pPr>
      <w:ind w:firstLine="584"/>
    </w:pPr>
    <w:rPr>
      <w:rFonts w:cs="宋体" w:hint="eastAsia"/>
      <w:spacing w:val="6"/>
      <w:sz w:val="28"/>
      <w:szCs w:val="20"/>
    </w:rPr>
  </w:style>
  <w:style w:type="paragraph" w:customStyle="1" w:styleId="affffffffffffffffff9">
    <w:name w:val="表内字"/>
    <w:unhideWhenUsed/>
    <w:qFormat/>
    <w:pPr>
      <w:spacing w:line="312" w:lineRule="auto"/>
      <w:jc w:val="center"/>
    </w:pPr>
    <w:rPr>
      <w:rFonts w:hint="eastAsia"/>
      <w:color w:val="000000"/>
      <w:sz w:val="21"/>
    </w:rPr>
  </w:style>
  <w:style w:type="paragraph" w:customStyle="1" w:styleId="4f5">
    <w:name w:val="表小4"/>
    <w:basedOn w:val="a3"/>
    <w:link w:val="4Char4"/>
    <w:unhideWhenUsed/>
    <w:qFormat/>
    <w:pPr>
      <w:adjustRightInd w:val="0"/>
      <w:snapToGrid w:val="0"/>
      <w:jc w:val="center"/>
    </w:pPr>
    <w:rPr>
      <w:rFonts w:ascii="宋体" w:hAnsi="宋体" w:hint="eastAsia"/>
    </w:rPr>
  </w:style>
  <w:style w:type="paragraph" w:customStyle="1" w:styleId="affffffffffffffffffa">
    <w:name w:val="表格文字局中"/>
    <w:basedOn w:val="a3"/>
    <w:next w:val="a3"/>
    <w:unhideWhenUsed/>
    <w:qFormat/>
    <w:pPr>
      <w:jc w:val="center"/>
    </w:pPr>
    <w:rPr>
      <w:rFonts w:hint="eastAsia"/>
      <w:sz w:val="21"/>
      <w:szCs w:val="24"/>
    </w:rPr>
  </w:style>
  <w:style w:type="paragraph" w:customStyle="1" w:styleId="-4">
    <w:name w:val="正文首行缩进-修改"/>
    <w:basedOn w:val="a3"/>
    <w:unhideWhenUsed/>
    <w:qFormat/>
    <w:pPr>
      <w:ind w:firstLine="480"/>
    </w:pPr>
    <w:rPr>
      <w:rFonts w:hint="eastAsia"/>
      <w:szCs w:val="24"/>
    </w:rPr>
  </w:style>
  <w:style w:type="paragraph" w:customStyle="1" w:styleId="134">
    <w:name w:val="正文小四首缩1.3行距"/>
    <w:basedOn w:val="a3"/>
    <w:link w:val="13Char"/>
    <w:unhideWhenUsed/>
    <w:qFormat/>
    <w:pPr>
      <w:spacing w:line="312" w:lineRule="auto"/>
      <w:ind w:firstLine="420"/>
    </w:pPr>
    <w:rPr>
      <w:rFonts w:hint="eastAsia"/>
      <w:szCs w:val="24"/>
    </w:rPr>
  </w:style>
  <w:style w:type="paragraph" w:customStyle="1" w:styleId="gb1">
    <w:name w:val="gb1"/>
    <w:basedOn w:val="a3"/>
    <w:unhideWhenUsed/>
    <w:qFormat/>
    <w:pPr>
      <w:widowControl/>
      <w:tabs>
        <w:tab w:val="left" w:pos="227"/>
      </w:tabs>
      <w:overflowPunct w:val="0"/>
      <w:autoSpaceDE w:val="0"/>
      <w:autoSpaceDN w:val="0"/>
      <w:adjustRightInd w:val="0"/>
      <w:spacing w:before="120" w:after="120"/>
      <w:jc w:val="left"/>
      <w:textAlignment w:val="baseline"/>
    </w:pPr>
    <w:rPr>
      <w:rFonts w:ascii="Arial" w:eastAsia="仿宋体" w:hAnsi="Arial" w:hint="eastAsia"/>
      <w:szCs w:val="20"/>
    </w:rPr>
  </w:style>
  <w:style w:type="paragraph" w:customStyle="1" w:styleId="CharCharCharCharCharCharCharCharChar1">
    <w:name w:val="Char Char Char Char Char Char Char Char Char1"/>
    <w:basedOn w:val="a3"/>
    <w:unhideWhenUsed/>
    <w:qFormat/>
    <w:rPr>
      <w:rFonts w:hint="eastAsia"/>
      <w:sz w:val="21"/>
      <w:szCs w:val="24"/>
    </w:rPr>
  </w:style>
  <w:style w:type="paragraph" w:customStyle="1" w:styleId="CharCharCharCharCharCharCharCharChar4">
    <w:name w:val="Char Char Char Char Char Char Char Char Char4"/>
    <w:basedOn w:val="a3"/>
    <w:unhideWhenUsed/>
    <w:qFormat/>
    <w:rPr>
      <w:rFonts w:hint="eastAsia"/>
      <w:sz w:val="21"/>
      <w:szCs w:val="24"/>
    </w:rPr>
  </w:style>
  <w:style w:type="paragraph" w:customStyle="1" w:styleId="CharCharCharCharCharCharCharCharChar3">
    <w:name w:val="Char Char Char Char Char Char Char Char Char3"/>
    <w:basedOn w:val="a3"/>
    <w:unhideWhenUsed/>
    <w:qFormat/>
    <w:rPr>
      <w:rFonts w:hint="eastAsia"/>
      <w:sz w:val="21"/>
      <w:szCs w:val="24"/>
    </w:rPr>
  </w:style>
  <w:style w:type="paragraph" w:customStyle="1" w:styleId="CharCharCharCharCharCharCharCharChar2">
    <w:name w:val="Char Char Char Char Char Char Char Char Char2"/>
    <w:basedOn w:val="a3"/>
    <w:unhideWhenUsed/>
    <w:qFormat/>
    <w:rPr>
      <w:rFonts w:hint="eastAsia"/>
      <w:sz w:val="21"/>
      <w:szCs w:val="24"/>
    </w:rPr>
  </w:style>
  <w:style w:type="paragraph" w:customStyle="1" w:styleId="1H11-1-h11stlevelSectionHeadl1b12">
    <w:name w:val="样式 标题 1H1标题 1-王鹏章标题 1-*+h11st levelSection Headl1b1标题2..."/>
    <w:basedOn w:val="110"/>
    <w:unhideWhenUsed/>
    <w:qFormat/>
    <w:pPr>
      <w:spacing w:beforeLines="0" w:afterLines="0"/>
      <w:ind w:firstLineChars="0" w:firstLine="0"/>
      <w:jc w:val="left"/>
    </w:pPr>
    <w:rPr>
      <w:rFonts w:ascii="宋体" w:hAnsi="宋体" w:cs="宋体"/>
      <w:color w:val="0000FF"/>
      <w:sz w:val="32"/>
      <w:szCs w:val="32"/>
    </w:rPr>
  </w:style>
  <w:style w:type="paragraph" w:customStyle="1" w:styleId="ParaCharCharCharChar0">
    <w:name w:val="样式 默认段落字体 Para Char Char Char Char +"/>
    <w:basedOn w:val="a3"/>
    <w:unhideWhenUsed/>
    <w:qFormat/>
    <w:pPr>
      <w:widowControl/>
      <w:spacing w:beforeLines="50" w:afterLines="50"/>
      <w:jc w:val="left"/>
    </w:pPr>
    <w:rPr>
      <w:rFonts w:ascii="Cambria" w:eastAsia="黑体" w:hAnsi="Cambria" w:hint="eastAsia"/>
      <w:sz w:val="28"/>
      <w:szCs w:val="22"/>
      <w:lang w:eastAsia="en-US"/>
    </w:rPr>
  </w:style>
  <w:style w:type="paragraph" w:customStyle="1" w:styleId="affffffffffffffffffb">
    <w:name w:val="正文表"/>
    <w:basedOn w:val="a3"/>
    <w:unhideWhenUsed/>
    <w:qFormat/>
    <w:pPr>
      <w:jc w:val="center"/>
    </w:pPr>
    <w:rPr>
      <w:rFonts w:ascii="Times" w:eastAsia="仿宋_GB2312" w:hAnsi="Times" w:hint="eastAsia"/>
      <w:sz w:val="18"/>
      <w:szCs w:val="24"/>
    </w:rPr>
  </w:style>
  <w:style w:type="paragraph" w:customStyle="1" w:styleId="affffffffffffffffffc">
    <w:name w:val="文字"/>
    <w:basedOn w:val="a3"/>
    <w:unhideWhenUsed/>
    <w:qFormat/>
    <w:pPr>
      <w:tabs>
        <w:tab w:val="left" w:pos="3780"/>
      </w:tabs>
      <w:spacing w:line="260" w:lineRule="exact"/>
      <w:jc w:val="center"/>
    </w:pPr>
    <w:rPr>
      <w:rFonts w:ascii="Times" w:eastAsia="仿宋_GB2312" w:hAnsi="Times" w:hint="eastAsia"/>
      <w:sz w:val="18"/>
      <w:szCs w:val="20"/>
      <w:u w:color="000000"/>
    </w:rPr>
  </w:style>
  <w:style w:type="paragraph" w:customStyle="1" w:styleId="1fffe">
    <w:name w:val="样式 标题 1 + 居中"/>
    <w:basedOn w:val="110"/>
    <w:unhideWhenUsed/>
    <w:qFormat/>
    <w:pPr>
      <w:widowControl/>
      <w:spacing w:beforeLines="0" w:afterLines="0" w:line="413" w:lineRule="auto"/>
      <w:ind w:firstLine="643"/>
      <w:jc w:val="center"/>
    </w:pPr>
    <w:rPr>
      <w:rFonts w:cs="宋体"/>
      <w:kern w:val="2"/>
      <w:sz w:val="30"/>
      <w:szCs w:val="20"/>
    </w:rPr>
  </w:style>
  <w:style w:type="paragraph" w:customStyle="1" w:styleId="PA">
    <w:name w:val="PA"/>
    <w:basedOn w:val="a3"/>
    <w:unhideWhenUsed/>
    <w:qFormat/>
    <w:pPr>
      <w:widowControl/>
      <w:spacing w:after="120"/>
      <w:ind w:left="1134"/>
    </w:pPr>
    <w:rPr>
      <w:rFonts w:ascii="Arial" w:hAnsi="Arial" w:hint="eastAsia"/>
      <w:sz w:val="22"/>
      <w:szCs w:val="20"/>
      <w:lang w:val="en-GB"/>
    </w:rPr>
  </w:style>
  <w:style w:type="paragraph" w:customStyle="1" w:styleId="zwb-">
    <w:name w:val="zwb-正文"/>
    <w:basedOn w:val="a3"/>
    <w:link w:val="zwb-Char"/>
    <w:unhideWhenUsed/>
    <w:qFormat/>
    <w:rPr>
      <w:rFonts w:hint="eastAsia"/>
      <w:szCs w:val="24"/>
    </w:rPr>
  </w:style>
  <w:style w:type="paragraph" w:customStyle="1" w:styleId="170">
    <w:name w:val="17"/>
    <w:basedOn w:val="a3"/>
    <w:unhideWhenUsed/>
    <w:qFormat/>
    <w:pPr>
      <w:widowControl/>
      <w:jc w:val="left"/>
    </w:pPr>
    <w:rPr>
      <w:rFonts w:hint="eastAsia"/>
      <w:sz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unhideWhenUsed/>
    <w:qFormat/>
    <w:pPr>
      <w:widowControl/>
      <w:jc w:val="left"/>
    </w:pPr>
    <w:rPr>
      <w:rFonts w:hint="eastAsia"/>
      <w:sz w:val="21"/>
    </w:rPr>
  </w:style>
  <w:style w:type="paragraph" w:customStyle="1" w:styleId="3fb">
    <w:name w:val="标题3 节标题"/>
    <w:basedOn w:val="310"/>
    <w:unhideWhenUsed/>
    <w:qFormat/>
    <w:pPr>
      <w:spacing w:beforeLines="0" w:afterLines="0"/>
      <w:ind w:firstLineChars="0" w:firstLine="0"/>
    </w:pPr>
    <w:rPr>
      <w:color w:val="000000"/>
      <w:sz w:val="28"/>
      <w:szCs w:val="28"/>
    </w:rPr>
  </w:style>
  <w:style w:type="paragraph" w:customStyle="1" w:styleId="2ffe">
    <w:name w:val="标题2，节标题"/>
    <w:basedOn w:val="213"/>
    <w:unhideWhenUsed/>
    <w:qFormat/>
    <w:pPr>
      <w:tabs>
        <w:tab w:val="left" w:pos="1322"/>
      </w:tabs>
      <w:spacing w:beforeLines="0" w:afterLines="0"/>
      <w:ind w:firstLineChars="0" w:firstLine="0"/>
    </w:pPr>
    <w:rPr>
      <w:sz w:val="30"/>
    </w:rPr>
  </w:style>
  <w:style w:type="paragraph" w:customStyle="1" w:styleId="affffffffffffffffffd">
    <w:name w:val="标题一，章标题"/>
    <w:basedOn w:val="110"/>
    <w:unhideWhenUsed/>
    <w:qFormat/>
    <w:pPr>
      <w:widowControl/>
      <w:spacing w:beforeLines="0" w:afterLines="0"/>
      <w:ind w:firstLineChars="0" w:firstLine="0"/>
    </w:pPr>
    <w:rPr>
      <w:sz w:val="32"/>
      <w:szCs w:val="20"/>
    </w:rPr>
  </w:style>
  <w:style w:type="paragraph" w:customStyle="1" w:styleId="CharChar2CharChar1">
    <w:name w:val="Char Char2 Char Char1"/>
    <w:basedOn w:val="a3"/>
    <w:unhideWhenUsed/>
    <w:qFormat/>
    <w:rPr>
      <w:rFonts w:hint="eastAsia"/>
      <w:sz w:val="21"/>
      <w:szCs w:val="24"/>
    </w:rPr>
  </w:style>
  <w:style w:type="paragraph" w:customStyle="1" w:styleId="Style53">
    <w:name w:val="_Style 53"/>
    <w:basedOn w:val="a3"/>
    <w:next w:val="af2"/>
    <w:unhideWhenUsed/>
    <w:qFormat/>
    <w:rPr>
      <w:rFonts w:ascii="宋体" w:hAnsi="Courier New" w:hint="eastAsia"/>
      <w:sz w:val="21"/>
      <w:szCs w:val="20"/>
    </w:rPr>
  </w:style>
  <w:style w:type="paragraph" w:customStyle="1" w:styleId="Style26">
    <w:name w:val="_Style 26"/>
    <w:basedOn w:val="a3"/>
    <w:unhideWhenUsed/>
    <w:qFormat/>
    <w:rPr>
      <w:rFonts w:ascii="宋体" w:hint="eastAsia"/>
      <w:szCs w:val="20"/>
    </w:rPr>
  </w:style>
  <w:style w:type="paragraph" w:customStyle="1" w:styleId="Affffffffffffffffffe">
    <w:name w:val="A正文"/>
    <w:basedOn w:val="410"/>
    <w:link w:val="AChar"/>
    <w:unhideWhenUsed/>
    <w:qFormat/>
    <w:pPr>
      <w:keepNext w:val="0"/>
      <w:tabs>
        <w:tab w:val="left" w:pos="2880"/>
      </w:tabs>
      <w:spacing w:beforeLines="0" w:afterLines="0" w:line="460" w:lineRule="atLeast"/>
    </w:pPr>
    <w:rPr>
      <w:b w:val="0"/>
    </w:rPr>
  </w:style>
  <w:style w:type="paragraph" w:customStyle="1" w:styleId="CharCharCharCharCharCharCharCharCharCharChar1">
    <w:name w:val="Char Char Char Char Char Char Char Char Char Char Char1"/>
    <w:basedOn w:val="a3"/>
    <w:unhideWhenUsed/>
    <w:qFormat/>
    <w:rPr>
      <w:rFonts w:hint="eastAsia"/>
      <w:sz w:val="21"/>
      <w:szCs w:val="24"/>
    </w:rPr>
  </w:style>
  <w:style w:type="paragraph" w:customStyle="1" w:styleId="afffffffffffffffffff">
    <w:name w:val="正文(首行缩进)宋旭峰"/>
    <w:basedOn w:val="1b"/>
    <w:link w:val="CharChar5"/>
    <w:unhideWhenUsed/>
    <w:qFormat/>
    <w:pPr>
      <w:spacing w:line="460" w:lineRule="exact"/>
      <w:ind w:firstLine="520"/>
    </w:pPr>
    <w:rPr>
      <w:rFonts w:ascii="宋体" w:hAnsi="宋体"/>
      <w:sz w:val="26"/>
      <w:szCs w:val="26"/>
    </w:rPr>
  </w:style>
  <w:style w:type="paragraph" w:customStyle="1" w:styleId="afffffffffffffffffff0">
    <w:name w:val="表体宋旭峰"/>
    <w:basedOn w:val="a3"/>
    <w:unhideWhenUsed/>
    <w:qFormat/>
    <w:pPr>
      <w:tabs>
        <w:tab w:val="left" w:pos="3685"/>
      </w:tabs>
      <w:overflowPunct w:val="0"/>
      <w:spacing w:line="300" w:lineRule="exact"/>
      <w:jc w:val="center"/>
      <w:textAlignment w:val="baseline"/>
    </w:pPr>
    <w:rPr>
      <w:rFonts w:ascii="宋体" w:hAnsi="Courier New" w:cs="Courier New" w:hint="eastAsia"/>
      <w:sz w:val="18"/>
      <w:szCs w:val="18"/>
    </w:rPr>
  </w:style>
  <w:style w:type="paragraph" w:customStyle="1" w:styleId="afffffffffffffffffff1">
    <w:name w:val="表、图名宋旭峰"/>
    <w:basedOn w:val="a3"/>
    <w:link w:val="Charffff9"/>
    <w:unhideWhenUsed/>
    <w:qFormat/>
    <w:pPr>
      <w:tabs>
        <w:tab w:val="left" w:pos="2178"/>
      </w:tabs>
      <w:spacing w:line="420" w:lineRule="exact"/>
      <w:ind w:firstLine="420"/>
    </w:pPr>
    <w:rPr>
      <w:rFonts w:ascii="黑体" w:eastAsia="黑体" w:hAnsi="宋体" w:hint="eastAsia"/>
      <w:sz w:val="21"/>
    </w:rPr>
  </w:style>
  <w:style w:type="paragraph" w:customStyle="1" w:styleId="CharCharCharCharCharCharCharCharCharCharCharChar1CharCharCharChar">
    <w:name w:val="Char Char Char Char Char Char Char Char Char Char Char Char1 Char Char Char Char"/>
    <w:basedOn w:val="a3"/>
    <w:next w:val="a3"/>
    <w:unhideWhenUsed/>
    <w:qFormat/>
    <w:pPr>
      <w:spacing w:line="336" w:lineRule="auto"/>
    </w:pPr>
    <w:rPr>
      <w:rFonts w:ascii="宋体" w:eastAsia="汉鼎简书宋" w:hAnsi="宋体" w:cs="宋体" w:hint="eastAsia"/>
      <w:szCs w:val="24"/>
    </w:rPr>
  </w:style>
  <w:style w:type="paragraph" w:customStyle="1" w:styleId="ParaCharCharChar1CharCharCharCharCharCharCharCharCharChar">
    <w:name w:val="默认段落字体 Para Char Char Char1 Char Char Char Char Char Char Char Char Char Char"/>
    <w:basedOn w:val="a3"/>
    <w:unhideWhenUsed/>
    <w:qFormat/>
    <w:rPr>
      <w:rFonts w:hint="eastAsia"/>
      <w:sz w:val="21"/>
      <w:szCs w:val="20"/>
    </w:rPr>
  </w:style>
  <w:style w:type="paragraph" w:customStyle="1" w:styleId="CharCharChar1CharCharCharChar">
    <w:name w:val="Char Char Char1 Char Char Char Char"/>
    <w:basedOn w:val="a3"/>
    <w:unhideWhenUsed/>
    <w:qFormat/>
    <w:rPr>
      <w:rFonts w:hint="eastAsia"/>
      <w:sz w:val="21"/>
      <w:szCs w:val="24"/>
    </w:rPr>
  </w:style>
  <w:style w:type="paragraph" w:customStyle="1" w:styleId="CharCharChar11">
    <w:name w:val="Char Char Char11"/>
    <w:basedOn w:val="a3"/>
    <w:unhideWhenUsed/>
    <w:qFormat/>
    <w:rPr>
      <w:rFonts w:hint="eastAsia"/>
      <w:sz w:val="21"/>
      <w:szCs w:val="24"/>
    </w:rPr>
  </w:style>
  <w:style w:type="paragraph" w:customStyle="1" w:styleId="2CharCharCharCharCharCharCharCharCharCharCharCharCharCharCharCharCharCharCharCharCharCharCharCharCharCharCharCharCharCharCharCharCharChar">
    <w:name w:val="2 Char Char Char Char Char Char Char Char Char Char Char Char Char Char Char Char Char Char Char Char Char Char Char Char Char Char Char Char Char Char Char Char Char Char"/>
    <w:basedOn w:val="a3"/>
    <w:unhideWhenUsed/>
    <w:qFormat/>
    <w:rPr>
      <w:rFonts w:ascii="宋体" w:hAnsi="宋体" w:cs="宋体" w:hint="eastAsia"/>
      <w:szCs w:val="24"/>
    </w:rPr>
  </w:style>
  <w:style w:type="paragraph" w:customStyle="1" w:styleId="CharCharCharCharCharCharCharCharCharCharCharCharCharCharCharCharCharCharCharChar">
    <w:name w:val="Char Char Char Char Char Char Char Char Char Char Char Char Char Char Char Char Char Char Char Char"/>
    <w:basedOn w:val="a3"/>
    <w:unhideWhenUsed/>
    <w:qFormat/>
    <w:rPr>
      <w:rFonts w:hint="eastAsia"/>
      <w:sz w:val="21"/>
      <w:szCs w:val="20"/>
    </w:rPr>
  </w:style>
  <w:style w:type="paragraph" w:customStyle="1" w:styleId="nilo2">
    <w:name w:val="nilo_标题2"/>
    <w:basedOn w:val="a3"/>
    <w:unhideWhenUsed/>
    <w:qFormat/>
    <w:pPr>
      <w:tabs>
        <w:tab w:val="left" w:pos="735"/>
      </w:tabs>
      <w:ind w:left="289" w:firstLine="567"/>
      <w:jc w:val="left"/>
      <w:outlineLvl w:val="2"/>
    </w:pPr>
    <w:rPr>
      <w:rFonts w:eastAsia="黑体" w:hint="eastAsia"/>
      <w:b/>
      <w:sz w:val="28"/>
      <w:szCs w:val="20"/>
    </w:rPr>
  </w:style>
  <w:style w:type="paragraph" w:customStyle="1" w:styleId="nilo1Char">
    <w:name w:val="nilo_标题1 Char"/>
    <w:basedOn w:val="a3"/>
    <w:unhideWhenUsed/>
    <w:qFormat/>
    <w:pPr>
      <w:tabs>
        <w:tab w:val="left" w:pos="882"/>
      </w:tabs>
      <w:ind w:left="882" w:hanging="567"/>
      <w:jc w:val="left"/>
      <w:outlineLvl w:val="1"/>
    </w:pPr>
    <w:rPr>
      <w:rFonts w:ascii="黑体" w:eastAsia="黑体" w:hAnsi="宋体" w:hint="eastAsia"/>
      <w:sz w:val="30"/>
      <w:szCs w:val="20"/>
    </w:rPr>
  </w:style>
  <w:style w:type="paragraph" w:customStyle="1" w:styleId="CharCharCharCharCharCharCharCharCharCharCharCharCharCharCharCharCharCharCharChar1">
    <w:name w:val="Char Char Char Char Char Char Char Char Char Char Char Char Char Char Char Char Char Char Char Char1"/>
    <w:basedOn w:val="a3"/>
    <w:unhideWhenUsed/>
    <w:qFormat/>
    <w:rPr>
      <w:rFonts w:hint="eastAsia"/>
      <w:sz w:val="21"/>
      <w:szCs w:val="20"/>
    </w:rPr>
  </w:style>
  <w:style w:type="paragraph" w:customStyle="1" w:styleId="nilo0">
    <w:name w:val="nilo_标题0"/>
    <w:basedOn w:val="a3"/>
    <w:unhideWhenUsed/>
    <w:qFormat/>
    <w:pPr>
      <w:tabs>
        <w:tab w:val="left" w:pos="567"/>
      </w:tabs>
      <w:spacing w:line="300" w:lineRule="auto"/>
      <w:ind w:left="567" w:hanging="367"/>
      <w:jc w:val="center"/>
      <w:outlineLvl w:val="0"/>
    </w:pPr>
    <w:rPr>
      <w:rFonts w:ascii="黑体" w:eastAsia="黑体" w:hAnsi="宋体" w:hint="eastAsia"/>
      <w:b/>
      <w:sz w:val="44"/>
      <w:szCs w:val="20"/>
    </w:rPr>
  </w:style>
  <w:style w:type="paragraph" w:customStyle="1" w:styleId="afffffffffffffffffff2">
    <w:name w:val="正文+三号"/>
    <w:basedOn w:val="a3"/>
    <w:unhideWhenUsed/>
    <w:qFormat/>
    <w:rPr>
      <w:rFonts w:hint="eastAsia"/>
      <w:b/>
      <w:position w:val="6"/>
      <w:szCs w:val="20"/>
    </w:rPr>
  </w:style>
  <w:style w:type="paragraph" w:customStyle="1" w:styleId="afffffffffffffffffff3">
    <w:name w:val="表格正文居中"/>
    <w:basedOn w:val="a3"/>
    <w:unhideWhenUsed/>
    <w:qFormat/>
    <w:pPr>
      <w:ind w:rightChars="-38" w:right="-80"/>
    </w:pPr>
    <w:rPr>
      <w:rFonts w:hint="eastAsia"/>
      <w:sz w:val="21"/>
    </w:rPr>
  </w:style>
  <w:style w:type="paragraph" w:customStyle="1" w:styleId="ch">
    <w:name w:val="ch中文正文"/>
    <w:unhideWhenUsed/>
    <w:qFormat/>
    <w:pPr>
      <w:spacing w:beforeLines="50" w:afterLines="50" w:line="360" w:lineRule="auto"/>
      <w:ind w:firstLineChars="200" w:firstLine="200"/>
    </w:pPr>
    <w:rPr>
      <w:rFonts w:hint="eastAsia"/>
      <w:sz w:val="24"/>
    </w:rPr>
  </w:style>
  <w:style w:type="paragraph" w:customStyle="1" w:styleId="hh">
    <w:name w:val="hh"/>
    <w:basedOn w:val="a3"/>
    <w:unhideWhenUsed/>
    <w:qFormat/>
    <w:pPr>
      <w:adjustRightInd w:val="0"/>
      <w:ind w:firstLine="567"/>
      <w:textAlignment w:val="baseline"/>
    </w:pPr>
    <w:rPr>
      <w:rFonts w:hint="eastAsia"/>
      <w:color w:val="000000"/>
      <w:szCs w:val="20"/>
    </w:rPr>
  </w:style>
  <w:style w:type="paragraph" w:customStyle="1" w:styleId="0020">
    <w:name w:val="002"/>
    <w:basedOn w:val="aff5"/>
    <w:next w:val="aff5"/>
    <w:link w:val="002Char"/>
    <w:unhideWhenUsed/>
    <w:qFormat/>
    <w:pPr>
      <w:tabs>
        <w:tab w:val="center" w:pos="4153"/>
        <w:tab w:val="right" w:pos="8306"/>
      </w:tabs>
      <w:spacing w:beforeLines="50" w:afterLines="50" w:line="240" w:lineRule="auto"/>
      <w:jc w:val="left"/>
    </w:pPr>
    <w:rPr>
      <w:rFonts w:ascii="宋体" w:hAnsi="宋体" w:hint="eastAsia"/>
      <w:b w:val="0"/>
      <w:sz w:val="28"/>
    </w:rPr>
  </w:style>
  <w:style w:type="paragraph" w:customStyle="1" w:styleId="CharCharCharCharCharCharCharCharCharCharCharCharCharCharChar0">
    <w:name w:val="Char Char Char Char Char Char Char Char Char Char Char Char Char Char Char"/>
    <w:basedOn w:val="a3"/>
    <w:unhideWhenUsed/>
    <w:qFormat/>
    <w:rPr>
      <w:rFonts w:hint="eastAsia"/>
      <w:sz w:val="21"/>
      <w:szCs w:val="28"/>
    </w:rPr>
  </w:style>
  <w:style w:type="paragraph" w:customStyle="1" w:styleId="211112H2h2l22ndlevelTitre22Header2">
    <w:name w:val="样式 标题 2节标题 1.11.1标题2H2条标题h2l22nd levelTitre22Header 2 ..."/>
    <w:basedOn w:val="213"/>
    <w:unhideWhenUsed/>
    <w:qFormat/>
    <w:pPr>
      <w:tabs>
        <w:tab w:val="left" w:pos="1322"/>
      </w:tabs>
      <w:snapToGrid w:val="0"/>
      <w:spacing w:beforeLines="0" w:afterLines="0" w:line="560" w:lineRule="atLeast"/>
      <w:ind w:firstLineChars="0" w:firstLine="0"/>
    </w:pPr>
    <w:rPr>
      <w:rFonts w:ascii="黑体" w:eastAsia="黑体" w:hAnsi="宋体" w:cs="宋体"/>
      <w:b w:val="0"/>
      <w:sz w:val="28"/>
      <w:szCs w:val="20"/>
    </w:rPr>
  </w:style>
  <w:style w:type="paragraph" w:customStyle="1" w:styleId="BCD">
    <w:name w:val="BCD表内文稿"/>
    <w:basedOn w:val="a3"/>
    <w:unhideWhenUsed/>
    <w:qFormat/>
    <w:pPr>
      <w:adjustRightInd w:val="0"/>
      <w:snapToGrid w:val="0"/>
      <w:spacing w:line="360" w:lineRule="exact"/>
      <w:jc w:val="center"/>
    </w:pPr>
    <w:rPr>
      <w:rFonts w:eastAsia="仿宋_GB2312" w:hint="eastAsia"/>
      <w:w w:val="90"/>
      <w:szCs w:val="24"/>
    </w:rPr>
  </w:style>
  <w:style w:type="paragraph" w:customStyle="1" w:styleId="afffffffffffffffffff4">
    <w:name w:val="小节标题"/>
    <w:basedOn w:val="a3"/>
    <w:next w:val="a3"/>
    <w:unhideWhenUsed/>
    <w:qFormat/>
    <w:pPr>
      <w:widowControl/>
      <w:spacing w:before="175" w:after="102" w:line="351" w:lineRule="atLeast"/>
      <w:textAlignment w:val="baseline"/>
    </w:pPr>
    <w:rPr>
      <w:rFonts w:eastAsia="黑体" w:hint="eastAsia"/>
      <w:color w:val="000000"/>
      <w:sz w:val="21"/>
      <w:szCs w:val="20"/>
      <w:u w:color="000000"/>
    </w:rPr>
  </w:style>
  <w:style w:type="paragraph" w:customStyle="1" w:styleId="048">
    <w:name w:val="样式 正文首行缩进 + 左侧:  0 厘米 悬挂缩进: 4.8 字符"/>
    <w:basedOn w:val="1fb"/>
    <w:unhideWhenUsed/>
    <w:qFormat/>
    <w:pPr>
      <w:tabs>
        <w:tab w:val="left" w:pos="1701"/>
        <w:tab w:val="left" w:pos="3675"/>
        <w:tab w:val="left" w:pos="4515"/>
        <w:tab w:val="right" w:pos="8505"/>
      </w:tabs>
      <w:adjustRightInd w:val="0"/>
      <w:ind w:firstLineChars="225" w:firstLine="482"/>
      <w:textAlignment w:val="baseline"/>
    </w:pPr>
    <w:rPr>
      <w:rFonts w:ascii="宋体"/>
      <w:szCs w:val="20"/>
    </w:rPr>
  </w:style>
  <w:style w:type="paragraph" w:customStyle="1" w:styleId="afffffffffffffffffff5">
    <w:name w:val="表格侧编号"/>
    <w:next w:val="a3"/>
    <w:unhideWhenUsed/>
    <w:qFormat/>
    <w:pPr>
      <w:widowControl w:val="0"/>
      <w:snapToGrid w:val="0"/>
      <w:jc w:val="center"/>
    </w:pPr>
    <w:rPr>
      <w:rFonts w:ascii="宋体" w:hAnsi="Arial" w:hint="eastAsia"/>
      <w:color w:val="FF0000"/>
      <w:kern w:val="2"/>
      <w:position w:val="-40"/>
      <w:sz w:val="24"/>
    </w:rPr>
  </w:style>
  <w:style w:type="paragraph" w:customStyle="1" w:styleId="5CharCharCharCharCharCharCharCharCharChar">
    <w:name w:val="5 Char Char Char Char Char Char Char Char Char Char"/>
    <w:basedOn w:val="a3"/>
    <w:unhideWhenUsed/>
    <w:qFormat/>
    <w:rPr>
      <w:rFonts w:hint="eastAsia"/>
      <w:sz w:val="21"/>
      <w:szCs w:val="24"/>
    </w:rPr>
  </w:style>
  <w:style w:type="paragraph" w:customStyle="1" w:styleId="1ffff">
    <w:name w:val="日期1"/>
    <w:basedOn w:val="a3"/>
    <w:next w:val="a3"/>
    <w:unhideWhenUsed/>
    <w:qFormat/>
    <w:pPr>
      <w:adjustRightInd w:val="0"/>
      <w:spacing w:line="312" w:lineRule="atLeast"/>
      <w:textAlignment w:val="baseline"/>
    </w:pPr>
    <w:rPr>
      <w:rFonts w:ascii="宋体" w:hint="eastAsia"/>
      <w:szCs w:val="20"/>
    </w:rPr>
  </w:style>
  <w:style w:type="paragraph" w:customStyle="1" w:styleId="157">
    <w:name w:val="样式 纯文本 + 小四 行距: 1.5 倍行距"/>
    <w:basedOn w:val="PlainText1"/>
    <w:unhideWhenUsed/>
    <w:qFormat/>
    <w:pPr>
      <w:snapToGrid w:val="0"/>
    </w:pPr>
    <w:rPr>
      <w:rFonts w:ascii="Arial" w:hAnsi="Arial" w:cs="宋体"/>
      <w:sz w:val="24"/>
      <w:szCs w:val="24"/>
    </w:rPr>
  </w:style>
  <w:style w:type="paragraph" w:customStyle="1" w:styleId="CharChar6">
    <w:name w:val="正文文本最新 Char Char"/>
    <w:basedOn w:val="a3"/>
    <w:link w:val="CharCharChar4"/>
    <w:unhideWhenUsed/>
    <w:qFormat/>
    <w:rPr>
      <w:rFonts w:hint="eastAsia"/>
      <w:sz w:val="28"/>
      <w:szCs w:val="24"/>
    </w:rPr>
  </w:style>
  <w:style w:type="paragraph" w:customStyle="1" w:styleId="afffffffffffffffffff6">
    <w:name w:val="立项正文"/>
    <w:basedOn w:val="a3"/>
    <w:unhideWhenUsed/>
    <w:qFormat/>
    <w:pPr>
      <w:tabs>
        <w:tab w:val="left" w:pos="3420"/>
      </w:tabs>
      <w:spacing w:line="480" w:lineRule="exact"/>
      <w:ind w:firstLine="477"/>
    </w:pPr>
    <w:rPr>
      <w:rFonts w:ascii="宋体" w:hAnsi="宋体" w:cs="Arial" w:hint="eastAsia"/>
      <w:color w:val="000000"/>
      <w:szCs w:val="24"/>
    </w:rPr>
  </w:style>
  <w:style w:type="paragraph" w:customStyle="1" w:styleId="1ffff0">
    <w:name w:val="段落1"/>
    <w:basedOn w:val="a3"/>
    <w:unhideWhenUsed/>
    <w:qFormat/>
    <w:pPr>
      <w:adjustRightInd w:val="0"/>
      <w:ind w:firstLine="624"/>
      <w:jc w:val="left"/>
      <w:textAlignment w:val="baseline"/>
    </w:pPr>
    <w:rPr>
      <w:rFonts w:eastAsia="仿宋_GB2312" w:hint="eastAsia"/>
      <w:sz w:val="28"/>
      <w:szCs w:val="20"/>
    </w:rPr>
  </w:style>
  <w:style w:type="paragraph" w:customStyle="1" w:styleId="afffffffffffffffffff7">
    <w:name w:val="段落"/>
    <w:basedOn w:val="a3"/>
    <w:unhideWhenUsed/>
    <w:qFormat/>
    <w:pPr>
      <w:adjustRightInd w:val="0"/>
      <w:ind w:firstLine="564"/>
      <w:jc w:val="left"/>
      <w:textAlignment w:val="baseline"/>
    </w:pPr>
    <w:rPr>
      <w:rFonts w:ascii="宋体" w:hAnsi="宋体" w:hint="eastAsia"/>
      <w:color w:val="000000"/>
      <w:sz w:val="28"/>
      <w:szCs w:val="20"/>
    </w:rPr>
  </w:style>
  <w:style w:type="paragraph" w:customStyle="1" w:styleId="aa0">
    <w:name w:val="aa"/>
    <w:basedOn w:val="a3"/>
    <w:unhideWhenUsed/>
    <w:qFormat/>
    <w:pPr>
      <w:spacing w:after="60" w:line="400" w:lineRule="exact"/>
      <w:ind w:firstLine="644"/>
    </w:pPr>
    <w:rPr>
      <w:rFonts w:hint="eastAsia"/>
      <w:sz w:val="28"/>
      <w:szCs w:val="20"/>
    </w:rPr>
  </w:style>
  <w:style w:type="paragraph" w:customStyle="1" w:styleId="116">
    <w:name w:val="正文11"/>
    <w:basedOn w:val="a3"/>
    <w:next w:val="a3"/>
    <w:unhideWhenUsed/>
    <w:qFormat/>
    <w:rPr>
      <w:rFonts w:hint="eastAsia"/>
      <w:sz w:val="21"/>
      <w:szCs w:val="24"/>
    </w:rPr>
  </w:style>
  <w:style w:type="paragraph" w:customStyle="1" w:styleId="Char1CharChar1Char">
    <w:name w:val="Char1 Char Char1 Char"/>
    <w:basedOn w:val="a3"/>
    <w:unhideWhenUsed/>
    <w:qFormat/>
    <w:pPr>
      <w:adjustRightInd w:val="0"/>
      <w:spacing w:line="360" w:lineRule="atLeast"/>
      <w:textAlignment w:val="baseline"/>
    </w:pPr>
    <w:rPr>
      <w:rFonts w:hint="eastAsia"/>
      <w:sz w:val="21"/>
      <w:szCs w:val="24"/>
    </w:rPr>
  </w:style>
  <w:style w:type="paragraph" w:customStyle="1" w:styleId="158">
    <w:name w:val="15"/>
    <w:basedOn w:val="a3"/>
    <w:next w:val="312"/>
    <w:unhideWhenUsed/>
    <w:qFormat/>
    <w:pPr>
      <w:spacing w:after="120"/>
      <w:ind w:leftChars="200" w:left="420"/>
    </w:pPr>
    <w:rPr>
      <w:rFonts w:hint="eastAsia"/>
      <w:sz w:val="16"/>
      <w:szCs w:val="16"/>
    </w:rPr>
  </w:style>
  <w:style w:type="paragraph" w:customStyle="1" w:styleId="afffffffffffffffffff8">
    <w:name w:val="符号小标题"/>
    <w:basedOn w:val="a3"/>
    <w:unhideWhenUsed/>
    <w:qFormat/>
    <w:pPr>
      <w:widowControl/>
      <w:tabs>
        <w:tab w:val="left" w:pos="1260"/>
      </w:tabs>
      <w:autoSpaceDE w:val="0"/>
      <w:autoSpaceDN w:val="0"/>
      <w:spacing w:before="120" w:after="120"/>
      <w:ind w:left="1260" w:hanging="420"/>
    </w:pPr>
    <w:rPr>
      <w:rFonts w:eastAsia="仿宋_GB2312" w:hint="eastAsia"/>
      <w:szCs w:val="20"/>
    </w:rPr>
  </w:style>
  <w:style w:type="paragraph" w:customStyle="1" w:styleId="4f6">
    <w:name w:val="正文4号"/>
    <w:basedOn w:val="a3"/>
    <w:unhideWhenUsed/>
    <w:qFormat/>
    <w:rPr>
      <w:rFonts w:hint="eastAsia"/>
      <w:szCs w:val="24"/>
    </w:rPr>
  </w:style>
  <w:style w:type="paragraph" w:customStyle="1" w:styleId="afffffffffffffffffff9">
    <w:name w:val="报告书正文"/>
    <w:basedOn w:val="a3"/>
    <w:link w:val="Charffffa"/>
    <w:unhideWhenUsed/>
    <w:qFormat/>
    <w:pPr>
      <w:adjustRightInd w:val="0"/>
      <w:jc w:val="center"/>
    </w:pPr>
    <w:rPr>
      <w:rFonts w:ascii="宋体" w:hAnsi="宋体" w:hint="eastAsia"/>
      <w:color w:val="000000"/>
      <w:sz w:val="28"/>
      <w:szCs w:val="24"/>
    </w:rPr>
  </w:style>
  <w:style w:type="paragraph" w:customStyle="1" w:styleId="2fff">
    <w:name w:val="表样式2"/>
    <w:basedOn w:val="a3"/>
    <w:unhideWhenUsed/>
    <w:qFormat/>
    <w:pPr>
      <w:jc w:val="center"/>
    </w:pPr>
    <w:rPr>
      <w:rFonts w:ascii="宋体" w:hAnsi="宋体" w:hint="eastAsia"/>
      <w:sz w:val="21"/>
      <w:szCs w:val="24"/>
    </w:rPr>
  </w:style>
  <w:style w:type="paragraph" w:customStyle="1" w:styleId="afffffffffffffffffffa">
    <w:name w:val="流程文字"/>
    <w:basedOn w:val="a3"/>
    <w:unhideWhenUsed/>
    <w:qFormat/>
    <w:pPr>
      <w:tabs>
        <w:tab w:val="left" w:pos="6480"/>
      </w:tabs>
      <w:topLinePunct/>
      <w:adjustRightInd w:val="0"/>
      <w:snapToGrid w:val="0"/>
      <w:jc w:val="center"/>
    </w:pPr>
    <w:rPr>
      <w:rFonts w:eastAsia="仿宋_GB2312" w:hint="eastAsia"/>
      <w:sz w:val="21"/>
      <w:szCs w:val="20"/>
    </w:rPr>
  </w:style>
  <w:style w:type="paragraph" w:customStyle="1" w:styleId="126">
    <w:name w:val="表1表2"/>
    <w:basedOn w:val="a3"/>
    <w:unhideWhenUsed/>
    <w:qFormat/>
    <w:pPr>
      <w:autoSpaceDE w:val="0"/>
      <w:autoSpaceDN w:val="0"/>
      <w:adjustRightInd w:val="0"/>
      <w:jc w:val="center"/>
      <w:textAlignment w:val="center"/>
    </w:pPr>
    <w:rPr>
      <w:rFonts w:hint="eastAsia"/>
      <w:sz w:val="21"/>
      <w:szCs w:val="20"/>
    </w:rPr>
  </w:style>
  <w:style w:type="paragraph" w:customStyle="1" w:styleId="Q">
    <w:name w:val="Q"/>
    <w:basedOn w:val="a3"/>
    <w:unhideWhenUsed/>
    <w:qFormat/>
    <w:pPr>
      <w:adjustRightInd w:val="0"/>
      <w:ind w:firstLine="548"/>
    </w:pPr>
    <w:rPr>
      <w:rFonts w:hint="eastAsia"/>
      <w:sz w:val="28"/>
      <w:szCs w:val="20"/>
    </w:rPr>
  </w:style>
  <w:style w:type="paragraph" w:customStyle="1" w:styleId="GQ">
    <w:name w:val="GQ"/>
    <w:basedOn w:val="a3"/>
    <w:unhideWhenUsed/>
    <w:qFormat/>
    <w:pPr>
      <w:adjustRightInd w:val="0"/>
      <w:ind w:firstLine="567"/>
    </w:pPr>
    <w:rPr>
      <w:rFonts w:hint="eastAsia"/>
      <w:color w:val="FF0000"/>
      <w:sz w:val="28"/>
      <w:szCs w:val="20"/>
    </w:rPr>
  </w:style>
  <w:style w:type="paragraph" w:customStyle="1" w:styleId="2fff0">
    <w:name w:val="样式 小四 居中 首行缩进:  2 字符"/>
    <w:basedOn w:val="a3"/>
    <w:unhideWhenUsed/>
    <w:qFormat/>
    <w:pPr>
      <w:jc w:val="center"/>
    </w:pPr>
    <w:rPr>
      <w:rFonts w:hint="eastAsia"/>
      <w:szCs w:val="20"/>
    </w:rPr>
  </w:style>
  <w:style w:type="paragraph" w:customStyle="1" w:styleId="afffffffffffffffffffb">
    <w:name w:val="表底注"/>
    <w:basedOn w:val="a3"/>
    <w:unhideWhenUsed/>
    <w:qFormat/>
    <w:pPr>
      <w:adjustRightInd w:val="0"/>
      <w:spacing w:after="120" w:line="240" w:lineRule="atLeast"/>
      <w:jc w:val="left"/>
      <w:textAlignment w:val="baseline"/>
    </w:pPr>
    <w:rPr>
      <w:rFonts w:ascii="仿宋_GB2312" w:eastAsia="仿宋_GB2312" w:hint="eastAsia"/>
      <w:sz w:val="21"/>
      <w:szCs w:val="15"/>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unhideWhenUsed/>
    <w:qFormat/>
    <w:rPr>
      <w:rFonts w:hint="eastAsia"/>
      <w:sz w:val="21"/>
      <w:szCs w:val="24"/>
    </w:rPr>
  </w:style>
  <w:style w:type="paragraph" w:customStyle="1" w:styleId="1b1H111CharchapOGHeadi">
    <w:name w:val="样式 标题 1章节标题b1H1章标题 1标题 1 Char一级标题，黑粗，三号，序号章chapOG Headi..."/>
    <w:basedOn w:val="110"/>
    <w:link w:val="1b1H111CharchapOGHeadiChar"/>
    <w:unhideWhenUsed/>
    <w:qFormat/>
    <w:pPr>
      <w:keepNext w:val="0"/>
      <w:tabs>
        <w:tab w:val="left" w:pos="1077"/>
      </w:tabs>
      <w:adjustRightInd w:val="0"/>
      <w:spacing w:beforeLines="0" w:afterLines="0" w:line="240" w:lineRule="auto"/>
      <w:ind w:firstLineChars="0" w:firstLine="0"/>
      <w:jc w:val="left"/>
      <w:textAlignment w:val="baseline"/>
    </w:pPr>
    <w:rPr>
      <w:rFonts w:ascii="宋体" w:hAnsi="宋体"/>
      <w:color w:val="000000"/>
      <w:sz w:val="28"/>
      <w:szCs w:val="32"/>
    </w:rPr>
  </w:style>
  <w:style w:type="paragraph" w:customStyle="1" w:styleId="ww">
    <w:name w:val="ww"/>
    <w:basedOn w:val="a3"/>
    <w:unhideWhenUsed/>
    <w:qFormat/>
    <w:pPr>
      <w:adjustRightInd w:val="0"/>
      <w:snapToGrid w:val="0"/>
      <w:ind w:firstLine="560"/>
    </w:pPr>
    <w:rPr>
      <w:rFonts w:ascii="宋体" w:hint="eastAsia"/>
      <w:sz w:val="28"/>
      <w:szCs w:val="28"/>
    </w:rPr>
  </w:style>
  <w:style w:type="paragraph" w:customStyle="1" w:styleId="afffffffffffffffffffc">
    <w:name w:val="杠"/>
    <w:basedOn w:val="1b"/>
    <w:unhideWhenUsed/>
    <w:qFormat/>
    <w:pPr>
      <w:tabs>
        <w:tab w:val="left" w:pos="425"/>
        <w:tab w:val="left" w:pos="1200"/>
      </w:tabs>
      <w:adjustRightInd w:val="0"/>
      <w:snapToGrid w:val="0"/>
      <w:spacing w:before="120" w:line="300" w:lineRule="auto"/>
      <w:ind w:left="1559" w:firstLineChars="0" w:hanging="720"/>
      <w:textAlignment w:val="baseline"/>
    </w:pPr>
    <w:rPr>
      <w:rFonts w:ascii="Arial" w:hAnsi="Arial"/>
      <w:sz w:val="24"/>
    </w:rPr>
  </w:style>
  <w:style w:type="paragraph" w:customStyle="1" w:styleId="Date1">
    <w:name w:val="Date1"/>
    <w:basedOn w:val="a3"/>
    <w:next w:val="a3"/>
    <w:unhideWhenUsed/>
    <w:qFormat/>
    <w:pPr>
      <w:adjustRightInd w:val="0"/>
      <w:spacing w:line="360" w:lineRule="atLeast"/>
      <w:textAlignment w:val="baseline"/>
    </w:pPr>
    <w:rPr>
      <w:rFonts w:ascii="宋体" w:eastAsia="Wingdings" w:hint="eastAsia"/>
      <w:szCs w:val="20"/>
    </w:rPr>
  </w:style>
  <w:style w:type="paragraph" w:customStyle="1" w:styleId="21b">
    <w:name w:val="正文文本缩进 21"/>
    <w:basedOn w:val="a3"/>
    <w:unhideWhenUsed/>
    <w:qFormat/>
    <w:pPr>
      <w:autoSpaceDE w:val="0"/>
      <w:autoSpaceDN w:val="0"/>
      <w:adjustRightInd w:val="0"/>
      <w:snapToGrid w:val="0"/>
      <w:spacing w:before="60" w:after="60" w:line="240" w:lineRule="atLeast"/>
      <w:ind w:firstLine="567"/>
      <w:textAlignment w:val="baseline"/>
    </w:pPr>
    <w:rPr>
      <w:rFonts w:hint="eastAsia"/>
      <w:sz w:val="28"/>
      <w:szCs w:val="20"/>
    </w:rPr>
  </w:style>
  <w:style w:type="paragraph" w:customStyle="1" w:styleId="BodyText10">
    <w:name w:val="Body Text 1"/>
    <w:basedOn w:val="a3"/>
    <w:unhideWhenUsed/>
    <w:qFormat/>
    <w:pPr>
      <w:widowControl/>
      <w:spacing w:before="120" w:after="120"/>
      <w:ind w:left="720"/>
    </w:pPr>
    <w:rPr>
      <w:rFonts w:ascii="Arial" w:hAnsi="Arial" w:hint="eastAsia"/>
      <w:sz w:val="22"/>
      <w:szCs w:val="20"/>
      <w:lang w:eastAsia="en-US"/>
    </w:rPr>
  </w:style>
  <w:style w:type="paragraph" w:customStyle="1" w:styleId="Formatvorlage1">
    <w:name w:val="Formatvorlage1"/>
    <w:basedOn w:val="a3"/>
    <w:unhideWhenUsed/>
    <w:qFormat/>
    <w:pPr>
      <w:widowControl/>
      <w:jc w:val="left"/>
    </w:pPr>
    <w:rPr>
      <w:rFonts w:ascii="Arial" w:eastAsia="PMingLiU" w:hAnsi="Arial" w:hint="eastAsia"/>
      <w:sz w:val="22"/>
      <w:szCs w:val="20"/>
      <w:lang w:eastAsia="de-DE"/>
    </w:rPr>
  </w:style>
  <w:style w:type="paragraph" w:customStyle="1" w:styleId="BOutline2N">
    <w:name w:val="B Outline 2 N"/>
    <w:basedOn w:val="a3"/>
    <w:unhideWhenUsed/>
    <w:qFormat/>
    <w:pPr>
      <w:tabs>
        <w:tab w:val="left" w:pos="1080"/>
      </w:tabs>
    </w:pPr>
    <w:rPr>
      <w:rFonts w:eastAsia="华康宋体W5(P)" w:hint="eastAsia"/>
      <w:szCs w:val="20"/>
    </w:rPr>
  </w:style>
  <w:style w:type="paragraph" w:customStyle="1" w:styleId="-5">
    <w:name w:val=":-)"/>
    <w:unhideWhenUsed/>
    <w:qFormat/>
    <w:pPr>
      <w:overflowPunct w:val="0"/>
      <w:autoSpaceDE w:val="0"/>
      <w:autoSpaceDN w:val="0"/>
      <w:adjustRightInd w:val="0"/>
      <w:textAlignment w:val="baseline"/>
    </w:pPr>
    <w:rPr>
      <w:rFonts w:hint="eastAsia"/>
    </w:rPr>
  </w:style>
  <w:style w:type="paragraph" w:customStyle="1" w:styleId="FliestextAufz">
    <w:name w:val="Fliestext/Aufz."/>
    <w:basedOn w:val="a3"/>
    <w:unhideWhenUsed/>
    <w:qFormat/>
    <w:pPr>
      <w:widowControl/>
      <w:overflowPunct w:val="0"/>
      <w:autoSpaceDE w:val="0"/>
      <w:autoSpaceDN w:val="0"/>
      <w:adjustRightInd w:val="0"/>
      <w:spacing w:after="120"/>
      <w:textAlignment w:val="baseline"/>
    </w:pPr>
    <w:rPr>
      <w:rFonts w:ascii="Arial" w:eastAsia="MS Mincho" w:hAnsi="Arial" w:hint="eastAsia"/>
      <w:sz w:val="22"/>
      <w:szCs w:val="20"/>
      <w:lang w:val="de-DE"/>
    </w:rPr>
  </w:style>
  <w:style w:type="paragraph" w:customStyle="1" w:styleId="Char2CharCharCharCharCharChar">
    <w:name w:val="Char2 Char Char Char Char Char Char"/>
    <w:basedOn w:val="a3"/>
    <w:unhideWhenUsed/>
    <w:qFormat/>
    <w:rPr>
      <w:rFonts w:hint="eastAsia"/>
      <w:sz w:val="21"/>
      <w:szCs w:val="20"/>
    </w:rPr>
  </w:style>
  <w:style w:type="paragraph" w:customStyle="1" w:styleId="b">
    <w:name w:val="标题b"/>
    <w:basedOn w:val="213"/>
    <w:unhideWhenUsed/>
    <w:qFormat/>
    <w:pPr>
      <w:tabs>
        <w:tab w:val="left" w:pos="1322"/>
        <w:tab w:val="left" w:pos="1560"/>
      </w:tabs>
      <w:spacing w:beforeLines="0" w:afterLines="0"/>
      <w:ind w:firstLineChars="0" w:firstLine="0"/>
    </w:pPr>
    <w:rPr>
      <w:color w:val="000000"/>
      <w:sz w:val="30"/>
      <w:szCs w:val="20"/>
    </w:rPr>
  </w:style>
  <w:style w:type="paragraph" w:customStyle="1" w:styleId="TableTxt">
    <w:name w:val="Table Txt"/>
    <w:basedOn w:val="a3"/>
    <w:unhideWhenUsed/>
    <w:qFormat/>
    <w:pPr>
      <w:spacing w:line="480" w:lineRule="atLeast"/>
    </w:pPr>
    <w:rPr>
      <w:rFonts w:eastAsia="华康宋体W5(P)" w:hint="eastAsia"/>
      <w:szCs w:val="20"/>
    </w:rPr>
  </w:style>
  <w:style w:type="paragraph" w:customStyle="1" w:styleId="CharChar1CharChar">
    <w:name w:val="Char Char1 Char Char"/>
    <w:basedOn w:val="a3"/>
    <w:unhideWhenUsed/>
    <w:qFormat/>
    <w:rPr>
      <w:rFonts w:hint="eastAsia"/>
      <w:sz w:val="21"/>
      <w:szCs w:val="20"/>
    </w:rPr>
  </w:style>
  <w:style w:type="paragraph" w:customStyle="1" w:styleId="MANUAL">
    <w:name w:val="MANUAL"/>
    <w:basedOn w:val="a3"/>
    <w:link w:val="MANUALChar"/>
    <w:unhideWhenUsed/>
    <w:qFormat/>
    <w:pPr>
      <w:overflowPunct w:val="0"/>
      <w:autoSpaceDE w:val="0"/>
      <w:autoSpaceDN w:val="0"/>
      <w:adjustRightInd w:val="0"/>
      <w:textAlignment w:val="baseline"/>
    </w:pPr>
    <w:rPr>
      <w:rFonts w:ascii="MS Mincho" w:eastAsia="MS Mincho" w:hint="eastAsia"/>
      <w:spacing w:val="-20"/>
      <w:sz w:val="22"/>
      <w:szCs w:val="20"/>
      <w:lang w:eastAsia="ja-JP"/>
    </w:rPr>
  </w:style>
  <w:style w:type="paragraph" w:customStyle="1" w:styleId="315">
    <w:name w:val="样式 标题3 + 行距: 1.5 倍行距"/>
    <w:basedOn w:val="3c"/>
    <w:unhideWhenUsed/>
    <w:qFormat/>
    <w:pPr>
      <w:tabs>
        <w:tab w:val="left" w:pos="720"/>
      </w:tabs>
      <w:adjustRightInd w:val="0"/>
      <w:spacing w:beforeLines="25" w:afterLines="25" w:line="300" w:lineRule="auto"/>
      <w:ind w:firstLine="0"/>
      <w:textAlignment w:val="baseline"/>
    </w:pPr>
    <w:rPr>
      <w:rFonts w:ascii="Arial" w:cs="Arial" w:hint="default"/>
      <w:color w:val="FF0000"/>
    </w:rPr>
  </w:style>
  <w:style w:type="paragraph" w:customStyle="1" w:styleId="202">
    <w:name w:val="样式 标题2 + 段前: 0.2 行"/>
    <w:basedOn w:val="213"/>
    <w:unhideWhenUsed/>
    <w:qFormat/>
    <w:pPr>
      <w:tabs>
        <w:tab w:val="left" w:pos="1322"/>
        <w:tab w:val="left" w:pos="1560"/>
      </w:tabs>
      <w:adjustRightInd w:val="0"/>
      <w:snapToGrid w:val="0"/>
      <w:spacing w:beforeLines="0" w:afterLines="0"/>
      <w:ind w:firstLineChars="0" w:firstLine="0"/>
      <w:textAlignment w:val="baseline"/>
    </w:pPr>
    <w:rPr>
      <w:sz w:val="28"/>
      <w:szCs w:val="20"/>
    </w:rPr>
  </w:style>
  <w:style w:type="paragraph" w:customStyle="1" w:styleId="37815">
    <w:name w:val="样式 标题3 + 段前: 7.8 磅 行距: 1.5 倍行距"/>
    <w:basedOn w:val="3c"/>
    <w:unhideWhenUsed/>
    <w:qFormat/>
    <w:pPr>
      <w:tabs>
        <w:tab w:val="left" w:pos="720"/>
      </w:tabs>
      <w:adjustRightInd w:val="0"/>
      <w:spacing w:beforeLines="25" w:afterLines="25" w:line="300" w:lineRule="auto"/>
      <w:ind w:firstLine="0"/>
      <w:textAlignment w:val="baseline"/>
    </w:pPr>
    <w:rPr>
      <w:rFonts w:ascii="Arial" w:cs="Arial" w:hint="default"/>
      <w:color w:val="FF0000"/>
    </w:rPr>
  </w:style>
  <w:style w:type="paragraph" w:customStyle="1" w:styleId="ST20-3">
    <w:name w:val="ST20-3"/>
    <w:basedOn w:val="a3"/>
    <w:unhideWhenUsed/>
    <w:qFormat/>
    <w:pPr>
      <w:tabs>
        <w:tab w:val="left" w:pos="680"/>
        <w:tab w:val="left" w:pos="1140"/>
      </w:tabs>
      <w:adjustRightInd w:val="0"/>
      <w:snapToGrid w:val="0"/>
      <w:spacing w:after="160" w:line="300" w:lineRule="auto"/>
      <w:ind w:left="794" w:hanging="170"/>
    </w:pPr>
    <w:rPr>
      <w:rFonts w:ascii="Arial" w:hAnsi="Arial" w:hint="eastAsia"/>
      <w:szCs w:val="20"/>
    </w:rPr>
  </w:style>
  <w:style w:type="paragraph" w:customStyle="1" w:styleId="1ffff1">
    <w:name w:val="样式 标题 1 + 小三 加粗"/>
    <w:basedOn w:val="110"/>
    <w:unhideWhenUsed/>
    <w:qFormat/>
    <w:pPr>
      <w:pageBreakBefore/>
      <w:tabs>
        <w:tab w:val="left" w:pos="630"/>
      </w:tabs>
      <w:adjustRightInd w:val="0"/>
      <w:spacing w:beforeLines="0" w:afterLines="0"/>
      <w:ind w:firstLineChars="0" w:firstLine="0"/>
      <w:jc w:val="left"/>
      <w:textAlignment w:val="baseline"/>
    </w:pPr>
    <w:rPr>
      <w:rFonts w:ascii="宋体" w:eastAsia="黑体" w:hAnsi="宋体"/>
      <w:sz w:val="32"/>
      <w:szCs w:val="20"/>
    </w:rPr>
  </w:style>
  <w:style w:type="paragraph" w:customStyle="1" w:styleId="afffffffffffffffffffd">
    <w:name w:val="正文（不缩进）"/>
    <w:basedOn w:val="a3"/>
    <w:link w:val="Charffffb"/>
    <w:unhideWhenUsed/>
    <w:qFormat/>
    <w:pPr>
      <w:adjustRightInd w:val="0"/>
      <w:snapToGrid w:val="0"/>
      <w:spacing w:before="60" w:after="60" w:line="400" w:lineRule="exact"/>
    </w:pPr>
    <w:rPr>
      <w:rFonts w:hint="eastAsia"/>
      <w:szCs w:val="20"/>
    </w:rPr>
  </w:style>
  <w:style w:type="paragraph" w:customStyle="1" w:styleId="ST20-2">
    <w:name w:val="ST20-2"/>
    <w:basedOn w:val="a3"/>
    <w:unhideWhenUsed/>
    <w:qFormat/>
    <w:pPr>
      <w:tabs>
        <w:tab w:val="left" w:pos="567"/>
        <w:tab w:val="left" w:pos="1080"/>
      </w:tabs>
      <w:adjustRightInd w:val="0"/>
      <w:snapToGrid w:val="0"/>
      <w:spacing w:after="120" w:line="300" w:lineRule="auto"/>
      <w:ind w:left="1247" w:hanging="1080"/>
    </w:pPr>
    <w:rPr>
      <w:rFonts w:ascii="宋体" w:hAnsi="Arial" w:hint="eastAsia"/>
      <w:szCs w:val="20"/>
    </w:rPr>
  </w:style>
  <w:style w:type="paragraph" w:customStyle="1" w:styleId="afffffffffffffffffffe">
    <w:name w:val="(a)"/>
    <w:unhideWhenUsed/>
    <w:qFormat/>
    <w:pPr>
      <w:widowControl w:val="0"/>
      <w:tabs>
        <w:tab w:val="left" w:pos="600"/>
      </w:tabs>
      <w:snapToGrid w:val="0"/>
      <w:jc w:val="both"/>
    </w:pPr>
    <w:rPr>
      <w:rFonts w:hint="eastAsia"/>
      <w:kern w:val="2"/>
      <w:sz w:val="24"/>
    </w:rPr>
  </w:style>
  <w:style w:type="paragraph" w:customStyle="1" w:styleId="WfxFaxNum">
    <w:name w:val="WfxFaxNum"/>
    <w:basedOn w:val="a3"/>
    <w:unhideWhenUsed/>
    <w:qFormat/>
    <w:pPr>
      <w:jc w:val="left"/>
    </w:pPr>
    <w:rPr>
      <w:rFonts w:hint="eastAsia"/>
      <w:sz w:val="20"/>
      <w:szCs w:val="20"/>
      <w:lang w:eastAsia="en-US"/>
    </w:rPr>
  </w:style>
  <w:style w:type="paragraph" w:customStyle="1" w:styleId="No">
    <w:name w:val="No.無"/>
    <w:basedOn w:val="a3"/>
    <w:unhideWhenUsed/>
    <w:qFormat/>
    <w:pPr>
      <w:widowControl/>
      <w:overflowPunct w:val="0"/>
      <w:autoSpaceDE w:val="0"/>
      <w:autoSpaceDN w:val="0"/>
      <w:adjustRightInd w:val="0"/>
      <w:spacing w:line="240" w:lineRule="exact"/>
      <w:jc w:val="left"/>
      <w:textAlignment w:val="baseline"/>
    </w:pPr>
    <w:rPr>
      <w:rFonts w:eastAsia="MS Gothic" w:hint="eastAsia"/>
      <w:color w:val="000000"/>
      <w:sz w:val="21"/>
      <w:szCs w:val="20"/>
      <w:lang w:eastAsia="ja-JP"/>
    </w:rPr>
  </w:style>
  <w:style w:type="paragraph" w:customStyle="1" w:styleId="affffffffffffffffffff">
    <w:name w:val="小标"/>
    <w:basedOn w:val="a3"/>
    <w:unhideWhenUsed/>
    <w:qFormat/>
    <w:rPr>
      <w:rFonts w:ascii="黑体" w:eastAsia="黑体" w:hint="eastAsia"/>
      <w:spacing w:val="20"/>
      <w:sz w:val="21"/>
      <w:szCs w:val="20"/>
    </w:rPr>
  </w:style>
  <w:style w:type="paragraph" w:customStyle="1" w:styleId="affffffffffffffffffff0">
    <w:name w:val="我的正文格式"/>
    <w:basedOn w:val="a3"/>
    <w:next w:val="a3"/>
    <w:unhideWhenUsed/>
    <w:qFormat/>
    <w:pPr>
      <w:tabs>
        <w:tab w:val="left" w:pos="840"/>
      </w:tabs>
      <w:adjustRightInd w:val="0"/>
      <w:textAlignment w:val="baseline"/>
    </w:pPr>
    <w:rPr>
      <w:rFonts w:hint="eastAsia"/>
      <w:b/>
      <w:color w:val="000000"/>
      <w:szCs w:val="20"/>
    </w:rPr>
  </w:style>
  <w:style w:type="paragraph" w:customStyle="1" w:styleId="affffffffffffffffffff1">
    <w:name w:val="单选户 正文"/>
    <w:basedOn w:val="a3"/>
    <w:unhideWhenUsed/>
    <w:qFormat/>
    <w:pPr>
      <w:adjustRightInd w:val="0"/>
      <w:snapToGrid w:val="0"/>
      <w:ind w:firstLine="420"/>
    </w:pPr>
    <w:rPr>
      <w:rFonts w:ascii="宋体" w:hAnsi="宋体" w:hint="eastAsia"/>
      <w:szCs w:val="20"/>
    </w:rPr>
  </w:style>
  <w:style w:type="paragraph" w:customStyle="1" w:styleId="Char1CharCharCharCharCharCharChar">
    <w:name w:val="Char1 Char Char Char Char Char Char Char"/>
    <w:basedOn w:val="a3"/>
    <w:unhideWhenUsed/>
    <w:qFormat/>
    <w:rPr>
      <w:rFonts w:hint="eastAsia"/>
      <w:sz w:val="21"/>
      <w:szCs w:val="20"/>
    </w:rPr>
  </w:style>
  <w:style w:type="paragraph" w:customStyle="1" w:styleId="Standardbz">
    <w:name w:val="Standard.bz"/>
    <w:unhideWhenUsed/>
    <w:qFormat/>
    <w:rPr>
      <w:rFonts w:ascii="Arial" w:eastAsia="PMingLiU" w:hAnsi="Arial" w:hint="eastAsia"/>
      <w:sz w:val="22"/>
      <w:lang w:val="de-DE" w:eastAsia="de-DE"/>
    </w:rPr>
  </w:style>
  <w:style w:type="paragraph" w:customStyle="1" w:styleId="affffffffffffffffffff2">
    <w:name w:val="表内五号两端对齐"/>
    <w:basedOn w:val="a3"/>
    <w:unhideWhenUsed/>
    <w:qFormat/>
    <w:pPr>
      <w:jc w:val="center"/>
    </w:pPr>
    <w:rPr>
      <w:rFonts w:ascii="宋体" w:hAnsi="宋体" w:hint="eastAsia"/>
      <w:b/>
      <w:color w:val="000000"/>
      <w:szCs w:val="20"/>
    </w:rPr>
  </w:style>
  <w:style w:type="paragraph" w:customStyle="1" w:styleId="TableOutline">
    <w:name w:val="Table Outline"/>
    <w:basedOn w:val="TableTxt"/>
    <w:unhideWhenUsed/>
    <w:qFormat/>
    <w:pPr>
      <w:tabs>
        <w:tab w:val="left" w:pos="720"/>
      </w:tabs>
      <w:spacing w:line="240" w:lineRule="auto"/>
    </w:pPr>
  </w:style>
  <w:style w:type="paragraph" w:customStyle="1" w:styleId="1-b120">
    <w:name w:val="样式 标题 1-*+章节标题b1 + 宋体 非加粗 黑色 行距: 固定值 20 磅"/>
    <w:basedOn w:val="110"/>
    <w:unhideWhenUsed/>
    <w:qFormat/>
    <w:pPr>
      <w:pageBreakBefore/>
      <w:spacing w:beforeLines="0" w:afterLines="0"/>
      <w:ind w:firstLineChars="0" w:firstLine="0"/>
    </w:pPr>
    <w:rPr>
      <w:rFonts w:ascii="宋体" w:hAnsi="宋体"/>
      <w:sz w:val="30"/>
      <w:szCs w:val="20"/>
    </w:rPr>
  </w:style>
  <w:style w:type="paragraph" w:customStyle="1" w:styleId="211b2112h2l22ndlevelTitre22Header2H21">
    <w:name w:val="样式 标题 2节标题 1.1b21.1标题2h2l22nd levelTitre22Header 2H2标...1"/>
    <w:basedOn w:val="213"/>
    <w:unhideWhenUsed/>
    <w:qFormat/>
    <w:pPr>
      <w:widowControl/>
      <w:tabs>
        <w:tab w:val="left" w:pos="1322"/>
        <w:tab w:val="left" w:pos="1560"/>
      </w:tabs>
      <w:spacing w:beforeLines="0" w:afterLines="0" w:line="440" w:lineRule="atLeast"/>
      <w:ind w:firstLineChars="0" w:firstLine="0"/>
      <w:jc w:val="center"/>
    </w:pPr>
    <w:rPr>
      <w:rFonts w:ascii="宋体" w:hAnsi="宋体"/>
      <w:color w:val="000000"/>
      <w:sz w:val="28"/>
      <w:szCs w:val="20"/>
    </w:rPr>
  </w:style>
  <w:style w:type="paragraph" w:customStyle="1" w:styleId="Simone">
    <w:name w:val="Simone"/>
    <w:basedOn w:val="a3"/>
    <w:unhideWhenUsed/>
    <w:qFormat/>
    <w:pPr>
      <w:widowControl/>
      <w:jc w:val="left"/>
    </w:pPr>
    <w:rPr>
      <w:rFonts w:ascii="Arial" w:eastAsia="PMingLiU" w:hAnsi="Arial" w:hint="eastAsia"/>
      <w:b/>
      <w:szCs w:val="20"/>
      <w:u w:val="single"/>
      <w:lang w:eastAsia="de-DE"/>
    </w:rPr>
  </w:style>
  <w:style w:type="paragraph" w:customStyle="1" w:styleId="314">
    <w:name w:val="正文文本 31"/>
    <w:basedOn w:val="a3"/>
    <w:unhideWhenUsed/>
    <w:qFormat/>
    <w:pPr>
      <w:adjustRightInd w:val="0"/>
      <w:jc w:val="center"/>
      <w:textAlignment w:val="baseline"/>
    </w:pPr>
    <w:rPr>
      <w:rFonts w:ascii="宋体" w:hint="eastAsia"/>
      <w:b/>
      <w:color w:val="FF0000"/>
      <w:szCs w:val="20"/>
      <w:u w:val="single"/>
    </w:rPr>
  </w:style>
  <w:style w:type="paragraph" w:customStyle="1" w:styleId="CharCharCharCharCharCharCharCharChar2CharCharCharCharCharCharCharCharCharChar">
    <w:name w:val="Char Char Char Char Char Char Char Char Char2 Char Char Char Char Char Char Char Char Char Char"/>
    <w:basedOn w:val="a3"/>
    <w:unhideWhenUsed/>
    <w:qFormat/>
    <w:rPr>
      <w:rFonts w:hint="eastAsia"/>
      <w:sz w:val="21"/>
      <w:szCs w:val="24"/>
    </w:rPr>
  </w:style>
  <w:style w:type="paragraph" w:customStyle="1" w:styleId="21c">
    <w:name w:val="样式21"/>
    <w:basedOn w:val="213"/>
    <w:unhideWhenUsed/>
    <w:qFormat/>
    <w:pPr>
      <w:tabs>
        <w:tab w:val="left" w:pos="1322"/>
      </w:tabs>
      <w:autoSpaceDE w:val="0"/>
      <w:autoSpaceDN w:val="0"/>
      <w:adjustRightInd w:val="0"/>
      <w:snapToGrid w:val="0"/>
      <w:spacing w:beforeLines="0" w:afterLines="0" w:line="240" w:lineRule="auto"/>
      <w:ind w:firstLineChars="0" w:firstLine="0"/>
      <w:jc w:val="left"/>
    </w:pPr>
    <w:rPr>
      <w:rFonts w:ascii="宋体" w:hAnsi="Arial"/>
      <w:b w:val="0"/>
      <w:color w:val="000000"/>
      <w:szCs w:val="20"/>
    </w:rPr>
  </w:style>
  <w:style w:type="paragraph" w:customStyle="1" w:styleId="117">
    <w:name w:val="样式11"/>
    <w:basedOn w:val="213"/>
    <w:unhideWhenUsed/>
    <w:qFormat/>
    <w:pPr>
      <w:tabs>
        <w:tab w:val="left" w:pos="1322"/>
      </w:tabs>
      <w:autoSpaceDE w:val="0"/>
      <w:autoSpaceDN w:val="0"/>
      <w:adjustRightInd w:val="0"/>
      <w:snapToGrid w:val="0"/>
      <w:spacing w:beforeLines="0" w:afterLines="0" w:line="240" w:lineRule="auto"/>
      <w:ind w:firstLineChars="0" w:firstLine="0"/>
      <w:jc w:val="left"/>
    </w:pPr>
    <w:rPr>
      <w:rFonts w:ascii="黑体" w:eastAsia="黑体" w:hAnsi="Arial"/>
      <w:color w:val="000000"/>
      <w:szCs w:val="20"/>
    </w:rPr>
  </w:style>
  <w:style w:type="paragraph" w:customStyle="1" w:styleId="CharCharCharCharCharCharCharCharCharCharCharCharCharCharCharChar2">
    <w:name w:val="正文（首行缩进两字） Char Char Char Char Char Char Char Char Char Char Char Char Char Char Char Char"/>
    <w:basedOn w:val="a3"/>
    <w:next w:val="af2"/>
    <w:unhideWhenUsed/>
    <w:qFormat/>
    <w:rPr>
      <w:rFonts w:ascii="宋体" w:hAnsi="Courier New" w:hint="eastAsia"/>
      <w:szCs w:val="20"/>
    </w:rPr>
  </w:style>
  <w:style w:type="paragraph" w:customStyle="1" w:styleId="1520">
    <w:name w:val="样式 小四 行距: 1.5 倍行距 首行缩进:  2 字符"/>
    <w:basedOn w:val="a3"/>
    <w:unhideWhenUsed/>
    <w:qFormat/>
    <w:rPr>
      <w:rFonts w:hint="eastAsia"/>
      <w:szCs w:val="24"/>
    </w:rPr>
  </w:style>
  <w:style w:type="paragraph" w:customStyle="1" w:styleId="affffffffffffffffffff3">
    <w:name w:val="正缩"/>
    <w:basedOn w:val="a3"/>
    <w:link w:val="Charffffc"/>
    <w:unhideWhenUsed/>
    <w:qFormat/>
    <w:pPr>
      <w:adjustRightInd w:val="0"/>
      <w:spacing w:line="240" w:lineRule="atLeast"/>
      <w:ind w:firstLine="567"/>
      <w:textAlignment w:val="baseline"/>
    </w:pPr>
    <w:rPr>
      <w:rFonts w:hint="eastAsia"/>
      <w:szCs w:val="20"/>
    </w:rPr>
  </w:style>
  <w:style w:type="paragraph" w:customStyle="1" w:styleId="3CharChar0">
    <w:name w:val="正文3 Char Char"/>
    <w:link w:val="3CharCharChar0"/>
    <w:unhideWhenUsed/>
    <w:qFormat/>
    <w:pPr>
      <w:suppressAutoHyphens/>
      <w:overflowPunct w:val="0"/>
      <w:topLinePunct/>
      <w:spacing w:line="480" w:lineRule="exact"/>
      <w:ind w:firstLineChars="200" w:firstLine="200"/>
      <w:jc w:val="both"/>
    </w:pPr>
    <w:rPr>
      <w:rFonts w:ascii="宋体" w:hAnsi="宋体" w:hint="eastAsia"/>
      <w:kern w:val="2"/>
      <w:sz w:val="24"/>
      <w:szCs w:val="28"/>
      <w:lang w:val="zh-CN"/>
    </w:rPr>
  </w:style>
  <w:style w:type="paragraph" w:customStyle="1" w:styleId="0852">
    <w:name w:val="样式 样式 首行缩进:  0.85 厘米 + 首行缩进:  2 字符"/>
    <w:basedOn w:val="a3"/>
    <w:unhideWhenUsed/>
    <w:qFormat/>
    <w:pPr>
      <w:topLinePunct/>
      <w:spacing w:line="460" w:lineRule="exact"/>
      <w:ind w:firstLine="480"/>
    </w:pPr>
    <w:rPr>
      <w:rFonts w:cs="宋体" w:hint="eastAsia"/>
      <w:szCs w:val="24"/>
    </w:rPr>
  </w:style>
  <w:style w:type="paragraph" w:customStyle="1" w:styleId="302">
    <w:name w:val="样式 正文文字缩进 + 四号 行距: 最小值 30 磅"/>
    <w:basedOn w:val="BodyTextIndent1"/>
    <w:unhideWhenUsed/>
    <w:qFormat/>
    <w:pPr>
      <w:spacing w:after="0" w:line="600" w:lineRule="exact"/>
      <w:ind w:leftChars="0" w:left="0" w:firstLine="573"/>
    </w:pPr>
    <w:rPr>
      <w:rFonts w:ascii="宋体" w:cs="宋体"/>
      <w:sz w:val="28"/>
      <w:szCs w:val="20"/>
    </w:rPr>
  </w:style>
  <w:style w:type="paragraph" w:customStyle="1" w:styleId="3232222">
    <w:name w:val="样式 正文3 + 首行缩进:  2 字符3 + 首行缩进:  2 字符 + 首行缩进:  2 字符2 + 首行缩进:  2......"/>
    <w:basedOn w:val="a3"/>
    <w:unhideWhenUsed/>
    <w:qFormat/>
    <w:pPr>
      <w:widowControl/>
      <w:suppressAutoHyphens/>
      <w:overflowPunct w:val="0"/>
      <w:topLinePunct/>
      <w:spacing w:line="480" w:lineRule="exact"/>
      <w:ind w:firstLine="480"/>
    </w:pPr>
    <w:rPr>
      <w:rFonts w:hAnsi="宋体" w:hint="eastAsia"/>
      <w:szCs w:val="24"/>
      <w:lang w:val="zh-CN"/>
    </w:rPr>
  </w:style>
  <w:style w:type="paragraph" w:customStyle="1" w:styleId="1ffff2">
    <w:name w:val="官厅1"/>
    <w:basedOn w:val="a3"/>
    <w:unhideWhenUsed/>
    <w:qFormat/>
    <w:pPr>
      <w:spacing w:before="120" w:after="120"/>
      <w:outlineLvl w:val="0"/>
    </w:pPr>
    <w:rPr>
      <w:rFonts w:ascii="宋体" w:hAnsi="宋体" w:hint="eastAsia"/>
      <w:szCs w:val="24"/>
    </w:rPr>
  </w:style>
  <w:style w:type="paragraph" w:customStyle="1" w:styleId="affffffffffffffffffff4">
    <w:name w:val="中文报告书样式"/>
    <w:basedOn w:val="a3"/>
    <w:unhideWhenUsed/>
    <w:qFormat/>
    <w:pPr>
      <w:adjustRightInd w:val="0"/>
      <w:spacing w:line="480" w:lineRule="atLeast"/>
      <w:ind w:firstLine="482"/>
      <w:textAlignment w:val="baseline"/>
    </w:pPr>
    <w:rPr>
      <w:rFonts w:hint="eastAsia"/>
      <w:kern w:val="24"/>
      <w:szCs w:val="20"/>
    </w:rPr>
  </w:style>
  <w:style w:type="paragraph" w:customStyle="1" w:styleId="affffffffffffffffffff5">
    <w:name w:val="缩"/>
    <w:basedOn w:val="a3"/>
    <w:next w:val="BodyTextIndent1"/>
    <w:unhideWhenUsed/>
    <w:qFormat/>
    <w:pPr>
      <w:spacing w:after="120"/>
      <w:ind w:leftChars="200" w:left="420"/>
    </w:pPr>
    <w:rPr>
      <w:rFonts w:hint="eastAsia"/>
      <w:sz w:val="21"/>
      <w:szCs w:val="24"/>
    </w:rPr>
  </w:style>
  <w:style w:type="paragraph" w:customStyle="1" w:styleId="1521">
    <w:name w:val="样式 样式 小四 行距: 1.5 倍行距 首行缩进:  2 字符 +"/>
    <w:basedOn w:val="1520"/>
    <w:unhideWhenUsed/>
    <w:qFormat/>
    <w:pPr>
      <w:spacing w:line="320" w:lineRule="exact"/>
      <w:ind w:firstLine="480"/>
    </w:pPr>
    <w:rPr>
      <w:szCs w:val="21"/>
    </w:rPr>
  </w:style>
  <w:style w:type="paragraph" w:customStyle="1" w:styleId="affffffffffffffffffff6">
    <w:name w:val="正文文字一"/>
    <w:basedOn w:val="a3"/>
    <w:unhideWhenUsed/>
    <w:qFormat/>
    <w:pPr>
      <w:spacing w:line="520" w:lineRule="exact"/>
      <w:ind w:firstLine="567"/>
    </w:pPr>
    <w:rPr>
      <w:rFonts w:hint="eastAsia"/>
      <w:sz w:val="28"/>
      <w:szCs w:val="24"/>
    </w:rPr>
  </w:style>
  <w:style w:type="paragraph" w:customStyle="1" w:styleId="17878125">
    <w:name w:val="样式 标题 1 + (中文) 黑体 四号 段前: 7.8 磅 段后: 7.8 磅 行距: 多倍行距 1.25 字行"/>
    <w:basedOn w:val="110"/>
    <w:unhideWhenUsed/>
    <w:qFormat/>
    <w:pPr>
      <w:keepNext w:val="0"/>
      <w:spacing w:beforeLines="0" w:afterLines="0" w:line="520" w:lineRule="exact"/>
      <w:ind w:firstLineChars="0" w:firstLine="0"/>
    </w:pPr>
    <w:rPr>
      <w:rFonts w:eastAsia="黑体"/>
      <w:color w:val="000000"/>
      <w:sz w:val="28"/>
      <w:szCs w:val="28"/>
    </w:rPr>
  </w:style>
  <w:style w:type="paragraph" w:customStyle="1" w:styleId="2CharChar6">
    <w:name w:val="样式 正文首行缩进 + 首行缩进:  2 字符 Char Char"/>
    <w:basedOn w:val="1fb"/>
    <w:unhideWhenUsed/>
    <w:qFormat/>
    <w:pPr>
      <w:adjustRightInd w:val="0"/>
      <w:snapToGrid w:val="0"/>
    </w:pPr>
    <w:rPr>
      <w:rFonts w:ascii="宋体" w:hAnsi="宋体"/>
    </w:rPr>
  </w:style>
  <w:style w:type="paragraph" w:customStyle="1" w:styleId="3Char3">
    <w:name w:val="正文3 Char"/>
    <w:unhideWhenUsed/>
    <w:qFormat/>
    <w:pPr>
      <w:suppressAutoHyphens/>
      <w:overflowPunct w:val="0"/>
      <w:topLinePunct/>
      <w:spacing w:line="480" w:lineRule="exact"/>
      <w:ind w:firstLineChars="200" w:firstLine="200"/>
      <w:jc w:val="both"/>
    </w:pPr>
    <w:rPr>
      <w:rFonts w:ascii="宋体" w:hAnsi="宋体" w:hint="eastAsia"/>
      <w:kern w:val="2"/>
      <w:sz w:val="24"/>
      <w:szCs w:val="28"/>
      <w:lang w:val="zh-CN"/>
    </w:rPr>
  </w:style>
  <w:style w:type="paragraph" w:customStyle="1" w:styleId="10023">
    <w:name w:val="样式 标题 1 + 四号 段前: 0 磅 段后: 0 磅 行距: 固定值 23 磅"/>
    <w:basedOn w:val="110"/>
    <w:unhideWhenUsed/>
    <w:qFormat/>
    <w:pPr>
      <w:spacing w:beforeLines="0" w:afterLines="0" w:line="460" w:lineRule="exact"/>
      <w:ind w:firstLineChars="0" w:firstLine="0"/>
    </w:pPr>
    <w:rPr>
      <w:rFonts w:cs="宋体"/>
      <w:sz w:val="28"/>
      <w:szCs w:val="20"/>
    </w:rPr>
  </w:style>
  <w:style w:type="paragraph" w:customStyle="1" w:styleId="affffffffffffffffffff7">
    <w:name w:val="样式 表 + 居中"/>
    <w:basedOn w:val="affffffa"/>
    <w:unhideWhenUsed/>
    <w:qFormat/>
    <w:pPr>
      <w:tabs>
        <w:tab w:val="left" w:pos="1358"/>
        <w:tab w:val="left" w:pos="1808"/>
        <w:tab w:val="left" w:pos="2258"/>
        <w:tab w:val="left" w:pos="2708"/>
        <w:tab w:val="left" w:pos="3158"/>
        <w:tab w:val="left" w:pos="3608"/>
        <w:tab w:val="left" w:pos="4058"/>
        <w:tab w:val="left" w:pos="4508"/>
        <w:tab w:val="left" w:pos="4958"/>
        <w:tab w:val="left" w:pos="5408"/>
        <w:tab w:val="left" w:pos="6018"/>
        <w:tab w:val="left" w:pos="7438"/>
        <w:tab w:val="left" w:pos="9487"/>
      </w:tabs>
      <w:adjustRightInd w:val="0"/>
    </w:pPr>
    <w:rPr>
      <w:rFonts w:ascii="宋体" w:hAnsi="宋体" w:cs="宋体"/>
      <w:color w:val="000000"/>
      <w:szCs w:val="21"/>
    </w:rPr>
  </w:style>
  <w:style w:type="paragraph" w:customStyle="1" w:styleId="affffffffffffffffffff8">
    <w:name w:val="大标题"/>
    <w:basedOn w:val="213"/>
    <w:unhideWhenUsed/>
    <w:qFormat/>
    <w:pPr>
      <w:keepNext w:val="0"/>
      <w:tabs>
        <w:tab w:val="left" w:pos="1322"/>
      </w:tabs>
      <w:adjustRightInd w:val="0"/>
      <w:snapToGrid w:val="0"/>
      <w:spacing w:beforeLines="0" w:afterLines="0" w:line="820" w:lineRule="exact"/>
      <w:ind w:firstLineChars="0" w:firstLine="0"/>
      <w:jc w:val="center"/>
    </w:pPr>
    <w:rPr>
      <w:rFonts w:ascii="Arial" w:eastAsia="黑体" w:hAnsi="Arial"/>
      <w:b w:val="0"/>
      <w:sz w:val="48"/>
      <w:szCs w:val="20"/>
    </w:rPr>
  </w:style>
  <w:style w:type="paragraph" w:customStyle="1" w:styleId="2173">
    <w:name w:val="样式 标题 2 + 首行缩进:  1.73 厘米"/>
    <w:basedOn w:val="213"/>
    <w:unhideWhenUsed/>
    <w:qFormat/>
    <w:pPr>
      <w:keepNext w:val="0"/>
      <w:tabs>
        <w:tab w:val="left" w:pos="1322"/>
      </w:tabs>
      <w:adjustRightInd w:val="0"/>
      <w:snapToGrid w:val="0"/>
      <w:spacing w:beforeLines="0" w:afterLines="0" w:line="500" w:lineRule="exact"/>
      <w:ind w:firstLineChars="0" w:firstLine="0"/>
      <w:jc w:val="left"/>
    </w:pPr>
    <w:rPr>
      <w:rFonts w:ascii="Arial" w:eastAsia="黑体" w:hAnsi="Arial"/>
      <w:b w:val="0"/>
      <w:sz w:val="28"/>
      <w:szCs w:val="20"/>
    </w:rPr>
  </w:style>
  <w:style w:type="paragraph" w:customStyle="1" w:styleId="148">
    <w:name w:val="样式 首行缩进:  1.48 厘米"/>
    <w:basedOn w:val="a3"/>
    <w:unhideWhenUsed/>
    <w:qFormat/>
    <w:pPr>
      <w:adjustRightInd w:val="0"/>
      <w:snapToGrid w:val="0"/>
      <w:spacing w:line="500" w:lineRule="exact"/>
      <w:ind w:firstLine="567"/>
      <w:jc w:val="left"/>
    </w:pPr>
    <w:rPr>
      <w:rFonts w:ascii="宋体" w:hAnsi="宋体" w:hint="eastAsia"/>
      <w:sz w:val="28"/>
      <w:szCs w:val="20"/>
    </w:rPr>
  </w:style>
  <w:style w:type="paragraph" w:customStyle="1" w:styleId="2099">
    <w:name w:val="样式 标题2 + 首行缩进:  0.99 厘米"/>
    <w:basedOn w:val="213"/>
    <w:unhideWhenUsed/>
    <w:qFormat/>
    <w:pPr>
      <w:keepNext w:val="0"/>
      <w:tabs>
        <w:tab w:val="left" w:pos="1322"/>
      </w:tabs>
      <w:adjustRightInd w:val="0"/>
      <w:snapToGrid w:val="0"/>
      <w:spacing w:beforeLines="0" w:afterLines="0" w:line="500" w:lineRule="exact"/>
      <w:ind w:firstLineChars="0" w:firstLine="0"/>
      <w:jc w:val="left"/>
    </w:pPr>
    <w:rPr>
      <w:rFonts w:ascii="Arial" w:eastAsia="黑体" w:hAnsi="Arial"/>
      <w:b w:val="0"/>
      <w:sz w:val="28"/>
      <w:szCs w:val="20"/>
    </w:rPr>
  </w:style>
  <w:style w:type="paragraph" w:customStyle="1" w:styleId="05312">
    <w:name w:val="样式 六号 居中 首行缩进:  0.53 厘米 行距: 固定值 12 磅"/>
    <w:basedOn w:val="a3"/>
    <w:unhideWhenUsed/>
    <w:qFormat/>
    <w:pPr>
      <w:adjustRightInd w:val="0"/>
      <w:snapToGrid w:val="0"/>
      <w:spacing w:line="240" w:lineRule="exact"/>
      <w:jc w:val="center"/>
    </w:pPr>
    <w:rPr>
      <w:rFonts w:ascii="宋体" w:hAnsi="宋体" w:hint="eastAsia"/>
      <w:sz w:val="15"/>
      <w:szCs w:val="20"/>
    </w:rPr>
  </w:style>
  <w:style w:type="paragraph" w:customStyle="1" w:styleId="15085">
    <w:name w:val="样式 样式 小四 行距: 固定值 15 磅 + 首行缩进:  0.85 厘米"/>
    <w:basedOn w:val="a3"/>
    <w:unhideWhenUsed/>
    <w:qFormat/>
    <w:pPr>
      <w:adjustRightInd w:val="0"/>
      <w:snapToGrid w:val="0"/>
      <w:spacing w:line="400" w:lineRule="exact"/>
      <w:jc w:val="center"/>
    </w:pPr>
    <w:rPr>
      <w:rFonts w:ascii="宋体" w:hAnsi="宋体" w:hint="eastAsia"/>
      <w:szCs w:val="20"/>
    </w:rPr>
  </w:style>
  <w:style w:type="paragraph" w:customStyle="1" w:styleId="2099099">
    <w:name w:val="样式 样式 标题2 + 首行缩进:  0.99 厘米 + 首行缩进:  0.99 厘米"/>
    <w:basedOn w:val="2099"/>
    <w:unhideWhenUsed/>
    <w:qFormat/>
  </w:style>
  <w:style w:type="paragraph" w:customStyle="1" w:styleId="1250">
    <w:name w:val="样式 标题 1 + 左 行距: 固定值 25 磅"/>
    <w:basedOn w:val="110"/>
    <w:unhideWhenUsed/>
    <w:qFormat/>
    <w:pPr>
      <w:spacing w:beforeLines="0" w:afterLines="0" w:line="500" w:lineRule="exact"/>
      <w:ind w:firstLineChars="0" w:firstLine="0"/>
      <w:jc w:val="left"/>
    </w:pPr>
    <w:rPr>
      <w:rFonts w:ascii="Arial" w:eastAsia="黑体" w:hAnsi="Arial"/>
      <w:sz w:val="28"/>
      <w:szCs w:val="20"/>
    </w:rPr>
  </w:style>
  <w:style w:type="paragraph" w:customStyle="1" w:styleId="affffffffffffffffffff9">
    <w:name w:val="样式 正文文字 + 宋体 五号"/>
    <w:basedOn w:val="12"/>
    <w:unhideWhenUsed/>
    <w:qFormat/>
    <w:pPr>
      <w:widowControl w:val="0"/>
      <w:spacing w:after="0"/>
      <w:jc w:val="both"/>
    </w:pPr>
    <w:rPr>
      <w:rFonts w:ascii="宋体" w:hAnsi="宋体"/>
      <w:sz w:val="21"/>
    </w:rPr>
  </w:style>
  <w:style w:type="paragraph" w:customStyle="1" w:styleId="232">
    <w:name w:val="样式 宋体 小四 行距: 固定值 23 磅 首行缩进:  2 字符"/>
    <w:basedOn w:val="a3"/>
    <w:unhideWhenUsed/>
    <w:qFormat/>
    <w:pPr>
      <w:spacing w:line="460" w:lineRule="exact"/>
      <w:ind w:firstLine="480"/>
    </w:pPr>
    <w:rPr>
      <w:rFonts w:ascii="宋体" w:hAnsi="宋体" w:cs="宋体" w:hint="eastAsia"/>
      <w:szCs w:val="20"/>
    </w:rPr>
  </w:style>
  <w:style w:type="paragraph" w:customStyle="1" w:styleId="229">
    <w:name w:val="样式 目录 2 + 首行缩进:  2 字符"/>
    <w:basedOn w:val="24"/>
    <w:unhideWhenUsed/>
    <w:qFormat/>
    <w:pPr>
      <w:tabs>
        <w:tab w:val="clear" w:pos="8296"/>
        <w:tab w:val="right" w:leader="dot" w:pos="8280"/>
      </w:tabs>
      <w:spacing w:line="360" w:lineRule="auto"/>
      <w:ind w:firstLine="480"/>
    </w:pPr>
    <w:rPr>
      <w:rFonts w:ascii="黑体" w:eastAsia="黑体" w:cs="宋体" w:hint="eastAsia"/>
      <w:szCs w:val="20"/>
    </w:rPr>
  </w:style>
  <w:style w:type="paragraph" w:customStyle="1" w:styleId="231">
    <w:name w:val="样式 宋体 小四 行距: 固定值 23 磅"/>
    <w:basedOn w:val="a3"/>
    <w:unhideWhenUsed/>
    <w:qFormat/>
    <w:pPr>
      <w:spacing w:line="460" w:lineRule="exact"/>
      <w:ind w:firstLine="480"/>
    </w:pPr>
    <w:rPr>
      <w:rFonts w:ascii="宋体" w:hAnsi="宋体" w:cs="宋体" w:hint="eastAsia"/>
      <w:szCs w:val="20"/>
    </w:rPr>
  </w:style>
  <w:style w:type="paragraph" w:customStyle="1" w:styleId="affffffffffffffffffffa">
    <w:name w:val="表名，单位"/>
    <w:basedOn w:val="afff3"/>
    <w:link w:val="Charffffd"/>
    <w:unhideWhenUsed/>
    <w:qFormat/>
    <w:pPr>
      <w:spacing w:line="300" w:lineRule="exact"/>
      <w:ind w:firstLineChars="100" w:firstLine="206"/>
    </w:pPr>
    <w:rPr>
      <w:rFonts w:ascii="宋体" w:hAnsi="宋体" w:hint="eastAsia"/>
      <w:b w:val="0"/>
      <w:spacing w:val="-4"/>
      <w:sz w:val="21"/>
      <w:szCs w:val="24"/>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3"/>
    <w:unhideWhenUsed/>
    <w:qFormat/>
    <w:pPr>
      <w:widowControl/>
      <w:spacing w:after="160" w:line="240" w:lineRule="exact"/>
      <w:jc w:val="center"/>
    </w:pPr>
    <w:rPr>
      <w:rFonts w:ascii="黑体" w:eastAsia="黑体" w:hAnsi="Verdana" w:hint="eastAsia"/>
      <w:sz w:val="32"/>
      <w:szCs w:val="32"/>
      <w:lang w:eastAsia="en-US"/>
    </w:rPr>
  </w:style>
  <w:style w:type="paragraph" w:customStyle="1" w:styleId="CharChar8">
    <w:name w:val="批注框文本 Char Char"/>
    <w:basedOn w:val="a3"/>
    <w:unhideWhenUsed/>
    <w:qFormat/>
    <w:rPr>
      <w:rFonts w:hint="eastAsia"/>
      <w:sz w:val="18"/>
      <w:szCs w:val="20"/>
    </w:rPr>
  </w:style>
  <w:style w:type="paragraph" w:customStyle="1" w:styleId="affffffffffffffffffffb">
    <w:name w:val="纯文本 + (符号) 宋体"/>
    <w:basedOn w:val="PlainText1"/>
    <w:unhideWhenUsed/>
    <w:qFormat/>
    <w:pPr>
      <w:ind w:firstLineChars="187" w:firstLine="524"/>
    </w:pPr>
    <w:rPr>
      <w:rFonts w:hAnsi="宋体" w:cs="Times New Roman"/>
      <w:szCs w:val="28"/>
    </w:rPr>
  </w:style>
  <w:style w:type="paragraph" w:customStyle="1" w:styleId="2CharCharCharCharCharCharCharCharCharCharCharChar1CharCharCharChar">
    <w:name w:val="2 Char Char Char Char Char Char Char Char Char Char Char Char1 Char Char Char Char"/>
    <w:basedOn w:val="a3"/>
    <w:unhideWhenUsed/>
    <w:qFormat/>
    <w:rPr>
      <w:rFonts w:ascii="宋体" w:hAnsi="宋体" w:cs="宋体" w:hint="eastAsia"/>
      <w:szCs w:val="24"/>
    </w:rPr>
  </w:style>
  <w:style w:type="paragraph" w:customStyle="1" w:styleId="3fc">
    <w:name w:val="标题3+"/>
    <w:basedOn w:val="a3"/>
    <w:next w:val="310"/>
    <w:unhideWhenUsed/>
    <w:qFormat/>
    <w:pPr>
      <w:adjustRightInd w:val="0"/>
      <w:snapToGrid w:val="0"/>
    </w:pPr>
    <w:rPr>
      <w:rFonts w:hint="eastAsia"/>
      <w:sz w:val="28"/>
      <w:szCs w:val="28"/>
    </w:rPr>
  </w:style>
  <w:style w:type="paragraph" w:customStyle="1" w:styleId="31113h33rdlevelH3l3CTTimesNewRoman05">
    <w:name w:val="样式 样式 标题 3条标题1.1.13h33rd levelH3l3CT + Times New Roman + 段前: 0.5..."/>
    <w:basedOn w:val="a3"/>
    <w:unhideWhenUsed/>
    <w:qFormat/>
    <w:pPr>
      <w:keepNext/>
      <w:keepLines/>
      <w:tabs>
        <w:tab w:val="left" w:pos="806"/>
      </w:tabs>
      <w:adjustRightInd w:val="0"/>
      <w:spacing w:beforeLines="100" w:afterLines="100"/>
      <w:ind w:left="806"/>
      <w:textAlignment w:val="baseline"/>
      <w:outlineLvl w:val="2"/>
    </w:pPr>
    <w:rPr>
      <w:rFonts w:cs="宋体" w:hint="eastAsia"/>
      <w:b/>
      <w:sz w:val="28"/>
      <w:szCs w:val="20"/>
    </w:rPr>
  </w:style>
  <w:style w:type="paragraph" w:customStyle="1" w:styleId="0021">
    <w:name w:val="样式 小四 加粗 段前: 0 磅 段后: 0 磅 行距: 固定值 21 磅"/>
    <w:basedOn w:val="a3"/>
    <w:unhideWhenUsed/>
    <w:qFormat/>
    <w:pPr>
      <w:widowControl/>
      <w:adjustRightInd w:val="0"/>
      <w:spacing w:afterLines="50"/>
      <w:ind w:firstLine="560"/>
      <w:textAlignment w:val="baseline"/>
    </w:pPr>
    <w:rPr>
      <w:rFonts w:ascii="宋体" w:hAnsi="宋体" w:cs="宋体" w:hint="eastAsia"/>
      <w:sz w:val="28"/>
      <w:szCs w:val="20"/>
    </w:rPr>
  </w:style>
  <w:style w:type="paragraph" w:customStyle="1" w:styleId="affffffffffffffffffffc">
    <w:name w:val="图形"/>
    <w:basedOn w:val="a3"/>
    <w:unhideWhenUsed/>
    <w:qFormat/>
    <w:pPr>
      <w:adjustRightInd w:val="0"/>
      <w:spacing w:line="240" w:lineRule="atLeast"/>
      <w:jc w:val="center"/>
      <w:textAlignment w:val="baseline"/>
    </w:pPr>
    <w:rPr>
      <w:rFonts w:hint="eastAsia"/>
      <w:sz w:val="28"/>
      <w:szCs w:val="20"/>
    </w:rPr>
  </w:style>
  <w:style w:type="paragraph" w:customStyle="1" w:styleId="211h2l22ndlevelTitre22Header2H2TimesNew">
    <w:name w:val="样式 标题 2节标题 1.1h2l22nd levelTitre22Header 2H2 + Times New..."/>
    <w:basedOn w:val="213"/>
    <w:unhideWhenUsed/>
    <w:qFormat/>
    <w:pPr>
      <w:tabs>
        <w:tab w:val="left" w:pos="240"/>
        <w:tab w:val="left" w:pos="600"/>
        <w:tab w:val="left" w:pos="1322"/>
        <w:tab w:val="left" w:pos="3960"/>
        <w:tab w:val="left" w:pos="5400"/>
        <w:tab w:val="left" w:pos="6840"/>
      </w:tabs>
      <w:adjustRightInd w:val="0"/>
      <w:spacing w:line="240" w:lineRule="auto"/>
      <w:ind w:firstLineChars="0" w:firstLine="0"/>
      <w:textAlignment w:val="baseline"/>
    </w:pPr>
    <w:rPr>
      <w:sz w:val="28"/>
      <w:szCs w:val="28"/>
    </w:rPr>
  </w:style>
  <w:style w:type="paragraph" w:customStyle="1" w:styleId="2fff1">
    <w:name w:val="正文文本缩进2"/>
    <w:basedOn w:val="a3"/>
    <w:unhideWhenUsed/>
    <w:qFormat/>
    <w:pPr>
      <w:ind w:left="720" w:firstLine="480"/>
      <w:outlineLvl w:val="0"/>
    </w:pPr>
    <w:rPr>
      <w:rFonts w:ascii="仿宋_GB2312" w:eastAsia="仿宋_GB2312" w:cs="仿宋_GB2312" w:hint="eastAsia"/>
      <w:sz w:val="28"/>
      <w:szCs w:val="28"/>
    </w:rPr>
  </w:style>
  <w:style w:type="paragraph" w:customStyle="1" w:styleId="xl97">
    <w:name w:val="xl97"/>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98">
    <w:name w:val="xl98"/>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99">
    <w:name w:val="xl99"/>
    <w:basedOn w:val="a3"/>
    <w:unhideWhenUsed/>
    <w:qFormat/>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hint="eastAsia"/>
      <w:szCs w:val="24"/>
    </w:rPr>
  </w:style>
  <w:style w:type="paragraph" w:customStyle="1" w:styleId="affffffffffffffffffffd">
    <w:name w:val="左侧"/>
    <w:unhideWhenUsed/>
    <w:qFormat/>
    <w:pPr>
      <w:spacing w:line="280" w:lineRule="exact"/>
    </w:pPr>
    <w:rPr>
      <w:rFonts w:ascii="宋体" w:hAnsi="宋体" w:hint="eastAsia"/>
      <w:color w:val="000000"/>
      <w:sz w:val="18"/>
      <w:szCs w:val="18"/>
    </w:rPr>
  </w:style>
  <w:style w:type="paragraph" w:customStyle="1" w:styleId="2fff2">
    <w:name w:val="正文文字首航缩2字"/>
    <w:basedOn w:val="a3"/>
    <w:unhideWhenUsed/>
    <w:qFormat/>
    <w:rPr>
      <w:rFonts w:hint="eastAsia"/>
      <w:szCs w:val="24"/>
    </w:rPr>
  </w:style>
  <w:style w:type="paragraph" w:customStyle="1" w:styleId="1ffff3">
    <w:name w:val="注释标题1"/>
    <w:basedOn w:val="1b"/>
    <w:next w:val="1b"/>
    <w:unhideWhenUsed/>
    <w:qFormat/>
    <w:pPr>
      <w:tabs>
        <w:tab w:val="left" w:pos="720"/>
      </w:tabs>
      <w:snapToGrid w:val="0"/>
      <w:spacing w:before="120"/>
      <w:ind w:left="720" w:firstLineChars="0" w:hanging="720"/>
    </w:pPr>
    <w:rPr>
      <w:sz w:val="24"/>
    </w:rPr>
  </w:style>
  <w:style w:type="paragraph" w:customStyle="1" w:styleId="affffffffffffffffffffe">
    <w:name w:val="右侧"/>
    <w:unhideWhenUsed/>
    <w:qFormat/>
    <w:pPr>
      <w:spacing w:line="280" w:lineRule="exact"/>
      <w:jc w:val="right"/>
    </w:pPr>
    <w:rPr>
      <w:rFonts w:ascii="宋体" w:hAnsi="宋体" w:hint="eastAsia"/>
      <w:color w:val="000000"/>
      <w:sz w:val="18"/>
      <w:szCs w:val="18"/>
    </w:rPr>
  </w:style>
  <w:style w:type="paragraph" w:customStyle="1" w:styleId="afffffffffffffffffffff">
    <w:name w:val="行左"/>
    <w:basedOn w:val="a3"/>
    <w:unhideWhenUsed/>
    <w:qFormat/>
    <w:pPr>
      <w:ind w:firstLine="480"/>
      <w:jc w:val="left"/>
    </w:pPr>
    <w:rPr>
      <w:rFonts w:ascii="仿宋_GB2312" w:eastAsia="仿宋_GB2312" w:hAnsi="宋体" w:hint="eastAsia"/>
      <w:color w:val="000000"/>
      <w:position w:val="-32"/>
      <w:szCs w:val="24"/>
    </w:rPr>
  </w:style>
  <w:style w:type="paragraph" w:customStyle="1" w:styleId="5f">
    <w:name w:val="右5"/>
    <w:basedOn w:val="a3"/>
    <w:unhideWhenUsed/>
    <w:qFormat/>
    <w:pPr>
      <w:adjustRightInd w:val="0"/>
      <w:snapToGrid w:val="0"/>
      <w:ind w:left="42"/>
      <w:jc w:val="right"/>
    </w:pPr>
    <w:rPr>
      <w:rFonts w:ascii="宋体" w:hAnsi="宋体" w:hint="eastAsia"/>
      <w:color w:val="000080"/>
      <w:kern w:val="28"/>
      <w:sz w:val="18"/>
      <w:szCs w:val="18"/>
    </w:rPr>
  </w:style>
  <w:style w:type="paragraph" w:customStyle="1" w:styleId="afffffffffffffffffffff0">
    <w:name w:val="左五"/>
    <w:basedOn w:val="a3"/>
    <w:unhideWhenUsed/>
    <w:qFormat/>
    <w:pPr>
      <w:adjustRightInd w:val="0"/>
      <w:snapToGrid w:val="0"/>
      <w:spacing w:line="280" w:lineRule="atLeast"/>
      <w:ind w:left="42" w:firstLine="441"/>
      <w:jc w:val="left"/>
    </w:pPr>
    <w:rPr>
      <w:rFonts w:ascii="宋体" w:hAnsi="Symusic" w:hint="eastAsia"/>
      <w:color w:val="000000"/>
      <w:sz w:val="18"/>
      <w:szCs w:val="24"/>
    </w:rPr>
  </w:style>
  <w:style w:type="paragraph" w:customStyle="1" w:styleId="afffffffffffffffffffff1">
    <w:name w:val="右五"/>
    <w:basedOn w:val="a3"/>
    <w:next w:val="a3"/>
    <w:unhideWhenUsed/>
    <w:qFormat/>
    <w:pPr>
      <w:spacing w:line="280" w:lineRule="exact"/>
      <w:ind w:left="42" w:rightChars="58" w:right="139"/>
      <w:jc w:val="right"/>
    </w:pPr>
    <w:rPr>
      <w:rFonts w:ascii="宋体" w:hAnsi="Symusic" w:hint="eastAsia"/>
      <w:color w:val="000000"/>
      <w:sz w:val="18"/>
      <w:szCs w:val="20"/>
      <w:lang w:bidi="he-IL"/>
    </w:rPr>
  </w:style>
  <w:style w:type="paragraph" w:customStyle="1" w:styleId="afffffffffffffffffffff2">
    <w:name w:val="表后空行"/>
    <w:basedOn w:val="a3"/>
    <w:unhideWhenUsed/>
    <w:qFormat/>
    <w:pPr>
      <w:overflowPunct w:val="0"/>
      <w:adjustRightInd w:val="0"/>
      <w:textAlignment w:val="baseline"/>
    </w:pPr>
    <w:rPr>
      <w:rFonts w:hint="eastAsia"/>
      <w:kern w:val="28"/>
      <w:sz w:val="10"/>
      <w:szCs w:val="20"/>
    </w:rPr>
  </w:style>
  <w:style w:type="paragraph" w:customStyle="1" w:styleId="3fd">
    <w:name w:val="标题样式3"/>
    <w:basedOn w:val="310"/>
    <w:unhideWhenUsed/>
    <w:qFormat/>
    <w:pPr>
      <w:keepNext w:val="0"/>
      <w:spacing w:beforeLines="0" w:afterLines="0" w:line="400" w:lineRule="atLeast"/>
      <w:ind w:firstLineChars="0" w:firstLine="510"/>
    </w:pPr>
    <w:rPr>
      <w:rFonts w:eastAsia="黑体"/>
      <w:b w:val="0"/>
      <w:sz w:val="24"/>
      <w:szCs w:val="20"/>
    </w:rPr>
  </w:style>
  <w:style w:type="paragraph" w:customStyle="1" w:styleId="afffffffffffffffffffff3">
    <w:name w:val="数字编号列项（二级）"/>
    <w:unhideWhenUsed/>
    <w:qFormat/>
    <w:pPr>
      <w:ind w:leftChars="400" w:left="1260" w:hangingChars="200" w:hanging="420"/>
      <w:jc w:val="both"/>
    </w:pPr>
    <w:rPr>
      <w:rFonts w:ascii="宋体" w:hint="eastAsia"/>
      <w:sz w:val="21"/>
    </w:rPr>
  </w:style>
  <w:style w:type="paragraph" w:customStyle="1" w:styleId="afffffffffffffffffffff4">
    <w:name w:val="注："/>
    <w:next w:val="42"/>
    <w:unhideWhenUsed/>
    <w:qFormat/>
    <w:pPr>
      <w:widowControl w:val="0"/>
      <w:tabs>
        <w:tab w:val="left" w:pos="995"/>
      </w:tabs>
      <w:autoSpaceDE w:val="0"/>
      <w:autoSpaceDN w:val="0"/>
      <w:ind w:left="995" w:hanging="435"/>
      <w:jc w:val="both"/>
    </w:pPr>
    <w:rPr>
      <w:rFonts w:ascii="宋体" w:hint="eastAsia"/>
      <w:sz w:val="18"/>
    </w:rPr>
  </w:style>
  <w:style w:type="paragraph" w:customStyle="1" w:styleId="afffffffffffffffffffff5">
    <w:name w:val="正文（首行缩进）"/>
    <w:basedOn w:val="a3"/>
    <w:unhideWhenUsed/>
    <w:qFormat/>
    <w:pPr>
      <w:widowControl/>
      <w:ind w:firstLine="480"/>
      <w:jc w:val="left"/>
    </w:pPr>
    <w:rPr>
      <w:rFonts w:ascii="宋体" w:hAnsi="宋体" w:hint="eastAsia"/>
      <w:color w:val="000000"/>
      <w:szCs w:val="20"/>
    </w:rPr>
  </w:style>
  <w:style w:type="paragraph" w:customStyle="1" w:styleId="200">
    <w:name w:val="标题 2 + 首行缩进： 0磅"/>
    <w:basedOn w:val="2200"/>
    <w:unhideWhenUsed/>
    <w:qFormat/>
  </w:style>
  <w:style w:type="paragraph" w:customStyle="1" w:styleId="2200">
    <w:name w:val="标题 2 + 行距: 标题2+首行缩进 0倍"/>
    <w:basedOn w:val="213"/>
    <w:unhideWhenUsed/>
    <w:qFormat/>
    <w:pPr>
      <w:tabs>
        <w:tab w:val="left" w:pos="1322"/>
        <w:tab w:val="left" w:pos="8140"/>
      </w:tabs>
      <w:spacing w:beforeLines="0" w:afterLines="0"/>
      <w:ind w:firstLineChars="0" w:firstLine="0"/>
    </w:pPr>
    <w:rPr>
      <w:rFonts w:ascii="黑体" w:eastAsia="黑体"/>
      <w:b w:val="0"/>
      <w:sz w:val="30"/>
      <w:szCs w:val="20"/>
    </w:rPr>
  </w:style>
  <w:style w:type="paragraph" w:customStyle="1" w:styleId="200101">
    <w:name w:val="样式 样式 标题 2 + 首行缩进： 0磅 + + 段前: 0.1 行 段后: 0.1 行"/>
    <w:basedOn w:val="a3"/>
    <w:unhideWhenUsed/>
    <w:qFormat/>
    <w:pPr>
      <w:keepNext/>
      <w:keepLines/>
      <w:tabs>
        <w:tab w:val="left" w:pos="8140"/>
      </w:tabs>
      <w:spacing w:beforeLines="10" w:afterLines="10" w:line="560" w:lineRule="exact"/>
      <w:jc w:val="left"/>
      <w:outlineLvl w:val="1"/>
    </w:pPr>
    <w:rPr>
      <w:rFonts w:eastAsia="黑体" w:cs="宋体" w:hint="eastAsia"/>
      <w:sz w:val="30"/>
      <w:szCs w:val="20"/>
    </w:rPr>
  </w:style>
  <w:style w:type="paragraph" w:customStyle="1" w:styleId="11111">
    <w:name w:val="11111"/>
    <w:basedOn w:val="312"/>
    <w:unhideWhenUsed/>
    <w:qFormat/>
    <w:pPr>
      <w:widowControl w:val="0"/>
      <w:spacing w:line="500" w:lineRule="exact"/>
      <w:ind w:firstLineChars="200" w:firstLine="200"/>
      <w:jc w:val="both"/>
    </w:pPr>
    <w:rPr>
      <w:rFonts w:ascii="宋体" w:hAnsi="宋体"/>
      <w:sz w:val="24"/>
    </w:rPr>
  </w:style>
  <w:style w:type="paragraph" w:customStyle="1" w:styleId="820">
    <w:name w:val="82"/>
    <w:basedOn w:val="a3"/>
    <w:unhideWhenUsed/>
    <w:qFormat/>
    <w:pPr>
      <w:ind w:firstLineChars="400" w:firstLine="400"/>
    </w:pPr>
    <w:rPr>
      <w:rFonts w:hint="eastAsia"/>
      <w:color w:val="000000"/>
      <w:szCs w:val="20"/>
    </w:rPr>
  </w:style>
  <w:style w:type="paragraph" w:customStyle="1" w:styleId="CharCharChar1Char2">
    <w:name w:val="Char Char Char1 Char2"/>
    <w:basedOn w:val="a3"/>
    <w:unhideWhenUsed/>
    <w:qFormat/>
    <w:rPr>
      <w:rFonts w:hint="eastAsia"/>
      <w:sz w:val="21"/>
      <w:szCs w:val="24"/>
    </w:rPr>
  </w:style>
  <w:style w:type="paragraph" w:customStyle="1" w:styleId="CharCharChar1Char3">
    <w:name w:val="Char Char Char1 Char3"/>
    <w:basedOn w:val="a3"/>
    <w:unhideWhenUsed/>
    <w:qFormat/>
    <w:rPr>
      <w:rFonts w:hint="eastAsia"/>
      <w:sz w:val="21"/>
      <w:szCs w:val="24"/>
    </w:rPr>
  </w:style>
  <w:style w:type="paragraph" w:customStyle="1" w:styleId="LT">
    <w:name w:val="LT"/>
    <w:basedOn w:val="a3"/>
    <w:unhideWhenUsed/>
    <w:qFormat/>
    <w:rPr>
      <w:rFonts w:hAnsi="宋体" w:hint="eastAsia"/>
      <w:szCs w:val="24"/>
    </w:rPr>
  </w:style>
  <w:style w:type="paragraph" w:customStyle="1" w:styleId="2CharCharCharCharCharCharCharCharCharCharCharChar1CharCharChar1Char">
    <w:name w:val="2 Char Char Char Char Char Char Char Char Char Char Char Char1 Char Char Char1 Char"/>
    <w:basedOn w:val="a3"/>
    <w:unhideWhenUsed/>
    <w:qFormat/>
    <w:rPr>
      <w:rFonts w:ascii="宋体" w:hAnsi="宋体" w:cs="宋体" w:hint="eastAsia"/>
      <w:szCs w:val="24"/>
    </w:rPr>
  </w:style>
  <w:style w:type="paragraph" w:customStyle="1" w:styleId="1ffff4">
    <w:name w:val="表头1"/>
    <w:basedOn w:val="a3"/>
    <w:next w:val="a3"/>
    <w:link w:val="1Char7"/>
    <w:unhideWhenUsed/>
    <w:qFormat/>
    <w:pPr>
      <w:tabs>
        <w:tab w:val="left" w:pos="605"/>
      </w:tabs>
      <w:adjustRightInd w:val="0"/>
      <w:snapToGrid w:val="0"/>
      <w:jc w:val="center"/>
    </w:pPr>
    <w:rPr>
      <w:rFonts w:eastAsia="黑体" w:hint="eastAsia"/>
      <w:sz w:val="21"/>
    </w:rPr>
  </w:style>
  <w:style w:type="paragraph" w:customStyle="1" w:styleId="CharCharCharCharCharCharCharChar1">
    <w:name w:val="Char Char Char Char Char Char Char Char1"/>
    <w:basedOn w:val="a3"/>
    <w:unhideWhenUsed/>
    <w:qFormat/>
    <w:rPr>
      <w:rFonts w:hint="eastAsia"/>
      <w:sz w:val="21"/>
      <w:szCs w:val="24"/>
    </w:rPr>
  </w:style>
  <w:style w:type="paragraph" w:customStyle="1" w:styleId="postcontentp">
    <w:name w:val="post_content_p"/>
    <w:basedOn w:val="a3"/>
    <w:unhideWhenUsed/>
    <w:qFormat/>
    <w:pPr>
      <w:widowControl/>
      <w:wordWrap w:val="0"/>
      <w:jc w:val="left"/>
    </w:pPr>
    <w:rPr>
      <w:rFonts w:ascii="宋体" w:hAnsi="宋体" w:cs="宋体" w:hint="eastAsia"/>
      <w:szCs w:val="24"/>
    </w:rPr>
  </w:style>
  <w:style w:type="paragraph" w:customStyle="1" w:styleId="Char1CharCharChar1">
    <w:name w:val="Char1 Char Char Char1"/>
    <w:basedOn w:val="a3"/>
    <w:unhideWhenUsed/>
    <w:qFormat/>
    <w:rPr>
      <w:rFonts w:ascii="Tahoma" w:hAnsi="Tahoma" w:hint="eastAsia"/>
      <w:szCs w:val="20"/>
    </w:rPr>
  </w:style>
  <w:style w:type="paragraph" w:customStyle="1" w:styleId="Bullet10">
    <w:name w:val="Bullet1"/>
    <w:basedOn w:val="a3"/>
    <w:unhideWhenUsed/>
    <w:qFormat/>
    <w:pPr>
      <w:tabs>
        <w:tab w:val="left" w:pos="284"/>
      </w:tabs>
      <w:overflowPunct w:val="0"/>
      <w:autoSpaceDE w:val="0"/>
      <w:autoSpaceDN w:val="0"/>
      <w:adjustRightInd w:val="0"/>
      <w:spacing w:line="240" w:lineRule="atLeast"/>
      <w:ind w:left="284" w:hanging="284"/>
      <w:textAlignment w:val="baseline"/>
    </w:pPr>
    <w:rPr>
      <w:rFonts w:ascii="?l?r –?’?" w:eastAsia="?l?r –?’?" w:hint="eastAsia"/>
      <w:sz w:val="22"/>
      <w:szCs w:val="20"/>
    </w:rPr>
  </w:style>
  <w:style w:type="paragraph" w:customStyle="1" w:styleId="TableHead">
    <w:name w:val="TableHead"/>
    <w:basedOn w:val="a3"/>
    <w:unhideWhenUsed/>
    <w:qFormat/>
    <w:pPr>
      <w:overflowPunct w:val="0"/>
      <w:autoSpaceDE w:val="0"/>
      <w:autoSpaceDN w:val="0"/>
      <w:adjustRightInd w:val="0"/>
      <w:spacing w:before="120" w:after="120" w:line="240" w:lineRule="atLeast"/>
      <w:jc w:val="center"/>
      <w:textAlignment w:val="baseline"/>
    </w:pPr>
    <w:rPr>
      <w:rFonts w:ascii="?l?r –?’?" w:eastAsia="?l?r –?’?" w:hint="eastAsia"/>
      <w:b/>
      <w:sz w:val="22"/>
      <w:szCs w:val="20"/>
    </w:rPr>
  </w:style>
  <w:style w:type="paragraph" w:customStyle="1" w:styleId="afffffffffffffffffffff6">
    <w:name w:val="报告条标题"/>
    <w:basedOn w:val="a3"/>
    <w:next w:val="affffffffff5"/>
    <w:unhideWhenUsed/>
    <w:qFormat/>
    <w:pPr>
      <w:spacing w:before="120" w:after="120" w:line="400" w:lineRule="exact"/>
    </w:pPr>
    <w:rPr>
      <w:rFonts w:ascii="黑体" w:eastAsia="黑体" w:hint="eastAsia"/>
      <w:szCs w:val="28"/>
    </w:rPr>
  </w:style>
  <w:style w:type="paragraph" w:customStyle="1" w:styleId="0013">
    <w:name w:val="001"/>
    <w:basedOn w:val="aff5"/>
    <w:unhideWhenUsed/>
    <w:qFormat/>
    <w:pPr>
      <w:tabs>
        <w:tab w:val="center" w:pos="4153"/>
        <w:tab w:val="right" w:pos="8306"/>
      </w:tabs>
      <w:spacing w:beforeLines="100" w:afterLines="100" w:line="240" w:lineRule="auto"/>
    </w:pPr>
    <w:rPr>
      <w:rFonts w:ascii="宋体" w:hAnsi="宋体" w:cs="Arial" w:hint="eastAsia"/>
      <w:b w:val="0"/>
      <w:kern w:val="28"/>
      <w:sz w:val="28"/>
    </w:rPr>
  </w:style>
  <w:style w:type="paragraph" w:customStyle="1" w:styleId="175">
    <w:name w:val="样式 (西文) 宋体 四号 加粗 行距: 多倍行距 1.75 字行"/>
    <w:basedOn w:val="a3"/>
    <w:unhideWhenUsed/>
    <w:qFormat/>
    <w:pPr>
      <w:spacing w:line="420" w:lineRule="auto"/>
      <w:ind w:firstLineChars="158" w:firstLine="444"/>
    </w:pPr>
    <w:rPr>
      <w:rFonts w:ascii="宋体" w:hAnsi="宋体" w:cs="宋体" w:hint="eastAsia"/>
      <w:b/>
      <w:sz w:val="28"/>
      <w:szCs w:val="20"/>
    </w:rPr>
  </w:style>
  <w:style w:type="paragraph" w:customStyle="1" w:styleId="440">
    <w:name w:val="样式 标题 44 + (符号) 宋体"/>
    <w:basedOn w:val="a3"/>
    <w:next w:val="a3"/>
    <w:unhideWhenUsed/>
    <w:qFormat/>
    <w:pPr>
      <w:tabs>
        <w:tab w:val="left" w:pos="2160"/>
      </w:tabs>
      <w:adjustRightInd w:val="0"/>
      <w:spacing w:before="100" w:beforeAutospacing="1"/>
      <w:ind w:left="2160" w:hanging="420"/>
      <w:jc w:val="left"/>
      <w:outlineLvl w:val="3"/>
    </w:pPr>
    <w:rPr>
      <w:rFonts w:hint="eastAsia"/>
      <w:b/>
      <w:sz w:val="28"/>
      <w:szCs w:val="24"/>
    </w:rPr>
  </w:style>
  <w:style w:type="paragraph" w:customStyle="1" w:styleId="430">
    <w:name w:val="样式 标题 4标题 3。。 + 两端对齐"/>
    <w:basedOn w:val="410"/>
    <w:unhideWhenUsed/>
    <w:qFormat/>
    <w:pPr>
      <w:tabs>
        <w:tab w:val="left" w:pos="0"/>
        <w:tab w:val="left" w:pos="2880"/>
      </w:tabs>
      <w:spacing w:beforeLines="0" w:beforeAutospacing="1" w:afterLines="0"/>
      <w:ind w:firstLineChars="0" w:firstLine="0"/>
      <w:jc w:val="left"/>
    </w:pPr>
    <w:rPr>
      <w:rFonts w:cs="宋体"/>
      <w:szCs w:val="20"/>
    </w:rPr>
  </w:style>
  <w:style w:type="paragraph" w:customStyle="1" w:styleId="L3">
    <w:name w:val="L标题3"/>
    <w:basedOn w:val="213"/>
    <w:next w:val="a3"/>
    <w:unhideWhenUsed/>
    <w:qFormat/>
    <w:pPr>
      <w:tabs>
        <w:tab w:val="left" w:pos="1322"/>
      </w:tabs>
      <w:adjustRightInd w:val="0"/>
      <w:snapToGrid w:val="0"/>
      <w:spacing w:beforeLines="30" w:afterLines="30"/>
      <w:ind w:firstLineChars="100" w:firstLine="272"/>
      <w:jc w:val="left"/>
      <w:outlineLvl w:val="2"/>
    </w:pPr>
    <w:rPr>
      <w:rFonts w:eastAsia="黑体"/>
      <w:sz w:val="30"/>
      <w:szCs w:val="30"/>
    </w:rPr>
  </w:style>
  <w:style w:type="paragraph" w:customStyle="1" w:styleId="0000">
    <w:name w:val="章标题000"/>
    <w:basedOn w:val="a3"/>
    <w:unhideWhenUsed/>
    <w:qFormat/>
    <w:rPr>
      <w:rFonts w:hint="eastAsia"/>
      <w:b/>
      <w:szCs w:val="24"/>
    </w:rPr>
  </w:style>
  <w:style w:type="paragraph" w:customStyle="1" w:styleId="5515">
    <w:name w:val="样式 宋体 小四 段前: 5 磅 段后: 5 磅 行距: 1.5 倍行距"/>
    <w:basedOn w:val="a3"/>
    <w:unhideWhenUsed/>
    <w:qFormat/>
    <w:pPr>
      <w:spacing w:before="100" w:after="100"/>
      <w:ind w:firstLine="480"/>
    </w:pPr>
    <w:rPr>
      <w:rFonts w:ascii="宋体" w:hAnsi="宋体" w:hint="eastAsia"/>
      <w:szCs w:val="20"/>
    </w:rPr>
  </w:style>
  <w:style w:type="paragraph" w:customStyle="1" w:styleId="322025025">
    <w:name w:val="样式 标题 3 + 左侧:  2 字符 右侧:  2 字符 段前: 0.25 行 段后: 0.25 行"/>
    <w:basedOn w:val="310"/>
    <w:next w:val="a3"/>
    <w:unhideWhenUsed/>
    <w:qFormat/>
    <w:pPr>
      <w:snapToGrid w:val="0"/>
      <w:spacing w:beforeLines="0" w:afterLines="0" w:line="240" w:lineRule="auto"/>
      <w:ind w:leftChars="200" w:left="480" w:rightChars="200" w:right="480" w:firstLineChars="0" w:firstLine="0"/>
      <w:jc w:val="left"/>
    </w:pPr>
    <w:rPr>
      <w:rFonts w:cs="宋体"/>
      <w:sz w:val="30"/>
      <w:szCs w:val="20"/>
    </w:rPr>
  </w:style>
  <w:style w:type="paragraph" w:customStyle="1" w:styleId="afffffffffffffffffffff7">
    <w:name w:val="非居中表格"/>
    <w:basedOn w:val="a3"/>
    <w:unhideWhenUsed/>
    <w:qFormat/>
    <w:pPr>
      <w:adjustRightInd w:val="0"/>
      <w:spacing w:before="60" w:after="60"/>
      <w:jc w:val="center"/>
      <w:textAlignment w:val="baseline"/>
    </w:pPr>
    <w:rPr>
      <w:rFonts w:ascii="宋体" w:hint="eastAsia"/>
      <w:szCs w:val="24"/>
    </w:rPr>
  </w:style>
  <w:style w:type="paragraph" w:customStyle="1" w:styleId="CharCharChar1CharCharCharCharCharCharCharCharCharCharCharCharCharCharCharCharChar">
    <w:name w:val="Char Char Char1 Char Char Char Char Char Char Char Char Char Char Char Char Char Char Char Char Char"/>
    <w:basedOn w:val="a3"/>
    <w:unhideWhenUsed/>
    <w:qFormat/>
    <w:rPr>
      <w:rFonts w:hint="eastAsia"/>
      <w:sz w:val="21"/>
      <w:szCs w:val="24"/>
    </w:rPr>
  </w:style>
  <w:style w:type="paragraph" w:customStyle="1" w:styleId="GB2312">
    <w:name w:val="样式 仿宋_GB2312 四号"/>
    <w:basedOn w:val="a3"/>
    <w:unhideWhenUsed/>
    <w:qFormat/>
    <w:pPr>
      <w:tabs>
        <w:tab w:val="left" w:pos="3780"/>
      </w:tabs>
      <w:adjustRightInd w:val="0"/>
      <w:spacing w:beforeLines="50" w:line="480" w:lineRule="exact"/>
      <w:ind w:firstLine="420"/>
      <w:textAlignment w:val="baseline"/>
    </w:pPr>
    <w:rPr>
      <w:rFonts w:ascii="宋体" w:hAnsi="宋体" w:hint="eastAsia"/>
      <w:sz w:val="21"/>
      <w:szCs w:val="20"/>
    </w:rPr>
  </w:style>
  <w:style w:type="paragraph" w:customStyle="1" w:styleId="12605">
    <w:name w:val="样式 样式 正文文本缩进 + 首行缩进:  1 字符 行距: 固定值 26 磅 + 段前: 0.5 行"/>
    <w:basedOn w:val="a3"/>
    <w:unhideWhenUsed/>
    <w:qFormat/>
    <w:pPr>
      <w:ind w:firstLine="561"/>
      <w:jc w:val="left"/>
    </w:pPr>
    <w:rPr>
      <w:rFonts w:hint="eastAsia"/>
      <w:szCs w:val="20"/>
    </w:rPr>
  </w:style>
  <w:style w:type="paragraph" w:customStyle="1" w:styleId="CharChar5CharCharCharCharCharCharChar">
    <w:name w:val="Char Char5 Char Char Char Char Char Char Char"/>
    <w:basedOn w:val="a3"/>
    <w:next w:val="a3"/>
    <w:unhideWhenUsed/>
    <w:qFormat/>
    <w:rPr>
      <w:rFonts w:ascii="宋体" w:hAnsi="宋体" w:cs="宋体" w:hint="eastAsia"/>
      <w:szCs w:val="24"/>
    </w:rPr>
  </w:style>
  <w:style w:type="paragraph" w:customStyle="1" w:styleId="103">
    <w:name w:val="样式10"/>
    <w:basedOn w:val="213"/>
    <w:unhideWhenUsed/>
    <w:qFormat/>
    <w:pPr>
      <w:tabs>
        <w:tab w:val="left" w:pos="1322"/>
      </w:tabs>
      <w:spacing w:beforeLines="0" w:afterLines="0"/>
      <w:ind w:firstLineChars="0" w:firstLine="0"/>
    </w:pPr>
    <w:rPr>
      <w:rFonts w:ascii="宋体" w:hAnsi="宋体"/>
      <w:sz w:val="28"/>
      <w:szCs w:val="28"/>
    </w:rPr>
  </w:style>
  <w:style w:type="paragraph" w:customStyle="1" w:styleId="5H">
    <w:name w:val="表头5H"/>
    <w:basedOn w:val="a3"/>
    <w:link w:val="5HChar"/>
    <w:unhideWhenUsed/>
    <w:qFormat/>
    <w:pPr>
      <w:spacing w:line="312" w:lineRule="auto"/>
      <w:jc w:val="center"/>
    </w:pPr>
    <w:rPr>
      <w:rFonts w:ascii="黑体" w:eastAsia="黑体" w:hint="eastAsia"/>
      <w:szCs w:val="24"/>
    </w:rPr>
  </w:style>
  <w:style w:type="paragraph" w:customStyle="1" w:styleId="afffffffffffffffffffff8">
    <w:name w:val="规划 表格内容"/>
    <w:basedOn w:val="PlainText1"/>
    <w:next w:val="af2"/>
    <w:link w:val="Charffffe"/>
    <w:unhideWhenUsed/>
    <w:qFormat/>
    <w:pPr>
      <w:autoSpaceDE w:val="0"/>
      <w:autoSpaceDN w:val="0"/>
      <w:snapToGrid w:val="0"/>
      <w:jc w:val="center"/>
    </w:pPr>
    <w:rPr>
      <w:rFonts w:ascii="Times New Roman" w:hAnsi="Times New Roman" w:cs="Times New Roman"/>
      <w:color w:val="000000"/>
      <w:sz w:val="18"/>
    </w:rPr>
  </w:style>
  <w:style w:type="paragraph" w:customStyle="1" w:styleId="afffffffffffffffffffff9">
    <w:name w:val="规划 正文"/>
    <w:basedOn w:val="a3"/>
    <w:link w:val="Charfffff"/>
    <w:unhideWhenUsed/>
    <w:qFormat/>
    <w:pPr>
      <w:autoSpaceDE w:val="0"/>
      <w:autoSpaceDN w:val="0"/>
      <w:adjustRightInd w:val="0"/>
      <w:snapToGrid w:val="0"/>
    </w:pPr>
    <w:rPr>
      <w:rFonts w:hint="eastAsia"/>
    </w:rPr>
  </w:style>
  <w:style w:type="paragraph" w:customStyle="1" w:styleId="p15">
    <w:name w:val="p15"/>
    <w:basedOn w:val="a3"/>
    <w:unhideWhenUsed/>
    <w:qFormat/>
    <w:pPr>
      <w:widowControl/>
      <w:snapToGrid w:val="0"/>
      <w:ind w:firstLine="420"/>
    </w:pPr>
    <w:rPr>
      <w:rFonts w:hint="eastAsia"/>
      <w:szCs w:val="24"/>
    </w:rPr>
  </w:style>
  <w:style w:type="paragraph" w:customStyle="1" w:styleId="RGB006724">
    <w:name w:val="样式 ?? 小四 自定义颜(RGB(0067)) 行距: 固定值 24 磅"/>
    <w:basedOn w:val="a3"/>
    <w:unhideWhenUsed/>
    <w:qFormat/>
    <w:pPr>
      <w:spacing w:line="480" w:lineRule="exact"/>
    </w:pPr>
    <w:rPr>
      <w:rFonts w:ascii="??" w:hAnsi="??" w:cs="宋体" w:hint="eastAsia"/>
      <w:color w:val="000043"/>
      <w:szCs w:val="20"/>
    </w:rPr>
  </w:style>
  <w:style w:type="paragraph" w:customStyle="1" w:styleId="2CharCharCharCharCharCharCharCharCharChar">
    <w:name w:val="2 Char Char Char Char Char Char Char Char Char Char"/>
    <w:basedOn w:val="a3"/>
    <w:unhideWhenUsed/>
    <w:qFormat/>
    <w:rPr>
      <w:rFonts w:ascii="宋体" w:hAnsi="宋体" w:cs="宋体" w:hint="eastAsia"/>
      <w:szCs w:val="24"/>
    </w:rPr>
  </w:style>
  <w:style w:type="paragraph" w:customStyle="1" w:styleId="1ffff5">
    <w:name w:val="陈正文1"/>
    <w:basedOn w:val="a3"/>
    <w:unhideWhenUsed/>
    <w:qFormat/>
    <w:pPr>
      <w:ind w:left="-108" w:firstLineChars="237" w:firstLine="664"/>
    </w:pPr>
    <w:rPr>
      <w:rFonts w:ascii="宋体" w:hint="eastAsia"/>
      <w:kern w:val="44"/>
      <w:sz w:val="28"/>
      <w:szCs w:val="20"/>
    </w:rPr>
  </w:style>
  <w:style w:type="paragraph" w:customStyle="1" w:styleId="2fff3">
    <w:name w:val="标题 2 加粗"/>
    <w:basedOn w:val="213"/>
    <w:unhideWhenUsed/>
    <w:qFormat/>
    <w:pPr>
      <w:tabs>
        <w:tab w:val="left" w:pos="1322"/>
      </w:tabs>
      <w:spacing w:beforeLines="0" w:afterLines="0" w:line="240" w:lineRule="auto"/>
      <w:ind w:firstLineChars="0" w:firstLine="0"/>
    </w:pPr>
    <w:rPr>
      <w:rFonts w:ascii="仿宋_GB2312" w:eastAsia="仿宋_GB2312" w:hAnsi="仿宋_GB2312" w:cs="宋体"/>
      <w:szCs w:val="20"/>
    </w:rPr>
  </w:style>
  <w:style w:type="paragraph" w:customStyle="1" w:styleId="2fff4">
    <w:name w:val="标题 2号非加粗"/>
    <w:basedOn w:val="213"/>
    <w:next w:val="a3"/>
    <w:unhideWhenUsed/>
    <w:qFormat/>
    <w:pPr>
      <w:tabs>
        <w:tab w:val="left" w:pos="1322"/>
      </w:tabs>
      <w:spacing w:beforeLines="0" w:afterLines="0" w:line="240" w:lineRule="auto"/>
      <w:ind w:firstLineChars="0" w:firstLine="0"/>
    </w:pPr>
    <w:rPr>
      <w:rFonts w:ascii="仿宋_GB2312" w:eastAsia="仿宋_GB2312" w:hAnsi="仿宋_GB2312" w:cs="宋体"/>
      <w:b w:val="0"/>
      <w:sz w:val="30"/>
      <w:szCs w:val="20"/>
    </w:rPr>
  </w:style>
  <w:style w:type="paragraph" w:customStyle="1" w:styleId="GB23120515502">
    <w:name w:val="样式 样式 样式 样式 仿宋_GB2312 四号 + 段后: 0.5 行 + 段前: 1.55 磅 段后: 0.2 行 + 段后..."/>
    <w:basedOn w:val="a3"/>
    <w:unhideWhenUsed/>
    <w:qFormat/>
    <w:pPr>
      <w:widowControl/>
      <w:jc w:val="left"/>
    </w:pPr>
    <w:rPr>
      <w:rFonts w:ascii="仿宋_GB2312" w:eastAsia="仿宋_GB2312" w:hAnsi="仿宋_GB2312" w:cs="宋体" w:hint="eastAsia"/>
      <w:sz w:val="28"/>
      <w:szCs w:val="20"/>
    </w:rPr>
  </w:style>
  <w:style w:type="paragraph" w:customStyle="1" w:styleId="zwb-0">
    <w:name w:val="zwb-报告正文"/>
    <w:basedOn w:val="a3"/>
    <w:unhideWhenUsed/>
    <w:qFormat/>
    <w:pPr>
      <w:ind w:firstLine="480"/>
    </w:pPr>
    <w:rPr>
      <w:rFonts w:hint="eastAsia"/>
      <w:szCs w:val="24"/>
    </w:rPr>
  </w:style>
  <w:style w:type="paragraph" w:customStyle="1" w:styleId="Char1CharCharCharCharCharCharCharCharCharCharChar1Char1">
    <w:name w:val="Char1 Char Char Char Char Char Char Char Char Char Char Char1 Char1"/>
    <w:basedOn w:val="a3"/>
    <w:unhideWhenUsed/>
    <w:qFormat/>
    <w:rPr>
      <w:rFonts w:hint="eastAsia"/>
      <w:sz w:val="21"/>
      <w:szCs w:val="24"/>
    </w:rPr>
  </w:style>
  <w:style w:type="paragraph" w:customStyle="1" w:styleId="afffffffffffffffffffffa">
    <w:name w:val="向喜琼图表名"/>
    <w:basedOn w:val="a3"/>
    <w:unhideWhenUsed/>
    <w:qFormat/>
    <w:pPr>
      <w:adjustRightInd w:val="0"/>
      <w:snapToGrid w:val="0"/>
      <w:spacing w:beforeLines="50" w:afterLines="50"/>
      <w:jc w:val="center"/>
    </w:pPr>
    <w:rPr>
      <w:rFonts w:ascii="Times" w:hAnsi="Times" w:hint="eastAsia"/>
      <w:b/>
      <w:sz w:val="21"/>
      <w:szCs w:val="24"/>
    </w:rPr>
  </w:style>
  <w:style w:type="paragraph" w:customStyle="1" w:styleId="afffffffffffffffffffffb">
    <w:name w:val="报告表头"/>
    <w:basedOn w:val="a3"/>
    <w:next w:val="a3"/>
    <w:unhideWhenUsed/>
    <w:qFormat/>
    <w:pPr>
      <w:widowControl/>
      <w:jc w:val="center"/>
    </w:pPr>
    <w:rPr>
      <w:rFonts w:eastAsia="黑体" w:hint="eastAsia"/>
      <w:b/>
      <w:sz w:val="18"/>
      <w:szCs w:val="20"/>
    </w:rPr>
  </w:style>
  <w:style w:type="paragraph" w:customStyle="1" w:styleId="afffffffffffffffffffffc">
    <w:name w:val="报告表中"/>
    <w:basedOn w:val="a3"/>
    <w:unhideWhenUsed/>
    <w:qFormat/>
    <w:pPr>
      <w:jc w:val="center"/>
    </w:pPr>
    <w:rPr>
      <w:rFonts w:hint="eastAsia"/>
      <w:sz w:val="18"/>
      <w:szCs w:val="20"/>
    </w:rPr>
  </w:style>
  <w:style w:type="paragraph" w:customStyle="1" w:styleId="Char1CharCharCharCharCharCharCharCharCharCharCharChar">
    <w:name w:val="Char1 Char Char Char Char Char Char Char Char Char Char Char Char"/>
    <w:basedOn w:val="ae"/>
    <w:unhideWhenUsed/>
    <w:qFormat/>
    <w:pPr>
      <w:adjustRightInd w:val="0"/>
      <w:spacing w:line="436" w:lineRule="exact"/>
      <w:ind w:left="357"/>
      <w:jc w:val="left"/>
      <w:outlineLvl w:val="3"/>
    </w:pPr>
    <w:rPr>
      <w:rFonts w:ascii="Tahoma" w:hAnsi="Tahoma"/>
      <w:b/>
      <w:kern w:val="28"/>
      <w:sz w:val="24"/>
      <w:szCs w:val="28"/>
    </w:rPr>
  </w:style>
  <w:style w:type="paragraph" w:customStyle="1" w:styleId="afffffffffffffffffffffd">
    <w:name w:val="段落样式"/>
    <w:basedOn w:val="a3"/>
    <w:link w:val="Charfffff0"/>
    <w:unhideWhenUsed/>
    <w:qFormat/>
    <w:pPr>
      <w:keepNext/>
      <w:suppressLineNumbers/>
      <w:suppressAutoHyphens/>
      <w:topLinePunct/>
      <w:adjustRightInd w:val="0"/>
      <w:snapToGrid w:val="0"/>
      <w:spacing w:line="300" w:lineRule="auto"/>
      <w:ind w:firstLine="482"/>
      <w:textAlignment w:val="baseline"/>
    </w:pPr>
    <w:rPr>
      <w:rFonts w:hint="eastAsia"/>
      <w:w w:val="80"/>
      <w:sz w:val="28"/>
      <w:szCs w:val="20"/>
    </w:rPr>
  </w:style>
  <w:style w:type="paragraph" w:customStyle="1" w:styleId="00210">
    <w:name w:val="样式 样式 小四 加粗 段前: 0 磅 段后: 0 磅 行距: 固定值 21 磅 + 两端对齐"/>
    <w:basedOn w:val="0021"/>
    <w:unhideWhenUsed/>
    <w:qFormat/>
    <w:pPr>
      <w:ind w:firstLine="200"/>
    </w:pPr>
    <w:rPr>
      <w:rFonts w:ascii="Times New Roman" w:hAnsi="Times New Roman"/>
      <w:sz w:val="24"/>
    </w:rPr>
  </w:style>
  <w:style w:type="paragraph" w:customStyle="1" w:styleId="afffffffffffffffffffffe">
    <w:name w:val="图表"/>
    <w:basedOn w:val="a3"/>
    <w:unhideWhenUsed/>
    <w:qFormat/>
    <w:pPr>
      <w:widowControl/>
      <w:adjustRightInd w:val="0"/>
      <w:jc w:val="center"/>
      <w:textAlignment w:val="baseline"/>
    </w:pPr>
    <w:rPr>
      <w:rFonts w:hint="eastAsia"/>
      <w:szCs w:val="20"/>
    </w:rPr>
  </w:style>
  <w:style w:type="paragraph" w:customStyle="1" w:styleId="22a">
    <w:name w:val="样式 正文2 + 首行缩进:  2 字符"/>
    <w:basedOn w:val="a3"/>
    <w:unhideWhenUsed/>
    <w:qFormat/>
    <w:pPr>
      <w:widowControl/>
      <w:adjustRightInd w:val="0"/>
      <w:snapToGrid w:val="0"/>
      <w:ind w:rightChars="18" w:right="50"/>
      <w:jc w:val="left"/>
      <w:textAlignment w:val="baseline"/>
    </w:pPr>
    <w:rPr>
      <w:rFonts w:cs="宋体" w:hint="eastAsia"/>
      <w:sz w:val="28"/>
      <w:szCs w:val="20"/>
    </w:rPr>
  </w:style>
  <w:style w:type="paragraph" w:customStyle="1" w:styleId="211h2l22ndlevelTitre22Header2H2051">
    <w:name w:val="样式 标题 2节标题 1.1h2l22nd levelTitre22Header 2H2 + 段前: 0.5 行...1"/>
    <w:basedOn w:val="213"/>
    <w:unhideWhenUsed/>
    <w:qFormat/>
    <w:pPr>
      <w:tabs>
        <w:tab w:val="left" w:pos="480"/>
        <w:tab w:val="left" w:pos="1322"/>
        <w:tab w:val="left" w:pos="1680"/>
        <w:tab w:val="left" w:pos="3960"/>
        <w:tab w:val="left" w:pos="5400"/>
        <w:tab w:val="left" w:pos="6840"/>
      </w:tabs>
      <w:adjustRightInd w:val="0"/>
      <w:spacing w:before="120" w:after="120"/>
      <w:ind w:rightChars="200" w:right="200" w:firstLineChars="0" w:firstLine="0"/>
      <w:textAlignment w:val="baseline"/>
    </w:pPr>
    <w:rPr>
      <w:rFonts w:ascii="宋体" w:hAnsi="Arial"/>
      <w:sz w:val="30"/>
      <w:szCs w:val="20"/>
    </w:rPr>
  </w:style>
  <w:style w:type="paragraph" w:customStyle="1" w:styleId="0001">
    <w:name w:val="样式 宋体 加粗 居中 首行缩进:  0 厘米 段前: 0 磅 段后: 0 磅 行距: 单倍行距"/>
    <w:basedOn w:val="a3"/>
    <w:unhideWhenUsed/>
    <w:qFormat/>
    <w:pPr>
      <w:widowControl/>
      <w:adjustRightInd w:val="0"/>
      <w:jc w:val="center"/>
      <w:textAlignment w:val="baseline"/>
    </w:pPr>
    <w:rPr>
      <w:rFonts w:ascii="宋体" w:hAnsi="宋体" w:cs="宋体" w:hint="eastAsia"/>
      <w:b/>
      <w:sz w:val="28"/>
      <w:szCs w:val="20"/>
    </w:rPr>
  </w:style>
  <w:style w:type="paragraph" w:customStyle="1" w:styleId="xl100">
    <w:name w:val="xl100"/>
    <w:basedOn w:val="a3"/>
    <w:unhideWhenUsed/>
    <w:qFormat/>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宋体" w:hAnsi="宋体" w:cs="宋体" w:hint="eastAsia"/>
      <w:szCs w:val="24"/>
    </w:rPr>
  </w:style>
  <w:style w:type="paragraph" w:customStyle="1" w:styleId="xl101">
    <w:name w:val="xl101"/>
    <w:basedOn w:val="a3"/>
    <w:unhideWhenUsed/>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rFonts w:ascii="宋体" w:hAnsi="宋体" w:cs="宋体" w:hint="eastAsia"/>
      <w:szCs w:val="24"/>
    </w:rPr>
  </w:style>
  <w:style w:type="paragraph" w:customStyle="1" w:styleId="xl102">
    <w:name w:val="xl102"/>
    <w:basedOn w:val="a3"/>
    <w:unhideWhenUsed/>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hint="eastAsia"/>
      <w:szCs w:val="24"/>
    </w:rPr>
  </w:style>
  <w:style w:type="paragraph" w:customStyle="1" w:styleId="xl103">
    <w:name w:val="xl103"/>
    <w:basedOn w:val="a3"/>
    <w:unhideWhenUsed/>
    <w:qFormat/>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宋体" w:hAnsi="宋体" w:cs="宋体" w:hint="eastAsia"/>
      <w:szCs w:val="24"/>
    </w:rPr>
  </w:style>
  <w:style w:type="paragraph" w:customStyle="1" w:styleId="xl104">
    <w:name w:val="xl104"/>
    <w:basedOn w:val="a3"/>
    <w:unhideWhenUsed/>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hint="eastAsia"/>
      <w:b/>
      <w:szCs w:val="24"/>
    </w:rPr>
  </w:style>
  <w:style w:type="paragraph" w:customStyle="1" w:styleId="tx">
    <w:name w:val="正文.tx"/>
    <w:basedOn w:val="a3"/>
    <w:link w:val="txChar"/>
    <w:unhideWhenUsed/>
    <w:qFormat/>
    <w:pPr>
      <w:topLinePunct/>
      <w:spacing w:beforeLines="50" w:afterLines="50" w:line="520" w:lineRule="exact"/>
    </w:pPr>
    <w:rPr>
      <w:rFonts w:hint="eastAsia"/>
      <w:sz w:val="28"/>
      <w:szCs w:val="28"/>
    </w:rPr>
  </w:style>
  <w:style w:type="paragraph" w:customStyle="1" w:styleId="bg">
    <w:name w:val="bg正文"/>
    <w:basedOn w:val="a3"/>
    <w:unhideWhenUsed/>
    <w:qFormat/>
    <w:rPr>
      <w:rFonts w:ascii="宋体" w:hAnsi="宋体" w:hint="eastAsia"/>
      <w:szCs w:val="20"/>
    </w:rPr>
  </w:style>
  <w:style w:type="paragraph" w:customStyle="1" w:styleId="127">
    <w:name w:val="样式12"/>
    <w:basedOn w:val="1fd"/>
    <w:link w:val="12Char0"/>
    <w:unhideWhenUsed/>
    <w:qFormat/>
    <w:pPr>
      <w:pBdr>
        <w:bottom w:val="none" w:sz="0" w:space="0" w:color="auto"/>
      </w:pBdr>
    </w:pPr>
  </w:style>
  <w:style w:type="paragraph" w:customStyle="1" w:styleId="2CharCharCharCharCharCharCharCharCharCharCharCharCharCharCharChar">
    <w:name w:val="2 Char Char Char Char Char Char Char Char Char Char Char Char Char Char Char Char"/>
    <w:basedOn w:val="a3"/>
    <w:unhideWhenUsed/>
    <w:qFormat/>
    <w:rPr>
      <w:rFonts w:ascii="宋体" w:hAnsi="宋体" w:cs="宋体" w:hint="eastAsia"/>
      <w:szCs w:val="24"/>
    </w:rPr>
  </w:style>
  <w:style w:type="paragraph" w:customStyle="1" w:styleId="4f7">
    <w:name w:val="样式 标题 4 +"/>
    <w:basedOn w:val="410"/>
    <w:link w:val="4Char5"/>
    <w:unhideWhenUsed/>
    <w:qFormat/>
    <w:pPr>
      <w:tabs>
        <w:tab w:val="left" w:pos="2880"/>
      </w:tabs>
      <w:snapToGrid w:val="0"/>
      <w:spacing w:beforeLines="0" w:afterLines="0"/>
      <w:ind w:firstLineChars="0" w:firstLine="0"/>
    </w:pPr>
    <w:rPr>
      <w:rFonts w:ascii="宋体" w:hAnsi="宋体"/>
      <w:b w:val="0"/>
      <w:color w:val="000000"/>
    </w:rPr>
  </w:style>
  <w:style w:type="paragraph" w:customStyle="1" w:styleId="316">
    <w:name w:val="样式 标题 3一、样式 + 小四 黑色1"/>
    <w:basedOn w:val="310"/>
    <w:link w:val="31Char"/>
    <w:unhideWhenUsed/>
    <w:qFormat/>
    <w:pPr>
      <w:adjustRightInd w:val="0"/>
      <w:snapToGrid w:val="0"/>
      <w:spacing w:beforeLines="0" w:afterLines="0"/>
      <w:ind w:firstLineChars="0" w:firstLine="0"/>
    </w:pPr>
    <w:rPr>
      <w:b w:val="0"/>
      <w:color w:val="000000"/>
      <w:sz w:val="24"/>
      <w:szCs w:val="24"/>
    </w:rPr>
  </w:style>
  <w:style w:type="paragraph" w:customStyle="1" w:styleId="3fe">
    <w:name w:val="样式 标题 3一、样式 +"/>
    <w:basedOn w:val="310"/>
    <w:link w:val="3Char5"/>
    <w:unhideWhenUsed/>
    <w:qFormat/>
    <w:pPr>
      <w:adjustRightInd w:val="0"/>
      <w:snapToGrid w:val="0"/>
      <w:spacing w:beforeLines="0" w:afterLines="0"/>
      <w:ind w:firstLineChars="0" w:firstLine="0"/>
    </w:pPr>
    <w:rPr>
      <w:sz w:val="24"/>
      <w:szCs w:val="24"/>
    </w:rPr>
  </w:style>
  <w:style w:type="paragraph" w:customStyle="1" w:styleId="4110">
    <w:name w:val="标题411"/>
    <w:basedOn w:val="a3"/>
    <w:unhideWhenUsed/>
    <w:qFormat/>
    <w:rPr>
      <w:rFonts w:hint="eastAsia"/>
      <w:szCs w:val="24"/>
    </w:rPr>
  </w:style>
  <w:style w:type="paragraph" w:customStyle="1" w:styleId="4Char6">
    <w:name w:val="4 Char"/>
    <w:basedOn w:val="a3"/>
    <w:unhideWhenUsed/>
    <w:qFormat/>
    <w:rPr>
      <w:rFonts w:hint="eastAsia"/>
      <w:sz w:val="28"/>
      <w:szCs w:val="20"/>
    </w:rPr>
  </w:style>
  <w:style w:type="paragraph" w:customStyle="1" w:styleId="reader-word-layerreader-word-s39-2">
    <w:name w:val="reader-word-layer reader-word-s39-2"/>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40-3">
    <w:name w:val="reader-word-layer reader-word-s40-3"/>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40-1">
    <w:name w:val="reader-word-layer reader-word-s40-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1522">
    <w:name w:val="样式 样式 正文缩进 + 行距: 1.5 倍行距 + 首行缩进:  2 字符"/>
    <w:basedOn w:val="a3"/>
    <w:unhideWhenUsed/>
    <w:qFormat/>
    <w:pPr>
      <w:widowControl/>
      <w:adjustRightInd w:val="0"/>
      <w:snapToGrid w:val="0"/>
    </w:pPr>
    <w:rPr>
      <w:rFonts w:hint="eastAsia"/>
      <w:sz w:val="28"/>
      <w:szCs w:val="20"/>
    </w:rPr>
  </w:style>
  <w:style w:type="paragraph" w:customStyle="1" w:styleId="2051">
    <w:name w:val="样式 标题2 + 段前: 0.5 行"/>
    <w:basedOn w:val="213"/>
    <w:unhideWhenUsed/>
    <w:qFormat/>
    <w:pPr>
      <w:tabs>
        <w:tab w:val="left" w:pos="1322"/>
      </w:tabs>
      <w:adjustRightInd w:val="0"/>
      <w:snapToGrid w:val="0"/>
      <w:spacing w:beforeLines="100" w:afterLines="0"/>
      <w:ind w:firstLineChars="0" w:firstLine="0"/>
      <w:jc w:val="left"/>
    </w:pPr>
    <w:rPr>
      <w:rFonts w:eastAsia="黑体" w:cs="宋体"/>
      <w:szCs w:val="20"/>
      <w:lang w:val="zh-CN"/>
    </w:rPr>
  </w:style>
  <w:style w:type="paragraph" w:customStyle="1" w:styleId="400">
    <w:name w:val="标题40"/>
    <w:basedOn w:val="1e"/>
    <w:link w:val="40Char"/>
    <w:unhideWhenUsed/>
    <w:qFormat/>
    <w:pPr>
      <w:tabs>
        <w:tab w:val="clear" w:pos="360"/>
      </w:tabs>
      <w:spacing w:line="360" w:lineRule="auto"/>
      <w:ind w:left="0" w:right="0" w:firstLine="0"/>
    </w:pPr>
    <w:rPr>
      <w:rFonts w:ascii="Times New Roman" w:eastAsia="宋体"/>
      <w:sz w:val="28"/>
      <w:szCs w:val="24"/>
    </w:rPr>
  </w:style>
  <w:style w:type="paragraph" w:customStyle="1" w:styleId="p17">
    <w:name w:val="p17"/>
    <w:basedOn w:val="a3"/>
    <w:unhideWhenUsed/>
    <w:qFormat/>
    <w:pPr>
      <w:widowControl/>
    </w:pPr>
    <w:rPr>
      <w:rFonts w:ascii="宋体" w:hAnsi="宋体" w:cs="宋体" w:hint="eastAsia"/>
      <w:sz w:val="21"/>
    </w:rPr>
  </w:style>
  <w:style w:type="paragraph" w:customStyle="1" w:styleId="p16">
    <w:name w:val="p16"/>
    <w:basedOn w:val="a3"/>
    <w:unhideWhenUsed/>
    <w:qFormat/>
    <w:pPr>
      <w:widowControl/>
      <w:spacing w:after="120"/>
      <w:ind w:left="420" w:firstLine="420"/>
      <w:jc w:val="left"/>
    </w:pPr>
    <w:rPr>
      <w:rFonts w:ascii="宋体" w:hAnsi="宋体" w:cs="宋体" w:hint="eastAsia"/>
      <w:sz w:val="20"/>
      <w:szCs w:val="20"/>
    </w:rPr>
  </w:style>
  <w:style w:type="paragraph" w:customStyle="1" w:styleId="2fff5">
    <w:name w:val="页脚2"/>
    <w:basedOn w:val="a3"/>
    <w:unhideWhenUsed/>
    <w:qFormat/>
    <w:pPr>
      <w:widowControl/>
      <w:tabs>
        <w:tab w:val="center" w:pos="4153"/>
        <w:tab w:val="right" w:pos="8306"/>
      </w:tabs>
      <w:snapToGrid w:val="0"/>
      <w:ind w:firstLine="602"/>
      <w:jc w:val="left"/>
    </w:pPr>
    <w:rPr>
      <w:rFonts w:hint="eastAsia"/>
      <w:sz w:val="18"/>
      <w:szCs w:val="20"/>
    </w:rPr>
  </w:style>
  <w:style w:type="paragraph" w:customStyle="1" w:styleId="acee">
    <w:name w:val="acee正文"/>
    <w:basedOn w:val="a3"/>
    <w:link w:val="aceeChar1"/>
    <w:unhideWhenUsed/>
    <w:qFormat/>
    <w:pPr>
      <w:tabs>
        <w:tab w:val="left" w:pos="4500"/>
      </w:tabs>
      <w:adjustRightInd w:val="0"/>
      <w:snapToGrid w:val="0"/>
      <w:spacing w:line="480" w:lineRule="exact"/>
    </w:pPr>
    <w:rPr>
      <w:rFonts w:ascii="宋体" w:hAnsi="宋体" w:hint="eastAsia"/>
      <w:sz w:val="32"/>
      <w:szCs w:val="20"/>
    </w:rPr>
  </w:style>
  <w:style w:type="paragraph" w:customStyle="1" w:styleId="acee01">
    <w:name w:val="acee01"/>
    <w:basedOn w:val="a3"/>
    <w:unhideWhenUsed/>
    <w:qFormat/>
    <w:pPr>
      <w:adjustRightInd w:val="0"/>
      <w:snapToGrid w:val="0"/>
      <w:spacing w:line="480" w:lineRule="exact"/>
      <w:ind w:firstLine="560"/>
      <w:outlineLvl w:val="0"/>
    </w:pPr>
    <w:rPr>
      <w:rFonts w:ascii="宋体" w:hAnsi="宋体" w:hint="eastAsia"/>
      <w:color w:val="000000"/>
      <w:sz w:val="28"/>
      <w:szCs w:val="28"/>
    </w:rPr>
  </w:style>
  <w:style w:type="paragraph" w:customStyle="1" w:styleId="2W201">
    <w:name w:val="样式 标题 2W2 + 加粗 左侧:  0 厘米"/>
    <w:basedOn w:val="213"/>
    <w:unhideWhenUsed/>
    <w:qFormat/>
    <w:pPr>
      <w:tabs>
        <w:tab w:val="left" w:pos="1322"/>
      </w:tabs>
      <w:spacing w:beforeLines="0" w:afterLines="0" w:line="440" w:lineRule="exact"/>
      <w:ind w:firstLineChars="0" w:firstLine="0"/>
    </w:pPr>
    <w:rPr>
      <w:rFonts w:eastAsia="黑体" w:cs="宋体"/>
      <w:kern w:val="28"/>
      <w:szCs w:val="20"/>
    </w:rPr>
  </w:style>
  <w:style w:type="paragraph" w:customStyle="1" w:styleId="Style60">
    <w:name w:val="_Style 6"/>
    <w:basedOn w:val="a3"/>
    <w:next w:val="a3"/>
    <w:unhideWhenUsed/>
    <w:qFormat/>
    <w:rPr>
      <w:rFonts w:hint="eastAsia"/>
      <w:sz w:val="21"/>
      <w:szCs w:val="24"/>
    </w:rPr>
  </w:style>
  <w:style w:type="paragraph" w:customStyle="1" w:styleId="a-0">
    <w:name w:val="a-表内"/>
    <w:link w:val="a-Char0"/>
    <w:unhideWhenUsed/>
    <w:qFormat/>
    <w:pPr>
      <w:adjustRightInd w:val="0"/>
      <w:snapToGrid w:val="0"/>
      <w:jc w:val="center"/>
    </w:pPr>
    <w:rPr>
      <w:rFonts w:hint="eastAsia"/>
      <w:color w:val="000000"/>
      <w:sz w:val="21"/>
      <w:szCs w:val="21"/>
    </w:rPr>
  </w:style>
  <w:style w:type="paragraph" w:customStyle="1" w:styleId="4f8">
    <w:name w:val="周4"/>
    <w:basedOn w:val="12"/>
    <w:next w:val="a3"/>
    <w:unhideWhenUsed/>
    <w:qFormat/>
    <w:pPr>
      <w:widowControl w:val="0"/>
      <w:spacing w:before="120"/>
    </w:pPr>
    <w:rPr>
      <w:rFonts w:ascii="宋体" w:hAnsi="宋体"/>
      <w:sz w:val="28"/>
      <w:szCs w:val="20"/>
    </w:rPr>
  </w:style>
  <w:style w:type="paragraph" w:customStyle="1" w:styleId="reader-word-layerreader-word-s3-7">
    <w:name w:val="reader-word-layer reader-word-s3-7"/>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
    <w:name w:val="我的正文"/>
    <w:link w:val="Charfffff1"/>
    <w:unhideWhenUsed/>
    <w:qFormat/>
    <w:pPr>
      <w:adjustRightInd w:val="0"/>
      <w:snapToGrid w:val="0"/>
      <w:spacing w:line="360" w:lineRule="auto"/>
      <w:ind w:firstLineChars="200" w:firstLine="200"/>
    </w:pPr>
    <w:rPr>
      <w:rFonts w:hint="eastAsia"/>
      <w:color w:val="000000"/>
      <w:kern w:val="2"/>
      <w:sz w:val="24"/>
    </w:rPr>
  </w:style>
  <w:style w:type="paragraph" w:customStyle="1" w:styleId="reader-word-layerreader-word-s3-9">
    <w:name w:val="reader-word-layer reader-word-s3-9"/>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3-9reader-word-s3-11">
    <w:name w:val="reader-word-layer reader-word-s3-9 reader-word-s3-1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reader-word-layerreader-word-s3-7reader-word-s3-11">
    <w:name w:val="reader-word-layer reader-word-s3-7 reader-word-s3-11"/>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0">
    <w:name w:val="设计正文"/>
    <w:basedOn w:val="1b"/>
    <w:link w:val="Charfffff2"/>
    <w:unhideWhenUsed/>
    <w:qFormat/>
    <w:pPr>
      <w:ind w:firstLine="464"/>
    </w:pPr>
    <w:rPr>
      <w:color w:val="000000"/>
      <w:spacing w:val="-4"/>
      <w:sz w:val="24"/>
      <w:szCs w:val="24"/>
    </w:rPr>
  </w:style>
  <w:style w:type="paragraph" w:customStyle="1" w:styleId="affffffffffffffffffffff1">
    <w:name w:val="表名图名"/>
    <w:basedOn w:val="a3"/>
    <w:unhideWhenUsed/>
    <w:qFormat/>
    <w:pPr>
      <w:keepNext/>
      <w:adjustRightInd w:val="0"/>
      <w:spacing w:line="240" w:lineRule="exact"/>
      <w:jc w:val="center"/>
      <w:textAlignment w:val="baseline"/>
    </w:pPr>
    <w:rPr>
      <w:rFonts w:ascii="宋体" w:hAnsi="Times" w:hint="eastAsia"/>
      <w:b/>
      <w:sz w:val="20"/>
    </w:rPr>
  </w:style>
  <w:style w:type="paragraph" w:customStyle="1" w:styleId="2fff6">
    <w:name w:val="院2级"/>
    <w:basedOn w:val="a3"/>
    <w:next w:val="a3"/>
    <w:unhideWhenUsed/>
    <w:qFormat/>
    <w:pPr>
      <w:tabs>
        <w:tab w:val="left" w:pos="576"/>
        <w:tab w:val="left" w:pos="960"/>
      </w:tabs>
      <w:adjustRightInd w:val="0"/>
      <w:snapToGrid w:val="0"/>
      <w:ind w:left="960" w:hanging="480"/>
    </w:pPr>
    <w:rPr>
      <w:rFonts w:ascii="宋体" w:hAnsi="宋体" w:cs="宋体" w:hint="eastAsia"/>
      <w:szCs w:val="24"/>
      <w:u w:color="FFFFFF"/>
    </w:rPr>
  </w:style>
  <w:style w:type="paragraph" w:customStyle="1" w:styleId="affffffffffffffffffffff2">
    <w:name w:val="我的表格"/>
    <w:unhideWhenUsed/>
    <w:qFormat/>
    <w:pPr>
      <w:autoSpaceDE w:val="0"/>
      <w:autoSpaceDN w:val="0"/>
      <w:adjustRightInd w:val="0"/>
      <w:snapToGrid w:val="0"/>
      <w:jc w:val="center"/>
    </w:pPr>
    <w:rPr>
      <w:rFonts w:hint="eastAsia"/>
      <w:sz w:val="21"/>
      <w:szCs w:val="21"/>
    </w:rPr>
  </w:style>
  <w:style w:type="paragraph" w:customStyle="1" w:styleId="a-1">
    <w:name w:val="a-图件"/>
    <w:link w:val="a-Char1"/>
    <w:unhideWhenUsed/>
    <w:qFormat/>
    <w:pPr>
      <w:adjustRightInd w:val="0"/>
      <w:snapToGrid w:val="0"/>
      <w:spacing w:line="360" w:lineRule="auto"/>
      <w:jc w:val="center"/>
    </w:pPr>
    <w:rPr>
      <w:rFonts w:hint="eastAsia"/>
      <w:b/>
      <w:color w:val="000000"/>
      <w:kern w:val="2"/>
      <w:sz w:val="24"/>
      <w:szCs w:val="21"/>
    </w:rPr>
  </w:style>
  <w:style w:type="paragraph" w:customStyle="1" w:styleId="a-2">
    <w:name w:val="a-文本缩2"/>
    <w:unhideWhenUsed/>
    <w:qFormat/>
    <w:pPr>
      <w:adjustRightInd w:val="0"/>
      <w:snapToGrid w:val="0"/>
      <w:spacing w:line="360" w:lineRule="auto"/>
      <w:ind w:firstLineChars="200" w:firstLine="200"/>
      <w:jc w:val="both"/>
    </w:pPr>
    <w:rPr>
      <w:rFonts w:hint="eastAsia"/>
      <w:color w:val="000000"/>
      <w:kern w:val="2"/>
      <w:sz w:val="24"/>
      <w:szCs w:val="21"/>
    </w:rPr>
  </w:style>
  <w:style w:type="paragraph" w:customStyle="1" w:styleId="a-3">
    <w:name w:val="a-表名"/>
    <w:link w:val="a-Char2"/>
    <w:unhideWhenUsed/>
    <w:qFormat/>
    <w:pPr>
      <w:adjustRightInd w:val="0"/>
      <w:snapToGrid w:val="0"/>
      <w:spacing w:line="360" w:lineRule="auto"/>
      <w:jc w:val="center"/>
    </w:pPr>
    <w:rPr>
      <w:rFonts w:eastAsia="仿宋" w:hint="eastAsia"/>
      <w:b/>
      <w:color w:val="000000"/>
      <w:kern w:val="2"/>
      <w:sz w:val="24"/>
      <w:szCs w:val="21"/>
    </w:rPr>
  </w:style>
  <w:style w:type="paragraph" w:customStyle="1" w:styleId="1-0">
    <w:name w:val="1-表内"/>
    <w:basedOn w:val="1b"/>
    <w:unhideWhenUsed/>
    <w:qFormat/>
    <w:pPr>
      <w:adjustRightInd w:val="0"/>
      <w:snapToGrid w:val="0"/>
      <w:ind w:firstLineChars="0" w:firstLine="0"/>
      <w:jc w:val="center"/>
    </w:pPr>
    <w:rPr>
      <w:color w:val="000000"/>
      <w:szCs w:val="21"/>
    </w:rPr>
  </w:style>
  <w:style w:type="paragraph" w:customStyle="1" w:styleId="a-4">
    <w:name w:val="a-图名"/>
    <w:link w:val="a-CharChar"/>
    <w:unhideWhenUsed/>
    <w:qFormat/>
    <w:pPr>
      <w:adjustRightInd w:val="0"/>
      <w:snapToGrid w:val="0"/>
      <w:spacing w:line="480" w:lineRule="auto"/>
      <w:jc w:val="center"/>
    </w:pPr>
    <w:rPr>
      <w:rFonts w:eastAsia="仿宋_GB2312" w:hint="eastAsia"/>
      <w:b/>
      <w:color w:val="000000"/>
      <w:kern w:val="2"/>
      <w:sz w:val="24"/>
      <w:szCs w:val="21"/>
    </w:rPr>
  </w:style>
  <w:style w:type="paragraph" w:customStyle="1" w:styleId="CharChar2CharCharCharCharCharCharCharCharCharCharCharCharCharCharCharChar1">
    <w:name w:val="Char Char2 Char Char Char Char Char Char Char Char Char Char Char Char Char Char Char Char1"/>
    <w:basedOn w:val="a3"/>
    <w:unhideWhenUsed/>
    <w:qFormat/>
    <w:rPr>
      <w:rFonts w:hint="eastAsia"/>
      <w:sz w:val="21"/>
      <w:szCs w:val="24"/>
    </w:rPr>
  </w:style>
  <w:style w:type="paragraph" w:customStyle="1" w:styleId="4CharCharChar">
    <w:name w:val="标题4   改 Char Char Char"/>
    <w:basedOn w:val="a3"/>
    <w:unhideWhenUsed/>
    <w:qFormat/>
    <w:pPr>
      <w:snapToGrid w:val="0"/>
      <w:spacing w:line="240" w:lineRule="atLeast"/>
      <w:jc w:val="center"/>
    </w:pPr>
    <w:rPr>
      <w:rFonts w:hint="eastAsia"/>
      <w:color w:val="000000"/>
      <w:sz w:val="21"/>
    </w:rPr>
  </w:style>
  <w:style w:type="paragraph" w:customStyle="1" w:styleId="3333">
    <w:name w:val="3333"/>
    <w:basedOn w:val="a3"/>
    <w:unhideWhenUsed/>
    <w:qFormat/>
    <w:pPr>
      <w:widowControl/>
      <w:tabs>
        <w:tab w:val="right" w:pos="10773"/>
      </w:tabs>
      <w:autoSpaceDE w:val="0"/>
      <w:autoSpaceDN w:val="0"/>
      <w:adjustRightInd w:val="0"/>
      <w:snapToGrid w:val="0"/>
      <w:spacing w:line="440" w:lineRule="atLeast"/>
      <w:textAlignment w:val="bottom"/>
      <w:outlineLvl w:val="2"/>
    </w:pPr>
    <w:rPr>
      <w:rFonts w:ascii="宋体" w:hAnsi="Calibri" w:hint="eastAsia"/>
      <w:szCs w:val="22"/>
    </w:rPr>
  </w:style>
  <w:style w:type="paragraph" w:customStyle="1" w:styleId="affffffffffffffffffffff3">
    <w:name w:val="表标题"/>
    <w:basedOn w:val="28"/>
    <w:unhideWhenUsed/>
    <w:qFormat/>
    <w:pPr>
      <w:tabs>
        <w:tab w:val="left" w:pos="0"/>
        <w:tab w:val="left" w:pos="870"/>
        <w:tab w:val="left" w:pos="3150"/>
      </w:tabs>
      <w:autoSpaceDE w:val="0"/>
      <w:autoSpaceDN w:val="0"/>
      <w:adjustRightInd w:val="0"/>
      <w:spacing w:after="0"/>
      <w:ind w:leftChars="0" w:left="0" w:firstLineChars="0" w:firstLine="0"/>
      <w:jc w:val="center"/>
      <w:textAlignment w:val="baseline"/>
    </w:pPr>
    <w:rPr>
      <w:rFonts w:eastAsia="黑体" w:hint="eastAsia"/>
      <w:szCs w:val="24"/>
    </w:rPr>
  </w:style>
  <w:style w:type="paragraph" w:customStyle="1" w:styleId="1ffff6">
    <w:name w:val="批注主题1"/>
    <w:basedOn w:val="a3"/>
    <w:next w:val="a3"/>
    <w:unhideWhenUsed/>
    <w:qFormat/>
    <w:pPr>
      <w:jc w:val="left"/>
    </w:pPr>
    <w:rPr>
      <w:rFonts w:hint="eastAsia"/>
      <w:b/>
      <w:szCs w:val="20"/>
    </w:rPr>
  </w:style>
  <w:style w:type="paragraph" w:customStyle="1" w:styleId="a1">
    <w:name w:val="正文：段落格式"/>
    <w:basedOn w:val="a3"/>
    <w:link w:val="Charfffff3"/>
    <w:unhideWhenUsed/>
    <w:qFormat/>
    <w:pPr>
      <w:numPr>
        <w:ilvl w:val="1"/>
        <w:numId w:val="11"/>
      </w:numPr>
      <w:tabs>
        <w:tab w:val="left" w:pos="0"/>
      </w:tabs>
      <w:adjustRightInd w:val="0"/>
      <w:snapToGrid w:val="0"/>
      <w:ind w:right="-91"/>
    </w:pPr>
    <w:rPr>
      <w:rFonts w:ascii="宋体" w:hAnsi="宋体" w:hint="eastAsia"/>
      <w:color w:val="000000"/>
      <w:kern w:val="15"/>
      <w:szCs w:val="24"/>
    </w:rPr>
  </w:style>
  <w:style w:type="paragraph" w:customStyle="1" w:styleId="CM5">
    <w:name w:val="CM5"/>
    <w:basedOn w:val="Default"/>
    <w:next w:val="Default"/>
    <w:unhideWhenUsed/>
    <w:qFormat/>
    <w:rPr>
      <w:rFonts w:ascii="黑体" w:eastAsia="黑体" w:hAnsi="Calibri" w:hint="eastAsia"/>
    </w:rPr>
  </w:style>
  <w:style w:type="paragraph" w:customStyle="1" w:styleId="CM143">
    <w:name w:val="CM143"/>
    <w:basedOn w:val="Default"/>
    <w:next w:val="Default"/>
    <w:unhideWhenUsed/>
    <w:qFormat/>
    <w:pPr>
      <w:spacing w:after="410"/>
    </w:pPr>
    <w:rPr>
      <w:rFonts w:ascii="黑体" w:eastAsia="黑体" w:hAnsi="Calibri" w:hint="eastAsia"/>
    </w:rPr>
  </w:style>
  <w:style w:type="paragraph" w:customStyle="1" w:styleId="CM14">
    <w:name w:val="CM14"/>
    <w:basedOn w:val="Default"/>
    <w:next w:val="Default"/>
    <w:unhideWhenUsed/>
    <w:qFormat/>
    <w:pPr>
      <w:spacing w:line="471" w:lineRule="atLeast"/>
    </w:pPr>
    <w:rPr>
      <w:rFonts w:ascii="黑体" w:eastAsia="黑体" w:hAnsi="Calibri" w:hint="eastAsia"/>
    </w:rPr>
  </w:style>
  <w:style w:type="paragraph" w:customStyle="1" w:styleId="CM46">
    <w:name w:val="CM46"/>
    <w:basedOn w:val="Default"/>
    <w:next w:val="Default"/>
    <w:unhideWhenUsed/>
    <w:qFormat/>
    <w:pPr>
      <w:spacing w:line="468" w:lineRule="atLeast"/>
    </w:pPr>
    <w:rPr>
      <w:rFonts w:ascii="黑体" w:eastAsia="黑体" w:hAnsi="Calibri" w:hint="eastAsia"/>
    </w:rPr>
  </w:style>
  <w:style w:type="paragraph" w:customStyle="1" w:styleId="CM45">
    <w:name w:val="CM45"/>
    <w:basedOn w:val="a3"/>
    <w:next w:val="a3"/>
    <w:unhideWhenUsed/>
    <w:qFormat/>
    <w:pPr>
      <w:autoSpaceDE w:val="0"/>
      <w:autoSpaceDN w:val="0"/>
      <w:adjustRightInd w:val="0"/>
      <w:spacing w:line="468" w:lineRule="atLeast"/>
      <w:jc w:val="left"/>
    </w:pPr>
    <w:rPr>
      <w:rFonts w:ascii="黑体" w:eastAsia="黑体" w:hAnsi="Calibri" w:hint="eastAsia"/>
      <w:szCs w:val="24"/>
    </w:rPr>
  </w:style>
  <w:style w:type="paragraph" w:customStyle="1" w:styleId="CM27">
    <w:name w:val="CM27"/>
    <w:basedOn w:val="Default"/>
    <w:next w:val="Default"/>
    <w:unhideWhenUsed/>
    <w:qFormat/>
    <w:rPr>
      <w:rFonts w:ascii="黑体" w:eastAsia="黑体" w:hAnsi="Calibri" w:hint="eastAsia"/>
    </w:rPr>
  </w:style>
  <w:style w:type="paragraph" w:customStyle="1" w:styleId="BG0">
    <w:name w:val="BG"/>
    <w:basedOn w:val="3333"/>
    <w:unhideWhenUsed/>
    <w:qFormat/>
    <w:pPr>
      <w:spacing w:line="360" w:lineRule="atLeast"/>
    </w:pPr>
    <w:rPr>
      <w:sz w:val="21"/>
    </w:rPr>
  </w:style>
  <w:style w:type="paragraph" w:customStyle="1" w:styleId="p18">
    <w:name w:val="p18"/>
    <w:basedOn w:val="a3"/>
    <w:unhideWhenUsed/>
    <w:qFormat/>
    <w:pPr>
      <w:widowControl/>
      <w:spacing w:line="240" w:lineRule="atLeast"/>
      <w:ind w:firstLine="210"/>
    </w:pPr>
    <w:rPr>
      <w:rFonts w:ascii="宋体" w:hAnsi="宋体" w:cs="宋体" w:hint="eastAsia"/>
      <w:szCs w:val="24"/>
    </w:rPr>
  </w:style>
  <w:style w:type="paragraph" w:customStyle="1" w:styleId="p19">
    <w:name w:val="p19"/>
    <w:basedOn w:val="a3"/>
    <w:unhideWhenUsed/>
    <w:qFormat/>
    <w:pPr>
      <w:widowControl/>
      <w:ind w:firstLine="420"/>
      <w:jc w:val="left"/>
    </w:pPr>
    <w:rPr>
      <w:rFonts w:hint="eastAsia"/>
      <w:szCs w:val="24"/>
    </w:rPr>
  </w:style>
  <w:style w:type="paragraph" w:customStyle="1" w:styleId="p21">
    <w:name w:val="p21"/>
    <w:basedOn w:val="a3"/>
    <w:unhideWhenUsed/>
    <w:qFormat/>
    <w:pPr>
      <w:widowControl/>
    </w:pPr>
    <w:rPr>
      <w:rFonts w:ascii="宋体" w:hAnsi="宋体" w:cs="宋体" w:hint="eastAsia"/>
      <w:sz w:val="28"/>
      <w:szCs w:val="28"/>
    </w:rPr>
  </w:style>
  <w:style w:type="paragraph" w:customStyle="1" w:styleId="CM18">
    <w:name w:val="CM18"/>
    <w:basedOn w:val="Default"/>
    <w:next w:val="Default"/>
    <w:unhideWhenUsed/>
    <w:qFormat/>
    <w:pPr>
      <w:spacing w:after="420"/>
    </w:pPr>
    <w:rPr>
      <w:rFonts w:ascii="Arial" w:hAnsi="Arial" w:hint="eastAsia"/>
    </w:rPr>
  </w:style>
  <w:style w:type="paragraph" w:customStyle="1" w:styleId="FH">
    <w:name w:val="FH正文"/>
    <w:next w:val="a3"/>
    <w:unhideWhenUsed/>
    <w:qFormat/>
    <w:pPr>
      <w:widowControl w:val="0"/>
      <w:adjustRightInd w:val="0"/>
      <w:spacing w:line="500" w:lineRule="exact"/>
      <w:ind w:firstLineChars="200" w:firstLine="480"/>
      <w:jc w:val="both"/>
    </w:pPr>
    <w:rPr>
      <w:rFonts w:ascii="宋体" w:hAnsi="宋体" w:cs="Arial" w:hint="eastAsia"/>
      <w:color w:val="008000"/>
      <w:kern w:val="2"/>
      <w:sz w:val="24"/>
      <w:szCs w:val="21"/>
    </w:rPr>
  </w:style>
  <w:style w:type="paragraph" w:customStyle="1" w:styleId="a0">
    <w:name w:val="分点段落文字"/>
    <w:basedOn w:val="a3"/>
    <w:unhideWhenUsed/>
    <w:qFormat/>
    <w:pPr>
      <w:numPr>
        <w:numId w:val="13"/>
      </w:numPr>
    </w:pPr>
    <w:rPr>
      <w:rFonts w:hint="eastAsia"/>
      <w:szCs w:val="24"/>
    </w:rPr>
  </w:style>
  <w:style w:type="paragraph" w:customStyle="1" w:styleId="style4">
    <w:name w:val="style4"/>
    <w:basedOn w:val="a3"/>
    <w:unhideWhenUsed/>
    <w:qFormat/>
    <w:pPr>
      <w:widowControl/>
      <w:spacing w:before="100" w:beforeAutospacing="1" w:after="100" w:afterAutospacing="1"/>
      <w:jc w:val="left"/>
    </w:pPr>
    <w:rPr>
      <w:rFonts w:ascii="宋体" w:hAnsi="宋体" w:cs="宋体" w:hint="eastAsia"/>
      <w:color w:val="666666"/>
      <w:szCs w:val="24"/>
    </w:rPr>
  </w:style>
  <w:style w:type="paragraph" w:customStyle="1" w:styleId="3ff">
    <w:name w:val="+标题3"/>
    <w:basedOn w:val="310"/>
    <w:link w:val="3ff0"/>
    <w:unhideWhenUsed/>
    <w:qFormat/>
    <w:pPr>
      <w:keepNext w:val="0"/>
      <w:tabs>
        <w:tab w:val="left" w:pos="0"/>
        <w:tab w:val="left" w:pos="709"/>
      </w:tabs>
      <w:spacing w:beforeLines="0" w:afterLines="0"/>
      <w:ind w:firstLineChars="0" w:firstLine="0"/>
    </w:pPr>
    <w:rPr>
      <w:rFonts w:ascii="黑体" w:eastAsia="黑体" w:hAnsi="宋体"/>
      <w:b w:val="0"/>
      <w:sz w:val="24"/>
      <w:szCs w:val="28"/>
    </w:rPr>
  </w:style>
  <w:style w:type="paragraph" w:customStyle="1" w:styleId="affffffffffffffffffffff4">
    <w:name w:val="煤炭资源普查报告格式"/>
    <w:basedOn w:val="a3"/>
    <w:unhideWhenUsed/>
    <w:qFormat/>
    <w:pPr>
      <w:spacing w:line="500" w:lineRule="exact"/>
    </w:pPr>
    <w:rPr>
      <w:rFonts w:hint="eastAsia"/>
      <w:szCs w:val="24"/>
    </w:rPr>
  </w:style>
  <w:style w:type="paragraph" w:customStyle="1" w:styleId="CharChar3CharChar">
    <w:name w:val="Char Char3 Char Char"/>
    <w:basedOn w:val="a3"/>
    <w:unhideWhenUsed/>
    <w:qFormat/>
    <w:rPr>
      <w:rFonts w:ascii="Calibri" w:hAnsi="Calibri" w:hint="eastAsia"/>
      <w:sz w:val="21"/>
      <w:szCs w:val="22"/>
    </w:rPr>
  </w:style>
  <w:style w:type="paragraph" w:customStyle="1" w:styleId="118">
    <w:name w:val="列出段落11"/>
    <w:basedOn w:val="a3"/>
    <w:unhideWhenUsed/>
    <w:qFormat/>
    <w:pPr>
      <w:ind w:firstLine="420"/>
    </w:pPr>
    <w:rPr>
      <w:rFonts w:ascii="Calibri" w:hAnsi="Calibri" w:hint="eastAsia"/>
      <w:sz w:val="21"/>
      <w:szCs w:val="22"/>
    </w:rPr>
  </w:style>
  <w:style w:type="paragraph" w:customStyle="1" w:styleId="1ffff7">
    <w:name w:val="正文首行缩进1"/>
    <w:basedOn w:val="12"/>
    <w:unhideWhenUsed/>
    <w:qFormat/>
    <w:pPr>
      <w:widowControl w:val="0"/>
      <w:ind w:firstLineChars="100" w:firstLine="420"/>
      <w:jc w:val="both"/>
    </w:pPr>
    <w:rPr>
      <w:sz w:val="21"/>
    </w:rPr>
  </w:style>
  <w:style w:type="paragraph" w:customStyle="1" w:styleId="CM30">
    <w:name w:val="CM30"/>
    <w:basedOn w:val="a3"/>
    <w:next w:val="a3"/>
    <w:unhideWhenUsed/>
    <w:qFormat/>
    <w:pPr>
      <w:autoSpaceDE w:val="0"/>
      <w:autoSpaceDN w:val="0"/>
      <w:adjustRightInd w:val="0"/>
      <w:jc w:val="left"/>
    </w:pPr>
    <w:rPr>
      <w:rFonts w:ascii="宋体" w:hAnsi="Calibri" w:hint="eastAsia"/>
      <w:szCs w:val="24"/>
    </w:rPr>
  </w:style>
  <w:style w:type="paragraph" w:customStyle="1" w:styleId="dxj">
    <w:name w:val="dxj正文"/>
    <w:basedOn w:val="a3"/>
    <w:link w:val="dxjChar"/>
    <w:unhideWhenUsed/>
    <w:qFormat/>
    <w:rPr>
      <w:rFonts w:hint="eastAsia"/>
      <w:szCs w:val="24"/>
    </w:rPr>
  </w:style>
  <w:style w:type="paragraph" w:customStyle="1" w:styleId="a-5">
    <w:name w:val="a-文本"/>
    <w:unhideWhenUsed/>
    <w:qFormat/>
    <w:pPr>
      <w:adjustRightInd w:val="0"/>
      <w:snapToGrid w:val="0"/>
      <w:spacing w:line="360" w:lineRule="auto"/>
      <w:ind w:firstLineChars="200" w:firstLine="200"/>
    </w:pPr>
    <w:rPr>
      <w:rFonts w:hint="eastAsia"/>
      <w:kern w:val="2"/>
      <w:sz w:val="24"/>
      <w:szCs w:val="24"/>
    </w:rPr>
  </w:style>
  <w:style w:type="paragraph" w:customStyle="1" w:styleId="161">
    <w:name w:val="16"/>
    <w:unhideWhenUsed/>
    <w:qFormat/>
    <w:pPr>
      <w:widowControl w:val="0"/>
      <w:jc w:val="both"/>
    </w:pPr>
    <w:rPr>
      <w:rFonts w:hint="eastAsia"/>
      <w:kern w:val="2"/>
      <w:sz w:val="21"/>
      <w:szCs w:val="24"/>
    </w:rPr>
  </w:style>
  <w:style w:type="paragraph" w:customStyle="1" w:styleId="1050510">
    <w:name w:val="标题 1 + 段前: 0.5 行 段后: 0.5 行1"/>
    <w:basedOn w:val="a3"/>
    <w:unhideWhenUsed/>
    <w:qFormat/>
    <w:pPr>
      <w:spacing w:beforeLines="50" w:afterLines="50" w:line="540" w:lineRule="exact"/>
      <w:jc w:val="center"/>
      <w:outlineLvl w:val="0"/>
    </w:pPr>
    <w:rPr>
      <w:rFonts w:ascii="宋体" w:hAnsi="宋体" w:cs="宋体" w:hint="eastAsia"/>
      <w:b/>
      <w:kern w:val="44"/>
      <w:sz w:val="32"/>
      <w:szCs w:val="32"/>
    </w:rPr>
  </w:style>
  <w:style w:type="paragraph" w:customStyle="1" w:styleId="2222222222">
    <w:name w:val="2222222222"/>
    <w:basedOn w:val="a3"/>
    <w:unhideWhenUsed/>
    <w:qFormat/>
    <w:pPr>
      <w:spacing w:line="460" w:lineRule="exact"/>
    </w:pPr>
    <w:rPr>
      <w:rFonts w:ascii="宋体" w:hAnsi="宋体" w:hint="eastAsia"/>
      <w:color w:val="000000"/>
      <w:sz w:val="26"/>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unhideWhenUsed/>
    <w:qFormat/>
    <w:pPr>
      <w:widowControl/>
      <w:jc w:val="left"/>
    </w:pPr>
    <w:rPr>
      <w:rFonts w:hint="eastAsia"/>
      <w:sz w:val="21"/>
    </w:rPr>
  </w:style>
  <w:style w:type="paragraph" w:customStyle="1" w:styleId="qqq">
    <w:name w:val="qqq"/>
    <w:basedOn w:val="PlainText1"/>
    <w:unhideWhenUsed/>
    <w:qFormat/>
    <w:rPr>
      <w:rFonts w:hAnsi="宋体" w:cs="Times New Roman"/>
      <w:sz w:val="24"/>
      <w:szCs w:val="28"/>
    </w:rPr>
  </w:style>
  <w:style w:type="paragraph" w:customStyle="1" w:styleId="5f0">
    <w:name w:val="5文章(治)"/>
    <w:basedOn w:val="a3"/>
    <w:link w:val="5CharChar"/>
    <w:unhideWhenUsed/>
    <w:qFormat/>
    <w:pPr>
      <w:ind w:firstLine="480"/>
    </w:pPr>
    <w:rPr>
      <w:rFonts w:hint="eastAsia"/>
      <w:szCs w:val="20"/>
    </w:rPr>
  </w:style>
  <w:style w:type="paragraph" w:customStyle="1" w:styleId="CharCharCharCharCharCharCharCharCharCharCharCharCharChar">
    <w:name w:val="Char Char Char Char Char Char Char Char Char Char Char Char Char Char"/>
    <w:basedOn w:val="a3"/>
    <w:unhideWhenUsed/>
    <w:qFormat/>
    <w:rPr>
      <w:rFonts w:hint="eastAsia"/>
      <w:sz w:val="21"/>
      <w:szCs w:val="24"/>
    </w:rPr>
  </w:style>
  <w:style w:type="paragraph" w:customStyle="1" w:styleId="76">
    <w:name w:val="7表格(治)"/>
    <w:link w:val="7Char1"/>
    <w:unhideWhenUsed/>
    <w:qFormat/>
    <w:pPr>
      <w:snapToGrid w:val="0"/>
      <w:jc w:val="center"/>
    </w:pPr>
    <w:rPr>
      <w:rFonts w:hint="eastAsia"/>
      <w:sz w:val="21"/>
    </w:rPr>
  </w:style>
  <w:style w:type="paragraph" w:customStyle="1" w:styleId="affffffffffffffffffffff5">
    <w:name w:val="环保表内字（小五）"/>
    <w:basedOn w:val="a3"/>
    <w:link w:val="Charfffff4"/>
    <w:unhideWhenUsed/>
    <w:qFormat/>
    <w:pPr>
      <w:autoSpaceDE w:val="0"/>
      <w:autoSpaceDN w:val="0"/>
      <w:adjustRightInd w:val="0"/>
      <w:snapToGrid w:val="0"/>
      <w:spacing w:line="240" w:lineRule="atLeast"/>
    </w:pPr>
    <w:rPr>
      <w:rFonts w:hint="eastAsia"/>
      <w:color w:val="000000"/>
      <w:sz w:val="20"/>
      <w:szCs w:val="20"/>
      <w:lang w:val="zh-CN"/>
    </w:rPr>
  </w:style>
  <w:style w:type="paragraph" w:customStyle="1" w:styleId="affffffffffffffffffffff6">
    <w:name w:val="正文 楷体"/>
    <w:basedOn w:val="a3"/>
    <w:link w:val="Charfffff5"/>
    <w:unhideWhenUsed/>
    <w:qFormat/>
    <w:pPr>
      <w:spacing w:line="500" w:lineRule="exact"/>
    </w:pPr>
    <w:rPr>
      <w:rFonts w:ascii="楷体_GB2312" w:eastAsia="楷体_GB2312" w:hAnsi="楷体_GB2312" w:hint="eastAsia"/>
      <w:color w:val="000000"/>
      <w:spacing w:val="8"/>
      <w:w w:val="110"/>
      <w:szCs w:val="24"/>
    </w:rPr>
  </w:style>
  <w:style w:type="paragraph" w:customStyle="1" w:styleId="710">
    <w:name w:val="标题 71"/>
    <w:basedOn w:val="a3"/>
    <w:uiPriority w:val="1"/>
    <w:unhideWhenUsed/>
    <w:qFormat/>
    <w:pPr>
      <w:spacing w:before="26"/>
      <w:ind w:right="101"/>
      <w:jc w:val="left"/>
      <w:outlineLvl w:val="7"/>
    </w:pPr>
    <w:rPr>
      <w:rFonts w:ascii="宋体" w:hAnsi="宋体" w:cs="宋体" w:hint="eastAsia"/>
      <w:b/>
      <w:szCs w:val="24"/>
      <w:lang w:eastAsia="en-US"/>
    </w:rPr>
  </w:style>
  <w:style w:type="paragraph" w:customStyle="1" w:styleId="3ff1">
    <w:name w:val="纯文本3"/>
    <w:basedOn w:val="a3"/>
    <w:unhideWhenUsed/>
    <w:qFormat/>
    <w:pPr>
      <w:adjustRightInd w:val="0"/>
      <w:textAlignment w:val="baseline"/>
    </w:pPr>
    <w:rPr>
      <w:rFonts w:ascii="宋体" w:hAnsi="Courier New" w:hint="eastAsia"/>
      <w:sz w:val="21"/>
      <w:szCs w:val="20"/>
    </w:rPr>
  </w:style>
  <w:style w:type="paragraph" w:customStyle="1" w:styleId="-ls">
    <w:name w:val="正文-ls"/>
    <w:basedOn w:val="a3"/>
    <w:link w:val="-lsCharChar"/>
    <w:unhideWhenUsed/>
    <w:qFormat/>
    <w:rPr>
      <w:rFonts w:ascii="Calibri" w:hAnsi="宋体" w:hint="eastAsia"/>
      <w:color w:val="000000"/>
      <w:w w:val="110"/>
      <w:szCs w:val="20"/>
    </w:rPr>
  </w:style>
  <w:style w:type="paragraph" w:customStyle="1" w:styleId="xl105">
    <w:name w:val="xl105"/>
    <w:basedOn w:val="a3"/>
    <w:unhideWhenUsed/>
    <w:qFormat/>
    <w:pPr>
      <w:widowControl/>
      <w:spacing w:before="100" w:beforeAutospacing="1" w:after="100" w:afterAutospacing="1"/>
      <w:jc w:val="center"/>
    </w:pPr>
    <w:rPr>
      <w:rFonts w:ascii="宋体" w:hAnsi="宋体" w:cs="宋体" w:hint="eastAsia"/>
      <w:color w:val="FF0000"/>
      <w:sz w:val="16"/>
      <w:szCs w:val="16"/>
    </w:rPr>
  </w:style>
  <w:style w:type="paragraph" w:customStyle="1" w:styleId="xl106">
    <w:name w:val="xl106"/>
    <w:basedOn w:val="a3"/>
    <w:unhideWhenUsed/>
    <w:qFormat/>
    <w:pPr>
      <w:widowControl/>
      <w:spacing w:before="100" w:beforeAutospacing="1" w:after="100" w:afterAutospacing="1"/>
      <w:jc w:val="center"/>
    </w:pPr>
    <w:rPr>
      <w:rFonts w:ascii="宋体" w:hAnsi="宋体" w:cs="宋体" w:hint="eastAsia"/>
      <w:color w:val="7030A0"/>
      <w:sz w:val="16"/>
      <w:szCs w:val="16"/>
    </w:rPr>
  </w:style>
  <w:style w:type="paragraph" w:customStyle="1" w:styleId="xl107">
    <w:name w:val="xl107"/>
    <w:basedOn w:val="a3"/>
    <w:unhideWhenUsed/>
    <w:qFormat/>
    <w:pPr>
      <w:widowControl/>
      <w:spacing w:before="100" w:beforeAutospacing="1" w:after="100" w:afterAutospacing="1"/>
      <w:jc w:val="center"/>
    </w:pPr>
    <w:rPr>
      <w:rFonts w:ascii="宋体" w:hAnsi="宋体" w:cs="宋体" w:hint="eastAsia"/>
      <w:szCs w:val="24"/>
    </w:rPr>
  </w:style>
  <w:style w:type="paragraph" w:customStyle="1" w:styleId="xl108">
    <w:name w:val="xl108"/>
    <w:basedOn w:val="a3"/>
    <w:unhideWhenUsed/>
    <w:qFormat/>
    <w:pPr>
      <w:widowControl/>
      <w:shd w:val="clear" w:color="000000" w:fill="FFFF00"/>
      <w:spacing w:before="100" w:beforeAutospacing="1" w:after="100" w:afterAutospacing="1"/>
      <w:jc w:val="center"/>
    </w:pPr>
    <w:rPr>
      <w:rFonts w:ascii="宋体" w:hAnsi="宋体" w:cs="宋体" w:hint="eastAsia"/>
      <w:szCs w:val="24"/>
    </w:rPr>
  </w:style>
  <w:style w:type="paragraph" w:customStyle="1" w:styleId="xl109">
    <w:name w:val="xl109"/>
    <w:basedOn w:val="a3"/>
    <w:unhideWhenUsed/>
    <w:qFormat/>
    <w:pPr>
      <w:widowControl/>
      <w:shd w:val="clear" w:color="000000" w:fill="FF0000"/>
      <w:spacing w:before="100" w:beforeAutospacing="1" w:after="100" w:afterAutospacing="1"/>
      <w:jc w:val="center"/>
    </w:pPr>
    <w:rPr>
      <w:rFonts w:ascii="宋体" w:hAnsi="宋体" w:cs="宋体" w:hint="eastAsia"/>
      <w:sz w:val="16"/>
      <w:szCs w:val="16"/>
    </w:rPr>
  </w:style>
  <w:style w:type="paragraph" w:customStyle="1" w:styleId="xl110">
    <w:name w:val="xl110"/>
    <w:basedOn w:val="a3"/>
    <w:unhideWhenUsed/>
    <w:qFormat/>
    <w:pPr>
      <w:widowControl/>
      <w:shd w:val="clear" w:color="000000" w:fill="FF0000"/>
      <w:spacing w:before="100" w:beforeAutospacing="1" w:after="100" w:afterAutospacing="1"/>
      <w:jc w:val="left"/>
    </w:pPr>
    <w:rPr>
      <w:rFonts w:ascii="宋体" w:hAnsi="宋体" w:cs="宋体" w:hint="eastAsia"/>
      <w:szCs w:val="24"/>
    </w:rPr>
  </w:style>
  <w:style w:type="paragraph" w:customStyle="1" w:styleId="xl111">
    <w:name w:val="xl111"/>
    <w:basedOn w:val="a3"/>
    <w:unhideWhenUsed/>
    <w:qFormat/>
    <w:pPr>
      <w:widowControl/>
      <w:shd w:val="clear" w:color="000000" w:fill="92D050"/>
      <w:spacing w:before="100" w:beforeAutospacing="1" w:after="100" w:afterAutospacing="1"/>
      <w:jc w:val="left"/>
    </w:pPr>
    <w:rPr>
      <w:rFonts w:ascii="宋体" w:hAnsi="宋体" w:cs="宋体" w:hint="eastAsia"/>
      <w:szCs w:val="24"/>
    </w:rPr>
  </w:style>
  <w:style w:type="paragraph" w:customStyle="1" w:styleId="xl112">
    <w:name w:val="xl112"/>
    <w:basedOn w:val="a3"/>
    <w:unhideWhenUsed/>
    <w:qFormat/>
    <w:pPr>
      <w:widowControl/>
      <w:spacing w:before="100" w:beforeAutospacing="1" w:after="100" w:afterAutospacing="1"/>
      <w:jc w:val="center"/>
    </w:pPr>
    <w:rPr>
      <w:rFonts w:ascii="宋体" w:hAnsi="宋体" w:cs="宋体" w:hint="eastAsia"/>
      <w:szCs w:val="24"/>
    </w:rPr>
  </w:style>
  <w:style w:type="paragraph" w:customStyle="1" w:styleId="xl113">
    <w:name w:val="xl113"/>
    <w:basedOn w:val="a3"/>
    <w:unhideWhenUsed/>
    <w:qFormat/>
    <w:pPr>
      <w:widowControl/>
      <w:spacing w:before="100" w:beforeAutospacing="1" w:after="100" w:afterAutospacing="1"/>
      <w:jc w:val="center"/>
    </w:pPr>
    <w:rPr>
      <w:rFonts w:ascii="宋体" w:hAnsi="宋体" w:cs="宋体" w:hint="eastAsia"/>
      <w:sz w:val="16"/>
      <w:szCs w:val="16"/>
    </w:rPr>
  </w:style>
  <w:style w:type="paragraph" w:customStyle="1" w:styleId="xl114">
    <w:name w:val="xl114"/>
    <w:basedOn w:val="a3"/>
    <w:unhideWhenUsed/>
    <w:qFormat/>
    <w:pPr>
      <w:widowControl/>
      <w:spacing w:before="100" w:beforeAutospacing="1" w:after="100" w:afterAutospacing="1"/>
      <w:jc w:val="center"/>
    </w:pPr>
    <w:rPr>
      <w:rFonts w:ascii="宋体" w:hAnsi="宋体" w:cs="宋体" w:hint="eastAsia"/>
      <w:color w:val="00B050"/>
      <w:sz w:val="16"/>
      <w:szCs w:val="16"/>
    </w:rPr>
  </w:style>
  <w:style w:type="paragraph" w:customStyle="1" w:styleId="Char220">
    <w:name w:val="Char22"/>
    <w:basedOn w:val="a3"/>
    <w:unhideWhenUsed/>
    <w:qFormat/>
    <w:rPr>
      <w:rFonts w:hint="eastAsia"/>
      <w:sz w:val="21"/>
      <w:szCs w:val="24"/>
    </w:rPr>
  </w:style>
  <w:style w:type="paragraph" w:customStyle="1" w:styleId="005">
    <w:name w:val="00表名"/>
    <w:basedOn w:val="a3"/>
    <w:unhideWhenUsed/>
    <w:qFormat/>
    <w:rPr>
      <w:rFonts w:eastAsia="黑体" w:hint="eastAsia"/>
      <w:szCs w:val="24"/>
    </w:rPr>
  </w:style>
  <w:style w:type="paragraph" w:customStyle="1" w:styleId="affffffffffffffffffffff7">
    <w:name w:val="正文样式"/>
    <w:basedOn w:val="a3"/>
    <w:unhideWhenUsed/>
    <w:qFormat/>
    <w:pPr>
      <w:ind w:firstLine="560"/>
    </w:pPr>
    <w:rPr>
      <w:rFonts w:hAnsi="宋体" w:hint="eastAsia"/>
      <w:sz w:val="28"/>
      <w:szCs w:val="28"/>
    </w:rPr>
  </w:style>
  <w:style w:type="paragraph" w:customStyle="1" w:styleId="affffffffffffffffffffff8">
    <w:name w:val="正文内容"/>
    <w:basedOn w:val="a3"/>
    <w:link w:val="Charfffff6"/>
    <w:unhideWhenUsed/>
    <w:qFormat/>
    <w:pPr>
      <w:spacing w:line="520" w:lineRule="exact"/>
    </w:pPr>
    <w:rPr>
      <w:rFonts w:hint="eastAsia"/>
      <w:szCs w:val="24"/>
    </w:rPr>
  </w:style>
  <w:style w:type="paragraph" w:customStyle="1" w:styleId="affffffffffffffffffffff9">
    <w:name w:val="环评 正文"/>
    <w:basedOn w:val="25"/>
    <w:link w:val="CharChar9"/>
    <w:unhideWhenUsed/>
    <w:qFormat/>
    <w:pPr>
      <w:spacing w:after="0" w:line="360" w:lineRule="auto"/>
    </w:pPr>
    <w:rPr>
      <w:rFonts w:ascii="宋体" w:hAnsi="宋体" w:hint="eastAsia"/>
      <w:szCs w:val="20"/>
    </w:rPr>
  </w:style>
  <w:style w:type="paragraph" w:customStyle="1" w:styleId="text01">
    <w:name w:val="text01"/>
    <w:basedOn w:val="a3"/>
    <w:unhideWhenUsed/>
    <w:qFormat/>
    <w:pPr>
      <w:widowControl/>
      <w:spacing w:before="100" w:beforeAutospacing="1" w:after="100" w:afterAutospacing="1" w:line="280" w:lineRule="atLeast"/>
    </w:pPr>
    <w:rPr>
      <w:rFonts w:ascii="Verdana" w:hAnsi="Verdana" w:cs="宋体" w:hint="eastAsia"/>
      <w:sz w:val="20"/>
      <w:szCs w:val="20"/>
    </w:rPr>
  </w:style>
  <w:style w:type="paragraph" w:customStyle="1" w:styleId="21d">
    <w:name w:val="标题 21"/>
    <w:basedOn w:val="a3"/>
    <w:uiPriority w:val="1"/>
    <w:unhideWhenUsed/>
    <w:qFormat/>
    <w:pPr>
      <w:spacing w:before="131"/>
      <w:ind w:left="100"/>
      <w:jc w:val="left"/>
      <w:outlineLvl w:val="2"/>
    </w:pPr>
    <w:rPr>
      <w:rFonts w:ascii="宋体" w:hAnsi="宋体" w:cs="宋体" w:hint="eastAsia"/>
      <w:b/>
      <w:sz w:val="28"/>
      <w:szCs w:val="28"/>
      <w:lang w:eastAsia="en-US"/>
    </w:rPr>
  </w:style>
  <w:style w:type="paragraph" w:customStyle="1" w:styleId="317">
    <w:name w:val="标题 31"/>
    <w:basedOn w:val="a3"/>
    <w:uiPriority w:val="1"/>
    <w:unhideWhenUsed/>
    <w:qFormat/>
    <w:pPr>
      <w:ind w:left="100"/>
      <w:jc w:val="left"/>
      <w:outlineLvl w:val="3"/>
    </w:pPr>
    <w:rPr>
      <w:rFonts w:ascii="宋体" w:hAnsi="宋体" w:cs="宋体" w:hint="eastAsia"/>
      <w:b/>
      <w:szCs w:val="24"/>
      <w:lang w:eastAsia="en-US"/>
    </w:rPr>
  </w:style>
  <w:style w:type="paragraph" w:customStyle="1" w:styleId="affffffffffffffffffffffa">
    <w:name w:val="标题表格"/>
    <w:basedOn w:val="a3"/>
    <w:link w:val="Charfffff7"/>
    <w:unhideWhenUsed/>
    <w:qFormat/>
    <w:pPr>
      <w:spacing w:beforeLines="80"/>
      <w:jc w:val="center"/>
    </w:pPr>
    <w:rPr>
      <w:rFonts w:ascii="黑体" w:eastAsia="黑体" w:hAnsi="楷体_GB2312" w:cs="宋体" w:hint="eastAsia"/>
      <w:szCs w:val="24"/>
    </w:rPr>
  </w:style>
  <w:style w:type="paragraph" w:customStyle="1" w:styleId="affffffffffffffffffffffb">
    <w:name w:val="表后空行格式"/>
    <w:basedOn w:val="affffe"/>
    <w:unhideWhenUsed/>
    <w:qFormat/>
    <w:pPr>
      <w:widowControl/>
      <w:spacing w:line="240" w:lineRule="exact"/>
      <w:ind w:leftChars="50" w:left="50" w:rightChars="50" w:right="50" w:firstLineChars="0" w:firstLine="0"/>
      <w:jc w:val="left"/>
    </w:pPr>
    <w:rPr>
      <w:rFonts w:cs="宋体"/>
      <w:sz w:val="18"/>
    </w:rPr>
  </w:style>
  <w:style w:type="paragraph" w:customStyle="1" w:styleId="21e">
    <w:name w:val="正文21"/>
    <w:basedOn w:val="a3"/>
    <w:link w:val="21Char"/>
    <w:unhideWhenUsed/>
    <w:qFormat/>
    <w:pPr>
      <w:adjustRightInd w:val="0"/>
      <w:snapToGrid w:val="0"/>
      <w:spacing w:line="440" w:lineRule="atLeast"/>
      <w:ind w:firstLine="510"/>
    </w:pPr>
    <w:rPr>
      <w:rFonts w:hint="eastAsia"/>
      <w:sz w:val="21"/>
      <w:szCs w:val="20"/>
    </w:rPr>
  </w:style>
  <w:style w:type="paragraph" w:customStyle="1" w:styleId="711">
    <w:name w:val="标题 711"/>
    <w:basedOn w:val="a3"/>
    <w:uiPriority w:val="1"/>
    <w:unhideWhenUsed/>
    <w:qFormat/>
    <w:pPr>
      <w:spacing w:before="26"/>
      <w:ind w:right="101"/>
      <w:jc w:val="left"/>
      <w:outlineLvl w:val="7"/>
    </w:pPr>
    <w:rPr>
      <w:rFonts w:ascii="宋体" w:hAnsi="宋体" w:cs="宋体" w:hint="eastAsia"/>
      <w:b/>
      <w:szCs w:val="24"/>
      <w:lang w:eastAsia="en-US"/>
    </w:rPr>
  </w:style>
  <w:style w:type="paragraph" w:customStyle="1" w:styleId="319">
    <w:name w:val="纯文本31"/>
    <w:basedOn w:val="a3"/>
    <w:unhideWhenUsed/>
    <w:qFormat/>
    <w:pPr>
      <w:adjustRightInd w:val="0"/>
    </w:pPr>
    <w:rPr>
      <w:rFonts w:ascii="宋体" w:hAnsi="Courier New" w:hint="eastAsia"/>
      <w:sz w:val="21"/>
      <w:szCs w:val="20"/>
    </w:rPr>
  </w:style>
  <w:style w:type="paragraph" w:customStyle="1" w:styleId="2110">
    <w:name w:val="标题 211"/>
    <w:basedOn w:val="a3"/>
    <w:uiPriority w:val="1"/>
    <w:unhideWhenUsed/>
    <w:qFormat/>
    <w:pPr>
      <w:spacing w:before="131"/>
      <w:ind w:left="100"/>
      <w:jc w:val="left"/>
      <w:outlineLvl w:val="2"/>
    </w:pPr>
    <w:rPr>
      <w:rFonts w:ascii="宋体" w:hAnsi="宋体" w:cs="宋体" w:hint="eastAsia"/>
      <w:b/>
      <w:sz w:val="28"/>
      <w:szCs w:val="28"/>
      <w:lang w:eastAsia="en-US"/>
    </w:rPr>
  </w:style>
  <w:style w:type="paragraph" w:customStyle="1" w:styleId="3120">
    <w:name w:val="标题 312"/>
    <w:basedOn w:val="a3"/>
    <w:uiPriority w:val="1"/>
    <w:unhideWhenUsed/>
    <w:qFormat/>
    <w:pPr>
      <w:ind w:left="100"/>
      <w:jc w:val="left"/>
      <w:outlineLvl w:val="3"/>
    </w:pPr>
    <w:rPr>
      <w:rFonts w:ascii="宋体" w:hAnsi="宋体" w:cs="宋体" w:hint="eastAsia"/>
      <w:b/>
      <w:szCs w:val="24"/>
      <w:lang w:eastAsia="en-US"/>
    </w:rPr>
  </w:style>
  <w:style w:type="paragraph" w:customStyle="1" w:styleId="22b">
    <w:name w:val="正文22"/>
    <w:basedOn w:val="a3"/>
    <w:unhideWhenUsed/>
    <w:qFormat/>
    <w:pPr>
      <w:adjustRightInd w:val="0"/>
      <w:snapToGrid w:val="0"/>
      <w:spacing w:line="440" w:lineRule="atLeast"/>
      <w:ind w:firstLine="510"/>
    </w:pPr>
    <w:rPr>
      <w:rFonts w:hint="eastAsia"/>
      <w:sz w:val="21"/>
      <w:szCs w:val="20"/>
    </w:rPr>
  </w:style>
  <w:style w:type="paragraph" w:customStyle="1" w:styleId="119">
    <w:name w:val="表格内容11"/>
    <w:basedOn w:val="PlainText1"/>
    <w:link w:val="11Char"/>
    <w:uiPriority w:val="99"/>
    <w:unhideWhenUsed/>
    <w:qFormat/>
    <w:rPr>
      <w:rFonts w:ascii="Times New Roman" w:hAnsi="Times New Roman" w:cs="Times New Roman"/>
      <w:sz w:val="20"/>
      <w:szCs w:val="21"/>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3"/>
    <w:unhideWhenUsed/>
    <w:qFormat/>
    <w:pPr>
      <w:widowControl/>
      <w:jc w:val="left"/>
    </w:pPr>
    <w:rPr>
      <w:rFonts w:hint="eastAsia"/>
      <w:sz w:val="21"/>
    </w:rPr>
  </w:style>
  <w:style w:type="paragraph" w:customStyle="1" w:styleId="3190">
    <w:name w:val="样式 正文文本缩进 3 + 行距: 固定值 19 磅"/>
    <w:basedOn w:val="312"/>
    <w:unhideWhenUsed/>
    <w:qFormat/>
    <w:pPr>
      <w:widowControl w:val="0"/>
      <w:spacing w:after="120" w:line="380" w:lineRule="exact"/>
      <w:ind w:firstLineChars="0" w:firstLine="0"/>
      <w:jc w:val="center"/>
    </w:pPr>
    <w:rPr>
      <w:sz w:val="16"/>
    </w:rPr>
  </w:style>
  <w:style w:type="paragraph" w:customStyle="1" w:styleId="5f1">
    <w:name w:val="表格文字5号"/>
    <w:basedOn w:val="a3"/>
    <w:unhideWhenUsed/>
    <w:qFormat/>
    <w:pPr>
      <w:jc w:val="center"/>
    </w:pPr>
    <w:rPr>
      <w:rFonts w:ascii="宋体" w:hint="eastAsia"/>
      <w:sz w:val="21"/>
      <w:szCs w:val="24"/>
    </w:rPr>
  </w:style>
  <w:style w:type="paragraph" w:customStyle="1" w:styleId="2fff7">
    <w:name w:val="样式 正文首行缩进 + 首行缩进:  2 字符"/>
    <w:basedOn w:val="aff7"/>
    <w:unhideWhenUsed/>
    <w:qFormat/>
    <w:pPr>
      <w:tabs>
        <w:tab w:val="left" w:pos="7020"/>
      </w:tabs>
      <w:adjustRightInd w:val="0"/>
      <w:spacing w:after="0" w:line="240" w:lineRule="auto"/>
      <w:ind w:firstLineChars="0" w:firstLine="0"/>
      <w:jc w:val="center"/>
      <w:textAlignment w:val="center"/>
    </w:pPr>
    <w:rPr>
      <w:spacing w:val="-6"/>
      <w:sz w:val="21"/>
    </w:rPr>
  </w:style>
  <w:style w:type="paragraph" w:customStyle="1" w:styleId="HD1">
    <w:name w:val="HD1"/>
    <w:basedOn w:val="110"/>
    <w:unhideWhenUsed/>
    <w:qFormat/>
    <w:pPr>
      <w:tabs>
        <w:tab w:val="left" w:pos="-114"/>
      </w:tabs>
      <w:overflowPunct w:val="0"/>
      <w:autoSpaceDN w:val="0"/>
      <w:spacing w:beforeLines="0" w:afterLines="0" w:line="480" w:lineRule="exact"/>
      <w:ind w:firstLineChars="0" w:firstLine="0"/>
      <w:jc w:val="left"/>
    </w:pPr>
    <w:rPr>
      <w:rFonts w:eastAsia="黑体"/>
      <w:b w:val="0"/>
      <w:sz w:val="30"/>
      <w:szCs w:val="24"/>
    </w:rPr>
  </w:style>
  <w:style w:type="paragraph" w:customStyle="1" w:styleId="affffffffffffffffffffffc">
    <w:name w:val="二级无标题条"/>
    <w:basedOn w:val="a3"/>
    <w:unhideWhenUsed/>
    <w:qFormat/>
    <w:rPr>
      <w:rFonts w:hint="eastAsia"/>
      <w:sz w:val="21"/>
      <w:szCs w:val="24"/>
    </w:rPr>
  </w:style>
  <w:style w:type="paragraph" w:customStyle="1" w:styleId="Charfffff8">
    <w:name w:val="Char小五"/>
    <w:unhideWhenUsed/>
    <w:qFormat/>
    <w:pPr>
      <w:jc w:val="both"/>
    </w:pPr>
    <w:rPr>
      <w:rFonts w:eastAsia="仿宋_GB2312" w:hint="eastAsia"/>
      <w:kern w:val="2"/>
      <w:sz w:val="18"/>
      <w:szCs w:val="24"/>
    </w:rPr>
  </w:style>
  <w:style w:type="paragraph" w:customStyle="1" w:styleId="3ff2">
    <w:name w:val="样式 标题 3 + 黑体"/>
    <w:basedOn w:val="310"/>
    <w:unhideWhenUsed/>
    <w:qFormat/>
    <w:pPr>
      <w:overflowPunct w:val="0"/>
      <w:spacing w:beforeLines="0" w:beforeAutospacing="1" w:after="50"/>
      <w:ind w:firstLineChars="0" w:firstLine="0"/>
    </w:pPr>
    <w:rPr>
      <w:rFonts w:ascii="黑体" w:hAnsi="黑体"/>
      <w:sz w:val="30"/>
      <w:szCs w:val="28"/>
    </w:rPr>
  </w:style>
  <w:style w:type="paragraph" w:customStyle="1" w:styleId="3ff3">
    <w:name w:val="样式 标题 3 + 黑色"/>
    <w:basedOn w:val="310"/>
    <w:unhideWhenUsed/>
    <w:qFormat/>
    <w:pPr>
      <w:overflowPunct w:val="0"/>
      <w:spacing w:beforeLines="0" w:beforeAutospacing="1" w:afterLines="0"/>
      <w:ind w:firstLineChars="0" w:firstLine="0"/>
    </w:pPr>
    <w:rPr>
      <w:sz w:val="24"/>
      <w:szCs w:val="28"/>
    </w:rPr>
  </w:style>
  <w:style w:type="paragraph" w:customStyle="1" w:styleId="3111BSH-3W3GB2312">
    <w:name w:val="样式 标题 3条标题1.1.1条标题BSH-3W3 + 仿宋_GB2312 非加粗"/>
    <w:basedOn w:val="310"/>
    <w:unhideWhenUsed/>
    <w:qFormat/>
    <w:pPr>
      <w:tabs>
        <w:tab w:val="left" w:pos="578"/>
      </w:tabs>
      <w:overflowPunct w:val="0"/>
      <w:adjustRightInd w:val="0"/>
      <w:snapToGrid w:val="0"/>
      <w:spacing w:beforeLines="0" w:beforeAutospacing="1" w:afterLines="0"/>
      <w:ind w:firstLineChars="0" w:firstLine="0"/>
    </w:pPr>
    <w:rPr>
      <w:rFonts w:hAnsi="仿宋_GB2312"/>
      <w:sz w:val="28"/>
      <w:szCs w:val="28"/>
    </w:rPr>
  </w:style>
  <w:style w:type="paragraph" w:customStyle="1" w:styleId="3ff4">
    <w:name w:val="样式 正文文本缩进 3 + 小四"/>
    <w:basedOn w:val="312"/>
    <w:unhideWhenUsed/>
    <w:qFormat/>
    <w:pPr>
      <w:widowControl w:val="0"/>
      <w:ind w:firstLineChars="0" w:firstLine="0"/>
      <w:jc w:val="both"/>
    </w:pPr>
    <w:rPr>
      <w:w w:val="90"/>
      <w:sz w:val="24"/>
    </w:rPr>
  </w:style>
  <w:style w:type="paragraph" w:customStyle="1" w:styleId="HD4">
    <w:name w:val="HD4"/>
    <w:basedOn w:val="a3"/>
    <w:unhideWhenUsed/>
    <w:qFormat/>
    <w:pPr>
      <w:spacing w:before="240" w:after="120" w:line="520" w:lineRule="exact"/>
    </w:pPr>
    <w:rPr>
      <w:rFonts w:hint="eastAsia"/>
      <w:b/>
      <w:sz w:val="28"/>
      <w:szCs w:val="24"/>
    </w:rPr>
  </w:style>
  <w:style w:type="paragraph" w:customStyle="1" w:styleId="affffffffffffffffffffffd">
    <w:name w:val="样式 图表标题 + 两端对齐"/>
    <w:basedOn w:val="afffff1"/>
    <w:unhideWhenUsed/>
    <w:qFormat/>
    <w:pPr>
      <w:widowControl/>
      <w:spacing w:line="260" w:lineRule="exact"/>
      <w:jc w:val="both"/>
    </w:pPr>
    <w:rPr>
      <w:rFonts w:eastAsia="黑体"/>
      <w:b w:val="0"/>
      <w:spacing w:val="-10"/>
      <w:sz w:val="24"/>
    </w:rPr>
  </w:style>
  <w:style w:type="paragraph" w:customStyle="1" w:styleId="affffffffffffffffffffffe">
    <w:name w:val="图例"/>
    <w:basedOn w:val="a3"/>
    <w:unhideWhenUsed/>
    <w:qFormat/>
    <w:pPr>
      <w:spacing w:before="240" w:after="120"/>
      <w:jc w:val="center"/>
    </w:pPr>
    <w:rPr>
      <w:rFonts w:eastAsia="楷体_GB2312" w:hint="eastAsia"/>
      <w:sz w:val="28"/>
      <w:szCs w:val="24"/>
    </w:rPr>
  </w:style>
  <w:style w:type="paragraph" w:customStyle="1" w:styleId="1ffff8">
    <w:name w:val="文档结构图1"/>
    <w:basedOn w:val="a3"/>
    <w:unhideWhenUsed/>
    <w:qFormat/>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hint="eastAsia"/>
      <w:sz w:val="28"/>
      <w:szCs w:val="24"/>
    </w:rPr>
  </w:style>
  <w:style w:type="paragraph" w:customStyle="1" w:styleId="afffffffffffffffffffffff">
    <w:name w:val="普通段落文字"/>
    <w:basedOn w:val="a3"/>
    <w:unhideWhenUsed/>
    <w:qFormat/>
    <w:pPr>
      <w:adjustRightInd w:val="0"/>
      <w:snapToGrid w:val="0"/>
      <w:spacing w:line="300" w:lineRule="auto"/>
      <w:ind w:firstLine="567"/>
    </w:pPr>
    <w:rPr>
      <w:rFonts w:ascii="宋体" w:hAnsi="宋体" w:hint="eastAsia"/>
      <w:sz w:val="28"/>
      <w:szCs w:val="24"/>
    </w:rPr>
  </w:style>
  <w:style w:type="paragraph" w:customStyle="1" w:styleId="26CharChar">
    <w:name w:val="样式 (符号) 宋体 小四 行距: 固定值 26 磅 Char Char"/>
    <w:basedOn w:val="a3"/>
    <w:link w:val="26CharCharChar"/>
    <w:unhideWhenUsed/>
    <w:qFormat/>
    <w:pPr>
      <w:ind w:firstLine="480"/>
    </w:pPr>
    <w:rPr>
      <w:rFonts w:hAnsi="宋体" w:hint="eastAsia"/>
      <w:color w:val="000000"/>
      <w:sz w:val="28"/>
      <w:szCs w:val="20"/>
    </w:rPr>
  </w:style>
  <w:style w:type="paragraph" w:customStyle="1" w:styleId="afffffffffffffffffffffff0">
    <w:name w:val="报告书表格"/>
    <w:basedOn w:val="a3"/>
    <w:link w:val="Charfffff9"/>
    <w:unhideWhenUsed/>
    <w:qFormat/>
    <w:pPr>
      <w:adjustRightInd w:val="0"/>
      <w:spacing w:before="60" w:after="60" w:line="240" w:lineRule="atLeast"/>
      <w:jc w:val="center"/>
      <w:textAlignment w:val="baseline"/>
    </w:pPr>
    <w:rPr>
      <w:rFonts w:hint="eastAsia"/>
      <w:sz w:val="21"/>
      <w:szCs w:val="20"/>
    </w:rPr>
  </w:style>
  <w:style w:type="paragraph" w:customStyle="1" w:styleId="afffffffffffffffffffffff1">
    <w:name w:val="加粗正文"/>
    <w:basedOn w:val="a3"/>
    <w:next w:val="af2"/>
    <w:unhideWhenUsed/>
    <w:qFormat/>
    <w:rPr>
      <w:rFonts w:ascii="宋体" w:hAnsi="Courier New" w:hint="eastAsia"/>
      <w:sz w:val="21"/>
      <w:szCs w:val="24"/>
    </w:rPr>
  </w:style>
  <w:style w:type="paragraph" w:customStyle="1" w:styleId="233">
    <w:name w:val="样式 首行缩进:  2 字符3"/>
    <w:basedOn w:val="a3"/>
    <w:unhideWhenUsed/>
    <w:qFormat/>
    <w:pPr>
      <w:ind w:firstLine="567"/>
    </w:pPr>
    <w:rPr>
      <w:rFonts w:hint="eastAsia"/>
      <w:szCs w:val="24"/>
    </w:rPr>
  </w:style>
  <w:style w:type="paragraph" w:customStyle="1" w:styleId="11H1h11stlevelSectionHeadl1H11H12A2">
    <w:name w:val="样式 样式 标题 1标题1章节H1一、h11st levelSection Headl1H11H12第A章第*...2 + 加粗..."/>
    <w:basedOn w:val="a3"/>
    <w:unhideWhenUsed/>
    <w:qFormat/>
    <w:pPr>
      <w:keepNext/>
      <w:keepLines/>
      <w:spacing w:before="240" w:after="240" w:line="520" w:lineRule="exact"/>
      <w:outlineLvl w:val="0"/>
    </w:pPr>
    <w:rPr>
      <w:rFonts w:ascii="宋体" w:eastAsia="黑体" w:hAnsi="宋体" w:hint="eastAsia"/>
      <w:b/>
      <w:color w:val="000000"/>
      <w:sz w:val="32"/>
      <w:szCs w:val="24"/>
    </w:rPr>
  </w:style>
  <w:style w:type="paragraph" w:customStyle="1" w:styleId="262">
    <w:name w:val="样式 (符号) 宋体 小四 行距: 固定值 26 磅"/>
    <w:basedOn w:val="a3"/>
    <w:unhideWhenUsed/>
    <w:qFormat/>
    <w:pPr>
      <w:widowControl/>
      <w:spacing w:line="280" w:lineRule="exact"/>
    </w:pPr>
    <w:rPr>
      <w:rFonts w:hint="eastAsia"/>
      <w:spacing w:val="-8"/>
      <w:sz w:val="18"/>
      <w:szCs w:val="24"/>
    </w:rPr>
  </w:style>
  <w:style w:type="paragraph" w:customStyle="1" w:styleId="HD3">
    <w:name w:val="HD3"/>
    <w:basedOn w:val="a3"/>
    <w:unhideWhenUsed/>
    <w:qFormat/>
    <w:pPr>
      <w:keepNext/>
      <w:keepLines/>
      <w:spacing w:before="120" w:after="120" w:line="480" w:lineRule="exact"/>
      <w:outlineLvl w:val="4"/>
    </w:pPr>
    <w:rPr>
      <w:rFonts w:hint="eastAsia"/>
      <w:b/>
      <w:sz w:val="28"/>
      <w:szCs w:val="24"/>
    </w:rPr>
  </w:style>
  <w:style w:type="paragraph" w:customStyle="1" w:styleId="3CharChar1">
    <w:name w:val="样式 标题 3 + 宋体 Char Char"/>
    <w:basedOn w:val="310"/>
    <w:link w:val="3CharCharChar1"/>
    <w:unhideWhenUsed/>
    <w:qFormat/>
    <w:pPr>
      <w:overflowPunct w:val="0"/>
      <w:spacing w:beforeLines="0" w:beforeAutospacing="1" w:afterLines="0" w:line="420" w:lineRule="auto"/>
      <w:ind w:firstLineChars="0" w:firstLine="0"/>
    </w:pPr>
    <w:rPr>
      <w:szCs w:val="20"/>
    </w:rPr>
  </w:style>
  <w:style w:type="paragraph" w:customStyle="1" w:styleId="104">
    <w:name w:val="样式 宋体 10 磅 黑色 居中"/>
    <w:basedOn w:val="a3"/>
    <w:next w:val="a3"/>
    <w:unhideWhenUsed/>
    <w:qFormat/>
    <w:pPr>
      <w:jc w:val="center"/>
    </w:pPr>
    <w:rPr>
      <w:rFonts w:ascii="宋体" w:hint="eastAsia"/>
      <w:color w:val="000000"/>
      <w:sz w:val="20"/>
      <w:szCs w:val="24"/>
    </w:rPr>
  </w:style>
  <w:style w:type="paragraph" w:customStyle="1" w:styleId="wang">
    <w:name w:val="正文wang"/>
    <w:basedOn w:val="a3"/>
    <w:link w:val="wangChar"/>
    <w:unhideWhenUsed/>
    <w:qFormat/>
    <w:pPr>
      <w:adjustRightInd w:val="0"/>
      <w:spacing w:beforeLines="25"/>
    </w:pPr>
    <w:rPr>
      <w:rFonts w:hAnsi="宋体" w:hint="eastAsia"/>
      <w:sz w:val="21"/>
      <w:szCs w:val="20"/>
    </w:rPr>
  </w:style>
  <w:style w:type="paragraph" w:customStyle="1" w:styleId="22c">
    <w:name w:val="样式 正文缩进正文（首行缩进两字）正文2 + 首行缩进:  2 字符"/>
    <w:basedOn w:val="1b"/>
    <w:unhideWhenUsed/>
    <w:qFormat/>
    <w:pPr>
      <w:spacing w:line="500" w:lineRule="exact"/>
      <w:ind w:firstLine="200"/>
    </w:pPr>
    <w:rPr>
      <w:rFonts w:ascii="Arial" w:hAnsi="Arial"/>
      <w:sz w:val="24"/>
    </w:rPr>
  </w:style>
  <w:style w:type="paragraph" w:customStyle="1" w:styleId="2230">
    <w:name w:val="样式 首行缩进:  2 字符 行距: 固定值 23 磅"/>
    <w:basedOn w:val="a3"/>
    <w:unhideWhenUsed/>
    <w:qFormat/>
    <w:pPr>
      <w:spacing w:line="460" w:lineRule="exact"/>
      <w:ind w:firstLine="648"/>
    </w:pPr>
    <w:rPr>
      <w:rFonts w:hint="eastAsia"/>
      <w:szCs w:val="24"/>
    </w:rPr>
  </w:style>
  <w:style w:type="paragraph" w:customStyle="1" w:styleId="31a">
    <w:name w:val="正文文本缩进 31"/>
    <w:basedOn w:val="a3"/>
    <w:unhideWhenUsed/>
    <w:qFormat/>
    <w:pPr>
      <w:tabs>
        <w:tab w:val="left" w:pos="0"/>
      </w:tabs>
      <w:adjustRightInd w:val="0"/>
      <w:spacing w:line="396" w:lineRule="atLeast"/>
      <w:ind w:firstLine="560"/>
      <w:jc w:val="left"/>
      <w:textAlignment w:val="baseline"/>
    </w:pPr>
    <w:rPr>
      <w:rFonts w:ascii="宋体" w:hint="eastAsia"/>
      <w:szCs w:val="24"/>
    </w:rPr>
  </w:style>
  <w:style w:type="paragraph" w:customStyle="1" w:styleId="3ff5">
    <w:name w:val="样式 标题 3 + 宋体"/>
    <w:basedOn w:val="310"/>
    <w:unhideWhenUsed/>
    <w:qFormat/>
    <w:pPr>
      <w:overflowPunct w:val="0"/>
      <w:spacing w:beforeLines="0" w:beforeAutospacing="1" w:afterLines="0"/>
      <w:ind w:firstLineChars="0" w:firstLine="0"/>
    </w:pPr>
    <w:rPr>
      <w:rFonts w:eastAsia="黑体"/>
      <w:b w:val="0"/>
      <w:sz w:val="28"/>
      <w:szCs w:val="28"/>
    </w:rPr>
  </w:style>
  <w:style w:type="paragraph" w:customStyle="1" w:styleId="Web2">
    <w:name w:val="普通(Web)2"/>
    <w:basedOn w:val="a3"/>
    <w:unhideWhenUsed/>
    <w:qFormat/>
    <w:pPr>
      <w:widowControl/>
      <w:spacing w:before="225" w:after="225" w:line="345" w:lineRule="atLeast"/>
      <w:jc w:val="left"/>
    </w:pPr>
    <w:rPr>
      <w:rFonts w:ascii="宋体" w:hAnsi="宋体" w:hint="eastAsia"/>
      <w:sz w:val="21"/>
      <w:szCs w:val="24"/>
    </w:rPr>
  </w:style>
  <w:style w:type="paragraph" w:customStyle="1" w:styleId="afffffffffffffffffffffff2">
    <w:name w:val="封面落款"/>
    <w:basedOn w:val="a3"/>
    <w:next w:val="a3"/>
    <w:unhideWhenUsed/>
    <w:qFormat/>
    <w:pPr>
      <w:jc w:val="center"/>
    </w:pPr>
    <w:rPr>
      <w:rFonts w:ascii="宋体" w:hint="eastAsia"/>
      <w:sz w:val="32"/>
      <w:szCs w:val="24"/>
    </w:rPr>
  </w:style>
  <w:style w:type="paragraph" w:customStyle="1" w:styleId="128">
    <w:name w:val="样式 标题 1 + 首行缩进:  2 字符"/>
    <w:basedOn w:val="110"/>
    <w:unhideWhenUsed/>
    <w:qFormat/>
    <w:pPr>
      <w:tabs>
        <w:tab w:val="left" w:pos="-114"/>
        <w:tab w:val="left" w:pos="1152"/>
      </w:tabs>
      <w:overflowPunct w:val="0"/>
      <w:autoSpaceDN w:val="0"/>
      <w:spacing w:beforeLines="0" w:afterLines="0" w:line="500" w:lineRule="exact"/>
      <w:ind w:firstLineChars="0" w:firstLine="0"/>
      <w:jc w:val="left"/>
    </w:pPr>
    <w:rPr>
      <w:b w:val="0"/>
      <w:kern w:val="2"/>
      <w:sz w:val="30"/>
      <w:szCs w:val="24"/>
    </w:rPr>
  </w:style>
  <w:style w:type="paragraph" w:customStyle="1" w:styleId="129">
    <w:name w:val="样式 目录 1 + 首行缩进:  2 字符"/>
    <w:basedOn w:val="112"/>
    <w:unhideWhenUsed/>
    <w:qFormat/>
    <w:pPr>
      <w:wordWrap w:val="0"/>
      <w:overflowPunct w:val="0"/>
      <w:snapToGrid w:val="0"/>
      <w:ind w:firstLine="402"/>
    </w:pPr>
    <w:rPr>
      <w:rFonts w:eastAsia="仿宋_GB2312" w:cs="宋体"/>
      <w:sz w:val="28"/>
      <w:szCs w:val="24"/>
    </w:rPr>
  </w:style>
  <w:style w:type="paragraph" w:customStyle="1" w:styleId="2120">
    <w:name w:val="样式 样式 样式 样式 样式 样式 样式 样式 样式 样式 样式 首行缩进:  2 字符1 + 首行缩进:  2 字符 + 首行..."/>
    <w:basedOn w:val="a3"/>
    <w:unhideWhenUsed/>
    <w:qFormat/>
    <w:pPr>
      <w:spacing w:line="480" w:lineRule="exact"/>
      <w:ind w:firstLine="560"/>
    </w:pPr>
    <w:rPr>
      <w:rFonts w:cs="宋体" w:hint="eastAsia"/>
      <w:szCs w:val="20"/>
    </w:rPr>
  </w:style>
  <w:style w:type="paragraph" w:customStyle="1" w:styleId="3ff6">
    <w:name w:val="表格文字3"/>
    <w:basedOn w:val="a3"/>
    <w:next w:val="a3"/>
    <w:unhideWhenUsed/>
    <w:qFormat/>
    <w:pPr>
      <w:widowControl/>
      <w:adjustRightInd w:val="0"/>
      <w:snapToGrid w:val="0"/>
      <w:spacing w:line="240" w:lineRule="atLeast"/>
      <w:ind w:rightChars="1" w:right="2"/>
      <w:jc w:val="center"/>
    </w:pPr>
    <w:rPr>
      <w:rFonts w:hint="eastAsia"/>
      <w:color w:val="FF0000"/>
      <w:spacing w:val="-10"/>
      <w:sz w:val="21"/>
    </w:rPr>
  </w:style>
  <w:style w:type="paragraph" w:customStyle="1" w:styleId="afffffffffffffffffffffff3">
    <w:name w:val="中交正文"/>
    <w:basedOn w:val="a3"/>
    <w:link w:val="Charfffffa"/>
    <w:unhideWhenUsed/>
    <w:qFormat/>
    <w:pPr>
      <w:spacing w:line="500" w:lineRule="exact"/>
      <w:ind w:firstLine="480"/>
    </w:pPr>
    <w:rPr>
      <w:rFonts w:hint="eastAsia"/>
      <w:szCs w:val="24"/>
    </w:rPr>
  </w:style>
  <w:style w:type="paragraph" w:customStyle="1" w:styleId="afffffffffffffffffffffff4">
    <w:name w:val="表格式"/>
    <w:basedOn w:val="aff0"/>
    <w:unhideWhenUsed/>
    <w:qFormat/>
    <w:pPr>
      <w:spacing w:beforeLines="50" w:afterLines="50" w:line="200" w:lineRule="exact"/>
      <w:jc w:val="center"/>
    </w:pPr>
    <w:rPr>
      <w:rFonts w:hint="eastAsia"/>
      <w:sz w:val="21"/>
      <w:szCs w:val="24"/>
    </w:rPr>
  </w:style>
  <w:style w:type="paragraph" w:customStyle="1" w:styleId="611">
    <w:name w:val="标题 61"/>
    <w:basedOn w:val="a3"/>
    <w:uiPriority w:val="1"/>
    <w:unhideWhenUsed/>
    <w:qFormat/>
    <w:pPr>
      <w:jc w:val="left"/>
      <w:outlineLvl w:val="6"/>
    </w:pPr>
    <w:rPr>
      <w:rFonts w:ascii="Microsoft JhengHei" w:eastAsia="Microsoft JhengHei" w:hAnsi="Microsoft JhengHei" w:hint="eastAsia"/>
      <w:b/>
      <w:szCs w:val="24"/>
      <w:lang w:eastAsia="en-US"/>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3"/>
    <w:unhideWhenUsed/>
    <w:qFormat/>
    <w:pPr>
      <w:widowControl/>
      <w:jc w:val="left"/>
    </w:pPr>
    <w:rPr>
      <w:rFonts w:ascii="Calibri" w:hAnsi="Calibri" w:hint="eastAsia"/>
      <w:sz w:val="21"/>
    </w:rPr>
  </w:style>
  <w:style w:type="paragraph" w:customStyle="1" w:styleId="CharCharCharCharCharCharCharCharCharCharCharCharCharCharCharCharCharCharCharCharCharCharCharChar6">
    <w:name w:val="Char Char Char Char Char Char Char Char Char Char Char Char Char Char Char Char Char Char Char Char Char Char Char Char6"/>
    <w:basedOn w:val="a3"/>
    <w:unhideWhenUsed/>
    <w:qFormat/>
    <w:pPr>
      <w:widowControl/>
      <w:jc w:val="left"/>
    </w:pPr>
    <w:rPr>
      <w:rFonts w:hint="eastAsia"/>
      <w:sz w:val="21"/>
    </w:rPr>
  </w:style>
  <w:style w:type="paragraph" w:customStyle="1" w:styleId="CharCharCharCharCharCharCharCharCharCharCharCharCharCharCharCharCharCharCharCharCharCharCharChar5">
    <w:name w:val="Char Char Char Char Char Char Char Char Char Char Char Char Char Char Char Char Char Char Char Char Char Char Char Char5"/>
    <w:basedOn w:val="a3"/>
    <w:unhideWhenUsed/>
    <w:qFormat/>
    <w:pPr>
      <w:widowControl/>
      <w:jc w:val="left"/>
    </w:pPr>
    <w:rPr>
      <w:rFonts w:hint="eastAsia"/>
      <w:sz w:val="21"/>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3"/>
    <w:unhideWhenUsed/>
    <w:qFormat/>
    <w:pPr>
      <w:widowControl/>
      <w:jc w:val="left"/>
    </w:pPr>
    <w:rPr>
      <w:rFonts w:hint="eastAsia"/>
      <w:sz w:val="21"/>
    </w:rPr>
  </w:style>
  <w:style w:type="paragraph" w:customStyle="1" w:styleId="180">
    <w:name w:val="样式18"/>
    <w:basedOn w:val="3ff"/>
    <w:link w:val="181"/>
    <w:unhideWhenUsed/>
    <w:qFormat/>
  </w:style>
  <w:style w:type="paragraph" w:customStyle="1" w:styleId="afffffffffffffffffffffff5">
    <w:name w:val="ÕýÎÄ"/>
    <w:link w:val="Charfffffb"/>
    <w:unhideWhenUsed/>
    <w:qFormat/>
    <w:pPr>
      <w:widowControl w:val="0"/>
      <w:overflowPunct w:val="0"/>
      <w:autoSpaceDE w:val="0"/>
      <w:autoSpaceDN w:val="0"/>
      <w:adjustRightInd w:val="0"/>
      <w:spacing w:line="351" w:lineRule="atLeast"/>
      <w:ind w:firstLine="419"/>
      <w:jc w:val="both"/>
      <w:textAlignment w:val="baseline"/>
    </w:pPr>
    <w:rPr>
      <w:rFonts w:hint="eastAsia"/>
      <w:color w:val="000000"/>
      <w:sz w:val="21"/>
    </w:rPr>
  </w:style>
  <w:style w:type="paragraph" w:customStyle="1" w:styleId="CharCharCharCharCharCharCharCharCharCharCharCharCharCharCharCharCharCharCharCharCharCharCharCharCharCharCharCharCharCharCharCharCharCharCharCharCharCharCharCharCharCharCharCharCharCharCharChar1">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1b"/>
    <w:unhideWhenUsed/>
    <w:qFormat/>
    <w:pPr>
      <w:widowControl/>
      <w:overflowPunct w:val="0"/>
      <w:autoSpaceDE w:val="0"/>
      <w:autoSpaceDN w:val="0"/>
      <w:adjustRightInd w:val="0"/>
      <w:ind w:firstLine="491"/>
      <w:textAlignment w:val="baseline"/>
    </w:pPr>
    <w:rPr>
      <w:sz w:val="24"/>
    </w:rPr>
  </w:style>
  <w:style w:type="paragraph" w:customStyle="1" w:styleId="RGB0067240">
    <w:name w:val="样式 ˎ̥ 小四 自定义颜(RGB(0067)) 行距: 固定值 24 磅"/>
    <w:basedOn w:val="a3"/>
    <w:unhideWhenUsed/>
    <w:qFormat/>
    <w:pPr>
      <w:spacing w:line="480" w:lineRule="exact"/>
    </w:pPr>
    <w:rPr>
      <w:rFonts w:ascii="??" w:hAnsi="??" w:cs="宋体" w:hint="eastAsia"/>
      <w:color w:val="000043"/>
      <w:szCs w:val="20"/>
    </w:rPr>
  </w:style>
  <w:style w:type="character" w:customStyle="1" w:styleId="1113">
    <w:name w:val="标题 1 字符11"/>
    <w:basedOn w:val="a6"/>
    <w:uiPriority w:val="9"/>
    <w:unhideWhenUsed/>
    <w:qFormat/>
    <w:rPr>
      <w:rFonts w:cs="Times New Roman" w:hint="default"/>
      <w:b/>
      <w:kern w:val="44"/>
      <w:sz w:val="44"/>
      <w:szCs w:val="44"/>
    </w:rPr>
  </w:style>
  <w:style w:type="character" w:customStyle="1" w:styleId="2111">
    <w:name w:val="标题 2 字符11"/>
    <w:basedOn w:val="a6"/>
    <w:uiPriority w:val="9"/>
    <w:unhideWhenUsed/>
    <w:qFormat/>
    <w:rPr>
      <w:rFonts w:ascii="Calibri Light" w:eastAsia="宋体" w:hAnsi="Calibri Light" w:cs="Times New Roman" w:hint="eastAsia"/>
      <w:b/>
      <w:kern w:val="2"/>
      <w:sz w:val="32"/>
      <w:szCs w:val="32"/>
    </w:rPr>
  </w:style>
  <w:style w:type="character" w:customStyle="1" w:styleId="3110">
    <w:name w:val="标题 3 字符11"/>
    <w:basedOn w:val="a6"/>
    <w:uiPriority w:val="9"/>
    <w:unhideWhenUsed/>
    <w:qFormat/>
    <w:rPr>
      <w:rFonts w:cs="Times New Roman" w:hint="default"/>
      <w:b/>
      <w:kern w:val="2"/>
      <w:sz w:val="32"/>
      <w:szCs w:val="32"/>
    </w:rPr>
  </w:style>
  <w:style w:type="character" w:customStyle="1" w:styleId="4111">
    <w:name w:val="标题 4 字符11"/>
    <w:basedOn w:val="a6"/>
    <w:uiPriority w:val="9"/>
    <w:unhideWhenUsed/>
    <w:qFormat/>
    <w:rPr>
      <w:rFonts w:ascii="Calibri Light" w:eastAsia="宋体" w:hAnsi="Calibri Light" w:cs="Times New Roman" w:hint="eastAsia"/>
      <w:b/>
      <w:kern w:val="2"/>
      <w:sz w:val="28"/>
      <w:szCs w:val="28"/>
    </w:rPr>
  </w:style>
  <w:style w:type="character" w:customStyle="1" w:styleId="5f2">
    <w:name w:val="标题 5 字符"/>
    <w:basedOn w:val="a6"/>
    <w:uiPriority w:val="9"/>
    <w:unhideWhenUsed/>
    <w:qFormat/>
    <w:rPr>
      <w:rFonts w:cs="Times New Roman" w:hint="default"/>
      <w:b/>
      <w:kern w:val="2"/>
      <w:sz w:val="28"/>
      <w:szCs w:val="28"/>
    </w:rPr>
  </w:style>
  <w:style w:type="character" w:customStyle="1" w:styleId="65">
    <w:name w:val="标题 6 字符"/>
    <w:basedOn w:val="a6"/>
    <w:uiPriority w:val="9"/>
    <w:unhideWhenUsed/>
    <w:qFormat/>
    <w:rPr>
      <w:rFonts w:ascii="Calibri Light" w:eastAsia="宋体" w:hAnsi="Calibri Light" w:cs="Times New Roman" w:hint="eastAsia"/>
      <w:b/>
      <w:kern w:val="2"/>
      <w:sz w:val="24"/>
      <w:szCs w:val="24"/>
    </w:rPr>
  </w:style>
  <w:style w:type="character" w:customStyle="1" w:styleId="77">
    <w:name w:val="标题 7 字符"/>
    <w:basedOn w:val="a6"/>
    <w:uiPriority w:val="9"/>
    <w:unhideWhenUsed/>
    <w:qFormat/>
    <w:rPr>
      <w:rFonts w:cs="Times New Roman" w:hint="default"/>
      <w:b/>
      <w:kern w:val="2"/>
      <w:sz w:val="24"/>
      <w:szCs w:val="24"/>
    </w:rPr>
  </w:style>
  <w:style w:type="character" w:customStyle="1" w:styleId="86">
    <w:name w:val="标题 8 字符"/>
    <w:basedOn w:val="a6"/>
    <w:uiPriority w:val="9"/>
    <w:unhideWhenUsed/>
    <w:qFormat/>
    <w:rPr>
      <w:rFonts w:ascii="Calibri Light" w:eastAsia="宋体" w:hAnsi="Calibri Light" w:cs="Times New Roman" w:hint="eastAsia"/>
      <w:kern w:val="2"/>
      <w:sz w:val="24"/>
      <w:szCs w:val="24"/>
    </w:rPr>
  </w:style>
  <w:style w:type="character" w:customStyle="1" w:styleId="96">
    <w:name w:val="标题 9 字符"/>
    <w:basedOn w:val="a6"/>
    <w:uiPriority w:val="9"/>
    <w:unhideWhenUsed/>
    <w:qFormat/>
    <w:rPr>
      <w:rFonts w:ascii="Calibri Light" w:eastAsia="宋体" w:hAnsi="Calibri Light" w:cs="Times New Roman" w:hint="eastAsia"/>
      <w:kern w:val="2"/>
      <w:sz w:val="21"/>
      <w:szCs w:val="21"/>
    </w:rPr>
  </w:style>
  <w:style w:type="character" w:customStyle="1" w:styleId="1210">
    <w:name w:val="标题 1 字符21"/>
    <w:uiPriority w:val="9"/>
    <w:unhideWhenUsed/>
    <w:qFormat/>
    <w:rPr>
      <w:rFonts w:hint="default"/>
      <w:b/>
      <w:kern w:val="44"/>
      <w:sz w:val="44"/>
      <w:szCs w:val="24"/>
    </w:rPr>
  </w:style>
  <w:style w:type="character" w:customStyle="1" w:styleId="2210">
    <w:name w:val="标题 2 字符21"/>
    <w:unhideWhenUsed/>
    <w:qFormat/>
    <w:rPr>
      <w:rFonts w:ascii="Calibri Light" w:eastAsia="宋体" w:hAnsi="Calibri Light" w:hint="eastAsia"/>
      <w:b/>
      <w:kern w:val="2"/>
      <w:sz w:val="32"/>
      <w:szCs w:val="24"/>
    </w:rPr>
  </w:style>
  <w:style w:type="character" w:customStyle="1" w:styleId="3213">
    <w:name w:val="标题 3 字符21"/>
    <w:unhideWhenUsed/>
    <w:qFormat/>
    <w:rPr>
      <w:rFonts w:hint="default"/>
      <w:b/>
      <w:kern w:val="2"/>
      <w:sz w:val="32"/>
      <w:szCs w:val="24"/>
    </w:rPr>
  </w:style>
  <w:style w:type="character" w:customStyle="1" w:styleId="11a">
    <w:name w:val="正文文本 字符11"/>
    <w:basedOn w:val="a6"/>
    <w:unhideWhenUsed/>
    <w:qFormat/>
    <w:rPr>
      <w:rFonts w:cs="Times New Roman" w:hint="default"/>
      <w:kern w:val="2"/>
      <w:sz w:val="24"/>
      <w:szCs w:val="24"/>
    </w:rPr>
  </w:style>
  <w:style w:type="character" w:customStyle="1" w:styleId="2fff8">
    <w:name w:val="正文文本 字符2"/>
    <w:unhideWhenUsed/>
    <w:qFormat/>
    <w:rPr>
      <w:rFonts w:hint="default"/>
      <w:sz w:val="24"/>
      <w:szCs w:val="24"/>
    </w:rPr>
  </w:style>
  <w:style w:type="character" w:customStyle="1" w:styleId="4230">
    <w:name w:val="标题 4 字符23"/>
    <w:uiPriority w:val="9"/>
    <w:unhideWhenUsed/>
    <w:qFormat/>
    <w:rPr>
      <w:rFonts w:ascii="Calibri Light" w:eastAsia="宋体" w:hAnsi="Calibri Light" w:hint="eastAsia"/>
      <w:b/>
      <w:kern w:val="2"/>
      <w:sz w:val="28"/>
      <w:szCs w:val="24"/>
    </w:rPr>
  </w:style>
  <w:style w:type="character" w:customStyle="1" w:styleId="22d">
    <w:name w:val="正文缩进 字符22"/>
    <w:unhideWhenUsed/>
    <w:qFormat/>
    <w:rPr>
      <w:rFonts w:hint="default"/>
      <w:kern w:val="2"/>
      <w:sz w:val="21"/>
      <w:szCs w:val="24"/>
    </w:rPr>
  </w:style>
  <w:style w:type="character" w:customStyle="1" w:styleId="5Char">
    <w:name w:val="标题 5 Char"/>
    <w:link w:val="52"/>
    <w:unhideWhenUsed/>
    <w:qFormat/>
    <w:rPr>
      <w:rFonts w:hint="default"/>
      <w:b/>
      <w:kern w:val="2"/>
      <w:sz w:val="28"/>
      <w:szCs w:val="24"/>
    </w:rPr>
  </w:style>
  <w:style w:type="character" w:customStyle="1" w:styleId="6Char">
    <w:name w:val="标题 6 Char"/>
    <w:link w:val="6"/>
    <w:uiPriority w:val="9"/>
    <w:unhideWhenUsed/>
    <w:qFormat/>
    <w:rPr>
      <w:rFonts w:ascii="Calibri Light" w:eastAsia="宋体" w:hAnsi="Calibri Light" w:hint="eastAsia"/>
      <w:b/>
      <w:kern w:val="2"/>
      <w:sz w:val="24"/>
      <w:szCs w:val="24"/>
    </w:rPr>
  </w:style>
  <w:style w:type="character" w:customStyle="1" w:styleId="7Char">
    <w:name w:val="标题 7 Char"/>
    <w:link w:val="7"/>
    <w:unhideWhenUsed/>
    <w:qFormat/>
    <w:rPr>
      <w:rFonts w:hint="default"/>
      <w:b/>
      <w:kern w:val="2"/>
      <w:sz w:val="24"/>
      <w:szCs w:val="24"/>
    </w:rPr>
  </w:style>
  <w:style w:type="character" w:customStyle="1" w:styleId="8Char">
    <w:name w:val="标题 8 Char"/>
    <w:link w:val="8"/>
    <w:uiPriority w:val="9"/>
    <w:unhideWhenUsed/>
    <w:qFormat/>
    <w:rPr>
      <w:rFonts w:ascii="Calibri Light" w:eastAsia="宋体" w:hAnsi="Calibri Light" w:hint="eastAsia"/>
      <w:kern w:val="2"/>
      <w:sz w:val="24"/>
      <w:szCs w:val="24"/>
    </w:rPr>
  </w:style>
  <w:style w:type="character" w:customStyle="1" w:styleId="9Char">
    <w:name w:val="标题 9 Char"/>
    <w:link w:val="9"/>
    <w:unhideWhenUsed/>
    <w:qFormat/>
    <w:rPr>
      <w:rFonts w:ascii="Calibri Light" w:eastAsia="宋体" w:hAnsi="Calibri Light" w:hint="eastAsia"/>
      <w:kern w:val="2"/>
      <w:sz w:val="21"/>
      <w:szCs w:val="24"/>
    </w:rPr>
  </w:style>
  <w:style w:type="character" w:customStyle="1" w:styleId="1Char8">
    <w:name w:val="表1 Char"/>
    <w:unhideWhenUsed/>
    <w:qFormat/>
    <w:rPr>
      <w:rFonts w:hint="default"/>
      <w:sz w:val="21"/>
      <w:szCs w:val="24"/>
    </w:rPr>
  </w:style>
  <w:style w:type="character" w:customStyle="1" w:styleId="ourfont2">
    <w:name w:val="ourfont2"/>
    <w:unhideWhenUsed/>
    <w:qFormat/>
    <w:rPr>
      <w:rFonts w:ascii="宋体" w:eastAsia="宋体" w:hAnsi="宋体" w:hint="eastAsia"/>
      <w:sz w:val="18"/>
      <w:szCs w:val="24"/>
    </w:rPr>
  </w:style>
  <w:style w:type="character" w:customStyle="1" w:styleId="Charfffffc">
    <w:name w:val="表格内容 Char"/>
    <w:unhideWhenUsed/>
    <w:qFormat/>
    <w:rPr>
      <w:rFonts w:ascii="Arial" w:eastAsia="仿宋_GB2312" w:hAnsi="Arial" w:hint="eastAsia"/>
      <w:sz w:val="24"/>
      <w:szCs w:val="24"/>
    </w:rPr>
  </w:style>
  <w:style w:type="character" w:customStyle="1" w:styleId="Charfffffd">
    <w:name w:val="三级标题 Char"/>
    <w:unhideWhenUsed/>
    <w:qFormat/>
    <w:rPr>
      <w:rFonts w:hint="default"/>
      <w:b/>
      <w:kern w:val="2"/>
      <w:sz w:val="24"/>
      <w:szCs w:val="24"/>
    </w:rPr>
  </w:style>
  <w:style w:type="character" w:customStyle="1" w:styleId="01Char">
    <w:name w:val="正文01 Char"/>
    <w:link w:val="01"/>
    <w:unhideWhenUsed/>
    <w:qFormat/>
    <w:rPr>
      <w:rFonts w:hint="default"/>
      <w:kern w:val="2"/>
      <w:sz w:val="24"/>
      <w:szCs w:val="24"/>
    </w:rPr>
  </w:style>
  <w:style w:type="character" w:customStyle="1" w:styleId="CharCharCharCharChar0">
    <w:name w:val="Char Char Char Char Char"/>
    <w:unhideWhenUsed/>
    <w:qFormat/>
    <w:rPr>
      <w:rFonts w:eastAsia="仿宋_GB2312" w:hint="default"/>
      <w:kern w:val="2"/>
      <w:sz w:val="18"/>
      <w:szCs w:val="24"/>
    </w:rPr>
  </w:style>
  <w:style w:type="character" w:customStyle="1" w:styleId="f121">
    <w:name w:val="f121"/>
    <w:unhideWhenUsed/>
    <w:qFormat/>
    <w:rPr>
      <w:rFonts w:hint="default"/>
      <w:sz w:val="18"/>
      <w:szCs w:val="24"/>
    </w:rPr>
  </w:style>
  <w:style w:type="character" w:customStyle="1" w:styleId="nfdjsaeriu1">
    <w:name w:val="nfdjsaeriu1"/>
    <w:unhideWhenUsed/>
    <w:qFormat/>
    <w:rPr>
      <w:rFonts w:hint="default"/>
      <w:vanish/>
      <w:sz w:val="24"/>
      <w:szCs w:val="24"/>
    </w:rPr>
  </w:style>
  <w:style w:type="character" w:customStyle="1" w:styleId="Charf8">
    <w:name w:val="正文格式 Char"/>
    <w:link w:val="affffe"/>
    <w:unhideWhenUsed/>
    <w:qFormat/>
    <w:rPr>
      <w:rFonts w:ascii="宋体" w:eastAsia="宋体" w:hint="eastAsia"/>
      <w:kern w:val="2"/>
      <w:sz w:val="24"/>
      <w:szCs w:val="24"/>
    </w:rPr>
  </w:style>
  <w:style w:type="character" w:customStyle="1" w:styleId="2Char2">
    <w:name w:val="正文首行缩进2个字 Char"/>
    <w:link w:val="2d"/>
    <w:unhideWhenUsed/>
    <w:qFormat/>
    <w:rPr>
      <w:rFonts w:hint="default"/>
      <w:kern w:val="2"/>
      <w:sz w:val="24"/>
      <w:szCs w:val="24"/>
    </w:rPr>
  </w:style>
  <w:style w:type="character" w:customStyle="1" w:styleId="Charb">
    <w:name w:val="副标题 Char"/>
    <w:link w:val="aff"/>
    <w:unhideWhenUsed/>
    <w:qFormat/>
    <w:rPr>
      <w:rFonts w:ascii="Cambria" w:hint="default"/>
      <w:b/>
      <w:kern w:val="28"/>
      <w:sz w:val="32"/>
      <w:szCs w:val="24"/>
    </w:rPr>
  </w:style>
  <w:style w:type="character" w:customStyle="1" w:styleId="afffffffffffffffffffffff6">
    <w:name w:val="副标题 字符"/>
    <w:basedOn w:val="a6"/>
    <w:uiPriority w:val="11"/>
    <w:unhideWhenUsed/>
    <w:qFormat/>
    <w:rPr>
      <w:rFonts w:ascii="Calibri" w:eastAsia="宋体" w:hAnsi="Calibri" w:cs="Times New Roman" w:hint="eastAsia"/>
      <w:b/>
      <w:kern w:val="28"/>
      <w:sz w:val="32"/>
      <w:szCs w:val="32"/>
    </w:rPr>
  </w:style>
  <w:style w:type="character" w:customStyle="1" w:styleId="Charf9">
    <w:name w:val="样式 正文格式 Char"/>
    <w:link w:val="afffff"/>
    <w:unhideWhenUsed/>
    <w:qFormat/>
    <w:rPr>
      <w:rFonts w:hint="default"/>
      <w:sz w:val="24"/>
      <w:szCs w:val="24"/>
    </w:rPr>
  </w:style>
  <w:style w:type="character" w:customStyle="1" w:styleId="afffffffffffffffffffffff7">
    <w:name w:val="正文文本缩进 字符"/>
    <w:basedOn w:val="a6"/>
    <w:uiPriority w:val="99"/>
    <w:unhideWhenUsed/>
    <w:qFormat/>
    <w:rPr>
      <w:rFonts w:cs="Times New Roman" w:hint="default"/>
      <w:kern w:val="2"/>
      <w:sz w:val="24"/>
      <w:szCs w:val="24"/>
    </w:rPr>
  </w:style>
  <w:style w:type="character" w:customStyle="1" w:styleId="2fff9">
    <w:name w:val="正文文本缩进 字符2"/>
    <w:unhideWhenUsed/>
    <w:qFormat/>
    <w:rPr>
      <w:rFonts w:hint="default"/>
      <w:kern w:val="2"/>
      <w:sz w:val="24"/>
      <w:szCs w:val="24"/>
    </w:rPr>
  </w:style>
  <w:style w:type="character" w:customStyle="1" w:styleId="Char7">
    <w:name w:val="日期 Char"/>
    <w:link w:val="af7"/>
    <w:unhideWhenUsed/>
    <w:qFormat/>
    <w:rPr>
      <w:rFonts w:eastAsia="仿宋_GB2312" w:hint="default"/>
      <w:b/>
      <w:kern w:val="2"/>
      <w:sz w:val="24"/>
      <w:szCs w:val="24"/>
    </w:rPr>
  </w:style>
  <w:style w:type="character" w:customStyle="1" w:styleId="p1481">
    <w:name w:val="p1481"/>
    <w:unhideWhenUsed/>
    <w:qFormat/>
    <w:rPr>
      <w:rFonts w:hint="default"/>
      <w:color w:val="515151"/>
      <w:sz w:val="22"/>
      <w:szCs w:val="24"/>
    </w:rPr>
  </w:style>
  <w:style w:type="character" w:customStyle="1" w:styleId="h31">
    <w:name w:val="h31"/>
    <w:unhideWhenUsed/>
    <w:qFormat/>
    <w:rPr>
      <w:rFonts w:hint="default"/>
      <w:sz w:val="21"/>
      <w:szCs w:val="24"/>
    </w:rPr>
  </w:style>
  <w:style w:type="character" w:customStyle="1" w:styleId="Char5">
    <w:name w:val="纯文本 Char"/>
    <w:link w:val="af2"/>
    <w:unhideWhenUsed/>
    <w:qFormat/>
    <w:rPr>
      <w:rFonts w:ascii="宋体" w:eastAsia="宋体" w:hAnsi="Courier New" w:hint="eastAsia"/>
      <w:kern w:val="2"/>
      <w:sz w:val="21"/>
      <w:szCs w:val="24"/>
    </w:rPr>
  </w:style>
  <w:style w:type="character" w:customStyle="1" w:styleId="afffffffffffffffffffffff8">
    <w:name w:val="纯文本 字符"/>
    <w:basedOn w:val="a6"/>
    <w:unhideWhenUsed/>
    <w:qFormat/>
    <w:rPr>
      <w:rFonts w:ascii="宋体" w:eastAsia="宋体" w:hAnsi="Courier New" w:cs="Courier New" w:hint="eastAsia"/>
      <w:kern w:val="2"/>
      <w:sz w:val="24"/>
      <w:szCs w:val="24"/>
    </w:rPr>
  </w:style>
  <w:style w:type="character" w:customStyle="1" w:styleId="2fffa">
    <w:name w:val="批注文字 字符2"/>
    <w:uiPriority w:val="99"/>
    <w:unhideWhenUsed/>
    <w:qFormat/>
    <w:rPr>
      <w:rFonts w:hint="default"/>
      <w:kern w:val="2"/>
      <w:sz w:val="24"/>
      <w:szCs w:val="24"/>
    </w:rPr>
  </w:style>
  <w:style w:type="character" w:customStyle="1" w:styleId="11b">
    <w:name w:val="批注文字 字符11"/>
    <w:basedOn w:val="a6"/>
    <w:uiPriority w:val="99"/>
    <w:unhideWhenUsed/>
    <w:qFormat/>
    <w:rPr>
      <w:rFonts w:cs="Times New Roman" w:hint="default"/>
      <w:kern w:val="2"/>
      <w:sz w:val="24"/>
      <w:szCs w:val="24"/>
    </w:rPr>
  </w:style>
  <w:style w:type="character" w:customStyle="1" w:styleId="tdword">
    <w:name w:val="tdword"/>
    <w:basedOn w:val="a6"/>
    <w:unhideWhenUsed/>
    <w:qFormat/>
    <w:rPr>
      <w:rFonts w:cs="Times New Roman" w:hint="default"/>
      <w:sz w:val="24"/>
      <w:szCs w:val="24"/>
    </w:rPr>
  </w:style>
  <w:style w:type="character" w:customStyle="1" w:styleId="22e">
    <w:name w:val="正文文本缩进 2 字符2"/>
    <w:unhideWhenUsed/>
    <w:qFormat/>
    <w:rPr>
      <w:rFonts w:hint="default"/>
      <w:kern w:val="2"/>
      <w:sz w:val="24"/>
      <w:szCs w:val="24"/>
    </w:rPr>
  </w:style>
  <w:style w:type="character" w:customStyle="1" w:styleId="2fffb">
    <w:name w:val="正文文本缩进 2 字符"/>
    <w:basedOn w:val="a6"/>
    <w:uiPriority w:val="99"/>
    <w:unhideWhenUsed/>
    <w:qFormat/>
    <w:rPr>
      <w:rFonts w:cs="Times New Roman" w:hint="default"/>
      <w:kern w:val="2"/>
      <w:sz w:val="24"/>
      <w:szCs w:val="24"/>
    </w:rPr>
  </w:style>
  <w:style w:type="character" w:customStyle="1" w:styleId="4Char0">
    <w:name w:val="4级（小）标题 Char"/>
    <w:link w:val="49"/>
    <w:unhideWhenUsed/>
    <w:qFormat/>
    <w:rPr>
      <w:rFonts w:hint="default"/>
      <w:b/>
      <w:kern w:val="2"/>
      <w:sz w:val="24"/>
      <w:szCs w:val="24"/>
    </w:rPr>
  </w:style>
  <w:style w:type="character" w:customStyle="1" w:styleId="Charfa">
    <w:name w:val="表格下方正文 Char"/>
    <w:link w:val="afffff0"/>
    <w:unhideWhenUsed/>
    <w:qFormat/>
    <w:rPr>
      <w:rFonts w:hint="default"/>
      <w:kern w:val="2"/>
      <w:sz w:val="24"/>
      <w:szCs w:val="24"/>
    </w:rPr>
  </w:style>
  <w:style w:type="character" w:customStyle="1" w:styleId="f241">
    <w:name w:val="f241"/>
    <w:unhideWhenUsed/>
    <w:qFormat/>
    <w:rPr>
      <w:rFonts w:hint="default"/>
      <w:sz w:val="40"/>
      <w:szCs w:val="24"/>
    </w:rPr>
  </w:style>
  <w:style w:type="character" w:customStyle="1" w:styleId="1Char9">
    <w:name w:val="样式1 Char"/>
    <w:unhideWhenUsed/>
    <w:qFormat/>
    <w:rPr>
      <w:rFonts w:ascii="方正大标宋简体" w:eastAsia="方正大标宋简体" w:hint="eastAsia"/>
      <w:b/>
      <w:kern w:val="2"/>
      <w:sz w:val="44"/>
      <w:szCs w:val="24"/>
    </w:rPr>
  </w:style>
  <w:style w:type="character" w:customStyle="1" w:styleId="Charfb">
    <w:name w:val="图表标题 Char"/>
    <w:link w:val="afffff1"/>
    <w:unhideWhenUsed/>
    <w:qFormat/>
    <w:rPr>
      <w:rFonts w:hint="default"/>
      <w:b/>
      <w:kern w:val="2"/>
      <w:sz w:val="24"/>
      <w:szCs w:val="24"/>
    </w:rPr>
  </w:style>
  <w:style w:type="character" w:customStyle="1" w:styleId="1ffff9">
    <w:name w:val="不明显强调1"/>
    <w:uiPriority w:val="19"/>
    <w:unhideWhenUsed/>
    <w:qFormat/>
    <w:rPr>
      <w:rFonts w:hint="default"/>
      <w:i/>
      <w:color w:val="808080"/>
      <w:sz w:val="24"/>
      <w:szCs w:val="24"/>
    </w:rPr>
  </w:style>
  <w:style w:type="character" w:customStyle="1" w:styleId="td21">
    <w:name w:val="td21"/>
    <w:unhideWhenUsed/>
    <w:qFormat/>
    <w:rPr>
      <w:rFonts w:ascii="黑体" w:eastAsia="黑体" w:hint="eastAsia"/>
      <w:sz w:val="21"/>
      <w:szCs w:val="24"/>
    </w:rPr>
  </w:style>
  <w:style w:type="character" w:customStyle="1" w:styleId="3Char">
    <w:name w:val="3级（次）标题 Char"/>
    <w:link w:val="39"/>
    <w:unhideWhenUsed/>
    <w:qFormat/>
    <w:rPr>
      <w:rFonts w:ascii="宋体" w:eastAsia="宋体" w:hint="eastAsia"/>
      <w:b/>
      <w:kern w:val="2"/>
      <w:sz w:val="24"/>
      <w:szCs w:val="24"/>
    </w:rPr>
  </w:style>
  <w:style w:type="character" w:customStyle="1" w:styleId="l121">
    <w:name w:val="l121"/>
    <w:unhideWhenUsed/>
    <w:qFormat/>
    <w:rPr>
      <w:rFonts w:hint="default"/>
      <w:color w:val="393939"/>
      <w:sz w:val="18"/>
      <w:szCs w:val="24"/>
    </w:rPr>
  </w:style>
  <w:style w:type="character" w:customStyle="1" w:styleId="Charfffffe">
    <w:name w:val="标题节 Char"/>
    <w:unhideWhenUsed/>
    <w:qFormat/>
    <w:rPr>
      <w:rFonts w:eastAsia="仿宋_GB2312" w:hint="default"/>
      <w:b/>
      <w:kern w:val="2"/>
      <w:sz w:val="32"/>
      <w:szCs w:val="24"/>
      <w:lang w:val="en-US" w:eastAsia="zh-CN"/>
    </w:rPr>
  </w:style>
  <w:style w:type="character" w:customStyle="1" w:styleId="11p">
    <w:name w:val="11p"/>
    <w:basedOn w:val="a6"/>
    <w:unhideWhenUsed/>
    <w:qFormat/>
    <w:rPr>
      <w:rFonts w:cs="Times New Roman" w:hint="default"/>
      <w:sz w:val="24"/>
      <w:szCs w:val="24"/>
    </w:rPr>
  </w:style>
  <w:style w:type="character" w:customStyle="1" w:styleId="CharChar1Char">
    <w:name w:val="Char Char1 Char"/>
    <w:unhideWhenUsed/>
    <w:qFormat/>
    <w:rPr>
      <w:rFonts w:ascii="宋体" w:eastAsia="宋体" w:hint="eastAsia"/>
      <w:kern w:val="2"/>
      <w:sz w:val="24"/>
      <w:szCs w:val="24"/>
    </w:rPr>
  </w:style>
  <w:style w:type="character" w:customStyle="1" w:styleId="a31">
    <w:name w:val="a31"/>
    <w:unhideWhenUsed/>
    <w:qFormat/>
    <w:rPr>
      <w:rFonts w:ascii="宋体" w:eastAsia="宋体" w:hAnsi="宋体" w:hint="eastAsia"/>
      <w:color w:val="000000"/>
      <w:sz w:val="20"/>
      <w:szCs w:val="24"/>
    </w:rPr>
  </w:style>
  <w:style w:type="character" w:customStyle="1" w:styleId="b-121">
    <w:name w:val="b-121"/>
    <w:unhideWhenUsed/>
    <w:qFormat/>
    <w:rPr>
      <w:rFonts w:hint="default"/>
      <w:sz w:val="18"/>
      <w:szCs w:val="24"/>
    </w:rPr>
  </w:style>
  <w:style w:type="character" w:customStyle="1" w:styleId="Charffffff">
    <w:name w:val="Char"/>
    <w:unhideWhenUsed/>
    <w:qFormat/>
    <w:rPr>
      <w:rFonts w:eastAsia="黑体" w:hint="default"/>
      <w:b/>
      <w:kern w:val="44"/>
      <w:sz w:val="44"/>
      <w:szCs w:val="24"/>
      <w:lang w:val="en-US" w:eastAsia="zh-CN"/>
    </w:rPr>
  </w:style>
  <w:style w:type="character" w:customStyle="1" w:styleId="articlebody3">
    <w:name w:val="articlebody3"/>
    <w:unhideWhenUsed/>
    <w:qFormat/>
    <w:rPr>
      <w:rFonts w:hint="default"/>
      <w:sz w:val="21"/>
      <w:szCs w:val="24"/>
    </w:rPr>
  </w:style>
  <w:style w:type="character" w:customStyle="1" w:styleId="1ffffa">
    <w:name w:val="页码1"/>
    <w:basedOn w:val="a6"/>
    <w:unhideWhenUsed/>
    <w:qFormat/>
    <w:rPr>
      <w:rFonts w:cs="Times New Roman" w:hint="default"/>
      <w:sz w:val="24"/>
      <w:szCs w:val="24"/>
    </w:rPr>
  </w:style>
  <w:style w:type="character" w:customStyle="1" w:styleId="1ffffb">
    <w:name w:val="标题1"/>
    <w:basedOn w:val="a6"/>
    <w:unhideWhenUsed/>
    <w:qFormat/>
    <w:rPr>
      <w:rFonts w:cs="Times New Roman" w:hint="default"/>
      <w:sz w:val="24"/>
      <w:szCs w:val="24"/>
    </w:rPr>
  </w:style>
  <w:style w:type="character" w:customStyle="1" w:styleId="Charffffff0">
    <w:name w:val="正文文本 Char"/>
    <w:basedOn w:val="a6"/>
    <w:uiPriority w:val="1"/>
    <w:unhideWhenUsed/>
    <w:qFormat/>
    <w:rPr>
      <w:rFonts w:eastAsia="宋体" w:hint="default"/>
      <w:kern w:val="2"/>
      <w:sz w:val="24"/>
      <w:szCs w:val="24"/>
      <w:lang w:val="en-US" w:eastAsia="zh-CN"/>
    </w:rPr>
  </w:style>
  <w:style w:type="character" w:customStyle="1" w:styleId="style11">
    <w:name w:val="style11"/>
    <w:unhideWhenUsed/>
    <w:qFormat/>
    <w:rPr>
      <w:rFonts w:hint="default"/>
      <w:color w:val="0099FF"/>
      <w:sz w:val="24"/>
      <w:szCs w:val="24"/>
    </w:rPr>
  </w:style>
  <w:style w:type="character" w:customStyle="1" w:styleId="f14b1">
    <w:name w:val="f14b1"/>
    <w:unhideWhenUsed/>
    <w:qFormat/>
    <w:rPr>
      <w:rFonts w:hint="default"/>
      <w:b/>
      <w:sz w:val="21"/>
      <w:szCs w:val="24"/>
    </w:rPr>
  </w:style>
  <w:style w:type="character" w:customStyle="1" w:styleId="style151">
    <w:name w:val="style151"/>
    <w:unhideWhenUsed/>
    <w:qFormat/>
    <w:rPr>
      <w:rFonts w:hint="default"/>
      <w:b/>
      <w:color w:val="CC0000"/>
      <w:sz w:val="22"/>
      <w:szCs w:val="24"/>
    </w:rPr>
  </w:style>
  <w:style w:type="character" w:customStyle="1" w:styleId="2fffc">
    <w:name w:val="页脚 字符2"/>
    <w:uiPriority w:val="99"/>
    <w:unhideWhenUsed/>
    <w:qFormat/>
    <w:rPr>
      <w:rFonts w:hint="default"/>
      <w:kern w:val="2"/>
      <w:sz w:val="18"/>
      <w:szCs w:val="24"/>
    </w:rPr>
  </w:style>
  <w:style w:type="character" w:customStyle="1" w:styleId="11c">
    <w:name w:val="页脚 字符11"/>
    <w:basedOn w:val="a6"/>
    <w:uiPriority w:val="99"/>
    <w:unhideWhenUsed/>
    <w:qFormat/>
    <w:rPr>
      <w:rFonts w:cs="Times New Roman" w:hint="default"/>
      <w:kern w:val="2"/>
      <w:sz w:val="18"/>
      <w:szCs w:val="18"/>
    </w:rPr>
  </w:style>
  <w:style w:type="character" w:customStyle="1" w:styleId="001Char">
    <w:name w:val="正文001 Char"/>
    <w:link w:val="001"/>
    <w:unhideWhenUsed/>
    <w:qFormat/>
    <w:rPr>
      <w:rFonts w:hint="default"/>
      <w:kern w:val="2"/>
      <w:sz w:val="24"/>
      <w:szCs w:val="24"/>
    </w:rPr>
  </w:style>
  <w:style w:type="character" w:customStyle="1" w:styleId="Char31">
    <w:name w:val="批注主题 Char3"/>
    <w:link w:val="aff6"/>
    <w:uiPriority w:val="99"/>
    <w:unhideWhenUsed/>
    <w:qFormat/>
    <w:rPr>
      <w:rFonts w:hint="default"/>
      <w:b/>
      <w:kern w:val="2"/>
      <w:sz w:val="24"/>
      <w:szCs w:val="24"/>
    </w:rPr>
  </w:style>
  <w:style w:type="character" w:customStyle="1" w:styleId="11d">
    <w:name w:val="批注主题 字符11"/>
    <w:basedOn w:val="11b"/>
    <w:uiPriority w:val="99"/>
    <w:unhideWhenUsed/>
    <w:qFormat/>
    <w:rPr>
      <w:rFonts w:cs="Times New Roman" w:hint="default"/>
      <w:b/>
      <w:kern w:val="2"/>
      <w:sz w:val="24"/>
      <w:szCs w:val="24"/>
    </w:rPr>
  </w:style>
  <w:style w:type="character" w:customStyle="1" w:styleId="style51">
    <w:name w:val="style51"/>
    <w:unhideWhenUsed/>
    <w:qFormat/>
    <w:rPr>
      <w:rFonts w:ascii="宋体" w:eastAsia="宋体" w:hAnsi="宋体" w:hint="eastAsia"/>
      <w:sz w:val="23"/>
      <w:szCs w:val="24"/>
    </w:rPr>
  </w:style>
  <w:style w:type="character" w:customStyle="1" w:styleId="3Char6">
    <w:name w:val="标题 3 Char"/>
    <w:uiPriority w:val="9"/>
    <w:unhideWhenUsed/>
    <w:qFormat/>
    <w:rPr>
      <w:rFonts w:eastAsia="宋体" w:hint="default"/>
      <w:b/>
      <w:kern w:val="28"/>
      <w:sz w:val="24"/>
      <w:szCs w:val="24"/>
      <w:lang w:val="en-US" w:eastAsia="zh-CN"/>
    </w:rPr>
  </w:style>
  <w:style w:type="character" w:customStyle="1" w:styleId="menu-text1">
    <w:name w:val="menu-text1"/>
    <w:unhideWhenUsed/>
    <w:qFormat/>
    <w:rPr>
      <w:rFonts w:hint="default"/>
      <w:color w:val="333333"/>
      <w:sz w:val="21"/>
      <w:szCs w:val="24"/>
    </w:rPr>
  </w:style>
  <w:style w:type="character" w:customStyle="1" w:styleId="ww2">
    <w:name w:val="ww2"/>
    <w:unhideWhenUsed/>
    <w:qFormat/>
    <w:rPr>
      <w:rFonts w:hint="default"/>
      <w:color w:val="000000"/>
      <w:sz w:val="22"/>
      <w:szCs w:val="24"/>
    </w:rPr>
  </w:style>
  <w:style w:type="character" w:customStyle="1" w:styleId="1ffffc">
    <w:name w:val="超链接1"/>
    <w:uiPriority w:val="99"/>
    <w:unhideWhenUsed/>
    <w:qFormat/>
    <w:rPr>
      <w:rFonts w:hint="default"/>
      <w:color w:val="0000FF"/>
      <w:sz w:val="24"/>
      <w:szCs w:val="24"/>
      <w:u w:val="single"/>
    </w:rPr>
  </w:style>
  <w:style w:type="character" w:customStyle="1" w:styleId="afffffffffffffffffffffff9">
    <w:name w:val="样式 汉鼎简魏碑"/>
    <w:unhideWhenUsed/>
    <w:qFormat/>
    <w:rPr>
      <w:rFonts w:ascii="汉鼎简魏碑" w:eastAsia="楷体_GB2312" w:hAnsi="汉鼎简魏碑" w:hint="eastAsia"/>
      <w:sz w:val="24"/>
      <w:szCs w:val="24"/>
    </w:rPr>
  </w:style>
  <w:style w:type="character" w:customStyle="1" w:styleId="unnamed11">
    <w:name w:val="unnamed11"/>
    <w:unhideWhenUsed/>
    <w:qFormat/>
    <w:rPr>
      <w:rFonts w:ascii="宋体" w:eastAsia="宋体" w:hAnsi="宋体" w:hint="eastAsia"/>
      <w:sz w:val="20"/>
      <w:szCs w:val="24"/>
    </w:rPr>
  </w:style>
  <w:style w:type="character" w:customStyle="1" w:styleId="1ffffd">
    <w:name w:val="已访问的超链接1"/>
    <w:unhideWhenUsed/>
    <w:qFormat/>
    <w:rPr>
      <w:rFonts w:hint="default"/>
      <w:color w:val="800080"/>
      <w:sz w:val="24"/>
      <w:szCs w:val="24"/>
      <w:u w:val="single"/>
    </w:rPr>
  </w:style>
  <w:style w:type="character" w:customStyle="1" w:styleId="Charf2">
    <w:name w:val="表格正文 Char"/>
    <w:link w:val="affff3"/>
    <w:unhideWhenUsed/>
    <w:qFormat/>
    <w:rPr>
      <w:rFonts w:hint="default"/>
      <w:kern w:val="2"/>
      <w:sz w:val="21"/>
      <w:szCs w:val="24"/>
    </w:rPr>
  </w:style>
  <w:style w:type="character" w:customStyle="1" w:styleId="HTMLChar0">
    <w:name w:val="HTML 预设格式 Char"/>
    <w:link w:val="HTML0"/>
    <w:uiPriority w:val="99"/>
    <w:unhideWhenUsed/>
    <w:qFormat/>
    <w:rPr>
      <w:rFonts w:ascii="Courier New" w:hint="default"/>
      <w:sz w:val="24"/>
      <w:szCs w:val="24"/>
    </w:rPr>
  </w:style>
  <w:style w:type="character" w:customStyle="1" w:styleId="HTMLa">
    <w:name w:val="HTML 预设格式 字符"/>
    <w:basedOn w:val="a6"/>
    <w:uiPriority w:val="99"/>
    <w:unhideWhenUsed/>
    <w:qFormat/>
    <w:rPr>
      <w:rFonts w:ascii="Courier New" w:cs="Courier New" w:hint="default"/>
      <w:kern w:val="2"/>
      <w:sz w:val="24"/>
      <w:szCs w:val="24"/>
    </w:rPr>
  </w:style>
  <w:style w:type="character" w:customStyle="1" w:styleId="01Char1">
    <w:name w:val="正文01 Char1"/>
    <w:unhideWhenUsed/>
    <w:qFormat/>
    <w:rPr>
      <w:rFonts w:eastAsia="宋体" w:hint="default"/>
      <w:kern w:val="2"/>
      <w:sz w:val="24"/>
      <w:szCs w:val="24"/>
      <w:lang w:val="en-US" w:eastAsia="zh-CN"/>
    </w:rPr>
  </w:style>
  <w:style w:type="character" w:customStyle="1" w:styleId="212TimesNewRomanChar">
    <w:name w:val="样式 样式 标题 2 + 段后: 12 行 + Times New Roman Char"/>
    <w:link w:val="212TimesNewRoman"/>
    <w:unhideWhenUsed/>
    <w:qFormat/>
    <w:rPr>
      <w:rFonts w:eastAsia="华文中宋" w:hint="default"/>
      <w:b/>
      <w:kern w:val="2"/>
      <w:sz w:val="24"/>
      <w:szCs w:val="24"/>
    </w:rPr>
  </w:style>
  <w:style w:type="character" w:customStyle="1" w:styleId="unnamed2">
    <w:name w:val="unnamed2"/>
    <w:basedOn w:val="a6"/>
    <w:unhideWhenUsed/>
    <w:qFormat/>
    <w:rPr>
      <w:rFonts w:cs="Times New Roman" w:hint="default"/>
      <w:sz w:val="24"/>
      <w:szCs w:val="24"/>
    </w:rPr>
  </w:style>
  <w:style w:type="character" w:customStyle="1" w:styleId="line21">
    <w:name w:val="line21"/>
    <w:unhideWhenUsed/>
    <w:qFormat/>
    <w:rPr>
      <w:rFonts w:hint="default"/>
      <w:color w:val="666666"/>
      <w:sz w:val="20"/>
      <w:szCs w:val="24"/>
    </w:rPr>
  </w:style>
  <w:style w:type="character" w:customStyle="1" w:styleId="2fffd">
    <w:name w:val="正文文本首行缩进 2 字符"/>
    <w:basedOn w:val="afffffffffffffffffffffff7"/>
    <w:uiPriority w:val="99"/>
    <w:unhideWhenUsed/>
    <w:qFormat/>
    <w:rPr>
      <w:rFonts w:cs="Times New Roman" w:hint="default"/>
      <w:kern w:val="2"/>
      <w:sz w:val="24"/>
      <w:szCs w:val="24"/>
    </w:rPr>
  </w:style>
  <w:style w:type="character" w:customStyle="1" w:styleId="2Char1">
    <w:name w:val="正文首行缩进 2 Char1"/>
    <w:link w:val="28"/>
    <w:unhideWhenUsed/>
    <w:qFormat/>
    <w:rPr>
      <w:rFonts w:hint="default"/>
      <w:kern w:val="2"/>
      <w:sz w:val="24"/>
      <w:szCs w:val="24"/>
    </w:rPr>
  </w:style>
  <w:style w:type="character" w:customStyle="1" w:styleId="-CharChar">
    <w:name w:val="报告正文-连续目录 Char Char"/>
    <w:link w:val="-1"/>
    <w:unhideWhenUsed/>
    <w:qFormat/>
    <w:rPr>
      <w:rFonts w:ascii="Arial" w:hint="default"/>
      <w:kern w:val="2"/>
      <w:sz w:val="24"/>
      <w:szCs w:val="24"/>
    </w:rPr>
  </w:style>
  <w:style w:type="character" w:customStyle="1" w:styleId="Charfc">
    <w:name w:val="表格标题 Char"/>
    <w:link w:val="afffff7"/>
    <w:unhideWhenUsed/>
    <w:qFormat/>
    <w:rPr>
      <w:rFonts w:hint="default"/>
      <w:kern w:val="2"/>
      <w:sz w:val="24"/>
      <w:szCs w:val="24"/>
    </w:rPr>
  </w:style>
  <w:style w:type="character" w:customStyle="1" w:styleId="afffffffffffffffffffffffa">
    <w:name w:val="文档结构图 字符"/>
    <w:basedOn w:val="a6"/>
    <w:uiPriority w:val="99"/>
    <w:unhideWhenUsed/>
    <w:qFormat/>
    <w:rPr>
      <w:rFonts w:ascii="Microsoft YaHei UI" w:eastAsia="Microsoft YaHei UI" w:cs="Times New Roman" w:hint="eastAsia"/>
      <w:kern w:val="2"/>
      <w:sz w:val="18"/>
      <w:szCs w:val="18"/>
    </w:rPr>
  </w:style>
  <w:style w:type="character" w:customStyle="1" w:styleId="3ff7">
    <w:name w:val="正文文本 3 字符"/>
    <w:basedOn w:val="a6"/>
    <w:uiPriority w:val="99"/>
    <w:unhideWhenUsed/>
    <w:qFormat/>
    <w:rPr>
      <w:rFonts w:cs="Times New Roman" w:hint="default"/>
      <w:kern w:val="2"/>
      <w:sz w:val="16"/>
      <w:szCs w:val="16"/>
    </w:rPr>
  </w:style>
  <w:style w:type="character" w:customStyle="1" w:styleId="2Char4">
    <w:name w:val="表格文字2 Char"/>
    <w:link w:val="2f3"/>
    <w:unhideWhenUsed/>
    <w:qFormat/>
    <w:rPr>
      <w:rFonts w:hint="default"/>
      <w:sz w:val="21"/>
      <w:szCs w:val="24"/>
    </w:rPr>
  </w:style>
  <w:style w:type="character" w:customStyle="1" w:styleId="Charffffff1">
    <w:name w:val="表格 Char"/>
    <w:unhideWhenUsed/>
    <w:qFormat/>
    <w:rPr>
      <w:rFonts w:eastAsia="仿宋_GB2312" w:hint="default"/>
      <w:kern w:val="2"/>
      <w:sz w:val="24"/>
      <w:szCs w:val="24"/>
    </w:rPr>
  </w:style>
  <w:style w:type="character" w:customStyle="1" w:styleId="3ff8">
    <w:name w:val="正文文本缩进 3 字符"/>
    <w:basedOn w:val="a6"/>
    <w:uiPriority w:val="99"/>
    <w:unhideWhenUsed/>
    <w:qFormat/>
    <w:rPr>
      <w:rFonts w:cs="Times New Roman" w:hint="default"/>
      <w:kern w:val="2"/>
      <w:sz w:val="16"/>
      <w:szCs w:val="16"/>
    </w:rPr>
  </w:style>
  <w:style w:type="character" w:customStyle="1" w:styleId="afffffffffffffffffffffffb">
    <w:name w:val="标题 字符"/>
    <w:basedOn w:val="a6"/>
    <w:uiPriority w:val="10"/>
    <w:unhideWhenUsed/>
    <w:qFormat/>
    <w:rPr>
      <w:rFonts w:ascii="Calibri Light" w:eastAsia="宋体" w:hAnsi="Calibri Light" w:cs="Times New Roman" w:hint="eastAsia"/>
      <w:b/>
      <w:kern w:val="2"/>
      <w:sz w:val="32"/>
      <w:szCs w:val="32"/>
    </w:rPr>
  </w:style>
  <w:style w:type="character" w:customStyle="1" w:styleId="Char10">
    <w:name w:val="标题 Char1"/>
    <w:link w:val="aff5"/>
    <w:unhideWhenUsed/>
    <w:qFormat/>
    <w:rPr>
      <w:rFonts w:ascii="Cambria" w:hint="default"/>
      <w:b/>
      <w:kern w:val="2"/>
      <w:sz w:val="32"/>
      <w:szCs w:val="24"/>
    </w:rPr>
  </w:style>
  <w:style w:type="character" w:customStyle="1" w:styleId="11e">
    <w:name w:val="页眉 字符11"/>
    <w:basedOn w:val="a6"/>
    <w:unhideWhenUsed/>
    <w:qFormat/>
    <w:rPr>
      <w:rFonts w:cs="Times New Roman" w:hint="default"/>
      <w:kern w:val="2"/>
      <w:sz w:val="18"/>
      <w:szCs w:val="18"/>
    </w:rPr>
  </w:style>
  <w:style w:type="character" w:customStyle="1" w:styleId="2fffe">
    <w:name w:val="页眉 字符2"/>
    <w:unhideWhenUsed/>
    <w:qFormat/>
    <w:rPr>
      <w:rFonts w:hint="default"/>
      <w:kern w:val="2"/>
      <w:sz w:val="18"/>
      <w:szCs w:val="24"/>
    </w:rPr>
  </w:style>
  <w:style w:type="character" w:customStyle="1" w:styleId="Char17">
    <w:name w:val="正文缩进 Char1"/>
    <w:unhideWhenUsed/>
    <w:qFormat/>
    <w:rPr>
      <w:rFonts w:eastAsia="宋体" w:hint="default"/>
      <w:kern w:val="2"/>
      <w:sz w:val="21"/>
      <w:szCs w:val="24"/>
      <w:lang w:val="en-US" w:eastAsia="zh-CN"/>
    </w:rPr>
  </w:style>
  <w:style w:type="character" w:customStyle="1" w:styleId="ttag">
    <w:name w:val="t_tag"/>
    <w:basedOn w:val="a6"/>
    <w:unhideWhenUsed/>
    <w:qFormat/>
    <w:rPr>
      <w:rFonts w:cs="Times New Roman" w:hint="default"/>
      <w:sz w:val="24"/>
      <w:szCs w:val="24"/>
    </w:rPr>
  </w:style>
  <w:style w:type="character" w:customStyle="1" w:styleId="scayt-misspell">
    <w:name w:val="scayt-misspell"/>
    <w:basedOn w:val="a6"/>
    <w:unhideWhenUsed/>
    <w:qFormat/>
    <w:rPr>
      <w:rFonts w:cs="Times New Roman" w:hint="default"/>
      <w:sz w:val="24"/>
      <w:szCs w:val="24"/>
    </w:rPr>
  </w:style>
  <w:style w:type="character" w:customStyle="1" w:styleId="cucd-0Char">
    <w:name w:val="cucd-0 Char"/>
    <w:link w:val="cucd-0"/>
    <w:unhideWhenUsed/>
    <w:qFormat/>
    <w:rPr>
      <w:rFonts w:hint="default"/>
      <w:kern w:val="2"/>
      <w:sz w:val="24"/>
      <w:szCs w:val="24"/>
    </w:rPr>
  </w:style>
  <w:style w:type="character" w:customStyle="1" w:styleId="apple-style-span">
    <w:name w:val="apple-style-span"/>
    <w:basedOn w:val="a6"/>
    <w:unhideWhenUsed/>
    <w:qFormat/>
    <w:rPr>
      <w:rFonts w:cs="Times New Roman" w:hint="default"/>
      <w:sz w:val="24"/>
      <w:szCs w:val="24"/>
    </w:rPr>
  </w:style>
  <w:style w:type="character" w:styleId="afffffffffffffffffffffffc">
    <w:name w:val="Placeholder Text"/>
    <w:unhideWhenUsed/>
    <w:qFormat/>
    <w:rPr>
      <w:rFonts w:hint="default"/>
      <w:color w:val="808080"/>
      <w:sz w:val="24"/>
      <w:szCs w:val="24"/>
    </w:rPr>
  </w:style>
  <w:style w:type="character" w:customStyle="1" w:styleId="CharChar1Char1">
    <w:name w:val="Char Char1 Char1"/>
    <w:unhideWhenUsed/>
    <w:qFormat/>
    <w:rPr>
      <w:rFonts w:ascii="宋体" w:eastAsia="宋体" w:hAnsi="宋体" w:hint="eastAsia"/>
      <w:sz w:val="24"/>
      <w:szCs w:val="24"/>
      <w:lang w:val="en-US" w:eastAsia="en-US"/>
    </w:rPr>
  </w:style>
  <w:style w:type="character" w:customStyle="1" w:styleId="1Char10">
    <w:name w:val="正文1 Char1"/>
    <w:link w:val="1fe"/>
    <w:unhideWhenUsed/>
    <w:qFormat/>
    <w:rPr>
      <w:rFonts w:hint="default"/>
      <w:kern w:val="2"/>
      <w:sz w:val="24"/>
      <w:szCs w:val="24"/>
    </w:rPr>
  </w:style>
  <w:style w:type="character" w:customStyle="1" w:styleId="CharChara">
    <w:name w:val="表格内容 Char Char"/>
    <w:unhideWhenUsed/>
    <w:qFormat/>
    <w:rPr>
      <w:rFonts w:ascii="Arial" w:eastAsia="仿宋_GB2312" w:hAnsi="Arial" w:hint="eastAsia"/>
      <w:sz w:val="24"/>
      <w:szCs w:val="24"/>
      <w:lang w:val="en-US" w:eastAsia="zh-CN"/>
    </w:rPr>
  </w:style>
  <w:style w:type="character" w:customStyle="1" w:styleId="1CharChar">
    <w:name w:val="表1 Char Char"/>
    <w:unhideWhenUsed/>
    <w:qFormat/>
    <w:rPr>
      <w:rFonts w:eastAsia="宋体" w:hint="default"/>
      <w:sz w:val="21"/>
      <w:szCs w:val="24"/>
      <w:lang w:val="en-US" w:eastAsia="zh-CN"/>
    </w:rPr>
  </w:style>
  <w:style w:type="character" w:customStyle="1" w:styleId="Char18">
    <w:name w:val="普通文字 Char1"/>
    <w:unhideWhenUsed/>
    <w:qFormat/>
    <w:rPr>
      <w:rFonts w:ascii="宋体" w:eastAsia="宋体" w:hAnsi="Courier New" w:hint="eastAsia"/>
      <w:kern w:val="2"/>
      <w:sz w:val="21"/>
      <w:szCs w:val="24"/>
      <w:lang w:val="en-US" w:eastAsia="zh-CN"/>
    </w:rPr>
  </w:style>
  <w:style w:type="character" w:customStyle="1" w:styleId="CharCharb">
    <w:name w:val="表头 Char Char"/>
    <w:unhideWhenUsed/>
    <w:qFormat/>
    <w:rPr>
      <w:rFonts w:ascii="黑体" w:eastAsia="黑体" w:hint="eastAsia"/>
      <w:spacing w:val="16"/>
      <w:kern w:val="2"/>
      <w:sz w:val="24"/>
      <w:szCs w:val="24"/>
      <w:lang w:val="en-US" w:eastAsia="zh-CN"/>
    </w:rPr>
  </w:style>
  <w:style w:type="character" w:customStyle="1" w:styleId="4CharChar">
    <w:name w:val="4级（小）标题 Char Char"/>
    <w:unhideWhenUsed/>
    <w:qFormat/>
    <w:rPr>
      <w:rFonts w:eastAsia="楷体" w:hint="default"/>
      <w:b/>
      <w:kern w:val="2"/>
      <w:sz w:val="24"/>
      <w:szCs w:val="24"/>
      <w:lang w:val="en-US" w:eastAsia="zh-CN"/>
    </w:rPr>
  </w:style>
  <w:style w:type="character" w:customStyle="1" w:styleId="CharCharc">
    <w:name w:val="表格 Char Char"/>
    <w:unhideWhenUsed/>
    <w:qFormat/>
    <w:rPr>
      <w:rFonts w:eastAsia="仿宋_GB2312" w:hint="default"/>
      <w:kern w:val="2"/>
      <w:sz w:val="24"/>
      <w:szCs w:val="24"/>
      <w:lang w:val="en-US" w:eastAsia="zh-CN"/>
    </w:rPr>
  </w:style>
  <w:style w:type="character" w:customStyle="1" w:styleId="CharChard">
    <w:name w:val="样式 正文格式 Char Char"/>
    <w:unhideWhenUsed/>
    <w:qFormat/>
    <w:rPr>
      <w:rFonts w:eastAsia="宋体" w:hint="default"/>
      <w:sz w:val="24"/>
      <w:szCs w:val="24"/>
      <w:lang w:val="en-US" w:eastAsia="zh-CN"/>
    </w:rPr>
  </w:style>
  <w:style w:type="character" w:customStyle="1" w:styleId="CharChare">
    <w:name w:val="表格正文 Char Char"/>
    <w:unhideWhenUsed/>
    <w:qFormat/>
    <w:rPr>
      <w:rFonts w:eastAsia="宋体" w:hint="default"/>
      <w:kern w:val="2"/>
      <w:sz w:val="21"/>
      <w:szCs w:val="24"/>
      <w:lang w:val="en-US" w:eastAsia="zh-CN"/>
    </w:rPr>
  </w:style>
  <w:style w:type="character" w:customStyle="1" w:styleId="Charff">
    <w:name w:val="表格数字 Char"/>
    <w:link w:val="afffffff4"/>
    <w:unhideWhenUsed/>
    <w:qFormat/>
    <w:rPr>
      <w:rFonts w:ascii="Arial" w:hint="default"/>
      <w:sz w:val="21"/>
      <w:szCs w:val="24"/>
    </w:rPr>
  </w:style>
  <w:style w:type="character" w:customStyle="1" w:styleId="SectionChar">
    <w:name w:val="Section Char"/>
    <w:unhideWhenUsed/>
    <w:qFormat/>
    <w:rPr>
      <w:rFonts w:eastAsia="黑体" w:hint="default"/>
      <w:kern w:val="2"/>
      <w:sz w:val="32"/>
      <w:szCs w:val="24"/>
      <w:lang w:val="en-US" w:eastAsia="zh-CN"/>
    </w:rPr>
  </w:style>
  <w:style w:type="character" w:customStyle="1" w:styleId="CharCharCharChar1">
    <w:name w:val="Char Char Char Char1"/>
    <w:unhideWhenUsed/>
    <w:qFormat/>
    <w:rPr>
      <w:rFonts w:eastAsia="宋体" w:hint="default"/>
      <w:kern w:val="2"/>
      <w:sz w:val="18"/>
      <w:szCs w:val="24"/>
      <w:lang w:val="en-US" w:eastAsia="zh-CN"/>
    </w:rPr>
  </w:style>
  <w:style w:type="character" w:customStyle="1" w:styleId="4CharChar0">
    <w:name w:val="正文文字缩进小4 Char Char"/>
    <w:unhideWhenUsed/>
    <w:qFormat/>
    <w:rPr>
      <w:rFonts w:eastAsia="仿宋_GB2312" w:hint="default"/>
      <w:kern w:val="2"/>
      <w:sz w:val="24"/>
      <w:szCs w:val="24"/>
      <w:lang w:val="en-US" w:eastAsia="zh-CN"/>
    </w:rPr>
  </w:style>
  <w:style w:type="character" w:customStyle="1" w:styleId="0012Char">
    <w:name w:val="样式 正文001 + 首行缩进:  2 字符 Char"/>
    <w:link w:val="0012"/>
    <w:unhideWhenUsed/>
    <w:qFormat/>
    <w:rPr>
      <w:rFonts w:hint="default"/>
      <w:kern w:val="2"/>
      <w:sz w:val="24"/>
      <w:szCs w:val="24"/>
    </w:rPr>
  </w:style>
  <w:style w:type="character" w:customStyle="1" w:styleId="Charff0">
    <w:name w:val="首页要点 Char"/>
    <w:link w:val="afffffff5"/>
    <w:unhideWhenUsed/>
    <w:qFormat/>
    <w:rPr>
      <w:rFonts w:ascii="Arial" w:eastAsia="楷体_GB2312" w:hAnsi="Arial" w:hint="eastAsia"/>
      <w:kern w:val="2"/>
      <w:sz w:val="21"/>
      <w:szCs w:val="24"/>
    </w:rPr>
  </w:style>
  <w:style w:type="character" w:customStyle="1" w:styleId="12font1">
    <w:name w:val="12font1"/>
    <w:unhideWhenUsed/>
    <w:qFormat/>
    <w:rPr>
      <w:rFonts w:hint="default"/>
      <w:spacing w:val="288"/>
      <w:sz w:val="24"/>
      <w:szCs w:val="24"/>
    </w:rPr>
  </w:style>
  <w:style w:type="character" w:customStyle="1" w:styleId="hottext1">
    <w:name w:val="hottext1"/>
    <w:unhideWhenUsed/>
    <w:qFormat/>
    <w:rPr>
      <w:rFonts w:ascii="宋体" w:eastAsia="宋体" w:hAnsi="宋体" w:hint="eastAsia"/>
      <w:color w:val="333333"/>
      <w:spacing w:val="260"/>
      <w:sz w:val="13"/>
      <w:szCs w:val="24"/>
    </w:rPr>
  </w:style>
  <w:style w:type="character" w:customStyle="1" w:styleId="f41">
    <w:name w:val="f41"/>
    <w:unhideWhenUsed/>
    <w:qFormat/>
    <w:rPr>
      <w:rFonts w:hint="default"/>
      <w:color w:val="333333"/>
      <w:sz w:val="21"/>
      <w:szCs w:val="24"/>
    </w:rPr>
  </w:style>
  <w:style w:type="character" w:customStyle="1" w:styleId="2CharChar">
    <w:name w:val="小四正文缩进2 Char Char"/>
    <w:link w:val="2Char6"/>
    <w:unhideWhenUsed/>
    <w:qFormat/>
    <w:rPr>
      <w:rFonts w:hint="default"/>
      <w:kern w:val="2"/>
      <w:sz w:val="24"/>
      <w:szCs w:val="24"/>
    </w:rPr>
  </w:style>
  <w:style w:type="character" w:customStyle="1" w:styleId="tpccontent1">
    <w:name w:val="tpc_content1"/>
    <w:unhideWhenUsed/>
    <w:qFormat/>
    <w:rPr>
      <w:rFonts w:hint="default"/>
      <w:sz w:val="20"/>
      <w:szCs w:val="24"/>
    </w:rPr>
  </w:style>
  <w:style w:type="character" w:customStyle="1" w:styleId="css-text3">
    <w:name w:val="css-text3"/>
    <w:basedOn w:val="a6"/>
    <w:unhideWhenUsed/>
    <w:qFormat/>
    <w:rPr>
      <w:rFonts w:cs="Times New Roman" w:hint="default"/>
      <w:sz w:val="24"/>
      <w:szCs w:val="24"/>
    </w:rPr>
  </w:style>
  <w:style w:type="character" w:customStyle="1" w:styleId="content3">
    <w:name w:val="content3"/>
    <w:basedOn w:val="a6"/>
    <w:unhideWhenUsed/>
    <w:qFormat/>
    <w:rPr>
      <w:rFonts w:cs="Times New Roman" w:hint="default"/>
      <w:sz w:val="24"/>
      <w:szCs w:val="24"/>
    </w:rPr>
  </w:style>
  <w:style w:type="character" w:customStyle="1" w:styleId="211TimesNewRomanChar">
    <w:name w:val="样式 样式 标题 2节标题 1.1 + Times New Roman 四号 + Char"/>
    <w:link w:val="211TimesNewRoman"/>
    <w:unhideWhenUsed/>
    <w:qFormat/>
    <w:rPr>
      <w:rFonts w:hint="default"/>
      <w:b/>
      <w:kern w:val="2"/>
      <w:sz w:val="32"/>
      <w:szCs w:val="24"/>
    </w:rPr>
  </w:style>
  <w:style w:type="character" w:customStyle="1" w:styleId="Charff1">
    <w:name w:val="可研报告正文 Char"/>
    <w:link w:val="afffffff9"/>
    <w:unhideWhenUsed/>
    <w:qFormat/>
    <w:rPr>
      <w:rFonts w:hint="default"/>
      <w:kern w:val="2"/>
      <w:sz w:val="24"/>
      <w:szCs w:val="24"/>
    </w:rPr>
  </w:style>
  <w:style w:type="character" w:customStyle="1" w:styleId="ttitle1">
    <w:name w:val="ttitle1"/>
    <w:unhideWhenUsed/>
    <w:qFormat/>
    <w:rPr>
      <w:rFonts w:hint="default"/>
      <w:spacing w:val="120"/>
      <w:sz w:val="21"/>
      <w:szCs w:val="24"/>
    </w:rPr>
  </w:style>
  <w:style w:type="character" w:customStyle="1" w:styleId="title1">
    <w:name w:val="title1"/>
    <w:unhideWhenUsed/>
    <w:qFormat/>
    <w:rPr>
      <w:rFonts w:hint="default"/>
      <w:b/>
      <w:color w:val="000000"/>
      <w:sz w:val="21"/>
      <w:szCs w:val="24"/>
    </w:rPr>
  </w:style>
  <w:style w:type="character" w:customStyle="1" w:styleId="Charff2">
    <w:name w:val="表格中 Char"/>
    <w:link w:val="afffffffb"/>
    <w:unhideWhenUsed/>
    <w:qFormat/>
    <w:rPr>
      <w:rFonts w:hint="default"/>
      <w:kern w:val="2"/>
      <w:sz w:val="24"/>
      <w:szCs w:val="24"/>
    </w:rPr>
  </w:style>
  <w:style w:type="character" w:customStyle="1" w:styleId="2CharCharChar">
    <w:name w:val="正文缩进2 Char Char Char"/>
    <w:link w:val="2CharChar0"/>
    <w:unhideWhenUsed/>
    <w:qFormat/>
    <w:rPr>
      <w:rFonts w:hint="default"/>
      <w:kern w:val="2"/>
      <w:sz w:val="24"/>
      <w:szCs w:val="24"/>
    </w:rPr>
  </w:style>
  <w:style w:type="character" w:customStyle="1" w:styleId="afffffffffffffffffffffffd">
    <w:name w:val="注释标题 字符"/>
    <w:basedOn w:val="a6"/>
    <w:uiPriority w:val="99"/>
    <w:unhideWhenUsed/>
    <w:qFormat/>
    <w:rPr>
      <w:rFonts w:cs="Times New Roman" w:hint="default"/>
      <w:kern w:val="2"/>
      <w:sz w:val="24"/>
      <w:szCs w:val="24"/>
    </w:rPr>
  </w:style>
  <w:style w:type="character" w:customStyle="1" w:styleId="txt1">
    <w:name w:val="txt1"/>
    <w:unhideWhenUsed/>
    <w:qFormat/>
    <w:rPr>
      <w:rFonts w:hint="default"/>
      <w:color w:val="000000"/>
      <w:spacing w:val="360"/>
      <w:sz w:val="19"/>
      <w:szCs w:val="24"/>
    </w:rPr>
  </w:style>
  <w:style w:type="character" w:customStyle="1" w:styleId="CharCharCharChar0">
    <w:name w:val="表中 Char Char Char Char"/>
    <w:link w:val="CharCharChar"/>
    <w:unhideWhenUsed/>
    <w:qFormat/>
    <w:rPr>
      <w:rFonts w:hint="default"/>
      <w:kern w:val="2"/>
      <w:sz w:val="21"/>
      <w:szCs w:val="24"/>
    </w:rPr>
  </w:style>
  <w:style w:type="character" w:customStyle="1" w:styleId="Char14">
    <w:name w:val="表格居左 Char1"/>
    <w:link w:val="afffffffe"/>
    <w:unhideWhenUsed/>
    <w:qFormat/>
    <w:rPr>
      <w:rFonts w:hint="default"/>
      <w:kern w:val="2"/>
      <w:sz w:val="21"/>
      <w:szCs w:val="24"/>
    </w:rPr>
  </w:style>
  <w:style w:type="character" w:customStyle="1" w:styleId="2CharChar1">
    <w:name w:val="正文2缩进主要格式 Char Char"/>
    <w:link w:val="2Char7"/>
    <w:unhideWhenUsed/>
    <w:qFormat/>
    <w:rPr>
      <w:rFonts w:ascii="宋体" w:eastAsia="宋体" w:hint="eastAsia"/>
      <w:kern w:val="2"/>
      <w:sz w:val="24"/>
      <w:szCs w:val="24"/>
    </w:rPr>
  </w:style>
  <w:style w:type="character" w:customStyle="1" w:styleId="CharChar0">
    <w:name w:val="表格居中 Char Char"/>
    <w:link w:val="Charff3"/>
    <w:unhideWhenUsed/>
    <w:qFormat/>
    <w:rPr>
      <w:rFonts w:hint="default"/>
      <w:kern w:val="2"/>
      <w:sz w:val="24"/>
      <w:szCs w:val="24"/>
    </w:rPr>
  </w:style>
  <w:style w:type="character" w:customStyle="1" w:styleId="2CharChar10">
    <w:name w:val="正文缩进2 Char Char1"/>
    <w:link w:val="2Char8"/>
    <w:unhideWhenUsed/>
    <w:qFormat/>
    <w:rPr>
      <w:rFonts w:hint="default"/>
      <w:kern w:val="2"/>
      <w:sz w:val="21"/>
      <w:szCs w:val="24"/>
    </w:rPr>
  </w:style>
  <w:style w:type="character" w:customStyle="1" w:styleId="2CharChar2">
    <w:name w:val="2缩正 Char Char"/>
    <w:link w:val="2Char9"/>
    <w:unhideWhenUsed/>
    <w:qFormat/>
    <w:rPr>
      <w:rFonts w:hint="default"/>
      <w:kern w:val="2"/>
      <w:sz w:val="24"/>
      <w:szCs w:val="24"/>
    </w:rPr>
  </w:style>
  <w:style w:type="character" w:customStyle="1" w:styleId="2CharCharChar1">
    <w:name w:val="正文缩进2 Char Char Char1"/>
    <w:unhideWhenUsed/>
    <w:qFormat/>
    <w:rPr>
      <w:rFonts w:eastAsia="宋体" w:hint="default"/>
      <w:kern w:val="2"/>
      <w:sz w:val="24"/>
      <w:szCs w:val="24"/>
      <w:lang w:val="en-US" w:eastAsia="zh-CN"/>
    </w:rPr>
  </w:style>
  <w:style w:type="character" w:customStyle="1" w:styleId="afffffffffffffffffffffffe">
    <w:name w:val="称呼 字符"/>
    <w:basedOn w:val="a6"/>
    <w:uiPriority w:val="99"/>
    <w:unhideWhenUsed/>
    <w:qFormat/>
    <w:rPr>
      <w:rFonts w:cs="Times New Roman" w:hint="default"/>
      <w:kern w:val="2"/>
      <w:sz w:val="24"/>
      <w:szCs w:val="24"/>
    </w:rPr>
  </w:style>
  <w:style w:type="character" w:customStyle="1" w:styleId="CharCharCharCharChar1">
    <w:name w:val="首行缩进 Char Char Char Char Char"/>
    <w:unhideWhenUsed/>
    <w:qFormat/>
    <w:rPr>
      <w:rFonts w:eastAsia="宋体" w:hint="default"/>
      <w:kern w:val="2"/>
      <w:sz w:val="24"/>
      <w:szCs w:val="24"/>
      <w:lang w:val="en-US" w:eastAsia="zh-CN"/>
    </w:rPr>
  </w:style>
  <w:style w:type="character" w:customStyle="1" w:styleId="px14">
    <w:name w:val="px14"/>
    <w:basedOn w:val="a6"/>
    <w:unhideWhenUsed/>
    <w:qFormat/>
    <w:rPr>
      <w:rFonts w:cs="Times New Roman" w:hint="default"/>
      <w:sz w:val="24"/>
      <w:szCs w:val="24"/>
    </w:rPr>
  </w:style>
  <w:style w:type="character" w:customStyle="1" w:styleId="style91">
    <w:name w:val="style91"/>
    <w:unhideWhenUsed/>
    <w:qFormat/>
    <w:rPr>
      <w:rFonts w:hint="default"/>
      <w:color w:val="333333"/>
      <w:sz w:val="18"/>
      <w:szCs w:val="24"/>
    </w:rPr>
  </w:style>
  <w:style w:type="character" w:customStyle="1" w:styleId="line181">
    <w:name w:val="line181"/>
    <w:basedOn w:val="a6"/>
    <w:unhideWhenUsed/>
    <w:qFormat/>
    <w:rPr>
      <w:rFonts w:cs="Times New Roman" w:hint="default"/>
      <w:sz w:val="24"/>
      <w:szCs w:val="24"/>
    </w:rPr>
  </w:style>
  <w:style w:type="character" w:customStyle="1" w:styleId="zhenwen141">
    <w:name w:val="zhenwen141"/>
    <w:unhideWhenUsed/>
    <w:qFormat/>
    <w:rPr>
      <w:rFonts w:ascii="??" w:hint="default"/>
      <w:sz w:val="21"/>
      <w:szCs w:val="24"/>
    </w:rPr>
  </w:style>
  <w:style w:type="character" w:customStyle="1" w:styleId="CharCharf">
    <w:name w:val="表格居左 Char Char"/>
    <w:unhideWhenUsed/>
    <w:qFormat/>
    <w:rPr>
      <w:rFonts w:eastAsia="宋体" w:hint="default"/>
      <w:sz w:val="21"/>
      <w:szCs w:val="24"/>
      <w:lang w:val="en-US" w:eastAsia="zh-CN"/>
    </w:rPr>
  </w:style>
  <w:style w:type="character" w:customStyle="1" w:styleId="CharCharChar20">
    <w:name w:val="Char Char Char2"/>
    <w:unhideWhenUsed/>
    <w:qFormat/>
    <w:rPr>
      <w:rFonts w:eastAsia="宋体" w:hint="default"/>
      <w:kern w:val="2"/>
      <w:sz w:val="24"/>
      <w:szCs w:val="24"/>
      <w:lang w:val="en-US" w:eastAsia="zh-CN"/>
    </w:rPr>
  </w:style>
  <w:style w:type="character" w:customStyle="1" w:styleId="2Char1CharChar">
    <w:name w:val="标题 2 Char1 Char Char"/>
    <w:unhideWhenUsed/>
    <w:qFormat/>
    <w:rPr>
      <w:rFonts w:ascii="Arial" w:eastAsia="黑体" w:hAnsi="Arial" w:hint="eastAsia"/>
      <w:b/>
      <w:kern w:val="2"/>
      <w:sz w:val="32"/>
      <w:szCs w:val="24"/>
      <w:lang w:val="en-US" w:eastAsia="zh-CN"/>
    </w:rPr>
  </w:style>
  <w:style w:type="character" w:customStyle="1" w:styleId="3Char3Char1">
    <w:name w:val="标题 3 Char3 Char1"/>
    <w:unhideWhenUsed/>
    <w:qFormat/>
    <w:rPr>
      <w:rFonts w:eastAsia="宋体" w:hint="default"/>
      <w:b/>
      <w:kern w:val="2"/>
      <w:sz w:val="32"/>
      <w:szCs w:val="24"/>
      <w:lang w:val="en-US" w:eastAsia="zh-CN"/>
    </w:rPr>
  </w:style>
  <w:style w:type="character" w:customStyle="1" w:styleId="CharChar1">
    <w:name w:val="标题五 Char Char"/>
    <w:link w:val="affffffff7"/>
    <w:unhideWhenUsed/>
    <w:qFormat/>
    <w:rPr>
      <w:rFonts w:ascii="Arial" w:hint="default"/>
      <w:sz w:val="24"/>
      <w:szCs w:val="24"/>
    </w:rPr>
  </w:style>
  <w:style w:type="character" w:customStyle="1" w:styleId="Charffffff2">
    <w:name w:val="北山简报正文 Char"/>
    <w:unhideWhenUsed/>
    <w:qFormat/>
    <w:rPr>
      <w:rFonts w:hint="default"/>
      <w:kern w:val="2"/>
      <w:sz w:val="24"/>
      <w:szCs w:val="24"/>
    </w:rPr>
  </w:style>
  <w:style w:type="character" w:customStyle="1" w:styleId="Charffffff3">
    <w:name w:val="标题章 Char"/>
    <w:unhideWhenUsed/>
    <w:qFormat/>
    <w:rPr>
      <w:rFonts w:eastAsia="宋体" w:hint="default"/>
      <w:b/>
      <w:kern w:val="44"/>
      <w:sz w:val="44"/>
      <w:szCs w:val="24"/>
      <w:lang w:val="en-US" w:eastAsia="zh-CN"/>
    </w:rPr>
  </w:style>
  <w:style w:type="character" w:customStyle="1" w:styleId="Charffffff4">
    <w:name w:val="第四层条 Char"/>
    <w:unhideWhenUsed/>
    <w:qFormat/>
    <w:rPr>
      <w:rFonts w:eastAsia="宋体" w:hint="default"/>
      <w:sz w:val="24"/>
      <w:szCs w:val="24"/>
      <w:lang w:val="en-US" w:eastAsia="zh-CN"/>
    </w:rPr>
  </w:style>
  <w:style w:type="character" w:customStyle="1" w:styleId="font2">
    <w:name w:val="font2"/>
    <w:unhideWhenUsed/>
    <w:qFormat/>
    <w:rPr>
      <w:rFonts w:ascii="宋体" w:eastAsia="宋体" w:hAnsi="宋体" w:hint="eastAsia"/>
      <w:color w:val="000000"/>
      <w:sz w:val="24"/>
      <w:szCs w:val="24"/>
    </w:rPr>
  </w:style>
  <w:style w:type="character" w:customStyle="1" w:styleId="ssy3CharChar">
    <w:name w:val="ssy3 Char Char"/>
    <w:link w:val="ssy3Char"/>
    <w:unhideWhenUsed/>
    <w:qFormat/>
    <w:rPr>
      <w:rFonts w:ascii="宋体" w:eastAsia="宋体" w:hint="eastAsia"/>
      <w:b/>
      <w:kern w:val="2"/>
      <w:sz w:val="28"/>
      <w:szCs w:val="24"/>
    </w:rPr>
  </w:style>
  <w:style w:type="character" w:customStyle="1" w:styleId="03CharChar">
    <w:name w:val="03 Char Char"/>
    <w:link w:val="03Char"/>
    <w:unhideWhenUsed/>
    <w:qFormat/>
    <w:rPr>
      <w:rFonts w:ascii="宋体" w:eastAsia="宋体" w:hint="eastAsia"/>
      <w:kern w:val="2"/>
      <w:sz w:val="24"/>
      <w:szCs w:val="24"/>
    </w:rPr>
  </w:style>
  <w:style w:type="character" w:customStyle="1" w:styleId="00Char">
    <w:name w:val="00 Char"/>
    <w:link w:val="000"/>
    <w:unhideWhenUsed/>
    <w:qFormat/>
    <w:rPr>
      <w:rFonts w:ascii="黑体" w:eastAsia="黑体" w:hint="eastAsia"/>
      <w:b/>
      <w:kern w:val="44"/>
      <w:sz w:val="30"/>
      <w:szCs w:val="24"/>
    </w:rPr>
  </w:style>
  <w:style w:type="character" w:customStyle="1" w:styleId="02Char">
    <w:name w:val="02 Char"/>
    <w:link w:val="021"/>
    <w:unhideWhenUsed/>
    <w:qFormat/>
    <w:rPr>
      <w:rFonts w:eastAsia="黑体" w:hint="default"/>
      <w:b/>
      <w:kern w:val="2"/>
      <w:sz w:val="32"/>
      <w:szCs w:val="24"/>
    </w:rPr>
  </w:style>
  <w:style w:type="character" w:customStyle="1" w:styleId="Charff5">
    <w:name w:val="无间隔 Char"/>
    <w:link w:val="affffffffc"/>
    <w:uiPriority w:val="1"/>
    <w:unhideWhenUsed/>
    <w:qFormat/>
    <w:rPr>
      <w:rFonts w:hint="default"/>
      <w:kern w:val="2"/>
      <w:sz w:val="32"/>
      <w:szCs w:val="24"/>
    </w:rPr>
  </w:style>
  <w:style w:type="character" w:customStyle="1" w:styleId="affffffffffffffffffffffff">
    <w:name w:val="引用 字符"/>
    <w:basedOn w:val="a6"/>
    <w:uiPriority w:val="29"/>
    <w:unhideWhenUsed/>
    <w:qFormat/>
    <w:rPr>
      <w:rFonts w:cs="Times New Roman" w:hint="default"/>
      <w:i/>
      <w:color w:val="404040"/>
      <w:kern w:val="2"/>
      <w:sz w:val="24"/>
      <w:szCs w:val="24"/>
    </w:rPr>
  </w:style>
  <w:style w:type="character" w:customStyle="1" w:styleId="Charff6">
    <w:name w:val="引用 Char"/>
    <w:link w:val="affffffffd"/>
    <w:unhideWhenUsed/>
    <w:qFormat/>
    <w:rPr>
      <w:rFonts w:hint="default"/>
      <w:i/>
      <w:kern w:val="2"/>
      <w:sz w:val="24"/>
      <w:szCs w:val="24"/>
    </w:rPr>
  </w:style>
  <w:style w:type="character" w:customStyle="1" w:styleId="affffffffffffffffffffffff0">
    <w:name w:val="明显引用 字符"/>
    <w:basedOn w:val="a6"/>
    <w:uiPriority w:val="30"/>
    <w:unhideWhenUsed/>
    <w:qFormat/>
    <w:rPr>
      <w:rFonts w:cs="Times New Roman" w:hint="default"/>
      <w:i/>
      <w:color w:val="5B9BD5"/>
      <w:kern w:val="2"/>
      <w:sz w:val="24"/>
      <w:szCs w:val="24"/>
    </w:rPr>
  </w:style>
  <w:style w:type="character" w:customStyle="1" w:styleId="Charff7">
    <w:name w:val="明显引用 Char"/>
    <w:link w:val="affffffffe"/>
    <w:unhideWhenUsed/>
    <w:qFormat/>
    <w:rPr>
      <w:rFonts w:hint="default"/>
      <w:b/>
      <w:i/>
      <w:kern w:val="2"/>
      <w:sz w:val="22"/>
      <w:szCs w:val="24"/>
    </w:rPr>
  </w:style>
  <w:style w:type="character" w:customStyle="1" w:styleId="3Char10">
    <w:name w:val="正文文本缩进 3 Char1"/>
    <w:unhideWhenUsed/>
    <w:qFormat/>
    <w:rPr>
      <w:rFonts w:hint="default"/>
      <w:kern w:val="2"/>
      <w:sz w:val="16"/>
      <w:szCs w:val="24"/>
    </w:rPr>
  </w:style>
  <w:style w:type="character" w:customStyle="1" w:styleId="Charff8">
    <w:name w:val="表格内标 Char"/>
    <w:link w:val="afffffffff"/>
    <w:unhideWhenUsed/>
    <w:qFormat/>
    <w:rPr>
      <w:rFonts w:eastAsia="黑体" w:hint="default"/>
      <w:kern w:val="2"/>
      <w:sz w:val="24"/>
      <w:szCs w:val="24"/>
    </w:rPr>
  </w:style>
  <w:style w:type="character" w:customStyle="1" w:styleId="hongf-16">
    <w:name w:val="hong f-16"/>
    <w:basedOn w:val="a6"/>
    <w:unhideWhenUsed/>
    <w:qFormat/>
    <w:rPr>
      <w:rFonts w:cs="Times New Roman" w:hint="default"/>
      <w:sz w:val="24"/>
      <w:szCs w:val="24"/>
    </w:rPr>
  </w:style>
  <w:style w:type="character" w:customStyle="1" w:styleId="affffffffffffffffffffffff1">
    <w:name w:val="样式 宋体"/>
    <w:unhideWhenUsed/>
    <w:qFormat/>
    <w:rPr>
      <w:rFonts w:ascii="宋体" w:eastAsia="宋体" w:hint="eastAsia"/>
      <w:sz w:val="24"/>
      <w:szCs w:val="24"/>
    </w:rPr>
  </w:style>
  <w:style w:type="character" w:customStyle="1" w:styleId="Charffffff5">
    <w:name w:val="标题 Char"/>
    <w:unhideWhenUsed/>
    <w:qFormat/>
    <w:rPr>
      <w:rFonts w:ascii="Cambria" w:hint="default"/>
      <w:b/>
      <w:kern w:val="2"/>
      <w:sz w:val="32"/>
      <w:szCs w:val="24"/>
    </w:rPr>
  </w:style>
  <w:style w:type="character" w:customStyle="1" w:styleId="5Char10">
    <w:name w:val="标题 5 Char1"/>
    <w:unhideWhenUsed/>
    <w:qFormat/>
    <w:rPr>
      <w:rFonts w:eastAsia="宋体" w:hint="default"/>
      <w:b/>
      <w:kern w:val="2"/>
      <w:sz w:val="28"/>
      <w:szCs w:val="24"/>
      <w:lang w:val="en-US" w:eastAsia="zh-CN"/>
    </w:rPr>
  </w:style>
  <w:style w:type="character" w:customStyle="1" w:styleId="Char19">
    <w:name w:val="章节 Char1"/>
    <w:unhideWhenUsed/>
    <w:qFormat/>
    <w:rPr>
      <w:rFonts w:eastAsia="宋体" w:hint="default"/>
      <w:b/>
      <w:kern w:val="44"/>
      <w:sz w:val="44"/>
      <w:szCs w:val="24"/>
      <w:lang w:val="en-US" w:eastAsia="zh-CN"/>
    </w:rPr>
  </w:style>
  <w:style w:type="character" w:customStyle="1" w:styleId="Char1a">
    <w:name w:val="标题节 Char1"/>
    <w:unhideWhenUsed/>
    <w:qFormat/>
    <w:rPr>
      <w:rFonts w:ascii="Arial" w:eastAsia="黑体" w:hAnsi="Arial" w:hint="eastAsia"/>
      <w:b/>
      <w:kern w:val="2"/>
      <w:sz w:val="32"/>
      <w:szCs w:val="24"/>
      <w:lang w:val="en-US" w:eastAsia="zh-CN"/>
    </w:rPr>
  </w:style>
  <w:style w:type="character" w:customStyle="1" w:styleId="SectionChar1">
    <w:name w:val="Section Char1"/>
    <w:unhideWhenUsed/>
    <w:qFormat/>
    <w:rPr>
      <w:rFonts w:eastAsia="宋体" w:hint="default"/>
      <w:b/>
      <w:kern w:val="2"/>
      <w:sz w:val="32"/>
      <w:szCs w:val="24"/>
      <w:lang w:val="en-US" w:eastAsia="zh-CN"/>
    </w:rPr>
  </w:style>
  <w:style w:type="character" w:customStyle="1" w:styleId="1111Char">
    <w:name w:val="款标题1.1.1.1 Char"/>
    <w:unhideWhenUsed/>
    <w:qFormat/>
    <w:rPr>
      <w:rFonts w:ascii="Arial" w:eastAsia="黑体" w:hAnsi="Arial" w:hint="eastAsia"/>
      <w:b/>
      <w:kern w:val="2"/>
      <w:sz w:val="28"/>
      <w:szCs w:val="24"/>
      <w:lang w:val="en-US" w:eastAsia="zh-CN"/>
    </w:rPr>
  </w:style>
  <w:style w:type="character" w:customStyle="1" w:styleId="Char23">
    <w:name w:val="正文段 Char2"/>
    <w:link w:val="afffffffff3"/>
    <w:unhideWhenUsed/>
    <w:qFormat/>
    <w:rPr>
      <w:rFonts w:ascii="仿宋_GB2312" w:eastAsia="仿宋_GB2312" w:hAnsi="宋体" w:hint="eastAsia"/>
      <w:sz w:val="18"/>
      <w:szCs w:val="24"/>
    </w:rPr>
  </w:style>
  <w:style w:type="character" w:customStyle="1" w:styleId="CharCharf0">
    <w:name w:val="三级标题 Char Char"/>
    <w:unhideWhenUsed/>
    <w:qFormat/>
    <w:rPr>
      <w:rFonts w:eastAsia="宋体" w:hint="default"/>
      <w:b/>
      <w:kern w:val="2"/>
      <w:sz w:val="24"/>
      <w:szCs w:val="24"/>
      <w:lang w:val="en-US" w:eastAsia="zh-CN"/>
    </w:rPr>
  </w:style>
  <w:style w:type="character" w:customStyle="1" w:styleId="CharCharCharCharChar10">
    <w:name w:val="Char Char Char Char Char1"/>
    <w:unhideWhenUsed/>
    <w:qFormat/>
    <w:rPr>
      <w:rFonts w:hint="default"/>
      <w:kern w:val="2"/>
      <w:sz w:val="18"/>
      <w:szCs w:val="24"/>
    </w:rPr>
  </w:style>
  <w:style w:type="character" w:customStyle="1" w:styleId="con">
    <w:name w:val="con"/>
    <w:basedOn w:val="a6"/>
    <w:unhideWhenUsed/>
    <w:qFormat/>
    <w:rPr>
      <w:rFonts w:cs="Times New Roman" w:hint="default"/>
      <w:sz w:val="24"/>
      <w:szCs w:val="24"/>
    </w:rPr>
  </w:style>
  <w:style w:type="character" w:customStyle="1" w:styleId="Charffffff6">
    <w:name w:val="批注框文本 Char"/>
    <w:uiPriority w:val="99"/>
    <w:unhideWhenUsed/>
    <w:qFormat/>
    <w:rPr>
      <w:rFonts w:hint="default"/>
      <w:kern w:val="2"/>
      <w:sz w:val="18"/>
      <w:szCs w:val="24"/>
    </w:rPr>
  </w:style>
  <w:style w:type="character" w:customStyle="1" w:styleId="2Charb">
    <w:name w:val="正文首行缩进 2 Char"/>
    <w:unhideWhenUsed/>
    <w:qFormat/>
    <w:rPr>
      <w:rFonts w:eastAsia="宋体" w:hint="default"/>
      <w:kern w:val="2"/>
      <w:sz w:val="24"/>
      <w:szCs w:val="24"/>
      <w:lang w:val="en-US" w:eastAsia="zh-CN"/>
    </w:rPr>
  </w:style>
  <w:style w:type="character" w:customStyle="1" w:styleId="33Char">
    <w:name w:val="标题33 Char"/>
    <w:unhideWhenUsed/>
    <w:qFormat/>
    <w:rPr>
      <w:rFonts w:hint="default"/>
      <w:b/>
      <w:kern w:val="2"/>
      <w:sz w:val="32"/>
      <w:szCs w:val="24"/>
    </w:rPr>
  </w:style>
  <w:style w:type="character" w:customStyle="1" w:styleId="11Char0">
    <w:name w:val="标题11 Char"/>
    <w:unhideWhenUsed/>
    <w:qFormat/>
    <w:rPr>
      <w:rFonts w:hint="default"/>
      <w:b/>
      <w:kern w:val="44"/>
      <w:sz w:val="44"/>
      <w:szCs w:val="24"/>
    </w:rPr>
  </w:style>
  <w:style w:type="character" w:customStyle="1" w:styleId="22Char0">
    <w:name w:val="标题22 Char"/>
    <w:unhideWhenUsed/>
    <w:qFormat/>
    <w:rPr>
      <w:rFonts w:hint="default"/>
      <w:b/>
      <w:kern w:val="2"/>
      <w:sz w:val="32"/>
      <w:szCs w:val="24"/>
    </w:rPr>
  </w:style>
  <w:style w:type="character" w:customStyle="1" w:styleId="CharChar17">
    <w:name w:val="Char Char17"/>
    <w:unhideWhenUsed/>
    <w:qFormat/>
    <w:rPr>
      <w:rFonts w:ascii="Times New Roman" w:eastAsia="宋体" w:hAnsi="Times New Roman" w:hint="eastAsia"/>
      <w:b/>
      <w:kern w:val="28"/>
      <w:sz w:val="24"/>
      <w:szCs w:val="24"/>
    </w:rPr>
  </w:style>
  <w:style w:type="character" w:customStyle="1" w:styleId="CharChar15">
    <w:name w:val="Char Char15"/>
    <w:unhideWhenUsed/>
    <w:qFormat/>
    <w:rPr>
      <w:rFonts w:ascii="Times New Roman" w:eastAsia="宋体" w:hAnsi="Times New Roman" w:hint="eastAsia"/>
      <w:b/>
      <w:i/>
      <w:kern w:val="28"/>
      <w:sz w:val="24"/>
      <w:szCs w:val="24"/>
    </w:rPr>
  </w:style>
  <w:style w:type="character" w:customStyle="1" w:styleId="CharChar14">
    <w:name w:val="Char Char14"/>
    <w:unhideWhenUsed/>
    <w:qFormat/>
    <w:rPr>
      <w:rFonts w:ascii="Cambria" w:eastAsia="宋体" w:hAnsi="Cambria" w:hint="eastAsia"/>
      <w:b/>
      <w:kern w:val="28"/>
      <w:sz w:val="32"/>
      <w:szCs w:val="24"/>
    </w:rPr>
  </w:style>
  <w:style w:type="character" w:customStyle="1" w:styleId="Char1b">
    <w:name w:val="副标题 Char1"/>
    <w:uiPriority w:val="11"/>
    <w:unhideWhenUsed/>
    <w:qFormat/>
    <w:rPr>
      <w:rFonts w:ascii="Cambria" w:eastAsia="宋体" w:hAnsi="Cambria" w:hint="eastAsia"/>
      <w:b/>
      <w:kern w:val="28"/>
      <w:sz w:val="32"/>
      <w:szCs w:val="24"/>
    </w:rPr>
  </w:style>
  <w:style w:type="character" w:customStyle="1" w:styleId="CharChar13">
    <w:name w:val="Char Char13"/>
    <w:unhideWhenUsed/>
    <w:qFormat/>
    <w:rPr>
      <w:rFonts w:eastAsia="仿宋_GB2312" w:hint="default"/>
      <w:b/>
      <w:sz w:val="24"/>
      <w:szCs w:val="24"/>
    </w:rPr>
  </w:style>
  <w:style w:type="character" w:customStyle="1" w:styleId="CharChar12">
    <w:name w:val="Char Char12"/>
    <w:unhideWhenUsed/>
    <w:qFormat/>
    <w:rPr>
      <w:rFonts w:eastAsia="宋体" w:hint="default"/>
      <w:sz w:val="24"/>
      <w:szCs w:val="24"/>
    </w:rPr>
  </w:style>
  <w:style w:type="character" w:customStyle="1" w:styleId="CharChar11">
    <w:name w:val="Char Char11"/>
    <w:unhideWhenUsed/>
    <w:qFormat/>
    <w:rPr>
      <w:rFonts w:eastAsia="宋体" w:hint="default"/>
      <w:b/>
      <w:sz w:val="24"/>
      <w:szCs w:val="24"/>
    </w:rPr>
  </w:style>
  <w:style w:type="character" w:customStyle="1" w:styleId="CharChar10">
    <w:name w:val="Char Char10"/>
    <w:unhideWhenUsed/>
    <w:qFormat/>
    <w:rPr>
      <w:rFonts w:ascii="Courier New" w:eastAsia="宋体" w:hAnsi="Courier New" w:hint="eastAsia"/>
      <w:sz w:val="24"/>
      <w:szCs w:val="24"/>
    </w:rPr>
  </w:style>
  <w:style w:type="character" w:customStyle="1" w:styleId="CharChar90">
    <w:name w:val="Char Char9"/>
    <w:unhideWhenUsed/>
    <w:qFormat/>
    <w:rPr>
      <w:rFonts w:ascii="Times New Roman" w:eastAsia="宋体" w:hAnsi="Times New Roman" w:hint="eastAsia"/>
      <w:sz w:val="24"/>
      <w:szCs w:val="24"/>
    </w:rPr>
  </w:style>
  <w:style w:type="character" w:customStyle="1" w:styleId="CharCharChar21">
    <w:name w:val="Char Char Char21"/>
    <w:unhideWhenUsed/>
    <w:qFormat/>
    <w:rPr>
      <w:rFonts w:eastAsia="宋体" w:hint="default"/>
      <w:kern w:val="2"/>
      <w:sz w:val="24"/>
      <w:szCs w:val="24"/>
      <w:lang w:val="en-US" w:eastAsia="zh-CN"/>
    </w:rPr>
  </w:style>
  <w:style w:type="character" w:customStyle="1" w:styleId="22CharChar">
    <w:name w:val="标题22 Char Char"/>
    <w:unhideWhenUsed/>
    <w:qFormat/>
    <w:rPr>
      <w:rFonts w:hint="default"/>
      <w:b/>
      <w:kern w:val="2"/>
      <w:sz w:val="32"/>
      <w:szCs w:val="24"/>
    </w:rPr>
  </w:style>
  <w:style w:type="character" w:customStyle="1" w:styleId="33CharChar">
    <w:name w:val="标题33 Char Char"/>
    <w:unhideWhenUsed/>
    <w:qFormat/>
    <w:rPr>
      <w:rFonts w:hint="default"/>
      <w:b/>
      <w:kern w:val="2"/>
      <w:sz w:val="32"/>
      <w:szCs w:val="24"/>
    </w:rPr>
  </w:style>
  <w:style w:type="character" w:customStyle="1" w:styleId="Char3">
    <w:name w:val="文档结构图 Char"/>
    <w:link w:val="ae"/>
    <w:uiPriority w:val="99"/>
    <w:unhideWhenUsed/>
    <w:qFormat/>
    <w:rPr>
      <w:rFonts w:hint="default"/>
      <w:kern w:val="2"/>
      <w:sz w:val="24"/>
      <w:szCs w:val="24"/>
      <w:shd w:val="clear" w:color="auto" w:fill="000080"/>
    </w:rPr>
  </w:style>
  <w:style w:type="character" w:customStyle="1" w:styleId="326">
    <w:name w:val="正文文本缩进 3 字符2"/>
    <w:unhideWhenUsed/>
    <w:qFormat/>
    <w:rPr>
      <w:rFonts w:hint="default"/>
      <w:sz w:val="24"/>
      <w:szCs w:val="24"/>
    </w:rPr>
  </w:style>
  <w:style w:type="character" w:customStyle="1" w:styleId="2Char0">
    <w:name w:val="正文文本 2 Char"/>
    <w:link w:val="25"/>
    <w:unhideWhenUsed/>
    <w:qFormat/>
    <w:rPr>
      <w:rFonts w:hint="default"/>
      <w:kern w:val="2"/>
      <w:sz w:val="24"/>
      <w:szCs w:val="24"/>
    </w:rPr>
  </w:style>
  <w:style w:type="character" w:customStyle="1" w:styleId="Char1c">
    <w:name w:val="日期 Char1"/>
    <w:unhideWhenUsed/>
    <w:qFormat/>
    <w:rPr>
      <w:rFonts w:hint="default"/>
      <w:kern w:val="2"/>
      <w:sz w:val="22"/>
      <w:szCs w:val="24"/>
    </w:rPr>
  </w:style>
  <w:style w:type="character" w:customStyle="1" w:styleId="2Char10">
    <w:name w:val="正文文本缩进 2 Char1"/>
    <w:unhideWhenUsed/>
    <w:qFormat/>
    <w:rPr>
      <w:rFonts w:hint="default"/>
      <w:kern w:val="2"/>
      <w:sz w:val="22"/>
      <w:szCs w:val="24"/>
    </w:rPr>
  </w:style>
  <w:style w:type="character" w:customStyle="1" w:styleId="Char1d">
    <w:name w:val="批注主题 Char1"/>
    <w:unhideWhenUsed/>
    <w:qFormat/>
    <w:rPr>
      <w:rFonts w:hint="default"/>
      <w:b/>
      <w:kern w:val="2"/>
      <w:sz w:val="22"/>
      <w:szCs w:val="24"/>
    </w:rPr>
  </w:style>
  <w:style w:type="character" w:customStyle="1" w:styleId="HTMLChar1">
    <w:name w:val="HTML 预设格式 Char1"/>
    <w:uiPriority w:val="99"/>
    <w:unhideWhenUsed/>
    <w:qFormat/>
    <w:rPr>
      <w:rFonts w:ascii="Courier New" w:hint="default"/>
      <w:kern w:val="2"/>
      <w:sz w:val="24"/>
      <w:szCs w:val="24"/>
    </w:rPr>
  </w:style>
  <w:style w:type="character" w:customStyle="1" w:styleId="327">
    <w:name w:val="正文文本 3 字符2"/>
    <w:unhideWhenUsed/>
    <w:qFormat/>
    <w:rPr>
      <w:rFonts w:hint="default"/>
      <w:kern w:val="2"/>
      <w:sz w:val="24"/>
      <w:szCs w:val="24"/>
    </w:rPr>
  </w:style>
  <w:style w:type="character" w:customStyle="1" w:styleId="Char1e">
    <w:name w:val="页脚 Char1"/>
    <w:unhideWhenUsed/>
    <w:qFormat/>
    <w:rPr>
      <w:rFonts w:hint="default"/>
      <w:sz w:val="18"/>
      <w:szCs w:val="24"/>
    </w:rPr>
  </w:style>
  <w:style w:type="character" w:customStyle="1" w:styleId="Char">
    <w:name w:val="注释标题 Char"/>
    <w:link w:val="aa"/>
    <w:unhideWhenUsed/>
    <w:qFormat/>
    <w:rPr>
      <w:rFonts w:ascii="宋体" w:eastAsia="宋体" w:hint="eastAsia"/>
      <w:kern w:val="2"/>
      <w:sz w:val="21"/>
      <w:szCs w:val="24"/>
    </w:rPr>
  </w:style>
  <w:style w:type="character" w:customStyle="1" w:styleId="Char4">
    <w:name w:val="称呼 Char"/>
    <w:link w:val="af1"/>
    <w:unhideWhenUsed/>
    <w:qFormat/>
    <w:rPr>
      <w:rFonts w:ascii="宋体" w:eastAsia="宋体" w:hAnsi="Courier New" w:hint="eastAsia"/>
      <w:kern w:val="2"/>
      <w:sz w:val="21"/>
      <w:szCs w:val="24"/>
    </w:rPr>
  </w:style>
  <w:style w:type="character" w:customStyle="1" w:styleId="CharChar16">
    <w:name w:val="Char Char16"/>
    <w:unhideWhenUsed/>
    <w:qFormat/>
    <w:rPr>
      <w:rFonts w:eastAsia="宋体" w:hint="default"/>
      <w:b/>
      <w:kern w:val="28"/>
      <w:sz w:val="24"/>
      <w:szCs w:val="24"/>
      <w:lang w:val="en-US" w:eastAsia="zh-CN"/>
    </w:rPr>
  </w:style>
  <w:style w:type="character" w:customStyle="1" w:styleId="15Char">
    <w:name w:val="正文 小四 行距: 1.5 倍行距 Char"/>
    <w:link w:val="153"/>
    <w:unhideWhenUsed/>
    <w:qFormat/>
    <w:rPr>
      <w:rFonts w:hint="default"/>
      <w:kern w:val="2"/>
      <w:sz w:val="24"/>
      <w:szCs w:val="24"/>
    </w:rPr>
  </w:style>
  <w:style w:type="character" w:customStyle="1" w:styleId="Charf4">
    <w:name w:val="[正文格式] Char"/>
    <w:link w:val="affff8"/>
    <w:unhideWhenUsed/>
    <w:qFormat/>
    <w:rPr>
      <w:rFonts w:hint="default"/>
      <w:kern w:val="2"/>
      <w:sz w:val="24"/>
      <w:szCs w:val="24"/>
    </w:rPr>
  </w:style>
  <w:style w:type="character" w:customStyle="1" w:styleId="Char25">
    <w:name w:val="表头 Char2"/>
    <w:unhideWhenUsed/>
    <w:qFormat/>
    <w:rPr>
      <w:rFonts w:eastAsia="黑体" w:hint="default"/>
      <w:kern w:val="2"/>
      <w:sz w:val="24"/>
      <w:szCs w:val="24"/>
      <w:lang w:val="en-US" w:eastAsia="zh-CN"/>
    </w:rPr>
  </w:style>
  <w:style w:type="character" w:customStyle="1" w:styleId="1Char3">
    <w:name w:val="1正文段落 Char"/>
    <w:link w:val="1ff5"/>
    <w:unhideWhenUsed/>
    <w:qFormat/>
    <w:rPr>
      <w:rFonts w:hint="default"/>
      <w:sz w:val="24"/>
      <w:szCs w:val="24"/>
    </w:rPr>
  </w:style>
  <w:style w:type="character" w:customStyle="1" w:styleId="Char32">
    <w:name w:val="页眉 Char3"/>
    <w:unhideWhenUsed/>
    <w:qFormat/>
    <w:rPr>
      <w:rFonts w:eastAsia="宋体" w:hint="default"/>
      <w:kern w:val="2"/>
      <w:sz w:val="18"/>
      <w:szCs w:val="24"/>
      <w:lang w:val="en-US" w:eastAsia="zh-CN"/>
    </w:rPr>
  </w:style>
  <w:style w:type="character" w:customStyle="1" w:styleId="mainfirst1">
    <w:name w:val="mainfirst1"/>
    <w:unhideWhenUsed/>
    <w:qFormat/>
    <w:rPr>
      <w:rFonts w:hint="default"/>
      <w:b/>
      <w:color w:val="FF0000"/>
      <w:sz w:val="36"/>
      <w:szCs w:val="24"/>
    </w:rPr>
  </w:style>
  <w:style w:type="character" w:customStyle="1" w:styleId="CharCharCharCharCharCCharCharCharCharCharCharChar">
    <w:name w:val="普通文字 Char Char Char Char Char C Char Char Char Char Char Char Char"/>
    <w:unhideWhenUsed/>
    <w:qFormat/>
    <w:rPr>
      <w:rFonts w:ascii="宋体" w:eastAsia="宋体" w:hAnsi="Courier New" w:hint="eastAsia"/>
      <w:kern w:val="2"/>
      <w:sz w:val="28"/>
      <w:szCs w:val="24"/>
      <w:lang w:val="en-US" w:eastAsia="zh-CN"/>
    </w:rPr>
  </w:style>
  <w:style w:type="character" w:customStyle="1" w:styleId="redfont">
    <w:name w:val="redfont"/>
    <w:basedOn w:val="a6"/>
    <w:unhideWhenUsed/>
    <w:qFormat/>
    <w:rPr>
      <w:rFonts w:cs="Times New Roman" w:hint="default"/>
      <w:sz w:val="24"/>
      <w:szCs w:val="24"/>
    </w:rPr>
  </w:style>
  <w:style w:type="character" w:customStyle="1" w:styleId="Char1f">
    <w:name w:val="表头 Char1"/>
    <w:unhideWhenUsed/>
    <w:qFormat/>
    <w:rPr>
      <w:rFonts w:ascii="宋体" w:eastAsia="宋体" w:hint="eastAsia"/>
      <w:kern w:val="2"/>
      <w:sz w:val="24"/>
      <w:szCs w:val="24"/>
      <w:lang w:val="en-US" w:eastAsia="zh-CN"/>
    </w:rPr>
  </w:style>
  <w:style w:type="character" w:customStyle="1" w:styleId="affffffffffffffffffffffff2">
    <w:name w:val="结束语 字符"/>
    <w:basedOn w:val="a6"/>
    <w:uiPriority w:val="99"/>
    <w:unhideWhenUsed/>
    <w:qFormat/>
    <w:rPr>
      <w:rFonts w:cs="Times New Roman" w:hint="default"/>
      <w:kern w:val="2"/>
      <w:sz w:val="24"/>
      <w:szCs w:val="24"/>
    </w:rPr>
  </w:style>
  <w:style w:type="character" w:customStyle="1" w:styleId="Char6">
    <w:name w:val="结束语 Char"/>
    <w:link w:val="af3"/>
    <w:unhideWhenUsed/>
    <w:qFormat/>
    <w:rPr>
      <w:rFonts w:ascii="仿宋_GB2312" w:eastAsia="仿宋_GB2312" w:hint="eastAsia"/>
      <w:kern w:val="2"/>
      <w:sz w:val="32"/>
      <w:szCs w:val="24"/>
    </w:rPr>
  </w:style>
  <w:style w:type="character" w:customStyle="1" w:styleId="5Char2">
    <w:name w:val="样式 样式5 + 宋体 Char"/>
    <w:link w:val="5e"/>
    <w:unhideWhenUsed/>
    <w:qFormat/>
    <w:rPr>
      <w:rFonts w:hint="default"/>
      <w:b/>
      <w:kern w:val="2"/>
      <w:sz w:val="26"/>
      <w:szCs w:val="24"/>
    </w:rPr>
  </w:style>
  <w:style w:type="character" w:customStyle="1" w:styleId="1Chara">
    <w:name w:val="正文1 Char"/>
    <w:unhideWhenUsed/>
    <w:qFormat/>
    <w:rPr>
      <w:rFonts w:ascii="Arial" w:eastAsia="宋体" w:hAnsi="Arial" w:hint="eastAsia"/>
      <w:sz w:val="24"/>
      <w:szCs w:val="24"/>
      <w:lang w:val="en-US" w:eastAsia="zh-CN"/>
    </w:rPr>
  </w:style>
  <w:style w:type="character" w:customStyle="1" w:styleId="5Char1">
    <w:name w:val="样式5 Char1"/>
    <w:link w:val="5a"/>
    <w:unhideWhenUsed/>
    <w:qFormat/>
    <w:rPr>
      <w:rFonts w:ascii="宋体" w:eastAsia="宋体" w:hint="eastAsia"/>
      <w:color w:val="000000"/>
      <w:kern w:val="2"/>
      <w:sz w:val="24"/>
      <w:szCs w:val="24"/>
    </w:rPr>
  </w:style>
  <w:style w:type="character" w:customStyle="1" w:styleId="CharCharCharCharCharCCharCharCharCharCh">
    <w:name w:val="普通文字 Char Char Char Char Char C Char Char Char Char Ch"/>
    <w:unhideWhenUsed/>
    <w:qFormat/>
    <w:rPr>
      <w:rFonts w:ascii="宋体" w:eastAsia="宋体" w:hAnsi="Courier New" w:hint="eastAsia"/>
      <w:kern w:val="2"/>
      <w:sz w:val="28"/>
      <w:szCs w:val="24"/>
      <w:lang w:val="en-US" w:eastAsia="zh-CN"/>
    </w:rPr>
  </w:style>
  <w:style w:type="character" w:customStyle="1" w:styleId="Char34">
    <w:name w:val="普通文字 Char3"/>
    <w:unhideWhenUsed/>
    <w:qFormat/>
    <w:rPr>
      <w:rFonts w:ascii="宋体" w:eastAsia="宋体" w:hAnsi="Courier New" w:hint="eastAsia"/>
      <w:color w:val="000000"/>
      <w:kern w:val="2"/>
      <w:sz w:val="28"/>
      <w:szCs w:val="24"/>
      <w:lang w:val="en-US" w:eastAsia="zh-CN"/>
    </w:rPr>
  </w:style>
  <w:style w:type="character" w:customStyle="1" w:styleId="10115Char">
    <w:name w:val="样式 小四 首行缩进:  1.01 厘米 行距: 1.5 倍行距 Char"/>
    <w:link w:val="10115"/>
    <w:unhideWhenUsed/>
    <w:qFormat/>
    <w:rPr>
      <w:rFonts w:hint="default"/>
      <w:sz w:val="24"/>
      <w:szCs w:val="24"/>
    </w:rPr>
  </w:style>
  <w:style w:type="character" w:customStyle="1" w:styleId="Char1f0">
    <w:name w:val="表中文字 Char1"/>
    <w:unhideWhenUsed/>
    <w:qFormat/>
    <w:rPr>
      <w:rFonts w:hint="default"/>
      <w:kern w:val="2"/>
      <w:sz w:val="21"/>
      <w:szCs w:val="24"/>
    </w:rPr>
  </w:style>
  <w:style w:type="character" w:customStyle="1" w:styleId="Charffd">
    <w:name w:val="表名 Char"/>
    <w:link w:val="affffffffff"/>
    <w:unhideWhenUsed/>
    <w:qFormat/>
    <w:rPr>
      <w:rFonts w:ascii="宋体" w:eastAsia="宋体" w:hint="eastAsia"/>
      <w:b/>
      <w:sz w:val="24"/>
      <w:szCs w:val="24"/>
    </w:rPr>
  </w:style>
  <w:style w:type="character" w:customStyle="1" w:styleId="affffffffffffffffffffffff3">
    <w:name w:val="个人撰写风格"/>
    <w:unhideWhenUsed/>
    <w:qFormat/>
    <w:rPr>
      <w:rFonts w:ascii="Arial" w:eastAsia="宋体" w:hAnsi="Arial" w:hint="eastAsia"/>
      <w:color w:val="auto"/>
      <w:sz w:val="20"/>
      <w:szCs w:val="24"/>
    </w:rPr>
  </w:style>
  <w:style w:type="character" w:customStyle="1" w:styleId="CharCharCharCharCharCCharCharCharCharCharChar">
    <w:name w:val="普通文字 Char Char Char Char Char C Char Char Char Char Char Char"/>
    <w:unhideWhenUsed/>
    <w:qFormat/>
    <w:rPr>
      <w:rFonts w:ascii="宋体" w:eastAsia="宋体" w:hAnsi="Courier New" w:hint="eastAsia"/>
      <w:kern w:val="2"/>
      <w:sz w:val="24"/>
      <w:szCs w:val="24"/>
      <w:lang w:val="en-US" w:eastAsia="zh-CN"/>
    </w:rPr>
  </w:style>
  <w:style w:type="character" w:customStyle="1" w:styleId="Char40">
    <w:name w:val="普通文字 Char4"/>
    <w:unhideWhenUsed/>
    <w:qFormat/>
    <w:rPr>
      <w:rFonts w:ascii="宋体" w:eastAsia="宋体" w:hAnsi="Courier New" w:hint="eastAsia"/>
      <w:color w:val="000000"/>
      <w:kern w:val="2"/>
      <w:sz w:val="28"/>
      <w:szCs w:val="24"/>
      <w:lang w:val="en-US" w:eastAsia="zh-CN"/>
    </w:rPr>
  </w:style>
  <w:style w:type="character" w:customStyle="1" w:styleId="3Char7">
    <w:name w:val="纯文本3 Char"/>
    <w:unhideWhenUsed/>
    <w:qFormat/>
    <w:rPr>
      <w:rFonts w:ascii="宋体" w:eastAsia="宋体" w:hAnsi="Courier New" w:hint="eastAsia"/>
      <w:color w:val="000000"/>
      <w:kern w:val="2"/>
      <w:sz w:val="28"/>
      <w:szCs w:val="24"/>
      <w:lang w:val="en-US" w:eastAsia="zh-CN"/>
    </w:rPr>
  </w:style>
  <w:style w:type="character" w:customStyle="1" w:styleId="10115CharChar">
    <w:name w:val="样式 小四 首行缩进:  1.01 厘米 行距: 1.5 倍行距 Char Char"/>
    <w:unhideWhenUsed/>
    <w:qFormat/>
    <w:rPr>
      <w:rFonts w:eastAsia="宋体" w:hint="default"/>
      <w:sz w:val="24"/>
      <w:szCs w:val="24"/>
      <w:lang w:val="en-US" w:eastAsia="zh-CN"/>
    </w:rPr>
  </w:style>
  <w:style w:type="character" w:customStyle="1" w:styleId="Charffffff7">
    <w:name w:val="表内 Char"/>
    <w:unhideWhenUsed/>
    <w:qFormat/>
    <w:rPr>
      <w:rFonts w:ascii="宋体" w:eastAsia="宋体" w:hAnsi="Courier New" w:hint="eastAsia"/>
      <w:color w:val="000000"/>
      <w:kern w:val="2"/>
      <w:sz w:val="28"/>
      <w:szCs w:val="24"/>
      <w:lang w:val="en-US" w:eastAsia="zh-CN"/>
    </w:rPr>
  </w:style>
  <w:style w:type="character" w:customStyle="1" w:styleId="Charfff">
    <w:name w:val="正文(首行缩进) Char"/>
    <w:link w:val="affffffffff3"/>
    <w:unhideWhenUsed/>
    <w:qFormat/>
    <w:rPr>
      <w:rFonts w:hint="default"/>
      <w:sz w:val="24"/>
      <w:szCs w:val="24"/>
    </w:rPr>
  </w:style>
  <w:style w:type="character" w:customStyle="1" w:styleId="Char26">
    <w:name w:val="批注主题 Char2"/>
    <w:unhideWhenUsed/>
    <w:qFormat/>
    <w:rPr>
      <w:rFonts w:eastAsia="宋体" w:hint="default"/>
      <w:kern w:val="2"/>
      <w:sz w:val="18"/>
      <w:szCs w:val="24"/>
      <w:lang w:val="en-US" w:eastAsia="zh-CN"/>
    </w:rPr>
  </w:style>
  <w:style w:type="character" w:customStyle="1" w:styleId="Charfff0">
    <w:name w:val="热电厂正文 Char"/>
    <w:link w:val="affffffffff4"/>
    <w:unhideWhenUsed/>
    <w:qFormat/>
    <w:rPr>
      <w:rFonts w:hint="default"/>
      <w:kern w:val="2"/>
      <w:sz w:val="24"/>
      <w:szCs w:val="24"/>
    </w:rPr>
  </w:style>
  <w:style w:type="character" w:customStyle="1" w:styleId="Charfff1">
    <w:name w:val="报告正文 Char"/>
    <w:link w:val="affffffffff5"/>
    <w:unhideWhenUsed/>
    <w:qFormat/>
    <w:rPr>
      <w:rFonts w:eastAsia="仿宋_GB2312" w:hint="default"/>
      <w:kern w:val="2"/>
      <w:sz w:val="24"/>
      <w:szCs w:val="24"/>
    </w:rPr>
  </w:style>
  <w:style w:type="character" w:customStyle="1" w:styleId="008Char">
    <w:name w:val="008 Char"/>
    <w:link w:val="008"/>
    <w:unhideWhenUsed/>
    <w:qFormat/>
    <w:rPr>
      <w:rFonts w:ascii="宋体" w:eastAsia="宋体" w:hint="eastAsia"/>
      <w:kern w:val="2"/>
      <w:sz w:val="28"/>
      <w:szCs w:val="24"/>
    </w:rPr>
  </w:style>
  <w:style w:type="character" w:customStyle="1" w:styleId="Charffffff8">
    <w:name w:val="表题 Char"/>
    <w:unhideWhenUsed/>
    <w:qFormat/>
    <w:rPr>
      <w:rFonts w:hint="default"/>
      <w:b/>
      <w:kern w:val="2"/>
      <w:sz w:val="21"/>
      <w:szCs w:val="24"/>
    </w:rPr>
  </w:style>
  <w:style w:type="character" w:customStyle="1" w:styleId="Charffffff9">
    <w:name w:val="正文样式 Char"/>
    <w:unhideWhenUsed/>
    <w:qFormat/>
    <w:rPr>
      <w:rFonts w:ascii="宋体" w:eastAsia="宋体" w:hAnsi="宋体" w:hint="eastAsia"/>
      <w:kern w:val="2"/>
      <w:sz w:val="24"/>
      <w:szCs w:val="24"/>
      <w:lang w:val="en-US" w:eastAsia="zh-CN"/>
    </w:rPr>
  </w:style>
  <w:style w:type="character" w:customStyle="1" w:styleId="affffffffffffffffffffffff4">
    <w:name w:val="表格右"/>
    <w:unhideWhenUsed/>
    <w:qFormat/>
    <w:rPr>
      <w:rFonts w:ascii="宋体" w:eastAsia="宋体" w:hAnsi="宋体" w:hint="eastAsia"/>
      <w:color w:val="000080"/>
      <w:kern w:val="2"/>
      <w:sz w:val="24"/>
      <w:szCs w:val="24"/>
      <w:lang w:val="en-US" w:eastAsia="zh-CN"/>
    </w:rPr>
  </w:style>
  <w:style w:type="character" w:customStyle="1" w:styleId="Char1f1">
    <w:name w:val="正文(首行缩进) Char1"/>
    <w:unhideWhenUsed/>
    <w:qFormat/>
    <w:rPr>
      <w:rFonts w:ascii="宋体" w:eastAsia="宋体" w:hAnsi="宋体" w:hint="eastAsia"/>
      <w:spacing w:val="2"/>
      <w:kern w:val="2"/>
      <w:sz w:val="21"/>
      <w:szCs w:val="24"/>
      <w:lang w:val="en-US" w:eastAsia="zh-CN"/>
    </w:rPr>
  </w:style>
  <w:style w:type="character" w:customStyle="1" w:styleId="2Char5">
    <w:name w:val="样式2 Char"/>
    <w:link w:val="2f6"/>
    <w:unhideWhenUsed/>
    <w:qFormat/>
    <w:rPr>
      <w:rFonts w:eastAsia="仿宋_GB2312" w:hint="default"/>
      <w:b/>
      <w:kern w:val="2"/>
      <w:sz w:val="24"/>
      <w:szCs w:val="24"/>
    </w:rPr>
  </w:style>
  <w:style w:type="character" w:customStyle="1" w:styleId="black141">
    <w:name w:val="black_141"/>
    <w:unhideWhenUsed/>
    <w:qFormat/>
    <w:rPr>
      <w:rFonts w:hint="default"/>
      <w:color w:val="000000"/>
      <w:spacing w:val="480"/>
      <w:sz w:val="28"/>
      <w:szCs w:val="24"/>
    </w:rPr>
  </w:style>
  <w:style w:type="character" w:customStyle="1" w:styleId="b14241">
    <w:name w:val="b14241"/>
    <w:unhideWhenUsed/>
    <w:qFormat/>
    <w:rPr>
      <w:rFonts w:hint="default"/>
      <w:color w:val="222222"/>
      <w:sz w:val="28"/>
      <w:szCs w:val="24"/>
    </w:rPr>
  </w:style>
  <w:style w:type="character" w:customStyle="1" w:styleId="0CharChar">
    <w:name w:val="正文0 Char Char"/>
    <w:unhideWhenUsed/>
    <w:qFormat/>
    <w:rPr>
      <w:rFonts w:eastAsia="宋体" w:hint="default"/>
      <w:kern w:val="2"/>
      <w:sz w:val="24"/>
      <w:szCs w:val="24"/>
      <w:lang w:val="en-US" w:eastAsia="zh-CN"/>
    </w:rPr>
  </w:style>
  <w:style w:type="character" w:customStyle="1" w:styleId="Charfff2">
    <w:name w:val="正文样板 Char"/>
    <w:link w:val="affffffffff9"/>
    <w:unhideWhenUsed/>
    <w:qFormat/>
    <w:rPr>
      <w:rFonts w:hint="default"/>
      <w:color w:val="000000"/>
      <w:spacing w:val="6"/>
      <w:sz w:val="28"/>
      <w:szCs w:val="24"/>
    </w:rPr>
  </w:style>
  <w:style w:type="character" w:customStyle="1" w:styleId="APMingLiUCharChar">
    <w:name w:val="样式 正文A + (中文) PMingLiU Char Char"/>
    <w:unhideWhenUsed/>
    <w:qFormat/>
    <w:rPr>
      <w:rFonts w:eastAsia="宋体" w:hint="default"/>
      <w:kern w:val="2"/>
      <w:sz w:val="24"/>
      <w:szCs w:val="24"/>
      <w:lang w:val="en-US" w:eastAsia="zh-CN"/>
    </w:rPr>
  </w:style>
  <w:style w:type="character" w:customStyle="1" w:styleId="CharCharCharChar3">
    <w:name w:val="纯文本 Char Char Char Char"/>
    <w:unhideWhenUsed/>
    <w:qFormat/>
    <w:rPr>
      <w:rFonts w:ascii="宋体" w:eastAsia="宋体" w:hAnsi="Courier New" w:hint="eastAsia"/>
      <w:kern w:val="2"/>
      <w:sz w:val="21"/>
      <w:szCs w:val="24"/>
      <w:lang w:val="en-US" w:eastAsia="zh-CN"/>
    </w:rPr>
  </w:style>
  <w:style w:type="character" w:customStyle="1" w:styleId="190">
    <w:name w:val="19号令"/>
    <w:basedOn w:val="a6"/>
    <w:unhideWhenUsed/>
    <w:qFormat/>
    <w:rPr>
      <w:rFonts w:cs="Times New Roman" w:hint="default"/>
      <w:sz w:val="24"/>
      <w:szCs w:val="24"/>
    </w:rPr>
  </w:style>
  <w:style w:type="character" w:customStyle="1" w:styleId="Char24">
    <w:name w:val="报告文字 Char2"/>
    <w:link w:val="affffffffff7"/>
    <w:unhideWhenUsed/>
    <w:qFormat/>
    <w:rPr>
      <w:rFonts w:ascii="仿宋_GB2312" w:eastAsia="仿宋_GB2312" w:hint="eastAsia"/>
      <w:kern w:val="2"/>
      <w:sz w:val="24"/>
      <w:szCs w:val="24"/>
    </w:rPr>
  </w:style>
  <w:style w:type="character" w:customStyle="1" w:styleId="text08">
    <w:name w:val="text08"/>
    <w:basedOn w:val="a6"/>
    <w:unhideWhenUsed/>
    <w:qFormat/>
    <w:rPr>
      <w:rFonts w:cs="Times New Roman" w:hint="default"/>
      <w:sz w:val="24"/>
      <w:szCs w:val="24"/>
    </w:rPr>
  </w:style>
  <w:style w:type="character" w:customStyle="1" w:styleId="r1">
    <w:name w:val="r1"/>
    <w:unhideWhenUsed/>
    <w:qFormat/>
    <w:rPr>
      <w:rFonts w:hint="default"/>
      <w:spacing w:val="300"/>
      <w:sz w:val="20"/>
      <w:szCs w:val="24"/>
    </w:rPr>
  </w:style>
  <w:style w:type="character" w:customStyle="1" w:styleId="CharCharf1">
    <w:name w:val="正文(首行缩进) Char Char"/>
    <w:unhideWhenUsed/>
    <w:qFormat/>
    <w:rPr>
      <w:rFonts w:eastAsia="宋体" w:hint="default"/>
      <w:sz w:val="24"/>
      <w:szCs w:val="24"/>
      <w:lang w:val="en-US" w:eastAsia="zh-CN"/>
    </w:rPr>
  </w:style>
  <w:style w:type="character" w:customStyle="1" w:styleId="Char5CharChar">
    <w:name w:val="Char5 Char Char"/>
    <w:unhideWhenUsed/>
    <w:qFormat/>
    <w:rPr>
      <w:rFonts w:hint="default"/>
      <w:kern w:val="2"/>
      <w:sz w:val="28"/>
      <w:szCs w:val="24"/>
    </w:rPr>
  </w:style>
  <w:style w:type="character" w:customStyle="1" w:styleId="10115CharCharChar">
    <w:name w:val="样式 小四 首行缩进:  1.01 厘米 行距: 1.5 倍行距 Char Char Char"/>
    <w:unhideWhenUsed/>
    <w:qFormat/>
    <w:rPr>
      <w:rFonts w:eastAsia="宋体" w:hint="default"/>
      <w:sz w:val="24"/>
      <w:szCs w:val="24"/>
      <w:lang w:val="en-US" w:eastAsia="zh-CN"/>
    </w:rPr>
  </w:style>
  <w:style w:type="character" w:customStyle="1" w:styleId="Charffffffa">
    <w:name w:val="表中文字 Char"/>
    <w:unhideWhenUsed/>
    <w:qFormat/>
    <w:rPr>
      <w:rFonts w:eastAsia="宋体" w:hint="default"/>
      <w:kern w:val="2"/>
      <w:sz w:val="21"/>
      <w:szCs w:val="24"/>
      <w:lang w:val="en-US" w:eastAsia="zh-CN"/>
    </w:rPr>
  </w:style>
  <w:style w:type="character" w:customStyle="1" w:styleId="CharCharf2">
    <w:name w:val="表名 Char Char"/>
    <w:unhideWhenUsed/>
    <w:qFormat/>
    <w:rPr>
      <w:rFonts w:ascii="宋体" w:eastAsia="宋体" w:hint="eastAsia"/>
      <w:b/>
      <w:sz w:val="24"/>
      <w:szCs w:val="24"/>
      <w:lang w:val="en-US" w:eastAsia="zh-CN"/>
    </w:rPr>
  </w:style>
  <w:style w:type="character" w:customStyle="1" w:styleId="Char4CharChar">
    <w:name w:val="Char4 Char Char"/>
    <w:unhideWhenUsed/>
    <w:qFormat/>
    <w:rPr>
      <w:rFonts w:ascii="宋体" w:eastAsia="宋体" w:hint="eastAsia"/>
      <w:color w:val="000000"/>
      <w:kern w:val="2"/>
      <w:sz w:val="24"/>
      <w:szCs w:val="24"/>
    </w:rPr>
  </w:style>
  <w:style w:type="character" w:customStyle="1" w:styleId="Char3CharChar">
    <w:name w:val="Char3 Char Char"/>
    <w:unhideWhenUsed/>
    <w:qFormat/>
    <w:rPr>
      <w:rFonts w:ascii="宋体" w:eastAsia="宋体" w:hint="eastAsia"/>
      <w:b/>
      <w:color w:val="000000"/>
      <w:kern w:val="2"/>
      <w:sz w:val="24"/>
      <w:szCs w:val="24"/>
    </w:rPr>
  </w:style>
  <w:style w:type="character" w:customStyle="1" w:styleId="CharCharf3">
    <w:name w:val="正文样板 Char Char"/>
    <w:unhideWhenUsed/>
    <w:qFormat/>
    <w:rPr>
      <w:rFonts w:eastAsia="宋体" w:hint="default"/>
      <w:color w:val="000000"/>
      <w:spacing w:val="6"/>
      <w:sz w:val="28"/>
      <w:szCs w:val="24"/>
      <w:lang w:val="en-US" w:eastAsia="zh-CN"/>
    </w:rPr>
  </w:style>
  <w:style w:type="character" w:customStyle="1" w:styleId="5Char3">
    <w:name w:val="样式5 Char"/>
    <w:unhideWhenUsed/>
    <w:qFormat/>
    <w:rPr>
      <w:rFonts w:eastAsia="宋体" w:hint="default"/>
      <w:kern w:val="2"/>
      <w:sz w:val="24"/>
      <w:szCs w:val="24"/>
      <w:lang w:val="en-US" w:eastAsia="zh-CN"/>
    </w:rPr>
  </w:style>
  <w:style w:type="character" w:customStyle="1" w:styleId="CharCharf4">
    <w:name w:val="热电厂正文 Char Char"/>
    <w:unhideWhenUsed/>
    <w:qFormat/>
    <w:rPr>
      <w:rFonts w:eastAsia="宋体" w:hint="default"/>
      <w:kern w:val="2"/>
      <w:sz w:val="24"/>
      <w:szCs w:val="24"/>
      <w:lang w:val="en-US" w:eastAsia="zh-CN"/>
    </w:rPr>
  </w:style>
  <w:style w:type="character" w:customStyle="1" w:styleId="btChar">
    <w:name w:val="bt Char"/>
    <w:unhideWhenUsed/>
    <w:qFormat/>
    <w:rPr>
      <w:rFonts w:ascii="宋体" w:eastAsia="宋体" w:hAnsi="宋体" w:hint="eastAsia"/>
      <w:kern w:val="2"/>
      <w:position w:val="-6"/>
      <w:sz w:val="21"/>
      <w:szCs w:val="24"/>
      <w:u w:val="single"/>
      <w:lang w:val="en-US" w:eastAsia="zh-CN"/>
    </w:rPr>
  </w:style>
  <w:style w:type="character" w:customStyle="1" w:styleId="3rdleveChar">
    <w:name w:val="3rd leve Char"/>
    <w:unhideWhenUsed/>
    <w:qFormat/>
    <w:rPr>
      <w:rFonts w:ascii="宋体" w:eastAsia="宋体" w:hAnsi="宋体" w:hint="eastAsia"/>
      <w:b/>
      <w:kern w:val="24"/>
      <w:position w:val="-6"/>
      <w:sz w:val="28"/>
      <w:szCs w:val="24"/>
      <w:u w:val="single"/>
      <w:lang w:val="zh-CN" w:eastAsia="zh-CN"/>
    </w:rPr>
  </w:style>
  <w:style w:type="character" w:customStyle="1" w:styleId="CharCharCharCharCharChar0">
    <w:name w:val="纯文本 Char Char Char Char Char Char"/>
    <w:unhideWhenUsed/>
    <w:qFormat/>
    <w:rPr>
      <w:rFonts w:ascii="宋体" w:eastAsia="宋体" w:hAnsi="Courier New" w:hint="eastAsia"/>
      <w:kern w:val="2"/>
      <w:sz w:val="21"/>
      <w:szCs w:val="24"/>
      <w:lang w:val="en-US" w:eastAsia="zh-CN"/>
    </w:rPr>
  </w:style>
  <w:style w:type="character" w:customStyle="1" w:styleId="Charf6">
    <w:name w:val="缩进 Char"/>
    <w:link w:val="affffa"/>
    <w:unhideWhenUsed/>
    <w:qFormat/>
    <w:rPr>
      <w:rFonts w:hint="default"/>
      <w:kern w:val="2"/>
      <w:sz w:val="24"/>
      <w:szCs w:val="24"/>
    </w:rPr>
  </w:style>
  <w:style w:type="character" w:customStyle="1" w:styleId="5f3">
    <w:name w:val="5级正文 字符"/>
    <w:unhideWhenUsed/>
    <w:qFormat/>
    <w:rPr>
      <w:rFonts w:hint="default"/>
      <w:b/>
      <w:kern w:val="2"/>
      <w:sz w:val="24"/>
      <w:szCs w:val="24"/>
    </w:rPr>
  </w:style>
  <w:style w:type="character" w:customStyle="1" w:styleId="Char27">
    <w:name w:val="页脚 Char2"/>
    <w:unhideWhenUsed/>
    <w:qFormat/>
    <w:rPr>
      <w:rFonts w:eastAsia="宋体" w:hint="default"/>
      <w:kern w:val="2"/>
      <w:sz w:val="18"/>
      <w:szCs w:val="24"/>
      <w:lang w:val="en-US" w:eastAsia="zh-CN"/>
    </w:rPr>
  </w:style>
  <w:style w:type="character" w:customStyle="1" w:styleId="13CharChar">
    <w:name w:val="正文13 Char Char"/>
    <w:link w:val="130"/>
    <w:unhideWhenUsed/>
    <w:qFormat/>
    <w:rPr>
      <w:rFonts w:ascii="宋体" w:eastAsia="宋体" w:hint="eastAsia"/>
      <w:kern w:val="2"/>
      <w:sz w:val="24"/>
      <w:szCs w:val="24"/>
    </w:rPr>
  </w:style>
  <w:style w:type="character" w:customStyle="1" w:styleId="ReCharChar">
    <w:name w:val="Re Char Char"/>
    <w:unhideWhenUsed/>
    <w:qFormat/>
    <w:rPr>
      <w:rFonts w:eastAsia="黑体" w:hint="default"/>
      <w:kern w:val="2"/>
      <w:sz w:val="24"/>
      <w:szCs w:val="24"/>
      <w:lang w:val="en-US" w:eastAsia="zh-CN"/>
    </w:rPr>
  </w:style>
  <w:style w:type="character" w:customStyle="1" w:styleId="3CharChar10">
    <w:name w:val="标题 3 Char Char1"/>
    <w:unhideWhenUsed/>
    <w:qFormat/>
    <w:rPr>
      <w:rFonts w:ascii="宋体" w:eastAsia="宋体" w:hAnsi="宋体" w:hint="eastAsia"/>
      <w:b/>
      <w:color w:val="000000"/>
      <w:kern w:val="24"/>
      <w:sz w:val="24"/>
      <w:szCs w:val="24"/>
      <w:lang w:val="zh-CN" w:eastAsia="zh-CN"/>
    </w:rPr>
  </w:style>
  <w:style w:type="character" w:customStyle="1" w:styleId="yChar">
    <w:name w:val="?y?? Char"/>
    <w:link w:val="y"/>
    <w:unhideWhenUsed/>
    <w:qFormat/>
    <w:rPr>
      <w:rFonts w:hint="default"/>
      <w:color w:val="000000"/>
      <w:sz w:val="21"/>
      <w:szCs w:val="24"/>
    </w:rPr>
  </w:style>
  <w:style w:type="character" w:customStyle="1" w:styleId="Charfff5">
    <w:name w:val="样式 表头 + 小五 Char"/>
    <w:link w:val="afffffffffff6"/>
    <w:unhideWhenUsed/>
    <w:qFormat/>
    <w:rPr>
      <w:rFonts w:ascii="宋体" w:eastAsia="宋体" w:hint="eastAsia"/>
      <w:b/>
      <w:kern w:val="2"/>
      <w:sz w:val="21"/>
      <w:szCs w:val="24"/>
    </w:rPr>
  </w:style>
  <w:style w:type="character" w:customStyle="1" w:styleId="2CharChar3">
    <w:name w:val="样式 设计正文 + 首行缩进:  2 字符 Char Char"/>
    <w:link w:val="2fd"/>
    <w:unhideWhenUsed/>
    <w:qFormat/>
    <w:rPr>
      <w:rFonts w:ascii="宋体" w:eastAsia="宋体" w:hint="eastAsia"/>
      <w:sz w:val="24"/>
      <w:szCs w:val="24"/>
    </w:rPr>
  </w:style>
  <w:style w:type="character" w:customStyle="1" w:styleId="3Char1">
    <w:name w:val="样式3 Char"/>
    <w:link w:val="3e"/>
    <w:unhideWhenUsed/>
    <w:qFormat/>
    <w:rPr>
      <w:rFonts w:ascii="宋体" w:eastAsia="宋体" w:hint="eastAsia"/>
      <w:kern w:val="2"/>
      <w:sz w:val="24"/>
      <w:szCs w:val="24"/>
    </w:rPr>
  </w:style>
  <w:style w:type="character" w:customStyle="1" w:styleId="211112112Charb2W2H22CharChChar">
    <w:name w:val="样式 标题 2节标题 1.11.1标题2例如：1.1 内容标题 2 Charb2W2H2标题 2 Char Ch... Char"/>
    <w:link w:val="211112112Charb2W2H22CharCh"/>
    <w:unhideWhenUsed/>
    <w:qFormat/>
    <w:rPr>
      <w:rFonts w:ascii="宋体" w:eastAsia="宋体" w:hint="eastAsia"/>
      <w:b/>
      <w:kern w:val="2"/>
      <w:sz w:val="32"/>
      <w:szCs w:val="24"/>
    </w:rPr>
  </w:style>
  <w:style w:type="character" w:customStyle="1" w:styleId="211112112Charb2W2H22CharCh1Char">
    <w:name w:val="样式 标题 2节标题 1.11.1标题2例如：1.1 内容标题 2 Charb2W2H2标题 2 Char Ch...1 Char"/>
    <w:link w:val="211112112Charb2W2H22CharCh1"/>
    <w:unhideWhenUsed/>
    <w:qFormat/>
    <w:rPr>
      <w:rFonts w:ascii="宋体" w:eastAsia="宋体" w:hint="eastAsia"/>
      <w:b/>
      <w:kern w:val="2"/>
      <w:sz w:val="32"/>
      <w:szCs w:val="24"/>
    </w:rPr>
  </w:style>
  <w:style w:type="character" w:customStyle="1" w:styleId="Charfff6">
    <w:name w:val="陈表格中内容 Char"/>
    <w:link w:val="afffffffffff8"/>
    <w:unhideWhenUsed/>
    <w:qFormat/>
    <w:rPr>
      <w:rFonts w:ascii="宋体" w:eastAsia="宋体" w:hint="eastAsia"/>
      <w:spacing w:val="-6"/>
      <w:sz w:val="21"/>
      <w:szCs w:val="24"/>
    </w:rPr>
  </w:style>
  <w:style w:type="character" w:customStyle="1" w:styleId="22Char">
    <w:name w:val="准 正文 左侧:  2 字符 + 首行缩进:  2 字符 Char"/>
    <w:link w:val="223"/>
    <w:unhideWhenUsed/>
    <w:qFormat/>
    <w:rPr>
      <w:rFonts w:hint="default"/>
      <w:sz w:val="24"/>
      <w:szCs w:val="24"/>
    </w:rPr>
  </w:style>
  <w:style w:type="character" w:customStyle="1" w:styleId="affffffffffffffffffffffff5">
    <w:name w:val="脚注文本 字符"/>
    <w:basedOn w:val="a6"/>
    <w:uiPriority w:val="99"/>
    <w:unhideWhenUsed/>
    <w:qFormat/>
    <w:rPr>
      <w:rFonts w:cs="Times New Roman" w:hint="default"/>
      <w:kern w:val="2"/>
      <w:sz w:val="18"/>
      <w:szCs w:val="18"/>
    </w:rPr>
  </w:style>
  <w:style w:type="character" w:customStyle="1" w:styleId="Charc">
    <w:name w:val="脚注文本 Char"/>
    <w:link w:val="aff1"/>
    <w:unhideWhenUsed/>
    <w:qFormat/>
    <w:rPr>
      <w:rFonts w:hint="default"/>
      <w:kern w:val="2"/>
      <w:sz w:val="18"/>
      <w:szCs w:val="24"/>
    </w:rPr>
  </w:style>
  <w:style w:type="character" w:customStyle="1" w:styleId="CharCharCharCharCharCCharCharCharCharChar">
    <w:name w:val="普通文字 Char Char Char Char Char C Char Char Char Char Char"/>
    <w:unhideWhenUsed/>
    <w:qFormat/>
    <w:rPr>
      <w:rFonts w:ascii="宋体" w:eastAsia="宋体" w:hAnsi="Courier New" w:hint="eastAsia"/>
      <w:kern w:val="2"/>
      <w:sz w:val="28"/>
      <w:szCs w:val="24"/>
      <w:lang w:val="en-US" w:eastAsia="zh-CN"/>
    </w:rPr>
  </w:style>
  <w:style w:type="character" w:customStyle="1" w:styleId="ak1">
    <w:name w:val="ak1"/>
    <w:unhideWhenUsed/>
    <w:qFormat/>
    <w:rPr>
      <w:rFonts w:hint="default"/>
      <w:spacing w:val="270"/>
      <w:sz w:val="18"/>
      <w:szCs w:val="24"/>
    </w:rPr>
  </w:style>
  <w:style w:type="character" w:customStyle="1" w:styleId="CharCharf5">
    <w:name w:val="表格文字 Char Char"/>
    <w:unhideWhenUsed/>
    <w:qFormat/>
    <w:rPr>
      <w:rFonts w:ascii="宋体" w:eastAsia="宋体" w:hAnsi="Courier New" w:hint="eastAsia"/>
      <w:kern w:val="2"/>
      <w:sz w:val="21"/>
      <w:szCs w:val="24"/>
      <w:lang w:val="en-US" w:eastAsia="zh-CN"/>
    </w:rPr>
  </w:style>
  <w:style w:type="character" w:customStyle="1" w:styleId="LChar">
    <w:name w:val="L正文 Char"/>
    <w:link w:val="L"/>
    <w:unhideWhenUsed/>
    <w:qFormat/>
    <w:rPr>
      <w:rFonts w:hint="default"/>
      <w:sz w:val="26"/>
      <w:szCs w:val="24"/>
    </w:rPr>
  </w:style>
  <w:style w:type="character" w:customStyle="1" w:styleId="4Char7">
    <w:name w:val="样式4 Char"/>
    <w:unhideWhenUsed/>
    <w:qFormat/>
    <w:rPr>
      <w:rFonts w:ascii="Arial" w:hint="default"/>
      <w:b/>
      <w:kern w:val="2"/>
      <w:sz w:val="28"/>
      <w:szCs w:val="24"/>
    </w:rPr>
  </w:style>
  <w:style w:type="character" w:customStyle="1" w:styleId="CharChar2">
    <w:name w:val="样式  Char + 宋体 小四 Char"/>
    <w:link w:val="Charfff7"/>
    <w:unhideWhenUsed/>
    <w:qFormat/>
    <w:rPr>
      <w:rFonts w:ascii="宋体" w:eastAsia="宋体" w:hint="eastAsia"/>
      <w:sz w:val="24"/>
      <w:szCs w:val="24"/>
    </w:rPr>
  </w:style>
  <w:style w:type="character" w:customStyle="1" w:styleId="CharCharChar5">
    <w:name w:val="页眉 Char Char Char"/>
    <w:unhideWhenUsed/>
    <w:qFormat/>
    <w:rPr>
      <w:rFonts w:hint="default"/>
      <w:kern w:val="2"/>
      <w:sz w:val="18"/>
      <w:szCs w:val="24"/>
    </w:rPr>
  </w:style>
  <w:style w:type="character" w:customStyle="1" w:styleId="1Char4">
    <w:name w:val="分目录1 Char"/>
    <w:link w:val="1ff6"/>
    <w:unhideWhenUsed/>
    <w:qFormat/>
    <w:rPr>
      <w:rFonts w:hint="default"/>
      <w:sz w:val="28"/>
      <w:szCs w:val="24"/>
    </w:rPr>
  </w:style>
  <w:style w:type="character" w:customStyle="1" w:styleId="Charfff8">
    <w:name w:val="【图片】 Char"/>
    <w:link w:val="affffffffffff"/>
    <w:unhideWhenUsed/>
    <w:qFormat/>
    <w:rPr>
      <w:rFonts w:ascii="宋体" w:eastAsia="宋体" w:hint="eastAsia"/>
      <w:kern w:val="2"/>
      <w:sz w:val="24"/>
      <w:szCs w:val="24"/>
    </w:rPr>
  </w:style>
  <w:style w:type="character" w:customStyle="1" w:styleId="CharChar26">
    <w:name w:val="Char Char26"/>
    <w:unhideWhenUsed/>
    <w:qFormat/>
    <w:rPr>
      <w:rFonts w:ascii="宋体" w:eastAsia="宋体" w:hAnsi="宋体" w:hint="eastAsia"/>
      <w:color w:val="000000"/>
      <w:kern w:val="2"/>
      <w:sz w:val="24"/>
      <w:szCs w:val="24"/>
      <w:lang w:val="en-US" w:eastAsia="zh-CN"/>
    </w:rPr>
  </w:style>
  <w:style w:type="character" w:customStyle="1" w:styleId="wwwwChar">
    <w:name w:val="wwww Char"/>
    <w:link w:val="wwww"/>
    <w:unhideWhenUsed/>
    <w:qFormat/>
    <w:rPr>
      <w:rFonts w:ascii="宋体" w:eastAsia="宋体" w:hint="eastAsia"/>
      <w:kern w:val="2"/>
      <w:sz w:val="28"/>
      <w:szCs w:val="24"/>
    </w:rPr>
  </w:style>
  <w:style w:type="character" w:customStyle="1" w:styleId="TimesNewRomanChar">
    <w:name w:val="样式 (西文) Times New Roman (符号) 华文中宋 Char"/>
    <w:link w:val="TimesNewRoman"/>
    <w:unhideWhenUsed/>
    <w:qFormat/>
    <w:rPr>
      <w:rFonts w:ascii="Calibri" w:eastAsia="华文中宋" w:hAnsi="华文中宋" w:hint="eastAsia"/>
      <w:sz w:val="24"/>
      <w:szCs w:val="24"/>
    </w:rPr>
  </w:style>
  <w:style w:type="character" w:customStyle="1" w:styleId="Charfff9">
    <w:name w:val="表标号 Char"/>
    <w:link w:val="affffffffffff0"/>
    <w:unhideWhenUsed/>
    <w:qFormat/>
    <w:rPr>
      <w:rFonts w:eastAsia="黑体" w:hint="default"/>
      <w:sz w:val="24"/>
      <w:szCs w:val="24"/>
    </w:rPr>
  </w:style>
  <w:style w:type="character" w:customStyle="1" w:styleId="Charfffa">
    <w:name w:val="准 表头 Char"/>
    <w:link w:val="affffffffffff1"/>
    <w:unhideWhenUsed/>
    <w:qFormat/>
    <w:rPr>
      <w:rFonts w:eastAsia="黑体" w:hint="default"/>
      <w:sz w:val="21"/>
      <w:szCs w:val="24"/>
    </w:rPr>
  </w:style>
  <w:style w:type="character" w:customStyle="1" w:styleId="Char15">
    <w:name w:val="表文字 Char1"/>
    <w:link w:val="afffffffff4"/>
    <w:unhideWhenUsed/>
    <w:qFormat/>
    <w:rPr>
      <w:rFonts w:hint="default"/>
      <w:kern w:val="2"/>
      <w:sz w:val="21"/>
      <w:szCs w:val="24"/>
    </w:rPr>
  </w:style>
  <w:style w:type="character" w:customStyle="1" w:styleId="CharChar30">
    <w:name w:val="Char Char3"/>
    <w:unhideWhenUsed/>
    <w:qFormat/>
    <w:rPr>
      <w:rFonts w:ascii="宋体" w:eastAsia="宋体" w:hAnsi="宋体" w:hint="eastAsia"/>
      <w:color w:val="000000"/>
      <w:kern w:val="2"/>
      <w:sz w:val="24"/>
      <w:szCs w:val="24"/>
    </w:rPr>
  </w:style>
  <w:style w:type="character" w:customStyle="1" w:styleId="CharChar71">
    <w:name w:val="Char Char71"/>
    <w:unhideWhenUsed/>
    <w:qFormat/>
    <w:rPr>
      <w:rFonts w:ascii="宋体" w:eastAsia="宋体" w:hAnsi="宋体" w:hint="eastAsia"/>
      <w:kern w:val="2"/>
      <w:sz w:val="18"/>
      <w:szCs w:val="24"/>
      <w:lang w:val="en-US" w:eastAsia="zh-CN"/>
    </w:rPr>
  </w:style>
  <w:style w:type="character" w:customStyle="1" w:styleId="Char2CharChar">
    <w:name w:val="Char2 Char Char"/>
    <w:unhideWhenUsed/>
    <w:qFormat/>
    <w:rPr>
      <w:rFonts w:ascii="Arial" w:eastAsia="宋体" w:hAnsi="Arial" w:hint="eastAsia"/>
      <w:b/>
      <w:kern w:val="28"/>
      <w:sz w:val="32"/>
      <w:szCs w:val="24"/>
      <w:lang w:val="en-US" w:eastAsia="zh-CN"/>
    </w:rPr>
  </w:style>
  <w:style w:type="character" w:customStyle="1" w:styleId="CharChar60">
    <w:name w:val="Char Char6"/>
    <w:unhideWhenUsed/>
    <w:qFormat/>
    <w:rPr>
      <w:rFonts w:ascii="黑体" w:eastAsia="黑体" w:hAnsi="Courier New" w:hint="eastAsia"/>
      <w:kern w:val="2"/>
      <w:sz w:val="28"/>
      <w:szCs w:val="24"/>
      <w:lang w:val="en-US" w:eastAsia="zh-CN"/>
    </w:rPr>
  </w:style>
  <w:style w:type="character" w:customStyle="1" w:styleId="CharChar40">
    <w:name w:val="Char Char4"/>
    <w:unhideWhenUsed/>
    <w:qFormat/>
    <w:rPr>
      <w:rFonts w:ascii="宋体" w:eastAsia="宋体" w:hAnsi="宋体" w:hint="eastAsia"/>
      <w:kern w:val="2"/>
      <w:sz w:val="28"/>
      <w:szCs w:val="24"/>
      <w:lang w:val="en-US" w:eastAsia="zh-CN"/>
    </w:rPr>
  </w:style>
  <w:style w:type="character" w:customStyle="1" w:styleId="CharChar111">
    <w:name w:val="Char Char111"/>
    <w:unhideWhenUsed/>
    <w:qFormat/>
    <w:rPr>
      <w:rFonts w:ascii="宋体" w:eastAsia="宋体" w:hAnsi="宋体" w:hint="eastAsia"/>
      <w:kern w:val="2"/>
      <w:sz w:val="24"/>
      <w:szCs w:val="24"/>
      <w:lang w:val="en-US" w:eastAsia="zh-CN"/>
    </w:rPr>
  </w:style>
  <w:style w:type="character" w:customStyle="1" w:styleId="CharChar20">
    <w:name w:val="Char Char2"/>
    <w:unhideWhenUsed/>
    <w:qFormat/>
    <w:rPr>
      <w:rFonts w:ascii="宋体" w:eastAsia="宋体" w:hAnsi="宋体" w:hint="eastAsia"/>
      <w:kern w:val="2"/>
      <w:sz w:val="18"/>
      <w:szCs w:val="24"/>
      <w:lang w:val="en-US" w:eastAsia="zh-CN"/>
    </w:rPr>
  </w:style>
  <w:style w:type="character" w:customStyle="1" w:styleId="emailstyle128">
    <w:name w:val="emailstyle128"/>
    <w:unhideWhenUsed/>
    <w:qFormat/>
    <w:rPr>
      <w:rFonts w:ascii="Arial" w:eastAsia="宋体" w:hAnsi="Arial" w:hint="eastAsia"/>
      <w:color w:val="auto"/>
      <w:sz w:val="20"/>
      <w:szCs w:val="24"/>
    </w:rPr>
  </w:style>
  <w:style w:type="character" w:customStyle="1" w:styleId="Char5CharChar6">
    <w:name w:val="Char5 Char Char6"/>
    <w:unhideWhenUsed/>
    <w:qFormat/>
    <w:rPr>
      <w:rFonts w:hint="default"/>
      <w:kern w:val="2"/>
      <w:sz w:val="28"/>
      <w:szCs w:val="24"/>
    </w:rPr>
  </w:style>
  <w:style w:type="character" w:customStyle="1" w:styleId="Char4CharChar6">
    <w:name w:val="Char4 Char Char6"/>
    <w:unhideWhenUsed/>
    <w:qFormat/>
    <w:rPr>
      <w:rFonts w:ascii="宋体" w:eastAsia="宋体" w:hAnsi="宋体" w:hint="eastAsia"/>
      <w:color w:val="000000"/>
      <w:kern w:val="2"/>
      <w:sz w:val="24"/>
      <w:szCs w:val="24"/>
    </w:rPr>
  </w:style>
  <w:style w:type="character" w:customStyle="1" w:styleId="Char3CharChar6">
    <w:name w:val="Char3 Char Char6"/>
    <w:unhideWhenUsed/>
    <w:qFormat/>
    <w:rPr>
      <w:rFonts w:ascii="宋体" w:eastAsia="宋体" w:hAnsi="宋体" w:hint="eastAsia"/>
      <w:b/>
      <w:color w:val="000000"/>
      <w:kern w:val="2"/>
      <w:sz w:val="24"/>
      <w:szCs w:val="24"/>
    </w:rPr>
  </w:style>
  <w:style w:type="character" w:customStyle="1" w:styleId="Charf3">
    <w:name w:val="陈正文 Char"/>
    <w:link w:val="affff4"/>
    <w:unhideWhenUsed/>
    <w:qFormat/>
    <w:rPr>
      <w:rFonts w:ascii="宋体" w:eastAsia="宋体" w:hint="eastAsia"/>
      <w:kern w:val="2"/>
      <w:sz w:val="24"/>
      <w:szCs w:val="24"/>
    </w:rPr>
  </w:style>
  <w:style w:type="character" w:customStyle="1" w:styleId="Charf7">
    <w:name w:val="新正文 Char"/>
    <w:link w:val="affffb"/>
    <w:unhideWhenUsed/>
    <w:qFormat/>
    <w:rPr>
      <w:rFonts w:hint="default"/>
      <w:kern w:val="2"/>
      <w:sz w:val="24"/>
      <w:szCs w:val="24"/>
    </w:rPr>
  </w:style>
  <w:style w:type="character" w:customStyle="1" w:styleId="Charfffb">
    <w:name w:val="陈表头文字 Char"/>
    <w:link w:val="affffffffffff2"/>
    <w:unhideWhenUsed/>
    <w:qFormat/>
    <w:rPr>
      <w:rFonts w:ascii="宋体" w:eastAsia="宋体" w:hint="eastAsia"/>
      <w:b/>
      <w:kern w:val="2"/>
      <w:sz w:val="24"/>
      <w:szCs w:val="24"/>
    </w:rPr>
  </w:style>
  <w:style w:type="character" w:customStyle="1" w:styleId="yypChar">
    <w:name w:val="yyp Char"/>
    <w:link w:val="yyp"/>
    <w:unhideWhenUsed/>
    <w:qFormat/>
    <w:rPr>
      <w:rFonts w:hint="default"/>
      <w:kern w:val="2"/>
      <w:sz w:val="24"/>
      <w:szCs w:val="24"/>
    </w:rPr>
  </w:style>
  <w:style w:type="character" w:customStyle="1" w:styleId="Arial2415Char">
    <w:name w:val="样式 Arial 小四 黑色 首行缩进:  24 磅 行距: 1.5 倍行距 Char"/>
    <w:link w:val="Arial2415"/>
    <w:unhideWhenUsed/>
    <w:qFormat/>
    <w:rPr>
      <w:rFonts w:ascii="Arial" w:hint="default"/>
      <w:color w:val="000000"/>
      <w:kern w:val="2"/>
      <w:sz w:val="24"/>
      <w:szCs w:val="24"/>
    </w:rPr>
  </w:style>
  <w:style w:type="character" w:customStyle="1" w:styleId="1CharChar0">
    <w:name w:val="项标题(1) Char Char"/>
    <w:unhideWhenUsed/>
    <w:qFormat/>
    <w:rPr>
      <w:rFonts w:eastAsia="宋体" w:hint="default"/>
      <w:b/>
      <w:kern w:val="2"/>
      <w:sz w:val="24"/>
      <w:szCs w:val="24"/>
      <w:lang w:val="en-US" w:eastAsia="zh-CN"/>
    </w:rPr>
  </w:style>
  <w:style w:type="character" w:customStyle="1" w:styleId="aCharChar1">
    <w:name w:val="干标题(a) Char Char1"/>
    <w:unhideWhenUsed/>
    <w:qFormat/>
    <w:rPr>
      <w:rFonts w:ascii="Arial" w:eastAsia="黑体" w:hAnsi="Arial" w:hint="eastAsia"/>
      <w:kern w:val="2"/>
      <w:sz w:val="21"/>
      <w:szCs w:val="24"/>
      <w:lang w:val="en-US" w:eastAsia="zh-CN"/>
    </w:rPr>
  </w:style>
  <w:style w:type="character" w:customStyle="1" w:styleId="8Char1">
    <w:name w:val="样式8 Char"/>
    <w:link w:val="84"/>
    <w:unhideWhenUsed/>
    <w:qFormat/>
    <w:rPr>
      <w:rFonts w:ascii="宋体" w:eastAsia="宋体" w:hint="eastAsia"/>
      <w:kern w:val="2"/>
      <w:sz w:val="24"/>
      <w:szCs w:val="24"/>
    </w:rPr>
  </w:style>
  <w:style w:type="character" w:customStyle="1" w:styleId="TimesNewRoman15Char">
    <w:name w:val="样式 Times New Roman 行距: 1.5 倍行距 Char"/>
    <w:link w:val="TimesNewRoman15"/>
    <w:unhideWhenUsed/>
    <w:qFormat/>
    <w:rPr>
      <w:rFonts w:hint="default"/>
      <w:kern w:val="24"/>
      <w:sz w:val="28"/>
      <w:szCs w:val="24"/>
    </w:rPr>
  </w:style>
  <w:style w:type="character" w:customStyle="1" w:styleId="CharChar50">
    <w:name w:val="Char Char5"/>
    <w:unhideWhenUsed/>
    <w:qFormat/>
    <w:rPr>
      <w:rFonts w:ascii="宋体" w:eastAsia="宋体" w:hint="eastAsia"/>
      <w:sz w:val="24"/>
      <w:szCs w:val="24"/>
      <w:lang w:val="en-US" w:eastAsia="zh-CN"/>
    </w:rPr>
  </w:style>
  <w:style w:type="character" w:customStyle="1" w:styleId="TimesNewRoman0">
    <w:name w:val="样式 Times New Roman"/>
    <w:unhideWhenUsed/>
    <w:qFormat/>
    <w:rPr>
      <w:rFonts w:ascii="Times New Roman" w:eastAsia="宋体" w:hAnsi="Times New Roman" w:hint="eastAsia"/>
      <w:sz w:val="28"/>
      <w:szCs w:val="24"/>
    </w:rPr>
  </w:style>
  <w:style w:type="character" w:customStyle="1" w:styleId="Char1f2">
    <w:name w:val="页眉 Char1"/>
    <w:unhideWhenUsed/>
    <w:qFormat/>
    <w:rPr>
      <w:rFonts w:hint="default"/>
      <w:kern w:val="2"/>
      <w:sz w:val="18"/>
      <w:szCs w:val="24"/>
    </w:rPr>
  </w:style>
  <w:style w:type="character" w:customStyle="1" w:styleId="z-">
    <w:name w:val="z-窗体顶端 字符"/>
    <w:basedOn w:val="a6"/>
    <w:uiPriority w:val="99"/>
    <w:unhideWhenUsed/>
    <w:qFormat/>
    <w:rPr>
      <w:rFonts w:ascii="Arial" w:cs="Arial" w:hint="default"/>
      <w:vanish/>
      <w:kern w:val="2"/>
      <w:sz w:val="16"/>
      <w:szCs w:val="16"/>
    </w:rPr>
  </w:style>
  <w:style w:type="character" w:customStyle="1" w:styleId="z-3">
    <w:name w:val="z-窗体顶端 字符3"/>
    <w:link w:val="z-11"/>
    <w:unhideWhenUsed/>
    <w:qFormat/>
    <w:rPr>
      <w:rFonts w:ascii="Arial" w:hint="default"/>
      <w:vanish/>
      <w:kern w:val="2"/>
      <w:sz w:val="16"/>
      <w:szCs w:val="24"/>
    </w:rPr>
  </w:style>
  <w:style w:type="paragraph" w:customStyle="1" w:styleId="z-11">
    <w:name w:val="z-窗体顶端1"/>
    <w:basedOn w:val="a3"/>
    <w:next w:val="a3"/>
    <w:link w:val="z-3"/>
    <w:unhideWhenUsed/>
    <w:qFormat/>
    <w:pPr>
      <w:pBdr>
        <w:bottom w:val="single" w:sz="6" w:space="1" w:color="auto"/>
      </w:pBdr>
      <w:jc w:val="center"/>
    </w:pPr>
    <w:rPr>
      <w:rFonts w:ascii="Arial" w:hAnsi="Arial" w:hint="eastAsia"/>
      <w:vanish/>
      <w:sz w:val="16"/>
      <w:szCs w:val="16"/>
    </w:rPr>
  </w:style>
  <w:style w:type="character" w:customStyle="1" w:styleId="newsbody3">
    <w:name w:val="newsbody3"/>
    <w:unhideWhenUsed/>
    <w:qFormat/>
    <w:rPr>
      <w:rFonts w:hint="default"/>
      <w:sz w:val="21"/>
      <w:szCs w:val="24"/>
    </w:rPr>
  </w:style>
  <w:style w:type="character" w:customStyle="1" w:styleId="6Char1">
    <w:name w:val="样式6 Char"/>
    <w:link w:val="64"/>
    <w:unhideWhenUsed/>
    <w:qFormat/>
    <w:rPr>
      <w:rFonts w:ascii="宋体" w:eastAsia="宋体" w:hint="eastAsia"/>
      <w:color w:val="FF0000"/>
      <w:sz w:val="24"/>
      <w:szCs w:val="24"/>
    </w:rPr>
  </w:style>
  <w:style w:type="character" w:customStyle="1" w:styleId="7Char0">
    <w:name w:val="样式7 Char"/>
    <w:link w:val="75"/>
    <w:unhideWhenUsed/>
    <w:qFormat/>
    <w:rPr>
      <w:rFonts w:hint="default"/>
      <w:kern w:val="2"/>
      <w:sz w:val="18"/>
      <w:szCs w:val="24"/>
    </w:rPr>
  </w:style>
  <w:style w:type="character" w:customStyle="1" w:styleId="9Char0">
    <w:name w:val="样式9 Char"/>
    <w:link w:val="95"/>
    <w:unhideWhenUsed/>
    <w:qFormat/>
    <w:rPr>
      <w:rFonts w:ascii="宋体" w:eastAsia="宋体" w:hint="eastAsia"/>
      <w:b/>
      <w:kern w:val="2"/>
      <w:sz w:val="18"/>
      <w:szCs w:val="24"/>
    </w:rPr>
  </w:style>
  <w:style w:type="character" w:customStyle="1" w:styleId="CommentTextChar">
    <w:name w:val="Comment Text Char"/>
    <w:unhideWhenUsed/>
    <w:qFormat/>
    <w:rPr>
      <w:rFonts w:ascii="宋体" w:eastAsia="宋体" w:hint="eastAsia"/>
      <w:sz w:val="24"/>
      <w:szCs w:val="24"/>
      <w:lang w:val="en-US" w:eastAsia="zh-CN"/>
    </w:rPr>
  </w:style>
  <w:style w:type="character" w:customStyle="1" w:styleId="d11">
    <w:name w:val="d11"/>
    <w:unhideWhenUsed/>
    <w:qFormat/>
    <w:rPr>
      <w:rFonts w:hint="default"/>
      <w:spacing w:val="400"/>
      <w:sz w:val="20"/>
      <w:szCs w:val="24"/>
    </w:rPr>
  </w:style>
  <w:style w:type="character" w:customStyle="1" w:styleId="Char1f3">
    <w:name w:val="报告正文 Char1"/>
    <w:unhideWhenUsed/>
    <w:qFormat/>
    <w:rPr>
      <w:rFonts w:ascii="Times" w:eastAsia="仿宋_GB2312" w:hAnsi="Times" w:hint="eastAsia"/>
      <w:color w:val="000000"/>
      <w:kern w:val="2"/>
      <w:sz w:val="28"/>
      <w:szCs w:val="24"/>
    </w:rPr>
  </w:style>
  <w:style w:type="character" w:customStyle="1" w:styleId="11b1111Char">
    <w:name w:val="样式 标题 1章标题 1章节标题b111标题 1 + 非加粗 自动设置 Char"/>
    <w:link w:val="11b1111"/>
    <w:unhideWhenUsed/>
    <w:qFormat/>
    <w:rPr>
      <w:rFonts w:ascii="黑体" w:eastAsia="黑体" w:hAnsi="宋体" w:hint="eastAsia"/>
      <w:sz w:val="32"/>
      <w:szCs w:val="24"/>
    </w:rPr>
  </w:style>
  <w:style w:type="character" w:customStyle="1" w:styleId="Charfffc">
    <w:name w:val="表注 Char"/>
    <w:link w:val="affffffffffff6"/>
    <w:unhideWhenUsed/>
    <w:qFormat/>
    <w:rPr>
      <w:rFonts w:ascii="Calibri" w:hint="default"/>
      <w:kern w:val="32"/>
      <w:sz w:val="24"/>
      <w:szCs w:val="24"/>
      <w:lang w:eastAsia="en-US"/>
    </w:rPr>
  </w:style>
  <w:style w:type="character" w:customStyle="1" w:styleId="z-0">
    <w:name w:val="z-窗体底端 字符"/>
    <w:basedOn w:val="a6"/>
    <w:uiPriority w:val="99"/>
    <w:unhideWhenUsed/>
    <w:qFormat/>
    <w:rPr>
      <w:rFonts w:ascii="Arial" w:cs="Arial" w:hint="default"/>
      <w:vanish/>
      <w:kern w:val="2"/>
      <w:sz w:val="16"/>
      <w:szCs w:val="16"/>
    </w:rPr>
  </w:style>
  <w:style w:type="character" w:customStyle="1" w:styleId="z-30">
    <w:name w:val="z-窗体底端 字符3"/>
    <w:link w:val="z-12"/>
    <w:unhideWhenUsed/>
    <w:qFormat/>
    <w:rPr>
      <w:rFonts w:ascii="宋体" w:eastAsia="宋体" w:hAnsi="Courier New" w:hint="eastAsia"/>
      <w:kern w:val="2"/>
      <w:sz w:val="21"/>
      <w:szCs w:val="24"/>
    </w:rPr>
  </w:style>
  <w:style w:type="paragraph" w:customStyle="1" w:styleId="z-12">
    <w:name w:val="z-窗体底端1"/>
    <w:basedOn w:val="a3"/>
    <w:next w:val="a3"/>
    <w:link w:val="z-30"/>
    <w:unhideWhenUsed/>
    <w:qFormat/>
    <w:pPr>
      <w:pBdr>
        <w:top w:val="single" w:sz="6" w:space="1" w:color="auto"/>
      </w:pBdr>
      <w:jc w:val="center"/>
    </w:pPr>
    <w:rPr>
      <w:rFonts w:ascii="宋体" w:hAnsi="Courier New" w:hint="eastAsia"/>
      <w:sz w:val="21"/>
      <w:szCs w:val="20"/>
    </w:rPr>
  </w:style>
  <w:style w:type="character" w:customStyle="1" w:styleId="cityhighlight1">
    <w:name w:val="cityhighlight1"/>
    <w:unhideWhenUsed/>
    <w:qFormat/>
    <w:rPr>
      <w:rFonts w:hint="default"/>
      <w:b/>
      <w:color w:val="CC0000"/>
      <w:sz w:val="24"/>
      <w:szCs w:val="24"/>
    </w:rPr>
  </w:style>
  <w:style w:type="character" w:customStyle="1" w:styleId="Charfff4">
    <w:name w:val="水利部 Char"/>
    <w:link w:val="afffffffffff3"/>
    <w:unhideWhenUsed/>
    <w:qFormat/>
    <w:rPr>
      <w:rFonts w:hint="default"/>
      <w:b/>
      <w:sz w:val="30"/>
      <w:szCs w:val="24"/>
    </w:rPr>
  </w:style>
  <w:style w:type="character" w:customStyle="1" w:styleId="Char1f4">
    <w:name w:val="表号 Char1"/>
    <w:unhideWhenUsed/>
    <w:qFormat/>
    <w:rPr>
      <w:rFonts w:eastAsia="宋体" w:hint="default"/>
      <w:kern w:val="2"/>
      <w:sz w:val="24"/>
      <w:szCs w:val="24"/>
      <w:lang w:val="en-US" w:eastAsia="zh-CN"/>
    </w:rPr>
  </w:style>
  <w:style w:type="character" w:customStyle="1" w:styleId="CharChar25">
    <w:name w:val="Char Char25"/>
    <w:unhideWhenUsed/>
    <w:qFormat/>
    <w:rPr>
      <w:rFonts w:eastAsia="宋体" w:hint="default"/>
      <w:kern w:val="2"/>
      <w:sz w:val="18"/>
      <w:szCs w:val="24"/>
      <w:lang w:val="en-US" w:eastAsia="zh-CN"/>
    </w:rPr>
  </w:style>
  <w:style w:type="character" w:customStyle="1" w:styleId="CharChar32">
    <w:name w:val="Char Char32"/>
    <w:unhideWhenUsed/>
    <w:qFormat/>
    <w:rPr>
      <w:rFonts w:ascii="新宋体" w:eastAsia="仿宋_GB2312" w:hAnsi="新宋体" w:hint="eastAsia"/>
      <w:b/>
      <w:kern w:val="2"/>
      <w:sz w:val="24"/>
      <w:szCs w:val="24"/>
      <w:lang w:val="en-US" w:eastAsia="zh-CN"/>
    </w:rPr>
  </w:style>
  <w:style w:type="character" w:customStyle="1" w:styleId="CharChar38">
    <w:name w:val="Char Char38"/>
    <w:unhideWhenUsed/>
    <w:qFormat/>
    <w:rPr>
      <w:rFonts w:ascii="宋体" w:eastAsia="宋体" w:hAnsi="宋体" w:hint="eastAsia"/>
      <w:b/>
      <w:kern w:val="2"/>
      <w:sz w:val="32"/>
      <w:szCs w:val="24"/>
    </w:rPr>
  </w:style>
  <w:style w:type="character" w:customStyle="1" w:styleId="2Chara">
    <w:name w:val="分目录2 Char"/>
    <w:link w:val="2ff"/>
    <w:unhideWhenUsed/>
    <w:qFormat/>
    <w:rPr>
      <w:rFonts w:hint="default"/>
      <w:color w:val="000000"/>
      <w:kern w:val="2"/>
      <w:sz w:val="28"/>
      <w:szCs w:val="24"/>
    </w:rPr>
  </w:style>
  <w:style w:type="character" w:customStyle="1" w:styleId="Charfffe">
    <w:name w:val="表格 宋体 五号 Char"/>
    <w:link w:val="affffffffffffff4"/>
    <w:unhideWhenUsed/>
    <w:qFormat/>
    <w:rPr>
      <w:rFonts w:ascii="宋体" w:eastAsia="宋体" w:hint="eastAsia"/>
      <w:sz w:val="21"/>
      <w:szCs w:val="24"/>
    </w:rPr>
  </w:style>
  <w:style w:type="character" w:customStyle="1" w:styleId="CharChar3">
    <w:name w:val="临时内容 Char Char"/>
    <w:link w:val="affffffffffffff2"/>
    <w:unhideWhenUsed/>
    <w:qFormat/>
    <w:rPr>
      <w:rFonts w:hint="default"/>
      <w:color w:val="FF0000"/>
      <w:sz w:val="24"/>
      <w:szCs w:val="24"/>
    </w:rPr>
  </w:style>
  <w:style w:type="character" w:customStyle="1" w:styleId="Charffb">
    <w:name w:val="样式 样式 表格 + (符号) 宋体 五号 居中 + 小五 Char"/>
    <w:link w:val="afffffffffb"/>
    <w:unhideWhenUsed/>
    <w:qFormat/>
    <w:rPr>
      <w:rFonts w:hint="default"/>
      <w:sz w:val="21"/>
      <w:szCs w:val="24"/>
    </w:rPr>
  </w:style>
  <w:style w:type="character" w:customStyle="1" w:styleId="zhegwen21">
    <w:name w:val="zhegwen21"/>
    <w:unhideWhenUsed/>
    <w:qFormat/>
    <w:rPr>
      <w:rFonts w:ascii="??" w:hint="default"/>
      <w:color w:val="000000"/>
      <w:sz w:val="23"/>
      <w:szCs w:val="24"/>
    </w:rPr>
  </w:style>
  <w:style w:type="character" w:customStyle="1" w:styleId="hit">
    <w:name w:val="hit"/>
    <w:basedOn w:val="a6"/>
    <w:unhideWhenUsed/>
    <w:qFormat/>
    <w:rPr>
      <w:rFonts w:cs="Times New Roman" w:hint="default"/>
      <w:sz w:val="24"/>
      <w:szCs w:val="24"/>
    </w:rPr>
  </w:style>
  <w:style w:type="character" w:customStyle="1" w:styleId="Charffffffb">
    <w:name w:val="正文文字 Char"/>
    <w:unhideWhenUsed/>
    <w:qFormat/>
    <w:rPr>
      <w:rFonts w:ascii="宋体" w:eastAsia="宋体" w:hint="eastAsia"/>
      <w:b/>
      <w:kern w:val="2"/>
      <w:sz w:val="36"/>
      <w:szCs w:val="24"/>
      <w:lang w:val="en-US" w:eastAsia="zh-CN"/>
    </w:rPr>
  </w:style>
  <w:style w:type="character" w:customStyle="1" w:styleId="4CharChar1">
    <w:name w:val="标题 4、二级标题 Char Char"/>
    <w:unhideWhenUsed/>
    <w:qFormat/>
    <w:rPr>
      <w:rFonts w:ascii="Arial" w:eastAsia="黑体" w:hAnsi="Arial" w:hint="eastAsia"/>
      <w:b/>
      <w:kern w:val="2"/>
      <w:sz w:val="28"/>
      <w:szCs w:val="24"/>
      <w:lang w:val="en-US" w:eastAsia="zh-CN"/>
    </w:rPr>
  </w:style>
  <w:style w:type="character" w:customStyle="1" w:styleId="CharChar27">
    <w:name w:val="Char Char27"/>
    <w:unhideWhenUsed/>
    <w:qFormat/>
    <w:rPr>
      <w:rFonts w:ascii="宋体" w:eastAsia="宋体" w:hAnsi="宋体" w:hint="eastAsia"/>
      <w:sz w:val="28"/>
      <w:szCs w:val="24"/>
      <w:lang w:val="en-US" w:eastAsia="zh-CN"/>
    </w:rPr>
  </w:style>
  <w:style w:type="character" w:customStyle="1" w:styleId="CharCharCharCharCharCharCharCharCharCharCharCharCharCharCharCharCharCharChar0">
    <w:name w:val="纯文本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CharCharChar3">
    <w:name w:val="页眉 Char Char Char Char Char"/>
    <w:unhideWhenUsed/>
    <w:qFormat/>
    <w:rPr>
      <w:rFonts w:eastAsia="宋体" w:hint="default"/>
      <w:kern w:val="2"/>
      <w:sz w:val="18"/>
      <w:szCs w:val="24"/>
      <w:lang w:val="en-US" w:eastAsia="zh-CN"/>
    </w:rPr>
  </w:style>
  <w:style w:type="character" w:customStyle="1" w:styleId="CharCharCharCharCharCharChar2CharChar">
    <w:name w:val="普通文字 Char Char Char Char Char Char Char2 Char Char"/>
    <w:unhideWhenUsed/>
    <w:qFormat/>
    <w:rPr>
      <w:rFonts w:ascii="宋体" w:eastAsia="宋体" w:hAnsi="Courier New" w:hint="eastAsia"/>
      <w:kern w:val="2"/>
      <w:sz w:val="21"/>
      <w:szCs w:val="24"/>
      <w:lang w:val="en-US" w:eastAsia="zh-CN"/>
    </w:rPr>
  </w:style>
  <w:style w:type="character" w:customStyle="1" w:styleId="apple-converted-space">
    <w:name w:val="apple-converted-space"/>
    <w:basedOn w:val="a6"/>
    <w:unhideWhenUsed/>
    <w:qFormat/>
    <w:rPr>
      <w:rFonts w:cs="Times New Roman" w:hint="default"/>
      <w:sz w:val="24"/>
      <w:szCs w:val="24"/>
    </w:rPr>
  </w:style>
  <w:style w:type="character" w:customStyle="1" w:styleId="CharChar300">
    <w:name w:val="Char Char30"/>
    <w:unhideWhenUsed/>
    <w:qFormat/>
    <w:rPr>
      <w:rFonts w:ascii="Arial" w:eastAsia="黑体" w:hAnsi="Arial" w:hint="eastAsia"/>
      <w:kern w:val="2"/>
      <w:sz w:val="21"/>
      <w:szCs w:val="24"/>
      <w:lang w:val="en-US" w:eastAsia="zh-CN"/>
    </w:rPr>
  </w:style>
  <w:style w:type="character" w:customStyle="1" w:styleId="1Charb">
    <w:name w:val="项标题(1) Char"/>
    <w:unhideWhenUsed/>
    <w:qFormat/>
    <w:rPr>
      <w:rFonts w:eastAsia="仿宋_GB2312" w:hint="default"/>
      <w:b/>
      <w:sz w:val="24"/>
      <w:szCs w:val="24"/>
      <w:lang w:val="en-US" w:eastAsia="zh-CN"/>
    </w:rPr>
  </w:style>
  <w:style w:type="character" w:customStyle="1" w:styleId="CharChar171">
    <w:name w:val="Char Char171"/>
    <w:unhideWhenUsed/>
    <w:qFormat/>
    <w:rPr>
      <w:rFonts w:ascii="Times New Roman" w:eastAsia="华文细黑" w:hAnsi="Times New Roman" w:hint="eastAsia"/>
      <w:b/>
      <w:kern w:val="44"/>
      <w:sz w:val="44"/>
      <w:szCs w:val="24"/>
      <w:lang w:val="en-US" w:eastAsia="zh-CN"/>
    </w:rPr>
  </w:style>
  <w:style w:type="character" w:customStyle="1" w:styleId="CharChar200">
    <w:name w:val="Char Char20"/>
    <w:unhideWhenUsed/>
    <w:qFormat/>
    <w:rPr>
      <w:rFonts w:hint="default"/>
      <w:b/>
      <w:sz w:val="24"/>
      <w:szCs w:val="24"/>
      <w:u w:val="single"/>
    </w:rPr>
  </w:style>
  <w:style w:type="character" w:customStyle="1" w:styleId="keyword">
    <w:name w:val="keyword"/>
    <w:basedOn w:val="a6"/>
    <w:unhideWhenUsed/>
    <w:qFormat/>
    <w:rPr>
      <w:rFonts w:cs="Times New Roman" w:hint="default"/>
      <w:sz w:val="24"/>
      <w:szCs w:val="24"/>
    </w:rPr>
  </w:style>
  <w:style w:type="character" w:customStyle="1" w:styleId="Char28">
    <w:name w:val="正文文字 Char2"/>
    <w:unhideWhenUsed/>
    <w:qFormat/>
    <w:rPr>
      <w:rFonts w:eastAsia="宋体" w:hint="default"/>
      <w:kern w:val="2"/>
      <w:sz w:val="21"/>
      <w:szCs w:val="24"/>
      <w:lang w:val="en-US" w:eastAsia="zh-CN"/>
    </w:rPr>
  </w:style>
  <w:style w:type="character" w:customStyle="1" w:styleId="CharChar35">
    <w:name w:val="Char Char35"/>
    <w:unhideWhenUsed/>
    <w:qFormat/>
    <w:rPr>
      <w:rFonts w:ascii="宋体" w:eastAsia="宋体" w:hint="eastAsia"/>
      <w:b/>
      <w:kern w:val="4"/>
      <w:sz w:val="24"/>
      <w:szCs w:val="24"/>
    </w:rPr>
  </w:style>
  <w:style w:type="character" w:customStyle="1" w:styleId="Char35">
    <w:name w:val="正文首行缩进 Char3"/>
    <w:unhideWhenUsed/>
    <w:qFormat/>
    <w:rPr>
      <w:rFonts w:hint="default"/>
      <w:kern w:val="2"/>
      <w:sz w:val="24"/>
      <w:szCs w:val="24"/>
    </w:rPr>
  </w:style>
  <w:style w:type="character" w:customStyle="1" w:styleId="dl1">
    <w:name w:val="dl1"/>
    <w:unhideWhenUsed/>
    <w:qFormat/>
    <w:rPr>
      <w:rFonts w:eastAsia="宋体" w:hint="default"/>
      <w:kern w:val="2"/>
      <w:sz w:val="21"/>
      <w:szCs w:val="24"/>
      <w:lang w:val="en-US" w:eastAsia="zh-CN"/>
    </w:rPr>
  </w:style>
  <w:style w:type="character" w:customStyle="1" w:styleId="MTDisplayEquationChar">
    <w:name w:val="MTDisplayEquation Char"/>
    <w:link w:val="MTDisplayEquation"/>
    <w:unhideWhenUsed/>
    <w:qFormat/>
    <w:rPr>
      <w:rFonts w:hint="default"/>
      <w:sz w:val="24"/>
      <w:szCs w:val="24"/>
    </w:rPr>
  </w:style>
  <w:style w:type="character" w:customStyle="1" w:styleId="Char1f5">
    <w:name w:val="表后标题 Char1"/>
    <w:unhideWhenUsed/>
    <w:qFormat/>
    <w:rPr>
      <w:rFonts w:eastAsia="宋体" w:hAnsi="宋体" w:hint="default"/>
      <w:b/>
      <w:kern w:val="2"/>
      <w:sz w:val="21"/>
      <w:szCs w:val="24"/>
      <w:lang w:val="en-US" w:eastAsia="zh-CN"/>
    </w:rPr>
  </w:style>
  <w:style w:type="character" w:customStyle="1" w:styleId="authors">
    <w:name w:val="authors"/>
    <w:basedOn w:val="a6"/>
    <w:unhideWhenUsed/>
    <w:qFormat/>
    <w:rPr>
      <w:rFonts w:cs="Times New Roman" w:hint="default"/>
      <w:sz w:val="24"/>
      <w:szCs w:val="24"/>
    </w:rPr>
  </w:style>
  <w:style w:type="character" w:customStyle="1" w:styleId="CharChar19">
    <w:name w:val="Char Char19"/>
    <w:unhideWhenUsed/>
    <w:qFormat/>
    <w:rPr>
      <w:rFonts w:hint="default"/>
      <w:sz w:val="24"/>
      <w:szCs w:val="24"/>
    </w:rPr>
  </w:style>
  <w:style w:type="character" w:customStyle="1" w:styleId="CharChar23">
    <w:name w:val="Char Char23"/>
    <w:unhideWhenUsed/>
    <w:qFormat/>
    <w:rPr>
      <w:rFonts w:ascii="黑体" w:eastAsia="黑体" w:hAnsi="Courier New" w:hint="eastAsia"/>
      <w:kern w:val="2"/>
      <w:sz w:val="28"/>
      <w:szCs w:val="24"/>
      <w:lang w:val="en-US" w:eastAsia="zh-CN"/>
    </w:rPr>
  </w:style>
  <w:style w:type="character" w:customStyle="1" w:styleId="1Char6">
    <w:name w:val="样式 标题 1封面大标题 + 加粗 Char"/>
    <w:link w:val="1fff5"/>
    <w:unhideWhenUsed/>
    <w:qFormat/>
    <w:rPr>
      <w:rFonts w:ascii="宋体" w:eastAsia="黑体" w:hAnsi="宋体" w:hint="eastAsia"/>
      <w:b/>
      <w:kern w:val="44"/>
      <w:sz w:val="32"/>
      <w:szCs w:val="24"/>
    </w:rPr>
  </w:style>
  <w:style w:type="character" w:customStyle="1" w:styleId="TableFigureCaptionChar">
    <w:name w:val="Table Figure Caption Char"/>
    <w:link w:val="TableFigureCaption"/>
    <w:unhideWhenUsed/>
    <w:qFormat/>
    <w:rPr>
      <w:rFonts w:hint="default"/>
      <w:kern w:val="2"/>
      <w:sz w:val="24"/>
      <w:szCs w:val="24"/>
    </w:rPr>
  </w:style>
  <w:style w:type="character" w:customStyle="1" w:styleId="2CharChar4">
    <w:name w:val="正文首行缩进2字符 Char Char"/>
    <w:link w:val="2ff0"/>
    <w:unhideWhenUsed/>
    <w:qFormat/>
    <w:rPr>
      <w:rFonts w:hint="default"/>
      <w:sz w:val="24"/>
      <w:szCs w:val="24"/>
    </w:rPr>
  </w:style>
  <w:style w:type="character" w:customStyle="1" w:styleId="affffffffffffffffffffffff6">
    <w:name w:val="样式 加粗"/>
    <w:unhideWhenUsed/>
    <w:qFormat/>
    <w:rPr>
      <w:rFonts w:hint="default"/>
      <w:b/>
      <w:sz w:val="24"/>
      <w:szCs w:val="24"/>
    </w:rPr>
  </w:style>
  <w:style w:type="character" w:customStyle="1" w:styleId="CharChar21">
    <w:name w:val="Char Char21"/>
    <w:unhideWhenUsed/>
    <w:qFormat/>
    <w:rPr>
      <w:rFonts w:eastAsia="宋体" w:hint="default"/>
      <w:kern w:val="2"/>
      <w:sz w:val="18"/>
      <w:szCs w:val="24"/>
      <w:lang w:val="en-US" w:eastAsia="zh-CN"/>
    </w:rPr>
  </w:style>
  <w:style w:type="character" w:customStyle="1" w:styleId="DefaultParagraphFont1">
    <w:name w:val="Default Paragraph Font1"/>
    <w:unhideWhenUsed/>
    <w:qFormat/>
    <w:rPr>
      <w:rFonts w:hint="default"/>
      <w:sz w:val="24"/>
      <w:szCs w:val="24"/>
    </w:rPr>
  </w:style>
  <w:style w:type="character" w:customStyle="1" w:styleId="CharChar18">
    <w:name w:val="表题 Char Char1"/>
    <w:unhideWhenUsed/>
    <w:qFormat/>
    <w:rPr>
      <w:rFonts w:ascii="宋体" w:eastAsia="宋体" w:hint="eastAsia"/>
      <w:kern w:val="2"/>
      <w:sz w:val="24"/>
      <w:szCs w:val="24"/>
      <w:lang w:val="en-US" w:eastAsia="zh-CN"/>
    </w:rPr>
  </w:style>
  <w:style w:type="character" w:customStyle="1" w:styleId="CharChar33">
    <w:name w:val="Char Char33"/>
    <w:unhideWhenUsed/>
    <w:qFormat/>
    <w:rPr>
      <w:rFonts w:ascii="Arial" w:eastAsia="黑体" w:hAnsi="Arial" w:hint="eastAsia"/>
      <w:b/>
      <w:kern w:val="2"/>
      <w:sz w:val="24"/>
      <w:szCs w:val="24"/>
      <w:lang w:val="en-US" w:eastAsia="zh-CN"/>
    </w:rPr>
  </w:style>
  <w:style w:type="character" w:customStyle="1" w:styleId="1ffffe">
    <w:name w:val="封面1"/>
    <w:unhideWhenUsed/>
    <w:qFormat/>
    <w:rPr>
      <w:rFonts w:ascii="Times New Roman" w:eastAsia="黑体" w:hAnsi="Times New Roman" w:hint="eastAsia"/>
      <w:sz w:val="30"/>
      <w:szCs w:val="24"/>
      <w:u w:val="single"/>
    </w:rPr>
  </w:style>
  <w:style w:type="character" w:customStyle="1" w:styleId="CharChar180">
    <w:name w:val="Char Char18"/>
    <w:unhideWhenUsed/>
    <w:qFormat/>
    <w:rPr>
      <w:rFonts w:ascii="宋体" w:eastAsia="宋体" w:hAnsi="宋体" w:hint="eastAsia"/>
      <w:kern w:val="2"/>
      <w:sz w:val="24"/>
      <w:szCs w:val="24"/>
      <w:lang w:val="en-US" w:eastAsia="zh-CN"/>
    </w:rPr>
  </w:style>
  <w:style w:type="character" w:customStyle="1" w:styleId="affffffffffffffffffffffff7">
    <w:name w:val="个人答复风格"/>
    <w:unhideWhenUsed/>
    <w:qFormat/>
    <w:rPr>
      <w:rFonts w:ascii="Arial" w:eastAsia="宋体" w:hAnsi="Arial" w:hint="eastAsia"/>
      <w:color w:val="auto"/>
      <w:kern w:val="2"/>
      <w:sz w:val="20"/>
      <w:szCs w:val="24"/>
      <w:lang w:val="en-US" w:eastAsia="zh-CN"/>
    </w:rPr>
  </w:style>
  <w:style w:type="character" w:customStyle="1" w:styleId="3Char2">
    <w:name w:val="样式 标题 3 + 黑体 小四 Char"/>
    <w:link w:val="3f3"/>
    <w:unhideWhenUsed/>
    <w:qFormat/>
    <w:rPr>
      <w:rFonts w:ascii="黑体" w:eastAsia="黑体" w:hint="eastAsia"/>
      <w:kern w:val="2"/>
      <w:sz w:val="24"/>
      <w:szCs w:val="24"/>
    </w:rPr>
  </w:style>
  <w:style w:type="character" w:customStyle="1" w:styleId="CharCharCharCharCharCharCharCharCharCharCharCharCharChar0">
    <w:name w:val="普通文字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Char">
    <w:name w:val="正文c Char"/>
    <w:link w:val="c1"/>
    <w:unhideWhenUsed/>
    <w:qFormat/>
    <w:rPr>
      <w:rFonts w:eastAsia="仿宋_GB2312" w:hint="default"/>
      <w:kern w:val="2"/>
      <w:sz w:val="28"/>
      <w:szCs w:val="24"/>
    </w:rPr>
  </w:style>
  <w:style w:type="character" w:customStyle="1" w:styleId="CharCharf6">
    <w:name w:val="报告名 Char Char"/>
    <w:unhideWhenUsed/>
    <w:qFormat/>
    <w:rPr>
      <w:rFonts w:eastAsia="宋体" w:hint="default"/>
      <w:b/>
      <w:kern w:val="2"/>
      <w:sz w:val="56"/>
      <w:szCs w:val="24"/>
      <w:lang w:val="en-US" w:eastAsia="zh-CN"/>
    </w:rPr>
  </w:style>
  <w:style w:type="character" w:customStyle="1" w:styleId="CharChar28">
    <w:name w:val="Char Char28"/>
    <w:unhideWhenUsed/>
    <w:qFormat/>
    <w:rPr>
      <w:rFonts w:eastAsia="宋体" w:hint="default"/>
      <w:kern w:val="2"/>
      <w:sz w:val="24"/>
      <w:szCs w:val="24"/>
      <w:lang w:val="en-US" w:eastAsia="zh-CN"/>
    </w:rPr>
  </w:style>
  <w:style w:type="character" w:customStyle="1" w:styleId="CharChar29">
    <w:name w:val="Char Char29"/>
    <w:unhideWhenUsed/>
    <w:qFormat/>
    <w:rPr>
      <w:rFonts w:eastAsia="宋体" w:hint="default"/>
      <w:kern w:val="2"/>
      <w:sz w:val="28"/>
      <w:szCs w:val="24"/>
      <w:lang w:val="en-US" w:eastAsia="zh-CN"/>
    </w:rPr>
  </w:style>
  <w:style w:type="character" w:customStyle="1" w:styleId="CharCharCharCharCharCharChar2CharChar1">
    <w:name w:val="普通文字 Char Char Char Char Char Char Char2 Char Char1"/>
    <w:unhideWhenUsed/>
    <w:qFormat/>
    <w:rPr>
      <w:rFonts w:ascii="宋体" w:eastAsia="宋体" w:hAnsi="Courier New" w:hint="eastAsia"/>
      <w:kern w:val="2"/>
      <w:sz w:val="21"/>
      <w:szCs w:val="24"/>
      <w:lang w:val="en-US" w:eastAsia="zh-CN"/>
    </w:rPr>
  </w:style>
  <w:style w:type="character" w:customStyle="1" w:styleId="Charfffd">
    <w:name w:val="表后标题 Char"/>
    <w:link w:val="afffffffffffff2"/>
    <w:unhideWhenUsed/>
    <w:qFormat/>
    <w:rPr>
      <w:rFonts w:hAnsi="宋体" w:hint="default"/>
      <w:b/>
      <w:kern w:val="2"/>
      <w:sz w:val="21"/>
      <w:szCs w:val="24"/>
    </w:rPr>
  </w:style>
  <w:style w:type="character" w:customStyle="1" w:styleId="CharChar31">
    <w:name w:val="Char Char31"/>
    <w:unhideWhenUsed/>
    <w:qFormat/>
    <w:rPr>
      <w:rFonts w:ascii="Arial" w:eastAsia="黑体" w:hAnsi="Arial" w:hint="eastAsia"/>
      <w:kern w:val="2"/>
      <w:sz w:val="24"/>
      <w:szCs w:val="24"/>
      <w:lang w:val="en-US" w:eastAsia="zh-CN"/>
    </w:rPr>
  </w:style>
  <w:style w:type="character" w:customStyle="1" w:styleId="CharChar161">
    <w:name w:val="Char Char161"/>
    <w:unhideWhenUsed/>
    <w:qFormat/>
    <w:rPr>
      <w:rFonts w:ascii="Times New Roman" w:eastAsia="华文细黑" w:hAnsi="Times New Roman" w:hint="eastAsia"/>
      <w:b/>
      <w:kern w:val="2"/>
      <w:sz w:val="32"/>
      <w:szCs w:val="24"/>
      <w:lang w:val="en-US" w:eastAsia="zh-CN"/>
    </w:rPr>
  </w:style>
  <w:style w:type="character" w:customStyle="1" w:styleId="3Char0">
    <w:name w:val="标题3 Char"/>
    <w:link w:val="3c"/>
    <w:unhideWhenUsed/>
    <w:qFormat/>
    <w:rPr>
      <w:rFonts w:hint="default"/>
      <w:b/>
      <w:kern w:val="2"/>
      <w:sz w:val="24"/>
      <w:szCs w:val="24"/>
    </w:rPr>
  </w:style>
  <w:style w:type="character" w:customStyle="1" w:styleId="4Char11">
    <w:name w:val="标题 4 Char11"/>
    <w:unhideWhenUsed/>
    <w:qFormat/>
    <w:rPr>
      <w:rFonts w:ascii="黑体" w:eastAsia="宋体" w:hAnsi="Arial" w:hint="eastAsia"/>
      <w:b/>
      <w:i/>
      <w:kern w:val="2"/>
      <w:sz w:val="24"/>
      <w:szCs w:val="24"/>
    </w:rPr>
  </w:style>
  <w:style w:type="character" w:customStyle="1" w:styleId="1Charc">
    <w:name w:val="样式 标题 1封面大标题 + 非加粗 Char"/>
    <w:unhideWhenUsed/>
    <w:qFormat/>
    <w:rPr>
      <w:rFonts w:ascii="宋体" w:eastAsia="黑体" w:hAnsi="宋体" w:hint="eastAsia"/>
      <w:b/>
      <w:kern w:val="44"/>
      <w:sz w:val="32"/>
      <w:szCs w:val="24"/>
      <w:lang w:val="en-US" w:eastAsia="zh-CN"/>
    </w:rPr>
  </w:style>
  <w:style w:type="character" w:customStyle="1" w:styleId="4Char2">
    <w:name w:val="陈标题4 Char"/>
    <w:link w:val="4f0"/>
    <w:unhideWhenUsed/>
    <w:qFormat/>
    <w:rPr>
      <w:rFonts w:hint="default"/>
      <w:b/>
      <w:kern w:val="2"/>
      <w:sz w:val="24"/>
      <w:szCs w:val="24"/>
    </w:rPr>
  </w:style>
  <w:style w:type="character" w:customStyle="1" w:styleId="2CharChar5">
    <w:name w:val="正文首行缩进2 字符 Char Char"/>
    <w:link w:val="2ff5"/>
    <w:unhideWhenUsed/>
    <w:qFormat/>
    <w:rPr>
      <w:rFonts w:hint="default"/>
      <w:kern w:val="2"/>
      <w:sz w:val="28"/>
      <w:szCs w:val="24"/>
    </w:rPr>
  </w:style>
  <w:style w:type="character" w:customStyle="1" w:styleId="CharCharCharCharCharCharCharCharCharCharCharCharCharCharCharCharCharCharCharChar0">
    <w:name w:val="纯文本 Char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StyleChar">
    <w:name w:val="Style 正文文本 + Char"/>
    <w:link w:val="Style"/>
    <w:unhideWhenUsed/>
    <w:qFormat/>
    <w:rPr>
      <w:rFonts w:hint="default"/>
      <w:sz w:val="24"/>
      <w:szCs w:val="24"/>
    </w:rPr>
  </w:style>
  <w:style w:type="character" w:customStyle="1" w:styleId="CharCharCharCharCharCharCharCharCharCharCharCharCharCharCharCharCharChar">
    <w:name w:val="纯文本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36">
    <w:name w:val="Char Char36"/>
    <w:unhideWhenUsed/>
    <w:qFormat/>
    <w:rPr>
      <w:rFonts w:ascii="宋体" w:eastAsia="宋体" w:hint="eastAsia"/>
      <w:b/>
      <w:kern w:val="24"/>
      <w:sz w:val="28"/>
      <w:szCs w:val="24"/>
      <w:lang w:val="zh-CN"/>
    </w:rPr>
  </w:style>
  <w:style w:type="character" w:customStyle="1" w:styleId="CharCharf7">
    <w:name w:val="报告编号 Char Char"/>
    <w:unhideWhenUsed/>
    <w:qFormat/>
    <w:rPr>
      <w:rFonts w:eastAsia="黑体" w:hint="default"/>
      <w:b/>
      <w:kern w:val="2"/>
      <w:sz w:val="28"/>
      <w:szCs w:val="24"/>
      <w:lang w:val="en-US" w:eastAsia="zh-CN"/>
    </w:rPr>
  </w:style>
  <w:style w:type="character" w:customStyle="1" w:styleId="CharChar37">
    <w:name w:val="Char Char37"/>
    <w:unhideWhenUsed/>
    <w:qFormat/>
    <w:rPr>
      <w:rFonts w:ascii="宋体" w:eastAsia="宋体" w:hint="eastAsia"/>
      <w:b/>
      <w:kern w:val="2"/>
      <w:sz w:val="28"/>
      <w:szCs w:val="24"/>
    </w:rPr>
  </w:style>
  <w:style w:type="character" w:customStyle="1" w:styleId="3zw">
    <w:name w:val="3zw"/>
    <w:basedOn w:val="a6"/>
    <w:unhideWhenUsed/>
    <w:qFormat/>
    <w:rPr>
      <w:rFonts w:cs="Times New Roman" w:hint="default"/>
      <w:sz w:val="24"/>
      <w:szCs w:val="24"/>
    </w:rPr>
  </w:style>
  <w:style w:type="character" w:customStyle="1" w:styleId="1Char5">
    <w:name w:val="表标题1 Char"/>
    <w:link w:val="1fff"/>
    <w:unhideWhenUsed/>
    <w:qFormat/>
    <w:rPr>
      <w:rFonts w:hint="default"/>
      <w:b/>
      <w:kern w:val="2"/>
      <w:sz w:val="24"/>
      <w:szCs w:val="24"/>
    </w:rPr>
  </w:style>
  <w:style w:type="character" w:customStyle="1" w:styleId="Charffa">
    <w:name w:val="表号 Char"/>
    <w:link w:val="afffffffffa"/>
    <w:unhideWhenUsed/>
    <w:qFormat/>
    <w:rPr>
      <w:rFonts w:hint="default"/>
      <w:color w:val="000000"/>
      <w:sz w:val="24"/>
      <w:szCs w:val="24"/>
    </w:rPr>
  </w:style>
  <w:style w:type="character" w:customStyle="1" w:styleId="affffffffffffffffffffffff8">
    <w:name w:val="项目符号"/>
    <w:unhideWhenUsed/>
    <w:qFormat/>
    <w:rPr>
      <w:rFonts w:ascii="OpenSymbol" w:eastAsia="OpenSymbol" w:hAnsi="OpenSymbol" w:hint="eastAsia"/>
      <w:sz w:val="24"/>
      <w:szCs w:val="24"/>
    </w:rPr>
  </w:style>
  <w:style w:type="character" w:customStyle="1" w:styleId="CharCharf8">
    <w:name w:val="图表名 Char Char"/>
    <w:unhideWhenUsed/>
    <w:qFormat/>
    <w:rPr>
      <w:rFonts w:eastAsia="黑体" w:hint="default"/>
      <w:kern w:val="2"/>
      <w:sz w:val="24"/>
      <w:szCs w:val="24"/>
      <w:lang w:val="en-US" w:eastAsia="zh-CN"/>
    </w:rPr>
  </w:style>
  <w:style w:type="character" w:customStyle="1" w:styleId="CharChar34">
    <w:name w:val="Char Char34"/>
    <w:unhideWhenUsed/>
    <w:qFormat/>
    <w:rPr>
      <w:rFonts w:ascii="新宋体" w:eastAsia="仿宋_GB2312" w:hAnsi="新宋体" w:hint="eastAsia"/>
      <w:b/>
      <w:kern w:val="2"/>
      <w:sz w:val="28"/>
      <w:szCs w:val="24"/>
      <w:lang w:val="en-US" w:eastAsia="zh-CN"/>
    </w:rPr>
  </w:style>
  <w:style w:type="character" w:customStyle="1" w:styleId="MTEquationSection">
    <w:name w:val="MTEquationSection"/>
    <w:unhideWhenUsed/>
    <w:qFormat/>
    <w:rPr>
      <w:rFonts w:hint="default"/>
      <w:vanish/>
      <w:color w:val="FF0000"/>
      <w:sz w:val="24"/>
      <w:szCs w:val="24"/>
    </w:rPr>
  </w:style>
  <w:style w:type="character" w:customStyle="1" w:styleId="Char29">
    <w:name w:val="表后标题 Char2"/>
    <w:unhideWhenUsed/>
    <w:qFormat/>
    <w:rPr>
      <w:rFonts w:eastAsia="宋体" w:hAnsi="宋体" w:hint="default"/>
      <w:kern w:val="2"/>
      <w:sz w:val="21"/>
      <w:szCs w:val="24"/>
      <w:lang w:val="en-US" w:eastAsia="zh-CN"/>
    </w:rPr>
  </w:style>
  <w:style w:type="character" w:customStyle="1" w:styleId="CharCharCharCharCharCharCharCharCharCharCharCharCharCharCharCharChar0">
    <w:name w:val="普通文字 Char Char Char Char Char Char Char Char Char Char Char Char Char Char Char Char Char"/>
    <w:unhideWhenUsed/>
    <w:qFormat/>
    <w:rPr>
      <w:rFonts w:ascii="宋体" w:eastAsia="宋体" w:hAnsi="Courier New" w:hint="eastAsia"/>
      <w:kern w:val="2"/>
      <w:sz w:val="28"/>
      <w:szCs w:val="24"/>
      <w:lang w:val="en-US" w:eastAsia="zh-CN"/>
    </w:rPr>
  </w:style>
  <w:style w:type="character" w:customStyle="1" w:styleId="hps">
    <w:name w:val="hps"/>
    <w:basedOn w:val="a6"/>
    <w:unhideWhenUsed/>
    <w:qFormat/>
    <w:rPr>
      <w:rFonts w:cs="Times New Roman" w:hint="default"/>
      <w:sz w:val="24"/>
      <w:szCs w:val="24"/>
    </w:rPr>
  </w:style>
  <w:style w:type="character" w:customStyle="1" w:styleId="1fffff">
    <w:name w:val="明显强调1"/>
    <w:unhideWhenUsed/>
    <w:qFormat/>
    <w:rPr>
      <w:rFonts w:eastAsia="黑体" w:hint="default"/>
      <w:color w:val="auto"/>
      <w:sz w:val="21"/>
      <w:szCs w:val="24"/>
    </w:rPr>
  </w:style>
  <w:style w:type="character" w:customStyle="1" w:styleId="affffffffffffffffffffffff9">
    <w:name w:val="尾注文本 字符"/>
    <w:basedOn w:val="a6"/>
    <w:uiPriority w:val="99"/>
    <w:unhideWhenUsed/>
    <w:qFormat/>
    <w:rPr>
      <w:rFonts w:cs="Times New Roman" w:hint="default"/>
      <w:kern w:val="2"/>
      <w:sz w:val="24"/>
      <w:szCs w:val="24"/>
    </w:rPr>
  </w:style>
  <w:style w:type="character" w:customStyle="1" w:styleId="Char8">
    <w:name w:val="尾注文本 Char"/>
    <w:link w:val="af8"/>
    <w:unhideWhenUsed/>
    <w:qFormat/>
    <w:rPr>
      <w:rFonts w:hint="default"/>
      <w:kern w:val="2"/>
      <w:sz w:val="21"/>
      <w:szCs w:val="24"/>
    </w:rPr>
  </w:style>
  <w:style w:type="character" w:customStyle="1" w:styleId="CharCharCharChar10">
    <w:name w:val="普通文字 Char Char Char Char1"/>
    <w:unhideWhenUsed/>
    <w:qFormat/>
    <w:rPr>
      <w:rFonts w:ascii="宋体" w:eastAsia="宋体" w:hAnsi="Courier New" w:hint="eastAsia"/>
      <w:kern w:val="2"/>
      <w:sz w:val="21"/>
      <w:szCs w:val="24"/>
      <w:lang w:val="en-US" w:eastAsia="zh-CN"/>
    </w:rPr>
  </w:style>
  <w:style w:type="character" w:customStyle="1" w:styleId="0856615Char">
    <w:name w:val="样式 小四 非加粗 首行缩进:  0.85 厘米 段前: 6 磅 段后: 6 磅 行距: 1.5 倍行距 Char"/>
    <w:link w:val="0856615"/>
    <w:unhideWhenUsed/>
    <w:qFormat/>
    <w:rPr>
      <w:rFonts w:hint="default"/>
      <w:kern w:val="2"/>
      <w:sz w:val="28"/>
      <w:szCs w:val="24"/>
    </w:rPr>
  </w:style>
  <w:style w:type="character" w:customStyle="1" w:styleId="1Char20">
    <w:name w:val="正文缩进1 Char2"/>
    <w:unhideWhenUsed/>
    <w:qFormat/>
    <w:rPr>
      <w:rFonts w:eastAsia="宋体" w:hint="default"/>
      <w:kern w:val="2"/>
      <w:sz w:val="24"/>
      <w:szCs w:val="24"/>
      <w:lang w:val="en-US" w:eastAsia="zh-CN"/>
    </w:rPr>
  </w:style>
  <w:style w:type="character" w:customStyle="1" w:styleId="Charfe">
    <w:name w:val="表 Char"/>
    <w:link w:val="affffffa"/>
    <w:unhideWhenUsed/>
    <w:qFormat/>
    <w:rPr>
      <w:rFonts w:hint="default"/>
      <w:spacing w:val="2"/>
      <w:kern w:val="2"/>
      <w:sz w:val="21"/>
      <w:szCs w:val="24"/>
    </w:rPr>
  </w:style>
  <w:style w:type="character" w:customStyle="1" w:styleId="CharChar1a">
    <w:name w:val="页眉 Char Char1"/>
    <w:unhideWhenUsed/>
    <w:qFormat/>
    <w:rPr>
      <w:rFonts w:eastAsia="宋体" w:hint="default"/>
      <w:kern w:val="2"/>
      <w:sz w:val="18"/>
      <w:szCs w:val="24"/>
      <w:lang w:val="en-US" w:eastAsia="zh-CN"/>
    </w:rPr>
  </w:style>
  <w:style w:type="character" w:customStyle="1" w:styleId="Char5Char">
    <w:name w:val="Char5 Char"/>
    <w:unhideWhenUsed/>
    <w:qFormat/>
    <w:rPr>
      <w:rFonts w:eastAsia="宋体" w:hint="default"/>
      <w:kern w:val="2"/>
      <w:sz w:val="28"/>
      <w:szCs w:val="24"/>
      <w:lang w:val="en-US" w:eastAsia="zh-CN"/>
    </w:rPr>
  </w:style>
  <w:style w:type="character" w:customStyle="1" w:styleId="Char4Char">
    <w:name w:val="Char4 Char"/>
    <w:unhideWhenUsed/>
    <w:qFormat/>
    <w:rPr>
      <w:rFonts w:eastAsia="宋体" w:hint="default"/>
      <w:sz w:val="21"/>
      <w:szCs w:val="24"/>
      <w:lang w:val="en-US" w:eastAsia="zh-CN"/>
    </w:rPr>
  </w:style>
  <w:style w:type="character" w:customStyle="1" w:styleId="Char3Char">
    <w:name w:val="Char3 Char"/>
    <w:unhideWhenUsed/>
    <w:qFormat/>
    <w:rPr>
      <w:rFonts w:ascii="宋体" w:eastAsia="宋体" w:hAnsi="宋体" w:hint="eastAsia"/>
      <w:b/>
      <w:color w:val="000000"/>
      <w:kern w:val="2"/>
      <w:sz w:val="24"/>
      <w:szCs w:val="24"/>
      <w:lang w:val="en-US" w:eastAsia="zh-CN"/>
    </w:rPr>
  </w:style>
  <w:style w:type="character" w:customStyle="1" w:styleId="11111Char1">
    <w:name w:val="标题1.1.1.1.1 Char1"/>
    <w:unhideWhenUsed/>
    <w:qFormat/>
    <w:rPr>
      <w:rFonts w:ascii="宋体" w:eastAsia="宋体" w:hint="eastAsia"/>
      <w:b/>
      <w:sz w:val="28"/>
      <w:szCs w:val="24"/>
      <w:lang w:val="en-US" w:eastAsia="zh-CN"/>
    </w:rPr>
  </w:style>
  <w:style w:type="character" w:customStyle="1" w:styleId="aChar0">
    <w:name w:val="干标题(a) Char"/>
    <w:unhideWhenUsed/>
    <w:qFormat/>
    <w:rPr>
      <w:rFonts w:ascii="Arial" w:eastAsia="黑体" w:hAnsi="Arial" w:hint="eastAsia"/>
      <w:sz w:val="21"/>
      <w:szCs w:val="24"/>
      <w:lang w:val="en-US" w:eastAsia="zh-CN"/>
    </w:rPr>
  </w:style>
  <w:style w:type="character" w:customStyle="1" w:styleId="1Char11">
    <w:name w:val="项标题(1) Char1"/>
    <w:unhideWhenUsed/>
    <w:qFormat/>
    <w:rPr>
      <w:rFonts w:ascii="宋体" w:eastAsia="宋体" w:hint="eastAsia"/>
      <w:b/>
      <w:sz w:val="24"/>
      <w:szCs w:val="24"/>
      <w:lang w:val="en-US" w:eastAsia="zh-CN"/>
    </w:rPr>
  </w:style>
  <w:style w:type="character" w:customStyle="1" w:styleId="1Chard">
    <w:name w:val="目标题 1) Char"/>
    <w:unhideWhenUsed/>
    <w:qFormat/>
    <w:rPr>
      <w:rFonts w:ascii="Arial" w:eastAsia="黑体" w:hAnsi="Arial" w:hint="eastAsia"/>
      <w:sz w:val="24"/>
      <w:szCs w:val="24"/>
      <w:lang w:val="en-US" w:eastAsia="zh-CN"/>
    </w:rPr>
  </w:style>
  <w:style w:type="character" w:customStyle="1" w:styleId="31CharChar">
    <w:name w:val="正文文字缩进 31 Char Char"/>
    <w:unhideWhenUsed/>
    <w:qFormat/>
    <w:rPr>
      <w:rFonts w:eastAsia="宋体" w:hint="default"/>
      <w:kern w:val="2"/>
      <w:sz w:val="24"/>
      <w:szCs w:val="24"/>
      <w:lang w:val="en-US" w:eastAsia="zh-CN"/>
    </w:rPr>
  </w:style>
  <w:style w:type="character" w:customStyle="1" w:styleId="8-2CharCharChar">
    <w:name w:val="8-2 Char Char Char"/>
    <w:link w:val="8-2Char"/>
    <w:unhideWhenUsed/>
    <w:qFormat/>
    <w:rPr>
      <w:rFonts w:ascii="宋体" w:eastAsia="宋体" w:hint="eastAsia"/>
      <w:kern w:val="2"/>
      <w:sz w:val="24"/>
      <w:szCs w:val="24"/>
    </w:rPr>
  </w:style>
  <w:style w:type="character" w:customStyle="1" w:styleId="2CharChar7">
    <w:name w:val="2 Char Char"/>
    <w:basedOn w:val="a6"/>
    <w:unhideWhenUsed/>
    <w:qFormat/>
    <w:rPr>
      <w:rFonts w:cs="Times New Roman" w:hint="default"/>
      <w:sz w:val="24"/>
      <w:szCs w:val="24"/>
    </w:rPr>
  </w:style>
  <w:style w:type="character" w:customStyle="1" w:styleId="CharChar121">
    <w:name w:val="Char Char121"/>
    <w:unhideWhenUsed/>
    <w:qFormat/>
    <w:rPr>
      <w:rFonts w:ascii="宋体" w:eastAsia="宋体" w:hint="eastAsia"/>
      <w:b/>
      <w:sz w:val="24"/>
      <w:szCs w:val="24"/>
      <w:lang w:val="en-US" w:eastAsia="zh-CN"/>
    </w:rPr>
  </w:style>
  <w:style w:type="character" w:customStyle="1" w:styleId="CharChar91">
    <w:name w:val="Char Char91"/>
    <w:unhideWhenUsed/>
    <w:qFormat/>
    <w:rPr>
      <w:rFonts w:ascii="宋体" w:eastAsia="宋体" w:hAnsi="宋体" w:hint="eastAsia"/>
      <w:kern w:val="2"/>
      <w:sz w:val="18"/>
      <w:szCs w:val="24"/>
      <w:lang w:val="en-US" w:eastAsia="zh-CN"/>
    </w:rPr>
  </w:style>
  <w:style w:type="character" w:customStyle="1" w:styleId="CharChar24">
    <w:name w:val="Char Char24"/>
    <w:unhideWhenUsed/>
    <w:qFormat/>
    <w:rPr>
      <w:rFonts w:ascii="宋体" w:eastAsia="宋体" w:hAnsi="宋体" w:hint="eastAsia"/>
      <w:b/>
      <w:sz w:val="24"/>
      <w:szCs w:val="24"/>
      <w:lang w:val="en-US" w:eastAsia="zh-CN"/>
    </w:rPr>
  </w:style>
  <w:style w:type="character" w:customStyle="1" w:styleId="CharChar141">
    <w:name w:val="Char Char141"/>
    <w:unhideWhenUsed/>
    <w:qFormat/>
    <w:rPr>
      <w:rFonts w:ascii="宋体" w:eastAsia="宋体" w:hAnsi="宋体" w:hint="eastAsia"/>
      <w:kern w:val="2"/>
      <w:sz w:val="21"/>
      <w:szCs w:val="24"/>
      <w:lang w:val="en-US" w:eastAsia="zh-CN"/>
    </w:rPr>
  </w:style>
  <w:style w:type="character" w:customStyle="1" w:styleId="CharChar80">
    <w:name w:val="Char Char8"/>
    <w:unhideWhenUsed/>
    <w:qFormat/>
    <w:rPr>
      <w:rFonts w:ascii="宋体" w:eastAsia="宋体" w:hAnsi="宋体" w:hint="eastAsia"/>
      <w:kern w:val="2"/>
      <w:sz w:val="28"/>
      <w:szCs w:val="24"/>
      <w:lang w:val="en-US" w:eastAsia="zh-CN"/>
    </w:rPr>
  </w:style>
  <w:style w:type="character" w:customStyle="1" w:styleId="CharChar281">
    <w:name w:val="Char Char281"/>
    <w:unhideWhenUsed/>
    <w:qFormat/>
    <w:rPr>
      <w:rFonts w:ascii="宋体" w:eastAsia="宋体" w:hAnsi="宋体" w:hint="eastAsia"/>
      <w:kern w:val="2"/>
      <w:sz w:val="24"/>
      <w:szCs w:val="24"/>
      <w:lang w:val="en-US" w:eastAsia="zh-CN"/>
    </w:rPr>
  </w:style>
  <w:style w:type="character" w:customStyle="1" w:styleId="CharChar22">
    <w:name w:val="Char Char22"/>
    <w:unhideWhenUsed/>
    <w:qFormat/>
    <w:rPr>
      <w:rFonts w:ascii="宋体" w:eastAsia="宋体" w:hAnsi="宋体" w:hint="eastAsia"/>
      <w:kern w:val="2"/>
      <w:sz w:val="24"/>
      <w:szCs w:val="24"/>
      <w:lang w:val="en-US" w:eastAsia="zh-CN"/>
    </w:rPr>
  </w:style>
  <w:style w:type="character" w:customStyle="1" w:styleId="CharCharCharCharCharCharCharCharCharCharChar10">
    <w:name w:val="普通文字 Char Char Char Char Char Char Char Char Char Char Char1"/>
    <w:unhideWhenUsed/>
    <w:qFormat/>
    <w:rPr>
      <w:rFonts w:ascii="宋体" w:eastAsia="宋体" w:hAnsi="Courier New" w:hint="eastAsia"/>
      <w:kern w:val="2"/>
      <w:sz w:val="28"/>
      <w:szCs w:val="24"/>
      <w:lang w:val="en-US" w:eastAsia="zh-CN"/>
    </w:rPr>
  </w:style>
  <w:style w:type="character" w:customStyle="1" w:styleId="emailstyle159">
    <w:name w:val="emailstyle159"/>
    <w:unhideWhenUsed/>
    <w:qFormat/>
    <w:rPr>
      <w:rFonts w:ascii="Arial" w:eastAsia="宋体" w:hAnsi="Arial" w:hint="eastAsia"/>
      <w:color w:val="auto"/>
      <w:sz w:val="20"/>
      <w:szCs w:val="24"/>
    </w:rPr>
  </w:style>
  <w:style w:type="character" w:customStyle="1" w:styleId="CharChar261">
    <w:name w:val="Char Char261"/>
    <w:unhideWhenUsed/>
    <w:qFormat/>
    <w:rPr>
      <w:rFonts w:ascii="宋体" w:eastAsia="宋体" w:hAnsi="宋体" w:hint="eastAsia"/>
      <w:color w:val="000000"/>
      <w:kern w:val="2"/>
      <w:sz w:val="24"/>
      <w:szCs w:val="24"/>
      <w:lang w:val="en-US" w:eastAsia="zh-CN"/>
    </w:rPr>
  </w:style>
  <w:style w:type="character" w:customStyle="1" w:styleId="emailstyle443">
    <w:name w:val="emailstyle443"/>
    <w:unhideWhenUsed/>
    <w:qFormat/>
    <w:rPr>
      <w:rFonts w:ascii="Arial" w:eastAsia="宋体" w:hAnsi="Arial" w:hint="eastAsia"/>
      <w:color w:val="auto"/>
      <w:sz w:val="20"/>
      <w:szCs w:val="24"/>
    </w:rPr>
  </w:style>
  <w:style w:type="character" w:customStyle="1" w:styleId="CharChar131">
    <w:name w:val="Char Char131"/>
    <w:unhideWhenUsed/>
    <w:qFormat/>
    <w:rPr>
      <w:rFonts w:ascii="宋体" w:eastAsia="宋体" w:hAnsi="宋体" w:hint="eastAsia"/>
      <w:color w:val="0000FF"/>
      <w:sz w:val="24"/>
      <w:szCs w:val="24"/>
      <w:lang w:val="en-US" w:eastAsia="zh-CN"/>
    </w:rPr>
  </w:style>
  <w:style w:type="character" w:customStyle="1" w:styleId="CharChar51">
    <w:name w:val="Char Char51"/>
    <w:unhideWhenUsed/>
    <w:qFormat/>
    <w:rPr>
      <w:rFonts w:ascii="宋体" w:eastAsia="宋体" w:hAnsi="宋体" w:hint="eastAsia"/>
      <w:sz w:val="24"/>
      <w:szCs w:val="24"/>
      <w:lang w:val="en-US" w:eastAsia="zh-CN"/>
    </w:rPr>
  </w:style>
  <w:style w:type="character" w:customStyle="1" w:styleId="CharChar101">
    <w:name w:val="Char Char101"/>
    <w:unhideWhenUsed/>
    <w:qFormat/>
    <w:rPr>
      <w:rFonts w:ascii="Times New Roman" w:eastAsia="宋体" w:hAnsi="Times New Roman" w:hint="eastAsia"/>
      <w:sz w:val="20"/>
      <w:szCs w:val="24"/>
    </w:rPr>
  </w:style>
  <w:style w:type="character" w:customStyle="1" w:styleId="CharChar251">
    <w:name w:val="Char Char251"/>
    <w:unhideWhenUsed/>
    <w:qFormat/>
    <w:rPr>
      <w:rFonts w:ascii="宋体" w:eastAsia="宋体" w:hAnsi="宋体" w:hint="eastAsia"/>
      <w:kern w:val="2"/>
      <w:sz w:val="18"/>
      <w:szCs w:val="24"/>
      <w:lang w:val="en-US" w:eastAsia="zh-CN"/>
    </w:rPr>
  </w:style>
  <w:style w:type="character" w:customStyle="1" w:styleId="CharChar321">
    <w:name w:val="Char Char321"/>
    <w:unhideWhenUsed/>
    <w:qFormat/>
    <w:rPr>
      <w:rFonts w:ascii="新宋体" w:eastAsia="仿宋_GB2312" w:hAnsi="新宋体" w:hint="eastAsia"/>
      <w:b/>
      <w:kern w:val="2"/>
      <w:sz w:val="24"/>
      <w:szCs w:val="24"/>
      <w:lang w:val="en-US" w:eastAsia="zh-CN"/>
    </w:rPr>
  </w:style>
  <w:style w:type="character" w:customStyle="1" w:styleId="CharChar381">
    <w:name w:val="Char Char381"/>
    <w:unhideWhenUsed/>
    <w:qFormat/>
    <w:rPr>
      <w:rFonts w:ascii="宋体" w:eastAsia="宋体" w:hAnsi="宋体" w:hint="eastAsia"/>
      <w:b/>
      <w:kern w:val="2"/>
      <w:sz w:val="32"/>
      <w:szCs w:val="24"/>
    </w:rPr>
  </w:style>
  <w:style w:type="character" w:customStyle="1" w:styleId="CharChar271">
    <w:name w:val="Char Char271"/>
    <w:unhideWhenUsed/>
    <w:qFormat/>
    <w:rPr>
      <w:rFonts w:ascii="宋体" w:eastAsia="宋体" w:hAnsi="宋体" w:hint="eastAsia"/>
      <w:sz w:val="28"/>
      <w:szCs w:val="24"/>
      <w:lang w:val="en-US" w:eastAsia="zh-CN"/>
    </w:rPr>
  </w:style>
  <w:style w:type="character" w:customStyle="1" w:styleId="CharChar301">
    <w:name w:val="Char Char301"/>
    <w:unhideWhenUsed/>
    <w:qFormat/>
    <w:rPr>
      <w:rFonts w:ascii="Arial" w:eastAsia="黑体" w:hAnsi="Arial" w:hint="eastAsia"/>
      <w:kern w:val="2"/>
      <w:sz w:val="21"/>
      <w:szCs w:val="24"/>
      <w:lang w:val="en-US" w:eastAsia="zh-CN"/>
    </w:rPr>
  </w:style>
  <w:style w:type="character" w:customStyle="1" w:styleId="CharChar201">
    <w:name w:val="Char Char201"/>
    <w:unhideWhenUsed/>
    <w:qFormat/>
    <w:rPr>
      <w:rFonts w:hint="default"/>
      <w:b/>
      <w:sz w:val="24"/>
      <w:szCs w:val="24"/>
      <w:u w:val="single"/>
    </w:rPr>
  </w:style>
  <w:style w:type="character" w:customStyle="1" w:styleId="CharChar351">
    <w:name w:val="Char Char351"/>
    <w:unhideWhenUsed/>
    <w:qFormat/>
    <w:rPr>
      <w:rFonts w:ascii="宋体" w:eastAsia="宋体" w:hAnsi="宋体" w:hint="eastAsia"/>
      <w:b/>
      <w:kern w:val="4"/>
      <w:sz w:val="24"/>
      <w:szCs w:val="24"/>
    </w:rPr>
  </w:style>
  <w:style w:type="character" w:customStyle="1" w:styleId="CharChar191">
    <w:name w:val="Char Char191"/>
    <w:unhideWhenUsed/>
    <w:qFormat/>
    <w:rPr>
      <w:rFonts w:hint="default"/>
      <w:sz w:val="24"/>
      <w:szCs w:val="24"/>
    </w:rPr>
  </w:style>
  <w:style w:type="character" w:customStyle="1" w:styleId="CharChar231">
    <w:name w:val="Char Char231"/>
    <w:unhideWhenUsed/>
    <w:qFormat/>
    <w:rPr>
      <w:rFonts w:ascii="黑体" w:eastAsia="黑体" w:hAnsi="Courier New" w:hint="eastAsia"/>
      <w:kern w:val="2"/>
      <w:sz w:val="28"/>
      <w:szCs w:val="24"/>
      <w:lang w:val="en-US" w:eastAsia="zh-CN"/>
    </w:rPr>
  </w:style>
  <w:style w:type="character" w:customStyle="1" w:styleId="CharChar211">
    <w:name w:val="Char Char211"/>
    <w:unhideWhenUsed/>
    <w:qFormat/>
    <w:rPr>
      <w:rFonts w:ascii="宋体" w:eastAsia="宋体" w:hAnsi="宋体" w:hint="eastAsia"/>
      <w:kern w:val="2"/>
      <w:sz w:val="18"/>
      <w:szCs w:val="24"/>
      <w:lang w:val="en-US" w:eastAsia="zh-CN"/>
    </w:rPr>
  </w:style>
  <w:style w:type="character" w:customStyle="1" w:styleId="CharChar331">
    <w:name w:val="Char Char331"/>
    <w:unhideWhenUsed/>
    <w:qFormat/>
    <w:rPr>
      <w:rFonts w:ascii="Arial" w:eastAsia="黑体" w:hAnsi="Arial" w:hint="eastAsia"/>
      <w:b/>
      <w:kern w:val="2"/>
      <w:sz w:val="24"/>
      <w:szCs w:val="24"/>
      <w:lang w:val="en-US" w:eastAsia="zh-CN"/>
    </w:rPr>
  </w:style>
  <w:style w:type="character" w:customStyle="1" w:styleId="CharChar181">
    <w:name w:val="Char Char181"/>
    <w:unhideWhenUsed/>
    <w:qFormat/>
    <w:rPr>
      <w:rFonts w:ascii="宋体" w:eastAsia="宋体" w:hAnsi="宋体" w:hint="eastAsia"/>
      <w:kern w:val="2"/>
      <w:sz w:val="24"/>
      <w:szCs w:val="24"/>
      <w:lang w:val="en-US" w:eastAsia="zh-CN"/>
    </w:rPr>
  </w:style>
  <w:style w:type="character" w:customStyle="1" w:styleId="CharChar291">
    <w:name w:val="Char Char291"/>
    <w:unhideWhenUsed/>
    <w:qFormat/>
    <w:rPr>
      <w:rFonts w:ascii="宋体" w:eastAsia="宋体" w:hAnsi="宋体" w:hint="eastAsia"/>
      <w:kern w:val="2"/>
      <w:sz w:val="28"/>
      <w:szCs w:val="24"/>
      <w:lang w:val="en-US" w:eastAsia="zh-CN"/>
    </w:rPr>
  </w:style>
  <w:style w:type="character" w:customStyle="1" w:styleId="CharChar311">
    <w:name w:val="Char Char311"/>
    <w:unhideWhenUsed/>
    <w:qFormat/>
    <w:rPr>
      <w:rFonts w:ascii="Arial" w:eastAsia="黑体" w:hAnsi="Arial" w:hint="eastAsia"/>
      <w:kern w:val="2"/>
      <w:sz w:val="24"/>
      <w:szCs w:val="24"/>
      <w:lang w:val="en-US" w:eastAsia="zh-CN"/>
    </w:rPr>
  </w:style>
  <w:style w:type="character" w:customStyle="1" w:styleId="CharChar361">
    <w:name w:val="Char Char361"/>
    <w:unhideWhenUsed/>
    <w:qFormat/>
    <w:rPr>
      <w:rFonts w:ascii="宋体" w:eastAsia="宋体" w:hAnsi="宋体" w:hint="eastAsia"/>
      <w:b/>
      <w:kern w:val="24"/>
      <w:sz w:val="28"/>
      <w:szCs w:val="24"/>
      <w:lang w:val="zh-CN"/>
    </w:rPr>
  </w:style>
  <w:style w:type="character" w:customStyle="1" w:styleId="CharChar371">
    <w:name w:val="Char Char371"/>
    <w:unhideWhenUsed/>
    <w:qFormat/>
    <w:rPr>
      <w:rFonts w:ascii="宋体" w:eastAsia="宋体" w:hAnsi="宋体" w:hint="eastAsia"/>
      <w:b/>
      <w:kern w:val="2"/>
      <w:sz w:val="28"/>
      <w:szCs w:val="24"/>
    </w:rPr>
  </w:style>
  <w:style w:type="character" w:customStyle="1" w:styleId="CharChar341">
    <w:name w:val="Char Char341"/>
    <w:unhideWhenUsed/>
    <w:qFormat/>
    <w:rPr>
      <w:rFonts w:ascii="新宋体" w:eastAsia="仿宋_GB2312" w:hAnsi="新宋体" w:hint="eastAsia"/>
      <w:b/>
      <w:kern w:val="2"/>
      <w:sz w:val="28"/>
      <w:szCs w:val="24"/>
      <w:lang w:val="en-US" w:eastAsia="zh-CN"/>
    </w:rPr>
  </w:style>
  <w:style w:type="character" w:customStyle="1" w:styleId="Heading4Char">
    <w:name w:val="Heading 4 Char"/>
    <w:unhideWhenUsed/>
    <w:qFormat/>
    <w:rPr>
      <w:rFonts w:ascii="Arial" w:eastAsia="黑体" w:hAnsi="Arial" w:hint="eastAsia"/>
      <w:b/>
      <w:kern w:val="2"/>
      <w:sz w:val="28"/>
      <w:szCs w:val="24"/>
    </w:rPr>
  </w:style>
  <w:style w:type="character" w:customStyle="1" w:styleId="Heading3Char">
    <w:name w:val="Heading 3 Char"/>
    <w:unhideWhenUsed/>
    <w:qFormat/>
    <w:rPr>
      <w:rFonts w:hint="default"/>
      <w:b/>
      <w:kern w:val="2"/>
      <w:sz w:val="32"/>
      <w:szCs w:val="24"/>
    </w:rPr>
  </w:style>
  <w:style w:type="character" w:customStyle="1" w:styleId="BalloonTextChar">
    <w:name w:val="Balloon Text Char"/>
    <w:unhideWhenUsed/>
    <w:qFormat/>
    <w:rPr>
      <w:rFonts w:hint="default"/>
      <w:kern w:val="2"/>
      <w:sz w:val="18"/>
      <w:szCs w:val="24"/>
    </w:rPr>
  </w:style>
  <w:style w:type="character" w:customStyle="1" w:styleId="TimesChar">
    <w:name w:val="样式 表头 + (符号) Times Char"/>
    <w:link w:val="Times"/>
    <w:unhideWhenUsed/>
    <w:qFormat/>
    <w:rPr>
      <w:rFonts w:ascii="仿宋_GB2312" w:eastAsia="仿宋_GB2312" w:hAnsi="宋体" w:hint="eastAsia"/>
      <w:color w:val="000000"/>
      <w:sz w:val="24"/>
      <w:szCs w:val="24"/>
    </w:rPr>
  </w:style>
  <w:style w:type="character" w:customStyle="1" w:styleId="14Char">
    <w:name w:val="样式14 Char"/>
    <w:link w:val="141"/>
    <w:unhideWhenUsed/>
    <w:qFormat/>
    <w:rPr>
      <w:rFonts w:eastAsia="华文中宋" w:hint="default"/>
      <w:color w:val="000000"/>
      <w:kern w:val="2"/>
      <w:sz w:val="24"/>
      <w:szCs w:val="24"/>
    </w:rPr>
  </w:style>
  <w:style w:type="character" w:customStyle="1" w:styleId="Heading2Char">
    <w:name w:val="Heading 2 Char"/>
    <w:unhideWhenUsed/>
    <w:qFormat/>
    <w:rPr>
      <w:rFonts w:ascii="Arial" w:eastAsia="黑体" w:hAnsi="Arial" w:hint="eastAsia"/>
      <w:b/>
      <w:kern w:val="10"/>
      <w:sz w:val="32"/>
      <w:szCs w:val="24"/>
    </w:rPr>
  </w:style>
  <w:style w:type="character" w:customStyle="1" w:styleId="unnamednews1">
    <w:name w:val="unnamednews1"/>
    <w:unhideWhenUsed/>
    <w:qFormat/>
    <w:rPr>
      <w:rFonts w:hint="default"/>
      <w:color w:val="000000"/>
      <w:spacing w:val="480"/>
      <w:sz w:val="28"/>
      <w:szCs w:val="24"/>
    </w:rPr>
  </w:style>
  <w:style w:type="character" w:customStyle="1" w:styleId="Charffff">
    <w:name w:val="方案正文样式 Char"/>
    <w:link w:val="afffffffffffffff5"/>
    <w:unhideWhenUsed/>
    <w:qFormat/>
    <w:rPr>
      <w:rFonts w:hint="default"/>
      <w:sz w:val="24"/>
      <w:szCs w:val="24"/>
    </w:rPr>
  </w:style>
  <w:style w:type="character" w:customStyle="1" w:styleId="StyleHeading1LeftBefore05lineChar">
    <w:name w:val="Style Heading 1 + Left Before:  0.5 line Char"/>
    <w:link w:val="StyleHeading1LeftBefore05line"/>
    <w:unhideWhenUsed/>
    <w:qFormat/>
    <w:rPr>
      <w:rFonts w:ascii="Arial" w:hint="default"/>
      <w:kern w:val="44"/>
      <w:sz w:val="24"/>
      <w:szCs w:val="24"/>
    </w:rPr>
  </w:style>
  <w:style w:type="character" w:customStyle="1" w:styleId="Char2a">
    <w:name w:val="表文字 Char2"/>
    <w:unhideWhenUsed/>
    <w:qFormat/>
    <w:rPr>
      <w:rFonts w:eastAsia="宋体" w:hint="default"/>
      <w:kern w:val="2"/>
      <w:sz w:val="21"/>
      <w:szCs w:val="24"/>
      <w:lang w:val="en-US" w:eastAsia="zh-CN"/>
    </w:rPr>
  </w:style>
  <w:style w:type="character" w:customStyle="1" w:styleId="2TimesNewRomanChar">
    <w:name w:val="正文首行缩进 2 + Times New Roman Char"/>
    <w:link w:val="2TimesNewRoman0"/>
    <w:unhideWhenUsed/>
    <w:qFormat/>
    <w:rPr>
      <w:rFonts w:ascii="宋体" w:eastAsia="宋体" w:hint="eastAsia"/>
      <w:color w:val="000000"/>
      <w:sz w:val="18"/>
      <w:szCs w:val="24"/>
    </w:rPr>
  </w:style>
  <w:style w:type="character" w:customStyle="1" w:styleId="affffffffffffffffffffffffa">
    <w:name w:val="表格备注"/>
    <w:unhideWhenUsed/>
    <w:qFormat/>
    <w:rPr>
      <w:rFonts w:ascii="华文楷体" w:eastAsia="楷体_GB2312" w:hAnsi="华文楷体" w:hint="eastAsia"/>
      <w:sz w:val="21"/>
      <w:szCs w:val="24"/>
    </w:rPr>
  </w:style>
  <w:style w:type="character" w:customStyle="1" w:styleId="XFootNote">
    <w:name w:val="XFootNote"/>
    <w:unhideWhenUsed/>
    <w:qFormat/>
    <w:rPr>
      <w:rFonts w:ascii="Book Antiqua" w:hint="default"/>
      <w:position w:val="6"/>
      <w:sz w:val="14"/>
      <w:szCs w:val="24"/>
    </w:rPr>
  </w:style>
  <w:style w:type="character" w:customStyle="1" w:styleId="XFootNoteText">
    <w:name w:val="XFootNoteText"/>
    <w:unhideWhenUsed/>
    <w:qFormat/>
    <w:rPr>
      <w:rFonts w:ascii="Book Antiqua" w:hint="default"/>
      <w:sz w:val="14"/>
      <w:szCs w:val="24"/>
    </w:rPr>
  </w:style>
  <w:style w:type="character" w:customStyle="1" w:styleId="HTMLb">
    <w:name w:val="HTML 地址 字符"/>
    <w:basedOn w:val="a6"/>
    <w:uiPriority w:val="99"/>
    <w:unhideWhenUsed/>
    <w:qFormat/>
    <w:rPr>
      <w:rFonts w:cs="Times New Roman" w:hint="default"/>
      <w:i/>
      <w:kern w:val="2"/>
      <w:sz w:val="24"/>
      <w:szCs w:val="24"/>
    </w:rPr>
  </w:style>
  <w:style w:type="character" w:customStyle="1" w:styleId="HTMLChar">
    <w:name w:val="HTML 地址 Char"/>
    <w:link w:val="HTML"/>
    <w:unhideWhenUsed/>
    <w:qFormat/>
    <w:rPr>
      <w:rFonts w:hint="default"/>
      <w:i/>
      <w:kern w:val="2"/>
      <w:sz w:val="24"/>
      <w:szCs w:val="24"/>
    </w:rPr>
  </w:style>
  <w:style w:type="character" w:customStyle="1" w:styleId="affffffffffffffffffffffffb">
    <w:name w:val="电子邮件签名 字符"/>
    <w:basedOn w:val="a6"/>
    <w:uiPriority w:val="99"/>
    <w:unhideWhenUsed/>
    <w:qFormat/>
    <w:rPr>
      <w:rFonts w:cs="Times New Roman" w:hint="default"/>
      <w:kern w:val="2"/>
      <w:sz w:val="24"/>
      <w:szCs w:val="24"/>
    </w:rPr>
  </w:style>
  <w:style w:type="character" w:customStyle="1" w:styleId="Char0">
    <w:name w:val="电子邮件签名 Char"/>
    <w:link w:val="ab"/>
    <w:unhideWhenUsed/>
    <w:qFormat/>
    <w:rPr>
      <w:rFonts w:hint="default"/>
      <w:kern w:val="2"/>
      <w:sz w:val="24"/>
      <w:szCs w:val="24"/>
    </w:rPr>
  </w:style>
  <w:style w:type="character" w:customStyle="1" w:styleId="affffffffffffffffffffffffc">
    <w:name w:val="签名 字符"/>
    <w:basedOn w:val="a6"/>
    <w:uiPriority w:val="99"/>
    <w:unhideWhenUsed/>
    <w:qFormat/>
    <w:rPr>
      <w:rFonts w:cs="Times New Roman" w:hint="default"/>
      <w:kern w:val="2"/>
      <w:sz w:val="24"/>
      <w:szCs w:val="24"/>
    </w:rPr>
  </w:style>
  <w:style w:type="character" w:customStyle="1" w:styleId="Chara">
    <w:name w:val="签名 Char"/>
    <w:link w:val="afd"/>
    <w:unhideWhenUsed/>
    <w:qFormat/>
    <w:rPr>
      <w:rFonts w:hint="default"/>
      <w:kern w:val="2"/>
      <w:sz w:val="24"/>
      <w:szCs w:val="24"/>
    </w:rPr>
  </w:style>
  <w:style w:type="character" w:customStyle="1" w:styleId="affffffffffffffffffffffffd">
    <w:name w:val="信息标题 字符"/>
    <w:basedOn w:val="a6"/>
    <w:uiPriority w:val="99"/>
    <w:unhideWhenUsed/>
    <w:qFormat/>
    <w:rPr>
      <w:rFonts w:ascii="Calibri Light" w:eastAsia="宋体" w:hAnsi="Calibri Light" w:cs="Times New Roman" w:hint="eastAsia"/>
      <w:kern w:val="2"/>
      <w:sz w:val="24"/>
      <w:szCs w:val="24"/>
      <w:shd w:val="pct20" w:color="auto" w:fill="auto"/>
    </w:rPr>
  </w:style>
  <w:style w:type="character" w:customStyle="1" w:styleId="Chard">
    <w:name w:val="信息标题 Char"/>
    <w:link w:val="aff3"/>
    <w:unhideWhenUsed/>
    <w:qFormat/>
    <w:rPr>
      <w:rFonts w:ascii="Arial" w:hint="default"/>
      <w:kern w:val="2"/>
      <w:sz w:val="24"/>
      <w:szCs w:val="24"/>
      <w:shd w:val="pct20" w:color="auto" w:fill="auto"/>
    </w:rPr>
  </w:style>
  <w:style w:type="character" w:customStyle="1" w:styleId="Charffff0">
    <w:name w:val="小四正文 Char"/>
    <w:link w:val="afffffffffffffffc"/>
    <w:unhideWhenUsed/>
    <w:qFormat/>
    <w:rPr>
      <w:rFonts w:hint="default"/>
      <w:kern w:val="2"/>
      <w:sz w:val="24"/>
      <w:szCs w:val="24"/>
    </w:rPr>
  </w:style>
  <w:style w:type="character" w:customStyle="1" w:styleId="Charffff1">
    <w:name w:val="论文正文文字 Char"/>
    <w:link w:val="afffffffffffffffd"/>
    <w:unhideWhenUsed/>
    <w:qFormat/>
    <w:rPr>
      <w:rFonts w:hint="default"/>
      <w:sz w:val="24"/>
      <w:szCs w:val="24"/>
    </w:rPr>
  </w:style>
  <w:style w:type="character" w:customStyle="1" w:styleId="1fffff0">
    <w:name w:val="文本块 字符1"/>
    <w:unhideWhenUsed/>
    <w:qFormat/>
    <w:rPr>
      <w:rFonts w:hint="default"/>
      <w:spacing w:val="26"/>
      <w:kern w:val="2"/>
      <w:sz w:val="28"/>
      <w:szCs w:val="24"/>
    </w:rPr>
  </w:style>
  <w:style w:type="character" w:customStyle="1" w:styleId="cn1">
    <w:name w:val="cn1"/>
    <w:unhideWhenUsed/>
    <w:qFormat/>
    <w:rPr>
      <w:rFonts w:hint="default"/>
      <w:spacing w:val="360"/>
      <w:sz w:val="21"/>
      <w:szCs w:val="24"/>
    </w:rPr>
  </w:style>
  <w:style w:type="character" w:customStyle="1" w:styleId="21f">
    <w:name w:val="题注 字符21"/>
    <w:unhideWhenUsed/>
    <w:qFormat/>
    <w:rPr>
      <w:rFonts w:ascii="Arial" w:eastAsia="黑体" w:hAnsi="Arial" w:hint="eastAsia"/>
      <w:kern w:val="2"/>
      <w:sz w:val="24"/>
      <w:szCs w:val="24"/>
    </w:rPr>
  </w:style>
  <w:style w:type="character" w:customStyle="1" w:styleId="CharChar1b">
    <w:name w:val="正文文字 Char Char1"/>
    <w:unhideWhenUsed/>
    <w:qFormat/>
    <w:rPr>
      <w:rFonts w:eastAsia="宋体" w:hint="default"/>
      <w:kern w:val="2"/>
      <w:sz w:val="24"/>
      <w:szCs w:val="24"/>
      <w:lang w:val="en-US" w:eastAsia="zh-CN"/>
    </w:rPr>
  </w:style>
  <w:style w:type="character" w:customStyle="1" w:styleId="Char1CharChar3">
    <w:name w:val="正文首行缩进 Char1 Char Char3"/>
    <w:unhideWhenUsed/>
    <w:qFormat/>
    <w:rPr>
      <w:rFonts w:eastAsia="宋体" w:hint="default"/>
      <w:kern w:val="2"/>
      <w:sz w:val="24"/>
      <w:szCs w:val="24"/>
      <w:lang w:val="en-US" w:eastAsia="zh-CN"/>
    </w:rPr>
  </w:style>
  <w:style w:type="character" w:customStyle="1" w:styleId="1Chare">
    <w:name w:val="正文首行缩进1 Char"/>
    <w:unhideWhenUsed/>
    <w:qFormat/>
    <w:rPr>
      <w:rFonts w:eastAsia="宋体" w:hint="default"/>
      <w:snapToGrid w:val="0"/>
      <w:spacing w:val="10"/>
      <w:kern w:val="24"/>
      <w:sz w:val="28"/>
      <w:szCs w:val="24"/>
      <w:lang w:val="en-US" w:eastAsia="zh-CN"/>
    </w:rPr>
  </w:style>
  <w:style w:type="character" w:customStyle="1" w:styleId="CharChar1c">
    <w:name w:val="正文首行缩进 Char Char1"/>
    <w:unhideWhenUsed/>
    <w:qFormat/>
    <w:rPr>
      <w:rFonts w:eastAsia="宋体" w:hint="default"/>
      <w:kern w:val="2"/>
      <w:sz w:val="21"/>
      <w:szCs w:val="24"/>
      <w:lang w:val="en-US" w:eastAsia="zh-CN"/>
    </w:rPr>
  </w:style>
  <w:style w:type="character" w:customStyle="1" w:styleId="2ffff">
    <w:name w:val="小标题2"/>
    <w:unhideWhenUsed/>
    <w:qFormat/>
    <w:rPr>
      <w:rFonts w:eastAsia="宋体" w:hint="default"/>
      <w:b/>
      <w:snapToGrid w:val="0"/>
      <w:color w:val="000000"/>
      <w:kern w:val="24"/>
      <w:sz w:val="24"/>
      <w:szCs w:val="24"/>
      <w:lang w:val="en-US" w:eastAsia="zh-CN"/>
    </w:rPr>
  </w:style>
  <w:style w:type="character" w:customStyle="1" w:styleId="Char1CharChar">
    <w:name w:val="正文首行缩进 Char1 Char Char"/>
    <w:unhideWhenUsed/>
    <w:qFormat/>
    <w:rPr>
      <w:rFonts w:ascii="宋体" w:eastAsia="宋体" w:hint="eastAsia"/>
      <w:kern w:val="2"/>
      <w:sz w:val="28"/>
      <w:szCs w:val="24"/>
      <w:lang w:val="en-US" w:eastAsia="zh-CN"/>
    </w:rPr>
  </w:style>
  <w:style w:type="character" w:customStyle="1" w:styleId="3Char1Char">
    <w:name w:val="标题 3 Char1 Char"/>
    <w:unhideWhenUsed/>
    <w:qFormat/>
    <w:rPr>
      <w:rFonts w:ascii="黑体" w:eastAsia="黑体" w:hint="eastAsia"/>
      <w:b/>
      <w:kern w:val="2"/>
      <w:sz w:val="21"/>
      <w:szCs w:val="24"/>
      <w:lang w:val="en-US" w:eastAsia="zh-CN"/>
    </w:rPr>
  </w:style>
  <w:style w:type="character" w:customStyle="1" w:styleId="Hyperlink1">
    <w:name w:val="Hyperlink1"/>
    <w:unhideWhenUsed/>
    <w:qFormat/>
    <w:rPr>
      <w:rFonts w:hint="default"/>
      <w:color w:val="0000FF"/>
      <w:sz w:val="24"/>
      <w:szCs w:val="24"/>
      <w:u w:val="single"/>
    </w:rPr>
  </w:style>
  <w:style w:type="character" w:customStyle="1" w:styleId="c10">
    <w:name w:val="c1"/>
    <w:unhideWhenUsed/>
    <w:qFormat/>
    <w:rPr>
      <w:rFonts w:hint="default"/>
      <w:sz w:val="28"/>
      <w:szCs w:val="24"/>
    </w:rPr>
  </w:style>
  <w:style w:type="character" w:customStyle="1" w:styleId="fieldlabel1">
    <w:name w:val="fieldlabel1"/>
    <w:unhideWhenUsed/>
    <w:qFormat/>
    <w:rPr>
      <w:rFonts w:ascii="Verdana" w:hint="default"/>
      <w:b/>
      <w:color w:val="000000"/>
      <w:sz w:val="24"/>
      <w:szCs w:val="24"/>
    </w:rPr>
  </w:style>
  <w:style w:type="character" w:customStyle="1" w:styleId="fieldcontents1">
    <w:name w:val="fieldcontents1"/>
    <w:unhideWhenUsed/>
    <w:qFormat/>
    <w:rPr>
      <w:rFonts w:ascii="Verdana" w:hint="default"/>
      <w:color w:val="000000"/>
      <w:sz w:val="24"/>
      <w:szCs w:val="24"/>
    </w:rPr>
  </w:style>
  <w:style w:type="character" w:customStyle="1" w:styleId="CharCharCharCharChar4">
    <w:name w:val="题注 Char Char Char Char Char"/>
    <w:unhideWhenUsed/>
    <w:qFormat/>
    <w:rPr>
      <w:rFonts w:ascii="Arial" w:eastAsia="黑体" w:hAnsi="Arial" w:hint="eastAsia"/>
      <w:kern w:val="2"/>
      <w:sz w:val="24"/>
      <w:szCs w:val="24"/>
      <w:lang w:val="en-US" w:eastAsia="zh-CN"/>
    </w:rPr>
  </w:style>
  <w:style w:type="character" w:customStyle="1" w:styleId="Charffffffc">
    <w:name w:val="样式 题注 + (中文) 黑体 加粗 Char"/>
    <w:unhideWhenUsed/>
    <w:qFormat/>
    <w:rPr>
      <w:rFonts w:ascii="Arial" w:eastAsia="宋体" w:hAnsi="Arial" w:hint="eastAsia"/>
      <w:b/>
      <w:kern w:val="2"/>
      <w:sz w:val="24"/>
      <w:szCs w:val="24"/>
      <w:lang w:val="en-US" w:eastAsia="zh-CN"/>
    </w:rPr>
  </w:style>
  <w:style w:type="character" w:customStyle="1" w:styleId="Charffffffd">
    <w:name w:val="样式 题注 + (中文) 黑体 Char"/>
    <w:unhideWhenUsed/>
    <w:qFormat/>
    <w:rPr>
      <w:rFonts w:ascii="Arial" w:eastAsia="宋体" w:hAnsi="Arial" w:hint="eastAsia"/>
      <w:kern w:val="2"/>
      <w:sz w:val="24"/>
      <w:szCs w:val="24"/>
      <w:lang w:val="en-US" w:eastAsia="zh-CN"/>
    </w:rPr>
  </w:style>
  <w:style w:type="character" w:customStyle="1" w:styleId="yangshi-h41">
    <w:name w:val="yangshi-h41"/>
    <w:unhideWhenUsed/>
    <w:qFormat/>
    <w:rPr>
      <w:rFonts w:ascii="黑体" w:eastAsia="黑体" w:hint="eastAsia"/>
      <w:b/>
      <w:color w:val="000000"/>
      <w:sz w:val="24"/>
      <w:szCs w:val="24"/>
    </w:rPr>
  </w:style>
  <w:style w:type="character" w:customStyle="1" w:styleId="Char1CharCharChar10">
    <w:name w:val="正文缩进 Char1 Char Char Char1"/>
    <w:unhideWhenUsed/>
    <w:qFormat/>
    <w:rPr>
      <w:rFonts w:eastAsia="宋体" w:hint="default"/>
      <w:sz w:val="24"/>
      <w:szCs w:val="24"/>
      <w:lang w:val="en-US" w:eastAsia="zh-CN"/>
    </w:rPr>
  </w:style>
  <w:style w:type="character" w:customStyle="1" w:styleId="3CharCharCharCharChar">
    <w:name w:val="样式3 Char Char Char Char Char"/>
    <w:unhideWhenUsed/>
    <w:qFormat/>
    <w:rPr>
      <w:rFonts w:eastAsia="宋体" w:hint="default"/>
      <w:sz w:val="24"/>
      <w:szCs w:val="24"/>
      <w:lang w:val="en-US" w:eastAsia="zh-CN"/>
    </w:rPr>
  </w:style>
  <w:style w:type="character" w:customStyle="1" w:styleId="3CharCharCharCharCharChar">
    <w:name w:val="样式3 Char Char Char Char Char Char"/>
    <w:unhideWhenUsed/>
    <w:qFormat/>
    <w:rPr>
      <w:rFonts w:eastAsia="宋体" w:hint="default"/>
      <w:sz w:val="24"/>
      <w:szCs w:val="24"/>
      <w:lang w:val="en-US" w:eastAsia="zh-CN"/>
    </w:rPr>
  </w:style>
  <w:style w:type="character" w:customStyle="1" w:styleId="2CharCharChar0">
    <w:name w:val="样式2 Char Char Char"/>
    <w:unhideWhenUsed/>
    <w:qFormat/>
    <w:rPr>
      <w:rFonts w:eastAsia="宋体" w:hint="default"/>
      <w:sz w:val="24"/>
      <w:szCs w:val="24"/>
      <w:lang w:val="en-US" w:eastAsia="zh-CN"/>
    </w:rPr>
  </w:style>
  <w:style w:type="character" w:customStyle="1" w:styleId="CharCharCharCharCharCharCharCharCharCharCharCharCharCharCharCharCharChar0">
    <w:name w:val="样式 Char Char Char Char Char Char Char Char Char Char Char Char Char Char Char Char Char Char"/>
    <w:unhideWhenUsed/>
    <w:qFormat/>
    <w:rPr>
      <w:rFonts w:eastAsia="宋体" w:hint="default"/>
      <w:sz w:val="24"/>
      <w:szCs w:val="24"/>
      <w:lang w:val="en-US" w:eastAsia="zh-CN"/>
    </w:rPr>
  </w:style>
  <w:style w:type="character" w:customStyle="1" w:styleId="2CharChar8">
    <w:name w:val="样式2 Char Char"/>
    <w:unhideWhenUsed/>
    <w:qFormat/>
    <w:rPr>
      <w:rFonts w:eastAsia="宋体" w:hint="default"/>
      <w:kern w:val="2"/>
      <w:sz w:val="24"/>
      <w:szCs w:val="24"/>
      <w:lang w:val="en-US" w:eastAsia="zh-CN"/>
    </w:rPr>
  </w:style>
  <w:style w:type="character" w:customStyle="1" w:styleId="3CharCharCharChar">
    <w:name w:val="样式3 Char Char Char Char"/>
    <w:unhideWhenUsed/>
    <w:qFormat/>
    <w:rPr>
      <w:rFonts w:eastAsia="宋体" w:hint="default"/>
      <w:sz w:val="24"/>
      <w:szCs w:val="24"/>
      <w:lang w:val="en-US" w:eastAsia="zh-CN"/>
    </w:rPr>
  </w:style>
  <w:style w:type="character" w:customStyle="1" w:styleId="CharCharCharCharCharCharCharCharCharCharCharCharCharCharCharCharChar1">
    <w:name w:val="样式 Char Char Char Char Char Char Char Char Char Char Char Char Char Char Char Char Char1"/>
    <w:unhideWhenUsed/>
    <w:qFormat/>
    <w:rPr>
      <w:rFonts w:eastAsia="宋体" w:hint="default"/>
      <w:kern w:val="2"/>
      <w:sz w:val="24"/>
      <w:szCs w:val="24"/>
      <w:lang w:val="en-US" w:eastAsia="zh-CN"/>
    </w:rPr>
  </w:style>
  <w:style w:type="character" w:customStyle="1" w:styleId="022">
    <w:name w:val="样式 紧缩量  0.2 磅"/>
    <w:unhideWhenUsed/>
    <w:qFormat/>
    <w:rPr>
      <w:rFonts w:hint="default"/>
      <w:spacing w:val="-4"/>
      <w:sz w:val="24"/>
      <w:szCs w:val="24"/>
    </w:rPr>
  </w:style>
  <w:style w:type="character" w:customStyle="1" w:styleId="Small">
    <w:name w:val="Small"/>
    <w:unhideWhenUsed/>
    <w:qFormat/>
    <w:rPr>
      <w:rFonts w:ascii="Book Antiqua" w:hint="default"/>
      <w:b/>
      <w:i/>
      <w:smallCaps/>
      <w:sz w:val="18"/>
      <w:szCs w:val="24"/>
    </w:rPr>
  </w:style>
  <w:style w:type="character" w:customStyle="1" w:styleId="Charffff2">
    <w:name w:val="样式 正文首行缩进 + 黑色 Char"/>
    <w:link w:val="afffffffffffffffff6"/>
    <w:unhideWhenUsed/>
    <w:qFormat/>
    <w:rPr>
      <w:rFonts w:hint="default"/>
      <w:color w:val="000000"/>
      <w:sz w:val="24"/>
      <w:szCs w:val="24"/>
    </w:rPr>
  </w:style>
  <w:style w:type="character" w:customStyle="1" w:styleId="Charffff3">
    <w:name w:val="中远正文 Char"/>
    <w:link w:val="afffffffffffffffff7"/>
    <w:unhideWhenUsed/>
    <w:qFormat/>
    <w:rPr>
      <w:rFonts w:hint="default"/>
      <w:kern w:val="24"/>
      <w:sz w:val="24"/>
      <w:szCs w:val="24"/>
    </w:rPr>
  </w:style>
  <w:style w:type="character" w:customStyle="1" w:styleId="Charffff4">
    <w:name w:val="表格题注 Char"/>
    <w:link w:val="afffffffffffffffff8"/>
    <w:unhideWhenUsed/>
    <w:qFormat/>
    <w:rPr>
      <w:rFonts w:hint="default"/>
      <w:b/>
      <w:kern w:val="24"/>
      <w:sz w:val="21"/>
      <w:szCs w:val="24"/>
    </w:rPr>
  </w:style>
  <w:style w:type="character" w:customStyle="1" w:styleId="Charffff5">
    <w:name w:val="表中文字居中 Char"/>
    <w:link w:val="afffffffffffffffff9"/>
    <w:unhideWhenUsed/>
    <w:qFormat/>
    <w:rPr>
      <w:rFonts w:ascii="宋体" w:eastAsia="宋体" w:hint="eastAsia"/>
      <w:kern w:val="2"/>
      <w:sz w:val="24"/>
      <w:szCs w:val="24"/>
      <w:shd w:val="clear" w:color="auto" w:fill="FFFFFF"/>
    </w:rPr>
  </w:style>
  <w:style w:type="character" w:customStyle="1" w:styleId="Charffff6">
    <w:name w:val="燕山正文 Char"/>
    <w:link w:val="afffffffffffffffffa"/>
    <w:unhideWhenUsed/>
    <w:qFormat/>
    <w:rPr>
      <w:rFonts w:ascii="宋体" w:eastAsia="宋体" w:hint="eastAsia"/>
      <w:color w:val="000000"/>
      <w:kern w:val="2"/>
      <w:sz w:val="28"/>
      <w:szCs w:val="24"/>
    </w:rPr>
  </w:style>
  <w:style w:type="character" w:customStyle="1" w:styleId="4Char3">
    <w:name w:val="4级样式 Char"/>
    <w:link w:val="41"/>
    <w:unhideWhenUsed/>
    <w:qFormat/>
    <w:rPr>
      <w:rFonts w:ascii="Arial" w:eastAsia="黑体" w:hAnsi="Arial" w:hint="eastAsia"/>
      <w:color w:val="339966"/>
      <w:kern w:val="2"/>
      <w:sz w:val="24"/>
      <w:szCs w:val="24"/>
    </w:rPr>
  </w:style>
  <w:style w:type="character" w:customStyle="1" w:styleId="Char1CharChar2">
    <w:name w:val="正文首行缩进 Char1 Char Char2"/>
    <w:unhideWhenUsed/>
    <w:qFormat/>
    <w:rPr>
      <w:rFonts w:eastAsia="宋体" w:hint="default"/>
      <w:kern w:val="2"/>
      <w:sz w:val="24"/>
      <w:szCs w:val="24"/>
      <w:lang w:val="en-US" w:eastAsia="zh-CN"/>
    </w:rPr>
  </w:style>
  <w:style w:type="character" w:customStyle="1" w:styleId="Charffff7">
    <w:name w:val="段落文字 Char"/>
    <w:link w:val="affffffffffffffffff6"/>
    <w:unhideWhenUsed/>
    <w:qFormat/>
    <w:rPr>
      <w:rFonts w:hint="default"/>
      <w:sz w:val="24"/>
      <w:szCs w:val="24"/>
    </w:rPr>
  </w:style>
  <w:style w:type="character" w:customStyle="1" w:styleId="Charffff8">
    <w:name w:val="四号 正文 Char"/>
    <w:link w:val="affffffffffffffffff8"/>
    <w:unhideWhenUsed/>
    <w:qFormat/>
    <w:rPr>
      <w:rFonts w:hint="default"/>
      <w:spacing w:val="6"/>
      <w:kern w:val="2"/>
      <w:sz w:val="28"/>
      <w:szCs w:val="24"/>
    </w:rPr>
  </w:style>
  <w:style w:type="character" w:customStyle="1" w:styleId="4Char4">
    <w:name w:val="表小4 Char"/>
    <w:link w:val="4f5"/>
    <w:unhideWhenUsed/>
    <w:qFormat/>
    <w:rPr>
      <w:rFonts w:ascii="宋体" w:eastAsia="宋体" w:hint="eastAsia"/>
      <w:sz w:val="21"/>
      <w:szCs w:val="24"/>
    </w:rPr>
  </w:style>
  <w:style w:type="character" w:customStyle="1" w:styleId="13Char">
    <w:name w:val="正文小四首缩1.3行距 Char"/>
    <w:link w:val="134"/>
    <w:unhideWhenUsed/>
    <w:qFormat/>
    <w:rPr>
      <w:rFonts w:hint="default"/>
      <w:kern w:val="2"/>
      <w:sz w:val="24"/>
      <w:szCs w:val="24"/>
    </w:rPr>
  </w:style>
  <w:style w:type="character" w:customStyle="1" w:styleId="CharCharf9">
    <w:name w:val="实德题注 Char Char"/>
    <w:unhideWhenUsed/>
    <w:qFormat/>
    <w:rPr>
      <w:rFonts w:eastAsia="宋体" w:hint="default"/>
      <w:b/>
      <w:kern w:val="2"/>
      <w:sz w:val="24"/>
      <w:szCs w:val="24"/>
      <w:lang w:val="en-US" w:eastAsia="zh-CN"/>
    </w:rPr>
  </w:style>
  <w:style w:type="character" w:customStyle="1" w:styleId="content1">
    <w:name w:val="content1"/>
    <w:unhideWhenUsed/>
    <w:qFormat/>
    <w:rPr>
      <w:rFonts w:ascii="宋体" w:eastAsia="宋体" w:hAnsi="宋体" w:hint="eastAsia"/>
      <w:color w:val="333333"/>
      <w:sz w:val="21"/>
      <w:szCs w:val="24"/>
    </w:rPr>
  </w:style>
  <w:style w:type="character" w:customStyle="1" w:styleId="content">
    <w:name w:val="content"/>
    <w:basedOn w:val="a6"/>
    <w:unhideWhenUsed/>
    <w:qFormat/>
    <w:rPr>
      <w:rFonts w:cs="Times New Roman" w:hint="default"/>
      <w:sz w:val="24"/>
      <w:szCs w:val="24"/>
    </w:rPr>
  </w:style>
  <w:style w:type="character" w:customStyle="1" w:styleId="Char2b">
    <w:name w:val="报告正文 Char2"/>
    <w:unhideWhenUsed/>
    <w:qFormat/>
    <w:rPr>
      <w:rFonts w:eastAsia="仿宋_GB2312" w:hint="default"/>
      <w:kern w:val="2"/>
      <w:sz w:val="24"/>
      <w:szCs w:val="24"/>
      <w:lang w:val="en-US" w:eastAsia="zh-CN"/>
    </w:rPr>
  </w:style>
  <w:style w:type="character" w:customStyle="1" w:styleId="zwb-Char">
    <w:name w:val="zwb-正文 Char"/>
    <w:link w:val="zwb-"/>
    <w:unhideWhenUsed/>
    <w:qFormat/>
    <w:rPr>
      <w:rFonts w:hint="default"/>
      <w:kern w:val="2"/>
      <w:sz w:val="24"/>
      <w:szCs w:val="24"/>
    </w:rPr>
  </w:style>
  <w:style w:type="character" w:customStyle="1" w:styleId="3CharChar2">
    <w:name w:val="标题3 Char Char"/>
    <w:unhideWhenUsed/>
    <w:qFormat/>
    <w:rPr>
      <w:rFonts w:eastAsia="宋体" w:hint="default"/>
      <w:b/>
      <w:kern w:val="2"/>
      <w:sz w:val="32"/>
      <w:szCs w:val="24"/>
      <w:lang w:val="en-US" w:eastAsia="zh-CN"/>
    </w:rPr>
  </w:style>
  <w:style w:type="character" w:customStyle="1" w:styleId="headline-content2">
    <w:name w:val="headline-content2"/>
    <w:basedOn w:val="a6"/>
    <w:unhideWhenUsed/>
    <w:qFormat/>
    <w:rPr>
      <w:rFonts w:cs="Times New Roman" w:hint="default"/>
      <w:sz w:val="24"/>
      <w:szCs w:val="24"/>
    </w:rPr>
  </w:style>
  <w:style w:type="character" w:customStyle="1" w:styleId="CharCharChar10">
    <w:name w:val="页眉 Char Char Char1"/>
    <w:unhideWhenUsed/>
    <w:qFormat/>
    <w:rPr>
      <w:rFonts w:eastAsia="宋体" w:hint="default"/>
      <w:kern w:val="2"/>
      <w:sz w:val="18"/>
      <w:szCs w:val="24"/>
      <w:lang w:val="en-US" w:eastAsia="zh-CN"/>
    </w:rPr>
  </w:style>
  <w:style w:type="character" w:customStyle="1" w:styleId="CharCharfa">
    <w:name w:val="表注 Char Char"/>
    <w:unhideWhenUsed/>
    <w:qFormat/>
    <w:rPr>
      <w:rFonts w:ascii="Calibri" w:eastAsia="宋体" w:hAnsi="Calibri" w:hint="eastAsia"/>
      <w:kern w:val="32"/>
      <w:sz w:val="24"/>
      <w:szCs w:val="24"/>
      <w:lang w:val="en-US" w:eastAsia="en-US"/>
    </w:rPr>
  </w:style>
  <w:style w:type="character" w:customStyle="1" w:styleId="CharCharfb">
    <w:name w:val="表后标题 Char Char"/>
    <w:unhideWhenUsed/>
    <w:qFormat/>
    <w:rPr>
      <w:rFonts w:eastAsia="宋体" w:hAnsi="宋体" w:hint="default"/>
      <w:b/>
      <w:kern w:val="2"/>
      <w:sz w:val="21"/>
      <w:szCs w:val="24"/>
      <w:lang w:val="en-US" w:eastAsia="zh-CN"/>
    </w:rPr>
  </w:style>
  <w:style w:type="character" w:customStyle="1" w:styleId="CharCharfc">
    <w:name w:val="准 表头 Char Char"/>
    <w:unhideWhenUsed/>
    <w:qFormat/>
    <w:rPr>
      <w:rFonts w:eastAsia="黑体" w:hint="default"/>
      <w:sz w:val="21"/>
      <w:szCs w:val="24"/>
    </w:rPr>
  </w:style>
  <w:style w:type="character" w:customStyle="1" w:styleId="CharCharChar6">
    <w:name w:val="样式  Char + 宋体 小四 Char Char"/>
    <w:unhideWhenUsed/>
    <w:qFormat/>
    <w:rPr>
      <w:rFonts w:ascii="宋体" w:eastAsia="宋体" w:hAnsi="宋体" w:hint="eastAsia"/>
      <w:sz w:val="24"/>
      <w:szCs w:val="24"/>
      <w:lang w:val="en-US" w:eastAsia="zh-CN"/>
    </w:rPr>
  </w:style>
  <w:style w:type="character" w:customStyle="1" w:styleId="TableFigureCaptionCharChar">
    <w:name w:val="Table Figure Caption Char Char"/>
    <w:unhideWhenUsed/>
    <w:qFormat/>
    <w:rPr>
      <w:rFonts w:hint="default"/>
      <w:kern w:val="2"/>
      <w:sz w:val="24"/>
      <w:szCs w:val="24"/>
    </w:rPr>
  </w:style>
  <w:style w:type="character" w:customStyle="1" w:styleId="CharCharfd">
    <w:name w:val="样式 样式 表格 + (符号) 宋体 五号 居中 + 小五 Char Char"/>
    <w:unhideWhenUsed/>
    <w:qFormat/>
    <w:rPr>
      <w:rFonts w:eastAsia="宋体" w:hint="default"/>
      <w:sz w:val="21"/>
      <w:szCs w:val="24"/>
      <w:lang w:val="en-US" w:eastAsia="zh-CN"/>
    </w:rPr>
  </w:style>
  <w:style w:type="character" w:customStyle="1" w:styleId="TimesNewRoman15CharChar">
    <w:name w:val="样式 Times New Roman 行距: 1.5 倍行距 Char Char"/>
    <w:unhideWhenUsed/>
    <w:qFormat/>
    <w:rPr>
      <w:rFonts w:eastAsia="宋体" w:hint="default"/>
      <w:kern w:val="24"/>
      <w:sz w:val="28"/>
      <w:szCs w:val="24"/>
      <w:lang w:val="en-US" w:eastAsia="zh-CN"/>
    </w:rPr>
  </w:style>
  <w:style w:type="character" w:customStyle="1" w:styleId="CharCharfe">
    <w:name w:val="陈表格中内容 Char Char"/>
    <w:unhideWhenUsed/>
    <w:qFormat/>
    <w:rPr>
      <w:rFonts w:ascii="宋体" w:eastAsia="宋体" w:hAnsi="宋体" w:hint="eastAsia"/>
      <w:spacing w:val="-6"/>
      <w:sz w:val="21"/>
      <w:szCs w:val="24"/>
      <w:lang w:val="en-US" w:eastAsia="zh-CN"/>
    </w:rPr>
  </w:style>
  <w:style w:type="character" w:customStyle="1" w:styleId="StyleCharChar">
    <w:name w:val="Style 正文文本 + Char Char"/>
    <w:unhideWhenUsed/>
    <w:qFormat/>
    <w:rPr>
      <w:rFonts w:hint="default"/>
      <w:sz w:val="24"/>
      <w:szCs w:val="24"/>
    </w:rPr>
  </w:style>
  <w:style w:type="character" w:customStyle="1" w:styleId="CharCharff">
    <w:name w:val="表 Char Char"/>
    <w:unhideWhenUsed/>
    <w:qFormat/>
    <w:rPr>
      <w:rFonts w:eastAsia="宋体" w:hint="default"/>
      <w:sz w:val="21"/>
      <w:szCs w:val="24"/>
      <w:lang w:val="en-US" w:eastAsia="zh-CN"/>
    </w:rPr>
  </w:style>
  <w:style w:type="character" w:customStyle="1" w:styleId="2CharChar9">
    <w:name w:val="分目录2 Char Char"/>
    <w:unhideWhenUsed/>
    <w:qFormat/>
    <w:rPr>
      <w:rFonts w:eastAsia="宋体" w:hint="default"/>
      <w:color w:val="000000"/>
      <w:kern w:val="2"/>
      <w:sz w:val="28"/>
      <w:szCs w:val="24"/>
      <w:lang w:val="en-US" w:eastAsia="zh-CN"/>
    </w:rPr>
  </w:style>
  <w:style w:type="character" w:customStyle="1" w:styleId="3CharChar3">
    <w:name w:val="样式 标题 3 + 黑体 小四 Char Char"/>
    <w:unhideWhenUsed/>
    <w:qFormat/>
    <w:rPr>
      <w:rFonts w:ascii="黑体" w:eastAsia="宋体" w:hAnsi="黑体" w:hint="eastAsia"/>
      <w:kern w:val="2"/>
      <w:sz w:val="24"/>
      <w:szCs w:val="24"/>
      <w:lang w:val="en-US" w:eastAsia="zh-CN"/>
    </w:rPr>
  </w:style>
  <w:style w:type="character" w:customStyle="1" w:styleId="1CharChar1">
    <w:name w:val="1正文段落 Char Char"/>
    <w:unhideWhenUsed/>
    <w:qFormat/>
    <w:rPr>
      <w:rFonts w:eastAsia="宋体" w:hint="default"/>
      <w:sz w:val="24"/>
      <w:szCs w:val="24"/>
      <w:lang w:val="en-US" w:eastAsia="zh-CN"/>
    </w:rPr>
  </w:style>
  <w:style w:type="character" w:customStyle="1" w:styleId="008CharChar">
    <w:name w:val="008 Char Char"/>
    <w:unhideWhenUsed/>
    <w:qFormat/>
    <w:rPr>
      <w:rFonts w:ascii="宋体" w:eastAsia="宋体" w:hAnsi="宋体" w:hint="eastAsia"/>
      <w:kern w:val="2"/>
      <w:sz w:val="28"/>
      <w:szCs w:val="24"/>
      <w:lang w:val="en-US" w:eastAsia="zh-CN"/>
    </w:rPr>
  </w:style>
  <w:style w:type="character" w:customStyle="1" w:styleId="CharCharff0">
    <w:name w:val="表标号 Char Char"/>
    <w:unhideWhenUsed/>
    <w:qFormat/>
    <w:rPr>
      <w:rFonts w:eastAsia="黑体" w:hint="default"/>
      <w:sz w:val="24"/>
      <w:szCs w:val="24"/>
      <w:lang w:val="en-US" w:eastAsia="zh-CN"/>
    </w:rPr>
  </w:style>
  <w:style w:type="character" w:customStyle="1" w:styleId="22CharChar0">
    <w:name w:val="准 正文 左侧:  2 字符 + 首行缩进:  2 字符 Char Char"/>
    <w:unhideWhenUsed/>
    <w:qFormat/>
    <w:rPr>
      <w:rFonts w:eastAsia="宋体" w:hint="default"/>
      <w:sz w:val="24"/>
      <w:szCs w:val="24"/>
    </w:rPr>
  </w:style>
  <w:style w:type="character" w:customStyle="1" w:styleId="5CharChar0">
    <w:name w:val="样式 样式5 + 宋体 Char Char"/>
    <w:unhideWhenUsed/>
    <w:qFormat/>
    <w:rPr>
      <w:rFonts w:eastAsia="宋体" w:hint="default"/>
      <w:b/>
      <w:kern w:val="2"/>
      <w:sz w:val="26"/>
      <w:szCs w:val="24"/>
      <w:lang w:val="en-US" w:eastAsia="zh-CN"/>
    </w:rPr>
  </w:style>
  <w:style w:type="character" w:customStyle="1" w:styleId="yCharChar">
    <w:name w:val="?y?? Char Char"/>
    <w:unhideWhenUsed/>
    <w:qFormat/>
    <w:rPr>
      <w:rFonts w:eastAsia="宋体" w:hint="default"/>
      <w:color w:val="000000"/>
      <w:sz w:val="21"/>
      <w:szCs w:val="24"/>
      <w:lang w:val="en-US" w:eastAsia="zh-CN"/>
    </w:rPr>
  </w:style>
  <w:style w:type="character" w:customStyle="1" w:styleId="LCharChar">
    <w:name w:val="L正文 Char Char"/>
    <w:unhideWhenUsed/>
    <w:qFormat/>
    <w:rPr>
      <w:rFonts w:eastAsia="宋体" w:hint="default"/>
      <w:sz w:val="26"/>
      <w:szCs w:val="24"/>
      <w:lang w:val="en-US" w:eastAsia="zh-CN"/>
    </w:rPr>
  </w:style>
  <w:style w:type="character" w:customStyle="1" w:styleId="1CharChar2">
    <w:name w:val="正文1 Char Char"/>
    <w:unhideWhenUsed/>
    <w:qFormat/>
    <w:rPr>
      <w:rFonts w:ascii="宋体" w:eastAsia="宋体" w:hint="eastAsia"/>
      <w:sz w:val="24"/>
      <w:szCs w:val="24"/>
      <w:lang w:val="en-US" w:eastAsia="zh-CN"/>
    </w:rPr>
  </w:style>
  <w:style w:type="character" w:customStyle="1" w:styleId="4CharChar2">
    <w:name w:val="样式4 Char Char"/>
    <w:unhideWhenUsed/>
    <w:qFormat/>
    <w:rPr>
      <w:rFonts w:ascii="宋体" w:eastAsia="宋体" w:hAnsi="宋体" w:hint="eastAsia"/>
      <w:color w:val="000000"/>
      <w:sz w:val="24"/>
      <w:szCs w:val="24"/>
      <w:lang w:val="en-US" w:eastAsia="zh-CN"/>
    </w:rPr>
  </w:style>
  <w:style w:type="character" w:customStyle="1" w:styleId="5CharChar1">
    <w:name w:val="样式5 Char Char"/>
    <w:unhideWhenUsed/>
    <w:qFormat/>
    <w:rPr>
      <w:rFonts w:ascii="宋体" w:eastAsia="宋体" w:hAnsi="宋体" w:hint="eastAsia"/>
      <w:sz w:val="24"/>
      <w:szCs w:val="24"/>
      <w:lang w:val="en-US" w:eastAsia="zh-CN"/>
    </w:rPr>
  </w:style>
  <w:style w:type="character" w:customStyle="1" w:styleId="CharCharff1">
    <w:name w:val="正文文本 Char Char"/>
    <w:unhideWhenUsed/>
    <w:qFormat/>
    <w:rPr>
      <w:rFonts w:eastAsia="宋体" w:hint="default"/>
      <w:b/>
      <w:kern w:val="2"/>
      <w:sz w:val="24"/>
      <w:szCs w:val="24"/>
      <w:lang w:val="en-US" w:eastAsia="zh-CN"/>
    </w:rPr>
  </w:style>
  <w:style w:type="character" w:customStyle="1" w:styleId="11b1111CharChar">
    <w:name w:val="样式 标题 1章标题 1章节标题b111标题 1 + 非加粗 自动设置 Char Char"/>
    <w:unhideWhenUsed/>
    <w:qFormat/>
    <w:rPr>
      <w:rFonts w:ascii="黑体" w:eastAsia="黑体" w:hAnsi="宋体" w:hint="eastAsia"/>
      <w:sz w:val="32"/>
      <w:szCs w:val="24"/>
      <w:lang w:val="en-US" w:eastAsia="zh-CN"/>
    </w:rPr>
  </w:style>
  <w:style w:type="character" w:customStyle="1" w:styleId="1CharChar3">
    <w:name w:val="样式1 Char Char"/>
    <w:unhideWhenUsed/>
    <w:qFormat/>
    <w:rPr>
      <w:rFonts w:eastAsia="宋体" w:hint="default"/>
      <w:b/>
      <w:kern w:val="2"/>
      <w:sz w:val="21"/>
      <w:szCs w:val="24"/>
      <w:lang w:val="en-US" w:eastAsia="zh-CN"/>
    </w:rPr>
  </w:style>
  <w:style w:type="character" w:customStyle="1" w:styleId="CharCharff2">
    <w:name w:val="陈表头文字 Char Char"/>
    <w:unhideWhenUsed/>
    <w:qFormat/>
    <w:rPr>
      <w:rFonts w:ascii="宋体" w:eastAsia="宋体" w:hAnsi="宋体" w:hint="eastAsia"/>
      <w:b/>
      <w:kern w:val="2"/>
      <w:sz w:val="24"/>
      <w:szCs w:val="24"/>
      <w:lang w:val="en-US" w:eastAsia="zh-CN"/>
    </w:rPr>
  </w:style>
  <w:style w:type="character" w:customStyle="1" w:styleId="yypCharChar">
    <w:name w:val="yyp Char Char"/>
    <w:unhideWhenUsed/>
    <w:qFormat/>
    <w:rPr>
      <w:rFonts w:eastAsia="宋体" w:hint="default"/>
      <w:kern w:val="2"/>
      <w:sz w:val="24"/>
      <w:szCs w:val="24"/>
    </w:rPr>
  </w:style>
  <w:style w:type="character" w:customStyle="1" w:styleId="CharCharff3">
    <w:name w:val="缩进 Char Char"/>
    <w:unhideWhenUsed/>
    <w:qFormat/>
    <w:rPr>
      <w:rFonts w:eastAsia="宋体" w:hint="default"/>
      <w:kern w:val="2"/>
      <w:sz w:val="24"/>
      <w:szCs w:val="24"/>
      <w:lang w:val="en-US" w:eastAsia="zh-CN"/>
    </w:rPr>
  </w:style>
  <w:style w:type="character" w:customStyle="1" w:styleId="5CharChar2">
    <w:name w:val="5级正文 Char Char"/>
    <w:unhideWhenUsed/>
    <w:qFormat/>
    <w:rPr>
      <w:rFonts w:eastAsia="宋体" w:hint="default"/>
      <w:b/>
      <w:kern w:val="2"/>
      <w:sz w:val="24"/>
      <w:szCs w:val="24"/>
      <w:lang w:val="en-US" w:eastAsia="zh-CN"/>
    </w:rPr>
  </w:style>
  <w:style w:type="character" w:customStyle="1" w:styleId="1CharChar4">
    <w:name w:val="分目录1 Char Char"/>
    <w:unhideWhenUsed/>
    <w:qFormat/>
    <w:rPr>
      <w:rFonts w:eastAsia="宋体" w:hint="default"/>
      <w:sz w:val="28"/>
      <w:szCs w:val="24"/>
    </w:rPr>
  </w:style>
  <w:style w:type="character" w:customStyle="1" w:styleId="CharCharff4">
    <w:name w:val="【图片】 Char Char"/>
    <w:unhideWhenUsed/>
    <w:qFormat/>
    <w:rPr>
      <w:rFonts w:ascii="宋体" w:eastAsia="宋体" w:hint="eastAsia"/>
      <w:kern w:val="2"/>
      <w:sz w:val="24"/>
      <w:szCs w:val="24"/>
      <w:lang w:val="en-US" w:eastAsia="zh-CN"/>
    </w:rPr>
  </w:style>
  <w:style w:type="character" w:customStyle="1" w:styleId="wwwwCharChar">
    <w:name w:val="wwww Char Char"/>
    <w:unhideWhenUsed/>
    <w:qFormat/>
    <w:rPr>
      <w:rFonts w:ascii="宋体" w:eastAsia="宋体" w:hint="eastAsia"/>
      <w:kern w:val="2"/>
      <w:sz w:val="28"/>
      <w:szCs w:val="24"/>
      <w:lang w:val="en-US" w:eastAsia="zh-CN"/>
    </w:rPr>
  </w:style>
  <w:style w:type="character" w:customStyle="1" w:styleId="TimesNewRomanCharChar">
    <w:name w:val="样式 (西文) Times New Roman (符号) 华文中宋 Char Char"/>
    <w:unhideWhenUsed/>
    <w:qFormat/>
    <w:rPr>
      <w:rFonts w:ascii="Calibri" w:eastAsia="华文中宋" w:hAnsi="华文中宋" w:hint="eastAsia"/>
      <w:sz w:val="24"/>
      <w:szCs w:val="24"/>
    </w:rPr>
  </w:style>
  <w:style w:type="character" w:customStyle="1" w:styleId="CharCharCharCharCharCharCharCharCharCharCharCharCharCharCharCharCharCharCharCharChar">
    <w:name w:val="Char Char Char Char Char Char Char Char Char Char Char Char Char Char Char Char Char Char Char Char Char"/>
    <w:unhideWhenUsed/>
    <w:qFormat/>
    <w:rPr>
      <w:rFonts w:ascii="宋体" w:eastAsia="宋体" w:hAnsi="Courier New" w:hint="eastAsia"/>
      <w:kern w:val="2"/>
      <w:sz w:val="21"/>
      <w:szCs w:val="24"/>
      <w:lang w:val="en-US" w:eastAsia="zh-CN"/>
    </w:rPr>
  </w:style>
  <w:style w:type="character" w:customStyle="1" w:styleId="CharCharff5">
    <w:name w:val="陈正文 Char Char"/>
    <w:unhideWhenUsed/>
    <w:qFormat/>
    <w:rPr>
      <w:rFonts w:ascii="宋体" w:eastAsia="宋体" w:hAnsi="宋体" w:hint="eastAsia"/>
      <w:kern w:val="2"/>
      <w:sz w:val="24"/>
      <w:szCs w:val="24"/>
      <w:lang w:val="en-US" w:eastAsia="zh-CN"/>
    </w:rPr>
  </w:style>
  <w:style w:type="character" w:customStyle="1" w:styleId="CharCharff6">
    <w:name w:val="新正文 Char Char"/>
    <w:unhideWhenUsed/>
    <w:qFormat/>
    <w:rPr>
      <w:rFonts w:ascii="宋体" w:eastAsia="宋体" w:hAnsi="宋体" w:hint="eastAsia"/>
      <w:color w:val="000000"/>
      <w:sz w:val="24"/>
      <w:szCs w:val="24"/>
      <w:lang w:val="en-US" w:eastAsia="zh-CN"/>
    </w:rPr>
  </w:style>
  <w:style w:type="character" w:customStyle="1" w:styleId="Arial2415CharChar">
    <w:name w:val="样式 Arial 小四 黑色 首行缩进:  24 磅 行距: 1.5 倍行距 Char Char"/>
    <w:unhideWhenUsed/>
    <w:qFormat/>
    <w:rPr>
      <w:rFonts w:ascii="Arial" w:eastAsia="宋体" w:hAnsi="Arial" w:hint="eastAsia"/>
      <w:color w:val="000000"/>
      <w:kern w:val="2"/>
      <w:sz w:val="24"/>
      <w:szCs w:val="24"/>
      <w:lang w:val="en-US" w:eastAsia="zh-CN"/>
    </w:rPr>
  </w:style>
  <w:style w:type="character" w:customStyle="1" w:styleId="8CharChar">
    <w:name w:val="样式8 Char Char"/>
    <w:unhideWhenUsed/>
    <w:qFormat/>
    <w:rPr>
      <w:rFonts w:ascii="宋体" w:eastAsia="宋体" w:hAnsi="新宋体" w:hint="eastAsia"/>
      <w:b/>
      <w:kern w:val="2"/>
      <w:sz w:val="24"/>
      <w:szCs w:val="24"/>
      <w:lang w:val="en-US" w:eastAsia="zh-CN"/>
    </w:rPr>
  </w:style>
  <w:style w:type="character" w:customStyle="1" w:styleId="6CharChar">
    <w:name w:val="样式6 Char Char"/>
    <w:unhideWhenUsed/>
    <w:qFormat/>
    <w:rPr>
      <w:rFonts w:ascii="宋体" w:eastAsia="宋体" w:hAnsi="宋体" w:hint="eastAsia"/>
      <w:b/>
      <w:color w:val="FF0000"/>
      <w:kern w:val="2"/>
      <w:sz w:val="24"/>
      <w:szCs w:val="24"/>
      <w:lang w:val="en-US" w:eastAsia="zh-CN"/>
    </w:rPr>
  </w:style>
  <w:style w:type="character" w:customStyle="1" w:styleId="7CharChar">
    <w:name w:val="样式7 Char Char"/>
    <w:unhideWhenUsed/>
    <w:qFormat/>
    <w:rPr>
      <w:rFonts w:eastAsia="宋体" w:hint="default"/>
      <w:kern w:val="2"/>
      <w:sz w:val="18"/>
      <w:szCs w:val="24"/>
      <w:lang w:val="en-US" w:eastAsia="zh-CN"/>
    </w:rPr>
  </w:style>
  <w:style w:type="character" w:customStyle="1" w:styleId="9CharChar">
    <w:name w:val="样式9 Char Char"/>
    <w:unhideWhenUsed/>
    <w:qFormat/>
    <w:rPr>
      <w:rFonts w:ascii="宋体" w:eastAsia="宋体" w:hAnsi="宋体" w:hint="eastAsia"/>
      <w:b/>
      <w:kern w:val="2"/>
      <w:sz w:val="18"/>
      <w:szCs w:val="24"/>
      <w:lang w:val="en-US" w:eastAsia="zh-CN"/>
    </w:rPr>
  </w:style>
  <w:style w:type="character" w:customStyle="1" w:styleId="CharCharff7">
    <w:name w:val="引用 Char Char"/>
    <w:unhideWhenUsed/>
    <w:qFormat/>
    <w:rPr>
      <w:rFonts w:ascii="Calibri" w:eastAsia="宋体" w:hAnsi="Calibri" w:hint="eastAsia"/>
      <w:i/>
      <w:sz w:val="24"/>
      <w:szCs w:val="24"/>
      <w:lang w:val="en-US" w:eastAsia="en-US"/>
    </w:rPr>
  </w:style>
  <w:style w:type="character" w:customStyle="1" w:styleId="CharCharff8">
    <w:name w:val="明显引用 Char Char"/>
    <w:unhideWhenUsed/>
    <w:qFormat/>
    <w:rPr>
      <w:rFonts w:ascii="Calibri" w:eastAsia="宋体" w:hAnsi="Calibri" w:hint="eastAsia"/>
      <w:b/>
      <w:i/>
      <w:sz w:val="22"/>
      <w:szCs w:val="24"/>
      <w:lang w:val="en-US" w:eastAsia="en-US"/>
    </w:rPr>
  </w:style>
  <w:style w:type="character" w:customStyle="1" w:styleId="CharCharff9">
    <w:name w:val="水利部 Char Char"/>
    <w:unhideWhenUsed/>
    <w:qFormat/>
    <w:rPr>
      <w:rFonts w:eastAsia="宋体" w:hint="default"/>
      <w:b/>
      <w:sz w:val="30"/>
      <w:szCs w:val="24"/>
      <w:lang w:val="en-US" w:eastAsia="zh-CN"/>
    </w:rPr>
  </w:style>
  <w:style w:type="character" w:customStyle="1" w:styleId="CharCharffa">
    <w:name w:val="表格 宋体 五号 Char Char"/>
    <w:unhideWhenUsed/>
    <w:qFormat/>
    <w:rPr>
      <w:rFonts w:ascii="宋体" w:eastAsia="宋体" w:hAnsi="宋体" w:hint="eastAsia"/>
      <w:sz w:val="21"/>
      <w:szCs w:val="24"/>
      <w:lang w:val="en-US" w:eastAsia="zh-CN"/>
    </w:rPr>
  </w:style>
  <w:style w:type="character" w:customStyle="1" w:styleId="MTDisplayEquationCharChar">
    <w:name w:val="MTDisplayEquation Char Char"/>
    <w:unhideWhenUsed/>
    <w:qFormat/>
    <w:rPr>
      <w:rFonts w:hint="default"/>
      <w:sz w:val="24"/>
      <w:szCs w:val="24"/>
    </w:rPr>
  </w:style>
  <w:style w:type="character" w:customStyle="1" w:styleId="1CharChar5">
    <w:name w:val="样式 标题 1封面大标题 + 加粗 Char Char"/>
    <w:unhideWhenUsed/>
    <w:qFormat/>
    <w:rPr>
      <w:rFonts w:ascii="宋体" w:eastAsia="黑体" w:hAnsi="宋体" w:hint="eastAsia"/>
      <w:b/>
      <w:kern w:val="44"/>
      <w:sz w:val="32"/>
      <w:szCs w:val="24"/>
      <w:lang w:val="en-US" w:eastAsia="zh-CN"/>
    </w:rPr>
  </w:style>
  <w:style w:type="character" w:customStyle="1" w:styleId="CharCharffb">
    <w:name w:val="无间隔 Char Char"/>
    <w:unhideWhenUsed/>
    <w:qFormat/>
    <w:rPr>
      <w:rFonts w:ascii="Calibri" w:hint="default"/>
      <w:kern w:val="2"/>
      <w:sz w:val="22"/>
      <w:szCs w:val="24"/>
      <w:lang w:val="en-US" w:eastAsia="zh-CN"/>
    </w:rPr>
  </w:style>
  <w:style w:type="character" w:customStyle="1" w:styleId="cCharChar">
    <w:name w:val="正文c Char Char"/>
    <w:unhideWhenUsed/>
    <w:qFormat/>
    <w:rPr>
      <w:rFonts w:eastAsia="仿宋_GB2312" w:hint="default"/>
      <w:kern w:val="2"/>
      <w:sz w:val="28"/>
      <w:szCs w:val="24"/>
    </w:rPr>
  </w:style>
  <w:style w:type="character" w:customStyle="1" w:styleId="4CharChar3">
    <w:name w:val="陈标题4 Char Char"/>
    <w:unhideWhenUsed/>
    <w:qFormat/>
    <w:rPr>
      <w:rFonts w:eastAsia="宋体" w:hint="default"/>
      <w:b/>
      <w:kern w:val="2"/>
      <w:sz w:val="24"/>
      <w:szCs w:val="24"/>
      <w:lang w:val="en-US" w:eastAsia="zh-CN"/>
    </w:rPr>
  </w:style>
  <w:style w:type="character" w:customStyle="1" w:styleId="1CharChar6">
    <w:name w:val="表标题1 Char Char"/>
    <w:unhideWhenUsed/>
    <w:qFormat/>
    <w:rPr>
      <w:rFonts w:eastAsia="宋体" w:hint="default"/>
      <w:b/>
      <w:kern w:val="2"/>
      <w:sz w:val="24"/>
      <w:szCs w:val="24"/>
      <w:lang w:val="en-US" w:eastAsia="zh-CN"/>
    </w:rPr>
  </w:style>
  <w:style w:type="character" w:customStyle="1" w:styleId="CharCharffc">
    <w:name w:val="表号 Char Char"/>
    <w:unhideWhenUsed/>
    <w:qFormat/>
    <w:rPr>
      <w:rFonts w:eastAsia="宋体" w:hint="default"/>
      <w:color w:val="000000"/>
      <w:sz w:val="24"/>
      <w:szCs w:val="24"/>
      <w:lang w:val="en-US" w:eastAsia="zh-CN"/>
    </w:rPr>
  </w:style>
  <w:style w:type="character" w:customStyle="1" w:styleId="CharCharCharChar5">
    <w:name w:val="图表名 Char Char Char Char"/>
    <w:unhideWhenUsed/>
    <w:qFormat/>
    <w:rPr>
      <w:rFonts w:eastAsia="黑体" w:hint="default"/>
      <w:kern w:val="2"/>
      <w:sz w:val="24"/>
      <w:szCs w:val="24"/>
      <w:lang w:val="en-US" w:eastAsia="zh-CN"/>
    </w:rPr>
  </w:style>
  <w:style w:type="character" w:customStyle="1" w:styleId="0856615CharChar">
    <w:name w:val="样式 小四 非加粗 首行缩进:  0.85 厘米 段前: 6 磅 段后: 6 磅 行距: 1.5 倍行距 Char Char"/>
    <w:unhideWhenUsed/>
    <w:qFormat/>
    <w:rPr>
      <w:rFonts w:eastAsia="宋体" w:hint="default"/>
      <w:kern w:val="2"/>
      <w:sz w:val="28"/>
      <w:szCs w:val="24"/>
      <w:lang w:val="en-US" w:eastAsia="zh-CN"/>
    </w:rPr>
  </w:style>
  <w:style w:type="character" w:customStyle="1" w:styleId="TimesCharChar">
    <w:name w:val="样式 表头 + (符号) Times Char Char"/>
    <w:unhideWhenUsed/>
    <w:qFormat/>
    <w:rPr>
      <w:rFonts w:ascii="仿宋_GB2312" w:eastAsia="仿宋_GB2312" w:hAnsi="宋体" w:hint="eastAsia"/>
      <w:color w:val="000000"/>
      <w:sz w:val="24"/>
      <w:szCs w:val="24"/>
      <w:lang w:val="en-US" w:eastAsia="zh-CN"/>
    </w:rPr>
  </w:style>
  <w:style w:type="character" w:customStyle="1" w:styleId="14CharChar">
    <w:name w:val="样式14 Char Char"/>
    <w:unhideWhenUsed/>
    <w:qFormat/>
    <w:rPr>
      <w:rFonts w:eastAsia="华文中宋" w:hint="default"/>
      <w:color w:val="000000"/>
      <w:kern w:val="2"/>
      <w:sz w:val="24"/>
      <w:szCs w:val="24"/>
      <w:lang w:val="en-US" w:eastAsia="zh-CN"/>
    </w:rPr>
  </w:style>
  <w:style w:type="character" w:customStyle="1" w:styleId="pfont1">
    <w:name w:val="pfont1"/>
    <w:unhideWhenUsed/>
    <w:qFormat/>
    <w:rPr>
      <w:rFonts w:hint="default"/>
      <w:sz w:val="22"/>
      <w:szCs w:val="24"/>
    </w:rPr>
  </w:style>
  <w:style w:type="character" w:customStyle="1" w:styleId="AChar">
    <w:name w:val="A正文 Char"/>
    <w:link w:val="Affffffffffffffffffe"/>
    <w:unhideWhenUsed/>
    <w:qFormat/>
    <w:rPr>
      <w:rFonts w:hint="default"/>
      <w:kern w:val="2"/>
      <w:sz w:val="24"/>
      <w:szCs w:val="24"/>
    </w:rPr>
  </w:style>
  <w:style w:type="character" w:customStyle="1" w:styleId="HeaderChar">
    <w:name w:val="Header Char"/>
    <w:unhideWhenUsed/>
    <w:qFormat/>
    <w:rPr>
      <w:rFonts w:hint="default"/>
      <w:sz w:val="18"/>
      <w:szCs w:val="24"/>
    </w:rPr>
  </w:style>
  <w:style w:type="character" w:customStyle="1" w:styleId="CharChar5">
    <w:name w:val="正文(首行缩进)宋旭峰 Char Char"/>
    <w:link w:val="afffffffffffffffffff"/>
    <w:unhideWhenUsed/>
    <w:qFormat/>
    <w:rPr>
      <w:rFonts w:ascii="宋体" w:eastAsia="宋体" w:hint="eastAsia"/>
      <w:sz w:val="26"/>
      <w:szCs w:val="24"/>
    </w:rPr>
  </w:style>
  <w:style w:type="character" w:customStyle="1" w:styleId="Charffff9">
    <w:name w:val="表、图名宋旭峰 Char"/>
    <w:link w:val="afffffffffffffffffff1"/>
    <w:unhideWhenUsed/>
    <w:qFormat/>
    <w:rPr>
      <w:rFonts w:ascii="黑体" w:eastAsia="黑体" w:hAnsi="宋体" w:hint="eastAsia"/>
      <w:sz w:val="21"/>
      <w:szCs w:val="24"/>
    </w:rPr>
  </w:style>
  <w:style w:type="character" w:customStyle="1" w:styleId="CharCharffd">
    <w:name w:val="特点标题 Char Char"/>
    <w:unhideWhenUsed/>
    <w:qFormat/>
    <w:rPr>
      <w:rFonts w:ascii="宋体" w:eastAsia="宋体" w:hint="eastAsia"/>
      <w:kern w:val="2"/>
      <w:sz w:val="24"/>
      <w:szCs w:val="24"/>
      <w:lang w:val="en-US" w:eastAsia="zh-CN"/>
    </w:rPr>
  </w:style>
  <w:style w:type="character" w:customStyle="1" w:styleId="Char2c">
    <w:name w:val="标题 Char2"/>
    <w:unhideWhenUsed/>
    <w:qFormat/>
    <w:rPr>
      <w:rFonts w:ascii="Arial" w:eastAsia="宋体" w:hAnsi="Arial" w:hint="eastAsia"/>
      <w:b/>
      <w:kern w:val="2"/>
      <w:sz w:val="32"/>
      <w:szCs w:val="24"/>
      <w:lang w:val="en-US" w:eastAsia="zh-CN"/>
    </w:rPr>
  </w:style>
  <w:style w:type="character" w:customStyle="1" w:styleId="Char2d">
    <w:name w:val="正文文本缩进 Char2"/>
    <w:unhideWhenUsed/>
    <w:qFormat/>
    <w:rPr>
      <w:rFonts w:hint="default"/>
      <w:kern w:val="2"/>
      <w:sz w:val="24"/>
      <w:szCs w:val="24"/>
    </w:rPr>
  </w:style>
  <w:style w:type="character" w:customStyle="1" w:styleId="contents1">
    <w:name w:val="contents1"/>
    <w:unhideWhenUsed/>
    <w:qFormat/>
    <w:rPr>
      <w:rFonts w:hint="default"/>
      <w:color w:val="000000"/>
      <w:spacing w:val="330"/>
      <w:sz w:val="21"/>
      <w:szCs w:val="24"/>
    </w:rPr>
  </w:style>
  <w:style w:type="character" w:customStyle="1" w:styleId="002Char">
    <w:name w:val="002 Char"/>
    <w:link w:val="0020"/>
    <w:unhideWhenUsed/>
    <w:qFormat/>
    <w:rPr>
      <w:rFonts w:ascii="宋体" w:eastAsia="宋体" w:hint="eastAsia"/>
      <w:kern w:val="2"/>
      <w:sz w:val="32"/>
      <w:szCs w:val="24"/>
    </w:rPr>
  </w:style>
  <w:style w:type="character" w:customStyle="1" w:styleId="CharCharChar4">
    <w:name w:val="正文文本最新 Char Char Char"/>
    <w:link w:val="CharChar6"/>
    <w:unhideWhenUsed/>
    <w:qFormat/>
    <w:rPr>
      <w:rFonts w:hint="default"/>
      <w:kern w:val="2"/>
      <w:sz w:val="24"/>
      <w:szCs w:val="24"/>
    </w:rPr>
  </w:style>
  <w:style w:type="character" w:customStyle="1" w:styleId="1Char2">
    <w:name w:val="正文样式1 Char"/>
    <w:link w:val="1ff"/>
    <w:unhideWhenUsed/>
    <w:qFormat/>
    <w:rPr>
      <w:rFonts w:hint="default"/>
      <w:sz w:val="24"/>
      <w:szCs w:val="24"/>
    </w:rPr>
  </w:style>
  <w:style w:type="character" w:customStyle="1" w:styleId="copy1">
    <w:name w:val="copy1"/>
    <w:unhideWhenUsed/>
    <w:qFormat/>
    <w:rPr>
      <w:rFonts w:hint="default"/>
      <w:color w:val="333333"/>
      <w:sz w:val="20"/>
      <w:szCs w:val="24"/>
    </w:rPr>
  </w:style>
  <w:style w:type="character" w:customStyle="1" w:styleId="lv3">
    <w:name w:val="lv3"/>
    <w:unhideWhenUsed/>
    <w:qFormat/>
    <w:rPr>
      <w:rFonts w:hint="default"/>
      <w:color w:val="2E7713"/>
      <w:spacing w:val="375"/>
      <w:sz w:val="20"/>
      <w:szCs w:val="24"/>
    </w:rPr>
  </w:style>
  <w:style w:type="character" w:customStyle="1" w:styleId="t1">
    <w:name w:val="t1"/>
    <w:unhideWhenUsed/>
    <w:qFormat/>
    <w:rPr>
      <w:rFonts w:hint="default"/>
      <w:spacing w:val="-400"/>
      <w:sz w:val="24"/>
      <w:szCs w:val="24"/>
    </w:rPr>
  </w:style>
  <w:style w:type="character" w:customStyle="1" w:styleId="small1">
    <w:name w:val="small1"/>
    <w:unhideWhenUsed/>
    <w:qFormat/>
    <w:rPr>
      <w:rFonts w:hint="default"/>
      <w:sz w:val="18"/>
      <w:szCs w:val="24"/>
    </w:rPr>
  </w:style>
  <w:style w:type="character" w:customStyle="1" w:styleId="px141">
    <w:name w:val="px141"/>
    <w:unhideWhenUsed/>
    <w:qFormat/>
    <w:rPr>
      <w:rFonts w:hint="default"/>
      <w:spacing w:val="400"/>
      <w:sz w:val="28"/>
      <w:szCs w:val="24"/>
    </w:rPr>
  </w:style>
  <w:style w:type="character" w:customStyle="1" w:styleId="style31">
    <w:name w:val="style31"/>
    <w:unhideWhenUsed/>
    <w:qFormat/>
    <w:rPr>
      <w:rFonts w:hint="default"/>
      <w:sz w:val="28"/>
      <w:szCs w:val="24"/>
    </w:rPr>
  </w:style>
  <w:style w:type="character" w:customStyle="1" w:styleId="a11">
    <w:name w:val="a11"/>
    <w:unhideWhenUsed/>
    <w:qFormat/>
    <w:rPr>
      <w:rFonts w:hint="default"/>
      <w:color w:val="000000"/>
      <w:spacing w:val="312"/>
      <w:sz w:val="28"/>
      <w:szCs w:val="24"/>
    </w:rPr>
  </w:style>
  <w:style w:type="character" w:customStyle="1" w:styleId="1b1H111CharchapOGHeadiChar">
    <w:name w:val="样式 标题 1章节标题b1H1章标题 1标题 1 Char一级标题，黑粗，三号，序号章chapOG Headi... Char"/>
    <w:link w:val="1b1H111CharchapOGHeadi"/>
    <w:unhideWhenUsed/>
    <w:qFormat/>
    <w:rPr>
      <w:rFonts w:ascii="宋体" w:eastAsia="宋体" w:hint="eastAsia"/>
      <w:b/>
      <w:color w:val="000000"/>
      <w:sz w:val="32"/>
      <w:szCs w:val="24"/>
    </w:rPr>
  </w:style>
  <w:style w:type="character" w:customStyle="1" w:styleId="Footer1Char1">
    <w:name w:val="Footer1 Char1"/>
    <w:unhideWhenUsed/>
    <w:qFormat/>
    <w:rPr>
      <w:rFonts w:eastAsia="仿宋_GB2312" w:hint="default"/>
      <w:kern w:val="2"/>
      <w:sz w:val="18"/>
      <w:szCs w:val="24"/>
      <w:lang w:val="en-US" w:eastAsia="zh-CN"/>
    </w:rPr>
  </w:style>
  <w:style w:type="character" w:customStyle="1" w:styleId="2CharChar11">
    <w:name w:val="正文文字缩进 2 Char Char1"/>
    <w:unhideWhenUsed/>
    <w:qFormat/>
    <w:rPr>
      <w:rFonts w:ascii="仿宋_GB2312" w:eastAsia="仿宋_GB2312" w:hint="eastAsia"/>
      <w:kern w:val="2"/>
      <w:sz w:val="28"/>
      <w:szCs w:val="24"/>
      <w:lang w:val="en-US" w:eastAsia="zh-CN"/>
    </w:rPr>
  </w:style>
  <w:style w:type="character" w:customStyle="1" w:styleId="3CharChar11">
    <w:name w:val="正文文字缩进 3 Char Char1"/>
    <w:unhideWhenUsed/>
    <w:qFormat/>
    <w:rPr>
      <w:rFonts w:ascii="仿宋_GB2312" w:eastAsia="仿宋_GB2312" w:hint="eastAsia"/>
      <w:kern w:val="2"/>
      <w:sz w:val="28"/>
      <w:szCs w:val="24"/>
      <w:lang w:val="en-US" w:eastAsia="zh-CN"/>
    </w:rPr>
  </w:style>
  <w:style w:type="character" w:customStyle="1" w:styleId="2CharChara">
    <w:name w:val="正文文字缩进 2 Char Char"/>
    <w:unhideWhenUsed/>
    <w:qFormat/>
    <w:rPr>
      <w:rFonts w:hint="default"/>
      <w:kern w:val="2"/>
      <w:sz w:val="28"/>
      <w:szCs w:val="24"/>
    </w:rPr>
  </w:style>
  <w:style w:type="character" w:customStyle="1" w:styleId="3CharChar4">
    <w:name w:val="正文文字缩进 3 Char Char"/>
    <w:unhideWhenUsed/>
    <w:qFormat/>
    <w:rPr>
      <w:rFonts w:ascii="仿宋_GB2312" w:eastAsia="仿宋_GB2312" w:hint="eastAsia"/>
      <w:kern w:val="2"/>
      <w:sz w:val="28"/>
      <w:szCs w:val="24"/>
    </w:rPr>
  </w:style>
  <w:style w:type="character" w:customStyle="1" w:styleId="EmailStyle284">
    <w:name w:val="EmailStyle284"/>
    <w:unhideWhenUsed/>
    <w:qFormat/>
    <w:rPr>
      <w:rFonts w:ascii="Arial" w:eastAsia="宋体" w:hAnsi="Arial" w:hint="eastAsia"/>
      <w:color w:val="auto"/>
      <w:sz w:val="20"/>
      <w:szCs w:val="24"/>
    </w:rPr>
  </w:style>
  <w:style w:type="character" w:customStyle="1" w:styleId="EmailStyle285">
    <w:name w:val="EmailStyle285"/>
    <w:unhideWhenUsed/>
    <w:qFormat/>
    <w:rPr>
      <w:rFonts w:ascii="Arial" w:eastAsia="宋体" w:hAnsi="Arial" w:hint="eastAsia"/>
      <w:color w:val="auto"/>
      <w:sz w:val="20"/>
      <w:szCs w:val="24"/>
    </w:rPr>
  </w:style>
  <w:style w:type="character" w:customStyle="1" w:styleId="Charffffffe">
    <w:name w:val="普通(网站) Char"/>
    <w:unhideWhenUsed/>
    <w:qFormat/>
    <w:rPr>
      <w:rFonts w:hint="default"/>
      <w:kern w:val="2"/>
      <w:sz w:val="18"/>
      <w:szCs w:val="24"/>
    </w:rPr>
  </w:style>
  <w:style w:type="character" w:customStyle="1" w:styleId="2Char11">
    <w:name w:val="正文文本 2 Char1"/>
    <w:unhideWhenUsed/>
    <w:qFormat/>
    <w:rPr>
      <w:rFonts w:eastAsia="仿宋_GB2312" w:hint="default"/>
      <w:kern w:val="2"/>
      <w:sz w:val="30"/>
      <w:szCs w:val="24"/>
    </w:rPr>
  </w:style>
  <w:style w:type="character" w:customStyle="1" w:styleId="Char1f6">
    <w:name w:val="文档结构图 Char1"/>
    <w:unhideWhenUsed/>
    <w:qFormat/>
    <w:rPr>
      <w:rFonts w:ascii="宋体" w:eastAsia="宋体" w:hint="eastAsia"/>
      <w:kern w:val="2"/>
      <w:sz w:val="18"/>
      <w:szCs w:val="24"/>
    </w:rPr>
  </w:style>
  <w:style w:type="character" w:customStyle="1" w:styleId="Char1f7">
    <w:name w:val="批注框文本 Char1"/>
    <w:unhideWhenUsed/>
    <w:qFormat/>
    <w:rPr>
      <w:rFonts w:eastAsia="仿宋_GB2312" w:hint="default"/>
      <w:kern w:val="2"/>
      <w:sz w:val="18"/>
      <w:szCs w:val="24"/>
    </w:rPr>
  </w:style>
  <w:style w:type="character" w:customStyle="1" w:styleId="Char1f8">
    <w:name w:val="正文首行缩进 Char1"/>
    <w:unhideWhenUsed/>
    <w:qFormat/>
    <w:rPr>
      <w:rFonts w:ascii="仿宋_GB2312" w:eastAsia="仿宋_GB2312" w:hint="eastAsia"/>
      <w:kern w:val="2"/>
      <w:sz w:val="30"/>
      <w:szCs w:val="24"/>
      <w:lang w:val="en-US" w:eastAsia="zh-CN"/>
    </w:rPr>
  </w:style>
  <w:style w:type="character" w:customStyle="1" w:styleId="EmailStyle362">
    <w:name w:val="EmailStyle362"/>
    <w:unhideWhenUsed/>
    <w:qFormat/>
    <w:rPr>
      <w:rFonts w:ascii="Arial" w:eastAsia="宋体" w:hAnsi="Arial" w:hint="eastAsia"/>
      <w:color w:val="auto"/>
      <w:sz w:val="20"/>
      <w:szCs w:val="24"/>
    </w:rPr>
  </w:style>
  <w:style w:type="character" w:customStyle="1" w:styleId="EmailStyle363">
    <w:name w:val="EmailStyle363"/>
    <w:unhideWhenUsed/>
    <w:qFormat/>
    <w:rPr>
      <w:rFonts w:ascii="Arial" w:eastAsia="宋体" w:hAnsi="Arial" w:hint="eastAsia"/>
      <w:color w:val="auto"/>
      <w:sz w:val="20"/>
      <w:szCs w:val="24"/>
    </w:rPr>
  </w:style>
  <w:style w:type="character" w:customStyle="1" w:styleId="Char1f9">
    <w:name w:val="尾注文本 Char1"/>
    <w:unhideWhenUsed/>
    <w:qFormat/>
    <w:rPr>
      <w:rFonts w:eastAsia="仿宋_GB2312" w:hint="default"/>
      <w:kern w:val="2"/>
      <w:sz w:val="30"/>
      <w:szCs w:val="24"/>
    </w:rPr>
  </w:style>
  <w:style w:type="character" w:customStyle="1" w:styleId="Char1fa">
    <w:name w:val="脚注文本 Char1"/>
    <w:unhideWhenUsed/>
    <w:qFormat/>
    <w:rPr>
      <w:rFonts w:eastAsia="仿宋_GB2312" w:hint="default"/>
      <w:kern w:val="2"/>
      <w:sz w:val="18"/>
      <w:szCs w:val="24"/>
    </w:rPr>
  </w:style>
  <w:style w:type="character" w:customStyle="1" w:styleId="EmailStyle404">
    <w:name w:val="EmailStyle404"/>
    <w:unhideWhenUsed/>
    <w:qFormat/>
    <w:rPr>
      <w:rFonts w:ascii="Arial" w:eastAsia="宋体" w:hAnsi="Arial" w:hint="eastAsia"/>
      <w:color w:val="auto"/>
      <w:sz w:val="20"/>
      <w:szCs w:val="24"/>
    </w:rPr>
  </w:style>
  <w:style w:type="character" w:customStyle="1" w:styleId="EmailStyle405">
    <w:name w:val="EmailStyle405"/>
    <w:unhideWhenUsed/>
    <w:qFormat/>
    <w:rPr>
      <w:rFonts w:ascii="Arial" w:eastAsia="宋体" w:hAnsi="Arial" w:hint="eastAsia"/>
      <w:color w:val="auto"/>
      <w:sz w:val="20"/>
      <w:szCs w:val="24"/>
    </w:rPr>
  </w:style>
  <w:style w:type="character" w:customStyle="1" w:styleId="EmailStyle420">
    <w:name w:val="EmailStyle420"/>
    <w:unhideWhenUsed/>
    <w:qFormat/>
    <w:rPr>
      <w:rFonts w:ascii="Arial" w:eastAsia="宋体" w:hAnsi="Arial" w:hint="eastAsia"/>
      <w:color w:val="auto"/>
      <w:sz w:val="20"/>
      <w:szCs w:val="24"/>
    </w:rPr>
  </w:style>
  <w:style w:type="character" w:customStyle="1" w:styleId="EmailStyle421">
    <w:name w:val="EmailStyle421"/>
    <w:unhideWhenUsed/>
    <w:qFormat/>
    <w:rPr>
      <w:rFonts w:ascii="Arial" w:eastAsia="宋体" w:hAnsi="Arial" w:hint="eastAsia"/>
      <w:color w:val="auto"/>
      <w:sz w:val="20"/>
      <w:szCs w:val="24"/>
    </w:rPr>
  </w:style>
  <w:style w:type="character" w:customStyle="1" w:styleId="EmailStyle422">
    <w:name w:val="EmailStyle422"/>
    <w:unhideWhenUsed/>
    <w:qFormat/>
    <w:rPr>
      <w:rFonts w:ascii="Arial" w:eastAsia="宋体" w:hAnsi="Arial" w:hint="eastAsia"/>
      <w:color w:val="auto"/>
      <w:sz w:val="20"/>
      <w:szCs w:val="24"/>
    </w:rPr>
  </w:style>
  <w:style w:type="character" w:customStyle="1" w:styleId="EmailStyle423">
    <w:name w:val="EmailStyle423"/>
    <w:unhideWhenUsed/>
    <w:qFormat/>
    <w:rPr>
      <w:rFonts w:ascii="Arial" w:eastAsia="宋体" w:hAnsi="Arial" w:hint="eastAsia"/>
      <w:color w:val="auto"/>
      <w:sz w:val="20"/>
      <w:szCs w:val="24"/>
    </w:rPr>
  </w:style>
  <w:style w:type="character" w:customStyle="1" w:styleId="EmailStyle424">
    <w:name w:val="EmailStyle424"/>
    <w:unhideWhenUsed/>
    <w:qFormat/>
    <w:rPr>
      <w:rFonts w:ascii="Arial" w:eastAsia="宋体" w:hAnsi="Arial" w:hint="eastAsia"/>
      <w:color w:val="auto"/>
      <w:sz w:val="20"/>
      <w:szCs w:val="24"/>
    </w:rPr>
  </w:style>
  <w:style w:type="character" w:customStyle="1" w:styleId="EmailStyle425">
    <w:name w:val="EmailStyle425"/>
    <w:unhideWhenUsed/>
    <w:qFormat/>
    <w:rPr>
      <w:rFonts w:ascii="Arial" w:eastAsia="宋体" w:hAnsi="Arial" w:hint="eastAsia"/>
      <w:color w:val="auto"/>
      <w:sz w:val="20"/>
      <w:szCs w:val="24"/>
    </w:rPr>
  </w:style>
  <w:style w:type="character" w:customStyle="1" w:styleId="11CharCharCharCharC">
    <w:name w:val="节标题 1.1 Char Char Char Char C"/>
    <w:unhideWhenUsed/>
    <w:qFormat/>
    <w:rPr>
      <w:rFonts w:eastAsia="宋体" w:hint="default"/>
      <w:b/>
      <w:kern w:val="2"/>
      <w:sz w:val="24"/>
      <w:szCs w:val="24"/>
      <w:lang w:val="en-US" w:eastAsia="zh-CN"/>
    </w:rPr>
  </w:style>
  <w:style w:type="character" w:customStyle="1" w:styleId="1CharCharCharChar0">
    <w:name w:val="正文1 Char Char Char Char"/>
    <w:unhideWhenUsed/>
    <w:qFormat/>
    <w:rPr>
      <w:rFonts w:eastAsia="宋体" w:hint="default"/>
      <w:kern w:val="2"/>
      <w:sz w:val="24"/>
      <w:szCs w:val="24"/>
      <w:lang w:val="en-US" w:eastAsia="zh-CN"/>
    </w:rPr>
  </w:style>
  <w:style w:type="character" w:customStyle="1" w:styleId="111CharCharCharCharCharCharCharCharCharChar">
    <w:name w:val="条标题1.1.1 Char Char Char Char Char Char Char Char Char Char"/>
    <w:unhideWhenUsed/>
    <w:qFormat/>
    <w:rPr>
      <w:rFonts w:ascii="宋体" w:eastAsia="宋体" w:hAnsi="宋体" w:hint="eastAsia"/>
      <w:b/>
      <w:kern w:val="2"/>
      <w:sz w:val="24"/>
      <w:szCs w:val="24"/>
      <w:lang w:val="en-US" w:eastAsia="zh-CN"/>
    </w:rPr>
  </w:style>
  <w:style w:type="character" w:customStyle="1" w:styleId="text-small1">
    <w:name w:val="text-small1"/>
    <w:unhideWhenUsed/>
    <w:qFormat/>
    <w:rPr>
      <w:rFonts w:hint="default"/>
      <w:spacing w:val="12"/>
      <w:sz w:val="16"/>
      <w:szCs w:val="24"/>
    </w:rPr>
  </w:style>
  <w:style w:type="character" w:customStyle="1" w:styleId="Charffffb">
    <w:name w:val="正文（不缩进） Char"/>
    <w:link w:val="afffffffffffffffffffd"/>
    <w:unhideWhenUsed/>
    <w:qFormat/>
    <w:rPr>
      <w:rFonts w:hint="default"/>
      <w:sz w:val="24"/>
      <w:szCs w:val="24"/>
    </w:rPr>
  </w:style>
  <w:style w:type="character" w:customStyle="1" w:styleId="MANUALChar">
    <w:name w:val="MANUAL Char"/>
    <w:link w:val="MANUAL"/>
    <w:unhideWhenUsed/>
    <w:qFormat/>
    <w:rPr>
      <w:rFonts w:ascii="MS Mincho" w:eastAsia="MS Mincho" w:hint="eastAsia"/>
      <w:spacing w:val="-20"/>
      <w:sz w:val="22"/>
      <w:szCs w:val="24"/>
      <w:lang w:eastAsia="ja-JP"/>
    </w:rPr>
  </w:style>
  <w:style w:type="character" w:customStyle="1" w:styleId="Char1fb">
    <w:name w:val="信息标题 Char1"/>
    <w:unhideWhenUsed/>
    <w:qFormat/>
    <w:rPr>
      <w:rFonts w:ascii="Cambria" w:eastAsia="宋体" w:hAnsi="Cambria" w:hint="eastAsia"/>
      <w:kern w:val="2"/>
      <w:sz w:val="24"/>
      <w:szCs w:val="24"/>
      <w:shd w:val="pct20" w:color="auto" w:fill="auto"/>
    </w:rPr>
  </w:style>
  <w:style w:type="character" w:customStyle="1" w:styleId="EmailStyle4361">
    <w:name w:val="EmailStyle4361"/>
    <w:unhideWhenUsed/>
    <w:qFormat/>
    <w:rPr>
      <w:rFonts w:ascii="Arial" w:eastAsia="宋体" w:hAnsi="Arial" w:hint="eastAsia"/>
      <w:color w:val="auto"/>
      <w:sz w:val="20"/>
      <w:szCs w:val="24"/>
    </w:rPr>
  </w:style>
  <w:style w:type="character" w:customStyle="1" w:styleId="EmailStyle4371">
    <w:name w:val="EmailStyle4371"/>
    <w:unhideWhenUsed/>
    <w:qFormat/>
    <w:rPr>
      <w:rFonts w:ascii="Arial" w:eastAsia="宋体" w:hAnsi="Arial" w:hint="eastAsia"/>
      <w:color w:val="auto"/>
      <w:sz w:val="20"/>
      <w:szCs w:val="24"/>
    </w:rPr>
  </w:style>
  <w:style w:type="character" w:customStyle="1" w:styleId="articlebody1">
    <w:name w:val="articlebody1"/>
    <w:unhideWhenUsed/>
    <w:qFormat/>
    <w:rPr>
      <w:rFonts w:hint="default"/>
      <w:color w:val="333333"/>
      <w:sz w:val="21"/>
      <w:szCs w:val="24"/>
    </w:rPr>
  </w:style>
  <w:style w:type="character" w:customStyle="1" w:styleId="Charffffc">
    <w:name w:val="正缩 Char"/>
    <w:link w:val="affffffffffffffffffff3"/>
    <w:unhideWhenUsed/>
    <w:qFormat/>
    <w:rPr>
      <w:rFonts w:hint="default"/>
      <w:kern w:val="2"/>
      <w:sz w:val="24"/>
      <w:szCs w:val="24"/>
    </w:rPr>
  </w:style>
  <w:style w:type="character" w:customStyle="1" w:styleId="3CharCharChar0">
    <w:name w:val="正文3 Char Char Char"/>
    <w:link w:val="3CharChar0"/>
    <w:unhideWhenUsed/>
    <w:qFormat/>
    <w:rPr>
      <w:rFonts w:ascii="宋体" w:eastAsia="宋体" w:hint="eastAsia"/>
      <w:kern w:val="2"/>
      <w:sz w:val="28"/>
      <w:szCs w:val="24"/>
      <w:lang w:val="zh-CN"/>
    </w:rPr>
  </w:style>
  <w:style w:type="character" w:customStyle="1" w:styleId="CharCharChar7">
    <w:name w:val="表头 Char Char Char"/>
    <w:unhideWhenUsed/>
    <w:qFormat/>
    <w:rPr>
      <w:rFonts w:ascii="黑体" w:eastAsia="黑体" w:hint="eastAsia"/>
      <w:b/>
      <w:kern w:val="2"/>
      <w:sz w:val="24"/>
      <w:szCs w:val="24"/>
      <w:lang w:val="en-US" w:eastAsia="zh-CN"/>
    </w:rPr>
  </w:style>
  <w:style w:type="character" w:customStyle="1" w:styleId="Charfffffff">
    <w:name w:val="样式 普通文字 + (符号) 宋体 小四 Char"/>
    <w:unhideWhenUsed/>
    <w:qFormat/>
    <w:rPr>
      <w:rFonts w:ascii="宋体" w:eastAsia="宋体" w:hAnsi="Courier New" w:hint="eastAsia"/>
      <w:kern w:val="2"/>
      <w:sz w:val="24"/>
      <w:szCs w:val="24"/>
      <w:lang w:val="en-US" w:eastAsia="zh-CN"/>
    </w:rPr>
  </w:style>
  <w:style w:type="character" w:customStyle="1" w:styleId="p10-51">
    <w:name w:val="p10-51"/>
    <w:unhideWhenUsed/>
    <w:qFormat/>
    <w:rPr>
      <w:rFonts w:ascii="宋体" w:eastAsia="宋体" w:hAnsi="宋体" w:hint="eastAsia"/>
      <w:sz w:val="21"/>
      <w:szCs w:val="24"/>
    </w:rPr>
  </w:style>
  <w:style w:type="character" w:customStyle="1" w:styleId="Charffffd">
    <w:name w:val="表名，单位 Char"/>
    <w:link w:val="affffffffffffffffffffa"/>
    <w:unhideWhenUsed/>
    <w:qFormat/>
    <w:rPr>
      <w:rFonts w:ascii="宋体" w:eastAsia="宋体" w:hint="eastAsia"/>
      <w:b/>
      <w:spacing w:val="-4"/>
      <w:kern w:val="2"/>
      <w:sz w:val="24"/>
      <w:szCs w:val="24"/>
    </w:rPr>
  </w:style>
  <w:style w:type="character" w:customStyle="1" w:styleId="2CharCharb">
    <w:name w:val="正文2 Char Char"/>
    <w:unhideWhenUsed/>
    <w:qFormat/>
    <w:rPr>
      <w:rFonts w:eastAsia="宋体" w:hint="default"/>
      <w:kern w:val="2"/>
      <w:sz w:val="21"/>
      <w:szCs w:val="24"/>
      <w:lang w:val="en-US" w:eastAsia="zh-CN"/>
    </w:rPr>
  </w:style>
  <w:style w:type="character" w:customStyle="1" w:styleId="Char2e">
    <w:name w:val="表号 Char2"/>
    <w:unhideWhenUsed/>
    <w:qFormat/>
    <w:rPr>
      <w:rFonts w:eastAsia="宋体" w:hint="default"/>
      <w:color w:val="000000"/>
      <w:sz w:val="24"/>
      <w:szCs w:val="24"/>
      <w:lang w:val="en-US" w:eastAsia="zh-CN"/>
    </w:rPr>
  </w:style>
  <w:style w:type="character" w:customStyle="1" w:styleId="hei18-b">
    <w:name w:val="hei18-b"/>
    <w:basedOn w:val="a6"/>
    <w:unhideWhenUsed/>
    <w:qFormat/>
    <w:rPr>
      <w:rFonts w:cs="Times New Roman" w:hint="default"/>
      <w:sz w:val="24"/>
      <w:szCs w:val="24"/>
    </w:rPr>
  </w:style>
  <w:style w:type="character" w:customStyle="1" w:styleId="content11">
    <w:name w:val="content11"/>
    <w:unhideWhenUsed/>
    <w:qFormat/>
    <w:rPr>
      <w:rFonts w:ascii="??" w:hint="default"/>
      <w:color w:val="000000"/>
      <w:sz w:val="18"/>
      <w:szCs w:val="24"/>
    </w:rPr>
  </w:style>
  <w:style w:type="character" w:customStyle="1" w:styleId="nfont6">
    <w:name w:val="nfont6"/>
    <w:unhideWhenUsed/>
    <w:qFormat/>
    <w:rPr>
      <w:rFonts w:hint="default"/>
      <w:color w:val="FF0000"/>
      <w:spacing w:val="335"/>
      <w:sz w:val="27"/>
      <w:szCs w:val="24"/>
    </w:rPr>
  </w:style>
  <w:style w:type="character" w:customStyle="1" w:styleId="unnamed21">
    <w:name w:val="unnamed21"/>
    <w:unhideWhenUsed/>
    <w:qFormat/>
    <w:rPr>
      <w:rFonts w:hint="default"/>
      <w:color w:val="330000"/>
      <w:sz w:val="21"/>
      <w:szCs w:val="24"/>
    </w:rPr>
  </w:style>
  <w:style w:type="character" w:customStyle="1" w:styleId="line31">
    <w:name w:val="line31"/>
    <w:unhideWhenUsed/>
    <w:qFormat/>
    <w:rPr>
      <w:rFonts w:hint="default"/>
      <w:color w:val="993333"/>
      <w:spacing w:val="360"/>
      <w:sz w:val="24"/>
      <w:szCs w:val="24"/>
    </w:rPr>
  </w:style>
  <w:style w:type="character" w:customStyle="1" w:styleId="line41">
    <w:name w:val="line41"/>
    <w:unhideWhenUsed/>
    <w:qFormat/>
    <w:rPr>
      <w:rFonts w:hint="default"/>
      <w:spacing w:val="300"/>
      <w:sz w:val="24"/>
      <w:szCs w:val="24"/>
    </w:rPr>
  </w:style>
  <w:style w:type="character" w:customStyle="1" w:styleId="Charffe">
    <w:name w:val="表、图名 Char"/>
    <w:link w:val="affffffffff2"/>
    <w:unhideWhenUsed/>
    <w:qFormat/>
    <w:rPr>
      <w:rFonts w:ascii="宋体" w:eastAsia="宋体" w:hint="eastAsia"/>
      <w:b/>
      <w:color w:val="000000"/>
      <w:sz w:val="24"/>
      <w:szCs w:val="24"/>
    </w:rPr>
  </w:style>
  <w:style w:type="character" w:customStyle="1" w:styleId="Charffffa">
    <w:name w:val="报告书正文 Char"/>
    <w:link w:val="afffffffffffffffffff9"/>
    <w:unhideWhenUsed/>
    <w:qFormat/>
    <w:rPr>
      <w:rFonts w:ascii="宋体" w:eastAsia="宋体" w:hint="eastAsia"/>
      <w:color w:val="000000"/>
      <w:kern w:val="2"/>
      <w:sz w:val="24"/>
      <w:szCs w:val="24"/>
    </w:rPr>
  </w:style>
  <w:style w:type="character" w:customStyle="1" w:styleId="1Char7">
    <w:name w:val="表头1 Char"/>
    <w:link w:val="1ffff4"/>
    <w:unhideWhenUsed/>
    <w:qFormat/>
    <w:rPr>
      <w:rFonts w:eastAsia="黑体" w:hint="default"/>
      <w:sz w:val="21"/>
      <w:szCs w:val="24"/>
    </w:rPr>
  </w:style>
  <w:style w:type="character" w:customStyle="1" w:styleId="1Char12">
    <w:name w:val="目标题 1) Char1"/>
    <w:unhideWhenUsed/>
    <w:qFormat/>
    <w:rPr>
      <w:rFonts w:ascii="Arial" w:eastAsia="黑体" w:hAnsi="Arial" w:hint="eastAsia"/>
      <w:sz w:val="28"/>
      <w:szCs w:val="24"/>
      <w:lang w:val="en-US" w:eastAsia="zh-CN"/>
    </w:rPr>
  </w:style>
  <w:style w:type="character" w:customStyle="1" w:styleId="aChar1">
    <w:name w:val="干标题(a) Char1"/>
    <w:unhideWhenUsed/>
    <w:qFormat/>
    <w:rPr>
      <w:rFonts w:ascii="Arial" w:eastAsia="黑体" w:hAnsi="Arial" w:hint="eastAsia"/>
      <w:sz w:val="21"/>
      <w:szCs w:val="24"/>
      <w:lang w:val="en-US" w:eastAsia="zh-CN"/>
    </w:rPr>
  </w:style>
  <w:style w:type="character" w:customStyle="1" w:styleId="text1217191">
    <w:name w:val="text_1217191"/>
    <w:unhideWhenUsed/>
    <w:qFormat/>
    <w:rPr>
      <w:rFonts w:hint="default"/>
      <w:color w:val="121719"/>
      <w:spacing w:val="272"/>
      <w:sz w:val="24"/>
      <w:szCs w:val="24"/>
    </w:rPr>
  </w:style>
  <w:style w:type="character" w:customStyle="1" w:styleId="001Char0">
    <w:name w:val="001 Char"/>
    <w:unhideWhenUsed/>
    <w:qFormat/>
    <w:rPr>
      <w:rFonts w:ascii="宋体" w:eastAsia="宋体" w:hint="eastAsia"/>
      <w:kern w:val="28"/>
      <w:sz w:val="32"/>
      <w:szCs w:val="24"/>
    </w:rPr>
  </w:style>
  <w:style w:type="character" w:customStyle="1" w:styleId="DateChar">
    <w:name w:val="Date Char"/>
    <w:unhideWhenUsed/>
    <w:qFormat/>
    <w:rPr>
      <w:rFonts w:ascii="Times New Roman" w:eastAsia="宋体" w:hAnsi="Times New Roman" w:hint="eastAsia"/>
      <w:kern w:val="28"/>
      <w:sz w:val="20"/>
      <w:szCs w:val="24"/>
    </w:rPr>
  </w:style>
  <w:style w:type="character" w:customStyle="1" w:styleId="Char3Char11">
    <w:name w:val="Char3 Char11"/>
    <w:unhideWhenUsed/>
    <w:qFormat/>
    <w:rPr>
      <w:rFonts w:eastAsia="宋体" w:hint="default"/>
      <w:kern w:val="2"/>
      <w:sz w:val="18"/>
      <w:szCs w:val="24"/>
      <w:lang w:val="en-US" w:eastAsia="zh-CN"/>
    </w:rPr>
  </w:style>
  <w:style w:type="character" w:customStyle="1" w:styleId="Char5Char1">
    <w:name w:val="Char5 Char1"/>
    <w:unhideWhenUsed/>
    <w:qFormat/>
    <w:rPr>
      <w:rFonts w:eastAsia="宋体" w:hint="default"/>
      <w:kern w:val="2"/>
      <w:sz w:val="28"/>
      <w:szCs w:val="24"/>
      <w:lang w:val="en-US" w:eastAsia="zh-CN"/>
    </w:rPr>
  </w:style>
  <w:style w:type="character" w:customStyle="1" w:styleId="Char4Char1">
    <w:name w:val="Char4 Char1"/>
    <w:unhideWhenUsed/>
    <w:qFormat/>
    <w:rPr>
      <w:rFonts w:ascii="宋体" w:eastAsia="宋体" w:hint="eastAsia"/>
      <w:color w:val="000000"/>
      <w:kern w:val="2"/>
      <w:sz w:val="24"/>
      <w:szCs w:val="24"/>
    </w:rPr>
  </w:style>
  <w:style w:type="character" w:customStyle="1" w:styleId="CharCharChar8">
    <w:name w:val="正文文字 Char Char Char"/>
    <w:unhideWhenUsed/>
    <w:qFormat/>
    <w:rPr>
      <w:rFonts w:eastAsia="宋体" w:hint="default"/>
      <w:kern w:val="2"/>
      <w:sz w:val="24"/>
      <w:szCs w:val="24"/>
      <w:lang w:val="en-US" w:eastAsia="zh-CN"/>
    </w:rPr>
  </w:style>
  <w:style w:type="character" w:customStyle="1" w:styleId="1Char21">
    <w:name w:val="项标题(1) Char2"/>
    <w:unhideWhenUsed/>
    <w:qFormat/>
    <w:rPr>
      <w:rFonts w:ascii="新宋体" w:eastAsia="仿宋_GB2312" w:hAnsi="新宋体" w:hint="eastAsia"/>
      <w:b/>
      <w:kern w:val="2"/>
      <w:sz w:val="24"/>
      <w:szCs w:val="24"/>
      <w:lang w:val="en-US" w:eastAsia="zh-CN"/>
    </w:rPr>
  </w:style>
  <w:style w:type="character" w:customStyle="1" w:styleId="5HChar">
    <w:name w:val="表头5H Char"/>
    <w:link w:val="5H"/>
    <w:unhideWhenUsed/>
    <w:qFormat/>
    <w:rPr>
      <w:rFonts w:ascii="黑体" w:eastAsia="黑体" w:hint="eastAsia"/>
      <w:kern w:val="2"/>
      <w:sz w:val="24"/>
      <w:szCs w:val="24"/>
    </w:rPr>
  </w:style>
  <w:style w:type="character" w:customStyle="1" w:styleId="0Char">
    <w:name w:val="0 Char"/>
    <w:link w:val="06"/>
    <w:unhideWhenUsed/>
    <w:qFormat/>
    <w:rPr>
      <w:rFonts w:hint="default"/>
      <w:color w:val="000000"/>
      <w:sz w:val="21"/>
      <w:szCs w:val="24"/>
    </w:rPr>
  </w:style>
  <w:style w:type="character" w:customStyle="1" w:styleId="Charffffe">
    <w:name w:val="规划 表格内容 Char"/>
    <w:link w:val="afffffffffffffffffffff8"/>
    <w:unhideWhenUsed/>
    <w:qFormat/>
    <w:rPr>
      <w:rFonts w:hint="default"/>
      <w:color w:val="000000"/>
      <w:sz w:val="18"/>
      <w:szCs w:val="24"/>
    </w:rPr>
  </w:style>
  <w:style w:type="character" w:customStyle="1" w:styleId="Charfffff">
    <w:name w:val="规划 正文 Char"/>
    <w:link w:val="afffffffffffffffffffff9"/>
    <w:unhideWhenUsed/>
    <w:qFormat/>
    <w:rPr>
      <w:rFonts w:hint="default"/>
      <w:sz w:val="21"/>
      <w:szCs w:val="24"/>
    </w:rPr>
  </w:style>
  <w:style w:type="character" w:customStyle="1" w:styleId="hangju">
    <w:name w:val="hangju"/>
    <w:basedOn w:val="a6"/>
    <w:unhideWhenUsed/>
    <w:qFormat/>
    <w:rPr>
      <w:rFonts w:cs="Times New Roman" w:hint="default"/>
      <w:sz w:val="24"/>
      <w:szCs w:val="24"/>
    </w:rPr>
  </w:style>
  <w:style w:type="character" w:customStyle="1" w:styleId="2CharChar20">
    <w:name w:val="正文文字缩进 2 Char Char2"/>
    <w:unhideWhenUsed/>
    <w:qFormat/>
    <w:rPr>
      <w:rFonts w:ascii="宋体" w:eastAsia="宋体" w:hint="eastAsia"/>
      <w:kern w:val="2"/>
      <w:sz w:val="24"/>
      <w:szCs w:val="24"/>
      <w:lang w:val="en-US" w:eastAsia="zh-CN"/>
    </w:rPr>
  </w:style>
  <w:style w:type="character" w:customStyle="1" w:styleId="articlebody">
    <w:name w:val="articlebody"/>
    <w:basedOn w:val="a6"/>
    <w:unhideWhenUsed/>
    <w:qFormat/>
    <w:rPr>
      <w:rFonts w:cs="Times New Roman" w:hint="default"/>
      <w:sz w:val="24"/>
      <w:szCs w:val="24"/>
    </w:rPr>
  </w:style>
  <w:style w:type="character" w:customStyle="1" w:styleId="11111CharChar1">
    <w:name w:val="标题1.1.1.1.1 Char Char1"/>
    <w:unhideWhenUsed/>
    <w:qFormat/>
    <w:rPr>
      <w:rFonts w:eastAsia="宋体" w:hint="default"/>
      <w:b/>
      <w:kern w:val="2"/>
      <w:sz w:val="28"/>
      <w:szCs w:val="24"/>
      <w:lang w:val="en-US" w:eastAsia="zh-CN"/>
    </w:rPr>
  </w:style>
  <w:style w:type="character" w:customStyle="1" w:styleId="111111CharChar1">
    <w:name w:val="标题1.1.1.1.1.1 Char Char1"/>
    <w:unhideWhenUsed/>
    <w:qFormat/>
    <w:rPr>
      <w:rFonts w:ascii="Arial" w:eastAsia="黑体" w:hAnsi="Arial" w:hint="eastAsia"/>
      <w:b/>
      <w:kern w:val="2"/>
      <w:sz w:val="24"/>
      <w:szCs w:val="24"/>
      <w:lang w:val="en-US" w:eastAsia="zh-CN"/>
    </w:rPr>
  </w:style>
  <w:style w:type="character" w:customStyle="1" w:styleId="1CharChar10">
    <w:name w:val="项标题(1) Char Char1"/>
    <w:unhideWhenUsed/>
    <w:qFormat/>
    <w:rPr>
      <w:rFonts w:eastAsia="宋体" w:hint="default"/>
      <w:b/>
      <w:kern w:val="2"/>
      <w:sz w:val="24"/>
      <w:szCs w:val="24"/>
      <w:lang w:val="en-US" w:eastAsia="zh-CN"/>
    </w:rPr>
  </w:style>
  <w:style w:type="character" w:customStyle="1" w:styleId="1CharChar11">
    <w:name w:val="目标题 1) Char Char1"/>
    <w:unhideWhenUsed/>
    <w:qFormat/>
    <w:rPr>
      <w:rFonts w:ascii="Arial" w:eastAsia="黑体" w:hAnsi="Arial" w:hint="eastAsia"/>
      <w:kern w:val="2"/>
      <w:sz w:val="24"/>
      <w:szCs w:val="24"/>
      <w:lang w:val="en-US" w:eastAsia="zh-CN"/>
    </w:rPr>
  </w:style>
  <w:style w:type="character" w:customStyle="1" w:styleId="aCharChar2">
    <w:name w:val="干标题(a) Char Char2"/>
    <w:unhideWhenUsed/>
    <w:qFormat/>
    <w:rPr>
      <w:rFonts w:ascii="Arial" w:eastAsia="黑体" w:hAnsi="Arial" w:hint="eastAsia"/>
      <w:kern w:val="2"/>
      <w:sz w:val="21"/>
      <w:szCs w:val="24"/>
      <w:lang w:val="en-US" w:eastAsia="zh-CN"/>
    </w:rPr>
  </w:style>
  <w:style w:type="character" w:customStyle="1" w:styleId="z-Char1">
    <w:name w:val="z-窗体底端 Char1"/>
    <w:unhideWhenUsed/>
    <w:qFormat/>
    <w:rPr>
      <w:rFonts w:ascii="Arial" w:hint="default"/>
      <w:vanish/>
      <w:kern w:val="2"/>
      <w:sz w:val="16"/>
      <w:szCs w:val="24"/>
    </w:rPr>
  </w:style>
  <w:style w:type="character" w:customStyle="1" w:styleId="1Charf">
    <w:name w:val="样式 标题 1 + Char"/>
    <w:unhideWhenUsed/>
    <w:qFormat/>
    <w:rPr>
      <w:rFonts w:ascii="Arial" w:eastAsia="宋体" w:hAnsi="宋体" w:hint="eastAsia"/>
      <w:b/>
      <w:kern w:val="44"/>
      <w:sz w:val="44"/>
      <w:szCs w:val="24"/>
      <w:lang w:val="en-US" w:eastAsia="zh-CN"/>
    </w:rPr>
  </w:style>
  <w:style w:type="character" w:customStyle="1" w:styleId="Charfffff0">
    <w:name w:val="段落样式 Char"/>
    <w:link w:val="afffffffffffffffffffffd"/>
    <w:unhideWhenUsed/>
    <w:qFormat/>
    <w:rPr>
      <w:rFonts w:hint="default"/>
      <w:w w:val="80"/>
      <w:sz w:val="28"/>
      <w:szCs w:val="24"/>
    </w:rPr>
  </w:style>
  <w:style w:type="character" w:customStyle="1" w:styleId="txChar">
    <w:name w:val="正文.tx Char"/>
    <w:link w:val="tx"/>
    <w:unhideWhenUsed/>
    <w:qFormat/>
    <w:rPr>
      <w:rFonts w:hint="default"/>
      <w:kern w:val="2"/>
      <w:sz w:val="28"/>
      <w:szCs w:val="24"/>
    </w:rPr>
  </w:style>
  <w:style w:type="character" w:customStyle="1" w:styleId="12Char0">
    <w:name w:val="样式12 Char"/>
    <w:link w:val="127"/>
    <w:unhideWhenUsed/>
    <w:qFormat/>
    <w:rPr>
      <w:rFonts w:hint="default"/>
      <w:kern w:val="2"/>
      <w:sz w:val="18"/>
      <w:szCs w:val="24"/>
    </w:rPr>
  </w:style>
  <w:style w:type="character" w:customStyle="1" w:styleId="4Char5">
    <w:name w:val="样式 标题 4 + Char"/>
    <w:link w:val="4f7"/>
    <w:unhideWhenUsed/>
    <w:qFormat/>
    <w:rPr>
      <w:rFonts w:ascii="宋体" w:eastAsia="宋体" w:hint="eastAsia"/>
      <w:color w:val="000000"/>
      <w:sz w:val="24"/>
      <w:szCs w:val="24"/>
    </w:rPr>
  </w:style>
  <w:style w:type="character" w:customStyle="1" w:styleId="31Char">
    <w:name w:val="样式 标题 3一、样式 + 小四 黑色1 Char"/>
    <w:link w:val="316"/>
    <w:unhideWhenUsed/>
    <w:qFormat/>
    <w:rPr>
      <w:rFonts w:hint="default"/>
      <w:color w:val="000000"/>
      <w:sz w:val="24"/>
      <w:szCs w:val="24"/>
    </w:rPr>
  </w:style>
  <w:style w:type="character" w:customStyle="1" w:styleId="Charfffffff0">
    <w:name w:val="正 Char"/>
    <w:unhideWhenUsed/>
    <w:qFormat/>
    <w:rPr>
      <w:rFonts w:ascii="Times New Roman" w:hint="default"/>
      <w:kern w:val="2"/>
      <w:sz w:val="24"/>
      <w:szCs w:val="24"/>
    </w:rPr>
  </w:style>
  <w:style w:type="character" w:customStyle="1" w:styleId="3Char5">
    <w:name w:val="样式 标题 3一、样式 + Char"/>
    <w:link w:val="3fe"/>
    <w:unhideWhenUsed/>
    <w:qFormat/>
    <w:rPr>
      <w:rFonts w:hint="default"/>
      <w:b/>
      <w:sz w:val="24"/>
      <w:szCs w:val="24"/>
    </w:rPr>
  </w:style>
  <w:style w:type="character" w:customStyle="1" w:styleId="Charfffffff1">
    <w:name w:val="章标题(有序号) Char"/>
    <w:unhideWhenUsed/>
    <w:qFormat/>
    <w:rPr>
      <w:rFonts w:eastAsia="黑体" w:hint="default"/>
      <w:b/>
      <w:sz w:val="44"/>
      <w:szCs w:val="24"/>
      <w:lang w:val="zh-CN"/>
    </w:rPr>
  </w:style>
  <w:style w:type="character" w:customStyle="1" w:styleId="1CharChar7">
    <w:name w:val="标题1 Char Char"/>
    <w:unhideWhenUsed/>
    <w:qFormat/>
    <w:rPr>
      <w:rFonts w:ascii="Cambria" w:eastAsia="黑体" w:hAnsi="Cambria" w:hint="eastAsia"/>
      <w:b/>
      <w:kern w:val="2"/>
      <w:sz w:val="32"/>
      <w:szCs w:val="24"/>
    </w:rPr>
  </w:style>
  <w:style w:type="character" w:customStyle="1" w:styleId="1fffff1">
    <w:name w:val="不明显参考1"/>
    <w:unhideWhenUsed/>
    <w:qFormat/>
    <w:rPr>
      <w:rFonts w:hint="default"/>
      <w:smallCaps/>
      <w:color w:val="C0504D"/>
      <w:sz w:val="24"/>
      <w:szCs w:val="24"/>
      <w:u w:val="single"/>
    </w:rPr>
  </w:style>
  <w:style w:type="character" w:customStyle="1" w:styleId="1fffff2">
    <w:name w:val="明显参考1"/>
    <w:unhideWhenUsed/>
    <w:qFormat/>
    <w:rPr>
      <w:rFonts w:hint="default"/>
      <w:b/>
      <w:smallCaps/>
      <w:color w:val="C0504D"/>
      <w:spacing w:val="5"/>
      <w:sz w:val="24"/>
      <w:szCs w:val="24"/>
      <w:u w:val="single"/>
    </w:rPr>
  </w:style>
  <w:style w:type="character" w:customStyle="1" w:styleId="1fffff3">
    <w:name w:val="书籍标题1"/>
    <w:unhideWhenUsed/>
    <w:qFormat/>
    <w:rPr>
      <w:rFonts w:hint="default"/>
      <w:b/>
      <w:smallCaps/>
      <w:spacing w:val="5"/>
      <w:sz w:val="24"/>
      <w:szCs w:val="24"/>
    </w:rPr>
  </w:style>
  <w:style w:type="character" w:customStyle="1" w:styleId="40Char">
    <w:name w:val="标题40 Char"/>
    <w:link w:val="400"/>
    <w:unhideWhenUsed/>
    <w:qFormat/>
    <w:rPr>
      <w:rFonts w:hint="default"/>
      <w:b/>
      <w:kern w:val="2"/>
      <w:sz w:val="24"/>
      <w:szCs w:val="24"/>
    </w:rPr>
  </w:style>
  <w:style w:type="character" w:customStyle="1" w:styleId="1Char0">
    <w:name w:val="目录 1 Char"/>
    <w:link w:val="10"/>
    <w:uiPriority w:val="39"/>
    <w:unhideWhenUsed/>
    <w:qFormat/>
    <w:rPr>
      <w:rFonts w:hint="default"/>
      <w:b/>
      <w:caps/>
      <w:kern w:val="2"/>
      <w:sz w:val="24"/>
      <w:szCs w:val="24"/>
    </w:rPr>
  </w:style>
  <w:style w:type="character" w:customStyle="1" w:styleId="CharCharffe">
    <w:name w:val="表题 Char Char"/>
    <w:unhideWhenUsed/>
    <w:qFormat/>
    <w:rPr>
      <w:rFonts w:ascii="宋体" w:eastAsia="宋体" w:hAnsi="宋体" w:hint="eastAsia"/>
      <w:b/>
      <w:sz w:val="24"/>
      <w:szCs w:val="24"/>
      <w:lang w:val="en-US" w:eastAsia="zh-CN"/>
    </w:rPr>
  </w:style>
  <w:style w:type="character" w:customStyle="1" w:styleId="1fffff4">
    <w:name w:val="页码1"/>
    <w:basedOn w:val="a6"/>
    <w:unhideWhenUsed/>
    <w:qFormat/>
    <w:rPr>
      <w:rFonts w:cs="Times New Roman" w:hint="default"/>
      <w:sz w:val="24"/>
      <w:szCs w:val="24"/>
    </w:rPr>
  </w:style>
  <w:style w:type="character" w:customStyle="1" w:styleId="aceeChar1">
    <w:name w:val="acee正文 Char1"/>
    <w:link w:val="acee"/>
    <w:unhideWhenUsed/>
    <w:qFormat/>
    <w:rPr>
      <w:rFonts w:ascii="宋体" w:eastAsia="宋体" w:hint="eastAsia"/>
      <w:kern w:val="2"/>
      <w:sz w:val="32"/>
      <w:szCs w:val="24"/>
    </w:rPr>
  </w:style>
  <w:style w:type="character" w:customStyle="1" w:styleId="a-Char0">
    <w:name w:val="a-表内 Char"/>
    <w:link w:val="a-0"/>
    <w:unhideWhenUsed/>
    <w:qFormat/>
    <w:rPr>
      <w:rFonts w:hint="default"/>
      <w:color w:val="000000"/>
      <w:sz w:val="21"/>
      <w:szCs w:val="24"/>
    </w:rPr>
  </w:style>
  <w:style w:type="character" w:customStyle="1" w:styleId="Char5Char2">
    <w:name w:val="Char5 Char2"/>
    <w:unhideWhenUsed/>
    <w:qFormat/>
    <w:rPr>
      <w:rFonts w:eastAsia="宋体" w:hint="default"/>
      <w:kern w:val="2"/>
      <w:sz w:val="28"/>
      <w:szCs w:val="24"/>
      <w:lang w:val="en-US" w:eastAsia="zh-CN"/>
    </w:rPr>
  </w:style>
  <w:style w:type="character" w:customStyle="1" w:styleId="Char4Char2">
    <w:name w:val="Char4 Char2"/>
    <w:unhideWhenUsed/>
    <w:qFormat/>
    <w:rPr>
      <w:rFonts w:eastAsia="宋体" w:hint="default"/>
      <w:sz w:val="21"/>
      <w:szCs w:val="24"/>
      <w:lang w:val="en-US" w:eastAsia="zh-CN"/>
    </w:rPr>
  </w:style>
  <w:style w:type="character" w:customStyle="1" w:styleId="CharChar2a">
    <w:name w:val="页眉 Char Char2"/>
    <w:unhideWhenUsed/>
    <w:qFormat/>
    <w:rPr>
      <w:rFonts w:eastAsia="宋体" w:hint="default"/>
      <w:kern w:val="2"/>
      <w:sz w:val="18"/>
      <w:szCs w:val="24"/>
      <w:lang w:val="en-US" w:eastAsia="zh-CN"/>
    </w:rPr>
  </w:style>
  <w:style w:type="character" w:customStyle="1" w:styleId="Char3Char2">
    <w:name w:val="Char3 Char2"/>
    <w:unhideWhenUsed/>
    <w:qFormat/>
    <w:rPr>
      <w:rFonts w:ascii="宋体" w:eastAsia="宋体" w:hAnsi="宋体" w:hint="eastAsia"/>
      <w:b/>
      <w:color w:val="000000"/>
      <w:kern w:val="2"/>
      <w:sz w:val="24"/>
      <w:szCs w:val="24"/>
      <w:lang w:val="en-US" w:eastAsia="zh-CN"/>
    </w:rPr>
  </w:style>
  <w:style w:type="character" w:customStyle="1" w:styleId="bodytextChar2">
    <w:name w:val="body text Char2"/>
    <w:unhideWhenUsed/>
    <w:qFormat/>
    <w:rPr>
      <w:rFonts w:eastAsia="宋体" w:hint="default"/>
      <w:kern w:val="2"/>
      <w:sz w:val="24"/>
      <w:szCs w:val="24"/>
      <w:lang w:val="en-US" w:eastAsia="zh-CN"/>
    </w:rPr>
  </w:style>
  <w:style w:type="character" w:customStyle="1" w:styleId="1Char22">
    <w:name w:val="目标题 1) Char2"/>
    <w:unhideWhenUsed/>
    <w:qFormat/>
    <w:rPr>
      <w:rFonts w:ascii="Arial" w:eastAsia="黑体" w:hAnsi="Arial" w:hint="eastAsia"/>
      <w:kern w:val="2"/>
      <w:sz w:val="24"/>
      <w:szCs w:val="24"/>
      <w:lang w:val="en-US" w:eastAsia="zh-CN"/>
    </w:rPr>
  </w:style>
  <w:style w:type="character" w:customStyle="1" w:styleId="2CharChar30">
    <w:name w:val="正文文字缩进 2 Char Char3"/>
    <w:unhideWhenUsed/>
    <w:qFormat/>
    <w:rPr>
      <w:rFonts w:eastAsia="宋体" w:hint="default"/>
      <w:sz w:val="24"/>
      <w:szCs w:val="24"/>
      <w:lang w:val="en-US" w:eastAsia="zh-CN"/>
    </w:rPr>
  </w:style>
  <w:style w:type="character" w:customStyle="1" w:styleId="11111Char2">
    <w:name w:val="标题1.1.1.1.1 Char2"/>
    <w:unhideWhenUsed/>
    <w:qFormat/>
    <w:rPr>
      <w:rFonts w:ascii="宋体" w:eastAsia="宋体" w:hint="eastAsia"/>
      <w:b/>
      <w:kern w:val="2"/>
      <w:sz w:val="24"/>
      <w:szCs w:val="24"/>
      <w:lang w:val="en-US" w:eastAsia="zh-CN"/>
    </w:rPr>
  </w:style>
  <w:style w:type="character" w:customStyle="1" w:styleId="111111Char1">
    <w:name w:val="标题1.1.1.1.1.1 Char1"/>
    <w:unhideWhenUsed/>
    <w:qFormat/>
    <w:rPr>
      <w:rFonts w:ascii="Arial" w:eastAsia="黑体" w:hAnsi="Arial" w:hint="eastAsia"/>
      <w:b/>
      <w:kern w:val="2"/>
      <w:sz w:val="24"/>
      <w:szCs w:val="24"/>
      <w:lang w:val="en-US" w:eastAsia="zh-CN"/>
    </w:rPr>
  </w:style>
  <w:style w:type="character" w:customStyle="1" w:styleId="aChar2">
    <w:name w:val="干标题(a) Char2"/>
    <w:unhideWhenUsed/>
    <w:qFormat/>
    <w:rPr>
      <w:rFonts w:ascii="Arial" w:eastAsia="黑体" w:hAnsi="Arial" w:hint="eastAsia"/>
      <w:kern w:val="2"/>
      <w:sz w:val="24"/>
      <w:szCs w:val="24"/>
      <w:lang w:val="en-US" w:eastAsia="zh-CN"/>
    </w:rPr>
  </w:style>
  <w:style w:type="character" w:customStyle="1" w:styleId="1Char30">
    <w:name w:val="项标题(1) Char3"/>
    <w:unhideWhenUsed/>
    <w:qFormat/>
    <w:rPr>
      <w:rFonts w:ascii="宋体" w:eastAsia="宋体" w:hint="eastAsia"/>
      <w:b/>
      <w:kern w:val="2"/>
      <w:sz w:val="24"/>
      <w:szCs w:val="24"/>
      <w:lang w:val="en-US" w:eastAsia="zh-CN"/>
    </w:rPr>
  </w:style>
  <w:style w:type="character" w:customStyle="1" w:styleId="3CharChar5">
    <w:name w:val="正文文字 3 Char Char"/>
    <w:unhideWhenUsed/>
    <w:qFormat/>
    <w:rPr>
      <w:rFonts w:eastAsia="宋体" w:hint="default"/>
      <w:kern w:val="2"/>
      <w:sz w:val="28"/>
      <w:szCs w:val="24"/>
      <w:lang w:val="en-US" w:eastAsia="zh-CN"/>
    </w:rPr>
  </w:style>
  <w:style w:type="character" w:customStyle="1" w:styleId="Char1fc">
    <w:name w:val="引用 Char1"/>
    <w:unhideWhenUsed/>
    <w:qFormat/>
    <w:rPr>
      <w:rFonts w:ascii="Calibri" w:eastAsia="宋体" w:hAnsi="Calibri" w:hint="eastAsia"/>
      <w:i/>
      <w:sz w:val="24"/>
      <w:szCs w:val="24"/>
      <w:lang w:val="en-US" w:eastAsia="en-US"/>
    </w:rPr>
  </w:style>
  <w:style w:type="character" w:customStyle="1" w:styleId="Char1fd">
    <w:name w:val="明显引用 Char1"/>
    <w:unhideWhenUsed/>
    <w:qFormat/>
    <w:rPr>
      <w:rFonts w:ascii="Calibri" w:eastAsia="宋体" w:hAnsi="Calibri" w:hint="eastAsia"/>
      <w:b/>
      <w:i/>
      <w:sz w:val="22"/>
      <w:szCs w:val="24"/>
      <w:lang w:val="en-US" w:eastAsia="en-US"/>
    </w:rPr>
  </w:style>
  <w:style w:type="character" w:customStyle="1" w:styleId="Char1fe">
    <w:name w:val="无间隔 Char1"/>
    <w:unhideWhenUsed/>
    <w:qFormat/>
    <w:rPr>
      <w:rFonts w:ascii="Calibri" w:hint="default"/>
      <w:kern w:val="2"/>
      <w:sz w:val="22"/>
      <w:szCs w:val="24"/>
      <w:lang w:val="en-US" w:eastAsia="zh-CN"/>
    </w:rPr>
  </w:style>
  <w:style w:type="character" w:customStyle="1" w:styleId="31Char1">
    <w:name w:val="正文文字缩进 31 Char1"/>
    <w:unhideWhenUsed/>
    <w:qFormat/>
    <w:rPr>
      <w:rFonts w:eastAsia="宋体" w:hint="default"/>
      <w:kern w:val="2"/>
      <w:sz w:val="24"/>
      <w:szCs w:val="24"/>
      <w:lang w:val="en-US" w:eastAsia="zh-CN"/>
    </w:rPr>
  </w:style>
  <w:style w:type="character" w:customStyle="1" w:styleId="CharChar39">
    <w:name w:val="页眉 Char Char3"/>
    <w:unhideWhenUsed/>
    <w:qFormat/>
    <w:rPr>
      <w:rFonts w:eastAsia="宋体" w:hint="default"/>
      <w:kern w:val="2"/>
      <w:sz w:val="18"/>
      <w:szCs w:val="24"/>
      <w:lang w:val="en-US" w:eastAsia="zh-CN"/>
    </w:rPr>
  </w:style>
  <w:style w:type="character" w:customStyle="1" w:styleId="Char3Char3">
    <w:name w:val="Char3 Char3"/>
    <w:unhideWhenUsed/>
    <w:qFormat/>
    <w:rPr>
      <w:rFonts w:eastAsia="宋体" w:hint="default"/>
      <w:kern w:val="2"/>
      <w:sz w:val="18"/>
      <w:szCs w:val="24"/>
      <w:lang w:val="en-US" w:eastAsia="zh-CN"/>
    </w:rPr>
  </w:style>
  <w:style w:type="character" w:customStyle="1" w:styleId="aChar3">
    <w:name w:val="干标题(a) Char3"/>
    <w:unhideWhenUsed/>
    <w:qFormat/>
    <w:rPr>
      <w:rFonts w:ascii="Arial" w:eastAsia="黑体" w:hAnsi="Arial" w:hint="eastAsia"/>
      <w:kern w:val="2"/>
      <w:sz w:val="21"/>
      <w:szCs w:val="24"/>
      <w:lang w:val="en-US" w:eastAsia="zh-CN"/>
    </w:rPr>
  </w:style>
  <w:style w:type="character" w:customStyle="1" w:styleId="Char5Char3">
    <w:name w:val="Char5 Char3"/>
    <w:unhideWhenUsed/>
    <w:qFormat/>
    <w:rPr>
      <w:rFonts w:eastAsia="宋体" w:hint="default"/>
      <w:kern w:val="2"/>
      <w:sz w:val="28"/>
      <w:szCs w:val="24"/>
      <w:lang w:val="en-US" w:eastAsia="zh-CN"/>
    </w:rPr>
  </w:style>
  <w:style w:type="character" w:customStyle="1" w:styleId="Char4Char3">
    <w:name w:val="Char4 Char3"/>
    <w:unhideWhenUsed/>
    <w:qFormat/>
    <w:rPr>
      <w:rFonts w:ascii="宋体" w:eastAsia="宋体" w:hint="eastAsia"/>
      <w:color w:val="000000"/>
      <w:kern w:val="2"/>
      <w:sz w:val="24"/>
      <w:szCs w:val="24"/>
    </w:rPr>
  </w:style>
  <w:style w:type="character" w:customStyle="1" w:styleId="Footer1Char4">
    <w:name w:val="Footer1 Char4"/>
    <w:unhideWhenUsed/>
    <w:qFormat/>
    <w:rPr>
      <w:rFonts w:eastAsia="宋体" w:hint="default"/>
      <w:kern w:val="2"/>
      <w:sz w:val="18"/>
      <w:szCs w:val="24"/>
      <w:lang w:val="en-US" w:eastAsia="zh-CN"/>
    </w:rPr>
  </w:style>
  <w:style w:type="character" w:customStyle="1" w:styleId="11111Char3">
    <w:name w:val="标题1.1.1.1.1 Char3"/>
    <w:unhideWhenUsed/>
    <w:qFormat/>
    <w:rPr>
      <w:rFonts w:ascii="新宋体" w:eastAsia="仿宋_GB2312" w:hAnsi="新宋体" w:hint="eastAsia"/>
      <w:b/>
      <w:kern w:val="2"/>
      <w:sz w:val="28"/>
      <w:szCs w:val="24"/>
      <w:lang w:val="en-US" w:eastAsia="zh-CN"/>
    </w:rPr>
  </w:style>
  <w:style w:type="character" w:customStyle="1" w:styleId="111111Char2">
    <w:name w:val="标题1.1.1.1.1.1 Char2"/>
    <w:unhideWhenUsed/>
    <w:qFormat/>
    <w:rPr>
      <w:rFonts w:ascii="Arial" w:eastAsia="黑体" w:hAnsi="Arial" w:hint="eastAsia"/>
      <w:b/>
      <w:kern w:val="2"/>
      <w:sz w:val="24"/>
      <w:szCs w:val="24"/>
      <w:lang w:val="en-US" w:eastAsia="zh-CN"/>
    </w:rPr>
  </w:style>
  <w:style w:type="character" w:customStyle="1" w:styleId="1Char40">
    <w:name w:val="项标题(1) Char4"/>
    <w:unhideWhenUsed/>
    <w:qFormat/>
    <w:rPr>
      <w:rFonts w:ascii="新宋体" w:eastAsia="仿宋_GB2312" w:hAnsi="新宋体" w:hint="eastAsia"/>
      <w:b/>
      <w:kern w:val="2"/>
      <w:sz w:val="24"/>
      <w:szCs w:val="24"/>
      <w:lang w:val="en-US" w:eastAsia="zh-CN"/>
    </w:rPr>
  </w:style>
  <w:style w:type="character" w:customStyle="1" w:styleId="1Char31">
    <w:name w:val="目标题 1) Char3"/>
    <w:unhideWhenUsed/>
    <w:qFormat/>
    <w:rPr>
      <w:rFonts w:ascii="Arial" w:eastAsia="黑体" w:hAnsi="Arial" w:hint="eastAsia"/>
      <w:kern w:val="2"/>
      <w:sz w:val="24"/>
      <w:szCs w:val="24"/>
      <w:lang w:val="en-US" w:eastAsia="zh-CN"/>
    </w:rPr>
  </w:style>
  <w:style w:type="character" w:customStyle="1" w:styleId="2CharChar40">
    <w:name w:val="正文文字缩进 2 Char Char4"/>
    <w:unhideWhenUsed/>
    <w:qFormat/>
    <w:rPr>
      <w:rFonts w:ascii="宋体" w:eastAsia="宋体" w:hAnsi="宋体" w:hint="eastAsia"/>
      <w:sz w:val="28"/>
      <w:szCs w:val="24"/>
      <w:lang w:val="en-US" w:eastAsia="zh-CN"/>
    </w:rPr>
  </w:style>
  <w:style w:type="character" w:customStyle="1" w:styleId="3CharChar12">
    <w:name w:val="正文文字 3 Char Char1"/>
    <w:unhideWhenUsed/>
    <w:qFormat/>
    <w:rPr>
      <w:rFonts w:ascii="仿宋_GB2312" w:eastAsia="宋体" w:hAnsi="宋体" w:hint="eastAsia"/>
      <w:kern w:val="2"/>
      <w:sz w:val="24"/>
      <w:szCs w:val="24"/>
      <w:lang w:val="en-US" w:eastAsia="zh-CN"/>
    </w:rPr>
  </w:style>
  <w:style w:type="character" w:customStyle="1" w:styleId="Char1CharChar4">
    <w:name w:val="正文首行缩进 Char1 Char Char4"/>
    <w:unhideWhenUsed/>
    <w:qFormat/>
    <w:rPr>
      <w:rFonts w:ascii="新宋体" w:eastAsia="仿宋_GB2312" w:hAnsi="新宋体" w:hint="eastAsia"/>
      <w:kern w:val="2"/>
      <w:sz w:val="28"/>
      <w:szCs w:val="24"/>
      <w:lang w:val="en-US" w:eastAsia="zh-CN"/>
    </w:rPr>
  </w:style>
  <w:style w:type="character" w:customStyle="1" w:styleId="1Char32">
    <w:name w:val="正文缩进1 Char3"/>
    <w:unhideWhenUsed/>
    <w:qFormat/>
    <w:rPr>
      <w:rFonts w:eastAsia="宋体" w:hint="default"/>
      <w:kern w:val="2"/>
      <w:sz w:val="24"/>
      <w:szCs w:val="24"/>
      <w:lang w:val="en-US" w:eastAsia="zh-CN"/>
    </w:rPr>
  </w:style>
  <w:style w:type="character" w:customStyle="1" w:styleId="CharChar41">
    <w:name w:val="页眉 Char Char4"/>
    <w:unhideWhenUsed/>
    <w:qFormat/>
    <w:rPr>
      <w:rFonts w:eastAsia="宋体" w:hint="default"/>
      <w:kern w:val="2"/>
      <w:sz w:val="18"/>
      <w:szCs w:val="24"/>
      <w:lang w:val="en-US" w:eastAsia="zh-CN"/>
    </w:rPr>
  </w:style>
  <w:style w:type="character" w:customStyle="1" w:styleId="Char3Char4">
    <w:name w:val="Char3 Char4"/>
    <w:unhideWhenUsed/>
    <w:qFormat/>
    <w:rPr>
      <w:rFonts w:eastAsia="宋体" w:hint="default"/>
      <w:kern w:val="2"/>
      <w:sz w:val="18"/>
      <w:szCs w:val="24"/>
      <w:lang w:val="en-US" w:eastAsia="zh-CN"/>
    </w:rPr>
  </w:style>
  <w:style w:type="character" w:customStyle="1" w:styleId="aChar4">
    <w:name w:val="干标题(a) Char4"/>
    <w:unhideWhenUsed/>
    <w:qFormat/>
    <w:rPr>
      <w:rFonts w:ascii="Arial" w:eastAsia="黑体" w:hAnsi="Arial" w:hint="eastAsia"/>
      <w:kern w:val="2"/>
      <w:sz w:val="21"/>
      <w:szCs w:val="24"/>
      <w:lang w:val="en-US" w:eastAsia="zh-CN"/>
    </w:rPr>
  </w:style>
  <w:style w:type="character" w:customStyle="1" w:styleId="Char5Char4">
    <w:name w:val="Char5 Char4"/>
    <w:unhideWhenUsed/>
    <w:qFormat/>
    <w:rPr>
      <w:rFonts w:eastAsia="宋体" w:hint="default"/>
      <w:kern w:val="2"/>
      <w:sz w:val="28"/>
      <w:szCs w:val="24"/>
      <w:lang w:val="en-US" w:eastAsia="zh-CN"/>
    </w:rPr>
  </w:style>
  <w:style w:type="character" w:customStyle="1" w:styleId="Char4Char4">
    <w:name w:val="Char4 Char4"/>
    <w:unhideWhenUsed/>
    <w:qFormat/>
    <w:rPr>
      <w:rFonts w:ascii="宋体" w:eastAsia="宋体" w:hint="eastAsia"/>
      <w:color w:val="000000"/>
      <w:kern w:val="2"/>
      <w:sz w:val="24"/>
      <w:szCs w:val="24"/>
    </w:rPr>
  </w:style>
  <w:style w:type="character" w:customStyle="1" w:styleId="Footer1Char5">
    <w:name w:val="Footer1 Char5"/>
    <w:unhideWhenUsed/>
    <w:qFormat/>
    <w:rPr>
      <w:rFonts w:eastAsia="宋体" w:hint="default"/>
      <w:kern w:val="2"/>
      <w:sz w:val="18"/>
      <w:szCs w:val="24"/>
      <w:lang w:val="en-US" w:eastAsia="zh-CN"/>
    </w:rPr>
  </w:style>
  <w:style w:type="character" w:customStyle="1" w:styleId="11111Char4">
    <w:name w:val="标题1.1.1.1.1 Char4"/>
    <w:unhideWhenUsed/>
    <w:qFormat/>
    <w:rPr>
      <w:rFonts w:ascii="新宋体" w:eastAsia="仿宋_GB2312" w:hAnsi="新宋体" w:hint="eastAsia"/>
      <w:b/>
      <w:kern w:val="2"/>
      <w:sz w:val="28"/>
      <w:szCs w:val="24"/>
      <w:lang w:val="en-US" w:eastAsia="zh-CN"/>
    </w:rPr>
  </w:style>
  <w:style w:type="character" w:customStyle="1" w:styleId="111111Char3">
    <w:name w:val="标题1.1.1.1.1.1 Char3"/>
    <w:unhideWhenUsed/>
    <w:qFormat/>
    <w:rPr>
      <w:rFonts w:ascii="Arial" w:eastAsia="黑体" w:hAnsi="Arial" w:hint="eastAsia"/>
      <w:b/>
      <w:kern w:val="2"/>
      <w:sz w:val="24"/>
      <w:szCs w:val="24"/>
      <w:lang w:val="en-US" w:eastAsia="zh-CN"/>
    </w:rPr>
  </w:style>
  <w:style w:type="character" w:customStyle="1" w:styleId="1Char50">
    <w:name w:val="项标题(1) Char5"/>
    <w:unhideWhenUsed/>
    <w:qFormat/>
    <w:rPr>
      <w:rFonts w:ascii="新宋体" w:eastAsia="仿宋_GB2312" w:hAnsi="新宋体" w:hint="eastAsia"/>
      <w:b/>
      <w:kern w:val="2"/>
      <w:sz w:val="24"/>
      <w:szCs w:val="24"/>
      <w:lang w:val="en-US" w:eastAsia="zh-CN"/>
    </w:rPr>
  </w:style>
  <w:style w:type="character" w:customStyle="1" w:styleId="1Char41">
    <w:name w:val="目标题 1) Char4"/>
    <w:unhideWhenUsed/>
    <w:qFormat/>
    <w:rPr>
      <w:rFonts w:ascii="Arial" w:eastAsia="黑体" w:hAnsi="Arial" w:hint="eastAsia"/>
      <w:kern w:val="2"/>
      <w:sz w:val="24"/>
      <w:szCs w:val="24"/>
      <w:lang w:val="en-US" w:eastAsia="zh-CN"/>
    </w:rPr>
  </w:style>
  <w:style w:type="character" w:customStyle="1" w:styleId="2CharChar50">
    <w:name w:val="正文文字缩进 2 Char Char5"/>
    <w:unhideWhenUsed/>
    <w:qFormat/>
    <w:rPr>
      <w:rFonts w:ascii="宋体" w:eastAsia="宋体" w:hAnsi="宋体" w:hint="eastAsia"/>
      <w:sz w:val="28"/>
      <w:szCs w:val="24"/>
      <w:lang w:val="en-US" w:eastAsia="zh-CN"/>
    </w:rPr>
  </w:style>
  <w:style w:type="character" w:customStyle="1" w:styleId="3CharChar20">
    <w:name w:val="正文文字 3 Char Char2"/>
    <w:unhideWhenUsed/>
    <w:qFormat/>
    <w:rPr>
      <w:rFonts w:ascii="仿宋_GB2312" w:eastAsia="宋体" w:hAnsi="宋体" w:hint="eastAsia"/>
      <w:kern w:val="2"/>
      <w:sz w:val="24"/>
      <w:szCs w:val="24"/>
      <w:lang w:val="en-US" w:eastAsia="zh-CN"/>
    </w:rPr>
  </w:style>
  <w:style w:type="character" w:customStyle="1" w:styleId="Char1CharChar5">
    <w:name w:val="正文首行缩进 Char1 Char Char5"/>
    <w:unhideWhenUsed/>
    <w:qFormat/>
    <w:rPr>
      <w:rFonts w:ascii="新宋体" w:eastAsia="仿宋_GB2312" w:hAnsi="新宋体" w:hint="eastAsia"/>
      <w:kern w:val="2"/>
      <w:sz w:val="28"/>
      <w:szCs w:val="24"/>
      <w:lang w:val="en-US" w:eastAsia="zh-CN"/>
    </w:rPr>
  </w:style>
  <w:style w:type="character" w:customStyle="1" w:styleId="1CharChar8">
    <w:name w:val="页眉1 Char Char"/>
    <w:unhideWhenUsed/>
    <w:qFormat/>
    <w:rPr>
      <w:rFonts w:eastAsia="宋体" w:hint="default"/>
      <w:kern w:val="2"/>
      <w:sz w:val="18"/>
      <w:szCs w:val="24"/>
      <w:lang w:val="en-US" w:eastAsia="zh-CN"/>
    </w:rPr>
  </w:style>
  <w:style w:type="character" w:customStyle="1" w:styleId="CharCharfff">
    <w:name w:val="规划 表格内容 Char Char"/>
    <w:unhideWhenUsed/>
    <w:qFormat/>
    <w:rPr>
      <w:rFonts w:eastAsia="宋体" w:hint="default"/>
      <w:color w:val="000000"/>
      <w:sz w:val="18"/>
      <w:szCs w:val="24"/>
      <w:lang w:val="en-US" w:eastAsia="zh-CN"/>
    </w:rPr>
  </w:style>
  <w:style w:type="character" w:customStyle="1" w:styleId="CharCharfff0">
    <w:name w:val="段落文字 Char Char"/>
    <w:unhideWhenUsed/>
    <w:qFormat/>
    <w:rPr>
      <w:rFonts w:eastAsia="宋体" w:hint="default"/>
      <w:sz w:val="24"/>
      <w:szCs w:val="24"/>
      <w:lang w:val="en-US" w:eastAsia="zh-CN"/>
    </w:rPr>
  </w:style>
  <w:style w:type="character" w:customStyle="1" w:styleId="zwb-CharChar">
    <w:name w:val="zwb-正文 Char Char"/>
    <w:unhideWhenUsed/>
    <w:qFormat/>
    <w:rPr>
      <w:rFonts w:hint="default"/>
      <w:kern w:val="2"/>
      <w:sz w:val="24"/>
      <w:szCs w:val="24"/>
    </w:rPr>
  </w:style>
  <w:style w:type="character" w:customStyle="1" w:styleId="CharCharfff1">
    <w:name w:val="中远正文 Char Char"/>
    <w:unhideWhenUsed/>
    <w:qFormat/>
    <w:rPr>
      <w:rFonts w:eastAsia="宋体" w:hint="default"/>
      <w:kern w:val="24"/>
      <w:sz w:val="24"/>
      <w:szCs w:val="24"/>
      <w:lang w:val="en-US" w:eastAsia="zh-CN"/>
    </w:rPr>
  </w:style>
  <w:style w:type="character" w:customStyle="1" w:styleId="3CharChar6">
    <w:name w:val="样式 标题 3一、样式 + Char Char"/>
    <w:unhideWhenUsed/>
    <w:qFormat/>
    <w:rPr>
      <w:rFonts w:eastAsia="宋体" w:hint="default"/>
      <w:b/>
      <w:sz w:val="24"/>
      <w:szCs w:val="24"/>
      <w:lang w:val="en-US" w:eastAsia="zh-CN"/>
    </w:rPr>
  </w:style>
  <w:style w:type="character" w:customStyle="1" w:styleId="CharCharCharCharCharCharCharCharCharCharCharCharCharCharChar1">
    <w:name w:val="Char Char Char Char Char Char Char Char Char Char Char Char Char Char Char1"/>
    <w:unhideWhenUsed/>
    <w:qFormat/>
    <w:rPr>
      <w:rFonts w:ascii="宋体" w:eastAsia="宋体" w:hAnsi="Courier New" w:hint="eastAsia"/>
      <w:kern w:val="2"/>
      <w:sz w:val="21"/>
      <w:szCs w:val="24"/>
      <w:lang w:val="en-US" w:eastAsia="zh-CN"/>
    </w:rPr>
  </w:style>
  <w:style w:type="character" w:customStyle="1" w:styleId="CharCharfff2">
    <w:name w:val="样式 题注 + (中文) 黑体 Char Char"/>
    <w:unhideWhenUsed/>
    <w:qFormat/>
    <w:rPr>
      <w:rFonts w:ascii="Arial" w:eastAsia="宋体" w:hAnsi="Arial" w:hint="eastAsia"/>
      <w:kern w:val="2"/>
      <w:sz w:val="24"/>
      <w:szCs w:val="24"/>
      <w:lang w:val="en-US" w:eastAsia="zh-CN"/>
    </w:rPr>
  </w:style>
  <w:style w:type="character" w:customStyle="1" w:styleId="CharCharfff3">
    <w:name w:val="样式 正文首行缩进 + 黑色 Char Char"/>
    <w:unhideWhenUsed/>
    <w:qFormat/>
    <w:rPr>
      <w:rFonts w:eastAsia="宋体" w:hint="default"/>
      <w:color w:val="000000"/>
      <w:sz w:val="24"/>
      <w:szCs w:val="24"/>
      <w:lang w:val="en-US" w:eastAsia="zh-CN"/>
    </w:rPr>
  </w:style>
  <w:style w:type="character" w:customStyle="1" w:styleId="CharCharfff4">
    <w:name w:val="表名，单位 Char Char"/>
    <w:unhideWhenUsed/>
    <w:qFormat/>
    <w:rPr>
      <w:rFonts w:ascii="宋体" w:eastAsia="宋体" w:hAnsi="宋体" w:hint="eastAsia"/>
      <w:b/>
      <w:spacing w:val="-4"/>
      <w:kern w:val="2"/>
      <w:sz w:val="24"/>
      <w:szCs w:val="24"/>
      <w:lang w:val="en-US" w:eastAsia="zh-CN"/>
    </w:rPr>
  </w:style>
  <w:style w:type="character" w:customStyle="1" w:styleId="CharCharfff5">
    <w:name w:val="方案正文样式 Char Char"/>
    <w:unhideWhenUsed/>
    <w:qFormat/>
    <w:rPr>
      <w:rFonts w:eastAsia="宋体" w:hint="default"/>
      <w:sz w:val="24"/>
      <w:szCs w:val="24"/>
      <w:lang w:val="en-US" w:eastAsia="zh-CN"/>
    </w:rPr>
  </w:style>
  <w:style w:type="character" w:customStyle="1" w:styleId="2CharCharc">
    <w:name w:val="表格文字2 Char Char"/>
    <w:unhideWhenUsed/>
    <w:qFormat/>
    <w:rPr>
      <w:rFonts w:eastAsia="宋体" w:hint="default"/>
      <w:sz w:val="21"/>
      <w:szCs w:val="24"/>
      <w:lang w:val="en-US" w:eastAsia="zh-CN"/>
    </w:rPr>
  </w:style>
  <w:style w:type="character" w:customStyle="1" w:styleId="CharCharfff6">
    <w:name w:val="表格题注 Char Char"/>
    <w:unhideWhenUsed/>
    <w:qFormat/>
    <w:rPr>
      <w:rFonts w:eastAsia="宋体" w:hint="default"/>
      <w:b/>
      <w:kern w:val="24"/>
      <w:sz w:val="21"/>
      <w:szCs w:val="24"/>
      <w:lang w:val="en-US" w:eastAsia="zh-CN"/>
    </w:rPr>
  </w:style>
  <w:style w:type="character" w:customStyle="1" w:styleId="CharCharfff7">
    <w:name w:val="样式 表头 + 小五 Char Char"/>
    <w:unhideWhenUsed/>
    <w:qFormat/>
    <w:rPr>
      <w:rFonts w:ascii="宋体" w:eastAsia="宋体" w:hint="eastAsia"/>
      <w:b/>
      <w:kern w:val="2"/>
      <w:sz w:val="21"/>
      <w:szCs w:val="24"/>
      <w:lang w:val="en-US" w:eastAsia="zh-CN"/>
    </w:rPr>
  </w:style>
  <w:style w:type="character" w:customStyle="1" w:styleId="4CharChar4">
    <w:name w:val="4级样式 Char Char"/>
    <w:unhideWhenUsed/>
    <w:qFormat/>
    <w:rPr>
      <w:rFonts w:ascii="Arial" w:eastAsia="黑体" w:hAnsi="Arial" w:hint="eastAsia"/>
      <w:color w:val="339966"/>
      <w:kern w:val="2"/>
      <w:sz w:val="24"/>
      <w:szCs w:val="24"/>
    </w:rPr>
  </w:style>
  <w:style w:type="character" w:customStyle="1" w:styleId="CharCharfff8">
    <w:name w:val="论文正文文字 Char Char"/>
    <w:unhideWhenUsed/>
    <w:qFormat/>
    <w:rPr>
      <w:rFonts w:eastAsia="宋体" w:hint="default"/>
      <w:sz w:val="24"/>
      <w:szCs w:val="24"/>
      <w:lang w:val="en-US" w:eastAsia="zh-CN"/>
    </w:rPr>
  </w:style>
  <w:style w:type="character" w:customStyle="1" w:styleId="211112112Charb2W2H22CharCh1CharChar">
    <w:name w:val="样式 标题 2节标题 1.11.1标题2例如：1.1 内容标题 2 Charb2W2H2标题 2 Char Ch...1 Char Char"/>
    <w:unhideWhenUsed/>
    <w:qFormat/>
    <w:rPr>
      <w:rFonts w:ascii="宋体" w:eastAsia="宋体" w:hAnsi="宋体" w:hint="eastAsia"/>
      <w:b/>
      <w:color w:val="000000"/>
      <w:kern w:val="2"/>
      <w:sz w:val="32"/>
      <w:szCs w:val="24"/>
      <w:lang w:val="en-US" w:eastAsia="zh-CN"/>
    </w:rPr>
  </w:style>
  <w:style w:type="character" w:customStyle="1" w:styleId="CharCharfff9">
    <w:name w:val="表、图名宋旭峰 Char Char"/>
    <w:unhideWhenUsed/>
    <w:qFormat/>
    <w:rPr>
      <w:rFonts w:ascii="黑体" w:eastAsia="黑体" w:hAnsi="宋体" w:hint="eastAsia"/>
      <w:sz w:val="21"/>
      <w:szCs w:val="24"/>
      <w:lang w:val="en-US" w:eastAsia="zh-CN"/>
    </w:rPr>
  </w:style>
  <w:style w:type="character" w:customStyle="1" w:styleId="2TimesNewRomanCharChar">
    <w:name w:val="正文首行缩进 2 + Times New Roman Char Char"/>
    <w:unhideWhenUsed/>
    <w:qFormat/>
    <w:rPr>
      <w:rFonts w:ascii="宋体" w:eastAsia="宋体" w:hAnsi="宋体" w:hint="eastAsia"/>
      <w:color w:val="00FF00"/>
      <w:sz w:val="24"/>
      <w:szCs w:val="24"/>
      <w:lang w:val="en-US" w:eastAsia="zh-CN"/>
    </w:rPr>
  </w:style>
  <w:style w:type="character" w:customStyle="1" w:styleId="CharCharfffa">
    <w:name w:val="燕山正文 Char Char"/>
    <w:unhideWhenUsed/>
    <w:qFormat/>
    <w:rPr>
      <w:rFonts w:ascii="宋体" w:eastAsia="宋体" w:hAnsi="宋体" w:hint="eastAsia"/>
      <w:color w:val="000000"/>
      <w:kern w:val="2"/>
      <w:sz w:val="28"/>
      <w:szCs w:val="24"/>
      <w:lang w:val="en-US" w:eastAsia="zh-CN"/>
    </w:rPr>
  </w:style>
  <w:style w:type="character" w:customStyle="1" w:styleId="CharCharfffb">
    <w:name w:val="样式 题注 + (中文) 黑体 加粗 Char Char"/>
    <w:unhideWhenUsed/>
    <w:qFormat/>
    <w:rPr>
      <w:rFonts w:ascii="Arial" w:eastAsia="宋体" w:hAnsi="Arial" w:hint="eastAsia"/>
      <w:b/>
      <w:kern w:val="2"/>
      <w:sz w:val="24"/>
      <w:szCs w:val="24"/>
      <w:lang w:val="en-US" w:eastAsia="zh-CN"/>
    </w:rPr>
  </w:style>
  <w:style w:type="character" w:customStyle="1" w:styleId="211112112Charb2W2H22CharChCharChar">
    <w:name w:val="样式 标题 2节标题 1.11.1标题2例如：1.1 内容标题 2 Charb2W2H2标题 2 Char Ch... Char Char"/>
    <w:unhideWhenUsed/>
    <w:qFormat/>
    <w:rPr>
      <w:rFonts w:ascii="宋体" w:eastAsia="宋体" w:hAnsi="宋体" w:hint="eastAsia"/>
      <w:b/>
      <w:color w:val="000000"/>
      <w:kern w:val="2"/>
      <w:sz w:val="32"/>
      <w:szCs w:val="24"/>
      <w:lang w:val="en-US" w:eastAsia="zh-CN"/>
    </w:rPr>
  </w:style>
  <w:style w:type="character" w:customStyle="1" w:styleId="002CharChar">
    <w:name w:val="002 Char Char"/>
    <w:unhideWhenUsed/>
    <w:qFormat/>
    <w:rPr>
      <w:rFonts w:ascii="宋体" w:eastAsia="宋体" w:hAnsi="宋体" w:hint="eastAsia"/>
      <w:kern w:val="2"/>
      <w:sz w:val="32"/>
      <w:szCs w:val="24"/>
      <w:lang w:val="en-US" w:eastAsia="zh-CN"/>
    </w:rPr>
  </w:style>
  <w:style w:type="character" w:customStyle="1" w:styleId="CharCharCharChar6">
    <w:name w:val="报告正文 Char Char Char Char"/>
    <w:unhideWhenUsed/>
    <w:qFormat/>
    <w:rPr>
      <w:rFonts w:eastAsia="仿宋_GB2312" w:hint="default"/>
      <w:kern w:val="2"/>
      <w:sz w:val="24"/>
      <w:szCs w:val="24"/>
      <w:lang w:val="en-US" w:eastAsia="zh-CN"/>
    </w:rPr>
  </w:style>
  <w:style w:type="character" w:customStyle="1" w:styleId="CharCharCharChar7">
    <w:name w:val="正文文本最新 Char Char Char Char"/>
    <w:unhideWhenUsed/>
    <w:qFormat/>
    <w:rPr>
      <w:rFonts w:eastAsia="宋体" w:hint="default"/>
      <w:kern w:val="2"/>
      <w:sz w:val="24"/>
      <w:szCs w:val="24"/>
      <w:lang w:val="en-US" w:eastAsia="zh-CN"/>
    </w:rPr>
  </w:style>
  <w:style w:type="character" w:customStyle="1" w:styleId="CharCharfffc">
    <w:name w:val="表、图名 Char Char"/>
    <w:unhideWhenUsed/>
    <w:qFormat/>
    <w:rPr>
      <w:rFonts w:ascii="宋体" w:eastAsia="宋体" w:hAnsi="宋体" w:hint="eastAsia"/>
      <w:b/>
      <w:color w:val="000000"/>
      <w:sz w:val="24"/>
      <w:szCs w:val="24"/>
      <w:lang w:val="en-US" w:eastAsia="zh-CN"/>
    </w:rPr>
  </w:style>
  <w:style w:type="character" w:customStyle="1" w:styleId="ACharChar">
    <w:name w:val="A正文 Char Char"/>
    <w:unhideWhenUsed/>
    <w:qFormat/>
    <w:rPr>
      <w:rFonts w:eastAsia="宋体" w:hint="default"/>
      <w:kern w:val="2"/>
      <w:sz w:val="24"/>
      <w:szCs w:val="24"/>
    </w:rPr>
  </w:style>
  <w:style w:type="character" w:customStyle="1" w:styleId="1b1H111CharchapOGHeadiCharChar">
    <w:name w:val="样式 标题 1章节标题b1H1章标题 1标题 1 Char一级标题，黑粗，三号，序号章chapOG Headi... Char Char"/>
    <w:unhideWhenUsed/>
    <w:qFormat/>
    <w:rPr>
      <w:rFonts w:ascii="宋体" w:eastAsia="宋体" w:hAnsi="宋体" w:hint="eastAsia"/>
      <w:b/>
      <w:color w:val="000000"/>
      <w:sz w:val="32"/>
      <w:szCs w:val="24"/>
      <w:lang w:val="en-US" w:eastAsia="zh-CN"/>
    </w:rPr>
  </w:style>
  <w:style w:type="character" w:customStyle="1" w:styleId="CharCharfffd">
    <w:name w:val="正文（不缩进） Char Char"/>
    <w:unhideWhenUsed/>
    <w:qFormat/>
    <w:rPr>
      <w:rFonts w:hint="default"/>
      <w:sz w:val="24"/>
      <w:szCs w:val="24"/>
    </w:rPr>
  </w:style>
  <w:style w:type="character" w:customStyle="1" w:styleId="5HCharChar">
    <w:name w:val="表头5H Char Char"/>
    <w:unhideWhenUsed/>
    <w:qFormat/>
    <w:rPr>
      <w:rFonts w:ascii="黑体" w:eastAsia="黑体" w:hint="eastAsia"/>
      <w:kern w:val="2"/>
      <w:sz w:val="24"/>
      <w:szCs w:val="24"/>
      <w:lang w:val="en-US" w:eastAsia="zh-CN"/>
    </w:rPr>
  </w:style>
  <w:style w:type="character" w:customStyle="1" w:styleId="MANUALCharChar">
    <w:name w:val="MANUAL Char Char"/>
    <w:unhideWhenUsed/>
    <w:qFormat/>
    <w:rPr>
      <w:rFonts w:ascii="MS Mincho" w:eastAsia="MS Mincho" w:hint="eastAsia"/>
      <w:spacing w:val="-20"/>
      <w:sz w:val="22"/>
      <w:szCs w:val="24"/>
      <w:lang w:eastAsia="ja-JP"/>
    </w:rPr>
  </w:style>
  <w:style w:type="character" w:customStyle="1" w:styleId="StyleHeading1LeftBefore05lineCharChar">
    <w:name w:val="Style Heading 1 + Left Before:  0.5 line Char Char"/>
    <w:unhideWhenUsed/>
    <w:qFormat/>
    <w:rPr>
      <w:rFonts w:ascii="Arial" w:eastAsia="宋体" w:hAnsi="Arial" w:hint="eastAsia"/>
      <w:kern w:val="44"/>
      <w:sz w:val="24"/>
      <w:szCs w:val="24"/>
      <w:lang w:val="en-US" w:eastAsia="zh-CN"/>
    </w:rPr>
  </w:style>
  <w:style w:type="character" w:customStyle="1" w:styleId="CharCharfffe">
    <w:name w:val="小四正文 Char Char"/>
    <w:unhideWhenUsed/>
    <w:qFormat/>
    <w:rPr>
      <w:rFonts w:eastAsia="宋体" w:hint="default"/>
      <w:kern w:val="2"/>
      <w:sz w:val="24"/>
      <w:szCs w:val="24"/>
      <w:lang w:val="en-US" w:eastAsia="zh-CN"/>
    </w:rPr>
  </w:style>
  <w:style w:type="character" w:customStyle="1" w:styleId="CharCharCharCharCharCharCharCharCharCharCharCharCharCharCharCharCharCharCharCharChar0">
    <w:name w:val="样式 Char Char Char Char Char Char Char Char Char Char Char Char Char Char Char Char Char Char Char Char Char"/>
    <w:unhideWhenUsed/>
    <w:qFormat/>
    <w:rPr>
      <w:rFonts w:eastAsia="宋体" w:hint="default"/>
      <w:sz w:val="24"/>
      <w:szCs w:val="24"/>
      <w:lang w:val="en-US" w:eastAsia="zh-CN"/>
    </w:rPr>
  </w:style>
  <w:style w:type="character" w:customStyle="1" w:styleId="CharCharffff">
    <w:name w:val="表中文字居中 Char Char"/>
    <w:unhideWhenUsed/>
    <w:qFormat/>
    <w:rPr>
      <w:rFonts w:ascii="宋体" w:eastAsia="宋体" w:hint="eastAsia"/>
      <w:kern w:val="2"/>
      <w:sz w:val="24"/>
      <w:szCs w:val="24"/>
      <w:lang w:val="en-US" w:eastAsia="zh-CN"/>
    </w:rPr>
  </w:style>
  <w:style w:type="character" w:customStyle="1" w:styleId="CharCharffff0">
    <w:name w:val="四号 正文 Char Char"/>
    <w:unhideWhenUsed/>
    <w:qFormat/>
    <w:rPr>
      <w:rFonts w:eastAsia="宋体" w:hint="default"/>
      <w:spacing w:val="6"/>
      <w:kern w:val="2"/>
      <w:sz w:val="28"/>
      <w:szCs w:val="24"/>
      <w:lang w:val="en-US" w:eastAsia="zh-CN"/>
    </w:rPr>
  </w:style>
  <w:style w:type="character" w:customStyle="1" w:styleId="4CharChar5">
    <w:name w:val="表小4 Char Char"/>
    <w:unhideWhenUsed/>
    <w:qFormat/>
    <w:rPr>
      <w:rFonts w:ascii="宋体" w:eastAsia="宋体" w:hAnsi="宋体" w:hint="eastAsia"/>
      <w:sz w:val="21"/>
      <w:szCs w:val="24"/>
      <w:lang w:val="en-US" w:eastAsia="zh-CN"/>
    </w:rPr>
  </w:style>
  <w:style w:type="character" w:customStyle="1" w:styleId="13CharChar0">
    <w:name w:val="正文小四首缩1.3行距 Char Char"/>
    <w:unhideWhenUsed/>
    <w:qFormat/>
    <w:rPr>
      <w:rFonts w:eastAsia="宋体" w:hint="default"/>
      <w:kern w:val="2"/>
      <w:sz w:val="24"/>
      <w:szCs w:val="24"/>
      <w:lang w:val="en-US" w:eastAsia="zh-CN"/>
    </w:rPr>
  </w:style>
  <w:style w:type="character" w:customStyle="1" w:styleId="1CharChar9">
    <w:name w:val="正文样式1 Char Char"/>
    <w:unhideWhenUsed/>
    <w:qFormat/>
    <w:rPr>
      <w:rFonts w:eastAsia="宋体" w:hint="default"/>
      <w:b/>
      <w:kern w:val="24"/>
      <w:sz w:val="24"/>
      <w:szCs w:val="24"/>
      <w:lang w:val="en-US" w:eastAsia="zh-CN"/>
    </w:rPr>
  </w:style>
  <w:style w:type="character" w:customStyle="1" w:styleId="2CharChard">
    <w:name w:val="正文首行缩进 2 Char Char"/>
    <w:unhideWhenUsed/>
    <w:qFormat/>
    <w:rPr>
      <w:rFonts w:ascii="宋体" w:eastAsia="宋体" w:hint="eastAsia"/>
      <w:kern w:val="2"/>
      <w:sz w:val="28"/>
      <w:szCs w:val="24"/>
    </w:rPr>
  </w:style>
  <w:style w:type="character" w:customStyle="1" w:styleId="001CharChar">
    <w:name w:val="001 Char Char"/>
    <w:unhideWhenUsed/>
    <w:qFormat/>
    <w:rPr>
      <w:rFonts w:ascii="宋体" w:eastAsia="宋体" w:hint="eastAsia"/>
      <w:kern w:val="28"/>
      <w:sz w:val="32"/>
      <w:szCs w:val="24"/>
    </w:rPr>
  </w:style>
  <w:style w:type="character" w:customStyle="1" w:styleId="DateCharChar">
    <w:name w:val="Date Char Char"/>
    <w:unhideWhenUsed/>
    <w:qFormat/>
    <w:rPr>
      <w:rFonts w:ascii="Times New Roman" w:eastAsia="宋体" w:hAnsi="Times New Roman" w:hint="eastAsia"/>
      <w:kern w:val="28"/>
      <w:sz w:val="20"/>
      <w:szCs w:val="24"/>
    </w:rPr>
  </w:style>
  <w:style w:type="character" w:customStyle="1" w:styleId="CharCharffff1">
    <w:name w:val="正缩 Char Char"/>
    <w:unhideWhenUsed/>
    <w:qFormat/>
    <w:rPr>
      <w:rFonts w:eastAsia="宋体" w:hint="default"/>
      <w:kern w:val="2"/>
      <w:sz w:val="24"/>
      <w:szCs w:val="24"/>
      <w:lang w:val="en-US" w:eastAsia="zh-CN"/>
    </w:rPr>
  </w:style>
  <w:style w:type="character" w:customStyle="1" w:styleId="3CharCharCharChar0">
    <w:name w:val="正文3 Char Char Char Char"/>
    <w:unhideWhenUsed/>
    <w:qFormat/>
    <w:rPr>
      <w:rFonts w:ascii="宋体" w:eastAsia="宋体" w:hAnsi="宋体" w:hint="eastAsia"/>
      <w:kern w:val="2"/>
      <w:sz w:val="28"/>
      <w:szCs w:val="24"/>
      <w:lang w:val="zh-CN" w:eastAsia="zh-CN"/>
    </w:rPr>
  </w:style>
  <w:style w:type="character" w:customStyle="1" w:styleId="CharCharffff2">
    <w:name w:val="样式 普通文字 + (符号) 宋体 小四 Char Char"/>
    <w:unhideWhenUsed/>
    <w:qFormat/>
    <w:rPr>
      <w:rFonts w:ascii="宋体" w:eastAsia="宋体" w:hAnsi="Courier New" w:hint="eastAsia"/>
      <w:kern w:val="2"/>
      <w:sz w:val="24"/>
      <w:szCs w:val="24"/>
      <w:lang w:val="en-US" w:eastAsia="zh-CN"/>
    </w:rPr>
  </w:style>
  <w:style w:type="character" w:customStyle="1" w:styleId="4CharChar6">
    <w:name w:val="样式 标题 4 + Char Char"/>
    <w:unhideWhenUsed/>
    <w:qFormat/>
    <w:rPr>
      <w:rFonts w:ascii="宋体" w:eastAsia="宋体" w:hAnsi="宋体" w:hint="eastAsia"/>
      <w:color w:val="000000"/>
      <w:sz w:val="24"/>
      <w:szCs w:val="24"/>
      <w:lang w:val="en-US" w:eastAsia="zh-CN"/>
    </w:rPr>
  </w:style>
  <w:style w:type="character" w:customStyle="1" w:styleId="CharCharffff3">
    <w:name w:val="报告书正文 Char Char"/>
    <w:unhideWhenUsed/>
    <w:qFormat/>
    <w:rPr>
      <w:rFonts w:ascii="宋体" w:eastAsia="宋体" w:hAnsi="宋体" w:hint="eastAsia"/>
      <w:color w:val="000000"/>
      <w:kern w:val="2"/>
      <w:sz w:val="24"/>
      <w:szCs w:val="24"/>
      <w:lang w:val="en-US" w:eastAsia="zh-CN"/>
    </w:rPr>
  </w:style>
  <w:style w:type="character" w:customStyle="1" w:styleId="1CharChara">
    <w:name w:val="表头1 Char Char"/>
    <w:unhideWhenUsed/>
    <w:qFormat/>
    <w:rPr>
      <w:rFonts w:eastAsia="黑体" w:hint="default"/>
      <w:sz w:val="21"/>
      <w:szCs w:val="24"/>
      <w:lang w:val="en-US" w:eastAsia="zh-CN"/>
    </w:rPr>
  </w:style>
  <w:style w:type="character" w:customStyle="1" w:styleId="0CharChar0">
    <w:name w:val="0 Char Char"/>
    <w:unhideWhenUsed/>
    <w:qFormat/>
    <w:rPr>
      <w:rFonts w:eastAsia="宋体" w:hint="default"/>
      <w:color w:val="000000"/>
      <w:sz w:val="21"/>
      <w:szCs w:val="24"/>
      <w:lang w:val="en-US" w:eastAsia="zh-CN"/>
    </w:rPr>
  </w:style>
  <w:style w:type="character" w:customStyle="1" w:styleId="CharCharffff4">
    <w:name w:val="规划 正文 Char Char"/>
    <w:unhideWhenUsed/>
    <w:qFormat/>
    <w:rPr>
      <w:rFonts w:eastAsia="宋体" w:hint="default"/>
      <w:sz w:val="21"/>
      <w:szCs w:val="24"/>
      <w:lang w:val="en-US" w:eastAsia="zh-CN"/>
    </w:rPr>
  </w:style>
  <w:style w:type="character" w:customStyle="1" w:styleId="40CharChar">
    <w:name w:val="标题40 Char Char"/>
    <w:unhideWhenUsed/>
    <w:qFormat/>
    <w:rPr>
      <w:rFonts w:eastAsia="宋体" w:hint="default"/>
      <w:b/>
      <w:kern w:val="2"/>
      <w:sz w:val="24"/>
      <w:szCs w:val="24"/>
    </w:rPr>
  </w:style>
  <w:style w:type="character" w:customStyle="1" w:styleId="CharCharffff5">
    <w:name w:val="段落样式 Char Char"/>
    <w:unhideWhenUsed/>
    <w:qFormat/>
    <w:rPr>
      <w:rFonts w:eastAsia="宋体" w:hint="default"/>
      <w:w w:val="80"/>
      <w:sz w:val="28"/>
      <w:szCs w:val="24"/>
      <w:lang w:val="en-US" w:eastAsia="zh-CN"/>
    </w:rPr>
  </w:style>
  <w:style w:type="character" w:customStyle="1" w:styleId="txCharChar">
    <w:name w:val="正文.tx Char Char"/>
    <w:unhideWhenUsed/>
    <w:qFormat/>
    <w:rPr>
      <w:rFonts w:eastAsia="宋体" w:hint="default"/>
      <w:kern w:val="2"/>
      <w:sz w:val="28"/>
      <w:szCs w:val="24"/>
      <w:lang w:val="en-US" w:eastAsia="zh-CN"/>
    </w:rPr>
  </w:style>
  <w:style w:type="character" w:customStyle="1" w:styleId="12CharChar">
    <w:name w:val="样式12 Char Char"/>
    <w:unhideWhenUsed/>
    <w:qFormat/>
    <w:rPr>
      <w:rFonts w:eastAsia="宋体" w:hint="default"/>
      <w:kern w:val="2"/>
      <w:sz w:val="18"/>
      <w:szCs w:val="24"/>
      <w:lang w:val="en-US" w:eastAsia="zh-CN"/>
    </w:rPr>
  </w:style>
  <w:style w:type="character" w:customStyle="1" w:styleId="31CharChar0">
    <w:name w:val="样式 标题 3一、样式 + 小四 黑色1 Char Char"/>
    <w:unhideWhenUsed/>
    <w:qFormat/>
    <w:rPr>
      <w:rFonts w:eastAsia="宋体" w:hint="default"/>
      <w:color w:val="000000"/>
      <w:sz w:val="24"/>
      <w:szCs w:val="24"/>
      <w:lang w:val="en-US" w:eastAsia="zh-CN"/>
    </w:rPr>
  </w:style>
  <w:style w:type="character" w:customStyle="1" w:styleId="2CharCharChar2">
    <w:name w:val="标题2 Char Char Char"/>
    <w:unhideWhenUsed/>
    <w:qFormat/>
    <w:rPr>
      <w:rFonts w:ascii="黑体" w:eastAsia="黑体" w:hAnsi="宋体" w:hint="eastAsia"/>
      <w:b/>
      <w:color w:val="000000"/>
      <w:kern w:val="2"/>
      <w:sz w:val="28"/>
      <w:szCs w:val="24"/>
      <w:lang w:val="en-US" w:eastAsia="zh-CN"/>
    </w:rPr>
  </w:style>
  <w:style w:type="character" w:customStyle="1" w:styleId="a-CharChar0">
    <w:name w:val="a-表内 Char Char"/>
    <w:unhideWhenUsed/>
    <w:qFormat/>
    <w:rPr>
      <w:rFonts w:eastAsia="宋体" w:hint="default"/>
      <w:color w:val="000000"/>
      <w:sz w:val="21"/>
      <w:szCs w:val="24"/>
      <w:lang w:val="en-US" w:eastAsia="zh-CN"/>
    </w:rPr>
  </w:style>
  <w:style w:type="character" w:customStyle="1" w:styleId="159">
    <w:name w:val="样式15"/>
    <w:unhideWhenUsed/>
    <w:qFormat/>
    <w:rPr>
      <w:rFonts w:ascii="宋体" w:eastAsia="宋体" w:hAnsi="宋体" w:hint="eastAsia"/>
      <w:sz w:val="24"/>
      <w:szCs w:val="24"/>
    </w:rPr>
  </w:style>
  <w:style w:type="character" w:customStyle="1" w:styleId="11Char1">
    <w:name w:val="正文首行缩进11 Char"/>
    <w:unhideWhenUsed/>
    <w:qFormat/>
    <w:rPr>
      <w:rFonts w:eastAsia="宋体" w:hint="default"/>
      <w:kern w:val="2"/>
      <w:sz w:val="24"/>
      <w:szCs w:val="24"/>
      <w:lang w:val="en-US" w:eastAsia="zh-CN"/>
    </w:rPr>
  </w:style>
  <w:style w:type="character" w:customStyle="1" w:styleId="Charfffff2">
    <w:name w:val="设计正文 Char"/>
    <w:link w:val="affffffffffffffffffffff0"/>
    <w:unhideWhenUsed/>
    <w:qFormat/>
    <w:rPr>
      <w:rFonts w:hint="default"/>
      <w:color w:val="000000"/>
      <w:spacing w:val="-4"/>
      <w:kern w:val="2"/>
      <w:sz w:val="24"/>
      <w:szCs w:val="24"/>
    </w:rPr>
  </w:style>
  <w:style w:type="character" w:customStyle="1" w:styleId="a-Char1">
    <w:name w:val="a-图件 Char"/>
    <w:link w:val="a-1"/>
    <w:unhideWhenUsed/>
    <w:qFormat/>
    <w:rPr>
      <w:rFonts w:hint="default"/>
      <w:b/>
      <w:color w:val="000000"/>
      <w:kern w:val="2"/>
      <w:sz w:val="21"/>
      <w:szCs w:val="24"/>
    </w:rPr>
  </w:style>
  <w:style w:type="character" w:customStyle="1" w:styleId="a-Char2">
    <w:name w:val="a-表名 Char"/>
    <w:link w:val="a-3"/>
    <w:unhideWhenUsed/>
    <w:qFormat/>
    <w:rPr>
      <w:rFonts w:eastAsia="仿宋" w:hint="default"/>
      <w:b/>
      <w:color w:val="000000"/>
      <w:kern w:val="2"/>
      <w:sz w:val="21"/>
      <w:szCs w:val="24"/>
    </w:rPr>
  </w:style>
  <w:style w:type="character" w:customStyle="1" w:styleId="a-CharChar1">
    <w:name w:val="a-页脚 Char Char1"/>
    <w:unhideWhenUsed/>
    <w:qFormat/>
    <w:rPr>
      <w:rFonts w:hint="default"/>
      <w:b/>
      <w:color w:val="000000"/>
      <w:kern w:val="2"/>
      <w:sz w:val="18"/>
      <w:szCs w:val="24"/>
    </w:rPr>
  </w:style>
  <w:style w:type="character" w:customStyle="1" w:styleId="a-CharChar">
    <w:name w:val="a-图名 Char Char"/>
    <w:link w:val="a-4"/>
    <w:unhideWhenUsed/>
    <w:qFormat/>
    <w:rPr>
      <w:rFonts w:eastAsia="仿宋_GB2312" w:hint="default"/>
      <w:b/>
      <w:color w:val="000000"/>
      <w:kern w:val="2"/>
      <w:sz w:val="21"/>
      <w:szCs w:val="24"/>
    </w:rPr>
  </w:style>
  <w:style w:type="character" w:customStyle="1" w:styleId="4CharChar10">
    <w:name w:val="标题4 Char Char1"/>
    <w:unhideWhenUsed/>
    <w:qFormat/>
    <w:rPr>
      <w:rFonts w:eastAsia="宋体" w:hint="default"/>
      <w:b/>
      <w:color w:val="000000"/>
      <w:kern w:val="2"/>
      <w:sz w:val="24"/>
      <w:szCs w:val="24"/>
      <w:lang w:val="en-US" w:eastAsia="zh-CN"/>
    </w:rPr>
  </w:style>
  <w:style w:type="character" w:customStyle="1" w:styleId="Charfffff3">
    <w:name w:val="正文：段落格式 Char"/>
    <w:link w:val="a1"/>
    <w:unhideWhenUsed/>
    <w:qFormat/>
    <w:rPr>
      <w:rFonts w:ascii="宋体" w:eastAsia="宋体" w:hint="eastAsia"/>
      <w:color w:val="000000"/>
      <w:kern w:val="15"/>
      <w:sz w:val="24"/>
      <w:szCs w:val="24"/>
    </w:rPr>
  </w:style>
  <w:style w:type="character" w:customStyle="1" w:styleId="2CharChar12">
    <w:name w:val="页眉2 Char Char1"/>
    <w:unhideWhenUsed/>
    <w:qFormat/>
    <w:rPr>
      <w:rFonts w:hint="default"/>
      <w:kern w:val="2"/>
      <w:sz w:val="18"/>
      <w:szCs w:val="24"/>
    </w:rPr>
  </w:style>
  <w:style w:type="character" w:customStyle="1" w:styleId="CharChar2b">
    <w:name w:val="正文首行缩进 Char Char2"/>
    <w:unhideWhenUsed/>
    <w:qFormat/>
    <w:rPr>
      <w:rFonts w:eastAsia="宋体" w:hint="default"/>
      <w:spacing w:val="10"/>
      <w:kern w:val="2"/>
      <w:sz w:val="24"/>
      <w:szCs w:val="24"/>
      <w:lang w:val="en-US" w:eastAsia="zh-CN"/>
    </w:rPr>
  </w:style>
  <w:style w:type="character" w:customStyle="1" w:styleId="CharCharChar9">
    <w:name w:val="正文(首行缩进) Char Char Char"/>
    <w:unhideWhenUsed/>
    <w:qFormat/>
    <w:rPr>
      <w:rFonts w:eastAsia="宋体" w:hint="default"/>
      <w:sz w:val="24"/>
      <w:szCs w:val="24"/>
      <w:lang w:val="en-US" w:eastAsia="zh-CN"/>
    </w:rPr>
  </w:style>
  <w:style w:type="character" w:customStyle="1" w:styleId="Charfffff1">
    <w:name w:val="我的正文 Char"/>
    <w:link w:val="affffffffffffffffffffff"/>
    <w:unhideWhenUsed/>
    <w:qFormat/>
    <w:rPr>
      <w:rFonts w:hint="default"/>
      <w:color w:val="000000"/>
      <w:kern w:val="2"/>
      <w:sz w:val="24"/>
      <w:szCs w:val="24"/>
    </w:rPr>
  </w:style>
  <w:style w:type="character" w:customStyle="1" w:styleId="CharChar1d">
    <w:name w:val="报告正文 Char Char1"/>
    <w:unhideWhenUsed/>
    <w:qFormat/>
    <w:rPr>
      <w:rFonts w:eastAsia="宋体" w:hint="default"/>
      <w:kern w:val="24"/>
      <w:sz w:val="21"/>
      <w:szCs w:val="24"/>
      <w:lang w:val="en-US" w:eastAsia="zh-CN"/>
    </w:rPr>
  </w:style>
  <w:style w:type="character" w:customStyle="1" w:styleId="dxjChar">
    <w:name w:val="dxj正文 Char"/>
    <w:link w:val="dxj"/>
    <w:unhideWhenUsed/>
    <w:qFormat/>
    <w:rPr>
      <w:rFonts w:hint="default"/>
      <w:kern w:val="2"/>
      <w:sz w:val="24"/>
      <w:szCs w:val="24"/>
    </w:rPr>
  </w:style>
  <w:style w:type="character" w:customStyle="1" w:styleId="CharCharChar2">
    <w:name w:val="报告正文 Char Char Char"/>
    <w:link w:val="CharChar4"/>
    <w:unhideWhenUsed/>
    <w:qFormat/>
    <w:rPr>
      <w:rFonts w:hint="default"/>
      <w:kern w:val="24"/>
      <w:sz w:val="24"/>
      <w:szCs w:val="24"/>
    </w:rPr>
  </w:style>
  <w:style w:type="character" w:customStyle="1" w:styleId="CharCharffff6">
    <w:name w:val="题注 Char Char"/>
    <w:unhideWhenUsed/>
    <w:qFormat/>
    <w:rPr>
      <w:rFonts w:ascii="Arial" w:eastAsia="宋体" w:hAnsi="Arial" w:hint="eastAsia"/>
      <w:kern w:val="2"/>
      <w:sz w:val="24"/>
      <w:szCs w:val="24"/>
      <w:lang w:val="en-US" w:eastAsia="zh-CN"/>
    </w:rPr>
  </w:style>
  <w:style w:type="character" w:customStyle="1" w:styleId="2chChar">
    <w:name w:val="标题 2－ch Char"/>
    <w:unhideWhenUsed/>
    <w:qFormat/>
    <w:rPr>
      <w:rFonts w:ascii="Arial" w:eastAsia="黑体" w:hAnsi="Arial" w:hint="eastAsia"/>
      <w:b/>
      <w:sz w:val="32"/>
      <w:szCs w:val="24"/>
    </w:rPr>
  </w:style>
  <w:style w:type="character" w:customStyle="1" w:styleId="st">
    <w:name w:val="st"/>
    <w:unhideWhenUsed/>
    <w:qFormat/>
    <w:rPr>
      <w:rFonts w:hint="default"/>
      <w:sz w:val="24"/>
      <w:szCs w:val="24"/>
    </w:rPr>
  </w:style>
  <w:style w:type="character" w:customStyle="1" w:styleId="5CharChar">
    <w:name w:val="5文章(治) Char Char"/>
    <w:link w:val="5f0"/>
    <w:unhideWhenUsed/>
    <w:qFormat/>
    <w:rPr>
      <w:rFonts w:hint="default"/>
      <w:kern w:val="2"/>
      <w:sz w:val="24"/>
      <w:szCs w:val="24"/>
    </w:rPr>
  </w:style>
  <w:style w:type="character" w:customStyle="1" w:styleId="5Char4">
    <w:name w:val="5文章(治) Char"/>
    <w:unhideWhenUsed/>
    <w:qFormat/>
    <w:rPr>
      <w:rFonts w:hint="default"/>
      <w:kern w:val="2"/>
      <w:sz w:val="24"/>
      <w:szCs w:val="24"/>
    </w:rPr>
  </w:style>
  <w:style w:type="character" w:customStyle="1" w:styleId="7Char1">
    <w:name w:val="7表格(治) Char"/>
    <w:link w:val="76"/>
    <w:unhideWhenUsed/>
    <w:qFormat/>
    <w:rPr>
      <w:rFonts w:hint="default"/>
      <w:sz w:val="21"/>
      <w:szCs w:val="24"/>
    </w:rPr>
  </w:style>
  <w:style w:type="character" w:customStyle="1" w:styleId="Charfffff4">
    <w:name w:val="环保表内字（小五） Char"/>
    <w:link w:val="affffffffffffffffffffff5"/>
    <w:unhideWhenUsed/>
    <w:qFormat/>
    <w:rPr>
      <w:rFonts w:hint="default"/>
      <w:color w:val="000000"/>
      <w:sz w:val="24"/>
      <w:szCs w:val="24"/>
      <w:lang w:val="zh-CN"/>
    </w:rPr>
  </w:style>
  <w:style w:type="character" w:customStyle="1" w:styleId="Charfffff5">
    <w:name w:val="正文 楷体 Char"/>
    <w:link w:val="affffffffffffffffffffff6"/>
    <w:unhideWhenUsed/>
    <w:qFormat/>
    <w:rPr>
      <w:rFonts w:ascii="楷体_GB2312" w:eastAsia="楷体_GB2312" w:hAnsi="楷体_GB2312" w:hint="eastAsia"/>
      <w:color w:val="000000"/>
      <w:spacing w:val="8"/>
      <w:w w:val="110"/>
      <w:kern w:val="2"/>
      <w:sz w:val="24"/>
      <w:szCs w:val="24"/>
    </w:rPr>
  </w:style>
  <w:style w:type="character" w:customStyle="1" w:styleId="-lsCharChar">
    <w:name w:val="正文-ls Char Char"/>
    <w:link w:val="-ls"/>
    <w:unhideWhenUsed/>
    <w:qFormat/>
    <w:rPr>
      <w:rFonts w:ascii="Calibri" w:hAnsi="宋体" w:hint="eastAsia"/>
      <w:color w:val="000000"/>
      <w:w w:val="110"/>
      <w:sz w:val="24"/>
      <w:szCs w:val="24"/>
    </w:rPr>
  </w:style>
  <w:style w:type="character" w:customStyle="1" w:styleId="CharCharffff7">
    <w:name w:val="正文格式 Char Char"/>
    <w:unhideWhenUsed/>
    <w:qFormat/>
    <w:rPr>
      <w:rFonts w:ascii="宋体" w:eastAsia="宋体" w:hint="eastAsia"/>
      <w:color w:val="000000"/>
      <w:w w:val="110"/>
      <w:sz w:val="24"/>
      <w:szCs w:val="24"/>
    </w:rPr>
  </w:style>
  <w:style w:type="character" w:customStyle="1" w:styleId="Charfffff6">
    <w:name w:val="正文内容 Char"/>
    <w:link w:val="affffffffffffffffffffff8"/>
    <w:unhideWhenUsed/>
    <w:qFormat/>
    <w:rPr>
      <w:rFonts w:hint="default"/>
      <w:kern w:val="2"/>
      <w:sz w:val="24"/>
      <w:szCs w:val="24"/>
    </w:rPr>
  </w:style>
  <w:style w:type="character" w:customStyle="1" w:styleId="CharChar9">
    <w:name w:val="环评 正文 Char Char"/>
    <w:link w:val="affffffffffffffffffffff9"/>
    <w:unhideWhenUsed/>
    <w:qFormat/>
    <w:rPr>
      <w:rFonts w:ascii="宋体" w:eastAsia="宋体" w:hint="eastAsia"/>
      <w:sz w:val="24"/>
      <w:szCs w:val="24"/>
    </w:rPr>
  </w:style>
  <w:style w:type="character" w:customStyle="1" w:styleId="affffffffffffffffffffffffe">
    <w:name w:val="正文缩进 字符"/>
    <w:unhideWhenUsed/>
    <w:qFormat/>
    <w:rPr>
      <w:rFonts w:eastAsia="宋体" w:hint="default"/>
      <w:kern w:val="2"/>
      <w:sz w:val="21"/>
      <w:szCs w:val="24"/>
      <w:lang w:val="en-US" w:eastAsia="zh-CN"/>
    </w:rPr>
  </w:style>
  <w:style w:type="character" w:customStyle="1" w:styleId="afffffffffffffffffffffffff">
    <w:name w:val="题注 字符"/>
    <w:unhideWhenUsed/>
    <w:qFormat/>
    <w:rPr>
      <w:rFonts w:ascii="Arial" w:eastAsia="黑体" w:hAnsi="Arial" w:hint="eastAsia"/>
      <w:kern w:val="2"/>
      <w:sz w:val="24"/>
      <w:szCs w:val="24"/>
    </w:rPr>
  </w:style>
  <w:style w:type="character" w:customStyle="1" w:styleId="Charfffff7">
    <w:name w:val="标题表格 Char"/>
    <w:link w:val="affffffffffffffffffffffa"/>
    <w:unhideWhenUsed/>
    <w:qFormat/>
    <w:rPr>
      <w:rFonts w:ascii="黑体" w:eastAsia="黑体" w:hAnsi="楷体_GB2312" w:hint="eastAsia"/>
      <w:sz w:val="24"/>
      <w:szCs w:val="24"/>
    </w:rPr>
  </w:style>
  <w:style w:type="character" w:customStyle="1" w:styleId="Charf5">
    <w:name w:val="表头图名 Char"/>
    <w:link w:val="affff9"/>
    <w:unhideWhenUsed/>
    <w:qFormat/>
    <w:rPr>
      <w:rFonts w:eastAsia="黑体" w:hint="default"/>
      <w:kern w:val="2"/>
      <w:sz w:val="24"/>
      <w:szCs w:val="24"/>
    </w:rPr>
  </w:style>
  <w:style w:type="character" w:customStyle="1" w:styleId="11f">
    <w:name w:val="标题 1 字符1"/>
    <w:unhideWhenUsed/>
    <w:qFormat/>
    <w:rPr>
      <w:rFonts w:ascii="Times New Roman" w:eastAsia="宋体" w:hAnsi="Times New Roman" w:hint="eastAsia"/>
      <w:b/>
      <w:kern w:val="44"/>
      <w:sz w:val="44"/>
      <w:szCs w:val="24"/>
    </w:rPr>
  </w:style>
  <w:style w:type="character" w:customStyle="1" w:styleId="21f0">
    <w:name w:val="标题 2 字符1"/>
    <w:unhideWhenUsed/>
    <w:qFormat/>
    <w:rPr>
      <w:rFonts w:ascii="等线 Light" w:eastAsia="等线 Light" w:hAnsi="等线 Light" w:hint="eastAsia"/>
      <w:b/>
      <w:sz w:val="32"/>
      <w:szCs w:val="24"/>
    </w:rPr>
  </w:style>
  <w:style w:type="character" w:customStyle="1" w:styleId="31b">
    <w:name w:val="标题 3 字符1"/>
    <w:unhideWhenUsed/>
    <w:qFormat/>
    <w:rPr>
      <w:rFonts w:ascii="Times New Roman" w:eastAsia="宋体" w:hAnsi="Times New Roman" w:hint="eastAsia"/>
      <w:b/>
      <w:sz w:val="32"/>
      <w:szCs w:val="24"/>
    </w:rPr>
  </w:style>
  <w:style w:type="character" w:customStyle="1" w:styleId="412">
    <w:name w:val="标题 4 字符1"/>
    <w:unhideWhenUsed/>
    <w:qFormat/>
    <w:rPr>
      <w:rFonts w:ascii="等线 Light" w:eastAsia="等线 Light" w:hAnsi="等线 Light" w:hint="eastAsia"/>
      <w:b/>
      <w:sz w:val="28"/>
      <w:szCs w:val="24"/>
    </w:rPr>
  </w:style>
  <w:style w:type="character" w:customStyle="1" w:styleId="510">
    <w:name w:val="标题 5 字符1"/>
    <w:unhideWhenUsed/>
    <w:qFormat/>
    <w:rPr>
      <w:rFonts w:ascii="Times New Roman" w:eastAsia="宋体" w:hAnsi="Times New Roman" w:hint="eastAsia"/>
      <w:b/>
      <w:sz w:val="28"/>
      <w:szCs w:val="24"/>
    </w:rPr>
  </w:style>
  <w:style w:type="character" w:customStyle="1" w:styleId="612">
    <w:name w:val="标题 6 字符1"/>
    <w:unhideWhenUsed/>
    <w:qFormat/>
    <w:rPr>
      <w:rFonts w:ascii="等线 Light" w:eastAsia="等线 Light" w:hAnsi="等线 Light" w:hint="eastAsia"/>
      <w:b/>
      <w:sz w:val="24"/>
      <w:szCs w:val="24"/>
    </w:rPr>
  </w:style>
  <w:style w:type="character" w:customStyle="1" w:styleId="712">
    <w:name w:val="标题 7 字符1"/>
    <w:unhideWhenUsed/>
    <w:qFormat/>
    <w:rPr>
      <w:rFonts w:ascii="Times New Roman" w:eastAsia="宋体" w:hAnsi="Times New Roman" w:hint="eastAsia"/>
      <w:b/>
      <w:sz w:val="24"/>
      <w:szCs w:val="24"/>
    </w:rPr>
  </w:style>
  <w:style w:type="character" w:customStyle="1" w:styleId="810">
    <w:name w:val="标题 8 字符1"/>
    <w:unhideWhenUsed/>
    <w:qFormat/>
    <w:rPr>
      <w:rFonts w:ascii="等线 Light" w:eastAsia="等线 Light" w:hAnsi="等线 Light" w:hint="eastAsia"/>
      <w:sz w:val="24"/>
      <w:szCs w:val="24"/>
    </w:rPr>
  </w:style>
  <w:style w:type="character" w:customStyle="1" w:styleId="910">
    <w:name w:val="标题 9 字符1"/>
    <w:unhideWhenUsed/>
    <w:qFormat/>
    <w:rPr>
      <w:rFonts w:ascii="等线 Light" w:eastAsia="等线 Light" w:hAnsi="等线 Light" w:hint="eastAsia"/>
      <w:sz w:val="21"/>
      <w:szCs w:val="24"/>
    </w:rPr>
  </w:style>
  <w:style w:type="character" w:customStyle="1" w:styleId="1fffff5">
    <w:name w:val="正文缩进 字符1"/>
    <w:unhideWhenUsed/>
    <w:qFormat/>
    <w:rPr>
      <w:rFonts w:ascii="Times New Roman" w:eastAsia="宋体" w:hAnsi="Times New Roman" w:hint="eastAsia"/>
      <w:sz w:val="20"/>
      <w:szCs w:val="24"/>
    </w:rPr>
  </w:style>
  <w:style w:type="character" w:customStyle="1" w:styleId="2ffff0">
    <w:name w:val="脚注文本 字符2"/>
    <w:unhideWhenUsed/>
    <w:qFormat/>
    <w:rPr>
      <w:rFonts w:hint="default"/>
      <w:sz w:val="18"/>
      <w:szCs w:val="24"/>
    </w:rPr>
  </w:style>
  <w:style w:type="character" w:customStyle="1" w:styleId="1fffff6">
    <w:name w:val="批注文字 字符1"/>
    <w:unhideWhenUsed/>
    <w:qFormat/>
    <w:rPr>
      <w:rFonts w:ascii="宋体" w:eastAsia="宋体" w:hAnsi="宋体" w:hint="eastAsia"/>
      <w:sz w:val="24"/>
      <w:szCs w:val="24"/>
    </w:rPr>
  </w:style>
  <w:style w:type="character" w:customStyle="1" w:styleId="1fffff7">
    <w:name w:val="页眉 字符1"/>
    <w:unhideWhenUsed/>
    <w:qFormat/>
    <w:rPr>
      <w:rFonts w:hint="default"/>
      <w:sz w:val="18"/>
      <w:szCs w:val="24"/>
    </w:rPr>
  </w:style>
  <w:style w:type="character" w:customStyle="1" w:styleId="1fffff8">
    <w:name w:val="页脚 字符1"/>
    <w:unhideWhenUsed/>
    <w:qFormat/>
    <w:rPr>
      <w:rFonts w:hint="default"/>
      <w:sz w:val="18"/>
      <w:szCs w:val="24"/>
    </w:rPr>
  </w:style>
  <w:style w:type="character" w:customStyle="1" w:styleId="1fffff9">
    <w:name w:val="题注 字符1"/>
    <w:unhideWhenUsed/>
    <w:qFormat/>
    <w:rPr>
      <w:rFonts w:ascii="Arial" w:eastAsia="黑体" w:hAnsi="Arial" w:hint="eastAsia"/>
      <w:sz w:val="24"/>
      <w:szCs w:val="24"/>
    </w:rPr>
  </w:style>
  <w:style w:type="character" w:customStyle="1" w:styleId="2ffff1">
    <w:name w:val="尾注文本 字符2"/>
    <w:unhideWhenUsed/>
    <w:qFormat/>
    <w:rPr>
      <w:rFonts w:hint="default"/>
      <w:sz w:val="24"/>
      <w:szCs w:val="24"/>
    </w:rPr>
  </w:style>
  <w:style w:type="character" w:customStyle="1" w:styleId="1fffffa">
    <w:name w:val="标题 字符1"/>
    <w:unhideWhenUsed/>
    <w:qFormat/>
    <w:rPr>
      <w:rFonts w:ascii="Cambria" w:hint="default"/>
      <w:b/>
      <w:sz w:val="32"/>
      <w:szCs w:val="24"/>
    </w:rPr>
  </w:style>
  <w:style w:type="character" w:customStyle="1" w:styleId="2ffff2">
    <w:name w:val="结束语 字符2"/>
    <w:unhideWhenUsed/>
    <w:qFormat/>
    <w:rPr>
      <w:rFonts w:ascii="仿宋_GB2312" w:eastAsia="仿宋_GB2312" w:hint="eastAsia"/>
      <w:sz w:val="32"/>
      <w:szCs w:val="24"/>
    </w:rPr>
  </w:style>
  <w:style w:type="character" w:customStyle="1" w:styleId="2ffff3">
    <w:name w:val="签名 字符2"/>
    <w:unhideWhenUsed/>
    <w:qFormat/>
    <w:rPr>
      <w:rFonts w:hint="default"/>
      <w:sz w:val="24"/>
      <w:szCs w:val="24"/>
    </w:rPr>
  </w:style>
  <w:style w:type="character" w:customStyle="1" w:styleId="1fffffb">
    <w:name w:val="正文文本 字符1"/>
    <w:unhideWhenUsed/>
    <w:qFormat/>
    <w:rPr>
      <w:rFonts w:ascii="Times New Roman" w:eastAsia="宋体" w:hAnsi="Times New Roman" w:hint="eastAsia"/>
      <w:sz w:val="24"/>
      <w:szCs w:val="24"/>
    </w:rPr>
  </w:style>
  <w:style w:type="character" w:customStyle="1" w:styleId="1fffffc">
    <w:name w:val="正文文本缩进 字符1"/>
    <w:unhideWhenUsed/>
    <w:qFormat/>
    <w:rPr>
      <w:rFonts w:hint="default"/>
      <w:sz w:val="24"/>
      <w:szCs w:val="24"/>
    </w:rPr>
  </w:style>
  <w:style w:type="character" w:customStyle="1" w:styleId="2ffff4">
    <w:name w:val="信息标题 字符2"/>
    <w:unhideWhenUsed/>
    <w:qFormat/>
    <w:rPr>
      <w:rFonts w:ascii="Arial" w:hint="default"/>
      <w:sz w:val="24"/>
      <w:szCs w:val="24"/>
      <w:shd w:val="pct20" w:color="auto" w:fill="auto"/>
    </w:rPr>
  </w:style>
  <w:style w:type="character" w:customStyle="1" w:styleId="1fffffd">
    <w:name w:val="副标题 字符1"/>
    <w:unhideWhenUsed/>
    <w:qFormat/>
    <w:rPr>
      <w:rFonts w:ascii="Cambria" w:hint="default"/>
      <w:b/>
      <w:kern w:val="28"/>
      <w:sz w:val="32"/>
      <w:szCs w:val="24"/>
    </w:rPr>
  </w:style>
  <w:style w:type="character" w:customStyle="1" w:styleId="2ffff5">
    <w:name w:val="称呼 字符2"/>
    <w:unhideWhenUsed/>
    <w:qFormat/>
    <w:rPr>
      <w:rFonts w:ascii="宋体" w:eastAsia="宋体" w:hAnsi="Courier New" w:hint="eastAsia"/>
      <w:sz w:val="21"/>
      <w:szCs w:val="24"/>
    </w:rPr>
  </w:style>
  <w:style w:type="character" w:customStyle="1" w:styleId="1fffffe">
    <w:name w:val="日期 字符1"/>
    <w:unhideWhenUsed/>
    <w:qFormat/>
    <w:rPr>
      <w:rFonts w:ascii="仿宋_GB2312" w:eastAsia="仿宋_GB2312" w:hint="eastAsia"/>
      <w:b/>
      <w:sz w:val="24"/>
      <w:szCs w:val="24"/>
    </w:rPr>
  </w:style>
  <w:style w:type="character" w:customStyle="1" w:styleId="1ffffff">
    <w:name w:val="正文文本首行缩进 字符1"/>
    <w:unhideWhenUsed/>
    <w:qFormat/>
    <w:rPr>
      <w:rFonts w:hint="default"/>
      <w:sz w:val="24"/>
      <w:szCs w:val="24"/>
    </w:rPr>
  </w:style>
  <w:style w:type="character" w:customStyle="1" w:styleId="21f1">
    <w:name w:val="正文文本首行缩进 字符21"/>
    <w:uiPriority w:val="99"/>
    <w:unhideWhenUsed/>
    <w:qFormat/>
    <w:rPr>
      <w:rFonts w:hint="default"/>
      <w:sz w:val="24"/>
      <w:szCs w:val="24"/>
    </w:rPr>
  </w:style>
  <w:style w:type="character" w:customStyle="1" w:styleId="1ffffff0">
    <w:name w:val="注释标题 字符1"/>
    <w:unhideWhenUsed/>
    <w:qFormat/>
    <w:rPr>
      <w:rFonts w:ascii="宋体" w:eastAsia="宋体" w:hAnsi="宋体" w:hint="eastAsia"/>
      <w:sz w:val="28"/>
      <w:szCs w:val="24"/>
    </w:rPr>
  </w:style>
  <w:style w:type="character" w:customStyle="1" w:styleId="21f2">
    <w:name w:val="正文文本 2 字符1"/>
    <w:unhideWhenUsed/>
    <w:qFormat/>
    <w:rPr>
      <w:rFonts w:hint="default"/>
      <w:sz w:val="24"/>
      <w:szCs w:val="24"/>
    </w:rPr>
  </w:style>
  <w:style w:type="character" w:customStyle="1" w:styleId="31c">
    <w:name w:val="正文文本 3 字符1"/>
    <w:unhideWhenUsed/>
    <w:qFormat/>
    <w:rPr>
      <w:rFonts w:hint="default"/>
      <w:sz w:val="24"/>
      <w:szCs w:val="24"/>
    </w:rPr>
  </w:style>
  <w:style w:type="character" w:customStyle="1" w:styleId="21f3">
    <w:name w:val="正文文本缩进 2 字符1"/>
    <w:unhideWhenUsed/>
    <w:qFormat/>
    <w:rPr>
      <w:rFonts w:hint="default"/>
      <w:sz w:val="24"/>
      <w:szCs w:val="24"/>
    </w:rPr>
  </w:style>
  <w:style w:type="character" w:customStyle="1" w:styleId="31d">
    <w:name w:val="正文文本缩进 3 字符1"/>
    <w:unhideWhenUsed/>
    <w:qFormat/>
    <w:rPr>
      <w:rFonts w:hint="default"/>
      <w:sz w:val="24"/>
      <w:szCs w:val="24"/>
    </w:rPr>
  </w:style>
  <w:style w:type="character" w:customStyle="1" w:styleId="afffffffffffffffffffffffff0">
    <w:name w:val="文本块 字符"/>
    <w:unhideWhenUsed/>
    <w:qFormat/>
    <w:rPr>
      <w:rFonts w:hint="default"/>
      <w:spacing w:val="26"/>
      <w:sz w:val="28"/>
      <w:szCs w:val="24"/>
    </w:rPr>
  </w:style>
  <w:style w:type="character" w:customStyle="1" w:styleId="1ffffff1">
    <w:name w:val="文档结构图 字符1"/>
    <w:unhideWhenUsed/>
    <w:qFormat/>
    <w:rPr>
      <w:rFonts w:hint="default"/>
      <w:sz w:val="24"/>
      <w:szCs w:val="24"/>
      <w:shd w:val="clear" w:color="auto" w:fill="000080"/>
    </w:rPr>
  </w:style>
  <w:style w:type="character" w:customStyle="1" w:styleId="1ffffff2">
    <w:name w:val="纯文本 字符1"/>
    <w:unhideWhenUsed/>
    <w:qFormat/>
    <w:rPr>
      <w:rFonts w:ascii="宋体" w:eastAsia="宋体" w:hAnsi="Courier New" w:hint="eastAsia"/>
      <w:sz w:val="21"/>
      <w:szCs w:val="24"/>
    </w:rPr>
  </w:style>
  <w:style w:type="character" w:customStyle="1" w:styleId="2ffff6">
    <w:name w:val="电子邮件签名 字符2"/>
    <w:unhideWhenUsed/>
    <w:qFormat/>
    <w:rPr>
      <w:rFonts w:hint="default"/>
      <w:sz w:val="24"/>
      <w:szCs w:val="24"/>
    </w:rPr>
  </w:style>
  <w:style w:type="character" w:customStyle="1" w:styleId="1ffffff3">
    <w:name w:val="批注主题 字符1"/>
    <w:unhideWhenUsed/>
    <w:qFormat/>
    <w:rPr>
      <w:rFonts w:ascii="宋体" w:eastAsia="宋体" w:hAnsi="宋体" w:hint="eastAsia"/>
      <w:b/>
      <w:color w:val="000000"/>
      <w:sz w:val="24"/>
      <w:szCs w:val="24"/>
    </w:rPr>
  </w:style>
  <w:style w:type="character" w:customStyle="1" w:styleId="afffffffffffffffffffffffff1">
    <w:name w:val="无间隔 字符"/>
    <w:uiPriority w:val="1"/>
    <w:unhideWhenUsed/>
    <w:qFormat/>
    <w:rPr>
      <w:rFonts w:hint="default"/>
      <w:sz w:val="32"/>
      <w:szCs w:val="24"/>
    </w:rPr>
  </w:style>
  <w:style w:type="character" w:customStyle="1" w:styleId="2ffff7">
    <w:name w:val="引用 字符2"/>
    <w:unhideWhenUsed/>
    <w:qFormat/>
    <w:rPr>
      <w:rFonts w:hint="default"/>
      <w:i/>
      <w:sz w:val="24"/>
      <w:szCs w:val="24"/>
    </w:rPr>
  </w:style>
  <w:style w:type="character" w:customStyle="1" w:styleId="2ffff8">
    <w:name w:val="明显引用 字符2"/>
    <w:unhideWhenUsed/>
    <w:qFormat/>
    <w:rPr>
      <w:rFonts w:hint="default"/>
      <w:b/>
      <w:i/>
      <w:sz w:val="24"/>
      <w:szCs w:val="24"/>
    </w:rPr>
  </w:style>
  <w:style w:type="character" w:customStyle="1" w:styleId="21f4">
    <w:name w:val="正文文本首行缩进 2 字符1"/>
    <w:uiPriority w:val="99"/>
    <w:unhideWhenUsed/>
    <w:qFormat/>
    <w:rPr>
      <w:rFonts w:hint="default"/>
      <w:sz w:val="24"/>
      <w:szCs w:val="24"/>
    </w:rPr>
  </w:style>
  <w:style w:type="character" w:customStyle="1" w:styleId="5f4">
    <w:name w:val="标题5"/>
    <w:unhideWhenUsed/>
    <w:qFormat/>
    <w:rPr>
      <w:rFonts w:hint="default"/>
      <w:sz w:val="24"/>
      <w:szCs w:val="24"/>
    </w:rPr>
  </w:style>
  <w:style w:type="character" w:customStyle="1" w:styleId="1ffffff4">
    <w:name w:val="批注框文本 字符1"/>
    <w:unhideWhenUsed/>
    <w:qFormat/>
    <w:rPr>
      <w:rFonts w:ascii="Times New Roman" w:eastAsia="宋体" w:hAnsi="Times New Roman" w:hint="eastAsia"/>
      <w:sz w:val="18"/>
      <w:szCs w:val="24"/>
    </w:rPr>
  </w:style>
  <w:style w:type="character" w:customStyle="1" w:styleId="1ffffff5">
    <w:name w:val="引用 字符1"/>
    <w:unhideWhenUsed/>
    <w:qFormat/>
    <w:rPr>
      <w:rFonts w:ascii="Times New Roman" w:eastAsia="宋体" w:hAnsi="Times New Roman" w:hint="eastAsia"/>
      <w:i/>
      <w:color w:val="404040"/>
      <w:sz w:val="24"/>
      <w:szCs w:val="24"/>
    </w:rPr>
  </w:style>
  <w:style w:type="character" w:customStyle="1" w:styleId="1ffffff6">
    <w:name w:val="明显引用 字符1"/>
    <w:unhideWhenUsed/>
    <w:qFormat/>
    <w:rPr>
      <w:rFonts w:ascii="Times New Roman" w:eastAsia="宋体" w:hAnsi="Times New Roman" w:hint="eastAsia"/>
      <w:i/>
      <w:color w:val="4472C4"/>
      <w:sz w:val="24"/>
      <w:szCs w:val="24"/>
    </w:rPr>
  </w:style>
  <w:style w:type="character" w:customStyle="1" w:styleId="1ffffff7">
    <w:name w:val="称呼 字符1"/>
    <w:unhideWhenUsed/>
    <w:qFormat/>
    <w:rPr>
      <w:rFonts w:ascii="Times New Roman" w:eastAsia="宋体" w:hAnsi="Times New Roman" w:hint="eastAsia"/>
      <w:sz w:val="24"/>
      <w:szCs w:val="24"/>
    </w:rPr>
  </w:style>
  <w:style w:type="character" w:customStyle="1" w:styleId="1ffffff8">
    <w:name w:val="结束语 字符1"/>
    <w:unhideWhenUsed/>
    <w:qFormat/>
    <w:rPr>
      <w:rFonts w:ascii="Times New Roman" w:eastAsia="宋体" w:hAnsi="Times New Roman" w:hint="eastAsia"/>
      <w:sz w:val="24"/>
      <w:szCs w:val="24"/>
    </w:rPr>
  </w:style>
  <w:style w:type="character" w:customStyle="1" w:styleId="1ffffff9">
    <w:name w:val="脚注文本 字符1"/>
    <w:unhideWhenUsed/>
    <w:qFormat/>
    <w:rPr>
      <w:rFonts w:ascii="Times New Roman" w:eastAsia="宋体" w:hAnsi="Times New Roman" w:hint="eastAsia"/>
      <w:sz w:val="18"/>
      <w:szCs w:val="24"/>
    </w:rPr>
  </w:style>
  <w:style w:type="character" w:customStyle="1" w:styleId="z-13">
    <w:name w:val="z-窗体顶端 字符1"/>
    <w:unhideWhenUsed/>
    <w:qFormat/>
    <w:rPr>
      <w:rFonts w:ascii="Arial" w:eastAsia="宋体" w:hAnsi="Arial" w:hint="eastAsia"/>
      <w:vanish/>
      <w:sz w:val="16"/>
      <w:szCs w:val="24"/>
    </w:rPr>
  </w:style>
  <w:style w:type="character" w:customStyle="1" w:styleId="z-2">
    <w:name w:val="z-窗体顶端 字符2"/>
    <w:unhideWhenUsed/>
    <w:qFormat/>
    <w:rPr>
      <w:rFonts w:ascii="Arial" w:eastAsia="宋体" w:hAnsi="Arial" w:hint="eastAsia"/>
      <w:vanish/>
      <w:sz w:val="16"/>
      <w:szCs w:val="24"/>
    </w:rPr>
  </w:style>
  <w:style w:type="character" w:customStyle="1" w:styleId="z-14">
    <w:name w:val="z-窗体底端 字符1"/>
    <w:unhideWhenUsed/>
    <w:qFormat/>
    <w:rPr>
      <w:rFonts w:ascii="Arial" w:eastAsia="宋体" w:hAnsi="Arial" w:hint="eastAsia"/>
      <w:vanish/>
      <w:sz w:val="16"/>
      <w:szCs w:val="24"/>
    </w:rPr>
  </w:style>
  <w:style w:type="character" w:customStyle="1" w:styleId="z-20">
    <w:name w:val="z-窗体底端 字符2"/>
    <w:unhideWhenUsed/>
    <w:qFormat/>
    <w:rPr>
      <w:rFonts w:ascii="Arial" w:eastAsia="宋体" w:hAnsi="Arial" w:hint="eastAsia"/>
      <w:vanish/>
      <w:sz w:val="16"/>
      <w:szCs w:val="24"/>
    </w:rPr>
  </w:style>
  <w:style w:type="character" w:customStyle="1" w:styleId="1ffffffa">
    <w:name w:val="尾注文本 字符1"/>
    <w:unhideWhenUsed/>
    <w:qFormat/>
    <w:rPr>
      <w:rFonts w:ascii="Times New Roman" w:eastAsia="宋体" w:hAnsi="Times New Roman" w:hint="eastAsia"/>
      <w:sz w:val="24"/>
      <w:szCs w:val="24"/>
    </w:rPr>
  </w:style>
  <w:style w:type="character" w:customStyle="1" w:styleId="HTML10">
    <w:name w:val="HTML 地址 字符1"/>
    <w:unhideWhenUsed/>
    <w:qFormat/>
    <w:rPr>
      <w:rFonts w:ascii="Times New Roman" w:eastAsia="宋体" w:hAnsi="Times New Roman" w:hint="eastAsia"/>
      <w:i/>
      <w:sz w:val="24"/>
      <w:szCs w:val="24"/>
    </w:rPr>
  </w:style>
  <w:style w:type="character" w:customStyle="1" w:styleId="1ffffffb">
    <w:name w:val="电子邮件签名 字符1"/>
    <w:unhideWhenUsed/>
    <w:qFormat/>
    <w:rPr>
      <w:rFonts w:ascii="Times New Roman" w:eastAsia="宋体" w:hAnsi="Times New Roman" w:hint="eastAsia"/>
      <w:sz w:val="24"/>
      <w:szCs w:val="24"/>
    </w:rPr>
  </w:style>
  <w:style w:type="character" w:customStyle="1" w:styleId="1ffffffc">
    <w:name w:val="签名 字符1"/>
    <w:unhideWhenUsed/>
    <w:qFormat/>
    <w:rPr>
      <w:rFonts w:ascii="Times New Roman" w:eastAsia="宋体" w:hAnsi="Times New Roman" w:hint="eastAsia"/>
      <w:sz w:val="24"/>
      <w:szCs w:val="24"/>
    </w:rPr>
  </w:style>
  <w:style w:type="character" w:customStyle="1" w:styleId="1ffffffd">
    <w:name w:val="信息标题 字符1"/>
    <w:unhideWhenUsed/>
    <w:qFormat/>
    <w:rPr>
      <w:rFonts w:ascii="等线 Light" w:eastAsia="等线 Light" w:hAnsi="等线 Light" w:hint="eastAsia"/>
      <w:sz w:val="24"/>
      <w:szCs w:val="24"/>
      <w:shd w:val="pct20" w:color="auto" w:fill="auto"/>
    </w:rPr>
  </w:style>
  <w:style w:type="character" w:customStyle="1" w:styleId="1ffffffe">
    <w:name w:val="未处理的提及1"/>
    <w:uiPriority w:val="99"/>
    <w:unhideWhenUsed/>
    <w:qFormat/>
    <w:rPr>
      <w:rFonts w:hint="default"/>
      <w:color w:val="605E5C"/>
      <w:sz w:val="24"/>
      <w:szCs w:val="24"/>
      <w:shd w:val="clear" w:color="auto" w:fill="E1DFDD"/>
    </w:rPr>
  </w:style>
  <w:style w:type="character" w:customStyle="1" w:styleId="11Char">
    <w:name w:val="表格内容11 Char"/>
    <w:link w:val="119"/>
    <w:uiPriority w:val="99"/>
    <w:unhideWhenUsed/>
    <w:qFormat/>
    <w:rPr>
      <w:rFonts w:hint="default"/>
      <w:sz w:val="21"/>
      <w:szCs w:val="24"/>
    </w:rPr>
  </w:style>
  <w:style w:type="character" w:customStyle="1" w:styleId="Charfffff9">
    <w:name w:val="报告书表格 Char"/>
    <w:link w:val="afffffffffffffffffffffff0"/>
    <w:unhideWhenUsed/>
    <w:qFormat/>
    <w:rPr>
      <w:rFonts w:hint="default"/>
      <w:sz w:val="21"/>
      <w:szCs w:val="24"/>
    </w:rPr>
  </w:style>
  <w:style w:type="character" w:customStyle="1" w:styleId="bb">
    <w:name w:val="bb"/>
    <w:basedOn w:val="a6"/>
    <w:unhideWhenUsed/>
    <w:qFormat/>
    <w:rPr>
      <w:rFonts w:cs="Times New Roman" w:hint="default"/>
      <w:sz w:val="24"/>
      <w:szCs w:val="24"/>
    </w:rPr>
  </w:style>
  <w:style w:type="character" w:customStyle="1" w:styleId="CharChar1e">
    <w:name w:val="Char Char1"/>
    <w:unhideWhenUsed/>
    <w:qFormat/>
    <w:rPr>
      <w:rFonts w:hint="default"/>
      <w:kern w:val="2"/>
      <w:sz w:val="18"/>
      <w:szCs w:val="24"/>
    </w:rPr>
  </w:style>
  <w:style w:type="character" w:customStyle="1" w:styleId="CharCharffff8">
    <w:name w:val="正文内容 Char Char"/>
    <w:unhideWhenUsed/>
    <w:qFormat/>
    <w:rPr>
      <w:rFonts w:eastAsia="宋体" w:hint="default"/>
      <w:sz w:val="24"/>
      <w:szCs w:val="24"/>
      <w:lang w:val="en-US" w:eastAsia="zh-CN"/>
    </w:rPr>
  </w:style>
  <w:style w:type="character" w:customStyle="1" w:styleId="wangChar">
    <w:name w:val="正文wang Char"/>
    <w:link w:val="wang"/>
    <w:unhideWhenUsed/>
    <w:qFormat/>
    <w:rPr>
      <w:rFonts w:hAnsi="宋体" w:hint="default"/>
      <w:sz w:val="21"/>
      <w:szCs w:val="24"/>
    </w:rPr>
  </w:style>
  <w:style w:type="character" w:customStyle="1" w:styleId="a10">
    <w:name w:val="a1"/>
    <w:unhideWhenUsed/>
    <w:qFormat/>
    <w:rPr>
      <w:rFonts w:ascii="宋体" w:eastAsia="宋体" w:hAnsi="宋体" w:hint="eastAsia"/>
      <w:color w:val="000000"/>
      <w:sz w:val="18"/>
      <w:szCs w:val="24"/>
    </w:rPr>
  </w:style>
  <w:style w:type="character" w:customStyle="1" w:styleId="26CharCharChar">
    <w:name w:val="样式 (符号) 宋体 小四 行距: 固定值 26 磅 Char Char Char"/>
    <w:link w:val="26CharChar"/>
    <w:unhideWhenUsed/>
    <w:qFormat/>
    <w:rPr>
      <w:rFonts w:hAnsi="宋体" w:hint="default"/>
      <w:color w:val="000000"/>
      <w:kern w:val="2"/>
      <w:sz w:val="28"/>
      <w:szCs w:val="24"/>
    </w:rPr>
  </w:style>
  <w:style w:type="character" w:customStyle="1" w:styleId="k1">
    <w:name w:val="k1"/>
    <w:basedOn w:val="a6"/>
    <w:unhideWhenUsed/>
    <w:qFormat/>
    <w:rPr>
      <w:rFonts w:cs="Times New Roman" w:hint="default"/>
      <w:sz w:val="24"/>
      <w:szCs w:val="24"/>
    </w:rPr>
  </w:style>
  <w:style w:type="character" w:customStyle="1" w:styleId="he31">
    <w:name w:val="he31"/>
    <w:unhideWhenUsed/>
    <w:qFormat/>
    <w:rPr>
      <w:rFonts w:ascii="??" w:hint="default"/>
      <w:color w:val="000000"/>
      <w:sz w:val="18"/>
      <w:szCs w:val="24"/>
    </w:rPr>
  </w:style>
  <w:style w:type="character" w:customStyle="1" w:styleId="3CharCharChar1">
    <w:name w:val="样式 标题 3 + 宋体 Char Char Char"/>
    <w:link w:val="3CharChar1"/>
    <w:unhideWhenUsed/>
    <w:qFormat/>
    <w:rPr>
      <w:rFonts w:hint="default"/>
      <w:b/>
      <w:kern w:val="2"/>
      <w:sz w:val="32"/>
      <w:szCs w:val="24"/>
    </w:rPr>
  </w:style>
  <w:style w:type="character" w:customStyle="1" w:styleId="Chare">
    <w:name w:val="正文首行缩进 Char"/>
    <w:basedOn w:val="2fff8"/>
    <w:link w:val="aff7"/>
    <w:unhideWhenUsed/>
    <w:qFormat/>
    <w:rPr>
      <w:rFonts w:hint="default"/>
      <w:sz w:val="24"/>
      <w:szCs w:val="24"/>
    </w:rPr>
  </w:style>
  <w:style w:type="character" w:customStyle="1" w:styleId="21Char">
    <w:name w:val="正文21 Char"/>
    <w:link w:val="21e"/>
    <w:unhideWhenUsed/>
    <w:qFormat/>
    <w:rPr>
      <w:rFonts w:hint="default"/>
      <w:kern w:val="2"/>
      <w:sz w:val="21"/>
      <w:szCs w:val="24"/>
    </w:rPr>
  </w:style>
  <w:style w:type="character" w:customStyle="1" w:styleId="Charfffffa">
    <w:name w:val="中交正文 Char"/>
    <w:link w:val="afffffffffffffffffffffff3"/>
    <w:unhideWhenUsed/>
    <w:qFormat/>
    <w:rPr>
      <w:rFonts w:hint="default"/>
      <w:kern w:val="2"/>
      <w:sz w:val="24"/>
      <w:szCs w:val="24"/>
    </w:rPr>
  </w:style>
  <w:style w:type="character" w:customStyle="1" w:styleId="Charff9">
    <w:name w:val="表体 Char"/>
    <w:basedOn w:val="a6"/>
    <w:link w:val="afffffffff6"/>
    <w:unhideWhenUsed/>
    <w:qFormat/>
    <w:rPr>
      <w:rFonts w:cs="Times New Roman" w:hint="default"/>
      <w:spacing w:val="-28"/>
      <w:kern w:val="24"/>
      <w:sz w:val="18"/>
      <w:szCs w:val="18"/>
    </w:rPr>
  </w:style>
  <w:style w:type="character" w:customStyle="1" w:styleId="15CharChar">
    <w:name w:val="正文 小四 行距: 1.5 倍行距 Char Char"/>
    <w:unhideWhenUsed/>
    <w:qFormat/>
    <w:rPr>
      <w:rFonts w:ascii="宋体" w:eastAsia="宋体" w:hAnsi="Times New Roman" w:hint="eastAsia"/>
      <w:sz w:val="24"/>
      <w:szCs w:val="24"/>
    </w:rPr>
  </w:style>
  <w:style w:type="character" w:customStyle="1" w:styleId="Charf1">
    <w:name w:val="列出段落 Char"/>
    <w:link w:val="afff9"/>
    <w:uiPriority w:val="1"/>
    <w:unhideWhenUsed/>
    <w:qFormat/>
    <w:rPr>
      <w:rFonts w:hint="default"/>
      <w:kern w:val="2"/>
      <w:sz w:val="24"/>
      <w:szCs w:val="24"/>
    </w:rPr>
  </w:style>
  <w:style w:type="character" w:customStyle="1" w:styleId="TableParagraphChar">
    <w:name w:val="Table Paragraph Char"/>
    <w:link w:val="TableParagraph"/>
    <w:uiPriority w:val="1"/>
    <w:unhideWhenUsed/>
    <w:qFormat/>
    <w:rPr>
      <w:rFonts w:ascii="宋体" w:eastAsia="宋体" w:hint="eastAsia"/>
      <w:sz w:val="22"/>
      <w:szCs w:val="24"/>
      <w:lang w:eastAsia="en-US"/>
    </w:rPr>
  </w:style>
  <w:style w:type="character" w:customStyle="1" w:styleId="A-Char">
    <w:name w:val="A-表格文字 Char"/>
    <w:link w:val="A-"/>
    <w:unhideWhenUsed/>
    <w:qFormat/>
    <w:rPr>
      <w:rFonts w:ascii="宋体" w:eastAsia="宋体" w:hint="eastAsia"/>
      <w:sz w:val="24"/>
      <w:szCs w:val="24"/>
      <w:lang w:eastAsia="en-US"/>
    </w:rPr>
  </w:style>
  <w:style w:type="character" w:customStyle="1" w:styleId="3ff0">
    <w:name w:val="+标题3 字符"/>
    <w:basedOn w:val="3221"/>
    <w:link w:val="3ff"/>
    <w:unhideWhenUsed/>
    <w:qFormat/>
    <w:rPr>
      <w:rFonts w:ascii="黑体" w:eastAsia="黑体" w:hAnsi="宋体" w:cs="Times New Roman" w:hint="eastAsia"/>
      <w:b w:val="0"/>
      <w:kern w:val="2"/>
      <w:sz w:val="28"/>
      <w:szCs w:val="28"/>
    </w:rPr>
  </w:style>
  <w:style w:type="character" w:customStyle="1" w:styleId="3221">
    <w:name w:val="标题 3 字符221"/>
    <w:unhideWhenUsed/>
    <w:qFormat/>
    <w:rPr>
      <w:rFonts w:hint="default"/>
      <w:b/>
      <w:kern w:val="2"/>
      <w:sz w:val="32"/>
      <w:szCs w:val="24"/>
    </w:rPr>
  </w:style>
  <w:style w:type="character" w:customStyle="1" w:styleId="3223">
    <w:name w:val="标题 3 字符22"/>
    <w:unhideWhenUsed/>
    <w:qFormat/>
    <w:rPr>
      <w:rFonts w:hint="default"/>
      <w:b/>
      <w:kern w:val="2"/>
      <w:sz w:val="32"/>
      <w:szCs w:val="24"/>
    </w:rPr>
  </w:style>
  <w:style w:type="character" w:customStyle="1" w:styleId="181">
    <w:name w:val="样式18 字符"/>
    <w:basedOn w:val="3ff0"/>
    <w:link w:val="180"/>
    <w:unhideWhenUsed/>
    <w:qFormat/>
    <w:rPr>
      <w:rFonts w:ascii="黑体" w:eastAsia="黑体" w:hAnsi="宋体" w:cs="Times New Roman" w:hint="eastAsia"/>
      <w:b w:val="0"/>
      <w:kern w:val="2"/>
      <w:sz w:val="28"/>
      <w:szCs w:val="28"/>
    </w:rPr>
  </w:style>
  <w:style w:type="character" w:customStyle="1" w:styleId="21f5">
    <w:name w:val="正文首行缩进 2 字符1"/>
    <w:unhideWhenUsed/>
    <w:qFormat/>
    <w:rPr>
      <w:rFonts w:eastAsia="宋体" w:hint="default"/>
      <w:kern w:val="2"/>
      <w:sz w:val="24"/>
      <w:szCs w:val="24"/>
      <w:lang w:val="en-US" w:eastAsia="zh-CN"/>
    </w:rPr>
  </w:style>
  <w:style w:type="character" w:customStyle="1" w:styleId="2ffff9">
    <w:name w:val="未处理的提及2"/>
    <w:basedOn w:val="a6"/>
    <w:uiPriority w:val="99"/>
    <w:unhideWhenUsed/>
    <w:qFormat/>
    <w:rPr>
      <w:rFonts w:cs="Times New Roman" w:hint="default"/>
      <w:color w:val="605E5C"/>
      <w:sz w:val="24"/>
      <w:szCs w:val="24"/>
      <w:shd w:val="clear" w:color="auto" w:fill="E1DFDD"/>
    </w:rPr>
  </w:style>
  <w:style w:type="character" w:customStyle="1" w:styleId="135">
    <w:name w:val="标题 1 字符3"/>
    <w:basedOn w:val="a6"/>
    <w:uiPriority w:val="9"/>
    <w:unhideWhenUsed/>
    <w:qFormat/>
    <w:rPr>
      <w:rFonts w:cs="Times New Roman" w:hint="default"/>
      <w:b/>
      <w:kern w:val="44"/>
      <w:sz w:val="44"/>
      <w:szCs w:val="44"/>
    </w:rPr>
  </w:style>
  <w:style w:type="character" w:customStyle="1" w:styleId="234">
    <w:name w:val="标题 2 字符3"/>
    <w:basedOn w:val="a6"/>
    <w:uiPriority w:val="9"/>
    <w:unhideWhenUsed/>
    <w:qFormat/>
    <w:rPr>
      <w:rFonts w:ascii="Calibri Light" w:eastAsia="宋体" w:hAnsi="Calibri Light" w:cs="Times New Roman" w:hint="eastAsia"/>
      <w:b/>
      <w:kern w:val="2"/>
      <w:sz w:val="32"/>
      <w:szCs w:val="32"/>
    </w:rPr>
  </w:style>
  <w:style w:type="character" w:customStyle="1" w:styleId="330">
    <w:name w:val="标题 3 字符3"/>
    <w:basedOn w:val="a6"/>
    <w:uiPriority w:val="9"/>
    <w:unhideWhenUsed/>
    <w:qFormat/>
    <w:rPr>
      <w:rFonts w:cs="Times New Roman" w:hint="default"/>
      <w:b/>
      <w:kern w:val="2"/>
      <w:sz w:val="32"/>
      <w:szCs w:val="32"/>
    </w:rPr>
  </w:style>
  <w:style w:type="character" w:customStyle="1" w:styleId="431">
    <w:name w:val="标题 4 字符3"/>
    <w:basedOn w:val="a6"/>
    <w:uiPriority w:val="9"/>
    <w:unhideWhenUsed/>
    <w:qFormat/>
    <w:rPr>
      <w:rFonts w:ascii="Calibri Light" w:eastAsia="宋体" w:hAnsi="Calibri Light" w:cs="Times New Roman" w:hint="eastAsia"/>
      <w:b/>
      <w:kern w:val="2"/>
      <w:sz w:val="28"/>
      <w:szCs w:val="28"/>
    </w:rPr>
  </w:style>
  <w:style w:type="character" w:customStyle="1" w:styleId="530">
    <w:name w:val="标题 5 字符3"/>
    <w:basedOn w:val="a6"/>
    <w:uiPriority w:val="9"/>
    <w:unhideWhenUsed/>
    <w:qFormat/>
    <w:rPr>
      <w:rFonts w:cs="Times New Roman" w:hint="default"/>
      <w:b/>
      <w:kern w:val="2"/>
      <w:sz w:val="28"/>
      <w:szCs w:val="28"/>
    </w:rPr>
  </w:style>
  <w:style w:type="character" w:customStyle="1" w:styleId="630">
    <w:name w:val="标题 6 字符3"/>
    <w:basedOn w:val="a6"/>
    <w:uiPriority w:val="9"/>
    <w:unhideWhenUsed/>
    <w:qFormat/>
    <w:rPr>
      <w:rFonts w:ascii="Calibri Light" w:eastAsia="宋体" w:hAnsi="Calibri Light" w:cs="Times New Roman" w:hint="eastAsia"/>
      <w:b/>
      <w:kern w:val="2"/>
      <w:sz w:val="24"/>
      <w:szCs w:val="24"/>
    </w:rPr>
  </w:style>
  <w:style w:type="character" w:customStyle="1" w:styleId="730">
    <w:name w:val="标题 7 字符3"/>
    <w:basedOn w:val="a6"/>
    <w:uiPriority w:val="9"/>
    <w:unhideWhenUsed/>
    <w:qFormat/>
    <w:rPr>
      <w:rFonts w:cs="Times New Roman" w:hint="default"/>
      <w:b/>
      <w:kern w:val="2"/>
      <w:sz w:val="24"/>
      <w:szCs w:val="24"/>
    </w:rPr>
  </w:style>
  <w:style w:type="character" w:customStyle="1" w:styleId="830">
    <w:name w:val="标题 8 字符3"/>
    <w:basedOn w:val="a6"/>
    <w:uiPriority w:val="9"/>
    <w:unhideWhenUsed/>
    <w:qFormat/>
    <w:rPr>
      <w:rFonts w:ascii="Calibri Light" w:eastAsia="宋体" w:hAnsi="Calibri Light" w:cs="Times New Roman" w:hint="eastAsia"/>
      <w:kern w:val="2"/>
      <w:sz w:val="24"/>
      <w:szCs w:val="24"/>
    </w:rPr>
  </w:style>
  <w:style w:type="character" w:customStyle="1" w:styleId="930">
    <w:name w:val="标题 9 字符3"/>
    <w:basedOn w:val="a6"/>
    <w:uiPriority w:val="9"/>
    <w:unhideWhenUsed/>
    <w:qFormat/>
    <w:rPr>
      <w:rFonts w:ascii="Calibri Light" w:eastAsia="宋体" w:hAnsi="Calibri Light" w:cs="Times New Roman" w:hint="eastAsia"/>
      <w:kern w:val="2"/>
      <w:sz w:val="21"/>
      <w:szCs w:val="21"/>
    </w:rPr>
  </w:style>
  <w:style w:type="character" w:customStyle="1" w:styleId="1221">
    <w:name w:val="标题 1 字符22"/>
    <w:uiPriority w:val="9"/>
    <w:unhideWhenUsed/>
    <w:qFormat/>
    <w:rPr>
      <w:rFonts w:hint="default"/>
      <w:b/>
      <w:kern w:val="44"/>
      <w:sz w:val="44"/>
      <w:szCs w:val="24"/>
    </w:rPr>
  </w:style>
  <w:style w:type="character" w:customStyle="1" w:styleId="2220">
    <w:name w:val="标题 2 字符22"/>
    <w:unhideWhenUsed/>
    <w:qFormat/>
    <w:rPr>
      <w:rFonts w:ascii="Calibri Light" w:eastAsia="宋体" w:hAnsi="Calibri Light" w:hint="eastAsia"/>
      <w:b/>
      <w:kern w:val="2"/>
      <w:sz w:val="32"/>
      <w:szCs w:val="24"/>
    </w:rPr>
  </w:style>
  <w:style w:type="character" w:customStyle="1" w:styleId="424">
    <w:name w:val="标题 4 字符24"/>
    <w:uiPriority w:val="9"/>
    <w:unhideWhenUsed/>
    <w:qFormat/>
    <w:rPr>
      <w:rFonts w:ascii="Calibri Light" w:eastAsia="宋体" w:hAnsi="Calibri Light" w:hint="eastAsia"/>
      <w:b/>
      <w:kern w:val="2"/>
      <w:sz w:val="28"/>
      <w:szCs w:val="24"/>
    </w:rPr>
  </w:style>
  <w:style w:type="character" w:customStyle="1" w:styleId="235">
    <w:name w:val="正文缩进 字符23"/>
    <w:unhideWhenUsed/>
    <w:qFormat/>
    <w:rPr>
      <w:rFonts w:hint="default"/>
      <w:kern w:val="2"/>
      <w:sz w:val="21"/>
      <w:szCs w:val="24"/>
    </w:rPr>
  </w:style>
  <w:style w:type="character" w:customStyle="1" w:styleId="5211">
    <w:name w:val="标题 5 字符21"/>
    <w:unhideWhenUsed/>
    <w:qFormat/>
    <w:rPr>
      <w:rFonts w:hint="default"/>
      <w:b/>
      <w:kern w:val="2"/>
      <w:sz w:val="28"/>
      <w:szCs w:val="24"/>
    </w:rPr>
  </w:style>
  <w:style w:type="character" w:customStyle="1" w:styleId="621">
    <w:name w:val="标题 6 字符21"/>
    <w:uiPriority w:val="9"/>
    <w:unhideWhenUsed/>
    <w:qFormat/>
    <w:rPr>
      <w:rFonts w:ascii="Calibri Light" w:eastAsia="宋体" w:hAnsi="Calibri Light" w:hint="eastAsia"/>
      <w:b/>
      <w:kern w:val="2"/>
      <w:sz w:val="24"/>
      <w:szCs w:val="24"/>
    </w:rPr>
  </w:style>
  <w:style w:type="character" w:customStyle="1" w:styleId="721">
    <w:name w:val="标题 7 字符21"/>
    <w:unhideWhenUsed/>
    <w:qFormat/>
    <w:rPr>
      <w:rFonts w:hint="default"/>
      <w:b/>
      <w:kern w:val="2"/>
      <w:sz w:val="24"/>
      <w:szCs w:val="24"/>
    </w:rPr>
  </w:style>
  <w:style w:type="character" w:customStyle="1" w:styleId="821">
    <w:name w:val="标题 8 字符21"/>
    <w:uiPriority w:val="9"/>
    <w:unhideWhenUsed/>
    <w:qFormat/>
    <w:rPr>
      <w:rFonts w:ascii="Calibri Light" w:eastAsia="宋体" w:hAnsi="Calibri Light" w:hint="eastAsia"/>
      <w:kern w:val="2"/>
      <w:sz w:val="24"/>
      <w:szCs w:val="24"/>
    </w:rPr>
  </w:style>
  <w:style w:type="character" w:customStyle="1" w:styleId="921">
    <w:name w:val="标题 9 字符21"/>
    <w:unhideWhenUsed/>
    <w:qFormat/>
    <w:rPr>
      <w:rFonts w:ascii="Calibri Light" w:eastAsia="宋体" w:hAnsi="Calibri Light" w:hint="eastAsia"/>
      <w:kern w:val="2"/>
      <w:sz w:val="21"/>
      <w:szCs w:val="24"/>
    </w:rPr>
  </w:style>
  <w:style w:type="character" w:customStyle="1" w:styleId="21f6">
    <w:name w:val="纯文本 字符21"/>
    <w:unhideWhenUsed/>
    <w:qFormat/>
    <w:rPr>
      <w:rFonts w:ascii="宋体" w:eastAsia="宋体" w:hAnsi="Courier New" w:hint="eastAsia"/>
      <w:kern w:val="2"/>
      <w:sz w:val="21"/>
      <w:szCs w:val="24"/>
    </w:rPr>
  </w:style>
  <w:style w:type="character" w:customStyle="1" w:styleId="3ff9">
    <w:name w:val="纯文本 字符3"/>
    <w:basedOn w:val="a6"/>
    <w:unhideWhenUsed/>
    <w:qFormat/>
    <w:rPr>
      <w:rFonts w:ascii="宋体" w:eastAsia="宋体" w:hAnsi="Courier New" w:cs="Courier New" w:hint="eastAsia"/>
      <w:kern w:val="2"/>
      <w:sz w:val="24"/>
      <w:szCs w:val="24"/>
    </w:rPr>
  </w:style>
  <w:style w:type="character" w:customStyle="1" w:styleId="Char2f">
    <w:name w:val="标题节 Char2"/>
    <w:unhideWhenUsed/>
    <w:qFormat/>
    <w:rPr>
      <w:rFonts w:eastAsia="仿宋_GB2312" w:hint="default"/>
      <w:b/>
      <w:kern w:val="2"/>
      <w:sz w:val="32"/>
      <w:szCs w:val="24"/>
      <w:lang w:val="en-US" w:eastAsia="zh-CN"/>
    </w:rPr>
  </w:style>
  <w:style w:type="character" w:customStyle="1" w:styleId="3Char11">
    <w:name w:val="标题 3 Char1"/>
    <w:uiPriority w:val="9"/>
    <w:unhideWhenUsed/>
    <w:qFormat/>
    <w:rPr>
      <w:rFonts w:eastAsia="宋体" w:hint="default"/>
      <w:b/>
      <w:kern w:val="28"/>
      <w:sz w:val="24"/>
      <w:szCs w:val="24"/>
      <w:lang w:val="en-US" w:eastAsia="zh-CN"/>
    </w:rPr>
  </w:style>
  <w:style w:type="character" w:customStyle="1" w:styleId="Char1ff">
    <w:name w:val="表格 Char1"/>
    <w:unhideWhenUsed/>
    <w:qFormat/>
    <w:rPr>
      <w:rFonts w:eastAsia="仿宋_GB2312" w:hint="default"/>
      <w:kern w:val="2"/>
      <w:sz w:val="24"/>
      <w:szCs w:val="24"/>
    </w:rPr>
  </w:style>
  <w:style w:type="character" w:customStyle="1" w:styleId="3ffa">
    <w:name w:val="页眉 字符3"/>
    <w:basedOn w:val="a6"/>
    <w:unhideWhenUsed/>
    <w:qFormat/>
    <w:rPr>
      <w:rFonts w:cs="Times New Roman" w:hint="default"/>
      <w:kern w:val="2"/>
      <w:sz w:val="18"/>
      <w:szCs w:val="18"/>
    </w:rPr>
  </w:style>
  <w:style w:type="character" w:customStyle="1" w:styleId="21f7">
    <w:name w:val="页眉 字符21"/>
    <w:unhideWhenUsed/>
    <w:qFormat/>
    <w:rPr>
      <w:rFonts w:hint="default"/>
      <w:kern w:val="2"/>
      <w:sz w:val="18"/>
      <w:szCs w:val="24"/>
    </w:rPr>
  </w:style>
  <w:style w:type="character" w:customStyle="1" w:styleId="Char111">
    <w:name w:val="正文缩进 Char11"/>
    <w:unhideWhenUsed/>
    <w:qFormat/>
    <w:rPr>
      <w:rFonts w:eastAsia="宋体" w:hint="default"/>
      <w:kern w:val="2"/>
      <w:sz w:val="21"/>
      <w:szCs w:val="24"/>
      <w:lang w:val="en-US" w:eastAsia="zh-CN"/>
    </w:rPr>
  </w:style>
  <w:style w:type="character" w:customStyle="1" w:styleId="Char112">
    <w:name w:val="普通文字 Char11"/>
    <w:unhideWhenUsed/>
    <w:qFormat/>
    <w:rPr>
      <w:rFonts w:ascii="宋体" w:eastAsia="宋体" w:hAnsi="Courier New" w:hint="eastAsia"/>
      <w:kern w:val="2"/>
      <w:sz w:val="21"/>
      <w:szCs w:val="24"/>
      <w:lang w:val="en-US" w:eastAsia="zh-CN"/>
    </w:rPr>
  </w:style>
  <w:style w:type="character" w:customStyle="1" w:styleId="SectionChar2">
    <w:name w:val="Section Char2"/>
    <w:unhideWhenUsed/>
    <w:qFormat/>
    <w:rPr>
      <w:rFonts w:eastAsia="黑体" w:hint="default"/>
      <w:kern w:val="2"/>
      <w:sz w:val="32"/>
      <w:szCs w:val="24"/>
      <w:lang w:val="en-US" w:eastAsia="zh-CN"/>
    </w:rPr>
  </w:style>
  <w:style w:type="character" w:customStyle="1" w:styleId="3Char3Char11">
    <w:name w:val="标题 3 Char3 Char11"/>
    <w:unhideWhenUsed/>
    <w:qFormat/>
    <w:rPr>
      <w:rFonts w:eastAsia="宋体" w:hint="default"/>
      <w:b/>
      <w:kern w:val="2"/>
      <w:sz w:val="32"/>
      <w:szCs w:val="24"/>
      <w:lang w:val="en-US" w:eastAsia="zh-CN"/>
    </w:rPr>
  </w:style>
  <w:style w:type="character" w:customStyle="1" w:styleId="Char1ff0">
    <w:name w:val="北山简报正文 Char1"/>
    <w:unhideWhenUsed/>
    <w:qFormat/>
    <w:rPr>
      <w:rFonts w:hint="default"/>
      <w:kern w:val="2"/>
      <w:sz w:val="24"/>
      <w:szCs w:val="24"/>
    </w:rPr>
  </w:style>
  <w:style w:type="character" w:customStyle="1" w:styleId="Char1ff1">
    <w:name w:val="标题章 Char1"/>
    <w:unhideWhenUsed/>
    <w:qFormat/>
    <w:rPr>
      <w:rFonts w:eastAsia="宋体" w:hint="default"/>
      <w:b/>
      <w:kern w:val="44"/>
      <w:sz w:val="44"/>
      <w:szCs w:val="24"/>
      <w:lang w:val="en-US" w:eastAsia="zh-CN"/>
    </w:rPr>
  </w:style>
  <w:style w:type="character" w:customStyle="1" w:styleId="Char113">
    <w:name w:val="章节 Char11"/>
    <w:unhideWhenUsed/>
    <w:qFormat/>
    <w:rPr>
      <w:rFonts w:eastAsia="宋体" w:hint="default"/>
      <w:b/>
      <w:kern w:val="44"/>
      <w:sz w:val="44"/>
      <w:szCs w:val="24"/>
      <w:lang w:val="en-US" w:eastAsia="zh-CN"/>
    </w:rPr>
  </w:style>
  <w:style w:type="character" w:customStyle="1" w:styleId="Char114">
    <w:name w:val="标题节 Char11"/>
    <w:unhideWhenUsed/>
    <w:qFormat/>
    <w:rPr>
      <w:rFonts w:ascii="Arial" w:eastAsia="黑体" w:hAnsi="Arial" w:hint="eastAsia"/>
      <w:b/>
      <w:kern w:val="2"/>
      <w:sz w:val="32"/>
      <w:szCs w:val="24"/>
      <w:lang w:val="en-US" w:eastAsia="zh-CN"/>
    </w:rPr>
  </w:style>
  <w:style w:type="character" w:customStyle="1" w:styleId="SectionChar11">
    <w:name w:val="Section Char11"/>
    <w:unhideWhenUsed/>
    <w:qFormat/>
    <w:rPr>
      <w:rFonts w:eastAsia="宋体" w:hint="default"/>
      <w:b/>
      <w:kern w:val="2"/>
      <w:sz w:val="32"/>
      <w:szCs w:val="24"/>
      <w:lang w:val="en-US" w:eastAsia="zh-CN"/>
    </w:rPr>
  </w:style>
  <w:style w:type="character" w:customStyle="1" w:styleId="1111Char1">
    <w:name w:val="款标题1.1.1.1 Char1"/>
    <w:unhideWhenUsed/>
    <w:qFormat/>
    <w:rPr>
      <w:rFonts w:ascii="Arial" w:eastAsia="黑体" w:hAnsi="Arial" w:hint="eastAsia"/>
      <w:b/>
      <w:kern w:val="2"/>
      <w:sz w:val="28"/>
      <w:szCs w:val="24"/>
      <w:lang w:val="en-US" w:eastAsia="zh-CN"/>
    </w:rPr>
  </w:style>
  <w:style w:type="character" w:customStyle="1" w:styleId="33Char1">
    <w:name w:val="标题33 Char1"/>
    <w:unhideWhenUsed/>
    <w:qFormat/>
    <w:rPr>
      <w:rFonts w:hint="default"/>
      <w:b/>
      <w:kern w:val="2"/>
      <w:sz w:val="32"/>
      <w:szCs w:val="24"/>
    </w:rPr>
  </w:style>
  <w:style w:type="character" w:customStyle="1" w:styleId="11Char10">
    <w:name w:val="标题11 Char1"/>
    <w:unhideWhenUsed/>
    <w:qFormat/>
    <w:rPr>
      <w:rFonts w:hint="default"/>
      <w:b/>
      <w:kern w:val="44"/>
      <w:sz w:val="44"/>
      <w:szCs w:val="24"/>
    </w:rPr>
  </w:style>
  <w:style w:type="character" w:customStyle="1" w:styleId="22Char1">
    <w:name w:val="标题22 Char1"/>
    <w:unhideWhenUsed/>
    <w:qFormat/>
    <w:rPr>
      <w:rFonts w:hint="default"/>
      <w:b/>
      <w:kern w:val="2"/>
      <w:sz w:val="32"/>
      <w:szCs w:val="24"/>
    </w:rPr>
  </w:style>
  <w:style w:type="character" w:customStyle="1" w:styleId="Char310">
    <w:name w:val="页眉 Char31"/>
    <w:unhideWhenUsed/>
    <w:qFormat/>
    <w:rPr>
      <w:rFonts w:eastAsia="宋体" w:hint="default"/>
      <w:kern w:val="2"/>
      <w:sz w:val="18"/>
      <w:szCs w:val="24"/>
      <w:lang w:val="en-US" w:eastAsia="zh-CN"/>
    </w:rPr>
  </w:style>
  <w:style w:type="character" w:customStyle="1" w:styleId="Char311">
    <w:name w:val="普通文字 Char31"/>
    <w:unhideWhenUsed/>
    <w:qFormat/>
    <w:rPr>
      <w:rFonts w:ascii="宋体" w:eastAsia="宋体" w:hAnsi="Courier New" w:hint="eastAsia"/>
      <w:color w:val="000000"/>
      <w:kern w:val="2"/>
      <w:sz w:val="28"/>
      <w:szCs w:val="24"/>
      <w:lang w:val="en-US" w:eastAsia="zh-CN"/>
    </w:rPr>
  </w:style>
  <w:style w:type="character" w:customStyle="1" w:styleId="Char41">
    <w:name w:val="普通文字 Char41"/>
    <w:unhideWhenUsed/>
    <w:qFormat/>
    <w:rPr>
      <w:rFonts w:ascii="宋体" w:eastAsia="宋体" w:hAnsi="Courier New" w:hint="eastAsia"/>
      <w:color w:val="000000"/>
      <w:kern w:val="2"/>
      <w:sz w:val="28"/>
      <w:szCs w:val="24"/>
      <w:lang w:val="en-US" w:eastAsia="zh-CN"/>
    </w:rPr>
  </w:style>
  <w:style w:type="character" w:customStyle="1" w:styleId="btChar1">
    <w:name w:val="bt Char1"/>
    <w:unhideWhenUsed/>
    <w:qFormat/>
    <w:rPr>
      <w:rFonts w:ascii="宋体" w:eastAsia="宋体" w:hAnsi="宋体" w:hint="eastAsia"/>
      <w:kern w:val="2"/>
      <w:position w:val="-6"/>
      <w:sz w:val="21"/>
      <w:szCs w:val="24"/>
      <w:u w:val="single"/>
      <w:lang w:val="en-US" w:eastAsia="zh-CN"/>
    </w:rPr>
  </w:style>
  <w:style w:type="character" w:customStyle="1" w:styleId="Charfffffb">
    <w:name w:val="ÕýÎÄ Char"/>
    <w:link w:val="afffffffffffffffffffffff5"/>
    <w:unhideWhenUsed/>
    <w:qFormat/>
    <w:rPr>
      <w:rFonts w:hint="default"/>
      <w:color w:val="000000"/>
      <w:sz w:val="21"/>
      <w:szCs w:val="24"/>
    </w:rPr>
  </w:style>
  <w:style w:type="character" w:customStyle="1" w:styleId="CharChar1f">
    <w:name w:val="表格文字 Char Char1"/>
    <w:unhideWhenUsed/>
    <w:qFormat/>
    <w:rPr>
      <w:rFonts w:ascii="宋体" w:eastAsia="宋体" w:hAnsi="Courier New" w:hint="eastAsia"/>
      <w:kern w:val="2"/>
      <w:sz w:val="21"/>
      <w:szCs w:val="24"/>
      <w:lang w:val="en-US" w:eastAsia="zh-CN"/>
    </w:rPr>
  </w:style>
  <w:style w:type="character" w:customStyle="1" w:styleId="Char312">
    <w:name w:val="正文首行缩进 Char31"/>
    <w:unhideWhenUsed/>
    <w:qFormat/>
    <w:rPr>
      <w:rFonts w:hint="default"/>
      <w:kern w:val="2"/>
      <w:sz w:val="24"/>
      <w:szCs w:val="24"/>
    </w:rPr>
  </w:style>
  <w:style w:type="character" w:customStyle="1" w:styleId="4Char111">
    <w:name w:val="标题 4 Char111"/>
    <w:unhideWhenUsed/>
    <w:qFormat/>
    <w:rPr>
      <w:rFonts w:ascii="黑体" w:eastAsia="宋体" w:hAnsi="Arial" w:hint="eastAsia"/>
      <w:b/>
      <w:i/>
      <w:kern w:val="2"/>
      <w:sz w:val="24"/>
      <w:szCs w:val="24"/>
    </w:rPr>
  </w:style>
  <w:style w:type="character" w:customStyle="1" w:styleId="1Char210">
    <w:name w:val="正文缩进1 Char21"/>
    <w:unhideWhenUsed/>
    <w:qFormat/>
    <w:rPr>
      <w:rFonts w:eastAsia="宋体" w:hint="default"/>
      <w:kern w:val="2"/>
      <w:sz w:val="24"/>
      <w:szCs w:val="24"/>
      <w:lang w:val="en-US" w:eastAsia="zh-CN"/>
    </w:rPr>
  </w:style>
  <w:style w:type="character" w:customStyle="1" w:styleId="11111Char11">
    <w:name w:val="标题1.1.1.1.1 Char11"/>
    <w:unhideWhenUsed/>
    <w:qFormat/>
    <w:rPr>
      <w:rFonts w:ascii="宋体" w:eastAsia="宋体" w:hint="eastAsia"/>
      <w:b/>
      <w:sz w:val="28"/>
      <w:szCs w:val="24"/>
      <w:lang w:val="en-US" w:eastAsia="zh-CN"/>
    </w:rPr>
  </w:style>
  <w:style w:type="character" w:customStyle="1" w:styleId="aChar5">
    <w:name w:val="干标题(a) Char5"/>
    <w:unhideWhenUsed/>
    <w:qFormat/>
    <w:rPr>
      <w:rFonts w:ascii="Arial" w:eastAsia="黑体" w:hAnsi="Arial" w:hint="eastAsia"/>
      <w:sz w:val="21"/>
      <w:szCs w:val="24"/>
      <w:lang w:val="en-US" w:eastAsia="zh-CN"/>
    </w:rPr>
  </w:style>
  <w:style w:type="character" w:customStyle="1" w:styleId="1Char110">
    <w:name w:val="项标题(1) Char11"/>
    <w:unhideWhenUsed/>
    <w:qFormat/>
    <w:rPr>
      <w:rFonts w:ascii="宋体" w:eastAsia="宋体" w:hint="eastAsia"/>
      <w:b/>
      <w:sz w:val="24"/>
      <w:szCs w:val="24"/>
      <w:lang w:val="en-US" w:eastAsia="zh-CN"/>
    </w:rPr>
  </w:style>
  <w:style w:type="character" w:customStyle="1" w:styleId="1Char51">
    <w:name w:val="目标题 1) Char5"/>
    <w:unhideWhenUsed/>
    <w:qFormat/>
    <w:rPr>
      <w:rFonts w:ascii="Arial" w:eastAsia="黑体" w:hAnsi="Arial" w:hint="eastAsia"/>
      <w:sz w:val="24"/>
      <w:szCs w:val="24"/>
      <w:lang w:val="en-US" w:eastAsia="zh-CN"/>
    </w:rPr>
  </w:style>
  <w:style w:type="character" w:customStyle="1" w:styleId="CharCharCharCharCharCharCharCharCharCharChar11">
    <w:name w:val="普通文字 Char Char Char Char Char Char Char Char Char Char Char11"/>
    <w:unhideWhenUsed/>
    <w:qFormat/>
    <w:rPr>
      <w:rFonts w:ascii="宋体" w:eastAsia="宋体" w:hAnsi="Courier New" w:hint="eastAsia"/>
      <w:kern w:val="2"/>
      <w:sz w:val="28"/>
      <w:szCs w:val="24"/>
      <w:lang w:val="en-US" w:eastAsia="zh-CN"/>
    </w:rPr>
  </w:style>
  <w:style w:type="character" w:customStyle="1" w:styleId="22f">
    <w:name w:val="题注 字符22"/>
    <w:unhideWhenUsed/>
    <w:qFormat/>
    <w:rPr>
      <w:rFonts w:ascii="Arial" w:eastAsia="黑体" w:hAnsi="Arial" w:hint="eastAsia"/>
      <w:kern w:val="2"/>
      <w:sz w:val="24"/>
      <w:szCs w:val="24"/>
    </w:rPr>
  </w:style>
  <w:style w:type="character" w:customStyle="1" w:styleId="Char1CharChar31">
    <w:name w:val="正文首行缩进 Char1 Char Char31"/>
    <w:unhideWhenUsed/>
    <w:qFormat/>
    <w:rPr>
      <w:rFonts w:eastAsia="宋体" w:hint="default"/>
      <w:kern w:val="2"/>
      <w:sz w:val="24"/>
      <w:szCs w:val="24"/>
      <w:lang w:val="en-US" w:eastAsia="zh-CN"/>
    </w:rPr>
  </w:style>
  <w:style w:type="character" w:customStyle="1" w:styleId="CharChar110">
    <w:name w:val="正文首行缩进 Char Char11"/>
    <w:unhideWhenUsed/>
    <w:qFormat/>
    <w:rPr>
      <w:rFonts w:eastAsia="宋体" w:hint="default"/>
      <w:kern w:val="2"/>
      <w:sz w:val="21"/>
      <w:szCs w:val="24"/>
      <w:lang w:val="en-US" w:eastAsia="zh-CN"/>
    </w:rPr>
  </w:style>
  <w:style w:type="character" w:customStyle="1" w:styleId="Char1CharChar1">
    <w:name w:val="正文首行缩进 Char1 Char Char1"/>
    <w:unhideWhenUsed/>
    <w:qFormat/>
    <w:rPr>
      <w:rFonts w:ascii="宋体" w:eastAsia="宋体" w:hint="eastAsia"/>
      <w:kern w:val="2"/>
      <w:sz w:val="28"/>
      <w:szCs w:val="24"/>
      <w:lang w:val="en-US" w:eastAsia="zh-CN"/>
    </w:rPr>
  </w:style>
  <w:style w:type="character" w:customStyle="1" w:styleId="3Char1Char1">
    <w:name w:val="标题 3 Char1 Char1"/>
    <w:unhideWhenUsed/>
    <w:qFormat/>
    <w:rPr>
      <w:rFonts w:ascii="黑体" w:eastAsia="黑体" w:hint="eastAsia"/>
      <w:b/>
      <w:kern w:val="2"/>
      <w:sz w:val="21"/>
      <w:szCs w:val="24"/>
      <w:lang w:val="en-US" w:eastAsia="zh-CN"/>
    </w:rPr>
  </w:style>
  <w:style w:type="character" w:customStyle="1" w:styleId="Char1CharChar21">
    <w:name w:val="正文首行缩进 Char1 Char Char21"/>
    <w:unhideWhenUsed/>
    <w:qFormat/>
    <w:rPr>
      <w:rFonts w:eastAsia="宋体" w:hint="default"/>
      <w:kern w:val="2"/>
      <w:sz w:val="24"/>
      <w:szCs w:val="24"/>
      <w:lang w:val="en-US" w:eastAsia="zh-CN"/>
    </w:rPr>
  </w:style>
  <w:style w:type="character" w:customStyle="1" w:styleId="CharCharffff9">
    <w:name w:val="ÕýÎÄ Char Char"/>
    <w:unhideWhenUsed/>
    <w:qFormat/>
    <w:rPr>
      <w:rFonts w:eastAsia="宋体" w:hint="default"/>
      <w:color w:val="000000"/>
      <w:sz w:val="21"/>
      <w:szCs w:val="24"/>
      <w:lang w:val="en-US" w:eastAsia="zh-CN"/>
    </w:rPr>
  </w:style>
  <w:style w:type="character" w:customStyle="1" w:styleId="1Char111">
    <w:name w:val="目标题 1) Char11"/>
    <w:unhideWhenUsed/>
    <w:qFormat/>
    <w:rPr>
      <w:rFonts w:ascii="Arial" w:eastAsia="黑体" w:hAnsi="Arial" w:hint="eastAsia"/>
      <w:sz w:val="28"/>
      <w:szCs w:val="24"/>
      <w:lang w:val="en-US" w:eastAsia="zh-CN"/>
    </w:rPr>
  </w:style>
  <w:style w:type="character" w:customStyle="1" w:styleId="1Char211">
    <w:name w:val="项标题(1) Char21"/>
    <w:unhideWhenUsed/>
    <w:qFormat/>
    <w:rPr>
      <w:rFonts w:ascii="新宋体" w:eastAsia="仿宋_GB2312" w:hAnsi="新宋体" w:hint="eastAsia"/>
      <w:b/>
      <w:kern w:val="2"/>
      <w:sz w:val="24"/>
      <w:szCs w:val="24"/>
      <w:lang w:val="en-US" w:eastAsia="zh-CN"/>
    </w:rPr>
  </w:style>
  <w:style w:type="character" w:customStyle="1" w:styleId="1Char212">
    <w:name w:val="目标题 1) Char21"/>
    <w:unhideWhenUsed/>
    <w:qFormat/>
    <w:rPr>
      <w:rFonts w:ascii="Arial" w:eastAsia="黑体" w:hAnsi="Arial" w:hint="eastAsia"/>
      <w:kern w:val="2"/>
      <w:sz w:val="24"/>
      <w:szCs w:val="24"/>
      <w:lang w:val="en-US" w:eastAsia="zh-CN"/>
    </w:rPr>
  </w:style>
  <w:style w:type="character" w:customStyle="1" w:styleId="11111Char21">
    <w:name w:val="标题1.1.1.1.1 Char21"/>
    <w:unhideWhenUsed/>
    <w:qFormat/>
    <w:rPr>
      <w:rFonts w:ascii="宋体" w:eastAsia="宋体" w:hint="eastAsia"/>
      <w:b/>
      <w:kern w:val="2"/>
      <w:sz w:val="24"/>
      <w:szCs w:val="24"/>
      <w:lang w:val="en-US" w:eastAsia="zh-CN"/>
    </w:rPr>
  </w:style>
  <w:style w:type="character" w:customStyle="1" w:styleId="111111Char11">
    <w:name w:val="标题1.1.1.1.1.1 Char11"/>
    <w:unhideWhenUsed/>
    <w:qFormat/>
    <w:rPr>
      <w:rFonts w:ascii="Arial" w:eastAsia="黑体" w:hAnsi="Arial" w:hint="eastAsia"/>
      <w:b/>
      <w:kern w:val="2"/>
      <w:sz w:val="24"/>
      <w:szCs w:val="24"/>
      <w:lang w:val="en-US" w:eastAsia="zh-CN"/>
    </w:rPr>
  </w:style>
  <w:style w:type="character" w:customStyle="1" w:styleId="aChar21">
    <w:name w:val="干标题(a) Char21"/>
    <w:unhideWhenUsed/>
    <w:qFormat/>
    <w:rPr>
      <w:rFonts w:ascii="Arial" w:eastAsia="黑体" w:hAnsi="Arial" w:hint="eastAsia"/>
      <w:kern w:val="2"/>
      <w:sz w:val="24"/>
      <w:szCs w:val="24"/>
      <w:lang w:val="en-US" w:eastAsia="zh-CN"/>
    </w:rPr>
  </w:style>
  <w:style w:type="character" w:customStyle="1" w:styleId="1Char310">
    <w:name w:val="项标题(1) Char31"/>
    <w:unhideWhenUsed/>
    <w:qFormat/>
    <w:rPr>
      <w:rFonts w:ascii="宋体" w:eastAsia="宋体" w:hint="eastAsia"/>
      <w:b/>
      <w:kern w:val="2"/>
      <w:sz w:val="24"/>
      <w:szCs w:val="24"/>
      <w:lang w:val="en-US" w:eastAsia="zh-CN"/>
    </w:rPr>
  </w:style>
  <w:style w:type="character" w:customStyle="1" w:styleId="aChar31">
    <w:name w:val="干标题(a) Char31"/>
    <w:unhideWhenUsed/>
    <w:qFormat/>
    <w:rPr>
      <w:rFonts w:ascii="Arial" w:eastAsia="黑体" w:hAnsi="Arial" w:hint="eastAsia"/>
      <w:kern w:val="2"/>
      <w:sz w:val="21"/>
      <w:szCs w:val="24"/>
      <w:lang w:val="en-US" w:eastAsia="zh-CN"/>
    </w:rPr>
  </w:style>
  <w:style w:type="character" w:customStyle="1" w:styleId="11111Char31">
    <w:name w:val="标题1.1.1.1.1 Char31"/>
    <w:unhideWhenUsed/>
    <w:qFormat/>
    <w:rPr>
      <w:rFonts w:ascii="新宋体" w:eastAsia="仿宋_GB2312" w:hAnsi="新宋体" w:hint="eastAsia"/>
      <w:b/>
      <w:kern w:val="2"/>
      <w:sz w:val="28"/>
      <w:szCs w:val="24"/>
      <w:lang w:val="en-US" w:eastAsia="zh-CN"/>
    </w:rPr>
  </w:style>
  <w:style w:type="character" w:customStyle="1" w:styleId="111111Char21">
    <w:name w:val="标题1.1.1.1.1.1 Char21"/>
    <w:unhideWhenUsed/>
    <w:qFormat/>
    <w:rPr>
      <w:rFonts w:ascii="Arial" w:eastAsia="黑体" w:hAnsi="Arial" w:hint="eastAsia"/>
      <w:b/>
      <w:kern w:val="2"/>
      <w:sz w:val="24"/>
      <w:szCs w:val="24"/>
      <w:lang w:val="en-US" w:eastAsia="zh-CN"/>
    </w:rPr>
  </w:style>
  <w:style w:type="character" w:customStyle="1" w:styleId="1Char410">
    <w:name w:val="项标题(1) Char41"/>
    <w:unhideWhenUsed/>
    <w:qFormat/>
    <w:rPr>
      <w:rFonts w:ascii="新宋体" w:eastAsia="仿宋_GB2312" w:hAnsi="新宋体" w:hint="eastAsia"/>
      <w:b/>
      <w:kern w:val="2"/>
      <w:sz w:val="24"/>
      <w:szCs w:val="24"/>
      <w:lang w:val="en-US" w:eastAsia="zh-CN"/>
    </w:rPr>
  </w:style>
  <w:style w:type="character" w:customStyle="1" w:styleId="1Char311">
    <w:name w:val="目标题 1) Char31"/>
    <w:unhideWhenUsed/>
    <w:qFormat/>
    <w:rPr>
      <w:rFonts w:ascii="Arial" w:eastAsia="黑体" w:hAnsi="Arial" w:hint="eastAsia"/>
      <w:kern w:val="2"/>
      <w:sz w:val="24"/>
      <w:szCs w:val="24"/>
      <w:lang w:val="en-US" w:eastAsia="zh-CN"/>
    </w:rPr>
  </w:style>
  <w:style w:type="character" w:customStyle="1" w:styleId="Char1CharChar41">
    <w:name w:val="正文首行缩进 Char1 Char Char41"/>
    <w:unhideWhenUsed/>
    <w:qFormat/>
    <w:rPr>
      <w:rFonts w:ascii="新宋体" w:eastAsia="仿宋_GB2312" w:hAnsi="新宋体" w:hint="eastAsia"/>
      <w:kern w:val="2"/>
      <w:sz w:val="28"/>
      <w:szCs w:val="24"/>
      <w:lang w:val="en-US" w:eastAsia="zh-CN"/>
    </w:rPr>
  </w:style>
  <w:style w:type="character" w:customStyle="1" w:styleId="1Char312">
    <w:name w:val="正文缩进1 Char31"/>
    <w:unhideWhenUsed/>
    <w:qFormat/>
    <w:rPr>
      <w:rFonts w:eastAsia="宋体" w:hint="default"/>
      <w:kern w:val="2"/>
      <w:sz w:val="24"/>
      <w:szCs w:val="24"/>
      <w:lang w:val="en-US" w:eastAsia="zh-CN"/>
    </w:rPr>
  </w:style>
  <w:style w:type="character" w:customStyle="1" w:styleId="aChar41">
    <w:name w:val="干标题(a) Char41"/>
    <w:unhideWhenUsed/>
    <w:qFormat/>
    <w:rPr>
      <w:rFonts w:ascii="Arial" w:eastAsia="黑体" w:hAnsi="Arial" w:hint="eastAsia"/>
      <w:kern w:val="2"/>
      <w:sz w:val="21"/>
      <w:szCs w:val="24"/>
      <w:lang w:val="en-US" w:eastAsia="zh-CN"/>
    </w:rPr>
  </w:style>
  <w:style w:type="character" w:customStyle="1" w:styleId="11111Char41">
    <w:name w:val="标题1.1.1.1.1 Char41"/>
    <w:unhideWhenUsed/>
    <w:qFormat/>
    <w:rPr>
      <w:rFonts w:ascii="新宋体" w:eastAsia="仿宋_GB2312" w:hAnsi="新宋体" w:hint="eastAsia"/>
      <w:b/>
      <w:kern w:val="2"/>
      <w:sz w:val="28"/>
      <w:szCs w:val="24"/>
      <w:lang w:val="en-US" w:eastAsia="zh-CN"/>
    </w:rPr>
  </w:style>
  <w:style w:type="character" w:customStyle="1" w:styleId="111111Char31">
    <w:name w:val="标题1.1.1.1.1.1 Char31"/>
    <w:unhideWhenUsed/>
    <w:qFormat/>
    <w:rPr>
      <w:rFonts w:ascii="Arial" w:eastAsia="黑体" w:hAnsi="Arial" w:hint="eastAsia"/>
      <w:b/>
      <w:kern w:val="2"/>
      <w:sz w:val="24"/>
      <w:szCs w:val="24"/>
      <w:lang w:val="en-US" w:eastAsia="zh-CN"/>
    </w:rPr>
  </w:style>
  <w:style w:type="character" w:customStyle="1" w:styleId="1Char510">
    <w:name w:val="项标题(1) Char51"/>
    <w:unhideWhenUsed/>
    <w:qFormat/>
    <w:rPr>
      <w:rFonts w:ascii="新宋体" w:eastAsia="仿宋_GB2312" w:hAnsi="新宋体" w:hint="eastAsia"/>
      <w:b/>
      <w:kern w:val="2"/>
      <w:sz w:val="24"/>
      <w:szCs w:val="24"/>
      <w:lang w:val="en-US" w:eastAsia="zh-CN"/>
    </w:rPr>
  </w:style>
  <w:style w:type="character" w:customStyle="1" w:styleId="1Char411">
    <w:name w:val="目标题 1) Char41"/>
    <w:unhideWhenUsed/>
    <w:qFormat/>
    <w:rPr>
      <w:rFonts w:ascii="Arial" w:eastAsia="黑体" w:hAnsi="Arial" w:hint="eastAsia"/>
      <w:kern w:val="2"/>
      <w:sz w:val="24"/>
      <w:szCs w:val="24"/>
      <w:lang w:val="en-US" w:eastAsia="zh-CN"/>
    </w:rPr>
  </w:style>
  <w:style w:type="character" w:customStyle="1" w:styleId="Char1CharChar51">
    <w:name w:val="正文首行缩进 Char1 Char Char51"/>
    <w:unhideWhenUsed/>
    <w:qFormat/>
    <w:rPr>
      <w:rFonts w:ascii="新宋体" w:eastAsia="仿宋_GB2312" w:hAnsi="新宋体" w:hint="eastAsia"/>
      <w:kern w:val="2"/>
      <w:sz w:val="28"/>
      <w:szCs w:val="24"/>
      <w:lang w:val="en-US" w:eastAsia="zh-CN"/>
    </w:rPr>
  </w:style>
  <w:style w:type="character" w:customStyle="1" w:styleId="11Char11">
    <w:name w:val="正文首行缩进11 Char1"/>
    <w:unhideWhenUsed/>
    <w:qFormat/>
    <w:rPr>
      <w:rFonts w:eastAsia="宋体" w:hint="default"/>
      <w:kern w:val="2"/>
      <w:sz w:val="24"/>
      <w:szCs w:val="24"/>
      <w:lang w:val="en-US" w:eastAsia="zh-CN"/>
    </w:rPr>
  </w:style>
  <w:style w:type="character" w:customStyle="1" w:styleId="3ffb">
    <w:name w:val="正文缩进 字符3"/>
    <w:unhideWhenUsed/>
    <w:qFormat/>
    <w:rPr>
      <w:rFonts w:eastAsia="宋体" w:hint="default"/>
      <w:kern w:val="2"/>
      <w:sz w:val="21"/>
      <w:szCs w:val="24"/>
      <w:lang w:val="en-US" w:eastAsia="zh-CN"/>
    </w:rPr>
  </w:style>
  <w:style w:type="character" w:customStyle="1" w:styleId="3ffc">
    <w:name w:val="题注 字符3"/>
    <w:unhideWhenUsed/>
    <w:qFormat/>
    <w:rPr>
      <w:rFonts w:ascii="Arial" w:eastAsia="黑体" w:hAnsi="Arial" w:hint="eastAsia"/>
      <w:kern w:val="2"/>
      <w:sz w:val="24"/>
      <w:szCs w:val="24"/>
    </w:rPr>
  </w:style>
  <w:style w:type="character" w:customStyle="1" w:styleId="1120">
    <w:name w:val="标题 1 字符12"/>
    <w:unhideWhenUsed/>
    <w:qFormat/>
    <w:rPr>
      <w:rFonts w:ascii="Times New Roman" w:eastAsia="宋体" w:hAnsi="Times New Roman" w:hint="eastAsia"/>
      <w:b/>
      <w:kern w:val="44"/>
      <w:sz w:val="44"/>
      <w:szCs w:val="24"/>
    </w:rPr>
  </w:style>
  <w:style w:type="character" w:customStyle="1" w:styleId="2121">
    <w:name w:val="标题 2 字符12"/>
    <w:unhideWhenUsed/>
    <w:qFormat/>
    <w:rPr>
      <w:rFonts w:ascii="等线 Light" w:eastAsia="等线 Light" w:hAnsi="等线 Light" w:hint="eastAsia"/>
      <w:b/>
      <w:sz w:val="32"/>
      <w:szCs w:val="24"/>
    </w:rPr>
  </w:style>
  <w:style w:type="character" w:customStyle="1" w:styleId="3121">
    <w:name w:val="标题 3 字符12"/>
    <w:unhideWhenUsed/>
    <w:qFormat/>
    <w:rPr>
      <w:rFonts w:ascii="Times New Roman" w:eastAsia="宋体" w:hAnsi="Times New Roman" w:hint="eastAsia"/>
      <w:b/>
      <w:sz w:val="32"/>
      <w:szCs w:val="24"/>
    </w:rPr>
  </w:style>
  <w:style w:type="character" w:customStyle="1" w:styleId="4120">
    <w:name w:val="标题 4 字符12"/>
    <w:unhideWhenUsed/>
    <w:qFormat/>
    <w:rPr>
      <w:rFonts w:ascii="等线 Light" w:eastAsia="等线 Light" w:hAnsi="等线 Light" w:hint="eastAsia"/>
      <w:b/>
      <w:sz w:val="28"/>
      <w:szCs w:val="24"/>
    </w:rPr>
  </w:style>
  <w:style w:type="character" w:customStyle="1" w:styleId="511">
    <w:name w:val="标题 5 字符11"/>
    <w:unhideWhenUsed/>
    <w:qFormat/>
    <w:rPr>
      <w:rFonts w:ascii="Times New Roman" w:eastAsia="宋体" w:hAnsi="Times New Roman" w:hint="eastAsia"/>
      <w:b/>
      <w:sz w:val="28"/>
      <w:szCs w:val="24"/>
    </w:rPr>
  </w:style>
  <w:style w:type="character" w:customStyle="1" w:styleId="6110">
    <w:name w:val="标题 6 字符11"/>
    <w:unhideWhenUsed/>
    <w:qFormat/>
    <w:rPr>
      <w:rFonts w:ascii="等线 Light" w:eastAsia="等线 Light" w:hAnsi="等线 Light" w:hint="eastAsia"/>
      <w:b/>
      <w:sz w:val="24"/>
      <w:szCs w:val="24"/>
    </w:rPr>
  </w:style>
  <w:style w:type="character" w:customStyle="1" w:styleId="7110">
    <w:name w:val="标题 7 字符11"/>
    <w:unhideWhenUsed/>
    <w:qFormat/>
    <w:rPr>
      <w:rFonts w:ascii="Times New Roman" w:eastAsia="宋体" w:hAnsi="Times New Roman" w:hint="eastAsia"/>
      <w:b/>
      <w:sz w:val="24"/>
      <w:szCs w:val="24"/>
    </w:rPr>
  </w:style>
  <w:style w:type="character" w:customStyle="1" w:styleId="811">
    <w:name w:val="标题 8 字符11"/>
    <w:unhideWhenUsed/>
    <w:qFormat/>
    <w:rPr>
      <w:rFonts w:ascii="等线 Light" w:eastAsia="等线 Light" w:hAnsi="等线 Light" w:hint="eastAsia"/>
      <w:sz w:val="24"/>
      <w:szCs w:val="24"/>
    </w:rPr>
  </w:style>
  <w:style w:type="character" w:customStyle="1" w:styleId="911">
    <w:name w:val="标题 9 字符11"/>
    <w:unhideWhenUsed/>
    <w:qFormat/>
    <w:rPr>
      <w:rFonts w:ascii="等线 Light" w:eastAsia="等线 Light" w:hAnsi="等线 Light" w:hint="eastAsia"/>
      <w:sz w:val="21"/>
      <w:szCs w:val="24"/>
    </w:rPr>
  </w:style>
  <w:style w:type="character" w:customStyle="1" w:styleId="11f0">
    <w:name w:val="正文缩进 字符11"/>
    <w:unhideWhenUsed/>
    <w:qFormat/>
    <w:rPr>
      <w:rFonts w:ascii="Times New Roman" w:eastAsia="宋体" w:hAnsi="Times New Roman" w:hint="eastAsia"/>
      <w:sz w:val="20"/>
      <w:szCs w:val="24"/>
    </w:rPr>
  </w:style>
  <w:style w:type="character" w:customStyle="1" w:styleId="12a">
    <w:name w:val="页眉 字符12"/>
    <w:unhideWhenUsed/>
    <w:qFormat/>
    <w:rPr>
      <w:rFonts w:hint="default"/>
      <w:sz w:val="18"/>
      <w:szCs w:val="24"/>
    </w:rPr>
  </w:style>
  <w:style w:type="character" w:customStyle="1" w:styleId="11f1">
    <w:name w:val="题注 字符11"/>
    <w:unhideWhenUsed/>
    <w:qFormat/>
    <w:rPr>
      <w:rFonts w:ascii="Arial" w:eastAsia="黑体" w:hAnsi="Arial" w:hint="eastAsia"/>
      <w:sz w:val="24"/>
      <w:szCs w:val="24"/>
    </w:rPr>
  </w:style>
  <w:style w:type="character" w:customStyle="1" w:styleId="11f2">
    <w:name w:val="正文文本首行缩进 字符11"/>
    <w:unhideWhenUsed/>
    <w:qFormat/>
    <w:rPr>
      <w:rFonts w:hint="default"/>
      <w:sz w:val="24"/>
      <w:szCs w:val="24"/>
    </w:rPr>
  </w:style>
  <w:style w:type="character" w:customStyle="1" w:styleId="3ffd">
    <w:name w:val="正文文本首行缩进 字符3"/>
    <w:uiPriority w:val="99"/>
    <w:unhideWhenUsed/>
    <w:qFormat/>
    <w:rPr>
      <w:rFonts w:hint="default"/>
      <w:sz w:val="24"/>
      <w:szCs w:val="24"/>
    </w:rPr>
  </w:style>
  <w:style w:type="character" w:customStyle="1" w:styleId="11f3">
    <w:name w:val="纯文本 字符11"/>
    <w:unhideWhenUsed/>
    <w:qFormat/>
    <w:rPr>
      <w:rFonts w:ascii="宋体" w:eastAsia="宋体" w:hAnsi="Courier New" w:hint="eastAsia"/>
      <w:sz w:val="21"/>
      <w:szCs w:val="24"/>
    </w:rPr>
  </w:style>
  <w:style w:type="character" w:customStyle="1" w:styleId="143">
    <w:name w:val="标题 1 字符4"/>
    <w:basedOn w:val="a6"/>
    <w:uiPriority w:val="9"/>
    <w:unhideWhenUsed/>
    <w:qFormat/>
    <w:rPr>
      <w:rFonts w:cs="Times New Roman" w:hint="default"/>
      <w:b/>
      <w:kern w:val="44"/>
      <w:sz w:val="44"/>
      <w:szCs w:val="44"/>
    </w:rPr>
  </w:style>
  <w:style w:type="character" w:customStyle="1" w:styleId="242">
    <w:name w:val="标题 2 字符4"/>
    <w:basedOn w:val="a6"/>
    <w:uiPriority w:val="9"/>
    <w:unhideWhenUsed/>
    <w:qFormat/>
    <w:rPr>
      <w:rFonts w:ascii="Calibri Light" w:eastAsia="宋体" w:hAnsi="Calibri Light" w:cs="Times New Roman" w:hint="eastAsia"/>
      <w:b/>
      <w:kern w:val="2"/>
      <w:sz w:val="32"/>
      <w:szCs w:val="32"/>
    </w:rPr>
  </w:style>
  <w:style w:type="character" w:customStyle="1" w:styleId="340">
    <w:name w:val="标题 3 字符4"/>
    <w:basedOn w:val="a6"/>
    <w:uiPriority w:val="9"/>
    <w:unhideWhenUsed/>
    <w:qFormat/>
    <w:rPr>
      <w:rFonts w:cs="Times New Roman" w:hint="default"/>
      <w:b/>
      <w:kern w:val="2"/>
      <w:sz w:val="32"/>
      <w:szCs w:val="32"/>
    </w:rPr>
  </w:style>
  <w:style w:type="character" w:customStyle="1" w:styleId="441">
    <w:name w:val="标题 4 字符4"/>
    <w:basedOn w:val="a6"/>
    <w:uiPriority w:val="9"/>
    <w:unhideWhenUsed/>
    <w:qFormat/>
    <w:rPr>
      <w:rFonts w:ascii="Calibri Light" w:eastAsia="宋体" w:hAnsi="Calibri Light" w:cs="Times New Roman" w:hint="eastAsia"/>
      <w:b/>
      <w:kern w:val="2"/>
      <w:sz w:val="28"/>
      <w:szCs w:val="28"/>
    </w:rPr>
  </w:style>
  <w:style w:type="character" w:customStyle="1" w:styleId="540">
    <w:name w:val="标题 5 字符4"/>
    <w:basedOn w:val="a6"/>
    <w:uiPriority w:val="9"/>
    <w:unhideWhenUsed/>
    <w:qFormat/>
    <w:rPr>
      <w:rFonts w:cs="Times New Roman" w:hint="default"/>
      <w:b/>
      <w:kern w:val="2"/>
      <w:sz w:val="28"/>
      <w:szCs w:val="28"/>
    </w:rPr>
  </w:style>
  <w:style w:type="character" w:customStyle="1" w:styleId="640">
    <w:name w:val="标题 6 字符4"/>
    <w:basedOn w:val="a6"/>
    <w:uiPriority w:val="9"/>
    <w:unhideWhenUsed/>
    <w:qFormat/>
    <w:rPr>
      <w:rFonts w:ascii="Calibri Light" w:eastAsia="宋体" w:hAnsi="Calibri Light" w:cs="Times New Roman" w:hint="eastAsia"/>
      <w:b/>
      <w:kern w:val="2"/>
      <w:sz w:val="24"/>
      <w:szCs w:val="24"/>
    </w:rPr>
  </w:style>
  <w:style w:type="character" w:customStyle="1" w:styleId="740">
    <w:name w:val="标题 7 字符4"/>
    <w:basedOn w:val="a6"/>
    <w:uiPriority w:val="9"/>
    <w:unhideWhenUsed/>
    <w:qFormat/>
    <w:rPr>
      <w:rFonts w:cs="Times New Roman" w:hint="default"/>
      <w:b/>
      <w:kern w:val="2"/>
      <w:sz w:val="24"/>
      <w:szCs w:val="24"/>
    </w:rPr>
  </w:style>
  <w:style w:type="character" w:customStyle="1" w:styleId="840">
    <w:name w:val="标题 8 字符4"/>
    <w:basedOn w:val="a6"/>
    <w:uiPriority w:val="9"/>
    <w:unhideWhenUsed/>
    <w:qFormat/>
    <w:rPr>
      <w:rFonts w:ascii="Calibri Light" w:eastAsia="宋体" w:hAnsi="Calibri Light" w:cs="Times New Roman" w:hint="eastAsia"/>
      <w:kern w:val="2"/>
      <w:sz w:val="24"/>
      <w:szCs w:val="24"/>
    </w:rPr>
  </w:style>
  <w:style w:type="character" w:customStyle="1" w:styleId="940">
    <w:name w:val="标题 9 字符4"/>
    <w:basedOn w:val="a6"/>
    <w:uiPriority w:val="9"/>
    <w:unhideWhenUsed/>
    <w:qFormat/>
    <w:rPr>
      <w:rFonts w:ascii="Calibri Light" w:eastAsia="宋体" w:hAnsi="Calibri Light" w:cs="Times New Roman" w:hint="eastAsia"/>
      <w:kern w:val="2"/>
      <w:sz w:val="21"/>
      <w:szCs w:val="21"/>
    </w:rPr>
  </w:style>
  <w:style w:type="character" w:customStyle="1" w:styleId="1231">
    <w:name w:val="标题 1 字符23"/>
    <w:uiPriority w:val="9"/>
    <w:unhideWhenUsed/>
    <w:qFormat/>
    <w:rPr>
      <w:rFonts w:hint="default"/>
      <w:b/>
      <w:kern w:val="44"/>
      <w:sz w:val="44"/>
      <w:szCs w:val="24"/>
    </w:rPr>
  </w:style>
  <w:style w:type="character" w:customStyle="1" w:styleId="2231">
    <w:name w:val="标题 2 字符23"/>
    <w:unhideWhenUsed/>
    <w:qFormat/>
    <w:rPr>
      <w:rFonts w:ascii="Calibri Light" w:eastAsia="宋体" w:hAnsi="Calibri Light" w:hint="eastAsia"/>
      <w:b/>
      <w:kern w:val="2"/>
      <w:sz w:val="32"/>
      <w:szCs w:val="24"/>
    </w:rPr>
  </w:style>
  <w:style w:type="character" w:customStyle="1" w:styleId="3230">
    <w:name w:val="标题 3 字符23"/>
    <w:unhideWhenUsed/>
    <w:qFormat/>
    <w:rPr>
      <w:rFonts w:hint="default"/>
      <w:b/>
      <w:kern w:val="2"/>
      <w:sz w:val="32"/>
      <w:szCs w:val="24"/>
    </w:rPr>
  </w:style>
  <w:style w:type="character" w:customStyle="1" w:styleId="3ffe">
    <w:name w:val="正文文本 字符3"/>
    <w:basedOn w:val="a6"/>
    <w:unhideWhenUsed/>
    <w:qFormat/>
    <w:rPr>
      <w:rFonts w:cs="Times New Roman" w:hint="default"/>
      <w:kern w:val="2"/>
      <w:sz w:val="24"/>
      <w:szCs w:val="24"/>
    </w:rPr>
  </w:style>
  <w:style w:type="character" w:customStyle="1" w:styleId="210">
    <w:name w:val="正文文本 字符21"/>
    <w:link w:val="12"/>
    <w:unhideWhenUsed/>
    <w:qFormat/>
    <w:rPr>
      <w:rFonts w:hint="default"/>
      <w:sz w:val="24"/>
      <w:szCs w:val="24"/>
    </w:rPr>
  </w:style>
  <w:style w:type="character" w:customStyle="1" w:styleId="425">
    <w:name w:val="标题 4 字符25"/>
    <w:uiPriority w:val="9"/>
    <w:unhideWhenUsed/>
    <w:qFormat/>
    <w:rPr>
      <w:rFonts w:ascii="Calibri Light" w:eastAsia="宋体" w:hAnsi="Calibri Light" w:hint="eastAsia"/>
      <w:b/>
      <w:kern w:val="2"/>
      <w:sz w:val="28"/>
      <w:szCs w:val="24"/>
    </w:rPr>
  </w:style>
  <w:style w:type="character" w:customStyle="1" w:styleId="243">
    <w:name w:val="正文缩进 字符24"/>
    <w:unhideWhenUsed/>
    <w:qFormat/>
    <w:rPr>
      <w:rFonts w:hint="default"/>
      <w:kern w:val="2"/>
      <w:sz w:val="21"/>
      <w:szCs w:val="24"/>
    </w:rPr>
  </w:style>
  <w:style w:type="character" w:customStyle="1" w:styleId="5222">
    <w:name w:val="标题 5 字符22"/>
    <w:unhideWhenUsed/>
    <w:qFormat/>
    <w:rPr>
      <w:rFonts w:hint="default"/>
      <w:b/>
      <w:kern w:val="2"/>
      <w:sz w:val="28"/>
      <w:szCs w:val="24"/>
    </w:rPr>
  </w:style>
  <w:style w:type="character" w:customStyle="1" w:styleId="622">
    <w:name w:val="标题 6 字符22"/>
    <w:uiPriority w:val="9"/>
    <w:unhideWhenUsed/>
    <w:qFormat/>
    <w:rPr>
      <w:rFonts w:ascii="Calibri Light" w:eastAsia="宋体" w:hAnsi="Calibri Light" w:hint="eastAsia"/>
      <w:b/>
      <w:kern w:val="2"/>
      <w:sz w:val="24"/>
      <w:szCs w:val="24"/>
    </w:rPr>
  </w:style>
  <w:style w:type="character" w:customStyle="1" w:styleId="722">
    <w:name w:val="标题 7 字符22"/>
    <w:unhideWhenUsed/>
    <w:qFormat/>
    <w:rPr>
      <w:rFonts w:hint="default"/>
      <w:b/>
      <w:kern w:val="2"/>
      <w:sz w:val="24"/>
      <w:szCs w:val="24"/>
    </w:rPr>
  </w:style>
  <w:style w:type="character" w:customStyle="1" w:styleId="822">
    <w:name w:val="标题 8 字符22"/>
    <w:uiPriority w:val="9"/>
    <w:unhideWhenUsed/>
    <w:qFormat/>
    <w:rPr>
      <w:rFonts w:ascii="Calibri Light" w:eastAsia="宋体" w:hAnsi="Calibri Light" w:hint="eastAsia"/>
      <w:kern w:val="2"/>
      <w:sz w:val="24"/>
      <w:szCs w:val="24"/>
    </w:rPr>
  </w:style>
  <w:style w:type="character" w:customStyle="1" w:styleId="922">
    <w:name w:val="标题 9 字符22"/>
    <w:unhideWhenUsed/>
    <w:qFormat/>
    <w:rPr>
      <w:rFonts w:ascii="Calibri Light" w:eastAsia="宋体" w:hAnsi="Calibri Light" w:hint="eastAsia"/>
      <w:kern w:val="2"/>
      <w:sz w:val="21"/>
      <w:szCs w:val="24"/>
    </w:rPr>
  </w:style>
  <w:style w:type="character" w:customStyle="1" w:styleId="Char12">
    <w:name w:val="表格内容 Char1"/>
    <w:link w:val="affff6"/>
    <w:unhideWhenUsed/>
    <w:qFormat/>
    <w:rPr>
      <w:rFonts w:ascii="Arial" w:eastAsia="仿宋_GB2312" w:hAnsi="Arial" w:hint="eastAsia"/>
      <w:sz w:val="24"/>
      <w:szCs w:val="24"/>
    </w:rPr>
  </w:style>
  <w:style w:type="character" w:customStyle="1" w:styleId="Char13">
    <w:name w:val="三级标题 Char1"/>
    <w:link w:val="affffd"/>
    <w:unhideWhenUsed/>
    <w:qFormat/>
    <w:rPr>
      <w:rFonts w:hint="default"/>
      <w:b/>
      <w:kern w:val="2"/>
      <w:sz w:val="24"/>
      <w:szCs w:val="24"/>
    </w:rPr>
  </w:style>
  <w:style w:type="character" w:customStyle="1" w:styleId="3fff">
    <w:name w:val="正文文本缩进 字符3"/>
    <w:basedOn w:val="a6"/>
    <w:uiPriority w:val="99"/>
    <w:unhideWhenUsed/>
    <w:qFormat/>
    <w:rPr>
      <w:rFonts w:cs="Times New Roman" w:hint="default"/>
      <w:kern w:val="2"/>
      <w:sz w:val="24"/>
      <w:szCs w:val="24"/>
    </w:rPr>
  </w:style>
  <w:style w:type="character" w:customStyle="1" w:styleId="211">
    <w:name w:val="正文文本缩进 字符21"/>
    <w:link w:val="BodyTextIndent1"/>
    <w:unhideWhenUsed/>
    <w:qFormat/>
    <w:rPr>
      <w:rFonts w:hint="default"/>
      <w:kern w:val="2"/>
      <w:sz w:val="24"/>
      <w:szCs w:val="24"/>
    </w:rPr>
  </w:style>
  <w:style w:type="character" w:customStyle="1" w:styleId="22f0">
    <w:name w:val="纯文本 字符22"/>
    <w:unhideWhenUsed/>
    <w:qFormat/>
    <w:rPr>
      <w:rFonts w:ascii="宋体" w:eastAsia="宋体" w:hAnsi="Courier New" w:hint="eastAsia"/>
      <w:kern w:val="2"/>
      <w:sz w:val="21"/>
      <w:szCs w:val="24"/>
    </w:rPr>
  </w:style>
  <w:style w:type="character" w:customStyle="1" w:styleId="4f9">
    <w:name w:val="纯文本 字符4"/>
    <w:basedOn w:val="a6"/>
    <w:unhideWhenUsed/>
    <w:qFormat/>
    <w:rPr>
      <w:rFonts w:ascii="宋体" w:eastAsia="宋体" w:hAnsi="Courier New" w:cs="Courier New" w:hint="eastAsia"/>
      <w:kern w:val="2"/>
      <w:sz w:val="24"/>
      <w:szCs w:val="24"/>
    </w:rPr>
  </w:style>
  <w:style w:type="character" w:customStyle="1" w:styleId="214">
    <w:name w:val="批注文字 字符21"/>
    <w:link w:val="1d"/>
    <w:uiPriority w:val="99"/>
    <w:unhideWhenUsed/>
    <w:qFormat/>
    <w:rPr>
      <w:rFonts w:hint="default"/>
      <w:kern w:val="2"/>
      <w:sz w:val="24"/>
      <w:szCs w:val="24"/>
    </w:rPr>
  </w:style>
  <w:style w:type="character" w:customStyle="1" w:styleId="3fff0">
    <w:name w:val="批注文字 字符3"/>
    <w:basedOn w:val="a6"/>
    <w:uiPriority w:val="99"/>
    <w:unhideWhenUsed/>
    <w:qFormat/>
    <w:rPr>
      <w:rFonts w:cs="Times New Roman" w:hint="default"/>
      <w:kern w:val="2"/>
      <w:sz w:val="24"/>
      <w:szCs w:val="24"/>
    </w:rPr>
  </w:style>
  <w:style w:type="character" w:customStyle="1" w:styleId="221">
    <w:name w:val="正文文本缩进 2 字符21"/>
    <w:link w:val="215"/>
    <w:unhideWhenUsed/>
    <w:qFormat/>
    <w:rPr>
      <w:rFonts w:hint="default"/>
      <w:kern w:val="2"/>
      <w:sz w:val="24"/>
      <w:szCs w:val="24"/>
    </w:rPr>
  </w:style>
  <w:style w:type="character" w:customStyle="1" w:styleId="236">
    <w:name w:val="正文文本缩进 2 字符3"/>
    <w:basedOn w:val="a6"/>
    <w:uiPriority w:val="99"/>
    <w:unhideWhenUsed/>
    <w:qFormat/>
    <w:rPr>
      <w:rFonts w:cs="Times New Roman" w:hint="default"/>
      <w:kern w:val="2"/>
      <w:sz w:val="24"/>
      <w:szCs w:val="24"/>
    </w:rPr>
  </w:style>
  <w:style w:type="character" w:customStyle="1" w:styleId="1Char1">
    <w:name w:val="样式1 Char1"/>
    <w:link w:val="1e"/>
    <w:unhideWhenUsed/>
    <w:qFormat/>
    <w:rPr>
      <w:rFonts w:ascii="方正大标宋简体" w:eastAsia="方正大标宋简体" w:hint="eastAsia"/>
      <w:b/>
      <w:kern w:val="2"/>
      <w:sz w:val="44"/>
      <w:szCs w:val="24"/>
    </w:rPr>
  </w:style>
  <w:style w:type="character" w:customStyle="1" w:styleId="Char36">
    <w:name w:val="标题节 Char3"/>
    <w:unhideWhenUsed/>
    <w:qFormat/>
    <w:rPr>
      <w:rFonts w:eastAsia="仿宋_GB2312" w:hint="default"/>
      <w:b/>
      <w:kern w:val="2"/>
      <w:sz w:val="32"/>
      <w:szCs w:val="24"/>
      <w:lang w:val="en-US" w:eastAsia="zh-CN"/>
    </w:rPr>
  </w:style>
  <w:style w:type="character" w:customStyle="1" w:styleId="pagenumber1">
    <w:name w:val="page number1"/>
    <w:basedOn w:val="a6"/>
    <w:unhideWhenUsed/>
    <w:qFormat/>
    <w:rPr>
      <w:rFonts w:cs="Times New Roman" w:hint="default"/>
      <w:sz w:val="24"/>
      <w:szCs w:val="24"/>
    </w:rPr>
  </w:style>
  <w:style w:type="character" w:customStyle="1" w:styleId="21f8">
    <w:name w:val="页脚 字符21"/>
    <w:uiPriority w:val="99"/>
    <w:unhideWhenUsed/>
    <w:qFormat/>
    <w:rPr>
      <w:rFonts w:hint="default"/>
      <w:kern w:val="2"/>
      <w:sz w:val="18"/>
      <w:szCs w:val="24"/>
    </w:rPr>
  </w:style>
  <w:style w:type="character" w:customStyle="1" w:styleId="3fff1">
    <w:name w:val="页脚 字符3"/>
    <w:basedOn w:val="a6"/>
    <w:uiPriority w:val="99"/>
    <w:unhideWhenUsed/>
    <w:qFormat/>
    <w:rPr>
      <w:rFonts w:cs="Times New Roman" w:hint="default"/>
      <w:kern w:val="2"/>
      <w:sz w:val="18"/>
      <w:szCs w:val="18"/>
    </w:rPr>
  </w:style>
  <w:style w:type="character" w:customStyle="1" w:styleId="216">
    <w:name w:val="批注主题 字符21"/>
    <w:link w:val="1f0"/>
    <w:uiPriority w:val="99"/>
    <w:unhideWhenUsed/>
    <w:qFormat/>
    <w:rPr>
      <w:rFonts w:hint="default"/>
      <w:b/>
      <w:kern w:val="2"/>
      <w:sz w:val="24"/>
      <w:szCs w:val="24"/>
    </w:rPr>
  </w:style>
  <w:style w:type="character" w:customStyle="1" w:styleId="3fff2">
    <w:name w:val="批注主题 字符3"/>
    <w:basedOn w:val="3fff0"/>
    <w:uiPriority w:val="99"/>
    <w:unhideWhenUsed/>
    <w:qFormat/>
    <w:rPr>
      <w:rFonts w:cs="Times New Roman" w:hint="default"/>
      <w:b/>
      <w:kern w:val="2"/>
      <w:sz w:val="24"/>
      <w:szCs w:val="24"/>
    </w:rPr>
  </w:style>
  <w:style w:type="character" w:customStyle="1" w:styleId="3Char20">
    <w:name w:val="标题 3 Char2"/>
    <w:uiPriority w:val="9"/>
    <w:unhideWhenUsed/>
    <w:qFormat/>
    <w:rPr>
      <w:rFonts w:eastAsia="宋体" w:hint="default"/>
      <w:b/>
      <w:kern w:val="28"/>
      <w:sz w:val="24"/>
      <w:szCs w:val="24"/>
      <w:lang w:val="en-US" w:eastAsia="zh-CN"/>
    </w:rPr>
  </w:style>
  <w:style w:type="character" w:customStyle="1" w:styleId="Hyperlink2">
    <w:name w:val="Hyperlink2"/>
    <w:uiPriority w:val="99"/>
    <w:unhideWhenUsed/>
    <w:qFormat/>
    <w:rPr>
      <w:rFonts w:hint="default"/>
      <w:color w:val="0000FF"/>
      <w:sz w:val="24"/>
      <w:szCs w:val="24"/>
      <w:u w:val="single"/>
    </w:rPr>
  </w:style>
  <w:style w:type="character" w:customStyle="1" w:styleId="11f4">
    <w:name w:val="已访问的超链接11"/>
    <w:unhideWhenUsed/>
    <w:qFormat/>
    <w:rPr>
      <w:rFonts w:hint="default"/>
      <w:color w:val="800080"/>
      <w:sz w:val="24"/>
      <w:szCs w:val="24"/>
      <w:u w:val="single"/>
    </w:rPr>
  </w:style>
  <w:style w:type="character" w:customStyle="1" w:styleId="331">
    <w:name w:val="正文文本 3 字符3"/>
    <w:basedOn w:val="a6"/>
    <w:uiPriority w:val="99"/>
    <w:unhideWhenUsed/>
    <w:qFormat/>
    <w:rPr>
      <w:rFonts w:cs="Times New Roman" w:hint="default"/>
      <w:kern w:val="2"/>
      <w:sz w:val="16"/>
      <w:szCs w:val="16"/>
    </w:rPr>
  </w:style>
  <w:style w:type="character" w:customStyle="1" w:styleId="Char2f0">
    <w:name w:val="表格 Char2"/>
    <w:unhideWhenUsed/>
    <w:qFormat/>
    <w:rPr>
      <w:rFonts w:eastAsia="仿宋_GB2312" w:hint="default"/>
      <w:kern w:val="2"/>
      <w:sz w:val="24"/>
      <w:szCs w:val="24"/>
    </w:rPr>
  </w:style>
  <w:style w:type="character" w:customStyle="1" w:styleId="332">
    <w:name w:val="正文文本缩进 3 字符3"/>
    <w:basedOn w:val="a6"/>
    <w:uiPriority w:val="99"/>
    <w:unhideWhenUsed/>
    <w:qFormat/>
    <w:rPr>
      <w:rFonts w:cs="Times New Roman" w:hint="default"/>
      <w:kern w:val="2"/>
      <w:sz w:val="16"/>
      <w:szCs w:val="16"/>
    </w:rPr>
  </w:style>
  <w:style w:type="character" w:customStyle="1" w:styleId="4fa">
    <w:name w:val="页眉 字符4"/>
    <w:basedOn w:val="a6"/>
    <w:unhideWhenUsed/>
    <w:qFormat/>
    <w:rPr>
      <w:rFonts w:cs="Times New Roman" w:hint="default"/>
      <w:kern w:val="2"/>
      <w:sz w:val="18"/>
      <w:szCs w:val="18"/>
    </w:rPr>
  </w:style>
  <w:style w:type="character" w:customStyle="1" w:styleId="22f1">
    <w:name w:val="页眉 字符22"/>
    <w:unhideWhenUsed/>
    <w:qFormat/>
    <w:rPr>
      <w:rFonts w:hint="default"/>
      <w:kern w:val="2"/>
      <w:sz w:val="18"/>
      <w:szCs w:val="24"/>
    </w:rPr>
  </w:style>
  <w:style w:type="character" w:customStyle="1" w:styleId="Char121">
    <w:name w:val="正文缩进 Char12"/>
    <w:unhideWhenUsed/>
    <w:qFormat/>
    <w:rPr>
      <w:rFonts w:eastAsia="宋体" w:hint="default"/>
      <w:kern w:val="2"/>
      <w:sz w:val="21"/>
      <w:szCs w:val="24"/>
      <w:lang w:val="en-US" w:eastAsia="zh-CN"/>
    </w:rPr>
  </w:style>
  <w:style w:type="character" w:customStyle="1" w:styleId="CharChar1f0">
    <w:name w:val="表格内容 Char Char1"/>
    <w:unhideWhenUsed/>
    <w:qFormat/>
    <w:rPr>
      <w:rFonts w:ascii="Arial" w:eastAsia="仿宋_GB2312" w:hAnsi="Arial" w:hint="eastAsia"/>
      <w:sz w:val="24"/>
      <w:szCs w:val="24"/>
      <w:lang w:val="en-US" w:eastAsia="zh-CN"/>
    </w:rPr>
  </w:style>
  <w:style w:type="character" w:customStyle="1" w:styleId="Char122">
    <w:name w:val="普通文字 Char12"/>
    <w:unhideWhenUsed/>
    <w:qFormat/>
    <w:rPr>
      <w:rFonts w:ascii="宋体" w:eastAsia="宋体" w:hAnsi="Courier New" w:hint="eastAsia"/>
      <w:kern w:val="2"/>
      <w:sz w:val="21"/>
      <w:szCs w:val="24"/>
      <w:lang w:val="en-US" w:eastAsia="zh-CN"/>
    </w:rPr>
  </w:style>
  <w:style w:type="character" w:customStyle="1" w:styleId="SectionChar3">
    <w:name w:val="Section Char3"/>
    <w:unhideWhenUsed/>
    <w:qFormat/>
    <w:rPr>
      <w:rFonts w:eastAsia="黑体" w:hint="default"/>
      <w:kern w:val="2"/>
      <w:sz w:val="32"/>
      <w:szCs w:val="24"/>
      <w:lang w:val="en-US" w:eastAsia="zh-CN"/>
    </w:rPr>
  </w:style>
  <w:style w:type="character" w:customStyle="1" w:styleId="CharCharCharChar12">
    <w:name w:val="Char Char Char Char12"/>
    <w:unhideWhenUsed/>
    <w:qFormat/>
    <w:rPr>
      <w:rFonts w:eastAsia="宋体" w:hint="default"/>
      <w:kern w:val="2"/>
      <w:sz w:val="18"/>
      <w:szCs w:val="24"/>
      <w:lang w:val="en-US" w:eastAsia="zh-CN"/>
    </w:rPr>
  </w:style>
  <w:style w:type="character" w:customStyle="1" w:styleId="3fff3">
    <w:name w:val="注释标题 字符3"/>
    <w:basedOn w:val="a6"/>
    <w:uiPriority w:val="99"/>
    <w:unhideWhenUsed/>
    <w:qFormat/>
    <w:rPr>
      <w:rFonts w:cs="Times New Roman" w:hint="default"/>
      <w:kern w:val="2"/>
      <w:sz w:val="24"/>
      <w:szCs w:val="24"/>
    </w:rPr>
  </w:style>
  <w:style w:type="character" w:customStyle="1" w:styleId="CharCharCharCharChar11">
    <w:name w:val="首行缩进 Char Char Char Char Char1"/>
    <w:unhideWhenUsed/>
    <w:qFormat/>
    <w:rPr>
      <w:rFonts w:eastAsia="宋体" w:hint="default"/>
      <w:kern w:val="2"/>
      <w:sz w:val="24"/>
      <w:szCs w:val="24"/>
      <w:lang w:val="en-US" w:eastAsia="zh-CN"/>
    </w:rPr>
  </w:style>
  <w:style w:type="character" w:customStyle="1" w:styleId="3Char3Char12">
    <w:name w:val="标题 3 Char3 Char12"/>
    <w:unhideWhenUsed/>
    <w:qFormat/>
    <w:rPr>
      <w:rFonts w:eastAsia="宋体" w:hint="default"/>
      <w:b/>
      <w:kern w:val="2"/>
      <w:sz w:val="32"/>
      <w:szCs w:val="24"/>
      <w:lang w:val="en-US" w:eastAsia="zh-CN"/>
    </w:rPr>
  </w:style>
  <w:style w:type="character" w:customStyle="1" w:styleId="Char2f1">
    <w:name w:val="北山简报正文 Char2"/>
    <w:unhideWhenUsed/>
    <w:qFormat/>
    <w:rPr>
      <w:rFonts w:hint="default"/>
      <w:kern w:val="2"/>
      <w:sz w:val="24"/>
      <w:szCs w:val="24"/>
    </w:rPr>
  </w:style>
  <w:style w:type="character" w:customStyle="1" w:styleId="Char2f2">
    <w:name w:val="标题章 Char2"/>
    <w:unhideWhenUsed/>
    <w:qFormat/>
    <w:rPr>
      <w:rFonts w:eastAsia="宋体" w:hint="default"/>
      <w:b/>
      <w:kern w:val="44"/>
      <w:sz w:val="44"/>
      <w:szCs w:val="24"/>
      <w:lang w:val="en-US" w:eastAsia="zh-CN"/>
    </w:rPr>
  </w:style>
  <w:style w:type="character" w:customStyle="1" w:styleId="Char1ff2">
    <w:name w:val="第四层条 Char1"/>
    <w:unhideWhenUsed/>
    <w:qFormat/>
    <w:rPr>
      <w:rFonts w:eastAsia="宋体" w:hint="default"/>
      <w:sz w:val="24"/>
      <w:szCs w:val="24"/>
      <w:lang w:val="en-US" w:eastAsia="zh-CN"/>
    </w:rPr>
  </w:style>
  <w:style w:type="character" w:customStyle="1" w:styleId="3Char110">
    <w:name w:val="正文文本缩进 3 Char11"/>
    <w:unhideWhenUsed/>
    <w:qFormat/>
    <w:rPr>
      <w:rFonts w:hint="default"/>
      <w:kern w:val="2"/>
      <w:sz w:val="16"/>
      <w:szCs w:val="24"/>
    </w:rPr>
  </w:style>
  <w:style w:type="character" w:customStyle="1" w:styleId="Char123">
    <w:name w:val="章节 Char12"/>
    <w:unhideWhenUsed/>
    <w:qFormat/>
    <w:rPr>
      <w:rFonts w:eastAsia="宋体" w:hint="default"/>
      <w:b/>
      <w:kern w:val="44"/>
      <w:sz w:val="44"/>
      <w:szCs w:val="24"/>
      <w:lang w:val="en-US" w:eastAsia="zh-CN"/>
    </w:rPr>
  </w:style>
  <w:style w:type="character" w:customStyle="1" w:styleId="Char124">
    <w:name w:val="标题节 Char12"/>
    <w:unhideWhenUsed/>
    <w:qFormat/>
    <w:rPr>
      <w:rFonts w:ascii="Arial" w:eastAsia="黑体" w:hAnsi="Arial" w:hint="eastAsia"/>
      <w:b/>
      <w:kern w:val="2"/>
      <w:sz w:val="32"/>
      <w:szCs w:val="24"/>
      <w:lang w:val="en-US" w:eastAsia="zh-CN"/>
    </w:rPr>
  </w:style>
  <w:style w:type="character" w:customStyle="1" w:styleId="SectionChar12">
    <w:name w:val="Section Char12"/>
    <w:unhideWhenUsed/>
    <w:qFormat/>
    <w:rPr>
      <w:rFonts w:eastAsia="宋体" w:hint="default"/>
      <w:b/>
      <w:kern w:val="2"/>
      <w:sz w:val="32"/>
      <w:szCs w:val="24"/>
      <w:lang w:val="en-US" w:eastAsia="zh-CN"/>
    </w:rPr>
  </w:style>
  <w:style w:type="character" w:customStyle="1" w:styleId="1111Char2">
    <w:name w:val="款标题1.1.1.1 Char2"/>
    <w:unhideWhenUsed/>
    <w:qFormat/>
    <w:rPr>
      <w:rFonts w:ascii="Arial" w:eastAsia="黑体" w:hAnsi="Arial" w:hint="eastAsia"/>
      <w:b/>
      <w:kern w:val="2"/>
      <w:sz w:val="28"/>
      <w:szCs w:val="24"/>
      <w:lang w:val="en-US" w:eastAsia="zh-CN"/>
    </w:rPr>
  </w:style>
  <w:style w:type="character" w:customStyle="1" w:styleId="33Char2">
    <w:name w:val="标题33 Char2"/>
    <w:unhideWhenUsed/>
    <w:qFormat/>
    <w:rPr>
      <w:rFonts w:hint="default"/>
      <w:b/>
      <w:kern w:val="2"/>
      <w:sz w:val="32"/>
      <w:szCs w:val="24"/>
    </w:rPr>
  </w:style>
  <w:style w:type="character" w:customStyle="1" w:styleId="11Char2">
    <w:name w:val="标题11 Char2"/>
    <w:unhideWhenUsed/>
    <w:qFormat/>
    <w:rPr>
      <w:rFonts w:hint="default"/>
      <w:b/>
      <w:kern w:val="44"/>
      <w:sz w:val="44"/>
      <w:szCs w:val="24"/>
    </w:rPr>
  </w:style>
  <w:style w:type="character" w:customStyle="1" w:styleId="22Char2">
    <w:name w:val="标题22 Char2"/>
    <w:unhideWhenUsed/>
    <w:qFormat/>
    <w:rPr>
      <w:rFonts w:hint="default"/>
      <w:b/>
      <w:kern w:val="2"/>
      <w:sz w:val="32"/>
      <w:szCs w:val="24"/>
    </w:rPr>
  </w:style>
  <w:style w:type="character" w:customStyle="1" w:styleId="3210">
    <w:name w:val="正文文本缩进 3 字符21"/>
    <w:link w:val="312"/>
    <w:unhideWhenUsed/>
    <w:qFormat/>
    <w:rPr>
      <w:rFonts w:hint="default"/>
      <w:sz w:val="24"/>
      <w:szCs w:val="24"/>
    </w:rPr>
  </w:style>
  <w:style w:type="character" w:customStyle="1" w:styleId="2Char110">
    <w:name w:val="正文文本缩进 2 Char11"/>
    <w:unhideWhenUsed/>
    <w:qFormat/>
    <w:rPr>
      <w:rFonts w:hint="default"/>
      <w:kern w:val="2"/>
      <w:sz w:val="22"/>
      <w:szCs w:val="24"/>
    </w:rPr>
  </w:style>
  <w:style w:type="character" w:customStyle="1" w:styleId="321">
    <w:name w:val="正文文本 3 字符21"/>
    <w:link w:val="311"/>
    <w:unhideWhenUsed/>
    <w:qFormat/>
    <w:rPr>
      <w:rFonts w:hint="default"/>
      <w:kern w:val="2"/>
      <w:sz w:val="24"/>
      <w:szCs w:val="24"/>
    </w:rPr>
  </w:style>
  <w:style w:type="character" w:customStyle="1" w:styleId="217">
    <w:name w:val="注释标题 字符21"/>
    <w:link w:val="1ff1"/>
    <w:unhideWhenUsed/>
    <w:qFormat/>
    <w:rPr>
      <w:rFonts w:ascii="宋体" w:eastAsia="宋体" w:hint="eastAsia"/>
      <w:kern w:val="2"/>
      <w:sz w:val="21"/>
      <w:szCs w:val="24"/>
    </w:rPr>
  </w:style>
  <w:style w:type="character" w:customStyle="1" w:styleId="Char320">
    <w:name w:val="页眉 Char32"/>
    <w:unhideWhenUsed/>
    <w:qFormat/>
    <w:rPr>
      <w:rFonts w:eastAsia="宋体" w:hint="default"/>
      <w:kern w:val="2"/>
      <w:sz w:val="18"/>
      <w:szCs w:val="24"/>
      <w:lang w:val="en-US" w:eastAsia="zh-CN"/>
    </w:rPr>
  </w:style>
  <w:style w:type="character" w:customStyle="1" w:styleId="Char321">
    <w:name w:val="普通文字 Char32"/>
    <w:unhideWhenUsed/>
    <w:qFormat/>
    <w:rPr>
      <w:rFonts w:ascii="宋体" w:eastAsia="宋体" w:hAnsi="Courier New" w:hint="eastAsia"/>
      <w:color w:val="000000"/>
      <w:kern w:val="2"/>
      <w:sz w:val="28"/>
      <w:szCs w:val="24"/>
      <w:lang w:val="en-US" w:eastAsia="zh-CN"/>
    </w:rPr>
  </w:style>
  <w:style w:type="character" w:customStyle="1" w:styleId="Char110">
    <w:name w:val="表中文字 Char11"/>
    <w:link w:val="afffffff2"/>
    <w:unhideWhenUsed/>
    <w:qFormat/>
    <w:rPr>
      <w:rFonts w:hint="default"/>
      <w:kern w:val="2"/>
      <w:sz w:val="21"/>
      <w:szCs w:val="24"/>
    </w:rPr>
  </w:style>
  <w:style w:type="character" w:customStyle="1" w:styleId="Char42">
    <w:name w:val="普通文字 Char42"/>
    <w:unhideWhenUsed/>
    <w:qFormat/>
    <w:rPr>
      <w:rFonts w:ascii="宋体" w:eastAsia="宋体" w:hAnsi="Courier New" w:hint="eastAsia"/>
      <w:color w:val="000000"/>
      <w:kern w:val="2"/>
      <w:sz w:val="28"/>
      <w:szCs w:val="24"/>
      <w:lang w:val="en-US" w:eastAsia="zh-CN"/>
    </w:rPr>
  </w:style>
  <w:style w:type="character" w:customStyle="1" w:styleId="Char211">
    <w:name w:val="批注主题 Char21"/>
    <w:unhideWhenUsed/>
    <w:qFormat/>
    <w:rPr>
      <w:rFonts w:eastAsia="宋体" w:hint="default"/>
      <w:kern w:val="2"/>
      <w:sz w:val="18"/>
      <w:szCs w:val="24"/>
      <w:lang w:val="en-US" w:eastAsia="zh-CN"/>
    </w:rPr>
  </w:style>
  <w:style w:type="character" w:customStyle="1" w:styleId="Char16">
    <w:name w:val="表题 Char1"/>
    <w:link w:val="affffffffff6"/>
    <w:unhideWhenUsed/>
    <w:qFormat/>
    <w:rPr>
      <w:rFonts w:hint="default"/>
      <w:b/>
      <w:kern w:val="2"/>
      <w:sz w:val="21"/>
      <w:szCs w:val="24"/>
    </w:rPr>
  </w:style>
  <w:style w:type="character" w:customStyle="1" w:styleId="Char2f3">
    <w:name w:val="表中文字 Char2"/>
    <w:unhideWhenUsed/>
    <w:qFormat/>
    <w:rPr>
      <w:rFonts w:eastAsia="宋体" w:hint="default"/>
      <w:kern w:val="2"/>
      <w:sz w:val="21"/>
      <w:szCs w:val="24"/>
      <w:lang w:val="en-US" w:eastAsia="zh-CN"/>
    </w:rPr>
  </w:style>
  <w:style w:type="character" w:customStyle="1" w:styleId="btChar2">
    <w:name w:val="bt Char2"/>
    <w:unhideWhenUsed/>
    <w:qFormat/>
    <w:rPr>
      <w:rFonts w:ascii="宋体" w:eastAsia="宋体" w:hAnsi="宋体" w:hint="eastAsia"/>
      <w:kern w:val="2"/>
      <w:position w:val="-6"/>
      <w:sz w:val="21"/>
      <w:szCs w:val="24"/>
      <w:u w:val="single"/>
      <w:lang w:val="en-US" w:eastAsia="zh-CN"/>
    </w:rPr>
  </w:style>
  <w:style w:type="character" w:customStyle="1" w:styleId="CharCharCharCharCharChar10">
    <w:name w:val="纯文本 Char Char Char Char Char Char1"/>
    <w:unhideWhenUsed/>
    <w:qFormat/>
    <w:rPr>
      <w:rFonts w:ascii="宋体" w:eastAsia="宋体" w:hAnsi="Courier New" w:hint="eastAsia"/>
      <w:kern w:val="2"/>
      <w:sz w:val="21"/>
      <w:szCs w:val="24"/>
      <w:lang w:val="en-US" w:eastAsia="zh-CN"/>
    </w:rPr>
  </w:style>
  <w:style w:type="character" w:customStyle="1" w:styleId="Char212">
    <w:name w:val="页脚 Char21"/>
    <w:unhideWhenUsed/>
    <w:qFormat/>
    <w:rPr>
      <w:rFonts w:eastAsia="宋体" w:hint="default"/>
      <w:kern w:val="2"/>
      <w:sz w:val="18"/>
      <w:szCs w:val="24"/>
      <w:lang w:val="en-US" w:eastAsia="zh-CN"/>
    </w:rPr>
  </w:style>
  <w:style w:type="character" w:customStyle="1" w:styleId="CharChar2c">
    <w:name w:val="表格文字 Char Char2"/>
    <w:unhideWhenUsed/>
    <w:qFormat/>
    <w:rPr>
      <w:rFonts w:ascii="宋体" w:eastAsia="宋体" w:hAnsi="Courier New" w:hint="eastAsia"/>
      <w:kern w:val="2"/>
      <w:sz w:val="21"/>
      <w:szCs w:val="24"/>
      <w:lang w:val="en-US" w:eastAsia="zh-CN"/>
    </w:rPr>
  </w:style>
  <w:style w:type="character" w:customStyle="1" w:styleId="4Char1">
    <w:name w:val="样式4 Char1"/>
    <w:link w:val="4c"/>
    <w:unhideWhenUsed/>
    <w:qFormat/>
    <w:rPr>
      <w:rFonts w:ascii="Arial" w:hint="default"/>
      <w:b/>
      <w:kern w:val="2"/>
      <w:sz w:val="28"/>
      <w:szCs w:val="24"/>
    </w:rPr>
  </w:style>
  <w:style w:type="character" w:customStyle="1" w:styleId="CharCharChar22">
    <w:name w:val="页眉 Char Char Char2"/>
    <w:unhideWhenUsed/>
    <w:qFormat/>
    <w:rPr>
      <w:rFonts w:hint="default"/>
      <w:kern w:val="2"/>
      <w:sz w:val="18"/>
      <w:szCs w:val="24"/>
    </w:rPr>
  </w:style>
  <w:style w:type="character" w:customStyle="1" w:styleId="Char115">
    <w:name w:val="页眉 Char11"/>
    <w:unhideWhenUsed/>
    <w:qFormat/>
    <w:rPr>
      <w:rFonts w:hint="default"/>
      <w:kern w:val="2"/>
      <w:sz w:val="18"/>
      <w:szCs w:val="24"/>
    </w:rPr>
  </w:style>
  <w:style w:type="character" w:customStyle="1" w:styleId="Char1ff3">
    <w:name w:val="正文文字 Char1"/>
    <w:unhideWhenUsed/>
    <w:qFormat/>
    <w:rPr>
      <w:rFonts w:ascii="宋体" w:eastAsia="宋体" w:hint="eastAsia"/>
      <w:b/>
      <w:kern w:val="2"/>
      <w:sz w:val="36"/>
      <w:szCs w:val="24"/>
      <w:lang w:val="en-US" w:eastAsia="zh-CN"/>
    </w:rPr>
  </w:style>
  <w:style w:type="character" w:customStyle="1" w:styleId="CharCharCharCharChar12">
    <w:name w:val="页眉 Char Char Char Char Char1"/>
    <w:unhideWhenUsed/>
    <w:qFormat/>
    <w:rPr>
      <w:rFonts w:eastAsia="宋体" w:hint="default"/>
      <w:kern w:val="2"/>
      <w:sz w:val="18"/>
      <w:szCs w:val="24"/>
      <w:lang w:val="en-US" w:eastAsia="zh-CN"/>
    </w:rPr>
  </w:style>
  <w:style w:type="character" w:customStyle="1" w:styleId="1Char60">
    <w:name w:val="项标题(1) Char6"/>
    <w:unhideWhenUsed/>
    <w:qFormat/>
    <w:rPr>
      <w:rFonts w:eastAsia="仿宋_GB2312" w:hint="default"/>
      <w:b/>
      <w:sz w:val="24"/>
      <w:szCs w:val="24"/>
      <w:lang w:val="en-US" w:eastAsia="zh-CN"/>
    </w:rPr>
  </w:style>
  <w:style w:type="character" w:customStyle="1" w:styleId="Char213">
    <w:name w:val="正文文字 Char21"/>
    <w:unhideWhenUsed/>
    <w:qFormat/>
    <w:rPr>
      <w:rFonts w:eastAsia="宋体" w:hint="default"/>
      <w:kern w:val="2"/>
      <w:sz w:val="21"/>
      <w:szCs w:val="24"/>
      <w:lang w:val="en-US" w:eastAsia="zh-CN"/>
    </w:rPr>
  </w:style>
  <w:style w:type="character" w:customStyle="1" w:styleId="Char322">
    <w:name w:val="正文首行缩进 Char32"/>
    <w:unhideWhenUsed/>
    <w:qFormat/>
    <w:rPr>
      <w:rFonts w:hint="default"/>
      <w:kern w:val="2"/>
      <w:sz w:val="24"/>
      <w:szCs w:val="24"/>
    </w:rPr>
  </w:style>
  <w:style w:type="character" w:customStyle="1" w:styleId="4Char112">
    <w:name w:val="标题 4 Char112"/>
    <w:unhideWhenUsed/>
    <w:qFormat/>
    <w:rPr>
      <w:rFonts w:ascii="黑体" w:eastAsia="宋体" w:hAnsi="Arial" w:hint="eastAsia"/>
      <w:b/>
      <w:i/>
      <w:kern w:val="2"/>
      <w:sz w:val="24"/>
      <w:szCs w:val="24"/>
    </w:rPr>
  </w:style>
  <w:style w:type="character" w:customStyle="1" w:styleId="1Char220">
    <w:name w:val="正文缩进1 Char22"/>
    <w:unhideWhenUsed/>
    <w:qFormat/>
    <w:rPr>
      <w:rFonts w:eastAsia="宋体" w:hint="default"/>
      <w:kern w:val="2"/>
      <w:sz w:val="24"/>
      <w:szCs w:val="24"/>
      <w:lang w:val="en-US" w:eastAsia="zh-CN"/>
    </w:rPr>
  </w:style>
  <w:style w:type="character" w:customStyle="1" w:styleId="CharChar112">
    <w:name w:val="页眉 Char Char11"/>
    <w:unhideWhenUsed/>
    <w:qFormat/>
    <w:rPr>
      <w:rFonts w:eastAsia="宋体" w:hint="default"/>
      <w:kern w:val="2"/>
      <w:sz w:val="18"/>
      <w:szCs w:val="24"/>
      <w:lang w:val="en-US" w:eastAsia="zh-CN"/>
    </w:rPr>
  </w:style>
  <w:style w:type="character" w:customStyle="1" w:styleId="Char5Char5">
    <w:name w:val="Char5 Char5"/>
    <w:unhideWhenUsed/>
    <w:qFormat/>
    <w:rPr>
      <w:rFonts w:eastAsia="宋体" w:hint="default"/>
      <w:kern w:val="2"/>
      <w:sz w:val="28"/>
      <w:szCs w:val="24"/>
      <w:lang w:val="en-US" w:eastAsia="zh-CN"/>
    </w:rPr>
  </w:style>
  <w:style w:type="character" w:customStyle="1" w:styleId="Char4Char5">
    <w:name w:val="Char4 Char5"/>
    <w:unhideWhenUsed/>
    <w:qFormat/>
    <w:rPr>
      <w:rFonts w:eastAsia="宋体" w:hint="default"/>
      <w:sz w:val="21"/>
      <w:szCs w:val="24"/>
      <w:lang w:val="en-US" w:eastAsia="zh-CN"/>
    </w:rPr>
  </w:style>
  <w:style w:type="character" w:customStyle="1" w:styleId="Char3Char1">
    <w:name w:val="Char3 Char1"/>
    <w:unhideWhenUsed/>
    <w:qFormat/>
    <w:rPr>
      <w:rFonts w:ascii="宋体" w:eastAsia="宋体" w:hAnsi="宋体" w:hint="eastAsia"/>
      <w:b/>
      <w:color w:val="000000"/>
      <w:kern w:val="2"/>
      <w:sz w:val="24"/>
      <w:szCs w:val="24"/>
      <w:lang w:val="en-US" w:eastAsia="zh-CN"/>
    </w:rPr>
  </w:style>
  <w:style w:type="character" w:customStyle="1" w:styleId="11111Char12">
    <w:name w:val="标题1.1.1.1.1 Char12"/>
    <w:unhideWhenUsed/>
    <w:qFormat/>
    <w:rPr>
      <w:rFonts w:ascii="宋体" w:eastAsia="宋体" w:hint="eastAsia"/>
      <w:b/>
      <w:sz w:val="28"/>
      <w:szCs w:val="24"/>
      <w:lang w:val="en-US" w:eastAsia="zh-CN"/>
    </w:rPr>
  </w:style>
  <w:style w:type="character" w:customStyle="1" w:styleId="aChar6">
    <w:name w:val="干标题(a) Char6"/>
    <w:unhideWhenUsed/>
    <w:qFormat/>
    <w:rPr>
      <w:rFonts w:ascii="Arial" w:eastAsia="黑体" w:hAnsi="Arial" w:hint="eastAsia"/>
      <w:sz w:val="21"/>
      <w:szCs w:val="24"/>
      <w:lang w:val="en-US" w:eastAsia="zh-CN"/>
    </w:rPr>
  </w:style>
  <w:style w:type="character" w:customStyle="1" w:styleId="1Char120">
    <w:name w:val="项标题(1) Char12"/>
    <w:unhideWhenUsed/>
    <w:qFormat/>
    <w:rPr>
      <w:rFonts w:ascii="宋体" w:eastAsia="宋体" w:hint="eastAsia"/>
      <w:b/>
      <w:sz w:val="24"/>
      <w:szCs w:val="24"/>
      <w:lang w:val="en-US" w:eastAsia="zh-CN"/>
    </w:rPr>
  </w:style>
  <w:style w:type="character" w:customStyle="1" w:styleId="1Char61">
    <w:name w:val="目标题 1) Char6"/>
    <w:unhideWhenUsed/>
    <w:qFormat/>
    <w:rPr>
      <w:rFonts w:ascii="Arial" w:eastAsia="黑体" w:hAnsi="Arial" w:hint="eastAsia"/>
      <w:sz w:val="24"/>
      <w:szCs w:val="24"/>
      <w:lang w:val="en-US" w:eastAsia="zh-CN"/>
    </w:rPr>
  </w:style>
  <w:style w:type="character" w:customStyle="1" w:styleId="CharCharCharCharCharCharCharCharCharCharChar12">
    <w:name w:val="普通文字 Char Char Char Char Char Char Char Char Char Char Char12"/>
    <w:unhideWhenUsed/>
    <w:qFormat/>
    <w:rPr>
      <w:rFonts w:ascii="宋体" w:eastAsia="宋体" w:hAnsi="Courier New" w:hint="eastAsia"/>
      <w:kern w:val="2"/>
      <w:sz w:val="28"/>
      <w:szCs w:val="24"/>
      <w:lang w:val="en-US" w:eastAsia="zh-CN"/>
    </w:rPr>
  </w:style>
  <w:style w:type="character" w:customStyle="1" w:styleId="111">
    <w:name w:val="文本块 字符11"/>
    <w:link w:val="1f1"/>
    <w:unhideWhenUsed/>
    <w:qFormat/>
    <w:rPr>
      <w:rFonts w:hint="default"/>
      <w:spacing w:val="26"/>
      <w:kern w:val="2"/>
      <w:sz w:val="28"/>
      <w:szCs w:val="24"/>
    </w:rPr>
  </w:style>
  <w:style w:type="character" w:customStyle="1" w:styleId="237">
    <w:name w:val="题注 字符23"/>
    <w:unhideWhenUsed/>
    <w:qFormat/>
    <w:rPr>
      <w:rFonts w:ascii="Arial" w:eastAsia="黑体" w:hAnsi="Arial" w:hint="eastAsia"/>
      <w:kern w:val="2"/>
      <w:sz w:val="24"/>
      <w:szCs w:val="24"/>
    </w:rPr>
  </w:style>
  <w:style w:type="character" w:customStyle="1" w:styleId="Char1CharChar32">
    <w:name w:val="正文首行缩进 Char1 Char Char32"/>
    <w:unhideWhenUsed/>
    <w:qFormat/>
    <w:rPr>
      <w:rFonts w:eastAsia="宋体" w:hint="default"/>
      <w:kern w:val="2"/>
      <w:sz w:val="24"/>
      <w:szCs w:val="24"/>
      <w:lang w:val="en-US" w:eastAsia="zh-CN"/>
    </w:rPr>
  </w:style>
  <w:style w:type="character" w:customStyle="1" w:styleId="CharChar120">
    <w:name w:val="正文首行缩进 Char Char12"/>
    <w:unhideWhenUsed/>
    <w:qFormat/>
    <w:rPr>
      <w:rFonts w:eastAsia="宋体" w:hint="default"/>
      <w:kern w:val="2"/>
      <w:sz w:val="21"/>
      <w:szCs w:val="24"/>
      <w:lang w:val="en-US" w:eastAsia="zh-CN"/>
    </w:rPr>
  </w:style>
  <w:style w:type="character" w:customStyle="1" w:styleId="21f9">
    <w:name w:val="小标题21"/>
    <w:unhideWhenUsed/>
    <w:qFormat/>
    <w:rPr>
      <w:rFonts w:eastAsia="宋体" w:hint="default"/>
      <w:b/>
      <w:snapToGrid w:val="0"/>
      <w:color w:val="000000"/>
      <w:kern w:val="24"/>
      <w:sz w:val="24"/>
      <w:szCs w:val="24"/>
      <w:lang w:val="en-US" w:eastAsia="zh-CN"/>
    </w:rPr>
  </w:style>
  <w:style w:type="character" w:customStyle="1" w:styleId="Char1CharChar6">
    <w:name w:val="正文首行缩进 Char1 Char Char6"/>
    <w:unhideWhenUsed/>
    <w:qFormat/>
    <w:rPr>
      <w:rFonts w:ascii="宋体" w:eastAsia="宋体" w:hint="eastAsia"/>
      <w:kern w:val="2"/>
      <w:sz w:val="28"/>
      <w:szCs w:val="24"/>
      <w:lang w:val="en-US" w:eastAsia="zh-CN"/>
    </w:rPr>
  </w:style>
  <w:style w:type="character" w:customStyle="1" w:styleId="3Char1Char2">
    <w:name w:val="标题 3 Char1 Char2"/>
    <w:unhideWhenUsed/>
    <w:qFormat/>
    <w:rPr>
      <w:rFonts w:ascii="黑体" w:eastAsia="黑体" w:hint="eastAsia"/>
      <w:b/>
      <w:kern w:val="2"/>
      <w:sz w:val="21"/>
      <w:szCs w:val="24"/>
      <w:lang w:val="en-US" w:eastAsia="zh-CN"/>
    </w:rPr>
  </w:style>
  <w:style w:type="character" w:customStyle="1" w:styleId="Char1CharChar22">
    <w:name w:val="正文首行缩进 Char1 Char Char22"/>
    <w:unhideWhenUsed/>
    <w:qFormat/>
    <w:rPr>
      <w:rFonts w:eastAsia="宋体" w:hint="default"/>
      <w:kern w:val="2"/>
      <w:sz w:val="24"/>
      <w:szCs w:val="24"/>
      <w:lang w:val="en-US" w:eastAsia="zh-CN"/>
    </w:rPr>
  </w:style>
  <w:style w:type="character" w:customStyle="1" w:styleId="Footer1Char11">
    <w:name w:val="Footer1 Char11"/>
    <w:unhideWhenUsed/>
    <w:qFormat/>
    <w:rPr>
      <w:rFonts w:eastAsia="仿宋_GB2312" w:hint="default"/>
      <w:kern w:val="2"/>
      <w:sz w:val="18"/>
      <w:szCs w:val="24"/>
      <w:lang w:val="en-US" w:eastAsia="zh-CN"/>
    </w:rPr>
  </w:style>
  <w:style w:type="character" w:customStyle="1" w:styleId="Char1ff4">
    <w:name w:val="普通(网站) Char1"/>
    <w:unhideWhenUsed/>
    <w:qFormat/>
    <w:rPr>
      <w:rFonts w:hint="default"/>
      <w:kern w:val="2"/>
      <w:sz w:val="18"/>
      <w:szCs w:val="24"/>
    </w:rPr>
  </w:style>
  <w:style w:type="character" w:customStyle="1" w:styleId="1Char121">
    <w:name w:val="目标题 1) Char12"/>
    <w:unhideWhenUsed/>
    <w:qFormat/>
    <w:rPr>
      <w:rFonts w:ascii="Arial" w:eastAsia="黑体" w:hAnsi="Arial" w:hint="eastAsia"/>
      <w:sz w:val="28"/>
      <w:szCs w:val="24"/>
      <w:lang w:val="en-US" w:eastAsia="zh-CN"/>
    </w:rPr>
  </w:style>
  <w:style w:type="character" w:customStyle="1" w:styleId="aChar11">
    <w:name w:val="干标题(a) Char11"/>
    <w:unhideWhenUsed/>
    <w:qFormat/>
    <w:rPr>
      <w:rFonts w:ascii="Arial" w:eastAsia="黑体" w:hAnsi="Arial" w:hint="eastAsia"/>
      <w:sz w:val="21"/>
      <w:szCs w:val="24"/>
      <w:lang w:val="en-US" w:eastAsia="zh-CN"/>
    </w:rPr>
  </w:style>
  <w:style w:type="character" w:customStyle="1" w:styleId="Char3Char111">
    <w:name w:val="Char3 Char111"/>
    <w:unhideWhenUsed/>
    <w:qFormat/>
    <w:rPr>
      <w:rFonts w:eastAsia="宋体" w:hint="default"/>
      <w:kern w:val="2"/>
      <w:sz w:val="18"/>
      <w:szCs w:val="24"/>
      <w:lang w:val="en-US" w:eastAsia="zh-CN"/>
    </w:rPr>
  </w:style>
  <w:style w:type="character" w:customStyle="1" w:styleId="Char5Char11">
    <w:name w:val="Char5 Char11"/>
    <w:unhideWhenUsed/>
    <w:qFormat/>
    <w:rPr>
      <w:rFonts w:eastAsia="宋体" w:hint="default"/>
      <w:kern w:val="2"/>
      <w:sz w:val="28"/>
      <w:szCs w:val="24"/>
      <w:lang w:val="en-US" w:eastAsia="zh-CN"/>
    </w:rPr>
  </w:style>
  <w:style w:type="character" w:customStyle="1" w:styleId="Char4Char11">
    <w:name w:val="Char4 Char11"/>
    <w:unhideWhenUsed/>
    <w:qFormat/>
    <w:rPr>
      <w:rFonts w:ascii="宋体" w:eastAsia="宋体" w:hint="eastAsia"/>
      <w:color w:val="000000"/>
      <w:kern w:val="2"/>
      <w:sz w:val="24"/>
      <w:szCs w:val="24"/>
    </w:rPr>
  </w:style>
  <w:style w:type="character" w:customStyle="1" w:styleId="1Char221">
    <w:name w:val="项标题(1) Char22"/>
    <w:unhideWhenUsed/>
    <w:qFormat/>
    <w:rPr>
      <w:rFonts w:ascii="新宋体" w:eastAsia="仿宋_GB2312" w:hAnsi="新宋体" w:hint="eastAsia"/>
      <w:b/>
      <w:kern w:val="2"/>
      <w:sz w:val="24"/>
      <w:szCs w:val="24"/>
      <w:lang w:val="en-US" w:eastAsia="zh-CN"/>
    </w:rPr>
  </w:style>
  <w:style w:type="character" w:customStyle="1" w:styleId="Char1ff5">
    <w:name w:val="章标题(有序号) Char1"/>
    <w:unhideWhenUsed/>
    <w:qFormat/>
    <w:rPr>
      <w:rFonts w:eastAsia="黑体" w:hint="default"/>
      <w:b/>
      <w:sz w:val="44"/>
      <w:szCs w:val="24"/>
      <w:lang w:val="zh-CN"/>
    </w:rPr>
  </w:style>
  <w:style w:type="character" w:customStyle="1" w:styleId="TOC11">
    <w:name w:val="TOC 1 字符1"/>
    <w:link w:val="112"/>
    <w:uiPriority w:val="39"/>
    <w:unhideWhenUsed/>
    <w:qFormat/>
    <w:rPr>
      <w:rFonts w:hint="default"/>
      <w:b/>
      <w:caps/>
      <w:kern w:val="2"/>
      <w:sz w:val="24"/>
      <w:szCs w:val="24"/>
    </w:rPr>
  </w:style>
  <w:style w:type="character" w:customStyle="1" w:styleId="Char5Char21">
    <w:name w:val="Char5 Char21"/>
    <w:unhideWhenUsed/>
    <w:qFormat/>
    <w:rPr>
      <w:rFonts w:eastAsia="宋体" w:hint="default"/>
      <w:kern w:val="2"/>
      <w:sz w:val="28"/>
      <w:szCs w:val="24"/>
      <w:lang w:val="en-US" w:eastAsia="zh-CN"/>
    </w:rPr>
  </w:style>
  <w:style w:type="character" w:customStyle="1" w:styleId="Char4Char21">
    <w:name w:val="Char4 Char21"/>
    <w:unhideWhenUsed/>
    <w:qFormat/>
    <w:rPr>
      <w:rFonts w:eastAsia="宋体" w:hint="default"/>
      <w:sz w:val="21"/>
      <w:szCs w:val="24"/>
      <w:lang w:val="en-US" w:eastAsia="zh-CN"/>
    </w:rPr>
  </w:style>
  <w:style w:type="character" w:customStyle="1" w:styleId="CharChar210">
    <w:name w:val="页眉 Char Char21"/>
    <w:unhideWhenUsed/>
    <w:qFormat/>
    <w:rPr>
      <w:rFonts w:eastAsia="宋体" w:hint="default"/>
      <w:kern w:val="2"/>
      <w:sz w:val="18"/>
      <w:szCs w:val="24"/>
      <w:lang w:val="en-US" w:eastAsia="zh-CN"/>
    </w:rPr>
  </w:style>
  <w:style w:type="character" w:customStyle="1" w:styleId="Char3Char21">
    <w:name w:val="Char3 Char21"/>
    <w:unhideWhenUsed/>
    <w:qFormat/>
    <w:rPr>
      <w:rFonts w:ascii="宋体" w:eastAsia="宋体" w:hAnsi="宋体" w:hint="eastAsia"/>
      <w:b/>
      <w:color w:val="000000"/>
      <w:kern w:val="2"/>
      <w:sz w:val="24"/>
      <w:szCs w:val="24"/>
      <w:lang w:val="en-US" w:eastAsia="zh-CN"/>
    </w:rPr>
  </w:style>
  <w:style w:type="character" w:customStyle="1" w:styleId="bodytextChar21">
    <w:name w:val="body text Char21"/>
    <w:unhideWhenUsed/>
    <w:qFormat/>
    <w:rPr>
      <w:rFonts w:eastAsia="宋体" w:hint="default"/>
      <w:kern w:val="2"/>
      <w:sz w:val="24"/>
      <w:szCs w:val="24"/>
      <w:lang w:val="en-US" w:eastAsia="zh-CN"/>
    </w:rPr>
  </w:style>
  <w:style w:type="character" w:customStyle="1" w:styleId="1Char222">
    <w:name w:val="目标题 1) Char22"/>
    <w:unhideWhenUsed/>
    <w:qFormat/>
    <w:rPr>
      <w:rFonts w:ascii="Arial" w:eastAsia="黑体" w:hAnsi="Arial" w:hint="eastAsia"/>
      <w:kern w:val="2"/>
      <w:sz w:val="24"/>
      <w:szCs w:val="24"/>
      <w:lang w:val="en-US" w:eastAsia="zh-CN"/>
    </w:rPr>
  </w:style>
  <w:style w:type="character" w:customStyle="1" w:styleId="11111Char22">
    <w:name w:val="标题1.1.1.1.1 Char22"/>
    <w:unhideWhenUsed/>
    <w:qFormat/>
    <w:rPr>
      <w:rFonts w:ascii="宋体" w:eastAsia="宋体" w:hint="eastAsia"/>
      <w:b/>
      <w:kern w:val="2"/>
      <w:sz w:val="24"/>
      <w:szCs w:val="24"/>
      <w:lang w:val="en-US" w:eastAsia="zh-CN"/>
    </w:rPr>
  </w:style>
  <w:style w:type="character" w:customStyle="1" w:styleId="111111Char12">
    <w:name w:val="标题1.1.1.1.1.1 Char12"/>
    <w:unhideWhenUsed/>
    <w:qFormat/>
    <w:rPr>
      <w:rFonts w:ascii="Arial" w:eastAsia="黑体" w:hAnsi="Arial" w:hint="eastAsia"/>
      <w:b/>
      <w:kern w:val="2"/>
      <w:sz w:val="24"/>
      <w:szCs w:val="24"/>
      <w:lang w:val="en-US" w:eastAsia="zh-CN"/>
    </w:rPr>
  </w:style>
  <w:style w:type="character" w:customStyle="1" w:styleId="aChar22">
    <w:name w:val="干标题(a) Char22"/>
    <w:unhideWhenUsed/>
    <w:qFormat/>
    <w:rPr>
      <w:rFonts w:ascii="Arial" w:eastAsia="黑体" w:hAnsi="Arial" w:hint="eastAsia"/>
      <w:kern w:val="2"/>
      <w:sz w:val="24"/>
      <w:szCs w:val="24"/>
      <w:lang w:val="en-US" w:eastAsia="zh-CN"/>
    </w:rPr>
  </w:style>
  <w:style w:type="character" w:customStyle="1" w:styleId="1Char320">
    <w:name w:val="项标题(1) Char32"/>
    <w:unhideWhenUsed/>
    <w:qFormat/>
    <w:rPr>
      <w:rFonts w:ascii="宋体" w:eastAsia="宋体" w:hint="eastAsia"/>
      <w:b/>
      <w:kern w:val="2"/>
      <w:sz w:val="24"/>
      <w:szCs w:val="24"/>
      <w:lang w:val="en-US" w:eastAsia="zh-CN"/>
    </w:rPr>
  </w:style>
  <w:style w:type="character" w:customStyle="1" w:styleId="31Char11">
    <w:name w:val="正文文字缩进 31 Char11"/>
    <w:unhideWhenUsed/>
    <w:qFormat/>
    <w:rPr>
      <w:rFonts w:eastAsia="宋体" w:hint="default"/>
      <w:kern w:val="2"/>
      <w:sz w:val="24"/>
      <w:szCs w:val="24"/>
      <w:lang w:val="en-US" w:eastAsia="zh-CN"/>
    </w:rPr>
  </w:style>
  <w:style w:type="character" w:customStyle="1" w:styleId="CharChar310">
    <w:name w:val="页眉 Char Char31"/>
    <w:unhideWhenUsed/>
    <w:qFormat/>
    <w:rPr>
      <w:rFonts w:eastAsia="宋体" w:hint="default"/>
      <w:kern w:val="2"/>
      <w:sz w:val="18"/>
      <w:szCs w:val="24"/>
      <w:lang w:val="en-US" w:eastAsia="zh-CN"/>
    </w:rPr>
  </w:style>
  <w:style w:type="character" w:customStyle="1" w:styleId="Char3Char31">
    <w:name w:val="Char3 Char31"/>
    <w:unhideWhenUsed/>
    <w:qFormat/>
    <w:rPr>
      <w:rFonts w:eastAsia="宋体" w:hint="default"/>
      <w:kern w:val="2"/>
      <w:sz w:val="18"/>
      <w:szCs w:val="24"/>
      <w:lang w:val="en-US" w:eastAsia="zh-CN"/>
    </w:rPr>
  </w:style>
  <w:style w:type="character" w:customStyle="1" w:styleId="aChar32">
    <w:name w:val="干标题(a) Char32"/>
    <w:unhideWhenUsed/>
    <w:qFormat/>
    <w:rPr>
      <w:rFonts w:ascii="Arial" w:eastAsia="黑体" w:hAnsi="Arial" w:hint="eastAsia"/>
      <w:kern w:val="2"/>
      <w:sz w:val="21"/>
      <w:szCs w:val="24"/>
      <w:lang w:val="en-US" w:eastAsia="zh-CN"/>
    </w:rPr>
  </w:style>
  <w:style w:type="character" w:customStyle="1" w:styleId="Char5Char31">
    <w:name w:val="Char5 Char31"/>
    <w:unhideWhenUsed/>
    <w:qFormat/>
    <w:rPr>
      <w:rFonts w:eastAsia="宋体" w:hint="default"/>
      <w:kern w:val="2"/>
      <w:sz w:val="28"/>
      <w:szCs w:val="24"/>
      <w:lang w:val="en-US" w:eastAsia="zh-CN"/>
    </w:rPr>
  </w:style>
  <w:style w:type="character" w:customStyle="1" w:styleId="Char4Char31">
    <w:name w:val="Char4 Char31"/>
    <w:unhideWhenUsed/>
    <w:qFormat/>
    <w:rPr>
      <w:rFonts w:ascii="宋体" w:eastAsia="宋体" w:hint="eastAsia"/>
      <w:color w:val="000000"/>
      <w:kern w:val="2"/>
      <w:sz w:val="24"/>
      <w:szCs w:val="24"/>
    </w:rPr>
  </w:style>
  <w:style w:type="character" w:customStyle="1" w:styleId="Footer1Char41">
    <w:name w:val="Footer1 Char41"/>
    <w:unhideWhenUsed/>
    <w:qFormat/>
    <w:rPr>
      <w:rFonts w:eastAsia="宋体" w:hint="default"/>
      <w:kern w:val="2"/>
      <w:sz w:val="18"/>
      <w:szCs w:val="24"/>
      <w:lang w:val="en-US" w:eastAsia="zh-CN"/>
    </w:rPr>
  </w:style>
  <w:style w:type="character" w:customStyle="1" w:styleId="11111Char32">
    <w:name w:val="标题1.1.1.1.1 Char32"/>
    <w:unhideWhenUsed/>
    <w:qFormat/>
    <w:rPr>
      <w:rFonts w:ascii="新宋体" w:eastAsia="仿宋_GB2312" w:hAnsi="新宋体" w:hint="eastAsia"/>
      <w:b/>
      <w:kern w:val="2"/>
      <w:sz w:val="28"/>
      <w:szCs w:val="24"/>
      <w:lang w:val="en-US" w:eastAsia="zh-CN"/>
    </w:rPr>
  </w:style>
  <w:style w:type="character" w:customStyle="1" w:styleId="111111Char22">
    <w:name w:val="标题1.1.1.1.1.1 Char22"/>
    <w:unhideWhenUsed/>
    <w:qFormat/>
    <w:rPr>
      <w:rFonts w:ascii="Arial" w:eastAsia="黑体" w:hAnsi="Arial" w:hint="eastAsia"/>
      <w:b/>
      <w:kern w:val="2"/>
      <w:sz w:val="24"/>
      <w:szCs w:val="24"/>
      <w:lang w:val="en-US" w:eastAsia="zh-CN"/>
    </w:rPr>
  </w:style>
  <w:style w:type="character" w:customStyle="1" w:styleId="1Char42">
    <w:name w:val="项标题(1) Char42"/>
    <w:unhideWhenUsed/>
    <w:qFormat/>
    <w:rPr>
      <w:rFonts w:ascii="新宋体" w:eastAsia="仿宋_GB2312" w:hAnsi="新宋体" w:hint="eastAsia"/>
      <w:b/>
      <w:kern w:val="2"/>
      <w:sz w:val="24"/>
      <w:szCs w:val="24"/>
      <w:lang w:val="en-US" w:eastAsia="zh-CN"/>
    </w:rPr>
  </w:style>
  <w:style w:type="character" w:customStyle="1" w:styleId="1Char321">
    <w:name w:val="目标题 1) Char32"/>
    <w:unhideWhenUsed/>
    <w:qFormat/>
    <w:rPr>
      <w:rFonts w:ascii="Arial" w:eastAsia="黑体" w:hAnsi="Arial" w:hint="eastAsia"/>
      <w:kern w:val="2"/>
      <w:sz w:val="24"/>
      <w:szCs w:val="24"/>
      <w:lang w:val="en-US" w:eastAsia="zh-CN"/>
    </w:rPr>
  </w:style>
  <w:style w:type="character" w:customStyle="1" w:styleId="Char1CharChar42">
    <w:name w:val="正文首行缩进 Char1 Char Char42"/>
    <w:unhideWhenUsed/>
    <w:qFormat/>
    <w:rPr>
      <w:rFonts w:ascii="新宋体" w:eastAsia="仿宋_GB2312" w:hAnsi="新宋体" w:hint="eastAsia"/>
      <w:kern w:val="2"/>
      <w:sz w:val="28"/>
      <w:szCs w:val="24"/>
      <w:lang w:val="en-US" w:eastAsia="zh-CN"/>
    </w:rPr>
  </w:style>
  <w:style w:type="character" w:customStyle="1" w:styleId="1Char322">
    <w:name w:val="正文缩进1 Char32"/>
    <w:unhideWhenUsed/>
    <w:qFormat/>
    <w:rPr>
      <w:rFonts w:eastAsia="宋体" w:hint="default"/>
      <w:kern w:val="2"/>
      <w:sz w:val="24"/>
      <w:szCs w:val="24"/>
      <w:lang w:val="en-US" w:eastAsia="zh-CN"/>
    </w:rPr>
  </w:style>
  <w:style w:type="character" w:customStyle="1" w:styleId="CharChar410">
    <w:name w:val="页眉 Char Char41"/>
    <w:unhideWhenUsed/>
    <w:qFormat/>
    <w:rPr>
      <w:rFonts w:eastAsia="宋体" w:hint="default"/>
      <w:kern w:val="2"/>
      <w:sz w:val="18"/>
      <w:szCs w:val="24"/>
      <w:lang w:val="en-US" w:eastAsia="zh-CN"/>
    </w:rPr>
  </w:style>
  <w:style w:type="character" w:customStyle="1" w:styleId="Char3Char41">
    <w:name w:val="Char3 Char41"/>
    <w:unhideWhenUsed/>
    <w:qFormat/>
    <w:rPr>
      <w:rFonts w:eastAsia="宋体" w:hint="default"/>
      <w:kern w:val="2"/>
      <w:sz w:val="18"/>
      <w:szCs w:val="24"/>
      <w:lang w:val="en-US" w:eastAsia="zh-CN"/>
    </w:rPr>
  </w:style>
  <w:style w:type="character" w:customStyle="1" w:styleId="aChar42">
    <w:name w:val="干标题(a) Char42"/>
    <w:unhideWhenUsed/>
    <w:qFormat/>
    <w:rPr>
      <w:rFonts w:ascii="Arial" w:eastAsia="黑体" w:hAnsi="Arial" w:hint="eastAsia"/>
      <w:kern w:val="2"/>
      <w:sz w:val="21"/>
      <w:szCs w:val="24"/>
      <w:lang w:val="en-US" w:eastAsia="zh-CN"/>
    </w:rPr>
  </w:style>
  <w:style w:type="character" w:customStyle="1" w:styleId="Char5Char41">
    <w:name w:val="Char5 Char41"/>
    <w:unhideWhenUsed/>
    <w:qFormat/>
    <w:rPr>
      <w:rFonts w:eastAsia="宋体" w:hint="default"/>
      <w:kern w:val="2"/>
      <w:sz w:val="28"/>
      <w:szCs w:val="24"/>
      <w:lang w:val="en-US" w:eastAsia="zh-CN"/>
    </w:rPr>
  </w:style>
  <w:style w:type="character" w:customStyle="1" w:styleId="Char4Char41">
    <w:name w:val="Char4 Char41"/>
    <w:unhideWhenUsed/>
    <w:qFormat/>
    <w:rPr>
      <w:rFonts w:ascii="宋体" w:eastAsia="宋体" w:hint="eastAsia"/>
      <w:color w:val="000000"/>
      <w:kern w:val="2"/>
      <w:sz w:val="24"/>
      <w:szCs w:val="24"/>
    </w:rPr>
  </w:style>
  <w:style w:type="character" w:customStyle="1" w:styleId="Footer1Char51">
    <w:name w:val="Footer1 Char51"/>
    <w:unhideWhenUsed/>
    <w:qFormat/>
    <w:rPr>
      <w:rFonts w:eastAsia="宋体" w:hint="default"/>
      <w:kern w:val="2"/>
      <w:sz w:val="18"/>
      <w:szCs w:val="24"/>
      <w:lang w:val="en-US" w:eastAsia="zh-CN"/>
    </w:rPr>
  </w:style>
  <w:style w:type="character" w:customStyle="1" w:styleId="11111Char42">
    <w:name w:val="标题1.1.1.1.1 Char42"/>
    <w:unhideWhenUsed/>
    <w:qFormat/>
    <w:rPr>
      <w:rFonts w:ascii="新宋体" w:eastAsia="仿宋_GB2312" w:hAnsi="新宋体" w:hint="eastAsia"/>
      <w:b/>
      <w:kern w:val="2"/>
      <w:sz w:val="28"/>
      <w:szCs w:val="24"/>
      <w:lang w:val="en-US" w:eastAsia="zh-CN"/>
    </w:rPr>
  </w:style>
  <w:style w:type="character" w:customStyle="1" w:styleId="111111Char32">
    <w:name w:val="标题1.1.1.1.1.1 Char32"/>
    <w:unhideWhenUsed/>
    <w:qFormat/>
    <w:rPr>
      <w:rFonts w:ascii="Arial" w:eastAsia="黑体" w:hAnsi="Arial" w:hint="eastAsia"/>
      <w:b/>
      <w:kern w:val="2"/>
      <w:sz w:val="24"/>
      <w:szCs w:val="24"/>
      <w:lang w:val="en-US" w:eastAsia="zh-CN"/>
    </w:rPr>
  </w:style>
  <w:style w:type="character" w:customStyle="1" w:styleId="1Char52">
    <w:name w:val="项标题(1) Char52"/>
    <w:unhideWhenUsed/>
    <w:qFormat/>
    <w:rPr>
      <w:rFonts w:ascii="新宋体" w:eastAsia="仿宋_GB2312" w:hAnsi="新宋体" w:hint="eastAsia"/>
      <w:b/>
      <w:kern w:val="2"/>
      <w:sz w:val="24"/>
      <w:szCs w:val="24"/>
      <w:lang w:val="en-US" w:eastAsia="zh-CN"/>
    </w:rPr>
  </w:style>
  <w:style w:type="character" w:customStyle="1" w:styleId="1Char420">
    <w:name w:val="目标题 1) Char42"/>
    <w:unhideWhenUsed/>
    <w:qFormat/>
    <w:rPr>
      <w:rFonts w:ascii="Arial" w:eastAsia="黑体" w:hAnsi="Arial" w:hint="eastAsia"/>
      <w:kern w:val="2"/>
      <w:sz w:val="24"/>
      <w:szCs w:val="24"/>
      <w:lang w:val="en-US" w:eastAsia="zh-CN"/>
    </w:rPr>
  </w:style>
  <w:style w:type="character" w:customStyle="1" w:styleId="Char1CharChar52">
    <w:name w:val="正文首行缩进 Char1 Char Char52"/>
    <w:unhideWhenUsed/>
    <w:qFormat/>
    <w:rPr>
      <w:rFonts w:ascii="新宋体" w:eastAsia="仿宋_GB2312" w:hAnsi="新宋体" w:hint="eastAsia"/>
      <w:kern w:val="2"/>
      <w:sz w:val="28"/>
      <w:szCs w:val="24"/>
      <w:lang w:val="en-US" w:eastAsia="zh-CN"/>
    </w:rPr>
  </w:style>
  <w:style w:type="character" w:customStyle="1" w:styleId="11Char20">
    <w:name w:val="正文首行缩进11 Char2"/>
    <w:unhideWhenUsed/>
    <w:qFormat/>
    <w:rPr>
      <w:rFonts w:eastAsia="宋体" w:hint="default"/>
      <w:kern w:val="2"/>
      <w:sz w:val="24"/>
      <w:szCs w:val="24"/>
      <w:lang w:val="en-US" w:eastAsia="zh-CN"/>
    </w:rPr>
  </w:style>
  <w:style w:type="character" w:customStyle="1" w:styleId="2chChar1">
    <w:name w:val="标题 2－ch Char1"/>
    <w:unhideWhenUsed/>
    <w:qFormat/>
    <w:rPr>
      <w:rFonts w:ascii="Arial" w:eastAsia="黑体" w:hAnsi="Arial" w:hint="eastAsia"/>
      <w:b/>
      <w:sz w:val="32"/>
      <w:szCs w:val="24"/>
    </w:rPr>
  </w:style>
  <w:style w:type="character" w:customStyle="1" w:styleId="4fb">
    <w:name w:val="正文缩进 字符4"/>
    <w:unhideWhenUsed/>
    <w:qFormat/>
    <w:rPr>
      <w:rFonts w:eastAsia="宋体" w:hint="default"/>
      <w:kern w:val="2"/>
      <w:sz w:val="21"/>
      <w:szCs w:val="24"/>
      <w:lang w:val="en-US" w:eastAsia="zh-CN"/>
    </w:rPr>
  </w:style>
  <w:style w:type="character" w:customStyle="1" w:styleId="4fc">
    <w:name w:val="题注 字符4"/>
    <w:unhideWhenUsed/>
    <w:qFormat/>
    <w:rPr>
      <w:rFonts w:ascii="Arial" w:eastAsia="黑体" w:hAnsi="Arial" w:hint="eastAsia"/>
      <w:kern w:val="2"/>
      <w:sz w:val="24"/>
      <w:szCs w:val="24"/>
    </w:rPr>
  </w:style>
  <w:style w:type="character" w:customStyle="1" w:styleId="1130">
    <w:name w:val="标题 1 字符13"/>
    <w:unhideWhenUsed/>
    <w:qFormat/>
    <w:rPr>
      <w:rFonts w:ascii="Times New Roman" w:eastAsia="宋体" w:hAnsi="Times New Roman" w:hint="eastAsia"/>
      <w:b/>
      <w:kern w:val="44"/>
      <w:sz w:val="44"/>
      <w:szCs w:val="24"/>
    </w:rPr>
  </w:style>
  <w:style w:type="character" w:customStyle="1" w:styleId="2131">
    <w:name w:val="标题 2 字符13"/>
    <w:unhideWhenUsed/>
    <w:qFormat/>
    <w:rPr>
      <w:rFonts w:ascii="等线 Light" w:eastAsia="等线 Light" w:hAnsi="等线 Light" w:hint="eastAsia"/>
      <w:b/>
      <w:sz w:val="32"/>
      <w:szCs w:val="24"/>
    </w:rPr>
  </w:style>
  <w:style w:type="character" w:customStyle="1" w:styleId="3130">
    <w:name w:val="标题 3 字符13"/>
    <w:unhideWhenUsed/>
    <w:qFormat/>
    <w:rPr>
      <w:rFonts w:ascii="Times New Roman" w:eastAsia="宋体" w:hAnsi="Times New Roman" w:hint="eastAsia"/>
      <w:b/>
      <w:sz w:val="32"/>
      <w:szCs w:val="24"/>
    </w:rPr>
  </w:style>
  <w:style w:type="character" w:customStyle="1" w:styleId="413">
    <w:name w:val="标题 4 字符13"/>
    <w:unhideWhenUsed/>
    <w:qFormat/>
    <w:rPr>
      <w:rFonts w:ascii="等线 Light" w:eastAsia="等线 Light" w:hAnsi="等线 Light" w:hint="eastAsia"/>
      <w:b/>
      <w:sz w:val="28"/>
      <w:szCs w:val="24"/>
    </w:rPr>
  </w:style>
  <w:style w:type="character" w:customStyle="1" w:styleId="512">
    <w:name w:val="标题 5 字符12"/>
    <w:unhideWhenUsed/>
    <w:qFormat/>
    <w:rPr>
      <w:rFonts w:ascii="Times New Roman" w:eastAsia="宋体" w:hAnsi="Times New Roman" w:hint="eastAsia"/>
      <w:b/>
      <w:sz w:val="28"/>
      <w:szCs w:val="24"/>
    </w:rPr>
  </w:style>
  <w:style w:type="character" w:customStyle="1" w:styleId="6120">
    <w:name w:val="标题 6 字符12"/>
    <w:unhideWhenUsed/>
    <w:qFormat/>
    <w:rPr>
      <w:rFonts w:ascii="等线 Light" w:eastAsia="等线 Light" w:hAnsi="等线 Light" w:hint="eastAsia"/>
      <w:b/>
      <w:sz w:val="24"/>
      <w:szCs w:val="24"/>
    </w:rPr>
  </w:style>
  <w:style w:type="character" w:customStyle="1" w:styleId="7120">
    <w:name w:val="标题 7 字符12"/>
    <w:unhideWhenUsed/>
    <w:qFormat/>
    <w:rPr>
      <w:rFonts w:ascii="Times New Roman" w:eastAsia="宋体" w:hAnsi="Times New Roman" w:hint="eastAsia"/>
      <w:b/>
      <w:sz w:val="24"/>
      <w:szCs w:val="24"/>
    </w:rPr>
  </w:style>
  <w:style w:type="character" w:customStyle="1" w:styleId="812">
    <w:name w:val="标题 8 字符12"/>
    <w:unhideWhenUsed/>
    <w:qFormat/>
    <w:rPr>
      <w:rFonts w:ascii="等线 Light" w:eastAsia="等线 Light" w:hAnsi="等线 Light" w:hint="eastAsia"/>
      <w:sz w:val="24"/>
      <w:szCs w:val="24"/>
    </w:rPr>
  </w:style>
  <w:style w:type="character" w:customStyle="1" w:styleId="912">
    <w:name w:val="标题 9 字符12"/>
    <w:unhideWhenUsed/>
    <w:qFormat/>
    <w:rPr>
      <w:rFonts w:ascii="等线 Light" w:eastAsia="等线 Light" w:hAnsi="等线 Light" w:hint="eastAsia"/>
      <w:sz w:val="21"/>
      <w:szCs w:val="24"/>
    </w:rPr>
  </w:style>
  <w:style w:type="character" w:customStyle="1" w:styleId="12b">
    <w:name w:val="正文缩进 字符12"/>
    <w:unhideWhenUsed/>
    <w:qFormat/>
    <w:rPr>
      <w:rFonts w:ascii="Times New Roman" w:eastAsia="宋体" w:hAnsi="Times New Roman" w:hint="eastAsia"/>
      <w:sz w:val="20"/>
      <w:szCs w:val="24"/>
    </w:rPr>
  </w:style>
  <w:style w:type="character" w:customStyle="1" w:styleId="12c">
    <w:name w:val="批注文字 字符12"/>
    <w:unhideWhenUsed/>
    <w:qFormat/>
    <w:rPr>
      <w:rFonts w:ascii="宋体" w:eastAsia="宋体" w:hAnsi="宋体" w:hint="eastAsia"/>
      <w:sz w:val="24"/>
      <w:szCs w:val="24"/>
    </w:rPr>
  </w:style>
  <w:style w:type="character" w:customStyle="1" w:styleId="136">
    <w:name w:val="页眉 字符13"/>
    <w:unhideWhenUsed/>
    <w:qFormat/>
    <w:rPr>
      <w:rFonts w:hint="default"/>
      <w:sz w:val="18"/>
      <w:szCs w:val="24"/>
    </w:rPr>
  </w:style>
  <w:style w:type="character" w:customStyle="1" w:styleId="12d">
    <w:name w:val="页脚 字符12"/>
    <w:unhideWhenUsed/>
    <w:qFormat/>
    <w:rPr>
      <w:rFonts w:hint="default"/>
      <w:sz w:val="18"/>
      <w:szCs w:val="24"/>
    </w:rPr>
  </w:style>
  <w:style w:type="character" w:customStyle="1" w:styleId="12e">
    <w:name w:val="题注 字符12"/>
    <w:unhideWhenUsed/>
    <w:qFormat/>
    <w:rPr>
      <w:rFonts w:ascii="Arial" w:eastAsia="黑体" w:hAnsi="Arial" w:hint="eastAsia"/>
      <w:sz w:val="24"/>
      <w:szCs w:val="24"/>
    </w:rPr>
  </w:style>
  <w:style w:type="character" w:customStyle="1" w:styleId="12f">
    <w:name w:val="正文文本 字符12"/>
    <w:unhideWhenUsed/>
    <w:qFormat/>
    <w:rPr>
      <w:rFonts w:ascii="Times New Roman" w:eastAsia="宋体" w:hAnsi="Times New Roman" w:hint="eastAsia"/>
      <w:sz w:val="24"/>
      <w:szCs w:val="24"/>
    </w:rPr>
  </w:style>
  <w:style w:type="character" w:customStyle="1" w:styleId="11f5">
    <w:name w:val="正文文本缩进 字符11"/>
    <w:unhideWhenUsed/>
    <w:qFormat/>
    <w:rPr>
      <w:rFonts w:hint="default"/>
      <w:sz w:val="24"/>
      <w:szCs w:val="24"/>
    </w:rPr>
  </w:style>
  <w:style w:type="character" w:customStyle="1" w:styleId="12f0">
    <w:name w:val="正文文本首行缩进 字符12"/>
    <w:unhideWhenUsed/>
    <w:qFormat/>
    <w:rPr>
      <w:rFonts w:hint="default"/>
      <w:sz w:val="24"/>
      <w:szCs w:val="24"/>
    </w:rPr>
  </w:style>
  <w:style w:type="character" w:customStyle="1" w:styleId="4fd">
    <w:name w:val="正文文本首行缩进 字符4"/>
    <w:uiPriority w:val="99"/>
    <w:unhideWhenUsed/>
    <w:qFormat/>
    <w:rPr>
      <w:rFonts w:hint="default"/>
      <w:sz w:val="24"/>
      <w:szCs w:val="24"/>
    </w:rPr>
  </w:style>
  <w:style w:type="character" w:customStyle="1" w:styleId="11f6">
    <w:name w:val="注释标题 字符11"/>
    <w:unhideWhenUsed/>
    <w:qFormat/>
    <w:rPr>
      <w:rFonts w:ascii="宋体" w:eastAsia="宋体" w:hAnsi="宋体" w:hint="eastAsia"/>
      <w:sz w:val="28"/>
      <w:szCs w:val="24"/>
    </w:rPr>
  </w:style>
  <w:style w:type="character" w:customStyle="1" w:styleId="3111">
    <w:name w:val="正文文本 3 字符11"/>
    <w:unhideWhenUsed/>
    <w:qFormat/>
    <w:rPr>
      <w:rFonts w:hint="default"/>
      <w:sz w:val="24"/>
      <w:szCs w:val="24"/>
    </w:rPr>
  </w:style>
  <w:style w:type="character" w:customStyle="1" w:styleId="2112">
    <w:name w:val="正文文本缩进 2 字符11"/>
    <w:unhideWhenUsed/>
    <w:qFormat/>
    <w:rPr>
      <w:rFonts w:hint="default"/>
      <w:sz w:val="24"/>
      <w:szCs w:val="24"/>
    </w:rPr>
  </w:style>
  <w:style w:type="character" w:customStyle="1" w:styleId="3112">
    <w:name w:val="正文文本缩进 3 字符11"/>
    <w:unhideWhenUsed/>
    <w:qFormat/>
    <w:rPr>
      <w:rFonts w:hint="default"/>
      <w:sz w:val="24"/>
      <w:szCs w:val="24"/>
    </w:rPr>
  </w:style>
  <w:style w:type="character" w:customStyle="1" w:styleId="2ffffa">
    <w:name w:val="文本块 字符2"/>
    <w:unhideWhenUsed/>
    <w:qFormat/>
    <w:rPr>
      <w:rFonts w:hint="default"/>
      <w:spacing w:val="26"/>
      <w:sz w:val="28"/>
      <w:szCs w:val="24"/>
    </w:rPr>
  </w:style>
  <w:style w:type="character" w:customStyle="1" w:styleId="12f1">
    <w:name w:val="纯文本 字符12"/>
    <w:unhideWhenUsed/>
    <w:qFormat/>
    <w:rPr>
      <w:rFonts w:ascii="宋体" w:eastAsia="宋体" w:hAnsi="Courier New" w:hint="eastAsia"/>
      <w:sz w:val="21"/>
      <w:szCs w:val="24"/>
    </w:rPr>
  </w:style>
  <w:style w:type="character" w:customStyle="1" w:styleId="12f2">
    <w:name w:val="批注主题 字符12"/>
    <w:unhideWhenUsed/>
    <w:qFormat/>
    <w:rPr>
      <w:rFonts w:ascii="宋体" w:eastAsia="宋体" w:hAnsi="宋体" w:hint="eastAsia"/>
      <w:b/>
      <w:color w:val="000000"/>
      <w:sz w:val="24"/>
      <w:szCs w:val="24"/>
    </w:rPr>
  </w:style>
  <w:style w:type="character" w:customStyle="1" w:styleId="15a">
    <w:name w:val="标题 1 字符5"/>
    <w:basedOn w:val="a6"/>
    <w:uiPriority w:val="9"/>
    <w:unhideWhenUsed/>
    <w:qFormat/>
    <w:rPr>
      <w:rFonts w:cs="Times New Roman" w:hint="default"/>
      <w:b/>
      <w:kern w:val="44"/>
      <w:sz w:val="44"/>
      <w:szCs w:val="44"/>
    </w:rPr>
  </w:style>
  <w:style w:type="character" w:customStyle="1" w:styleId="254">
    <w:name w:val="标题 2 字符5"/>
    <w:basedOn w:val="a6"/>
    <w:uiPriority w:val="9"/>
    <w:unhideWhenUsed/>
    <w:qFormat/>
    <w:rPr>
      <w:rFonts w:ascii="Calibri Light" w:eastAsia="宋体" w:hAnsi="Calibri Light" w:cs="Times New Roman" w:hint="eastAsia"/>
      <w:b/>
      <w:kern w:val="2"/>
      <w:sz w:val="32"/>
      <w:szCs w:val="32"/>
    </w:rPr>
  </w:style>
  <w:style w:type="character" w:customStyle="1" w:styleId="350">
    <w:name w:val="标题 3 字符5"/>
    <w:basedOn w:val="a6"/>
    <w:uiPriority w:val="9"/>
    <w:unhideWhenUsed/>
    <w:qFormat/>
    <w:rPr>
      <w:rFonts w:cs="Times New Roman" w:hint="default"/>
      <w:b/>
      <w:kern w:val="2"/>
      <w:sz w:val="32"/>
      <w:szCs w:val="32"/>
    </w:rPr>
  </w:style>
  <w:style w:type="character" w:customStyle="1" w:styleId="450">
    <w:name w:val="标题 4 字符5"/>
    <w:basedOn w:val="a6"/>
    <w:uiPriority w:val="9"/>
    <w:unhideWhenUsed/>
    <w:qFormat/>
    <w:rPr>
      <w:rFonts w:ascii="Calibri Light" w:eastAsia="宋体" w:hAnsi="Calibri Light" w:cs="Times New Roman" w:hint="eastAsia"/>
      <w:b/>
      <w:kern w:val="2"/>
      <w:sz w:val="28"/>
      <w:szCs w:val="28"/>
    </w:rPr>
  </w:style>
  <w:style w:type="character" w:customStyle="1" w:styleId="550">
    <w:name w:val="标题 5 字符5"/>
    <w:basedOn w:val="a6"/>
    <w:uiPriority w:val="9"/>
    <w:unhideWhenUsed/>
    <w:qFormat/>
    <w:rPr>
      <w:rFonts w:cs="Times New Roman" w:hint="default"/>
      <w:b/>
      <w:kern w:val="2"/>
      <w:sz w:val="28"/>
      <w:szCs w:val="28"/>
    </w:rPr>
  </w:style>
  <w:style w:type="character" w:customStyle="1" w:styleId="650">
    <w:name w:val="标题 6 字符5"/>
    <w:basedOn w:val="a6"/>
    <w:uiPriority w:val="9"/>
    <w:unhideWhenUsed/>
    <w:qFormat/>
    <w:rPr>
      <w:rFonts w:ascii="Calibri Light" w:eastAsia="宋体" w:hAnsi="Calibri Light" w:cs="Times New Roman" w:hint="eastAsia"/>
      <w:b/>
      <w:kern w:val="2"/>
      <w:sz w:val="24"/>
      <w:szCs w:val="24"/>
    </w:rPr>
  </w:style>
  <w:style w:type="character" w:customStyle="1" w:styleId="750">
    <w:name w:val="标题 7 字符5"/>
    <w:basedOn w:val="a6"/>
    <w:uiPriority w:val="9"/>
    <w:unhideWhenUsed/>
    <w:qFormat/>
    <w:rPr>
      <w:rFonts w:cs="Times New Roman" w:hint="default"/>
      <w:b/>
      <w:kern w:val="2"/>
      <w:sz w:val="24"/>
      <w:szCs w:val="24"/>
    </w:rPr>
  </w:style>
  <w:style w:type="character" w:customStyle="1" w:styleId="850">
    <w:name w:val="标题 8 字符5"/>
    <w:basedOn w:val="a6"/>
    <w:uiPriority w:val="9"/>
    <w:unhideWhenUsed/>
    <w:qFormat/>
    <w:rPr>
      <w:rFonts w:ascii="Calibri Light" w:eastAsia="宋体" w:hAnsi="Calibri Light" w:cs="Times New Roman" w:hint="eastAsia"/>
      <w:kern w:val="2"/>
      <w:sz w:val="24"/>
      <w:szCs w:val="24"/>
    </w:rPr>
  </w:style>
  <w:style w:type="character" w:customStyle="1" w:styleId="950">
    <w:name w:val="标题 9 字符5"/>
    <w:basedOn w:val="a6"/>
    <w:uiPriority w:val="9"/>
    <w:unhideWhenUsed/>
    <w:qFormat/>
    <w:rPr>
      <w:rFonts w:ascii="Calibri Light" w:eastAsia="宋体" w:hAnsi="Calibri Light" w:cs="Times New Roman" w:hint="eastAsia"/>
      <w:kern w:val="2"/>
      <w:sz w:val="21"/>
      <w:szCs w:val="21"/>
    </w:rPr>
  </w:style>
  <w:style w:type="character" w:customStyle="1" w:styleId="124">
    <w:name w:val="标题 1 字符24"/>
    <w:link w:val="110"/>
    <w:uiPriority w:val="9"/>
    <w:unhideWhenUsed/>
    <w:qFormat/>
    <w:rPr>
      <w:rFonts w:hint="default"/>
      <w:b/>
      <w:kern w:val="44"/>
      <w:sz w:val="44"/>
      <w:szCs w:val="24"/>
    </w:rPr>
  </w:style>
  <w:style w:type="character" w:customStyle="1" w:styleId="224">
    <w:name w:val="标题 2 字符24"/>
    <w:link w:val="213"/>
    <w:unhideWhenUsed/>
    <w:qFormat/>
    <w:rPr>
      <w:rFonts w:ascii="Calibri Light" w:eastAsia="宋体" w:hAnsi="Calibri Light" w:hint="eastAsia"/>
      <w:b/>
      <w:kern w:val="2"/>
      <w:sz w:val="32"/>
      <w:szCs w:val="24"/>
    </w:rPr>
  </w:style>
  <w:style w:type="character" w:customStyle="1" w:styleId="426">
    <w:name w:val="标题 4 字符26"/>
    <w:link w:val="410"/>
    <w:uiPriority w:val="9"/>
    <w:unhideWhenUsed/>
    <w:qFormat/>
    <w:rPr>
      <w:rFonts w:ascii="Calibri Light" w:eastAsia="宋体" w:hAnsi="Calibri Light" w:hint="eastAsia"/>
      <w:b/>
      <w:kern w:val="2"/>
      <w:sz w:val="28"/>
      <w:szCs w:val="24"/>
    </w:rPr>
  </w:style>
  <w:style w:type="character" w:customStyle="1" w:styleId="255">
    <w:name w:val="正文缩进 字符25"/>
    <w:unhideWhenUsed/>
    <w:qFormat/>
    <w:rPr>
      <w:rFonts w:hint="default"/>
      <w:kern w:val="2"/>
      <w:sz w:val="21"/>
      <w:szCs w:val="24"/>
    </w:rPr>
  </w:style>
  <w:style w:type="character" w:customStyle="1" w:styleId="523">
    <w:name w:val="标题 5 字符23"/>
    <w:link w:val="51"/>
    <w:unhideWhenUsed/>
    <w:qFormat/>
    <w:rPr>
      <w:rFonts w:hint="default"/>
      <w:b/>
      <w:kern w:val="2"/>
      <w:sz w:val="28"/>
      <w:szCs w:val="24"/>
    </w:rPr>
  </w:style>
  <w:style w:type="character" w:customStyle="1" w:styleId="623">
    <w:name w:val="标题 6 字符23"/>
    <w:link w:val="61"/>
    <w:uiPriority w:val="9"/>
    <w:unhideWhenUsed/>
    <w:qFormat/>
    <w:rPr>
      <w:rFonts w:ascii="Calibri Light" w:eastAsia="宋体" w:hAnsi="Calibri Light" w:hint="eastAsia"/>
      <w:b/>
      <w:kern w:val="2"/>
      <w:sz w:val="24"/>
      <w:szCs w:val="24"/>
    </w:rPr>
  </w:style>
  <w:style w:type="character" w:customStyle="1" w:styleId="723">
    <w:name w:val="标题 7 字符23"/>
    <w:link w:val="71"/>
    <w:unhideWhenUsed/>
    <w:qFormat/>
    <w:rPr>
      <w:rFonts w:hint="default"/>
      <w:b/>
      <w:kern w:val="2"/>
      <w:sz w:val="24"/>
      <w:szCs w:val="24"/>
    </w:rPr>
  </w:style>
  <w:style w:type="character" w:customStyle="1" w:styleId="823">
    <w:name w:val="标题 8 字符23"/>
    <w:link w:val="81"/>
    <w:uiPriority w:val="9"/>
    <w:unhideWhenUsed/>
    <w:qFormat/>
    <w:rPr>
      <w:rFonts w:ascii="Calibri Light" w:eastAsia="宋体" w:hAnsi="Calibri Light" w:hint="eastAsia"/>
      <w:kern w:val="2"/>
      <w:sz w:val="24"/>
      <w:szCs w:val="24"/>
    </w:rPr>
  </w:style>
  <w:style w:type="character" w:customStyle="1" w:styleId="923">
    <w:name w:val="标题 9 字符23"/>
    <w:link w:val="91"/>
    <w:unhideWhenUsed/>
    <w:qFormat/>
    <w:rPr>
      <w:rFonts w:ascii="Calibri Light" w:eastAsia="宋体" w:hAnsi="Calibri Light" w:hint="eastAsia"/>
      <w:kern w:val="2"/>
      <w:sz w:val="21"/>
      <w:szCs w:val="24"/>
    </w:rPr>
  </w:style>
  <w:style w:type="character" w:customStyle="1" w:styleId="230">
    <w:name w:val="纯文本 字符23"/>
    <w:link w:val="PlainText1"/>
    <w:unhideWhenUsed/>
    <w:qFormat/>
    <w:rPr>
      <w:rFonts w:ascii="宋体" w:eastAsia="宋体" w:hAnsi="Courier New" w:hint="eastAsia"/>
      <w:kern w:val="2"/>
      <w:sz w:val="21"/>
      <w:szCs w:val="24"/>
    </w:rPr>
  </w:style>
  <w:style w:type="character" w:customStyle="1" w:styleId="5f5">
    <w:name w:val="纯文本 字符5"/>
    <w:basedOn w:val="a6"/>
    <w:unhideWhenUsed/>
    <w:qFormat/>
    <w:rPr>
      <w:rFonts w:ascii="宋体" w:eastAsia="宋体" w:hAnsi="Courier New" w:cs="Courier New" w:hint="eastAsia"/>
      <w:kern w:val="2"/>
      <w:sz w:val="24"/>
      <w:szCs w:val="24"/>
    </w:rPr>
  </w:style>
  <w:style w:type="character" w:customStyle="1" w:styleId="Char43">
    <w:name w:val="标题节 Char4"/>
    <w:unhideWhenUsed/>
    <w:qFormat/>
    <w:rPr>
      <w:rFonts w:eastAsia="仿宋_GB2312" w:hint="default"/>
      <w:b/>
      <w:kern w:val="2"/>
      <w:sz w:val="32"/>
      <w:szCs w:val="24"/>
      <w:lang w:val="en-US" w:eastAsia="zh-CN"/>
    </w:rPr>
  </w:style>
  <w:style w:type="character" w:customStyle="1" w:styleId="3Char30">
    <w:name w:val="标题 3 Char3"/>
    <w:uiPriority w:val="9"/>
    <w:unhideWhenUsed/>
    <w:qFormat/>
    <w:rPr>
      <w:rFonts w:eastAsia="宋体" w:hint="default"/>
      <w:b/>
      <w:kern w:val="28"/>
      <w:sz w:val="24"/>
      <w:szCs w:val="24"/>
      <w:lang w:val="en-US" w:eastAsia="zh-CN"/>
    </w:rPr>
  </w:style>
  <w:style w:type="character" w:customStyle="1" w:styleId="Char37">
    <w:name w:val="表格 Char3"/>
    <w:unhideWhenUsed/>
    <w:qFormat/>
    <w:rPr>
      <w:rFonts w:eastAsia="仿宋_GB2312" w:hint="default"/>
      <w:kern w:val="2"/>
      <w:sz w:val="24"/>
      <w:szCs w:val="24"/>
    </w:rPr>
  </w:style>
  <w:style w:type="character" w:customStyle="1" w:styleId="5f6">
    <w:name w:val="页眉 字符5"/>
    <w:basedOn w:val="a6"/>
    <w:unhideWhenUsed/>
    <w:qFormat/>
    <w:rPr>
      <w:rFonts w:cs="Times New Roman" w:hint="default"/>
      <w:kern w:val="2"/>
      <w:sz w:val="18"/>
      <w:szCs w:val="18"/>
    </w:rPr>
  </w:style>
  <w:style w:type="character" w:customStyle="1" w:styleId="238">
    <w:name w:val="页眉 字符23"/>
    <w:unhideWhenUsed/>
    <w:qFormat/>
    <w:rPr>
      <w:rFonts w:hint="default"/>
      <w:kern w:val="2"/>
      <w:sz w:val="18"/>
      <w:szCs w:val="24"/>
    </w:rPr>
  </w:style>
  <w:style w:type="character" w:customStyle="1" w:styleId="Char130">
    <w:name w:val="正文缩进 Char13"/>
    <w:unhideWhenUsed/>
    <w:qFormat/>
    <w:rPr>
      <w:rFonts w:eastAsia="宋体" w:hint="default"/>
      <w:kern w:val="2"/>
      <w:sz w:val="21"/>
      <w:szCs w:val="24"/>
      <w:lang w:val="en-US" w:eastAsia="zh-CN"/>
    </w:rPr>
  </w:style>
  <w:style w:type="character" w:customStyle="1" w:styleId="Char131">
    <w:name w:val="普通文字 Char13"/>
    <w:unhideWhenUsed/>
    <w:qFormat/>
    <w:rPr>
      <w:rFonts w:ascii="宋体" w:eastAsia="宋体" w:hAnsi="Courier New" w:hint="eastAsia"/>
      <w:kern w:val="2"/>
      <w:sz w:val="21"/>
      <w:szCs w:val="24"/>
      <w:lang w:val="en-US" w:eastAsia="zh-CN"/>
    </w:rPr>
  </w:style>
  <w:style w:type="character" w:customStyle="1" w:styleId="SectionChar4">
    <w:name w:val="Section Char4"/>
    <w:unhideWhenUsed/>
    <w:qFormat/>
    <w:rPr>
      <w:rFonts w:eastAsia="黑体" w:hint="default"/>
      <w:kern w:val="2"/>
      <w:sz w:val="32"/>
      <w:szCs w:val="24"/>
      <w:lang w:val="en-US" w:eastAsia="zh-CN"/>
    </w:rPr>
  </w:style>
  <w:style w:type="character" w:customStyle="1" w:styleId="3Char3Char13">
    <w:name w:val="标题 3 Char3 Char13"/>
    <w:unhideWhenUsed/>
    <w:qFormat/>
    <w:rPr>
      <w:rFonts w:eastAsia="宋体" w:hint="default"/>
      <w:b/>
      <w:kern w:val="2"/>
      <w:sz w:val="32"/>
      <w:szCs w:val="24"/>
      <w:lang w:val="en-US" w:eastAsia="zh-CN"/>
    </w:rPr>
  </w:style>
  <w:style w:type="character" w:customStyle="1" w:styleId="Char38">
    <w:name w:val="北山简报正文 Char3"/>
    <w:unhideWhenUsed/>
    <w:qFormat/>
    <w:rPr>
      <w:rFonts w:hint="default"/>
      <w:kern w:val="2"/>
      <w:sz w:val="24"/>
      <w:szCs w:val="24"/>
    </w:rPr>
  </w:style>
  <w:style w:type="character" w:customStyle="1" w:styleId="Char39">
    <w:name w:val="标题章 Char3"/>
    <w:unhideWhenUsed/>
    <w:qFormat/>
    <w:rPr>
      <w:rFonts w:eastAsia="宋体" w:hint="default"/>
      <w:b/>
      <w:kern w:val="44"/>
      <w:sz w:val="44"/>
      <w:szCs w:val="24"/>
      <w:lang w:val="en-US" w:eastAsia="zh-CN"/>
    </w:rPr>
  </w:style>
  <w:style w:type="character" w:customStyle="1" w:styleId="Char132">
    <w:name w:val="章节 Char13"/>
    <w:unhideWhenUsed/>
    <w:qFormat/>
    <w:rPr>
      <w:rFonts w:eastAsia="宋体" w:hint="default"/>
      <w:b/>
      <w:kern w:val="44"/>
      <w:sz w:val="44"/>
      <w:szCs w:val="24"/>
      <w:lang w:val="en-US" w:eastAsia="zh-CN"/>
    </w:rPr>
  </w:style>
  <w:style w:type="character" w:customStyle="1" w:styleId="Char133">
    <w:name w:val="标题节 Char13"/>
    <w:unhideWhenUsed/>
    <w:qFormat/>
    <w:rPr>
      <w:rFonts w:ascii="Arial" w:eastAsia="黑体" w:hAnsi="Arial" w:hint="eastAsia"/>
      <w:b/>
      <w:kern w:val="2"/>
      <w:sz w:val="32"/>
      <w:szCs w:val="24"/>
      <w:lang w:val="en-US" w:eastAsia="zh-CN"/>
    </w:rPr>
  </w:style>
  <w:style w:type="character" w:customStyle="1" w:styleId="SectionChar13">
    <w:name w:val="Section Char13"/>
    <w:unhideWhenUsed/>
    <w:qFormat/>
    <w:rPr>
      <w:rFonts w:eastAsia="宋体" w:hint="default"/>
      <w:b/>
      <w:kern w:val="2"/>
      <w:sz w:val="32"/>
      <w:szCs w:val="24"/>
      <w:lang w:val="en-US" w:eastAsia="zh-CN"/>
    </w:rPr>
  </w:style>
  <w:style w:type="character" w:customStyle="1" w:styleId="1111Char3">
    <w:name w:val="款标题1.1.1.1 Char3"/>
    <w:unhideWhenUsed/>
    <w:qFormat/>
    <w:rPr>
      <w:rFonts w:ascii="Arial" w:eastAsia="黑体" w:hAnsi="Arial" w:hint="eastAsia"/>
      <w:b/>
      <w:kern w:val="2"/>
      <w:sz w:val="28"/>
      <w:szCs w:val="24"/>
      <w:lang w:val="en-US" w:eastAsia="zh-CN"/>
    </w:rPr>
  </w:style>
  <w:style w:type="character" w:customStyle="1" w:styleId="33Char3">
    <w:name w:val="标题33 Char3"/>
    <w:unhideWhenUsed/>
    <w:qFormat/>
    <w:rPr>
      <w:rFonts w:hint="default"/>
      <w:b/>
      <w:kern w:val="2"/>
      <w:sz w:val="32"/>
      <w:szCs w:val="24"/>
    </w:rPr>
  </w:style>
  <w:style w:type="character" w:customStyle="1" w:styleId="11Char3">
    <w:name w:val="标题11 Char3"/>
    <w:unhideWhenUsed/>
    <w:qFormat/>
    <w:rPr>
      <w:rFonts w:hint="default"/>
      <w:b/>
      <w:kern w:val="44"/>
      <w:sz w:val="44"/>
      <w:szCs w:val="24"/>
    </w:rPr>
  </w:style>
  <w:style w:type="character" w:customStyle="1" w:styleId="22Char3">
    <w:name w:val="标题22 Char3"/>
    <w:unhideWhenUsed/>
    <w:qFormat/>
    <w:rPr>
      <w:rFonts w:hint="default"/>
      <w:b/>
      <w:kern w:val="2"/>
      <w:sz w:val="32"/>
      <w:szCs w:val="24"/>
    </w:rPr>
  </w:style>
  <w:style w:type="character" w:customStyle="1" w:styleId="Char330">
    <w:name w:val="页眉 Char33"/>
    <w:unhideWhenUsed/>
    <w:qFormat/>
    <w:rPr>
      <w:rFonts w:eastAsia="宋体" w:hint="default"/>
      <w:kern w:val="2"/>
      <w:sz w:val="18"/>
      <w:szCs w:val="24"/>
      <w:lang w:val="en-US" w:eastAsia="zh-CN"/>
    </w:rPr>
  </w:style>
  <w:style w:type="character" w:customStyle="1" w:styleId="Char331">
    <w:name w:val="普通文字 Char33"/>
    <w:unhideWhenUsed/>
    <w:qFormat/>
    <w:rPr>
      <w:rFonts w:ascii="宋体" w:eastAsia="宋体" w:hAnsi="Courier New" w:hint="eastAsia"/>
      <w:color w:val="000000"/>
      <w:kern w:val="2"/>
      <w:sz w:val="28"/>
      <w:szCs w:val="24"/>
      <w:lang w:val="en-US" w:eastAsia="zh-CN"/>
    </w:rPr>
  </w:style>
  <w:style w:type="character" w:customStyle="1" w:styleId="Char430">
    <w:name w:val="普通文字 Char43"/>
    <w:unhideWhenUsed/>
    <w:qFormat/>
    <w:rPr>
      <w:rFonts w:ascii="宋体" w:eastAsia="宋体" w:hAnsi="Courier New" w:hint="eastAsia"/>
      <w:color w:val="000000"/>
      <w:kern w:val="2"/>
      <w:sz w:val="28"/>
      <w:szCs w:val="24"/>
      <w:lang w:val="en-US" w:eastAsia="zh-CN"/>
    </w:rPr>
  </w:style>
  <w:style w:type="character" w:customStyle="1" w:styleId="btChar3">
    <w:name w:val="bt Char3"/>
    <w:unhideWhenUsed/>
    <w:qFormat/>
    <w:rPr>
      <w:rFonts w:ascii="宋体" w:eastAsia="宋体" w:hAnsi="宋体" w:hint="eastAsia"/>
      <w:kern w:val="2"/>
      <w:position w:val="-6"/>
      <w:sz w:val="21"/>
      <w:szCs w:val="24"/>
      <w:u w:val="single"/>
      <w:lang w:val="en-US" w:eastAsia="zh-CN"/>
    </w:rPr>
  </w:style>
  <w:style w:type="character" w:customStyle="1" w:styleId="CharChar3a">
    <w:name w:val="表格文字 Char Char3"/>
    <w:unhideWhenUsed/>
    <w:qFormat/>
    <w:rPr>
      <w:rFonts w:ascii="宋体" w:eastAsia="宋体" w:hAnsi="Courier New" w:hint="eastAsia"/>
      <w:kern w:val="2"/>
      <w:sz w:val="21"/>
      <w:szCs w:val="24"/>
      <w:lang w:val="en-US" w:eastAsia="zh-CN"/>
    </w:rPr>
  </w:style>
  <w:style w:type="character" w:customStyle="1" w:styleId="Char33">
    <w:name w:val="正文首行缩进 Char33"/>
    <w:link w:val="1fb"/>
    <w:unhideWhenUsed/>
    <w:qFormat/>
    <w:rPr>
      <w:rFonts w:hint="default"/>
      <w:kern w:val="2"/>
      <w:sz w:val="24"/>
      <w:szCs w:val="24"/>
    </w:rPr>
  </w:style>
  <w:style w:type="character" w:customStyle="1" w:styleId="4Char113">
    <w:name w:val="标题 4 Char113"/>
    <w:unhideWhenUsed/>
    <w:qFormat/>
    <w:rPr>
      <w:rFonts w:ascii="黑体" w:eastAsia="宋体" w:hAnsi="Arial" w:hint="eastAsia"/>
      <w:b/>
      <w:i/>
      <w:kern w:val="2"/>
      <w:sz w:val="24"/>
      <w:szCs w:val="24"/>
    </w:rPr>
  </w:style>
  <w:style w:type="character" w:customStyle="1" w:styleId="1Char23">
    <w:name w:val="正文缩进1 Char23"/>
    <w:unhideWhenUsed/>
    <w:qFormat/>
    <w:rPr>
      <w:rFonts w:eastAsia="宋体" w:hint="default"/>
      <w:kern w:val="2"/>
      <w:sz w:val="24"/>
      <w:szCs w:val="24"/>
      <w:lang w:val="en-US" w:eastAsia="zh-CN"/>
    </w:rPr>
  </w:style>
  <w:style w:type="character" w:customStyle="1" w:styleId="11111Char13">
    <w:name w:val="标题1.1.1.1.1 Char13"/>
    <w:unhideWhenUsed/>
    <w:qFormat/>
    <w:rPr>
      <w:rFonts w:ascii="宋体" w:eastAsia="宋体" w:hint="eastAsia"/>
      <w:b/>
      <w:sz w:val="28"/>
      <w:szCs w:val="24"/>
      <w:lang w:val="en-US" w:eastAsia="zh-CN"/>
    </w:rPr>
  </w:style>
  <w:style w:type="character" w:customStyle="1" w:styleId="aChar7">
    <w:name w:val="干标题(a) Char7"/>
    <w:unhideWhenUsed/>
    <w:qFormat/>
    <w:rPr>
      <w:rFonts w:ascii="Arial" w:eastAsia="黑体" w:hAnsi="Arial" w:hint="eastAsia"/>
      <w:sz w:val="21"/>
      <w:szCs w:val="24"/>
      <w:lang w:val="en-US" w:eastAsia="zh-CN"/>
    </w:rPr>
  </w:style>
  <w:style w:type="character" w:customStyle="1" w:styleId="1Char13">
    <w:name w:val="项标题(1) Char13"/>
    <w:unhideWhenUsed/>
    <w:qFormat/>
    <w:rPr>
      <w:rFonts w:ascii="宋体" w:eastAsia="宋体" w:hint="eastAsia"/>
      <w:b/>
      <w:sz w:val="24"/>
      <w:szCs w:val="24"/>
      <w:lang w:val="en-US" w:eastAsia="zh-CN"/>
    </w:rPr>
  </w:style>
  <w:style w:type="character" w:customStyle="1" w:styleId="1Char70">
    <w:name w:val="目标题 1) Char7"/>
    <w:unhideWhenUsed/>
    <w:qFormat/>
    <w:rPr>
      <w:rFonts w:ascii="Arial" w:eastAsia="黑体" w:hAnsi="Arial" w:hint="eastAsia"/>
      <w:sz w:val="24"/>
      <w:szCs w:val="24"/>
      <w:lang w:val="en-US" w:eastAsia="zh-CN"/>
    </w:rPr>
  </w:style>
  <w:style w:type="character" w:customStyle="1" w:styleId="CharCharCharCharCharCharCharCharCharCharChar13">
    <w:name w:val="普通文字 Char Char Char Char Char Char Char Char Char Char Char13"/>
    <w:unhideWhenUsed/>
    <w:qFormat/>
    <w:rPr>
      <w:rFonts w:ascii="宋体" w:eastAsia="宋体" w:hAnsi="Courier New" w:hint="eastAsia"/>
      <w:kern w:val="2"/>
      <w:sz w:val="28"/>
      <w:szCs w:val="24"/>
      <w:lang w:val="en-US" w:eastAsia="zh-CN"/>
    </w:rPr>
  </w:style>
  <w:style w:type="character" w:customStyle="1" w:styleId="240">
    <w:name w:val="题注 字符24"/>
    <w:link w:val="1c"/>
    <w:unhideWhenUsed/>
    <w:qFormat/>
    <w:rPr>
      <w:rFonts w:ascii="Arial" w:eastAsia="黑体" w:hAnsi="Arial" w:hint="eastAsia"/>
      <w:kern w:val="2"/>
      <w:sz w:val="24"/>
      <w:szCs w:val="24"/>
    </w:rPr>
  </w:style>
  <w:style w:type="character" w:customStyle="1" w:styleId="Char1CharChar33">
    <w:name w:val="正文首行缩进 Char1 Char Char33"/>
    <w:unhideWhenUsed/>
    <w:qFormat/>
    <w:rPr>
      <w:rFonts w:eastAsia="宋体" w:hint="default"/>
      <w:kern w:val="2"/>
      <w:sz w:val="24"/>
      <w:szCs w:val="24"/>
      <w:lang w:val="en-US" w:eastAsia="zh-CN"/>
    </w:rPr>
  </w:style>
  <w:style w:type="character" w:customStyle="1" w:styleId="CharChar130">
    <w:name w:val="正文首行缩进 Char Char13"/>
    <w:unhideWhenUsed/>
    <w:qFormat/>
    <w:rPr>
      <w:rFonts w:eastAsia="宋体" w:hint="default"/>
      <w:kern w:val="2"/>
      <w:sz w:val="21"/>
      <w:szCs w:val="24"/>
      <w:lang w:val="en-US" w:eastAsia="zh-CN"/>
    </w:rPr>
  </w:style>
  <w:style w:type="character" w:customStyle="1" w:styleId="Char1CharChar7">
    <w:name w:val="正文首行缩进 Char1 Char Char7"/>
    <w:unhideWhenUsed/>
    <w:qFormat/>
    <w:rPr>
      <w:rFonts w:ascii="宋体" w:eastAsia="宋体" w:hint="eastAsia"/>
      <w:kern w:val="2"/>
      <w:sz w:val="28"/>
      <w:szCs w:val="24"/>
      <w:lang w:val="en-US" w:eastAsia="zh-CN"/>
    </w:rPr>
  </w:style>
  <w:style w:type="character" w:customStyle="1" w:styleId="3Char1Char3">
    <w:name w:val="标题 3 Char1 Char3"/>
    <w:unhideWhenUsed/>
    <w:qFormat/>
    <w:rPr>
      <w:rFonts w:ascii="黑体" w:eastAsia="黑体" w:hint="eastAsia"/>
      <w:b/>
      <w:kern w:val="2"/>
      <w:sz w:val="21"/>
      <w:szCs w:val="24"/>
      <w:lang w:val="en-US" w:eastAsia="zh-CN"/>
    </w:rPr>
  </w:style>
  <w:style w:type="character" w:customStyle="1" w:styleId="Char1CharChar23">
    <w:name w:val="正文首行缩进 Char1 Char Char23"/>
    <w:unhideWhenUsed/>
    <w:qFormat/>
    <w:rPr>
      <w:rFonts w:eastAsia="宋体" w:hint="default"/>
      <w:kern w:val="2"/>
      <w:sz w:val="24"/>
      <w:szCs w:val="24"/>
      <w:lang w:val="en-US" w:eastAsia="zh-CN"/>
    </w:rPr>
  </w:style>
  <w:style w:type="character" w:customStyle="1" w:styleId="1Char130">
    <w:name w:val="目标题 1) Char13"/>
    <w:unhideWhenUsed/>
    <w:qFormat/>
    <w:rPr>
      <w:rFonts w:ascii="Arial" w:eastAsia="黑体" w:hAnsi="Arial" w:hint="eastAsia"/>
      <w:sz w:val="28"/>
      <w:szCs w:val="24"/>
      <w:lang w:val="en-US" w:eastAsia="zh-CN"/>
    </w:rPr>
  </w:style>
  <w:style w:type="character" w:customStyle="1" w:styleId="1Char230">
    <w:name w:val="项标题(1) Char23"/>
    <w:unhideWhenUsed/>
    <w:qFormat/>
    <w:rPr>
      <w:rFonts w:ascii="新宋体" w:eastAsia="仿宋_GB2312" w:hAnsi="新宋体" w:hint="eastAsia"/>
      <w:b/>
      <w:kern w:val="2"/>
      <w:sz w:val="24"/>
      <w:szCs w:val="24"/>
      <w:lang w:val="en-US" w:eastAsia="zh-CN"/>
    </w:rPr>
  </w:style>
  <w:style w:type="character" w:customStyle="1" w:styleId="1Char231">
    <w:name w:val="目标题 1) Char23"/>
    <w:unhideWhenUsed/>
    <w:qFormat/>
    <w:rPr>
      <w:rFonts w:ascii="Arial" w:eastAsia="黑体" w:hAnsi="Arial" w:hint="eastAsia"/>
      <w:kern w:val="2"/>
      <w:sz w:val="24"/>
      <w:szCs w:val="24"/>
      <w:lang w:val="en-US" w:eastAsia="zh-CN"/>
    </w:rPr>
  </w:style>
  <w:style w:type="character" w:customStyle="1" w:styleId="11111Char23">
    <w:name w:val="标题1.1.1.1.1 Char23"/>
    <w:unhideWhenUsed/>
    <w:qFormat/>
    <w:rPr>
      <w:rFonts w:ascii="宋体" w:eastAsia="宋体" w:hint="eastAsia"/>
      <w:b/>
      <w:kern w:val="2"/>
      <w:sz w:val="24"/>
      <w:szCs w:val="24"/>
      <w:lang w:val="en-US" w:eastAsia="zh-CN"/>
    </w:rPr>
  </w:style>
  <w:style w:type="character" w:customStyle="1" w:styleId="111111Char13">
    <w:name w:val="标题1.1.1.1.1.1 Char13"/>
    <w:unhideWhenUsed/>
    <w:qFormat/>
    <w:rPr>
      <w:rFonts w:ascii="Arial" w:eastAsia="黑体" w:hAnsi="Arial" w:hint="eastAsia"/>
      <w:b/>
      <w:kern w:val="2"/>
      <w:sz w:val="24"/>
      <w:szCs w:val="24"/>
      <w:lang w:val="en-US" w:eastAsia="zh-CN"/>
    </w:rPr>
  </w:style>
  <w:style w:type="character" w:customStyle="1" w:styleId="aChar23">
    <w:name w:val="干标题(a) Char23"/>
    <w:unhideWhenUsed/>
    <w:qFormat/>
    <w:rPr>
      <w:rFonts w:ascii="Arial" w:eastAsia="黑体" w:hAnsi="Arial" w:hint="eastAsia"/>
      <w:kern w:val="2"/>
      <w:sz w:val="24"/>
      <w:szCs w:val="24"/>
      <w:lang w:val="en-US" w:eastAsia="zh-CN"/>
    </w:rPr>
  </w:style>
  <w:style w:type="character" w:customStyle="1" w:styleId="1Char33">
    <w:name w:val="项标题(1) Char33"/>
    <w:unhideWhenUsed/>
    <w:qFormat/>
    <w:rPr>
      <w:rFonts w:ascii="宋体" w:eastAsia="宋体" w:hint="eastAsia"/>
      <w:b/>
      <w:kern w:val="2"/>
      <w:sz w:val="24"/>
      <w:szCs w:val="24"/>
      <w:lang w:val="en-US" w:eastAsia="zh-CN"/>
    </w:rPr>
  </w:style>
  <w:style w:type="character" w:customStyle="1" w:styleId="aChar33">
    <w:name w:val="干标题(a) Char33"/>
    <w:unhideWhenUsed/>
    <w:qFormat/>
    <w:rPr>
      <w:rFonts w:ascii="Arial" w:eastAsia="黑体" w:hAnsi="Arial" w:hint="eastAsia"/>
      <w:kern w:val="2"/>
      <w:sz w:val="21"/>
      <w:szCs w:val="24"/>
      <w:lang w:val="en-US" w:eastAsia="zh-CN"/>
    </w:rPr>
  </w:style>
  <w:style w:type="character" w:customStyle="1" w:styleId="11111Char33">
    <w:name w:val="标题1.1.1.1.1 Char33"/>
    <w:unhideWhenUsed/>
    <w:qFormat/>
    <w:rPr>
      <w:rFonts w:ascii="新宋体" w:eastAsia="仿宋_GB2312" w:hAnsi="新宋体" w:hint="eastAsia"/>
      <w:b/>
      <w:kern w:val="2"/>
      <w:sz w:val="28"/>
      <w:szCs w:val="24"/>
      <w:lang w:val="en-US" w:eastAsia="zh-CN"/>
    </w:rPr>
  </w:style>
  <w:style w:type="character" w:customStyle="1" w:styleId="111111Char23">
    <w:name w:val="标题1.1.1.1.1.1 Char23"/>
    <w:unhideWhenUsed/>
    <w:qFormat/>
    <w:rPr>
      <w:rFonts w:ascii="Arial" w:eastAsia="黑体" w:hAnsi="Arial" w:hint="eastAsia"/>
      <w:b/>
      <w:kern w:val="2"/>
      <w:sz w:val="24"/>
      <w:szCs w:val="24"/>
      <w:lang w:val="en-US" w:eastAsia="zh-CN"/>
    </w:rPr>
  </w:style>
  <w:style w:type="character" w:customStyle="1" w:styleId="1Char43">
    <w:name w:val="项标题(1) Char43"/>
    <w:unhideWhenUsed/>
    <w:qFormat/>
    <w:rPr>
      <w:rFonts w:ascii="新宋体" w:eastAsia="仿宋_GB2312" w:hAnsi="新宋体" w:hint="eastAsia"/>
      <w:b/>
      <w:kern w:val="2"/>
      <w:sz w:val="24"/>
      <w:szCs w:val="24"/>
      <w:lang w:val="en-US" w:eastAsia="zh-CN"/>
    </w:rPr>
  </w:style>
  <w:style w:type="character" w:customStyle="1" w:styleId="1Char330">
    <w:name w:val="目标题 1) Char33"/>
    <w:unhideWhenUsed/>
    <w:qFormat/>
    <w:rPr>
      <w:rFonts w:ascii="Arial" w:eastAsia="黑体" w:hAnsi="Arial" w:hint="eastAsia"/>
      <w:kern w:val="2"/>
      <w:sz w:val="24"/>
      <w:szCs w:val="24"/>
      <w:lang w:val="en-US" w:eastAsia="zh-CN"/>
    </w:rPr>
  </w:style>
  <w:style w:type="character" w:customStyle="1" w:styleId="Char1CharChar43">
    <w:name w:val="正文首行缩进 Char1 Char Char43"/>
    <w:unhideWhenUsed/>
    <w:qFormat/>
    <w:rPr>
      <w:rFonts w:ascii="新宋体" w:eastAsia="仿宋_GB2312" w:hAnsi="新宋体" w:hint="eastAsia"/>
      <w:kern w:val="2"/>
      <w:sz w:val="28"/>
      <w:szCs w:val="24"/>
      <w:lang w:val="en-US" w:eastAsia="zh-CN"/>
    </w:rPr>
  </w:style>
  <w:style w:type="character" w:customStyle="1" w:styleId="1Char331">
    <w:name w:val="正文缩进1 Char33"/>
    <w:unhideWhenUsed/>
    <w:qFormat/>
    <w:rPr>
      <w:rFonts w:eastAsia="宋体" w:hint="default"/>
      <w:kern w:val="2"/>
      <w:sz w:val="24"/>
      <w:szCs w:val="24"/>
      <w:lang w:val="en-US" w:eastAsia="zh-CN"/>
    </w:rPr>
  </w:style>
  <w:style w:type="character" w:customStyle="1" w:styleId="aChar43">
    <w:name w:val="干标题(a) Char43"/>
    <w:unhideWhenUsed/>
    <w:qFormat/>
    <w:rPr>
      <w:rFonts w:ascii="Arial" w:eastAsia="黑体" w:hAnsi="Arial" w:hint="eastAsia"/>
      <w:kern w:val="2"/>
      <w:sz w:val="21"/>
      <w:szCs w:val="24"/>
      <w:lang w:val="en-US" w:eastAsia="zh-CN"/>
    </w:rPr>
  </w:style>
  <w:style w:type="character" w:customStyle="1" w:styleId="11111Char43">
    <w:name w:val="标题1.1.1.1.1 Char43"/>
    <w:unhideWhenUsed/>
    <w:qFormat/>
    <w:rPr>
      <w:rFonts w:ascii="新宋体" w:eastAsia="仿宋_GB2312" w:hAnsi="新宋体" w:hint="eastAsia"/>
      <w:b/>
      <w:kern w:val="2"/>
      <w:sz w:val="28"/>
      <w:szCs w:val="24"/>
      <w:lang w:val="en-US" w:eastAsia="zh-CN"/>
    </w:rPr>
  </w:style>
  <w:style w:type="character" w:customStyle="1" w:styleId="111111Char33">
    <w:name w:val="标题1.1.1.1.1.1 Char33"/>
    <w:unhideWhenUsed/>
    <w:qFormat/>
    <w:rPr>
      <w:rFonts w:ascii="Arial" w:eastAsia="黑体" w:hAnsi="Arial" w:hint="eastAsia"/>
      <w:b/>
      <w:kern w:val="2"/>
      <w:sz w:val="24"/>
      <w:szCs w:val="24"/>
      <w:lang w:val="en-US" w:eastAsia="zh-CN"/>
    </w:rPr>
  </w:style>
  <w:style w:type="character" w:customStyle="1" w:styleId="1Char53">
    <w:name w:val="项标题(1) Char53"/>
    <w:unhideWhenUsed/>
    <w:qFormat/>
    <w:rPr>
      <w:rFonts w:ascii="新宋体" w:eastAsia="仿宋_GB2312" w:hAnsi="新宋体" w:hint="eastAsia"/>
      <w:b/>
      <w:kern w:val="2"/>
      <w:sz w:val="24"/>
      <w:szCs w:val="24"/>
      <w:lang w:val="en-US" w:eastAsia="zh-CN"/>
    </w:rPr>
  </w:style>
  <w:style w:type="character" w:customStyle="1" w:styleId="1Char430">
    <w:name w:val="目标题 1) Char43"/>
    <w:unhideWhenUsed/>
    <w:qFormat/>
    <w:rPr>
      <w:rFonts w:ascii="Arial" w:eastAsia="黑体" w:hAnsi="Arial" w:hint="eastAsia"/>
      <w:kern w:val="2"/>
      <w:sz w:val="24"/>
      <w:szCs w:val="24"/>
      <w:lang w:val="en-US" w:eastAsia="zh-CN"/>
    </w:rPr>
  </w:style>
  <w:style w:type="character" w:customStyle="1" w:styleId="Char1CharChar53">
    <w:name w:val="正文首行缩进 Char1 Char Char53"/>
    <w:unhideWhenUsed/>
    <w:qFormat/>
    <w:rPr>
      <w:rFonts w:ascii="新宋体" w:eastAsia="仿宋_GB2312" w:hAnsi="新宋体" w:hint="eastAsia"/>
      <w:kern w:val="2"/>
      <w:sz w:val="28"/>
      <w:szCs w:val="24"/>
      <w:lang w:val="en-US" w:eastAsia="zh-CN"/>
    </w:rPr>
  </w:style>
  <w:style w:type="character" w:customStyle="1" w:styleId="11Char30">
    <w:name w:val="正文首行缩进11 Char3"/>
    <w:unhideWhenUsed/>
    <w:qFormat/>
    <w:rPr>
      <w:rFonts w:eastAsia="宋体" w:hint="default"/>
      <w:kern w:val="2"/>
      <w:sz w:val="24"/>
      <w:szCs w:val="24"/>
      <w:lang w:val="en-US" w:eastAsia="zh-CN"/>
    </w:rPr>
  </w:style>
  <w:style w:type="character" w:customStyle="1" w:styleId="5f7">
    <w:name w:val="正文缩进 字符5"/>
    <w:unhideWhenUsed/>
    <w:qFormat/>
    <w:rPr>
      <w:rFonts w:eastAsia="宋体" w:hint="default"/>
      <w:kern w:val="2"/>
      <w:sz w:val="21"/>
      <w:szCs w:val="24"/>
      <w:lang w:val="en-US" w:eastAsia="zh-CN"/>
    </w:rPr>
  </w:style>
  <w:style w:type="character" w:customStyle="1" w:styleId="5f8">
    <w:name w:val="题注 字符5"/>
    <w:unhideWhenUsed/>
    <w:qFormat/>
    <w:rPr>
      <w:rFonts w:ascii="Arial" w:eastAsia="黑体" w:hAnsi="Arial" w:hint="eastAsia"/>
      <w:kern w:val="2"/>
      <w:sz w:val="24"/>
      <w:szCs w:val="24"/>
    </w:rPr>
  </w:style>
  <w:style w:type="character" w:customStyle="1" w:styleId="1140">
    <w:name w:val="标题 1 字符14"/>
    <w:unhideWhenUsed/>
    <w:qFormat/>
    <w:rPr>
      <w:rFonts w:ascii="Times New Roman" w:eastAsia="宋体" w:hAnsi="Times New Roman" w:hint="eastAsia"/>
      <w:b/>
      <w:kern w:val="44"/>
      <w:sz w:val="44"/>
      <w:szCs w:val="24"/>
    </w:rPr>
  </w:style>
  <w:style w:type="character" w:customStyle="1" w:styleId="2140">
    <w:name w:val="标题 2 字符14"/>
    <w:unhideWhenUsed/>
    <w:qFormat/>
    <w:rPr>
      <w:rFonts w:ascii="等线 Light" w:eastAsia="等线 Light" w:hAnsi="等线 Light" w:hint="eastAsia"/>
      <w:b/>
      <w:sz w:val="32"/>
      <w:szCs w:val="24"/>
    </w:rPr>
  </w:style>
  <w:style w:type="character" w:customStyle="1" w:styleId="3140">
    <w:name w:val="标题 3 字符14"/>
    <w:unhideWhenUsed/>
    <w:qFormat/>
    <w:rPr>
      <w:rFonts w:ascii="Times New Roman" w:eastAsia="宋体" w:hAnsi="Times New Roman" w:hint="eastAsia"/>
      <w:b/>
      <w:sz w:val="32"/>
      <w:szCs w:val="24"/>
    </w:rPr>
  </w:style>
  <w:style w:type="character" w:customStyle="1" w:styleId="414">
    <w:name w:val="标题 4 字符14"/>
    <w:unhideWhenUsed/>
    <w:qFormat/>
    <w:rPr>
      <w:rFonts w:ascii="等线 Light" w:eastAsia="等线 Light" w:hAnsi="等线 Light" w:hint="eastAsia"/>
      <w:b/>
      <w:sz w:val="28"/>
      <w:szCs w:val="24"/>
    </w:rPr>
  </w:style>
  <w:style w:type="character" w:customStyle="1" w:styleId="513">
    <w:name w:val="标题 5 字符13"/>
    <w:unhideWhenUsed/>
    <w:qFormat/>
    <w:rPr>
      <w:rFonts w:ascii="Times New Roman" w:eastAsia="宋体" w:hAnsi="Times New Roman" w:hint="eastAsia"/>
      <w:b/>
      <w:sz w:val="28"/>
      <w:szCs w:val="24"/>
    </w:rPr>
  </w:style>
  <w:style w:type="character" w:customStyle="1" w:styleId="613">
    <w:name w:val="标题 6 字符13"/>
    <w:unhideWhenUsed/>
    <w:qFormat/>
    <w:rPr>
      <w:rFonts w:ascii="等线 Light" w:eastAsia="等线 Light" w:hAnsi="等线 Light" w:hint="eastAsia"/>
      <w:b/>
      <w:sz w:val="24"/>
      <w:szCs w:val="24"/>
    </w:rPr>
  </w:style>
  <w:style w:type="character" w:customStyle="1" w:styleId="713">
    <w:name w:val="标题 7 字符13"/>
    <w:unhideWhenUsed/>
    <w:qFormat/>
    <w:rPr>
      <w:rFonts w:ascii="Times New Roman" w:eastAsia="宋体" w:hAnsi="Times New Roman" w:hint="eastAsia"/>
      <w:b/>
      <w:sz w:val="24"/>
      <w:szCs w:val="24"/>
    </w:rPr>
  </w:style>
  <w:style w:type="character" w:customStyle="1" w:styleId="813">
    <w:name w:val="标题 8 字符13"/>
    <w:unhideWhenUsed/>
    <w:qFormat/>
    <w:rPr>
      <w:rFonts w:ascii="等线 Light" w:eastAsia="等线 Light" w:hAnsi="等线 Light" w:hint="eastAsia"/>
      <w:sz w:val="24"/>
      <w:szCs w:val="24"/>
    </w:rPr>
  </w:style>
  <w:style w:type="character" w:customStyle="1" w:styleId="913">
    <w:name w:val="标题 9 字符13"/>
    <w:unhideWhenUsed/>
    <w:qFormat/>
    <w:rPr>
      <w:rFonts w:ascii="等线 Light" w:eastAsia="等线 Light" w:hAnsi="等线 Light" w:hint="eastAsia"/>
      <w:sz w:val="21"/>
      <w:szCs w:val="24"/>
    </w:rPr>
  </w:style>
  <w:style w:type="character" w:customStyle="1" w:styleId="137">
    <w:name w:val="正文缩进 字符13"/>
    <w:unhideWhenUsed/>
    <w:qFormat/>
    <w:rPr>
      <w:rFonts w:ascii="Times New Roman" w:eastAsia="宋体" w:hAnsi="Times New Roman" w:hint="eastAsia"/>
      <w:sz w:val="20"/>
      <w:szCs w:val="24"/>
    </w:rPr>
  </w:style>
  <w:style w:type="character" w:customStyle="1" w:styleId="144">
    <w:name w:val="页眉 字符14"/>
    <w:unhideWhenUsed/>
    <w:qFormat/>
    <w:rPr>
      <w:rFonts w:hint="default"/>
      <w:sz w:val="18"/>
      <w:szCs w:val="24"/>
    </w:rPr>
  </w:style>
  <w:style w:type="character" w:customStyle="1" w:styleId="138">
    <w:name w:val="题注 字符13"/>
    <w:unhideWhenUsed/>
    <w:qFormat/>
    <w:rPr>
      <w:rFonts w:ascii="Arial" w:eastAsia="黑体" w:hAnsi="Arial" w:hint="eastAsia"/>
      <w:sz w:val="24"/>
      <w:szCs w:val="24"/>
    </w:rPr>
  </w:style>
  <w:style w:type="character" w:customStyle="1" w:styleId="139">
    <w:name w:val="正文文本首行缩进 字符13"/>
    <w:unhideWhenUsed/>
    <w:qFormat/>
    <w:rPr>
      <w:rFonts w:hint="default"/>
      <w:sz w:val="24"/>
      <w:szCs w:val="24"/>
    </w:rPr>
  </w:style>
  <w:style w:type="character" w:customStyle="1" w:styleId="5f9">
    <w:name w:val="正文文本首行缩进 字符5"/>
    <w:uiPriority w:val="99"/>
    <w:unhideWhenUsed/>
    <w:qFormat/>
    <w:rPr>
      <w:rFonts w:hint="default"/>
      <w:sz w:val="24"/>
      <w:szCs w:val="24"/>
    </w:rPr>
  </w:style>
  <w:style w:type="character" w:customStyle="1" w:styleId="13a">
    <w:name w:val="纯文本 字符13"/>
    <w:unhideWhenUsed/>
    <w:qFormat/>
    <w:rPr>
      <w:rFonts w:ascii="宋体" w:eastAsia="宋体" w:hAnsi="Courier New" w:hint="eastAsia"/>
      <w:sz w:val="21"/>
      <w:szCs w:val="24"/>
    </w:rPr>
  </w:style>
  <w:style w:type="character" w:customStyle="1" w:styleId="pagenumber2">
    <w:name w:val="page number2"/>
    <w:basedOn w:val="a6"/>
    <w:unhideWhenUsed/>
    <w:qFormat/>
    <w:rPr>
      <w:rFonts w:cs="Times New Roman" w:hint="default"/>
      <w:sz w:val="24"/>
      <w:szCs w:val="24"/>
    </w:rPr>
  </w:style>
  <w:style w:type="character" w:customStyle="1" w:styleId="220">
    <w:name w:val="页脚 字符22"/>
    <w:link w:val="1f"/>
    <w:uiPriority w:val="99"/>
    <w:unhideWhenUsed/>
    <w:qFormat/>
    <w:rPr>
      <w:rFonts w:hint="default"/>
      <w:kern w:val="2"/>
      <w:sz w:val="18"/>
      <w:szCs w:val="24"/>
    </w:rPr>
  </w:style>
  <w:style w:type="character" w:customStyle="1" w:styleId="241">
    <w:name w:val="页眉 字符24"/>
    <w:link w:val="1fd"/>
    <w:unhideWhenUsed/>
    <w:qFormat/>
    <w:rPr>
      <w:rFonts w:hint="default"/>
      <w:kern w:val="2"/>
      <w:sz w:val="18"/>
      <w:szCs w:val="24"/>
    </w:rPr>
  </w:style>
  <w:style w:type="character" w:customStyle="1" w:styleId="font841">
    <w:name w:val="font841"/>
    <w:basedOn w:val="a6"/>
    <w:qFormat/>
    <w:rPr>
      <w:rFonts w:ascii="宋体" w:eastAsia="宋体" w:hAnsi="宋体" w:cs="宋体"/>
      <w:color w:val="000000"/>
      <w:sz w:val="12"/>
      <w:szCs w:val="12"/>
      <w:u w:val="none"/>
    </w:rPr>
  </w:style>
  <w:style w:type="character" w:customStyle="1" w:styleId="font851">
    <w:name w:val="font851"/>
    <w:basedOn w:val="a6"/>
    <w:qFormat/>
    <w:rPr>
      <w:rFonts w:ascii="宋体" w:eastAsia="宋体" w:hAnsi="宋体" w:cs="宋体"/>
      <w:color w:val="040085"/>
      <w:sz w:val="12"/>
      <w:szCs w:val="12"/>
      <w:u w:val="none"/>
    </w:rPr>
  </w:style>
  <w:style w:type="character" w:customStyle="1" w:styleId="font861">
    <w:name w:val="font861"/>
    <w:basedOn w:val="a6"/>
    <w:qFormat/>
    <w:rPr>
      <w:rFonts w:ascii="宋体" w:eastAsia="宋体" w:hAnsi="宋体" w:cs="宋体"/>
      <w:color w:val="87002D"/>
      <w:sz w:val="12"/>
      <w:szCs w:val="12"/>
      <w:u w:val="none"/>
    </w:rPr>
  </w:style>
  <w:style w:type="character" w:customStyle="1" w:styleId="font871">
    <w:name w:val="font871"/>
    <w:basedOn w:val="a6"/>
    <w:qFormat/>
    <w:rPr>
      <w:rFonts w:ascii="宋体" w:eastAsia="宋体" w:hAnsi="宋体" w:cs="宋体"/>
      <w:color w:val="001E97"/>
      <w:sz w:val="12"/>
      <w:szCs w:val="12"/>
      <w:u w:val="none"/>
    </w:rPr>
  </w:style>
  <w:style w:type="character" w:customStyle="1" w:styleId="font881">
    <w:name w:val="font881"/>
    <w:basedOn w:val="a6"/>
    <w:qFormat/>
    <w:rPr>
      <w:rFonts w:ascii="宋体" w:eastAsia="宋体" w:hAnsi="宋体" w:cs="宋体"/>
      <w:color w:val="82000D"/>
      <w:sz w:val="12"/>
      <w:szCs w:val="12"/>
      <w:u w:val="none"/>
    </w:rPr>
  </w:style>
  <w:style w:type="character" w:customStyle="1" w:styleId="font891">
    <w:name w:val="font891"/>
    <w:basedOn w:val="a6"/>
    <w:qFormat/>
    <w:rPr>
      <w:rFonts w:ascii="宋体" w:eastAsia="宋体" w:hAnsi="宋体" w:cs="宋体"/>
      <w:color w:val="00058B"/>
      <w:sz w:val="12"/>
      <w:szCs w:val="12"/>
      <w:u w:val="none"/>
    </w:rPr>
  </w:style>
  <w:style w:type="character" w:customStyle="1" w:styleId="font901">
    <w:name w:val="font901"/>
    <w:basedOn w:val="a6"/>
    <w:qFormat/>
    <w:rPr>
      <w:rFonts w:ascii="宋体" w:eastAsia="宋体" w:hAnsi="宋体" w:cs="宋体"/>
      <w:color w:val="B85600"/>
      <w:sz w:val="12"/>
      <w:szCs w:val="12"/>
      <w:u w:val="none"/>
    </w:rPr>
  </w:style>
  <w:style w:type="character" w:customStyle="1" w:styleId="font912">
    <w:name w:val="font912"/>
    <w:basedOn w:val="a6"/>
    <w:qFormat/>
    <w:rPr>
      <w:rFonts w:ascii="宋体" w:eastAsia="宋体" w:hAnsi="宋体" w:cs="宋体"/>
      <w:color w:val="A23B00"/>
      <w:sz w:val="12"/>
      <w:szCs w:val="12"/>
      <w:u w:val="none"/>
    </w:rPr>
  </w:style>
  <w:style w:type="character" w:customStyle="1" w:styleId="font921">
    <w:name w:val="font921"/>
    <w:basedOn w:val="a6"/>
    <w:qFormat/>
    <w:rPr>
      <w:rFonts w:ascii="宋体" w:eastAsia="宋体" w:hAnsi="宋体" w:cs="宋体"/>
      <w:color w:val="0D0085"/>
      <w:sz w:val="12"/>
      <w:szCs w:val="12"/>
      <w:u w:val="none"/>
    </w:rPr>
  </w:style>
  <w:style w:type="character" w:customStyle="1" w:styleId="font931">
    <w:name w:val="font931"/>
    <w:basedOn w:val="a6"/>
    <w:qFormat/>
    <w:rPr>
      <w:rFonts w:ascii="宋体" w:eastAsia="宋体" w:hAnsi="宋体" w:cs="宋体"/>
      <w:color w:val="7E0D00"/>
      <w:sz w:val="12"/>
      <w:szCs w:val="12"/>
      <w:u w:val="none"/>
    </w:rPr>
  </w:style>
  <w:style w:type="character" w:customStyle="1" w:styleId="font941">
    <w:name w:val="font941"/>
    <w:basedOn w:val="a6"/>
    <w:qFormat/>
    <w:rPr>
      <w:rFonts w:ascii="宋体" w:eastAsia="宋体" w:hAnsi="宋体" w:cs="宋体"/>
      <w:color w:val="00188E"/>
      <w:sz w:val="12"/>
      <w:szCs w:val="12"/>
      <w:u w:val="none"/>
    </w:rPr>
  </w:style>
  <w:style w:type="character" w:customStyle="1" w:styleId="font951">
    <w:name w:val="font951"/>
    <w:basedOn w:val="a6"/>
    <w:qFormat/>
    <w:rPr>
      <w:rFonts w:ascii="宋体" w:eastAsia="宋体" w:hAnsi="宋体" w:cs="宋体"/>
      <w:color w:val="00178B"/>
      <w:sz w:val="12"/>
      <w:szCs w:val="12"/>
      <w:u w:val="none"/>
    </w:rPr>
  </w:style>
  <w:style w:type="character" w:customStyle="1" w:styleId="font961">
    <w:name w:val="font961"/>
    <w:basedOn w:val="a6"/>
    <w:qFormat/>
    <w:rPr>
      <w:rFonts w:ascii="宋体" w:eastAsia="宋体" w:hAnsi="宋体" w:cs="宋体"/>
      <w:color w:val="000987"/>
      <w:sz w:val="12"/>
      <w:szCs w:val="12"/>
      <w:u w:val="none"/>
    </w:rPr>
  </w:style>
  <w:style w:type="character" w:customStyle="1" w:styleId="font971">
    <w:name w:val="font971"/>
    <w:basedOn w:val="a6"/>
    <w:qFormat/>
    <w:rPr>
      <w:rFonts w:ascii="宋体" w:eastAsia="宋体" w:hAnsi="宋体" w:cs="宋体"/>
      <w:color w:val="001E98"/>
      <w:sz w:val="12"/>
      <w:szCs w:val="12"/>
      <w:u w:val="none"/>
    </w:rPr>
  </w:style>
  <w:style w:type="character" w:customStyle="1" w:styleId="font981">
    <w:name w:val="font981"/>
    <w:basedOn w:val="a6"/>
    <w:qFormat/>
    <w:rPr>
      <w:rFonts w:ascii="宋体" w:eastAsia="宋体" w:hAnsi="宋体" w:cs="宋体"/>
      <w:color w:val="001E95"/>
      <w:sz w:val="12"/>
      <w:szCs w:val="12"/>
      <w:u w:val="none"/>
    </w:rPr>
  </w:style>
  <w:style w:type="character" w:customStyle="1" w:styleId="font991">
    <w:name w:val="font991"/>
    <w:basedOn w:val="a6"/>
    <w:qFormat/>
    <w:rPr>
      <w:rFonts w:ascii="宋体" w:eastAsia="宋体" w:hAnsi="宋体" w:cs="宋体"/>
      <w:color w:val="001997"/>
      <w:sz w:val="12"/>
      <w:szCs w:val="12"/>
      <w:u w:val="none"/>
    </w:rPr>
  </w:style>
  <w:style w:type="character" w:customStyle="1" w:styleId="font1001">
    <w:name w:val="font1001"/>
    <w:basedOn w:val="a6"/>
    <w:qFormat/>
    <w:rPr>
      <w:rFonts w:ascii="宋体" w:eastAsia="宋体" w:hAnsi="宋体" w:cs="宋体"/>
      <w:color w:val="000487"/>
      <w:sz w:val="12"/>
      <w:szCs w:val="12"/>
      <w:u w:val="none"/>
    </w:rPr>
  </w:style>
  <w:style w:type="character" w:customStyle="1" w:styleId="font1012">
    <w:name w:val="font1012"/>
    <w:basedOn w:val="a6"/>
    <w:qFormat/>
    <w:rPr>
      <w:rFonts w:ascii="宋体" w:eastAsia="宋体" w:hAnsi="宋体" w:cs="宋体"/>
      <w:color w:val="7C0042"/>
      <w:sz w:val="12"/>
      <w:szCs w:val="12"/>
      <w:u w:val="none"/>
    </w:rPr>
  </w:style>
  <w:style w:type="character" w:customStyle="1" w:styleId="font1021">
    <w:name w:val="font1021"/>
    <w:basedOn w:val="a6"/>
    <w:qFormat/>
    <w:rPr>
      <w:rFonts w:ascii="宋体" w:eastAsia="宋体" w:hAnsi="宋体" w:cs="宋体"/>
      <w:color w:val="8C1C00"/>
      <w:sz w:val="12"/>
      <w:szCs w:val="12"/>
      <w:u w:val="none"/>
    </w:rPr>
  </w:style>
  <w:style w:type="character" w:customStyle="1" w:styleId="font1031">
    <w:name w:val="font1031"/>
    <w:basedOn w:val="a6"/>
    <w:qFormat/>
    <w:rPr>
      <w:rFonts w:ascii="宋体" w:eastAsia="宋体" w:hAnsi="宋体" w:cs="宋体"/>
      <w:color w:val="8F2600"/>
      <w:sz w:val="12"/>
      <w:szCs w:val="12"/>
      <w:u w:val="none"/>
    </w:rPr>
  </w:style>
  <w:style w:type="character" w:customStyle="1" w:styleId="font1041">
    <w:name w:val="font1041"/>
    <w:basedOn w:val="a6"/>
    <w:qFormat/>
    <w:rPr>
      <w:rFonts w:ascii="宋体" w:eastAsia="宋体" w:hAnsi="宋体" w:cs="宋体"/>
      <w:color w:val="0049A9"/>
      <w:sz w:val="12"/>
      <w:szCs w:val="12"/>
      <w:u w:val="none"/>
    </w:rPr>
  </w:style>
  <w:style w:type="character" w:customStyle="1" w:styleId="font1051">
    <w:name w:val="font1051"/>
    <w:basedOn w:val="a6"/>
    <w:qFormat/>
    <w:rPr>
      <w:rFonts w:ascii="宋体" w:eastAsia="宋体" w:hAnsi="宋体" w:cs="宋体"/>
      <w:color w:val="882900"/>
      <w:sz w:val="12"/>
      <w:szCs w:val="12"/>
      <w:u w:val="none"/>
    </w:rPr>
  </w:style>
  <w:style w:type="character" w:customStyle="1" w:styleId="font1191">
    <w:name w:val="font1191"/>
    <w:basedOn w:val="a6"/>
    <w:qFormat/>
    <w:rPr>
      <w:rFonts w:ascii="宋体" w:eastAsia="宋体" w:hAnsi="宋体" w:cs="宋体"/>
      <w:color w:val="937B7F"/>
      <w:sz w:val="12"/>
      <w:szCs w:val="12"/>
      <w:u w:val="none"/>
    </w:rPr>
  </w:style>
  <w:style w:type="character" w:customStyle="1" w:styleId="font1201">
    <w:name w:val="font1201"/>
    <w:basedOn w:val="a6"/>
    <w:qFormat/>
    <w:rPr>
      <w:rFonts w:ascii="宋体" w:eastAsia="宋体" w:hAnsi="宋体" w:cs="宋体"/>
      <w:color w:val="8C0038"/>
      <w:sz w:val="12"/>
      <w:szCs w:val="12"/>
      <w:u w:val="none"/>
    </w:rPr>
  </w:style>
  <w:style w:type="character" w:customStyle="1" w:styleId="font1061">
    <w:name w:val="font1061"/>
    <w:basedOn w:val="a6"/>
    <w:qFormat/>
    <w:rPr>
      <w:rFonts w:ascii="宋体" w:eastAsia="宋体" w:hAnsi="宋体" w:cs="宋体"/>
      <w:color w:val="850035"/>
      <w:sz w:val="12"/>
      <w:szCs w:val="12"/>
      <w:u w:val="none"/>
    </w:rPr>
  </w:style>
  <w:style w:type="character" w:customStyle="1" w:styleId="font1071">
    <w:name w:val="font1071"/>
    <w:basedOn w:val="a6"/>
    <w:qFormat/>
    <w:rPr>
      <w:rFonts w:ascii="宋体" w:eastAsia="宋体" w:hAnsi="宋体" w:cs="宋体"/>
      <w:color w:val="961900"/>
      <w:sz w:val="12"/>
      <w:szCs w:val="12"/>
      <w:u w:val="none"/>
    </w:rPr>
  </w:style>
  <w:style w:type="character" w:customStyle="1" w:styleId="font1081">
    <w:name w:val="font1081"/>
    <w:basedOn w:val="a6"/>
    <w:qFormat/>
    <w:rPr>
      <w:rFonts w:ascii="宋体" w:eastAsia="宋体" w:hAnsi="宋体" w:cs="宋体"/>
      <w:color w:val="7D0D00"/>
      <w:sz w:val="12"/>
      <w:szCs w:val="12"/>
      <w:u w:val="none"/>
    </w:rPr>
  </w:style>
  <w:style w:type="character" w:customStyle="1" w:styleId="font1091">
    <w:name w:val="font1091"/>
    <w:basedOn w:val="a6"/>
    <w:qFormat/>
    <w:rPr>
      <w:rFonts w:ascii="宋体" w:eastAsia="宋体" w:hAnsi="宋体" w:cs="宋体"/>
      <w:color w:val="7C1100"/>
      <w:sz w:val="12"/>
      <w:szCs w:val="12"/>
      <w:u w:val="none"/>
    </w:rPr>
  </w:style>
  <w:style w:type="character" w:customStyle="1" w:styleId="font1101">
    <w:name w:val="font1101"/>
    <w:basedOn w:val="a6"/>
    <w:qFormat/>
    <w:rPr>
      <w:rFonts w:ascii="宋体" w:eastAsia="宋体" w:hAnsi="宋体" w:cs="宋体"/>
      <w:color w:val="952300"/>
      <w:sz w:val="12"/>
      <w:szCs w:val="12"/>
      <w:u w:val="none"/>
    </w:rPr>
  </w:style>
  <w:style w:type="character" w:customStyle="1" w:styleId="font1112">
    <w:name w:val="font1112"/>
    <w:basedOn w:val="a6"/>
    <w:qFormat/>
    <w:rPr>
      <w:rFonts w:ascii="宋体" w:eastAsia="宋体" w:hAnsi="宋体" w:cs="宋体"/>
      <w:color w:val="7D696E"/>
      <w:sz w:val="12"/>
      <w:szCs w:val="12"/>
      <w:u w:val="none"/>
    </w:rPr>
  </w:style>
  <w:style w:type="character" w:customStyle="1" w:styleId="font1121">
    <w:name w:val="font1121"/>
    <w:basedOn w:val="a6"/>
    <w:qFormat/>
    <w:rPr>
      <w:rFonts w:ascii="宋体" w:eastAsia="宋体" w:hAnsi="宋体" w:cs="宋体"/>
      <w:color w:val="901800"/>
      <w:sz w:val="12"/>
      <w:szCs w:val="12"/>
      <w:u w:val="none"/>
    </w:rPr>
  </w:style>
  <w:style w:type="character" w:customStyle="1" w:styleId="font1131">
    <w:name w:val="font1131"/>
    <w:basedOn w:val="a6"/>
    <w:qFormat/>
    <w:rPr>
      <w:rFonts w:ascii="宋体" w:eastAsia="宋体" w:hAnsi="宋体" w:cs="宋体"/>
      <w:color w:val="820034"/>
      <w:sz w:val="12"/>
      <w:szCs w:val="12"/>
      <w:u w:val="none"/>
    </w:rPr>
  </w:style>
  <w:style w:type="character" w:customStyle="1" w:styleId="font1212">
    <w:name w:val="font1212"/>
    <w:basedOn w:val="a6"/>
    <w:qFormat/>
    <w:rPr>
      <w:rFonts w:ascii="宋体" w:eastAsia="宋体" w:hAnsi="宋体" w:cs="宋体"/>
      <w:color w:val="8E0034"/>
      <w:sz w:val="12"/>
      <w:szCs w:val="12"/>
      <w:u w:val="none"/>
    </w:rPr>
  </w:style>
  <w:style w:type="character" w:customStyle="1" w:styleId="font1141">
    <w:name w:val="font1141"/>
    <w:basedOn w:val="a6"/>
    <w:qFormat/>
    <w:rPr>
      <w:rFonts w:ascii="宋体" w:eastAsia="宋体" w:hAnsi="宋体" w:cs="宋体"/>
      <w:color w:val="862400"/>
      <w:sz w:val="12"/>
      <w:szCs w:val="12"/>
      <w:u w:val="none"/>
    </w:rPr>
  </w:style>
  <w:style w:type="character" w:customStyle="1" w:styleId="font1151">
    <w:name w:val="font1151"/>
    <w:basedOn w:val="a6"/>
    <w:qFormat/>
    <w:rPr>
      <w:rFonts w:ascii="宋体" w:eastAsia="宋体" w:hAnsi="宋体" w:cs="宋体"/>
      <w:color w:val="A33100"/>
      <w:sz w:val="12"/>
      <w:szCs w:val="12"/>
      <w:u w:val="none"/>
    </w:rPr>
  </w:style>
  <w:style w:type="character" w:customStyle="1" w:styleId="font1161">
    <w:name w:val="font1161"/>
    <w:basedOn w:val="a6"/>
    <w:qFormat/>
    <w:rPr>
      <w:rFonts w:ascii="宋体" w:eastAsia="宋体" w:hAnsi="宋体" w:cs="宋体"/>
      <w:color w:val="841F00"/>
      <w:sz w:val="12"/>
      <w:szCs w:val="12"/>
      <w:u w:val="none"/>
    </w:rPr>
  </w:style>
  <w:style w:type="character" w:customStyle="1" w:styleId="font1171">
    <w:name w:val="font1171"/>
    <w:basedOn w:val="a6"/>
    <w:qFormat/>
    <w:rPr>
      <w:rFonts w:ascii="宋体" w:eastAsia="宋体" w:hAnsi="宋体" w:cs="宋体"/>
      <w:color w:val="852300"/>
      <w:sz w:val="12"/>
      <w:szCs w:val="12"/>
      <w:u w:val="none"/>
    </w:rPr>
  </w:style>
  <w:style w:type="character" w:customStyle="1" w:styleId="font1181">
    <w:name w:val="font1181"/>
    <w:basedOn w:val="a6"/>
    <w:qFormat/>
    <w:rPr>
      <w:rFonts w:ascii="宋体" w:eastAsia="宋体" w:hAnsi="宋体" w:cs="宋体"/>
      <w:color w:val="A52100"/>
      <w:sz w:val="12"/>
      <w:szCs w:val="12"/>
      <w:u w:val="none"/>
    </w:rPr>
  </w:style>
  <w:style w:type="character" w:customStyle="1" w:styleId="font1222">
    <w:name w:val="font1222"/>
    <w:basedOn w:val="a6"/>
    <w:qFormat/>
    <w:rPr>
      <w:rFonts w:ascii="宋体" w:eastAsia="宋体" w:hAnsi="宋体" w:cs="宋体"/>
      <w:color w:val="8D0000"/>
      <w:sz w:val="12"/>
      <w:szCs w:val="12"/>
      <w:u w:val="none"/>
    </w:rPr>
  </w:style>
  <w:style w:type="character" w:customStyle="1" w:styleId="font1231">
    <w:name w:val="font1231"/>
    <w:basedOn w:val="a6"/>
    <w:qFormat/>
    <w:rPr>
      <w:rFonts w:ascii="宋体" w:eastAsia="宋体" w:hAnsi="宋体" w:cs="宋体"/>
      <w:color w:val="001D8F"/>
      <w:sz w:val="12"/>
      <w:szCs w:val="12"/>
      <w:u w:val="none"/>
    </w:rPr>
  </w:style>
  <w:style w:type="character" w:customStyle="1" w:styleId="font1241">
    <w:name w:val="font1241"/>
    <w:basedOn w:val="a6"/>
    <w:qFormat/>
    <w:rPr>
      <w:rFonts w:ascii="宋体" w:eastAsia="宋体" w:hAnsi="宋体" w:cs="宋体"/>
      <w:color w:val="927500"/>
      <w:sz w:val="12"/>
      <w:szCs w:val="12"/>
      <w:u w:val="none"/>
    </w:rPr>
  </w:style>
  <w:style w:type="character" w:customStyle="1" w:styleId="font1251">
    <w:name w:val="font1251"/>
    <w:basedOn w:val="a6"/>
    <w:qFormat/>
    <w:rPr>
      <w:rFonts w:ascii="宋体" w:eastAsia="宋体" w:hAnsi="宋体" w:cs="宋体"/>
      <w:color w:val="793400"/>
      <w:sz w:val="12"/>
      <w:szCs w:val="12"/>
      <w:u w:val="none"/>
    </w:rPr>
  </w:style>
  <w:style w:type="character" w:customStyle="1" w:styleId="font1261">
    <w:name w:val="font1261"/>
    <w:basedOn w:val="a6"/>
    <w:qFormat/>
    <w:rPr>
      <w:rFonts w:ascii="宋体" w:eastAsia="宋体" w:hAnsi="宋体" w:cs="宋体"/>
      <w:color w:val="9A7600"/>
      <w:sz w:val="12"/>
      <w:szCs w:val="12"/>
      <w:u w:val="none"/>
    </w:rPr>
  </w:style>
  <w:style w:type="character" w:customStyle="1" w:styleId="font1271">
    <w:name w:val="font1271"/>
    <w:basedOn w:val="a6"/>
    <w:qFormat/>
    <w:rPr>
      <w:rFonts w:ascii="宋体" w:eastAsia="宋体" w:hAnsi="宋体" w:cs="宋体"/>
      <w:color w:val="897700"/>
      <w:sz w:val="12"/>
      <w:szCs w:val="12"/>
      <w:u w:val="none"/>
    </w:rPr>
  </w:style>
  <w:style w:type="character" w:customStyle="1" w:styleId="font1281">
    <w:name w:val="font1281"/>
    <w:basedOn w:val="a6"/>
    <w:qFormat/>
    <w:rPr>
      <w:rFonts w:ascii="Calibri" w:hAnsi="Calibri" w:cs="Calibri"/>
      <w:color w:val="001E95"/>
      <w:sz w:val="12"/>
      <w:szCs w:val="12"/>
      <w:u w:val="none"/>
    </w:rPr>
  </w:style>
  <w:style w:type="character" w:customStyle="1" w:styleId="font1291">
    <w:name w:val="font1291"/>
    <w:basedOn w:val="a6"/>
    <w:qFormat/>
    <w:rPr>
      <w:rFonts w:ascii="宋体" w:eastAsia="宋体" w:hAnsi="宋体" w:cs="宋体"/>
      <w:color w:val="001996"/>
      <w:sz w:val="12"/>
      <w:szCs w:val="12"/>
      <w:u w:val="none"/>
    </w:rPr>
  </w:style>
  <w:style w:type="character" w:customStyle="1" w:styleId="font1301">
    <w:name w:val="font1301"/>
    <w:basedOn w:val="a6"/>
    <w:qFormat/>
    <w:rPr>
      <w:rFonts w:ascii="宋体" w:eastAsia="宋体" w:hAnsi="宋体" w:cs="宋体"/>
      <w:color w:val="7A6967"/>
      <w:sz w:val="12"/>
      <w:szCs w:val="12"/>
      <w:u w:val="none"/>
    </w:rPr>
  </w:style>
  <w:style w:type="character" w:customStyle="1" w:styleId="font1312">
    <w:name w:val="font1312"/>
    <w:basedOn w:val="a6"/>
    <w:qFormat/>
    <w:rPr>
      <w:rFonts w:ascii="宋体" w:eastAsia="宋体" w:hAnsi="宋体" w:cs="宋体"/>
      <w:color w:val="840004"/>
      <w:sz w:val="12"/>
      <w:szCs w:val="12"/>
      <w:u w:val="none"/>
    </w:rPr>
  </w:style>
  <w:style w:type="character" w:customStyle="1" w:styleId="font1321">
    <w:name w:val="font1321"/>
    <w:basedOn w:val="a6"/>
    <w:qFormat/>
    <w:rPr>
      <w:rFonts w:ascii="宋体" w:eastAsia="宋体" w:hAnsi="宋体" w:cs="宋体"/>
      <w:color w:val="7F0022"/>
      <w:sz w:val="12"/>
      <w:szCs w:val="12"/>
      <w:u w:val="none"/>
    </w:rPr>
  </w:style>
  <w:style w:type="character" w:customStyle="1" w:styleId="font1331">
    <w:name w:val="font1331"/>
    <w:basedOn w:val="a6"/>
    <w:qFormat/>
    <w:rPr>
      <w:rFonts w:ascii="宋体" w:eastAsia="宋体" w:hAnsi="宋体" w:cs="宋体"/>
      <w:color w:val="887672"/>
      <w:sz w:val="12"/>
      <w:szCs w:val="12"/>
      <w:u w:val="none"/>
    </w:rPr>
  </w:style>
  <w:style w:type="character" w:customStyle="1" w:styleId="font211">
    <w:name w:val="font211"/>
    <w:basedOn w:val="a6"/>
    <w:qFormat/>
    <w:rPr>
      <w:rFonts w:ascii="宋体" w:eastAsia="宋体" w:hAnsi="宋体" w:cs="宋体"/>
      <w:b/>
      <w:bCs/>
      <w:color w:val="000000"/>
      <w:sz w:val="14"/>
      <w:szCs w:val="14"/>
      <w:u w:val="none"/>
    </w:rPr>
  </w:style>
  <w:style w:type="character" w:customStyle="1" w:styleId="font251">
    <w:name w:val="font251"/>
    <w:basedOn w:val="a6"/>
    <w:qFormat/>
    <w:rPr>
      <w:rFonts w:ascii="宋体" w:eastAsia="宋体" w:hAnsi="宋体" w:cs="宋体"/>
      <w:color w:val="A03000"/>
      <w:sz w:val="14"/>
      <w:szCs w:val="14"/>
      <w:u w:val="none"/>
    </w:rPr>
  </w:style>
  <w:style w:type="character" w:customStyle="1" w:styleId="font112">
    <w:name w:val="font112"/>
    <w:basedOn w:val="a6"/>
    <w:qFormat/>
    <w:rPr>
      <w:rFonts w:ascii="宋体" w:eastAsia="宋体" w:hAnsi="宋体" w:cs="宋体"/>
      <w:color w:val="003194"/>
      <w:sz w:val="14"/>
      <w:szCs w:val="14"/>
      <w:u w:val="none"/>
    </w:rPr>
  </w:style>
  <w:style w:type="character" w:customStyle="1" w:styleId="font261">
    <w:name w:val="font261"/>
    <w:basedOn w:val="a6"/>
    <w:qFormat/>
    <w:rPr>
      <w:rFonts w:ascii="宋体" w:eastAsia="宋体" w:hAnsi="宋体" w:cs="宋体"/>
      <w:color w:val="000000"/>
      <w:sz w:val="12"/>
      <w:szCs w:val="12"/>
      <w:u w:val="none"/>
    </w:rPr>
  </w:style>
  <w:style w:type="character" w:customStyle="1" w:styleId="font271">
    <w:name w:val="font271"/>
    <w:basedOn w:val="a6"/>
    <w:qFormat/>
    <w:rPr>
      <w:rFonts w:ascii="宋体" w:eastAsia="宋体" w:hAnsi="宋体" w:cs="宋体"/>
      <w:color w:val="93817C"/>
      <w:sz w:val="14"/>
      <w:szCs w:val="14"/>
      <w:u w:val="none"/>
    </w:rPr>
  </w:style>
  <w:style w:type="character" w:customStyle="1" w:styleId="font281">
    <w:name w:val="font281"/>
    <w:basedOn w:val="a6"/>
    <w:qFormat/>
    <w:rPr>
      <w:rFonts w:ascii="宋体" w:eastAsia="宋体" w:hAnsi="宋体" w:cs="宋体"/>
      <w:color w:val="050097"/>
      <w:sz w:val="14"/>
      <w:szCs w:val="14"/>
      <w:u w:val="none"/>
    </w:rPr>
  </w:style>
  <w:style w:type="character" w:customStyle="1" w:styleId="font291">
    <w:name w:val="font291"/>
    <w:basedOn w:val="a6"/>
    <w:qFormat/>
    <w:rPr>
      <w:rFonts w:ascii="宋体" w:eastAsia="宋体" w:hAnsi="宋体" w:cs="宋体"/>
      <w:color w:val="000E8C"/>
      <w:sz w:val="14"/>
      <w:szCs w:val="14"/>
      <w:u w:val="none"/>
    </w:rPr>
  </w:style>
  <w:style w:type="character" w:customStyle="1" w:styleId="font301">
    <w:name w:val="font301"/>
    <w:basedOn w:val="a6"/>
    <w:qFormat/>
    <w:rPr>
      <w:rFonts w:ascii="宋体" w:eastAsia="宋体" w:hAnsi="宋体" w:cs="宋体"/>
      <w:color w:val="00389A"/>
      <w:sz w:val="14"/>
      <w:szCs w:val="14"/>
      <w:u w:val="none"/>
    </w:rPr>
  </w:style>
  <w:style w:type="character" w:customStyle="1" w:styleId="font221">
    <w:name w:val="font221"/>
    <w:basedOn w:val="a6"/>
    <w:qFormat/>
    <w:rPr>
      <w:rFonts w:ascii="宋体" w:eastAsia="宋体" w:hAnsi="宋体" w:cs="宋体"/>
      <w:color w:val="0021A7"/>
      <w:sz w:val="14"/>
      <w:szCs w:val="14"/>
      <w:u w:val="none"/>
    </w:rPr>
  </w:style>
  <w:style w:type="character" w:customStyle="1" w:styleId="font231">
    <w:name w:val="font231"/>
    <w:basedOn w:val="a6"/>
    <w:qFormat/>
    <w:rPr>
      <w:rFonts w:ascii="宋体" w:eastAsia="宋体" w:hAnsi="宋体" w:cs="宋体"/>
      <w:color w:val="003AAE"/>
      <w:sz w:val="14"/>
      <w:szCs w:val="14"/>
      <w:u w:val="none"/>
    </w:rPr>
  </w:style>
  <w:style w:type="character" w:customStyle="1" w:styleId="font242">
    <w:name w:val="font242"/>
    <w:basedOn w:val="a6"/>
    <w:qFormat/>
    <w:rPr>
      <w:rFonts w:ascii="宋体" w:eastAsia="宋体" w:hAnsi="宋体" w:cs="宋体"/>
      <w:color w:val="0020A0"/>
      <w:sz w:val="14"/>
      <w:szCs w:val="14"/>
      <w:u w:val="none"/>
    </w:rPr>
  </w:style>
  <w:style w:type="character" w:customStyle="1" w:styleId="font471">
    <w:name w:val="font471"/>
    <w:basedOn w:val="a6"/>
    <w:qFormat/>
    <w:rPr>
      <w:rFonts w:ascii="宋体" w:eastAsia="宋体" w:hAnsi="宋体" w:cs="宋体"/>
      <w:b/>
      <w:bCs/>
      <w:color w:val="000000"/>
      <w:sz w:val="30"/>
      <w:szCs w:val="30"/>
      <w:u w:val="none"/>
    </w:rPr>
  </w:style>
  <w:style w:type="character" w:customStyle="1" w:styleId="font481">
    <w:name w:val="font481"/>
    <w:basedOn w:val="a6"/>
    <w:qFormat/>
    <w:rPr>
      <w:rFonts w:ascii="宋体" w:eastAsia="宋体" w:hAnsi="宋体" w:cs="宋体"/>
      <w:color w:val="000000"/>
      <w:sz w:val="30"/>
      <w:szCs w:val="30"/>
      <w:u w:val="none"/>
    </w:rPr>
  </w:style>
  <w:style w:type="character" w:customStyle="1" w:styleId="font431">
    <w:name w:val="font431"/>
    <w:basedOn w:val="a6"/>
    <w:qFormat/>
    <w:rPr>
      <w:rFonts w:ascii="宋体" w:eastAsia="宋体" w:hAnsi="宋体" w:cs="宋体"/>
      <w:color w:val="000000"/>
      <w:sz w:val="16"/>
      <w:szCs w:val="16"/>
      <w:u w:val="none"/>
    </w:rPr>
  </w:style>
  <w:style w:type="character" w:customStyle="1" w:styleId="font441">
    <w:name w:val="font441"/>
    <w:basedOn w:val="a6"/>
    <w:qFormat/>
    <w:rPr>
      <w:rFonts w:ascii="宋体" w:eastAsia="宋体" w:hAnsi="宋体" w:cs="宋体"/>
      <w:color w:val="000000"/>
      <w:sz w:val="18"/>
      <w:szCs w:val="18"/>
      <w:u w:val="none"/>
    </w:rPr>
  </w:style>
  <w:style w:type="character" w:customStyle="1" w:styleId="font451">
    <w:name w:val="font451"/>
    <w:basedOn w:val="a6"/>
    <w:qFormat/>
    <w:rPr>
      <w:rFonts w:ascii="宋体" w:eastAsia="宋体" w:hAnsi="宋体" w:cs="宋体"/>
      <w:color w:val="000000"/>
      <w:sz w:val="14"/>
      <w:szCs w:val="14"/>
      <w:u w:val="none"/>
    </w:rPr>
  </w:style>
  <w:style w:type="character" w:customStyle="1" w:styleId="font32">
    <w:name w:val="font32"/>
    <w:basedOn w:val="a6"/>
    <w:qFormat/>
    <w:rPr>
      <w:rFonts w:ascii="宋体" w:eastAsia="宋体" w:hAnsi="宋体" w:cs="宋体"/>
      <w:color w:val="002791"/>
      <w:sz w:val="14"/>
      <w:szCs w:val="14"/>
      <w:u w:val="none"/>
    </w:rPr>
  </w:style>
  <w:style w:type="character" w:customStyle="1" w:styleId="font311">
    <w:name w:val="font311"/>
    <w:basedOn w:val="a6"/>
    <w:qFormat/>
    <w:rPr>
      <w:rFonts w:ascii="宋体" w:eastAsia="宋体" w:hAnsi="宋体" w:cs="宋体"/>
      <w:color w:val="002896"/>
      <w:sz w:val="14"/>
      <w:szCs w:val="14"/>
      <w:u w:val="none"/>
    </w:rPr>
  </w:style>
  <w:style w:type="character" w:customStyle="1" w:styleId="font491">
    <w:name w:val="font491"/>
    <w:basedOn w:val="a6"/>
    <w:qFormat/>
    <w:rPr>
      <w:rFonts w:ascii="宋体" w:eastAsia="宋体" w:hAnsi="宋体" w:cs="宋体"/>
      <w:color w:val="000000"/>
      <w:sz w:val="26"/>
      <w:szCs w:val="26"/>
      <w:u w:val="none"/>
    </w:rPr>
  </w:style>
  <w:style w:type="character" w:customStyle="1" w:styleId="font322">
    <w:name w:val="font322"/>
    <w:basedOn w:val="a6"/>
    <w:qFormat/>
    <w:rPr>
      <w:rFonts w:ascii="宋体" w:eastAsia="宋体" w:hAnsi="宋体" w:cs="宋体"/>
      <w:color w:val="002897"/>
      <w:sz w:val="14"/>
      <w:szCs w:val="14"/>
      <w:u w:val="none"/>
    </w:rPr>
  </w:style>
  <w:style w:type="character" w:customStyle="1" w:styleId="font461">
    <w:name w:val="font461"/>
    <w:basedOn w:val="a6"/>
    <w:qFormat/>
    <w:rPr>
      <w:rFonts w:ascii="宋体" w:eastAsia="宋体" w:hAnsi="宋体" w:cs="宋体"/>
      <w:color w:val="00308F"/>
      <w:sz w:val="14"/>
      <w:szCs w:val="14"/>
      <w:u w:val="none"/>
    </w:rPr>
  </w:style>
  <w:style w:type="character" w:customStyle="1" w:styleId="font331">
    <w:name w:val="font331"/>
    <w:basedOn w:val="a6"/>
    <w:qFormat/>
    <w:rPr>
      <w:rFonts w:ascii="宋体" w:eastAsia="宋体" w:hAnsi="宋体" w:cs="宋体"/>
      <w:color w:val="00299B"/>
      <w:sz w:val="14"/>
      <w:szCs w:val="14"/>
      <w:u w:val="none"/>
    </w:rPr>
  </w:style>
  <w:style w:type="character" w:customStyle="1" w:styleId="font241">
    <w:name w:val="font241"/>
    <w:basedOn w:val="a6"/>
    <w:qFormat/>
    <w:rPr>
      <w:rFonts w:ascii="宋体" w:eastAsia="宋体" w:hAnsi="宋体" w:cs="宋体"/>
      <w:color w:val="003297"/>
      <w:sz w:val="14"/>
      <w:szCs w:val="14"/>
      <w:u w:val="none"/>
    </w:rPr>
  </w:style>
  <w:style w:type="character" w:customStyle="1" w:styleId="font42">
    <w:name w:val="font42"/>
    <w:basedOn w:val="a6"/>
    <w:qFormat/>
    <w:rPr>
      <w:rFonts w:ascii="宋体" w:eastAsia="宋体" w:hAnsi="宋体" w:cs="宋体"/>
      <w:color w:val="00349B"/>
      <w:sz w:val="14"/>
      <w:szCs w:val="14"/>
      <w:u w:val="none"/>
    </w:rPr>
  </w:style>
  <w:style w:type="character" w:customStyle="1" w:styleId="font341">
    <w:name w:val="font341"/>
    <w:basedOn w:val="a6"/>
    <w:qFormat/>
    <w:rPr>
      <w:rFonts w:ascii="宋体" w:eastAsia="宋体" w:hAnsi="宋体" w:cs="宋体"/>
      <w:color w:val="002A9C"/>
      <w:sz w:val="14"/>
      <w:szCs w:val="14"/>
      <w:u w:val="none"/>
    </w:rPr>
  </w:style>
  <w:style w:type="character" w:customStyle="1" w:styleId="font122">
    <w:name w:val="font122"/>
    <w:basedOn w:val="a6"/>
    <w:qFormat/>
    <w:rPr>
      <w:rFonts w:ascii="宋体" w:eastAsia="宋体" w:hAnsi="宋体" w:cs="宋体"/>
      <w:color w:val="001D90"/>
      <w:sz w:val="16"/>
      <w:szCs w:val="16"/>
      <w:u w:val="none"/>
    </w:rPr>
  </w:style>
  <w:style w:type="character" w:customStyle="1" w:styleId="font351">
    <w:name w:val="font351"/>
    <w:basedOn w:val="a6"/>
    <w:qFormat/>
    <w:rPr>
      <w:rFonts w:ascii="宋体" w:eastAsia="宋体" w:hAnsi="宋体" w:cs="宋体"/>
      <w:color w:val="002897"/>
      <w:sz w:val="16"/>
      <w:szCs w:val="16"/>
      <w:u w:val="none"/>
    </w:rPr>
  </w:style>
  <w:style w:type="character" w:customStyle="1" w:styleId="font361">
    <w:name w:val="font361"/>
    <w:basedOn w:val="a6"/>
    <w:qFormat/>
    <w:rPr>
      <w:rFonts w:ascii="宋体" w:eastAsia="宋体" w:hAnsi="宋体" w:cs="宋体"/>
      <w:color w:val="0025A0"/>
      <w:sz w:val="16"/>
      <w:szCs w:val="16"/>
      <w:u w:val="none"/>
    </w:rPr>
  </w:style>
  <w:style w:type="character" w:customStyle="1" w:styleId="font371">
    <w:name w:val="font371"/>
    <w:basedOn w:val="a6"/>
    <w:qFormat/>
    <w:rPr>
      <w:rFonts w:ascii="宋体" w:eastAsia="宋体" w:hAnsi="宋体" w:cs="宋体"/>
      <w:color w:val="002A9C"/>
      <w:sz w:val="16"/>
      <w:szCs w:val="16"/>
      <w:u w:val="none"/>
    </w:rPr>
  </w:style>
  <w:style w:type="character" w:customStyle="1" w:styleId="font381">
    <w:name w:val="font381"/>
    <w:basedOn w:val="a6"/>
    <w:qFormat/>
    <w:rPr>
      <w:rFonts w:ascii="宋体" w:eastAsia="宋体" w:hAnsi="宋体" w:cs="宋体"/>
      <w:color w:val="00299B"/>
      <w:sz w:val="16"/>
      <w:szCs w:val="16"/>
      <w:u w:val="none"/>
    </w:rPr>
  </w:style>
  <w:style w:type="character" w:customStyle="1" w:styleId="font212">
    <w:name w:val="font212"/>
    <w:basedOn w:val="a6"/>
    <w:qFormat/>
    <w:rPr>
      <w:rFonts w:ascii="宋体" w:eastAsia="宋体" w:hAnsi="宋体" w:cs="宋体"/>
      <w:color w:val="7C6871"/>
      <w:sz w:val="14"/>
      <w:szCs w:val="14"/>
      <w:u w:val="none"/>
    </w:rPr>
  </w:style>
  <w:style w:type="character" w:customStyle="1" w:styleId="font401">
    <w:name w:val="font401"/>
    <w:basedOn w:val="a6"/>
    <w:qFormat/>
    <w:rPr>
      <w:rFonts w:ascii="宋体" w:eastAsia="宋体" w:hAnsi="宋体" w:cs="宋体"/>
      <w:color w:val="7A0051"/>
      <w:sz w:val="14"/>
      <w:szCs w:val="14"/>
      <w:u w:val="none"/>
    </w:rPr>
  </w:style>
  <w:style w:type="character" w:customStyle="1" w:styleId="3240">
    <w:name w:val="标题 3 字符24"/>
    <w:unhideWhenUsed/>
    <w:qFormat/>
    <w:rPr>
      <w:rFonts w:hint="default"/>
      <w:b/>
      <w:kern w:val="2"/>
      <w:sz w:val="32"/>
      <w:szCs w:val="24"/>
    </w:rPr>
  </w:style>
  <w:style w:type="character" w:customStyle="1" w:styleId="263">
    <w:name w:val="正文缩进 字符26"/>
    <w:unhideWhenUsed/>
    <w:qFormat/>
    <w:rPr>
      <w:rFonts w:hint="default"/>
      <w:kern w:val="2"/>
      <w:sz w:val="21"/>
      <w:szCs w:val="24"/>
    </w:rPr>
  </w:style>
  <w:style w:type="character" w:customStyle="1" w:styleId="325">
    <w:name w:val="标题 3 字符25"/>
    <w:link w:val="310"/>
    <w:unhideWhenUsed/>
    <w:qFormat/>
    <w:rPr>
      <w:rFonts w:hint="default"/>
      <w:b/>
      <w:kern w:val="2"/>
      <w:sz w:val="32"/>
      <w:szCs w:val="24"/>
    </w:rPr>
  </w:style>
  <w:style w:type="character" w:customStyle="1" w:styleId="270">
    <w:name w:val="正文缩进 字符27"/>
    <w:link w:val="1b"/>
    <w:unhideWhenUsed/>
    <w:qFormat/>
    <w:rPr>
      <w:rFonts w:hint="default"/>
      <w:kern w:val="2"/>
      <w:sz w:val="21"/>
      <w:szCs w:val="24"/>
    </w:rPr>
  </w:style>
  <w:style w:type="character" w:customStyle="1" w:styleId="font111">
    <w:name w:val="font111"/>
    <w:basedOn w:val="a6"/>
    <w:qFormat/>
    <w:rPr>
      <w:rFonts w:ascii="宋体" w:eastAsia="宋体" w:hAnsi="宋体" w:cs="宋体"/>
      <w:color w:val="000486"/>
      <w:sz w:val="18"/>
      <w:szCs w:val="18"/>
      <w:u w:val="none"/>
    </w:rPr>
  </w:style>
  <w:style w:type="table" w:customStyle="1" w:styleId="66">
    <w:name w:val="网格型6"/>
    <w:basedOn w:val="a7"/>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21">
    <w:name w:val="font121"/>
    <w:basedOn w:val="a6"/>
    <w:qFormat/>
    <w:rPr>
      <w:rFonts w:ascii="宋体" w:eastAsia="宋体" w:hAnsi="宋体" w:cs="宋体"/>
      <w:b/>
      <w:bCs/>
      <w:color w:val="000000"/>
      <w:sz w:val="14"/>
      <w:szCs w:val="14"/>
      <w:u w:val="none"/>
    </w:rPr>
  </w:style>
  <w:style w:type="paragraph" w:customStyle="1" w:styleId="0A">
    <w:name w:val="0A 小四正文"/>
    <w:unhideWhenUsed/>
    <w:qFormat/>
    <w:pPr>
      <w:widowControl w:val="0"/>
      <w:snapToGrid w:val="0"/>
      <w:spacing w:line="500" w:lineRule="exact"/>
      <w:ind w:firstLineChars="200" w:firstLine="480"/>
      <w:jc w:val="both"/>
    </w:pPr>
    <w:rPr>
      <w:rFonts w:hint="eastAsia"/>
      <w:kern w:val="2"/>
      <w:sz w:val="24"/>
      <w:szCs w:val="24"/>
    </w:rPr>
  </w:style>
  <w:style w:type="paragraph" w:customStyle="1" w:styleId="1fffffff">
    <w:name w:val="修订1"/>
    <w:hidden/>
    <w:uiPriority w:val="99"/>
    <w:unhideWhenUsed/>
    <w:qFormat/>
    <w:rPr>
      <w:rFonts w:hint="eastAsia"/>
      <w:sz w:val="21"/>
    </w:rPr>
  </w:style>
  <w:style w:type="paragraph" w:customStyle="1" w:styleId="TOC10">
    <w:name w:val="TOC 标题1"/>
    <w:basedOn w:val="1"/>
    <w:next w:val="a3"/>
    <w:uiPriority w:val="39"/>
    <w:unhideWhenUsed/>
    <w:qFormat/>
    <w:pPr>
      <w:widowControl/>
      <w:spacing w:line="276" w:lineRule="auto"/>
      <w:jc w:val="left"/>
    </w:pPr>
    <w:rPr>
      <w:rFonts w:ascii="Cambria" w:hAnsi="Cambria"/>
      <w:color w:val="365F91"/>
      <w:sz w:val="28"/>
      <w:szCs w:val="28"/>
    </w:rPr>
  </w:style>
  <w:style w:type="paragraph" w:customStyle="1" w:styleId="6CharCharCharChar">
    <w:name w:val="6 Char Char Char Char"/>
    <w:basedOn w:val="a3"/>
    <w:unhideWhenUsed/>
    <w:qFormat/>
    <w:pPr>
      <w:widowControl/>
      <w:jc w:val="left"/>
    </w:pPr>
    <w:rPr>
      <w:rFonts w:ascii="宋体" w:hAnsi="宋体" w:cs="宋体" w:hint="eastAsia"/>
      <w:sz w:val="21"/>
      <w:szCs w:val="24"/>
    </w:rPr>
  </w:style>
  <w:style w:type="paragraph" w:customStyle="1" w:styleId="j">
    <w:name w:val="正文j"/>
    <w:basedOn w:val="a3"/>
    <w:unhideWhenUsed/>
    <w:qFormat/>
    <w:pPr>
      <w:widowControl/>
      <w:jc w:val="left"/>
    </w:pPr>
    <w:rPr>
      <w:rFonts w:ascii="宋体" w:hAnsi="宋体" w:cs="宋体" w:hint="eastAsia"/>
      <w:sz w:val="28"/>
      <w:szCs w:val="20"/>
    </w:rPr>
  </w:style>
  <w:style w:type="paragraph" w:customStyle="1" w:styleId="afffffffffffffffffffffffff2">
    <w:name w:val="表格文字小四号"/>
    <w:basedOn w:val="a3"/>
    <w:unhideWhenUsed/>
    <w:qFormat/>
    <w:pPr>
      <w:widowControl/>
      <w:spacing w:line="320" w:lineRule="exact"/>
      <w:jc w:val="center"/>
    </w:pPr>
    <w:rPr>
      <w:rFonts w:ascii="宋体" w:hAnsi="宋体" w:cs="宋体" w:hint="eastAsia"/>
      <w:szCs w:val="18"/>
    </w:rPr>
  </w:style>
  <w:style w:type="paragraph" w:customStyle="1" w:styleId="3232">
    <w:name w:val="正文3 + 首行缩进:  2 字符3 + 首行缩进:  2 字符"/>
    <w:basedOn w:val="a3"/>
    <w:unhideWhenUsed/>
    <w:qFormat/>
    <w:pPr>
      <w:widowControl/>
      <w:suppressAutoHyphens/>
      <w:overflowPunct w:val="0"/>
      <w:topLinePunct/>
      <w:spacing w:line="480" w:lineRule="exact"/>
      <w:ind w:firstLine="501"/>
      <w:jc w:val="left"/>
    </w:pPr>
    <w:rPr>
      <w:rFonts w:ascii="宋体" w:hAnsi="宋体" w:cs="宋体" w:hint="eastAsia"/>
      <w:szCs w:val="24"/>
      <w:lang w:val="zh-CN"/>
    </w:rPr>
  </w:style>
  <w:style w:type="paragraph" w:customStyle="1" w:styleId="afffffffffffffffffffffffff3">
    <w:name w:val="扉页"/>
    <w:basedOn w:val="a3"/>
    <w:unhideWhenUsed/>
    <w:qFormat/>
    <w:pPr>
      <w:widowControl/>
      <w:tabs>
        <w:tab w:val="left" w:pos="606"/>
      </w:tabs>
      <w:autoSpaceDE w:val="0"/>
      <w:autoSpaceDN w:val="0"/>
      <w:spacing w:line="520" w:lineRule="exact"/>
      <w:ind w:firstLine="454"/>
      <w:jc w:val="left"/>
    </w:pPr>
    <w:rPr>
      <w:rFonts w:ascii="宋体" w:hAnsi="宋体" w:cs="宋体" w:hint="eastAsia"/>
      <w:szCs w:val="24"/>
    </w:rPr>
  </w:style>
  <w:style w:type="paragraph" w:customStyle="1" w:styleId="323221">
    <w:name w:val="样式 正文3 + 首行缩进:  2 字符3 + 首行缩进:  2 字符 + 首行缩进:  2 字符1"/>
    <w:basedOn w:val="3232"/>
    <w:unhideWhenUsed/>
    <w:qFormat/>
    <w:pPr>
      <w:ind w:firstLine="469"/>
    </w:pPr>
    <w:rPr>
      <w:szCs w:val="20"/>
    </w:rPr>
  </w:style>
  <w:style w:type="paragraph" w:customStyle="1" w:styleId="3013424">
    <w:name w:val="样式 标题 3 + 黑体 小四 段前: 0 磅 段后: 13.4 磅 行距: 固定值 24 磅"/>
    <w:basedOn w:val="31"/>
    <w:unhideWhenUsed/>
    <w:qFormat/>
    <w:pPr>
      <w:widowControl/>
      <w:spacing w:before="50" w:after="240" w:line="480" w:lineRule="exact"/>
      <w:jc w:val="left"/>
    </w:pPr>
    <w:rPr>
      <w:rFonts w:ascii="黑体" w:hAnsi="宋体" w:cs="宋体"/>
      <w:sz w:val="28"/>
      <w:szCs w:val="20"/>
    </w:rPr>
  </w:style>
  <w:style w:type="paragraph" w:customStyle="1" w:styleId="30134240">
    <w:name w:val="样式 标题 3 + 黑体 小四 红色 段前: 0 磅 段后: 13.4 磅 行距: 固定值 24 磅"/>
    <w:basedOn w:val="31"/>
    <w:unhideWhenUsed/>
    <w:qFormat/>
    <w:pPr>
      <w:widowControl/>
      <w:spacing w:before="50" w:after="240" w:line="480" w:lineRule="exact"/>
      <w:jc w:val="left"/>
    </w:pPr>
    <w:rPr>
      <w:rFonts w:ascii="黑体" w:eastAsia="黑体" w:hAnsi="宋体" w:cs="宋体"/>
      <w:color w:val="FF0000"/>
      <w:sz w:val="28"/>
      <w:szCs w:val="20"/>
    </w:rPr>
  </w:style>
  <w:style w:type="paragraph" w:customStyle="1" w:styleId="3013424050">
    <w:name w:val="样式 样式 标题 3 + 黑体 小四 红色 段前: 0 磅 段后: 13.4 磅 行距: 固定值 24 磅 + 段前: 0.5 行"/>
    <w:basedOn w:val="31"/>
    <w:unhideWhenUsed/>
    <w:qFormat/>
    <w:pPr>
      <w:widowControl/>
      <w:spacing w:before="260" w:after="260" w:line="416" w:lineRule="auto"/>
      <w:jc w:val="left"/>
    </w:pPr>
    <w:rPr>
      <w:rFonts w:ascii="宋体" w:hAnsi="宋体" w:cs="宋体"/>
    </w:rPr>
  </w:style>
  <w:style w:type="paragraph" w:customStyle="1" w:styleId="301342400">
    <w:name w:val="样式 样式 样式 标题 3 + 黑体 小四 红色 段前: 0 磅 段后: 13.4 磅 行距: 固定值 24 磅 + 段前: 0..."/>
    <w:basedOn w:val="3013424050"/>
    <w:next w:val="a3"/>
    <w:unhideWhenUsed/>
    <w:qFormat/>
    <w:pPr>
      <w:spacing w:before="120" w:after="240" w:line="415" w:lineRule="auto"/>
    </w:pPr>
    <w:rPr>
      <w:sz w:val="28"/>
    </w:rPr>
  </w:style>
  <w:style w:type="paragraph" w:customStyle="1" w:styleId="307824">
    <w:name w:val="样式 标题 3 + 黑体 小四 红色 段前: 0 磅 段后: 7.8 磅 行距: 固定值 24 磅"/>
    <w:basedOn w:val="31"/>
    <w:unhideWhenUsed/>
    <w:qFormat/>
    <w:pPr>
      <w:widowControl/>
      <w:spacing w:before="50" w:after="240" w:line="480" w:lineRule="exact"/>
      <w:jc w:val="left"/>
    </w:pPr>
    <w:rPr>
      <w:rFonts w:ascii="黑体" w:hAnsi="宋体" w:cs="宋体"/>
      <w:color w:val="000000"/>
      <w:sz w:val="28"/>
      <w:szCs w:val="20"/>
    </w:rPr>
  </w:style>
  <w:style w:type="paragraph" w:customStyle="1" w:styleId="30782405">
    <w:name w:val="样式 样式 标题 3 + 黑体 小四 红色 段前: 0 磅 段后: 7.8 磅 行距: 固定值 24 磅 + 段前: 0.5 行"/>
    <w:basedOn w:val="307824"/>
    <w:unhideWhenUsed/>
    <w:qFormat/>
    <w:pPr>
      <w:spacing w:line="415" w:lineRule="auto"/>
    </w:pPr>
  </w:style>
  <w:style w:type="paragraph" w:customStyle="1" w:styleId="-40">
    <w:name w:val="报告正文-4号字"/>
    <w:basedOn w:val="a3"/>
    <w:unhideWhenUsed/>
    <w:qFormat/>
    <w:pPr>
      <w:keepNext/>
      <w:widowControl/>
      <w:spacing w:line="500" w:lineRule="exact"/>
      <w:jc w:val="left"/>
    </w:pPr>
    <w:rPr>
      <w:rFonts w:ascii="宋体" w:hAnsi="宋体" w:cs="宋体" w:hint="eastAsia"/>
      <w:sz w:val="28"/>
      <w:szCs w:val="24"/>
    </w:rPr>
  </w:style>
  <w:style w:type="paragraph" w:customStyle="1" w:styleId="025">
    <w:name w:val="样式 表格 + 段后: 0.25 行"/>
    <w:unhideWhenUsed/>
    <w:qFormat/>
    <w:pPr>
      <w:keepNext/>
      <w:spacing w:before="60" w:afterLines="25" w:after="25"/>
    </w:pPr>
    <w:rPr>
      <w:rFonts w:ascii="宋体" w:hAnsi="宋体" w:cs="宋体" w:hint="eastAsia"/>
      <w:sz w:val="21"/>
    </w:rPr>
  </w:style>
  <w:style w:type="paragraph" w:customStyle="1" w:styleId="Char90">
    <w:name w:val="Char9"/>
    <w:basedOn w:val="a3"/>
    <w:unhideWhenUsed/>
    <w:qFormat/>
    <w:pPr>
      <w:widowControl/>
      <w:jc w:val="left"/>
    </w:pPr>
    <w:rPr>
      <w:rFonts w:ascii="宋体" w:hAnsi="宋体" w:cs="宋体" w:hint="eastAsia"/>
      <w:sz w:val="21"/>
      <w:szCs w:val="24"/>
    </w:rPr>
  </w:style>
  <w:style w:type="paragraph" w:customStyle="1" w:styleId="11CharCharCharCharCharCharChar">
    <w:name w:val="样式 标题 1标题 1 Char Char Char Char Char Char Char + 宋体 小四 两端对齐 ..."/>
    <w:basedOn w:val="1"/>
    <w:unhideWhenUsed/>
    <w:qFormat/>
    <w:pPr>
      <w:pageBreakBefore/>
      <w:widowControl/>
      <w:spacing w:beforeLines="50" w:before="120" w:after="120" w:line="480" w:lineRule="exact"/>
    </w:pPr>
    <w:rPr>
      <w:rFonts w:ascii="宋体" w:hAnsi="宋体" w:cs="宋体"/>
      <w:sz w:val="24"/>
      <w:szCs w:val="20"/>
    </w:rPr>
  </w:style>
  <w:style w:type="paragraph" w:customStyle="1" w:styleId="1330">
    <w:name w:val="样式 13 磅 黑色 行距: 固定值 30 磅"/>
    <w:basedOn w:val="a3"/>
    <w:unhideWhenUsed/>
    <w:qFormat/>
    <w:pPr>
      <w:widowControl/>
      <w:ind w:firstLine="520"/>
      <w:jc w:val="left"/>
    </w:pPr>
    <w:rPr>
      <w:rFonts w:ascii="宋体" w:hAnsi="宋体" w:cs="宋体" w:hint="eastAsia"/>
      <w:sz w:val="26"/>
      <w:szCs w:val="20"/>
    </w:rPr>
  </w:style>
  <w:style w:type="paragraph" w:customStyle="1" w:styleId="afffffffffffffffffffffffff4">
    <w:name w:val="封皮"/>
    <w:basedOn w:val="a3"/>
    <w:link w:val="Charfffffff2"/>
    <w:unhideWhenUsed/>
    <w:qFormat/>
    <w:pPr>
      <w:adjustRightInd w:val="0"/>
      <w:snapToGrid w:val="0"/>
      <w:ind w:firstLine="843"/>
      <w:jc w:val="center"/>
    </w:pPr>
    <w:rPr>
      <w:rFonts w:cs="宋体" w:hint="eastAsia"/>
      <w:b/>
      <w:sz w:val="42"/>
      <w:szCs w:val="20"/>
    </w:rPr>
  </w:style>
  <w:style w:type="paragraph" w:customStyle="1" w:styleId="1fffffff0">
    <w:name w:val="样式 1"/>
    <w:link w:val="1Charf0"/>
    <w:unhideWhenUsed/>
    <w:qFormat/>
    <w:pPr>
      <w:ind w:firstLine="600"/>
    </w:pPr>
    <w:rPr>
      <w:rFonts w:ascii="仿宋_GB2312" w:eastAsia="仿宋_GB2312" w:hint="eastAsia"/>
      <w:kern w:val="2"/>
      <w:sz w:val="30"/>
      <w:szCs w:val="30"/>
    </w:rPr>
  </w:style>
  <w:style w:type="paragraph" w:customStyle="1" w:styleId="Afffffffffffffffffffffffff5">
    <w:name w:val="正文 A"/>
    <w:unhideWhenUsed/>
    <w:qFormat/>
    <w:rPr>
      <w:rFonts w:ascii="宋体" w:hAnsi="宋体" w:cs="宋体" w:hint="eastAsia"/>
      <w:color w:val="000000"/>
      <w:sz w:val="24"/>
      <w:szCs w:val="24"/>
      <w:u w:color="000000"/>
    </w:rPr>
  </w:style>
  <w:style w:type="paragraph" w:customStyle="1" w:styleId="3013424051">
    <w:name w:val="样式 样式 样式 标题 3 + 黑体 小四 段前: 0 磅 段后: 13.4 磅 行距: 固定值 24 磅 + 段前: 0.5 ..."/>
    <w:basedOn w:val="301342405"/>
    <w:unhideWhenUsed/>
    <w:qFormat/>
    <w:pPr>
      <w:widowControl w:val="0"/>
      <w:spacing w:before="120"/>
      <w:jc w:val="both"/>
    </w:pPr>
    <w:rPr>
      <w:rFonts w:hint="eastAsia"/>
      <w:sz w:val="24"/>
    </w:rPr>
  </w:style>
  <w:style w:type="paragraph" w:customStyle="1" w:styleId="4fe">
    <w:name w:val="4级"/>
    <w:basedOn w:val="a3"/>
    <w:unhideWhenUsed/>
    <w:qFormat/>
    <w:pPr>
      <w:widowControl/>
      <w:jc w:val="left"/>
      <w:outlineLvl w:val="4"/>
    </w:pPr>
    <w:rPr>
      <w:rFonts w:eastAsia="仿宋_GB2312" w:hint="eastAsia"/>
      <w:sz w:val="28"/>
      <w:szCs w:val="20"/>
    </w:rPr>
  </w:style>
  <w:style w:type="paragraph" w:customStyle="1" w:styleId="afffffffffffffffffffffffff6">
    <w:name w:val="默认段落"/>
    <w:basedOn w:val="a3"/>
    <w:link w:val="Charfffffff3"/>
    <w:unhideWhenUsed/>
    <w:qFormat/>
    <w:pPr>
      <w:topLinePunct/>
      <w:adjustRightInd w:val="0"/>
      <w:snapToGrid w:val="0"/>
    </w:pPr>
    <w:rPr>
      <w:rFonts w:hint="eastAsia"/>
      <w:szCs w:val="24"/>
      <w:lang w:val="zh-CN"/>
    </w:rPr>
  </w:style>
  <w:style w:type="paragraph" w:customStyle="1" w:styleId="Char80">
    <w:name w:val="Char8"/>
    <w:basedOn w:val="a3"/>
    <w:unhideWhenUsed/>
    <w:qFormat/>
    <w:pPr>
      <w:widowControl/>
      <w:jc w:val="left"/>
    </w:pPr>
    <w:rPr>
      <w:rFonts w:ascii="宋体" w:hAnsi="宋体" w:cs="宋体" w:hint="eastAsia"/>
      <w:sz w:val="21"/>
      <w:szCs w:val="24"/>
    </w:rPr>
  </w:style>
  <w:style w:type="paragraph" w:customStyle="1" w:styleId="msonormal0">
    <w:name w:val="msonormal"/>
    <w:basedOn w:val="a3"/>
    <w:unhideWhenUsed/>
    <w:qFormat/>
    <w:pPr>
      <w:widowControl/>
      <w:spacing w:before="100" w:beforeAutospacing="1" w:after="100" w:afterAutospacing="1"/>
      <w:jc w:val="left"/>
    </w:pPr>
    <w:rPr>
      <w:rFonts w:ascii="宋体" w:hAnsi="宋体" w:cs="宋体" w:hint="eastAsia"/>
      <w:szCs w:val="24"/>
    </w:rPr>
  </w:style>
  <w:style w:type="paragraph" w:customStyle="1" w:styleId="Afffffffffffffffffffffffff7">
    <w:name w:val="表头A"/>
    <w:basedOn w:val="a3"/>
    <w:unhideWhenUsed/>
    <w:qFormat/>
    <w:pPr>
      <w:spacing w:after="200" w:line="400" w:lineRule="exact"/>
      <w:ind w:firstLine="420"/>
      <w:jc w:val="center"/>
    </w:pPr>
    <w:rPr>
      <w:rFonts w:hint="eastAsia"/>
      <w:sz w:val="21"/>
      <w:szCs w:val="22"/>
    </w:rPr>
  </w:style>
  <w:style w:type="paragraph" w:customStyle="1" w:styleId="1fffffff1">
    <w:name w:val="正文文本1"/>
    <w:basedOn w:val="a3"/>
    <w:link w:val="Char1ff6"/>
    <w:unhideWhenUsed/>
    <w:qFormat/>
    <w:pPr>
      <w:widowControl/>
      <w:spacing w:after="120"/>
      <w:jc w:val="left"/>
    </w:pPr>
    <w:rPr>
      <w:rFonts w:hint="eastAsia"/>
      <w:szCs w:val="24"/>
    </w:rPr>
  </w:style>
  <w:style w:type="paragraph" w:customStyle="1" w:styleId="0A16">
    <w:name w:val="0A 表格内文字小五16"/>
    <w:unhideWhenUsed/>
    <w:qFormat/>
    <w:pPr>
      <w:snapToGrid w:val="0"/>
      <w:spacing w:line="320" w:lineRule="exact"/>
      <w:jc w:val="center"/>
    </w:pPr>
    <w:rPr>
      <w:rFonts w:hint="eastAsia"/>
      <w:spacing w:val="5"/>
      <w:kern w:val="2"/>
      <w:sz w:val="18"/>
      <w:szCs w:val="21"/>
      <w:lang w:bidi="he-IL"/>
    </w:rPr>
  </w:style>
  <w:style w:type="character" w:customStyle="1" w:styleId="1fffffff2">
    <w:name w:val="不明显强调1"/>
    <w:uiPriority w:val="19"/>
    <w:unhideWhenUsed/>
    <w:qFormat/>
    <w:rPr>
      <w:rFonts w:hint="default"/>
      <w:i/>
      <w:color w:val="808080"/>
      <w:sz w:val="24"/>
      <w:szCs w:val="24"/>
    </w:rPr>
  </w:style>
  <w:style w:type="character" w:customStyle="1" w:styleId="5Char0">
    <w:name w:val="5级正文 Char"/>
    <w:link w:val="57"/>
    <w:unhideWhenUsed/>
    <w:qFormat/>
    <w:rPr>
      <w:rFonts w:hint="default"/>
      <w:b/>
      <w:kern w:val="2"/>
      <w:sz w:val="24"/>
      <w:szCs w:val="24"/>
    </w:rPr>
  </w:style>
  <w:style w:type="character" w:customStyle="1" w:styleId="1fffffff3">
    <w:name w:val="明显强调1"/>
    <w:unhideWhenUsed/>
    <w:qFormat/>
    <w:rPr>
      <w:rFonts w:eastAsia="黑体" w:hint="default"/>
      <w:color w:val="auto"/>
      <w:sz w:val="21"/>
      <w:szCs w:val="24"/>
    </w:rPr>
  </w:style>
  <w:style w:type="character" w:customStyle="1" w:styleId="1fffffff4">
    <w:name w:val="不明显参考1"/>
    <w:unhideWhenUsed/>
    <w:qFormat/>
    <w:rPr>
      <w:rFonts w:hint="default"/>
      <w:smallCaps/>
      <w:color w:val="C0504D"/>
      <w:sz w:val="24"/>
      <w:szCs w:val="24"/>
      <w:u w:val="single"/>
    </w:rPr>
  </w:style>
  <w:style w:type="character" w:customStyle="1" w:styleId="1fffffff5">
    <w:name w:val="明显参考1"/>
    <w:unhideWhenUsed/>
    <w:qFormat/>
    <w:rPr>
      <w:rFonts w:hint="default"/>
      <w:b/>
      <w:smallCaps/>
      <w:color w:val="C0504D"/>
      <w:spacing w:val="5"/>
      <w:sz w:val="24"/>
      <w:szCs w:val="24"/>
      <w:u w:val="single"/>
    </w:rPr>
  </w:style>
  <w:style w:type="character" w:customStyle="1" w:styleId="1fffffff6">
    <w:name w:val="书籍标题1"/>
    <w:unhideWhenUsed/>
    <w:qFormat/>
    <w:rPr>
      <w:rFonts w:hint="default"/>
      <w:b/>
      <w:smallCaps/>
      <w:spacing w:val="5"/>
      <w:sz w:val="24"/>
      <w:szCs w:val="24"/>
    </w:rPr>
  </w:style>
  <w:style w:type="character" w:customStyle="1" w:styleId="1CharCharCharCharCharCharCharChar1">
    <w:name w:val="标题 1 Char Char Char Char Char Char Char Char1"/>
    <w:unhideWhenUsed/>
    <w:qFormat/>
    <w:rPr>
      <w:rFonts w:ascii="宋体" w:eastAsia="黑体" w:hAnsi="宋体" w:hint="eastAsia"/>
      <w:b/>
      <w:kern w:val="44"/>
      <w:sz w:val="44"/>
      <w:szCs w:val="24"/>
      <w:lang w:val="en-US" w:eastAsia="zh-CN"/>
    </w:rPr>
  </w:style>
  <w:style w:type="character" w:customStyle="1" w:styleId="Charfffffff4">
    <w:name w:val="页脚 Char"/>
    <w:uiPriority w:val="99"/>
    <w:unhideWhenUsed/>
    <w:qFormat/>
    <w:rPr>
      <w:rFonts w:ascii="宋体" w:eastAsia="宋体" w:hint="eastAsia"/>
      <w:sz w:val="18"/>
      <w:szCs w:val="24"/>
    </w:rPr>
  </w:style>
  <w:style w:type="character" w:customStyle="1" w:styleId="unnamed1">
    <w:name w:val="unnamed1"/>
    <w:basedOn w:val="a6"/>
    <w:unhideWhenUsed/>
    <w:qFormat/>
    <w:rPr>
      <w:rFonts w:cs="Times New Roman" w:hint="default"/>
      <w:sz w:val="24"/>
      <w:szCs w:val="24"/>
    </w:rPr>
  </w:style>
  <w:style w:type="character" w:customStyle="1" w:styleId="3232Char">
    <w:name w:val="正文3 + 首行缩进:  2 字符3 + 首行缩进:  2 字符 Char"/>
    <w:unhideWhenUsed/>
    <w:qFormat/>
    <w:rPr>
      <w:rFonts w:ascii="宋体" w:eastAsia="宋体" w:hAnsi="宋体" w:hint="eastAsia"/>
      <w:sz w:val="24"/>
      <w:szCs w:val="24"/>
      <w:lang w:val="zh-CN" w:eastAsia="zh-CN"/>
    </w:rPr>
  </w:style>
  <w:style w:type="character" w:customStyle="1" w:styleId="highlight1">
    <w:name w:val="highlight1"/>
    <w:unhideWhenUsed/>
    <w:qFormat/>
    <w:rPr>
      <w:rFonts w:hint="default"/>
      <w:sz w:val="21"/>
      <w:szCs w:val="24"/>
    </w:rPr>
  </w:style>
  <w:style w:type="character" w:customStyle="1" w:styleId="1CharCharCharCharCharCharCharChar">
    <w:name w:val="标题 1 Char Char Char Char Char Char Char Char"/>
    <w:unhideWhenUsed/>
    <w:qFormat/>
    <w:rPr>
      <w:rFonts w:hint="default"/>
      <w:kern w:val="44"/>
      <w:sz w:val="28"/>
      <w:szCs w:val="24"/>
    </w:rPr>
  </w:style>
  <w:style w:type="character" w:customStyle="1" w:styleId="-4Char1">
    <w:name w:val="报告正文-4号字 Char1"/>
    <w:unhideWhenUsed/>
    <w:qFormat/>
    <w:rPr>
      <w:rFonts w:ascii="宋体" w:eastAsia="宋体" w:hint="eastAsia"/>
      <w:kern w:val="2"/>
      <w:sz w:val="28"/>
      <w:szCs w:val="24"/>
      <w:lang w:val="en-US" w:eastAsia="zh-CN"/>
    </w:rPr>
  </w:style>
  <w:style w:type="character" w:customStyle="1" w:styleId="67">
    <w:name w:val="标题6"/>
    <w:basedOn w:val="a6"/>
    <w:unhideWhenUsed/>
    <w:qFormat/>
    <w:rPr>
      <w:rFonts w:cs="Times New Roman" w:hint="default"/>
      <w:sz w:val="24"/>
      <w:szCs w:val="24"/>
    </w:rPr>
  </w:style>
  <w:style w:type="character" w:customStyle="1" w:styleId="wen21">
    <w:name w:val="wen21"/>
    <w:unhideWhenUsed/>
    <w:qFormat/>
    <w:rPr>
      <w:rFonts w:hint="default"/>
      <w:color w:val="000000"/>
      <w:sz w:val="18"/>
      <w:szCs w:val="24"/>
    </w:rPr>
  </w:style>
  <w:style w:type="character" w:customStyle="1" w:styleId="Charfffffff2">
    <w:name w:val="封皮 Char"/>
    <w:link w:val="afffffffffffffffffffffffff4"/>
    <w:unhideWhenUsed/>
    <w:qFormat/>
    <w:rPr>
      <w:rFonts w:hint="default"/>
      <w:b/>
      <w:kern w:val="2"/>
      <w:sz w:val="42"/>
      <w:szCs w:val="24"/>
    </w:rPr>
  </w:style>
  <w:style w:type="character" w:customStyle="1" w:styleId="styleliwei31">
    <w:name w:val="styleliwei31"/>
    <w:unhideWhenUsed/>
    <w:qFormat/>
    <w:rPr>
      <w:rFonts w:ascii="??" w:hint="default"/>
      <w:color w:val="000000"/>
      <w:sz w:val="21"/>
      <w:szCs w:val="24"/>
    </w:rPr>
  </w:style>
  <w:style w:type="character" w:customStyle="1" w:styleId="1Charf0">
    <w:name w:val="样式 1 Char"/>
    <w:link w:val="1fffffff0"/>
    <w:unhideWhenUsed/>
    <w:qFormat/>
    <w:rPr>
      <w:rFonts w:ascii="仿宋_GB2312" w:eastAsia="仿宋_GB2312" w:hint="eastAsia"/>
      <w:kern w:val="2"/>
      <w:sz w:val="30"/>
      <w:szCs w:val="24"/>
    </w:rPr>
  </w:style>
  <w:style w:type="character" w:customStyle="1" w:styleId="Charfffffff5">
    <w:name w:val="批注文字 Char"/>
    <w:unhideWhenUsed/>
    <w:qFormat/>
    <w:rPr>
      <w:rFonts w:ascii="宋体" w:eastAsia="宋体" w:hint="eastAsia"/>
      <w:sz w:val="24"/>
      <w:szCs w:val="24"/>
    </w:rPr>
  </w:style>
  <w:style w:type="character" w:customStyle="1" w:styleId="Charfffffff6">
    <w:name w:val="批注主题 Char"/>
    <w:unhideWhenUsed/>
    <w:qFormat/>
    <w:rPr>
      <w:rFonts w:ascii="宋体" w:eastAsia="宋体" w:hint="eastAsia"/>
      <w:b/>
      <w:sz w:val="24"/>
      <w:szCs w:val="24"/>
    </w:rPr>
  </w:style>
  <w:style w:type="character" w:customStyle="1" w:styleId="afffffffffffffffffffffffff8">
    <w:name w:val="无"/>
    <w:unhideWhenUsed/>
    <w:qFormat/>
    <w:rPr>
      <w:rFonts w:hint="default"/>
      <w:sz w:val="24"/>
      <w:szCs w:val="24"/>
    </w:rPr>
  </w:style>
  <w:style w:type="character" w:customStyle="1" w:styleId="font01">
    <w:name w:val="font01"/>
    <w:unhideWhenUsed/>
    <w:qFormat/>
    <w:rPr>
      <w:rFonts w:ascii="宋体" w:eastAsia="宋体" w:hAnsi="宋体" w:hint="eastAsia"/>
      <w:color w:val="000000"/>
      <w:sz w:val="21"/>
      <w:szCs w:val="24"/>
    </w:rPr>
  </w:style>
  <w:style w:type="character" w:customStyle="1" w:styleId="Charfffffff3">
    <w:name w:val="默认段落 Char"/>
    <w:link w:val="afffffffffffffffffffffffff6"/>
    <w:unhideWhenUsed/>
    <w:qFormat/>
    <w:rPr>
      <w:rFonts w:hint="default"/>
      <w:sz w:val="24"/>
      <w:szCs w:val="24"/>
      <w:lang w:val="zh-CN"/>
    </w:rPr>
  </w:style>
  <w:style w:type="character" w:customStyle="1" w:styleId="78">
    <w:name w:val="标题7"/>
    <w:basedOn w:val="a6"/>
    <w:unhideWhenUsed/>
    <w:qFormat/>
    <w:rPr>
      <w:rFonts w:cs="Times New Roman" w:hint="default"/>
      <w:sz w:val="24"/>
      <w:szCs w:val="24"/>
    </w:rPr>
  </w:style>
  <w:style w:type="character" w:customStyle="1" w:styleId="Char1ff6">
    <w:name w:val="正文文本 Char1"/>
    <w:link w:val="1fffffff1"/>
    <w:unhideWhenUsed/>
    <w:qFormat/>
    <w:rPr>
      <w:rFonts w:hint="default"/>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3.3.3.2" TargetMode="External"/><Relationship Id="rId39" Type="http://schemas.openxmlformats.org/officeDocument/2006/relationships/hyperlink" Target="https://upimg.baike.so.com/doc/5417156-5655301.html" TargetMode="External"/><Relationship Id="rId21" Type="http://schemas.openxmlformats.org/officeDocument/2006/relationships/header" Target="header6.xml"/><Relationship Id="rId34" Type="http://schemas.openxmlformats.org/officeDocument/2006/relationships/image" Target="media/image7.wmf"/><Relationship Id="rId42" Type="http://schemas.openxmlformats.org/officeDocument/2006/relationships/hyperlink" Target="https://www.baidu.com/s?wd=%E5%A1%94%E9%87%8C%E6%9C%A8%E7%9B%86%E5%9C%B0&amp;rsv_idx=2&amp;tn=baiduhome_pg&amp;usm=2&amp;ie=utf-8&amp;rsv_pq=fbf1c49d000eb56c&amp;oq=%E5%9B%BE%E6%9C%A8%E8%88%92%E5%85%8B%E5%B8%82%E5%9C%B0%E5%BD%A2%E5%9C%B0%E8%B2%8C&amp;rsv_t=7795B0Up6go0CkUhJ4uMN2uHWohoZCrSKnM/oCEUDug5wmtkwKzNSD3f1kkmjHN05ene&amp;rsv_dl=re_dqa_generate&amp;sa=re_dqa_generate" TargetMode="External"/><Relationship Id="rId47" Type="http://schemas.openxmlformats.org/officeDocument/2006/relationships/hyperlink" Target="https://baike.so.com/doc/5716188-5928914.html" TargetMode="External"/><Relationship Id="rId50" Type="http://schemas.openxmlformats.org/officeDocument/2006/relationships/hyperlink" Target="https://baike.baidu.com/item/%E6%9E%97%E7%BC%98/0?fromModule=lemma_inlink" TargetMode="External"/><Relationship Id="rId55" Type="http://schemas.openxmlformats.org/officeDocument/2006/relationships/hyperlink" Target="5.5.4.3" TargetMode="External"/><Relationship Id="rId63" Type="http://schemas.openxmlformats.org/officeDocument/2006/relationships/image" Target="media/image11.wmf"/><Relationship Id="rId68" Type="http://schemas.openxmlformats.org/officeDocument/2006/relationships/oleObject" Target="embeddings/oleObject9.bin"/><Relationship Id="rId76" Type="http://schemas.openxmlformats.org/officeDocument/2006/relationships/image" Target="media/image20.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3.3.3.2" TargetMode="External"/><Relationship Id="rId32" Type="http://schemas.openxmlformats.org/officeDocument/2006/relationships/image" Target="media/image6.wmf"/><Relationship Id="rId37" Type="http://schemas.openxmlformats.org/officeDocument/2006/relationships/footer" Target="footer8.xml"/><Relationship Id="rId40" Type="http://schemas.openxmlformats.org/officeDocument/2006/relationships/hyperlink" Target="https://upimg.baike.so.com/doc/3467887-3648789.html" TargetMode="External"/><Relationship Id="rId45" Type="http://schemas.openxmlformats.org/officeDocument/2006/relationships/hyperlink" Target="https://baike.so.com/doc/5716188-5928914.html" TargetMode="External"/><Relationship Id="rId53" Type="http://schemas.openxmlformats.org/officeDocument/2006/relationships/hyperlink" Target="https://baike.baidu.com/item/%E7%81%8C%E6%9C%A8/0?fromModule=lemma_inlink" TargetMode="External"/><Relationship Id="rId58" Type="http://schemas.openxmlformats.org/officeDocument/2006/relationships/image" Target="media/image9.wmf"/><Relationship Id="rId66" Type="http://schemas.openxmlformats.org/officeDocument/2006/relationships/oleObject" Target="embeddings/oleObject8.bin"/><Relationship Id="rId74" Type="http://schemas.openxmlformats.org/officeDocument/2006/relationships/image" Target="media/image18.png"/><Relationship Id="rId79" Type="http://schemas.openxmlformats.org/officeDocument/2006/relationships/image" Target="media/image23.wmf"/><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5.jpeg"/><Relationship Id="rId44" Type="http://schemas.openxmlformats.org/officeDocument/2006/relationships/hyperlink" Target="https://www.baidu.com/s?rsv_dl=re_dqa_generate&amp;sa=re_dqa_generate&amp;wd=%E5%96%80%E4%BB%80%E5%99%B6%E5%B0%94%E6%B2%B3&amp;rsv_pq=a75d24fd0007731a&amp;oq=%E5%B7%B4%E6%A5%9A%E5%8E%BF%E5%9C%B0%E5%BD%A2%E5%9C%B0%E8%B2%8C&amp;rsv_t=78cbTgdOmdjT0WreSTChh/WVAwHKxfXMlw4sUgTfXLXf/FaQxVQF3Z6iaaeifaqvLx/9&amp;tn=baiduhome_pg&amp;ie=utf-8" TargetMode="External"/><Relationship Id="rId52" Type="http://schemas.openxmlformats.org/officeDocument/2006/relationships/hyperlink" Target="https://baike.baidu.com/item/%E5%8D%8A%E8%8D%92%E6%BC%A0/0?fromModule=lemma_inlink" TargetMode="External"/><Relationship Id="rId60" Type="http://schemas.openxmlformats.org/officeDocument/2006/relationships/image" Target="media/image10.wmf"/><Relationship Id="rId65" Type="http://schemas.openxmlformats.org/officeDocument/2006/relationships/image" Target="media/image12.wmf"/><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zhb.gov.cn/gkml/hbb/bgg/201112/W020111222564464175052.pdf" TargetMode="External"/><Relationship Id="rId22" Type="http://schemas.openxmlformats.org/officeDocument/2006/relationships/footer" Target="footer7.xm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oleObject" Target="embeddings/oleObject2.bin"/><Relationship Id="rId43" Type="http://schemas.openxmlformats.org/officeDocument/2006/relationships/hyperlink" Target="https://www.baidu.com/s?rsv_dl=re_dqa_generate&amp;sa=re_dqa_generate&amp;wd=%E5%8F%B6%E5%B0%94%E7%BE%8C%E6%B2%B3&amp;rsv_pq=a75d24fd0007731a&amp;oq=%E5%B7%B4%E6%A5%9A%E5%8E%BF%E5%9C%B0%E5%BD%A2%E5%9C%B0%E8%B2%8C&amp;rsv_t=78cbTgdOmdjT0WreSTChh/WVAwHKxfXMlw4sUgTfXLXf/FaQxVQF3Z6iaaeifaqvLx/9&amp;tn=baiduhome_pg&amp;ie=utf-8" TargetMode="External"/><Relationship Id="rId48" Type="http://schemas.openxmlformats.org/officeDocument/2006/relationships/hyperlink" Target="https://baike.baidu.com/item/%E6%A3%AE%E6%9E%97/1370?fromModule=lemma_inlink" TargetMode="External"/><Relationship Id="rId56" Type="http://schemas.openxmlformats.org/officeDocument/2006/relationships/image" Target="media/image8.wmf"/><Relationship Id="rId64" Type="http://schemas.openxmlformats.org/officeDocument/2006/relationships/oleObject" Target="embeddings/oleObject7.bin"/><Relationship Id="rId69" Type="http://schemas.openxmlformats.org/officeDocument/2006/relationships/image" Target="media/image14.png"/><Relationship Id="rId77"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s://baike.baidu.com/item/%E8%8D%92%E6%BC%A0/0?fromModule=lemma_inlink" TargetMode="External"/><Relationship Id="rId72" Type="http://schemas.openxmlformats.org/officeDocument/2006/relationships/image" Target="media/image16.wmf"/><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3.3.3.1" TargetMode="External"/><Relationship Id="rId33" Type="http://schemas.openxmlformats.org/officeDocument/2006/relationships/oleObject" Target="embeddings/oleObject1.bin"/><Relationship Id="rId38" Type="http://schemas.openxmlformats.org/officeDocument/2006/relationships/hyperlink" Target="https://upimg.baike.so.com/doc/2565006-2708805.html" TargetMode="External"/><Relationship Id="rId46" Type="http://schemas.openxmlformats.org/officeDocument/2006/relationships/hyperlink" Target="https://baike.so.com/doc/5716188-5928914.html" TargetMode="External"/><Relationship Id="rId59" Type="http://schemas.openxmlformats.org/officeDocument/2006/relationships/oleObject" Target="embeddings/oleObject4.bin"/><Relationship Id="rId67" Type="http://schemas.openxmlformats.org/officeDocument/2006/relationships/image" Target="media/image13.wmf"/><Relationship Id="rId20" Type="http://schemas.openxmlformats.org/officeDocument/2006/relationships/footer" Target="footer6.xml"/><Relationship Id="rId41" Type="http://schemas.openxmlformats.org/officeDocument/2006/relationships/hyperlink" Target="https://www.baidu.com/s?wd=%E5%A4%A9%E5%B1%B1&amp;rsv_idx=2&amp;tn=baiduhome_pg&amp;usm=2&amp;ie=utf-8&amp;rsv_pq=fbf1c49d000eb56c&amp;oq=%E5%9B%BE%E6%9C%A8%E8%88%92%E5%85%8B%E5%B8%82%E5%9C%B0%E5%BD%A2%E5%9C%B0%E8%B2%8C&amp;rsv_t=7795B0Up6go0CkUhJ4uMN2uHWohoZCrSKnM/oCEUDug5wmtkwKzNSD3f1kkmjHN05ene&amp;rsv_dl=re_dqa_generate&amp;sa=re_dqa_generate" TargetMode="External"/><Relationship Id="rId54" Type="http://schemas.openxmlformats.org/officeDocument/2006/relationships/hyperlink" Target="https://baike.baidu.com/item/%E6%82%AC%E5%B2%A9/0?fromModule=lemma_inlink" TargetMode="External"/><Relationship Id="rId62" Type="http://schemas.openxmlformats.org/officeDocument/2006/relationships/oleObject" Target="embeddings/oleObject6.bin"/><Relationship Id="rId70" Type="http://schemas.openxmlformats.org/officeDocument/2006/relationships/image" Target="media/image15.wmf"/><Relationship Id="rId75" Type="http://schemas.openxmlformats.org/officeDocument/2006/relationships/image" Target="media/image1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3.3.3.1" TargetMode="External"/><Relationship Id="rId28" Type="http://schemas.openxmlformats.org/officeDocument/2006/relationships/image" Target="media/image2.jpeg"/><Relationship Id="rId36" Type="http://schemas.openxmlformats.org/officeDocument/2006/relationships/header" Target="header7.xml"/><Relationship Id="rId49" Type="http://schemas.openxmlformats.org/officeDocument/2006/relationships/hyperlink" Target="https://baike.baidu.com/item/%E7%81%8C%E4%B8%9B/0?fromModule=lemma_inlink" TargetMode="External"/><Relationship Id="rId57"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123235</Words>
  <Characters>150347</Characters>
  <Application>Microsoft Office Word</Application>
  <DocSecurity>0</DocSecurity>
  <Lines>18793</Lines>
  <Paragraphs>15198</Paragraphs>
  <ScaleCrop>false</ScaleCrop>
  <Company>Microsoft</Company>
  <LinksUpToDate>false</LinksUpToDate>
  <CharactersWithSpaces>258384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487</cp:revision>
  <cp:lastPrinted>2023-08-04T09:28:00Z</cp:lastPrinted>
  <dcterms:created xsi:type="dcterms:W3CDTF">2020-03-31T13:01:00Z</dcterms:created>
  <dcterms:modified xsi:type="dcterms:W3CDTF">2025-06-26T09:38:00Z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F85CAF837C8949869F7885898A0F8DD1_13</vt:lpwstr>
  </property>
  <property fmtid="{D5CDD505-2E9C-101B-9397-08002B2CF9AE}" pid="4" name="KSOTemplateDocerSaveRecord">
    <vt:lpwstr>eyJoZGlkIjoiYzdlMWFmNmM2YTU5ODFlZjk0YTg2YzJkODMyNzEwMGYiLCJ1c2VySWQiOiI0MDk3MDY2NjMifQ==</vt:lpwstr>
  </property>
</Properties>
</file>