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月自治区14城市及兵团2城市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环境空气质量状况及排名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按照《关于印发&lt;自治区打赢蓝天保卫战三年行动计划（2018-2020年）&gt;的通知》（新政办发〔2018〕66号）的信息公开要求，现将2019年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月自治区14城市（地州市人民政府〈行政公署〉所在城市，下同）和兵团石河子、五家渠2城市空气质量状况及排名情况公开如下：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一、空气质量状况及变化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2019年9月，自治区14城市平均优良天数比例为90.7%，轻度污染比例为5.7%，中度污染比例为1.2%，重度污染比例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为0.5%，严重污染比例为1.9%，首要污染物为PM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和O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。与去年同期相比，平均优良天数比例增加10.2个百分点，轻度污染比例减少8.0个百分点，中度污染比例减少3.1个百分点，重度污染比例减少0.5个百分点，严重污染比例增加1.4个百分点。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兵团石河子、五家渠2城市平均优良天数比例为96.6%，轻度污染比例为1.7%，中度污染比例为1.7%，未出现重度及严重污染天气，首要污染物主要为O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。与去年同期相比，平均优良天数比例减少3.4个百分点，轻度污染比例增加1.7个百分点，中度污染比例增加1.7个百分点，重度及严重污染比例均持平。</w:t>
      </w:r>
    </w:p>
    <w:p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2019年9月，自治区14城市O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日最大8小时平均浓度为94μg/m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，与去年同期相比上升11.9%；NO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平均浓度为25μg/m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，同比上升8.7%；PM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平均浓度为85μg/m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，同比下降7.6%；PM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平均浓度为25μg/m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，同比下降10.7%；SO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平均浓度为7μg/m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，同比下降12.5%；CO平均浓度为0.6mg/m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，同比下降14.3%。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兵团2城市PM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平均浓度为65μg/m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，与去年同期相比上升27.5%；NO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平均浓度为33μg/m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，同比上升13.8%；PM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平均浓度为20μg/m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，同比上升11.1%；O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日最大8小时平均浓度为102μg/m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，同比上升10.9%；SO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平均浓度为11μg/m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，同比持平；CO平均浓度为0.6mg/m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，同比下降14.3%（见表1）。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2019年9月，自治区14城市共出现3次区域性沙尘天气，比去年同期增加1次；出现1次局地性沙尘天气，同比减少1次，沙尘天气强度增加，但持续时间、影响城市有所减少。兵团2城市未出现沙尘天气，同比持平。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sectPr>
          <w:pgSz w:w="11906" w:h="16838"/>
          <w:pgMar w:top="1134" w:right="1803" w:bottom="1134" w:left="1803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表1    自治区14城市及兵团2城市空气质量情况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/>
        </w:rPr>
        <w:t>(2019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年9月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88"/>
        <w:gridCol w:w="688"/>
        <w:gridCol w:w="718"/>
        <w:gridCol w:w="527"/>
        <w:gridCol w:w="527"/>
        <w:gridCol w:w="719"/>
        <w:gridCol w:w="510"/>
        <w:gridCol w:w="510"/>
        <w:gridCol w:w="719"/>
        <w:gridCol w:w="510"/>
        <w:gridCol w:w="510"/>
        <w:gridCol w:w="775"/>
        <w:gridCol w:w="510"/>
        <w:gridCol w:w="510"/>
        <w:gridCol w:w="775"/>
        <w:gridCol w:w="694"/>
        <w:gridCol w:w="694"/>
        <w:gridCol w:w="775"/>
        <w:gridCol w:w="694"/>
        <w:gridCol w:w="694"/>
        <w:gridCol w:w="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1264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城市</w:t>
            </w:r>
          </w:p>
        </w:tc>
        <w:tc>
          <w:tcPr>
            <w:tcW w:w="20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优良天数比例(AQI)</w:t>
            </w:r>
          </w:p>
        </w:tc>
        <w:tc>
          <w:tcPr>
            <w:tcW w:w="17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PM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bscript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7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PM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bscript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7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SO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7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NO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CO（mg/m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-8h（μg/m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1264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2018年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2019年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变化(百分点)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2018年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2019年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变化</w:t>
            </w:r>
          </w:p>
        </w:tc>
        <w:tc>
          <w:tcPr>
            <w:tcW w:w="510" w:type="dxa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2018年</w:t>
            </w:r>
          </w:p>
        </w:tc>
        <w:tc>
          <w:tcPr>
            <w:tcW w:w="51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2019年</w:t>
            </w:r>
          </w:p>
        </w:tc>
        <w:tc>
          <w:tcPr>
            <w:tcW w:w="719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变化</w:t>
            </w:r>
          </w:p>
        </w:tc>
        <w:tc>
          <w:tcPr>
            <w:tcW w:w="51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2018年</w:t>
            </w:r>
          </w:p>
        </w:tc>
        <w:tc>
          <w:tcPr>
            <w:tcW w:w="51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2019年</w:t>
            </w:r>
          </w:p>
        </w:tc>
        <w:tc>
          <w:tcPr>
            <w:tcW w:w="775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变化</w:t>
            </w:r>
          </w:p>
        </w:tc>
        <w:tc>
          <w:tcPr>
            <w:tcW w:w="51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2018年</w:t>
            </w:r>
          </w:p>
        </w:tc>
        <w:tc>
          <w:tcPr>
            <w:tcW w:w="51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2019年</w:t>
            </w:r>
          </w:p>
        </w:tc>
        <w:tc>
          <w:tcPr>
            <w:tcW w:w="775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变化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2018年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2019年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变化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2018年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2019年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乌鲁木齐市</w:t>
            </w:r>
          </w:p>
        </w:tc>
        <w:tc>
          <w:tcPr>
            <w:tcW w:w="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68 </w:t>
            </w:r>
          </w:p>
        </w:tc>
        <w:tc>
          <w:tcPr>
            <w:tcW w:w="5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73 </w:t>
            </w: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7.4%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-20.0%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37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35 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-5.4%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0.8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-25.0%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84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98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阿勒泰市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14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17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21.4%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40.0%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-50.0%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13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-50.0%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塔城市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35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29.6%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16.7%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-25.0%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-11.1%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0.8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14.3%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114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-34.2%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博乐市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96.5%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-3.5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47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54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14.9%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15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-6.3%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9.1%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14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42.9%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22.1%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克拉玛依市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42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47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11.9%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20.0%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-16.7%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23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-25.0%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28.2%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伊宁市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61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56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-8.2%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24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21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-12.5%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37.5%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-22.2%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昌吉市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58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58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23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15.0%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-10.0%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41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39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-4.9%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吐鲁番市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86.7%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86.7%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105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117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11.4%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32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32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-3.6%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-25.0%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71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45.1%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哈密市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86.7%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-13.3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46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87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89.1%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15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22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46.7%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-16.7%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37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-27.0%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-25.0%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库尔勒市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63.3%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96.6%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33.3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118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93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-21.2%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-25.0%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-42.9%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22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37.5%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102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阿克苏市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63.4%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36.6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142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66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-53.5%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44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-54.5%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16.7%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23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17.4%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阿图什市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42.9%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89.6%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157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80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-49.0%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37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-51.4%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22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214%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-28.6%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-12.8%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喀什市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50.0%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80.0%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30.0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170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121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-28.8%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59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42 </w:t>
            </w:r>
          </w:p>
        </w:tc>
        <w:tc>
          <w:tcPr>
            <w:tcW w:w="719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-28.8%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51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29 </w:t>
            </w:r>
          </w:p>
        </w:tc>
        <w:tc>
          <w:tcPr>
            <w:tcW w:w="77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3.6%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和田市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33.3%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227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288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26.9%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63 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88 </w:t>
            </w:r>
          </w:p>
        </w:tc>
        <w:tc>
          <w:tcPr>
            <w:tcW w:w="719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39.7%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15 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775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-40.0%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22 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775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13.6%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0.8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81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22" w:leftChars="-5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自治区14城市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80.5%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90.7%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92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85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-7.6%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-10.7%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-12.5%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23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8.7%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0.7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-14.3%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84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94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石河子市</w:t>
            </w:r>
          </w:p>
        </w:tc>
        <w:tc>
          <w:tcPr>
            <w:tcW w:w="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93.3%</w:t>
            </w:r>
          </w:p>
        </w:tc>
        <w:tc>
          <w:tcPr>
            <w:tcW w:w="7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-6.7</w:t>
            </w:r>
          </w:p>
        </w:tc>
        <w:tc>
          <w:tcPr>
            <w:tcW w:w="5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49 </w:t>
            </w:r>
          </w:p>
        </w:tc>
        <w:tc>
          <w:tcPr>
            <w:tcW w:w="5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65 </w:t>
            </w: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32.7%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19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21 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10.5%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11.1%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31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36 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16.1%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92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107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4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五家渠市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53 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64 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20.8%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17 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19 </w:t>
            </w:r>
          </w:p>
        </w:tc>
        <w:tc>
          <w:tcPr>
            <w:tcW w:w="719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11.8%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775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-8.3%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51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29 </w:t>
            </w:r>
          </w:p>
        </w:tc>
        <w:tc>
          <w:tcPr>
            <w:tcW w:w="775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7.4%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-37.5%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91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兵团2城市</w:t>
            </w:r>
          </w:p>
        </w:tc>
        <w:tc>
          <w:tcPr>
            <w:tcW w:w="6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96.6%</w:t>
            </w:r>
          </w:p>
        </w:tc>
        <w:tc>
          <w:tcPr>
            <w:tcW w:w="7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-3.4</w:t>
            </w:r>
          </w:p>
        </w:tc>
        <w:tc>
          <w:tcPr>
            <w:tcW w:w="5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51 </w:t>
            </w:r>
          </w:p>
        </w:tc>
        <w:tc>
          <w:tcPr>
            <w:tcW w:w="5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65 </w:t>
            </w: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27.5%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11.1%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29 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33 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13.8%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0.7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0.6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-14.3%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92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102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10.9%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1803" w:right="1134" w:bottom="1803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二、排名情况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9月，自治区14城市及兵团2城市环境空气质量综合指数由低到高排名依次为阿勒泰市、塔城市、克拉玛依市、博乐市、伊宁市、阿图什市、五家渠市、阿克苏市、乌鲁木齐市、哈密市、昌吉市、库尔勒市、石河子市、吐鲁番市、喀什市、和田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表2    2019年9月自治区14城市及兵团2城市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空气质量指数排名</w:t>
      </w:r>
    </w:p>
    <w:tbl>
      <w:tblPr>
        <w:tblStyle w:val="8"/>
        <w:tblpPr w:leftFromText="180" w:rightFromText="180" w:vertAnchor="text" w:horzAnchor="margin" w:tblpXSpec="center" w:tblpY="38"/>
        <w:tblW w:w="7299" w:type="dxa"/>
        <w:tblInd w:w="-160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444"/>
        <w:gridCol w:w="31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678" w:type="dxa"/>
            <w:vMerge w:val="restart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排名</w:t>
            </w:r>
          </w:p>
        </w:tc>
        <w:tc>
          <w:tcPr>
            <w:tcW w:w="4621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环境空气质量综合指数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678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城市</w:t>
            </w:r>
          </w:p>
        </w:tc>
        <w:tc>
          <w:tcPr>
            <w:tcW w:w="317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44" w:type="dxa"/>
            <w:tcBorders>
              <w:top w:val="single" w:color="auto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阿勒泰市</w:t>
            </w:r>
          </w:p>
        </w:tc>
        <w:tc>
          <w:tcPr>
            <w:tcW w:w="3177" w:type="dxa"/>
            <w:tcBorders>
              <w:top w:val="single" w:color="auto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1.58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塔城市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1.79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克拉玛依市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2.59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博乐市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2.71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伊宁市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3.13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阿图什市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3.17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五家渠市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3.23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阿克苏市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3.24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乌鲁木齐市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3.53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哈密市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昌吉市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库尔勒市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石河子市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3.63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吐鲁番市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4.29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44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喀什市</w:t>
            </w:r>
          </w:p>
        </w:tc>
        <w:tc>
          <w:tcPr>
            <w:tcW w:w="3177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4.64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678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444" w:type="dxa"/>
            <w:tcBorders>
              <w:bottom w:val="single" w:color="auto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和田市</w:t>
            </w:r>
          </w:p>
        </w:tc>
        <w:tc>
          <w:tcPr>
            <w:tcW w:w="3177" w:type="dxa"/>
            <w:tcBorders>
              <w:bottom w:val="single" w:color="auto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8.17 </w:t>
            </w:r>
          </w:p>
        </w:tc>
      </w:tr>
    </w:tbl>
    <w:p>
      <w:pPr>
        <w:spacing w:line="360" w:lineRule="exact"/>
        <w:ind w:firstLine="630" w:firstLineChars="300"/>
        <w:jc w:val="left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asciiTheme="minorEastAsia" w:hAnsiTheme="minorEastAsia"/>
        </w:rPr>
        <w:t>备注</w:t>
      </w:r>
      <w:r>
        <w:rPr>
          <w:rFonts w:hint="eastAsia" w:asciiTheme="minorEastAsia" w:hAnsiTheme="minorEastAsia"/>
        </w:rPr>
        <w:t>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>
      <w:pPr>
        <w:widowControl/>
        <w:jc w:val="left"/>
        <w:rPr>
          <w:rFonts w:ascii="仿宋" w:hAnsi="仿宋" w:eastAsia="仿宋" w:cs="Times New Roman"/>
          <w:b/>
          <w:sz w:val="24"/>
          <w:szCs w:val="24"/>
        </w:rPr>
      </w:pPr>
    </w:p>
    <w:sectPr>
      <w:pgSz w:w="11906" w:h="16838"/>
      <w:pgMar w:top="1134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867"/>
    <w:rsid w:val="00000E8A"/>
    <w:rsid w:val="00004FE2"/>
    <w:rsid w:val="00005D74"/>
    <w:rsid w:val="00014AFF"/>
    <w:rsid w:val="000253C4"/>
    <w:rsid w:val="00042D53"/>
    <w:rsid w:val="00054706"/>
    <w:rsid w:val="00066014"/>
    <w:rsid w:val="00083EA5"/>
    <w:rsid w:val="00086321"/>
    <w:rsid w:val="000A0258"/>
    <w:rsid w:val="000A7D77"/>
    <w:rsid w:val="000B01A7"/>
    <w:rsid w:val="000C0930"/>
    <w:rsid w:val="000E5CF0"/>
    <w:rsid w:val="000F08DC"/>
    <w:rsid w:val="00102293"/>
    <w:rsid w:val="00103AD8"/>
    <w:rsid w:val="00107F1A"/>
    <w:rsid w:val="001104EF"/>
    <w:rsid w:val="00110D1C"/>
    <w:rsid w:val="00114C4F"/>
    <w:rsid w:val="00120A38"/>
    <w:rsid w:val="00124074"/>
    <w:rsid w:val="00136095"/>
    <w:rsid w:val="00136676"/>
    <w:rsid w:val="00140AF8"/>
    <w:rsid w:val="00141715"/>
    <w:rsid w:val="00141CC9"/>
    <w:rsid w:val="00143281"/>
    <w:rsid w:val="00143D64"/>
    <w:rsid w:val="001455EA"/>
    <w:rsid w:val="00150EBB"/>
    <w:rsid w:val="00152854"/>
    <w:rsid w:val="00152E76"/>
    <w:rsid w:val="0015589A"/>
    <w:rsid w:val="00155DA7"/>
    <w:rsid w:val="00170CDB"/>
    <w:rsid w:val="00173C30"/>
    <w:rsid w:val="00197D01"/>
    <w:rsid w:val="001A04C6"/>
    <w:rsid w:val="001B134C"/>
    <w:rsid w:val="001B1CE4"/>
    <w:rsid w:val="001B241E"/>
    <w:rsid w:val="001B7853"/>
    <w:rsid w:val="001C4D11"/>
    <w:rsid w:val="001C6A24"/>
    <w:rsid w:val="001D72C4"/>
    <w:rsid w:val="001E25D1"/>
    <w:rsid w:val="001E2B3B"/>
    <w:rsid w:val="001E3A44"/>
    <w:rsid w:val="001F0867"/>
    <w:rsid w:val="001F5B27"/>
    <w:rsid w:val="001F7857"/>
    <w:rsid w:val="002065B4"/>
    <w:rsid w:val="0021262A"/>
    <w:rsid w:val="00232F7E"/>
    <w:rsid w:val="00261EBA"/>
    <w:rsid w:val="002634DF"/>
    <w:rsid w:val="00267B11"/>
    <w:rsid w:val="00282107"/>
    <w:rsid w:val="002A09BF"/>
    <w:rsid w:val="002A13BE"/>
    <w:rsid w:val="002A14BC"/>
    <w:rsid w:val="002B1369"/>
    <w:rsid w:val="002B2DC1"/>
    <w:rsid w:val="002B707A"/>
    <w:rsid w:val="002B77DE"/>
    <w:rsid w:val="002C0F6A"/>
    <w:rsid w:val="002C16E7"/>
    <w:rsid w:val="002C2160"/>
    <w:rsid w:val="002C5B39"/>
    <w:rsid w:val="002D3810"/>
    <w:rsid w:val="002D55BF"/>
    <w:rsid w:val="002D5D32"/>
    <w:rsid w:val="002E0BD7"/>
    <w:rsid w:val="002E27EB"/>
    <w:rsid w:val="002E3FEF"/>
    <w:rsid w:val="002E6546"/>
    <w:rsid w:val="0031239B"/>
    <w:rsid w:val="003125BC"/>
    <w:rsid w:val="00326D9C"/>
    <w:rsid w:val="00330505"/>
    <w:rsid w:val="00330B39"/>
    <w:rsid w:val="00335AE5"/>
    <w:rsid w:val="00336BFD"/>
    <w:rsid w:val="00340570"/>
    <w:rsid w:val="00344D71"/>
    <w:rsid w:val="00361D63"/>
    <w:rsid w:val="003652E7"/>
    <w:rsid w:val="003703C2"/>
    <w:rsid w:val="00373E27"/>
    <w:rsid w:val="003743EC"/>
    <w:rsid w:val="0038280A"/>
    <w:rsid w:val="003837C3"/>
    <w:rsid w:val="00383EE4"/>
    <w:rsid w:val="003851A9"/>
    <w:rsid w:val="0039013F"/>
    <w:rsid w:val="00393E6B"/>
    <w:rsid w:val="003A5604"/>
    <w:rsid w:val="003A5B70"/>
    <w:rsid w:val="003B21DB"/>
    <w:rsid w:val="003C5AAC"/>
    <w:rsid w:val="003D6AF1"/>
    <w:rsid w:val="003F20BE"/>
    <w:rsid w:val="003F7E48"/>
    <w:rsid w:val="00400B53"/>
    <w:rsid w:val="00406900"/>
    <w:rsid w:val="00411D05"/>
    <w:rsid w:val="0042112B"/>
    <w:rsid w:val="00424EE4"/>
    <w:rsid w:val="00435032"/>
    <w:rsid w:val="00436C11"/>
    <w:rsid w:val="00437576"/>
    <w:rsid w:val="0043776E"/>
    <w:rsid w:val="004404AB"/>
    <w:rsid w:val="0044617F"/>
    <w:rsid w:val="00454EDE"/>
    <w:rsid w:val="00456F41"/>
    <w:rsid w:val="00461862"/>
    <w:rsid w:val="00470D82"/>
    <w:rsid w:val="00477D16"/>
    <w:rsid w:val="00491FC1"/>
    <w:rsid w:val="0049266B"/>
    <w:rsid w:val="004A06A7"/>
    <w:rsid w:val="004A1720"/>
    <w:rsid w:val="004A46A4"/>
    <w:rsid w:val="004B4DB8"/>
    <w:rsid w:val="004B51DF"/>
    <w:rsid w:val="004B55CF"/>
    <w:rsid w:val="004B6A51"/>
    <w:rsid w:val="004C1F94"/>
    <w:rsid w:val="004C26F7"/>
    <w:rsid w:val="004F09C9"/>
    <w:rsid w:val="004F1AAD"/>
    <w:rsid w:val="004F39B4"/>
    <w:rsid w:val="004F4EE5"/>
    <w:rsid w:val="004F52F4"/>
    <w:rsid w:val="004F7208"/>
    <w:rsid w:val="004F73C9"/>
    <w:rsid w:val="005036D3"/>
    <w:rsid w:val="005215BF"/>
    <w:rsid w:val="0052462B"/>
    <w:rsid w:val="00526827"/>
    <w:rsid w:val="0052738E"/>
    <w:rsid w:val="00541BBB"/>
    <w:rsid w:val="0054246D"/>
    <w:rsid w:val="00546DD9"/>
    <w:rsid w:val="00550EF0"/>
    <w:rsid w:val="005554A0"/>
    <w:rsid w:val="00555C99"/>
    <w:rsid w:val="00586156"/>
    <w:rsid w:val="00593470"/>
    <w:rsid w:val="005945DE"/>
    <w:rsid w:val="005958F0"/>
    <w:rsid w:val="005A51FF"/>
    <w:rsid w:val="005B3C6E"/>
    <w:rsid w:val="005C06E8"/>
    <w:rsid w:val="005C1DCA"/>
    <w:rsid w:val="005D2418"/>
    <w:rsid w:val="005D29DE"/>
    <w:rsid w:val="005D2AB6"/>
    <w:rsid w:val="005D3F70"/>
    <w:rsid w:val="005D4301"/>
    <w:rsid w:val="005E7B38"/>
    <w:rsid w:val="005F1A2E"/>
    <w:rsid w:val="005F44CB"/>
    <w:rsid w:val="005F4DB9"/>
    <w:rsid w:val="00601BFB"/>
    <w:rsid w:val="00606031"/>
    <w:rsid w:val="00620899"/>
    <w:rsid w:val="00623991"/>
    <w:rsid w:val="006241F5"/>
    <w:rsid w:val="00626339"/>
    <w:rsid w:val="0063797B"/>
    <w:rsid w:val="00641C5F"/>
    <w:rsid w:val="00641FAB"/>
    <w:rsid w:val="00644D81"/>
    <w:rsid w:val="00650B47"/>
    <w:rsid w:val="00662769"/>
    <w:rsid w:val="0066722C"/>
    <w:rsid w:val="006704DC"/>
    <w:rsid w:val="00671A9C"/>
    <w:rsid w:val="00672BF3"/>
    <w:rsid w:val="00687AC1"/>
    <w:rsid w:val="00691282"/>
    <w:rsid w:val="00692AEF"/>
    <w:rsid w:val="006A540D"/>
    <w:rsid w:val="006A6FA4"/>
    <w:rsid w:val="006B0DD9"/>
    <w:rsid w:val="006C1595"/>
    <w:rsid w:val="006C1EF6"/>
    <w:rsid w:val="006C7BD9"/>
    <w:rsid w:val="006D0819"/>
    <w:rsid w:val="006E1BF4"/>
    <w:rsid w:val="006E4A64"/>
    <w:rsid w:val="006E7DE3"/>
    <w:rsid w:val="006E7E87"/>
    <w:rsid w:val="006F296E"/>
    <w:rsid w:val="006F3496"/>
    <w:rsid w:val="00702EAA"/>
    <w:rsid w:val="00705292"/>
    <w:rsid w:val="00711FE4"/>
    <w:rsid w:val="007149DD"/>
    <w:rsid w:val="00721821"/>
    <w:rsid w:val="007259A8"/>
    <w:rsid w:val="00725A2A"/>
    <w:rsid w:val="00732875"/>
    <w:rsid w:val="00736D60"/>
    <w:rsid w:val="00744A95"/>
    <w:rsid w:val="007470CD"/>
    <w:rsid w:val="0074773B"/>
    <w:rsid w:val="00757FEC"/>
    <w:rsid w:val="00764E83"/>
    <w:rsid w:val="00770171"/>
    <w:rsid w:val="00773380"/>
    <w:rsid w:val="00784C52"/>
    <w:rsid w:val="00784D8C"/>
    <w:rsid w:val="00786A32"/>
    <w:rsid w:val="0079750F"/>
    <w:rsid w:val="007A7DBE"/>
    <w:rsid w:val="007C0324"/>
    <w:rsid w:val="007C3453"/>
    <w:rsid w:val="007C43E7"/>
    <w:rsid w:val="007C505C"/>
    <w:rsid w:val="007C563E"/>
    <w:rsid w:val="007C6218"/>
    <w:rsid w:val="007D1BDF"/>
    <w:rsid w:val="007D325F"/>
    <w:rsid w:val="007D6AEA"/>
    <w:rsid w:val="007D76A1"/>
    <w:rsid w:val="007E5C3F"/>
    <w:rsid w:val="007F2D62"/>
    <w:rsid w:val="007F641A"/>
    <w:rsid w:val="008051BE"/>
    <w:rsid w:val="00806383"/>
    <w:rsid w:val="0082219F"/>
    <w:rsid w:val="008229D8"/>
    <w:rsid w:val="00836D23"/>
    <w:rsid w:val="00842C3F"/>
    <w:rsid w:val="0084407C"/>
    <w:rsid w:val="00844579"/>
    <w:rsid w:val="00853ED6"/>
    <w:rsid w:val="008574B2"/>
    <w:rsid w:val="00873445"/>
    <w:rsid w:val="008747D4"/>
    <w:rsid w:val="0088039E"/>
    <w:rsid w:val="008828A9"/>
    <w:rsid w:val="0088632A"/>
    <w:rsid w:val="00887D5F"/>
    <w:rsid w:val="008904DA"/>
    <w:rsid w:val="008A03A8"/>
    <w:rsid w:val="008A6F20"/>
    <w:rsid w:val="008A73A8"/>
    <w:rsid w:val="008B5A5E"/>
    <w:rsid w:val="008C0FD2"/>
    <w:rsid w:val="008C5199"/>
    <w:rsid w:val="008C7D7D"/>
    <w:rsid w:val="008D2129"/>
    <w:rsid w:val="008D3EC0"/>
    <w:rsid w:val="008E76F2"/>
    <w:rsid w:val="008F44FB"/>
    <w:rsid w:val="00902869"/>
    <w:rsid w:val="0090418C"/>
    <w:rsid w:val="0090484B"/>
    <w:rsid w:val="00905785"/>
    <w:rsid w:val="0090651B"/>
    <w:rsid w:val="0090749F"/>
    <w:rsid w:val="00933227"/>
    <w:rsid w:val="009353DF"/>
    <w:rsid w:val="0094335F"/>
    <w:rsid w:val="00950D16"/>
    <w:rsid w:val="00954819"/>
    <w:rsid w:val="00962B5D"/>
    <w:rsid w:val="00967CD2"/>
    <w:rsid w:val="00974CE4"/>
    <w:rsid w:val="0097619D"/>
    <w:rsid w:val="00976D71"/>
    <w:rsid w:val="00977CAA"/>
    <w:rsid w:val="009816DC"/>
    <w:rsid w:val="00985F1F"/>
    <w:rsid w:val="00997B14"/>
    <w:rsid w:val="009A7024"/>
    <w:rsid w:val="009B0017"/>
    <w:rsid w:val="009C5B8C"/>
    <w:rsid w:val="009C5DBF"/>
    <w:rsid w:val="009C658F"/>
    <w:rsid w:val="009D1ECC"/>
    <w:rsid w:val="009D4C74"/>
    <w:rsid w:val="009D5A84"/>
    <w:rsid w:val="009D7522"/>
    <w:rsid w:val="009E0EBA"/>
    <w:rsid w:val="009E3F7E"/>
    <w:rsid w:val="009E4A79"/>
    <w:rsid w:val="009E5241"/>
    <w:rsid w:val="009F2E84"/>
    <w:rsid w:val="009F63F7"/>
    <w:rsid w:val="00A34A9D"/>
    <w:rsid w:val="00A40E58"/>
    <w:rsid w:val="00A42008"/>
    <w:rsid w:val="00A43E7B"/>
    <w:rsid w:val="00A4436A"/>
    <w:rsid w:val="00A52D21"/>
    <w:rsid w:val="00A61953"/>
    <w:rsid w:val="00A62726"/>
    <w:rsid w:val="00A70AC4"/>
    <w:rsid w:val="00A72EDF"/>
    <w:rsid w:val="00A75432"/>
    <w:rsid w:val="00A84721"/>
    <w:rsid w:val="00A90299"/>
    <w:rsid w:val="00A9064B"/>
    <w:rsid w:val="00A92276"/>
    <w:rsid w:val="00AA2541"/>
    <w:rsid w:val="00AA3B46"/>
    <w:rsid w:val="00AB0BF8"/>
    <w:rsid w:val="00AB392F"/>
    <w:rsid w:val="00AC3D3B"/>
    <w:rsid w:val="00AD6CC0"/>
    <w:rsid w:val="00AE4017"/>
    <w:rsid w:val="00AE53B8"/>
    <w:rsid w:val="00AE5E7D"/>
    <w:rsid w:val="00AE685C"/>
    <w:rsid w:val="00AF1E33"/>
    <w:rsid w:val="00AF3A1E"/>
    <w:rsid w:val="00AF48EB"/>
    <w:rsid w:val="00AF5B17"/>
    <w:rsid w:val="00AF7902"/>
    <w:rsid w:val="00B0194F"/>
    <w:rsid w:val="00B06A51"/>
    <w:rsid w:val="00B1520E"/>
    <w:rsid w:val="00B36373"/>
    <w:rsid w:val="00B44122"/>
    <w:rsid w:val="00B46241"/>
    <w:rsid w:val="00B56A93"/>
    <w:rsid w:val="00B56CA2"/>
    <w:rsid w:val="00B61318"/>
    <w:rsid w:val="00B621FA"/>
    <w:rsid w:val="00B65EE7"/>
    <w:rsid w:val="00B74AF6"/>
    <w:rsid w:val="00B7752D"/>
    <w:rsid w:val="00B85F02"/>
    <w:rsid w:val="00B87FF0"/>
    <w:rsid w:val="00B91D6E"/>
    <w:rsid w:val="00B9793D"/>
    <w:rsid w:val="00BA21A6"/>
    <w:rsid w:val="00BA46DD"/>
    <w:rsid w:val="00BA580A"/>
    <w:rsid w:val="00BB5139"/>
    <w:rsid w:val="00BB5729"/>
    <w:rsid w:val="00BB7CFD"/>
    <w:rsid w:val="00BC5C3E"/>
    <w:rsid w:val="00BD5F18"/>
    <w:rsid w:val="00BF103E"/>
    <w:rsid w:val="00BF1780"/>
    <w:rsid w:val="00BF1802"/>
    <w:rsid w:val="00BF1B35"/>
    <w:rsid w:val="00BF7443"/>
    <w:rsid w:val="00C014EC"/>
    <w:rsid w:val="00C10F1E"/>
    <w:rsid w:val="00C11335"/>
    <w:rsid w:val="00C12CD8"/>
    <w:rsid w:val="00C12D2F"/>
    <w:rsid w:val="00C16354"/>
    <w:rsid w:val="00C16EBA"/>
    <w:rsid w:val="00C51AF3"/>
    <w:rsid w:val="00C656D1"/>
    <w:rsid w:val="00C741DD"/>
    <w:rsid w:val="00C83E39"/>
    <w:rsid w:val="00C87A63"/>
    <w:rsid w:val="00C93EB9"/>
    <w:rsid w:val="00C948F5"/>
    <w:rsid w:val="00CA166A"/>
    <w:rsid w:val="00CA2183"/>
    <w:rsid w:val="00CA2C0F"/>
    <w:rsid w:val="00CB1A56"/>
    <w:rsid w:val="00CB7624"/>
    <w:rsid w:val="00CE08ED"/>
    <w:rsid w:val="00CE184D"/>
    <w:rsid w:val="00CE239C"/>
    <w:rsid w:val="00CF02A3"/>
    <w:rsid w:val="00D12A07"/>
    <w:rsid w:val="00D1452A"/>
    <w:rsid w:val="00D20897"/>
    <w:rsid w:val="00D31510"/>
    <w:rsid w:val="00D5795A"/>
    <w:rsid w:val="00D63081"/>
    <w:rsid w:val="00D63329"/>
    <w:rsid w:val="00D656E5"/>
    <w:rsid w:val="00D719F2"/>
    <w:rsid w:val="00D76EFF"/>
    <w:rsid w:val="00D773CB"/>
    <w:rsid w:val="00DA0FFC"/>
    <w:rsid w:val="00DB3FD5"/>
    <w:rsid w:val="00DB7F66"/>
    <w:rsid w:val="00DC14BB"/>
    <w:rsid w:val="00DC3C59"/>
    <w:rsid w:val="00DD76E3"/>
    <w:rsid w:val="00DE0EDD"/>
    <w:rsid w:val="00DE7D3C"/>
    <w:rsid w:val="00DF11EB"/>
    <w:rsid w:val="00DF4A8E"/>
    <w:rsid w:val="00E07B4A"/>
    <w:rsid w:val="00E205E4"/>
    <w:rsid w:val="00E33CF6"/>
    <w:rsid w:val="00E3443B"/>
    <w:rsid w:val="00E41D14"/>
    <w:rsid w:val="00E54221"/>
    <w:rsid w:val="00E60B70"/>
    <w:rsid w:val="00E60BDE"/>
    <w:rsid w:val="00E7678C"/>
    <w:rsid w:val="00E77B80"/>
    <w:rsid w:val="00E94D55"/>
    <w:rsid w:val="00E95F27"/>
    <w:rsid w:val="00EB22B7"/>
    <w:rsid w:val="00EB739C"/>
    <w:rsid w:val="00EC7153"/>
    <w:rsid w:val="00ED505F"/>
    <w:rsid w:val="00ED7751"/>
    <w:rsid w:val="00EF3014"/>
    <w:rsid w:val="00F014D9"/>
    <w:rsid w:val="00F03085"/>
    <w:rsid w:val="00F04FB3"/>
    <w:rsid w:val="00F13277"/>
    <w:rsid w:val="00F206F2"/>
    <w:rsid w:val="00F25796"/>
    <w:rsid w:val="00F35E11"/>
    <w:rsid w:val="00F45B0F"/>
    <w:rsid w:val="00F55273"/>
    <w:rsid w:val="00F611E5"/>
    <w:rsid w:val="00F65175"/>
    <w:rsid w:val="00F67946"/>
    <w:rsid w:val="00F771EC"/>
    <w:rsid w:val="00F863B5"/>
    <w:rsid w:val="00F968DD"/>
    <w:rsid w:val="00FA049C"/>
    <w:rsid w:val="00FA3E9C"/>
    <w:rsid w:val="00FA4129"/>
    <w:rsid w:val="00FA5867"/>
    <w:rsid w:val="00FC3BD0"/>
    <w:rsid w:val="00FD6C96"/>
    <w:rsid w:val="00FD7DDD"/>
    <w:rsid w:val="00FE21B7"/>
    <w:rsid w:val="00FE6743"/>
    <w:rsid w:val="00FF7DD5"/>
    <w:rsid w:val="0B8D3B60"/>
    <w:rsid w:val="1210296F"/>
    <w:rsid w:val="17FA0AF3"/>
    <w:rsid w:val="22925E4A"/>
    <w:rsid w:val="2C1834CC"/>
    <w:rsid w:val="468F0AA8"/>
    <w:rsid w:val="565C6653"/>
    <w:rsid w:val="5CD04686"/>
    <w:rsid w:val="5D3C52B2"/>
    <w:rsid w:val="60427D2E"/>
    <w:rsid w:val="6F5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page number"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日期 Char1"/>
    <w:basedOn w:val="9"/>
    <w:semiHidden/>
    <w:qFormat/>
    <w:uiPriority w:val="99"/>
  </w:style>
  <w:style w:type="character" w:customStyle="1" w:styleId="15">
    <w:name w:val="样式 列出段落 + Times New Roman Char"/>
    <w:link w:val="16"/>
    <w:qFormat/>
    <w:uiPriority w:val="0"/>
    <w:rPr>
      <w:szCs w:val="24"/>
    </w:rPr>
  </w:style>
  <w:style w:type="paragraph" w:customStyle="1" w:styleId="16">
    <w:name w:val="样式 列出段落 + Times New Roman"/>
    <w:basedOn w:val="1"/>
    <w:link w:val="15"/>
    <w:qFormat/>
    <w:uiPriority w:val="0"/>
    <w:pPr>
      <w:adjustRightInd w:val="0"/>
      <w:snapToGrid w:val="0"/>
      <w:ind w:firstLine="200" w:firstLineChars="200"/>
    </w:pPr>
    <w:rPr>
      <w:szCs w:val="24"/>
    </w:rPr>
  </w:style>
  <w:style w:type="character" w:customStyle="1" w:styleId="17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1"/>
    <w:basedOn w:val="9"/>
    <w:semiHidden/>
    <w:qFormat/>
    <w:uiPriority w:val="99"/>
    <w:rPr>
      <w:sz w:val="18"/>
      <w:szCs w:val="18"/>
    </w:rPr>
  </w:style>
  <w:style w:type="character" w:customStyle="1" w:styleId="19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0">
    <w:name w:val="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21">
    <w:name w:val="标题 3 Char"/>
    <w:basedOn w:val="9"/>
    <w:link w:val="2"/>
    <w:semiHidden/>
    <w:qFormat/>
    <w:uiPriority w:val="9"/>
    <w:rPr>
      <w:b/>
      <w:bCs/>
      <w:kern w:val="2"/>
      <w:sz w:val="32"/>
      <w:szCs w:val="32"/>
    </w:rPr>
  </w:style>
  <w:style w:type="paragraph" w:customStyle="1" w:styleId="22">
    <w:name w:val="Char Char1 Char Char2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paragraph" w:customStyle="1" w:styleId="23">
    <w:name w:val="Char Char1 Char Char1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1028</Words>
  <Characters>5862</Characters>
  <Lines>48</Lines>
  <Paragraphs>13</Paragraphs>
  <TotalTime>0</TotalTime>
  <ScaleCrop>false</ScaleCrop>
  <LinksUpToDate>false</LinksUpToDate>
  <CharactersWithSpaces>6877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2019-04-09T10:16:00Z</dcterms:created>
  <dc:creator>Windows 用户</dc:creator>
  <cp:lastModifiedBy>①覑涳白</cp:lastModifiedBy>
  <cp:lastPrinted>2019-09-05T09:43:00Z</cp:lastPrinted>
  <dcterms:modified xsi:type="dcterms:W3CDTF">2019-10-11T09:07:12Z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