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月自治区14城市及兵团2城市</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环境空气质量状况及排名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按照《关于印发&lt;自治区打赢蓝天保卫战三年行动计划（2018-2020年）&gt;的通知》（新政办发〔2018〕66号）的信息公开要求，现将2019年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月自治区14城市（地州市人民政府〈行政公署〉所在城市，下同）和兵团石河子、五家渠2城市空气质量状况及排名情况公开如下：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sz w:val="32"/>
          <w:szCs w:val="32"/>
        </w:rPr>
      </w:pPr>
      <w:r>
        <w:rPr>
          <w:rFonts w:hint="eastAsia" w:ascii="黑体" w:hAnsi="黑体" w:eastAsia="黑体" w:cs="黑体"/>
          <w:kern w:val="0"/>
          <w:sz w:val="32"/>
          <w:szCs w:val="32"/>
        </w:rPr>
        <w:t>一、空气质量状况及变化</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2019年10月</w:t>
      </w:r>
      <w:r>
        <w:rPr>
          <w:rFonts w:hint="eastAsia" w:ascii="仿宋_GB2312" w:hAnsi="仿宋_GB2312" w:eastAsia="仿宋_GB2312" w:cs="仿宋_GB2312"/>
          <w:kern w:val="0"/>
          <w:sz w:val="32"/>
          <w:szCs w:val="32"/>
        </w:rPr>
        <w:t>，自治区14城市平均优良天数比例为</w:t>
      </w:r>
      <w:r>
        <w:rPr>
          <w:rFonts w:hint="eastAsia" w:ascii="仿宋_GB2312" w:hAnsi="仿宋_GB2312" w:eastAsia="仿宋_GB2312" w:cs="仿宋_GB2312"/>
          <w:kern w:val="0"/>
          <w:sz w:val="32"/>
          <w:szCs w:val="32"/>
        </w:rPr>
        <w:t>77.2</w:t>
      </w:r>
      <w:r>
        <w:rPr>
          <w:rFonts w:hint="eastAsia" w:ascii="仿宋_GB2312" w:hAnsi="仿宋_GB2312" w:eastAsia="仿宋_GB2312" w:cs="仿宋_GB2312"/>
          <w:kern w:val="0"/>
          <w:sz w:val="32"/>
          <w:szCs w:val="32"/>
        </w:rPr>
        <w:t>%，轻度污染比例为</w:t>
      </w:r>
      <w:r>
        <w:rPr>
          <w:rFonts w:hint="eastAsia" w:ascii="仿宋_GB2312" w:hAnsi="仿宋_GB2312" w:eastAsia="仿宋_GB2312" w:cs="仿宋_GB2312"/>
          <w:kern w:val="0"/>
          <w:sz w:val="32"/>
          <w:szCs w:val="32"/>
        </w:rPr>
        <w:t>13.3</w:t>
      </w:r>
      <w:r>
        <w:rPr>
          <w:rFonts w:hint="eastAsia" w:ascii="仿宋_GB2312" w:hAnsi="仿宋_GB2312" w:eastAsia="仿宋_GB2312" w:cs="仿宋_GB2312"/>
          <w:kern w:val="0"/>
          <w:sz w:val="32"/>
          <w:szCs w:val="32"/>
        </w:rPr>
        <w:t>%，中度污染比例为</w:t>
      </w:r>
      <w:r>
        <w:rPr>
          <w:rFonts w:hint="eastAsia" w:ascii="仿宋_GB2312" w:hAnsi="仿宋_GB2312" w:eastAsia="仿宋_GB2312" w:cs="仿宋_GB2312"/>
          <w:kern w:val="0"/>
          <w:sz w:val="32"/>
          <w:szCs w:val="32"/>
        </w:rPr>
        <w:t>4.6</w:t>
      </w:r>
      <w:r>
        <w:rPr>
          <w:rFonts w:hint="eastAsia" w:ascii="仿宋_GB2312" w:hAnsi="仿宋_GB2312" w:eastAsia="仿宋_GB2312" w:cs="仿宋_GB2312"/>
          <w:kern w:val="0"/>
          <w:sz w:val="32"/>
          <w:szCs w:val="32"/>
        </w:rPr>
        <w:t>%，重度污染比例</w:t>
      </w:r>
      <w:r>
        <w:rPr>
          <w:rFonts w:hint="eastAsia" w:ascii="仿宋_GB2312" w:hAnsi="仿宋_GB2312" w:eastAsia="仿宋_GB2312" w:cs="仿宋_GB2312"/>
          <w:color w:val="000000" w:themeColor="text1"/>
          <w:kern w:val="0"/>
          <w:sz w:val="32"/>
          <w:szCs w:val="32"/>
        </w:rPr>
        <w:t>为</w:t>
      </w:r>
      <w:r>
        <w:rPr>
          <w:rFonts w:hint="eastAsia" w:ascii="仿宋_GB2312" w:hAnsi="仿宋_GB2312" w:eastAsia="仿宋_GB2312" w:cs="仿宋_GB2312"/>
          <w:color w:val="000000" w:themeColor="text1"/>
          <w:kern w:val="0"/>
          <w:sz w:val="32"/>
          <w:szCs w:val="32"/>
        </w:rPr>
        <w:t>1.4</w:t>
      </w:r>
      <w:r>
        <w:rPr>
          <w:rFonts w:hint="eastAsia" w:ascii="仿宋_GB2312" w:hAnsi="仿宋_GB2312" w:eastAsia="仿宋_GB2312" w:cs="仿宋_GB2312"/>
          <w:color w:val="000000" w:themeColor="text1"/>
          <w:kern w:val="0"/>
          <w:sz w:val="32"/>
          <w:szCs w:val="32"/>
        </w:rPr>
        <w:t>%，严重污染比例为</w:t>
      </w:r>
      <w:r>
        <w:rPr>
          <w:rFonts w:hint="eastAsia" w:ascii="仿宋_GB2312" w:hAnsi="仿宋_GB2312" w:eastAsia="仿宋_GB2312" w:cs="仿宋_GB2312"/>
          <w:color w:val="000000" w:themeColor="text1"/>
          <w:kern w:val="0"/>
          <w:sz w:val="32"/>
          <w:szCs w:val="32"/>
        </w:rPr>
        <w:t>3.5</w:t>
      </w:r>
      <w:r>
        <w:rPr>
          <w:rFonts w:hint="eastAsia" w:ascii="仿宋_GB2312" w:hAnsi="仿宋_GB2312" w:eastAsia="仿宋_GB2312" w:cs="仿宋_GB2312"/>
          <w:color w:val="000000" w:themeColor="text1"/>
          <w:kern w:val="0"/>
          <w:sz w:val="32"/>
          <w:szCs w:val="32"/>
        </w:rPr>
        <w:t>%，首要污染物为PM</w:t>
      </w:r>
      <w:r>
        <w:rPr>
          <w:rFonts w:hint="eastAsia" w:ascii="仿宋_GB2312" w:hAnsi="仿宋_GB2312" w:eastAsia="仿宋_GB2312" w:cs="仿宋_GB2312"/>
          <w:color w:val="000000" w:themeColor="text1"/>
          <w:kern w:val="0"/>
          <w:sz w:val="32"/>
          <w:szCs w:val="32"/>
          <w:vertAlign w:val="subscript"/>
        </w:rPr>
        <w:t>10</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与去年同期相比，平均</w:t>
      </w:r>
      <w:r>
        <w:rPr>
          <w:rFonts w:hint="eastAsia" w:ascii="仿宋_GB2312" w:hAnsi="仿宋_GB2312" w:eastAsia="仿宋_GB2312" w:cs="仿宋_GB2312"/>
          <w:color w:val="000000" w:themeColor="text1"/>
          <w:kern w:val="0"/>
          <w:sz w:val="32"/>
          <w:szCs w:val="32"/>
        </w:rPr>
        <w:t>优良天数比例减少7.8个百分点，轻度污染比例增加0.9个百分点，中度污染比例增加2.7</w:t>
      </w:r>
      <w:r>
        <w:rPr>
          <w:rFonts w:hint="eastAsia" w:ascii="仿宋_GB2312" w:hAnsi="仿宋_GB2312" w:eastAsia="仿宋_GB2312" w:cs="仿宋_GB2312"/>
          <w:color w:val="000000" w:themeColor="text1"/>
          <w:kern w:val="0"/>
          <w:sz w:val="32"/>
          <w:szCs w:val="32"/>
        </w:rPr>
        <w:t>个百分点</w:t>
      </w:r>
      <w:r>
        <w:rPr>
          <w:rFonts w:hint="eastAsia" w:ascii="仿宋_GB2312" w:hAnsi="仿宋_GB2312" w:eastAsia="仿宋_GB2312" w:cs="仿宋_GB2312"/>
          <w:color w:val="000000" w:themeColor="text1"/>
          <w:kern w:val="0"/>
          <w:sz w:val="32"/>
          <w:szCs w:val="32"/>
        </w:rPr>
        <w:t>，重度污染比例增加1.2个百分点，严重污染比例增加</w:t>
      </w:r>
      <w:r>
        <w:rPr>
          <w:rFonts w:hint="eastAsia" w:ascii="仿宋_GB2312" w:hAnsi="仿宋_GB2312" w:eastAsia="仿宋_GB2312" w:cs="仿宋_GB2312"/>
          <w:color w:val="000000" w:themeColor="text1"/>
          <w:kern w:val="0"/>
          <w:sz w:val="32"/>
          <w:szCs w:val="32"/>
        </w:rPr>
        <w:t>3.0</w:t>
      </w:r>
      <w:r>
        <w:rPr>
          <w:rFonts w:hint="eastAsia" w:ascii="仿宋_GB2312" w:hAnsi="仿宋_GB2312" w:eastAsia="仿宋_GB2312" w:cs="仿宋_GB2312"/>
          <w:color w:val="000000" w:themeColor="text1"/>
          <w:kern w:val="0"/>
          <w:sz w:val="32"/>
          <w:szCs w:val="32"/>
        </w:rPr>
        <w:t>个百分点，环境空气质量较去年同期有所下降。</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兵团石河子</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五家渠</w:t>
      </w:r>
      <w:r>
        <w:rPr>
          <w:rFonts w:hint="eastAsia" w:ascii="仿宋_GB2312" w:hAnsi="仿宋_GB2312" w:eastAsia="仿宋_GB2312" w:cs="仿宋_GB2312"/>
          <w:kern w:val="0"/>
          <w:sz w:val="32"/>
          <w:szCs w:val="32"/>
        </w:rPr>
        <w:t>2城市平均优良天数比例为9</w:t>
      </w:r>
      <w:r>
        <w:rPr>
          <w:rFonts w:hint="eastAsia" w:ascii="仿宋_GB2312" w:hAnsi="仿宋_GB2312" w:eastAsia="仿宋_GB2312" w:cs="仿宋_GB2312"/>
          <w:kern w:val="0"/>
          <w:sz w:val="32"/>
          <w:szCs w:val="32"/>
        </w:rPr>
        <w:t>8.4</w:t>
      </w:r>
      <w:r>
        <w:rPr>
          <w:rFonts w:hint="eastAsia" w:ascii="仿宋_GB2312" w:hAnsi="仿宋_GB2312" w:eastAsia="仿宋_GB2312" w:cs="仿宋_GB2312"/>
          <w:kern w:val="0"/>
          <w:sz w:val="32"/>
          <w:szCs w:val="32"/>
        </w:rPr>
        <w:t>%，轻度污染比例为1.</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%，未出现中度、重度及严重污染天气，首要污染物主要为</w:t>
      </w:r>
      <w:r>
        <w:rPr>
          <w:rFonts w:hint="eastAsia" w:ascii="仿宋_GB2312" w:hAnsi="仿宋_GB2312" w:eastAsia="仿宋_GB2312" w:cs="仿宋_GB2312"/>
          <w:color w:val="000000" w:themeColor="text1"/>
          <w:kern w:val="0"/>
          <w:sz w:val="32"/>
          <w:szCs w:val="32"/>
        </w:rPr>
        <w:t>PM</w:t>
      </w:r>
      <w:r>
        <w:rPr>
          <w:rFonts w:hint="eastAsia" w:ascii="仿宋_GB2312" w:hAnsi="仿宋_GB2312" w:eastAsia="仿宋_GB2312" w:cs="仿宋_GB2312"/>
          <w:color w:val="000000" w:themeColor="text1"/>
          <w:kern w:val="0"/>
          <w:sz w:val="32"/>
          <w:szCs w:val="32"/>
          <w:vertAlign w:val="subscript"/>
        </w:rPr>
        <w:t>10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与去年同期相比</w:t>
      </w:r>
      <w:r>
        <w:rPr>
          <w:rFonts w:hint="eastAsia" w:ascii="仿宋_GB2312" w:hAnsi="仿宋_GB2312" w:eastAsia="仿宋_GB2312" w:cs="仿宋_GB2312"/>
          <w:kern w:val="0"/>
          <w:sz w:val="32"/>
          <w:szCs w:val="32"/>
        </w:rPr>
        <w:t>，平均优良天数比例及轻度、中度、重度、严重污染比例均持平，</w:t>
      </w:r>
      <w:r>
        <w:rPr>
          <w:rFonts w:hint="eastAsia" w:ascii="仿宋_GB2312" w:hAnsi="仿宋_GB2312" w:eastAsia="仿宋_GB2312" w:cs="仿宋_GB2312"/>
          <w:color w:val="000000" w:themeColor="text1"/>
          <w:kern w:val="0"/>
          <w:sz w:val="32"/>
          <w:szCs w:val="32"/>
        </w:rPr>
        <w:t>环境空气质量较去年同期保持稳定</w:t>
      </w:r>
      <w:r>
        <w:rPr>
          <w:rFonts w:hint="eastAsia" w:ascii="仿宋_GB2312" w:hAnsi="仿宋_GB2312" w:eastAsia="仿宋_GB2312" w:cs="仿宋_GB2312"/>
          <w:kern w:val="0"/>
          <w:sz w:val="32"/>
          <w:szCs w:val="32"/>
        </w:rPr>
        <w:t>。</w:t>
      </w:r>
    </w:p>
    <w:p>
      <w:pPr>
        <w:keepNext w:val="0"/>
        <w:keepLines w:val="0"/>
        <w:pageBreakBefore w:val="0"/>
        <w:tabs>
          <w:tab w:val="left" w:pos="4536"/>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2019年10月</w:t>
      </w:r>
      <w:r>
        <w:rPr>
          <w:rFonts w:hint="eastAsia" w:ascii="仿宋_GB2312" w:hAnsi="仿宋_GB2312" w:eastAsia="仿宋_GB2312" w:cs="仿宋_GB2312"/>
          <w:kern w:val="0"/>
          <w:sz w:val="32"/>
          <w:szCs w:val="32"/>
        </w:rPr>
        <w:t>，自治区14城市PM</w:t>
      </w:r>
      <w:r>
        <w:rPr>
          <w:rFonts w:hint="eastAsia" w:ascii="仿宋_GB2312" w:hAnsi="仿宋_GB2312" w:eastAsia="仿宋_GB2312" w:cs="仿宋_GB2312"/>
          <w:kern w:val="0"/>
          <w:sz w:val="32"/>
          <w:szCs w:val="32"/>
          <w:vertAlign w:val="subscript"/>
        </w:rPr>
        <w:t>10</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121μg/m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，与去年同期相比上升27.4%；PM</w:t>
      </w:r>
      <w:r>
        <w:rPr>
          <w:rFonts w:hint="eastAsia" w:ascii="仿宋_GB2312" w:hAnsi="仿宋_GB2312" w:eastAsia="仿宋_GB2312" w:cs="仿宋_GB2312"/>
          <w:kern w:val="0"/>
          <w:sz w:val="32"/>
          <w:szCs w:val="32"/>
          <w:vertAlign w:val="subscript"/>
        </w:rPr>
        <w:t>2.5</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37μg/m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，同比上升23.3%；O</w:t>
      </w:r>
      <w:r>
        <w:rPr>
          <w:rFonts w:hint="eastAsia" w:ascii="仿宋_GB2312" w:hAnsi="仿宋_GB2312" w:eastAsia="仿宋_GB2312" w:cs="仿宋_GB2312"/>
          <w:kern w:val="0"/>
          <w:sz w:val="32"/>
          <w:szCs w:val="32"/>
          <w:vertAlign w:val="subscript"/>
        </w:rPr>
        <w:t>3</w:t>
      </w:r>
      <w:r>
        <w:rPr>
          <w:rFonts w:hint="eastAsia" w:ascii="仿宋_GB2312" w:hAnsi="仿宋_GB2312" w:eastAsia="仿宋_GB2312" w:cs="仿宋_GB2312"/>
          <w:kern w:val="0"/>
          <w:sz w:val="32"/>
          <w:szCs w:val="32"/>
        </w:rPr>
        <w:t>日最大8小时平均浓度为</w:t>
      </w:r>
      <w:r>
        <w:rPr>
          <w:rFonts w:hint="eastAsia" w:ascii="仿宋_GB2312" w:hAnsi="仿宋_GB2312" w:eastAsia="仿宋_GB2312" w:cs="仿宋_GB2312"/>
          <w:kern w:val="0"/>
          <w:sz w:val="32"/>
          <w:szCs w:val="32"/>
        </w:rPr>
        <w:t>73μg/m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，同比上升</w:t>
      </w:r>
      <w:r>
        <w:rPr>
          <w:rFonts w:hint="eastAsia" w:ascii="仿宋_GB2312" w:hAnsi="仿宋_GB2312" w:eastAsia="仿宋_GB2312" w:cs="仿宋_GB2312"/>
          <w:kern w:val="0"/>
          <w:sz w:val="32"/>
          <w:szCs w:val="32"/>
        </w:rPr>
        <w:t>4.3</w:t>
      </w:r>
      <w:r>
        <w:rPr>
          <w:rFonts w:hint="eastAsia" w:ascii="仿宋_GB2312" w:hAnsi="仿宋_GB2312" w:eastAsia="仿宋_GB2312" w:cs="仿宋_GB2312"/>
          <w:kern w:val="0"/>
          <w:sz w:val="32"/>
          <w:szCs w:val="32"/>
        </w:rPr>
        <w:t>%；NO</w:t>
      </w:r>
      <w:r>
        <w:rPr>
          <w:rFonts w:hint="eastAsia" w:ascii="仿宋_GB2312" w:hAnsi="仿宋_GB2312" w:eastAsia="仿宋_GB2312" w:cs="仿宋_GB2312"/>
          <w:kern w:val="0"/>
          <w:sz w:val="32"/>
          <w:szCs w:val="32"/>
          <w:vertAlign w:val="subscript"/>
        </w:rPr>
        <w:t>2</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30μg/m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，同比上升</w:t>
      </w:r>
      <w:r>
        <w:rPr>
          <w:rFonts w:hint="eastAsia" w:ascii="仿宋_GB2312" w:hAnsi="仿宋_GB2312" w:eastAsia="仿宋_GB2312" w:cs="仿宋_GB2312"/>
          <w:kern w:val="0"/>
          <w:sz w:val="32"/>
          <w:szCs w:val="32"/>
        </w:rPr>
        <w:t>3.4</w:t>
      </w:r>
      <w:r>
        <w:rPr>
          <w:rFonts w:hint="eastAsia" w:ascii="仿宋_GB2312" w:hAnsi="仿宋_GB2312" w:eastAsia="仿宋_GB2312" w:cs="仿宋_GB2312"/>
          <w:kern w:val="0"/>
          <w:sz w:val="32"/>
          <w:szCs w:val="32"/>
        </w:rPr>
        <w:t>%； SO</w:t>
      </w:r>
      <w:r>
        <w:rPr>
          <w:rFonts w:hint="eastAsia" w:ascii="仿宋_GB2312" w:hAnsi="仿宋_GB2312" w:eastAsia="仿宋_GB2312" w:cs="仿宋_GB2312"/>
          <w:kern w:val="0"/>
          <w:sz w:val="32"/>
          <w:szCs w:val="32"/>
          <w:vertAlign w:val="subscript"/>
        </w:rPr>
        <w:t>2</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8μg/m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，同比持平；CO平均浓度为0</w:t>
      </w:r>
      <w:r>
        <w:rPr>
          <w:rFonts w:hint="eastAsia" w:ascii="仿宋_GB2312" w:hAnsi="仿宋_GB2312" w:eastAsia="仿宋_GB2312" w:cs="仿宋_GB2312"/>
          <w:kern w:val="0"/>
          <w:sz w:val="32"/>
          <w:szCs w:val="32"/>
        </w:rPr>
        <w:t>.8mg/m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，同比持平。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兵团2城市NO</w:t>
      </w:r>
      <w:r>
        <w:rPr>
          <w:rFonts w:hint="eastAsia" w:ascii="仿宋_GB2312" w:hAnsi="仿宋_GB2312" w:eastAsia="仿宋_GB2312" w:cs="仿宋_GB2312"/>
          <w:kern w:val="0"/>
          <w:sz w:val="32"/>
          <w:szCs w:val="32"/>
          <w:vertAlign w:val="subscript"/>
        </w:rPr>
        <w:t>2</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40μg/m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，与去年同期相比上升1</w:t>
      </w:r>
      <w:r>
        <w:rPr>
          <w:rFonts w:hint="eastAsia" w:ascii="仿宋_GB2312" w:hAnsi="仿宋_GB2312" w:eastAsia="仿宋_GB2312" w:cs="仿宋_GB2312"/>
          <w:kern w:val="0"/>
          <w:sz w:val="32"/>
          <w:szCs w:val="32"/>
        </w:rPr>
        <w:t>7.6</w:t>
      </w:r>
      <w:r>
        <w:rPr>
          <w:rFonts w:hint="eastAsia" w:ascii="仿宋_GB2312" w:hAnsi="仿宋_GB2312" w:eastAsia="仿宋_GB2312" w:cs="仿宋_GB2312"/>
          <w:kern w:val="0"/>
          <w:sz w:val="32"/>
          <w:szCs w:val="32"/>
        </w:rPr>
        <w:t>%；O</w:t>
      </w:r>
      <w:r>
        <w:rPr>
          <w:rFonts w:hint="eastAsia" w:ascii="仿宋_GB2312" w:hAnsi="仿宋_GB2312" w:eastAsia="仿宋_GB2312" w:cs="仿宋_GB2312"/>
          <w:kern w:val="0"/>
          <w:sz w:val="32"/>
          <w:szCs w:val="32"/>
          <w:vertAlign w:val="subscript"/>
        </w:rPr>
        <w:t>3</w:t>
      </w:r>
      <w:r>
        <w:rPr>
          <w:rFonts w:hint="eastAsia" w:ascii="仿宋_GB2312" w:hAnsi="仿宋_GB2312" w:eastAsia="仿宋_GB2312" w:cs="仿宋_GB2312"/>
          <w:kern w:val="0"/>
          <w:sz w:val="32"/>
          <w:szCs w:val="32"/>
        </w:rPr>
        <w:t>日最大8小时平均浓度为</w:t>
      </w:r>
      <w:r>
        <w:rPr>
          <w:rFonts w:hint="eastAsia" w:ascii="仿宋_GB2312" w:hAnsi="仿宋_GB2312" w:eastAsia="仿宋_GB2312" w:cs="仿宋_GB2312"/>
          <w:kern w:val="0"/>
          <w:sz w:val="32"/>
          <w:szCs w:val="32"/>
        </w:rPr>
        <w:t>70μg/m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，同比上升</w:t>
      </w:r>
      <w:r>
        <w:rPr>
          <w:rFonts w:hint="eastAsia"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%；PM</w:t>
      </w:r>
      <w:r>
        <w:rPr>
          <w:rFonts w:hint="eastAsia" w:ascii="仿宋_GB2312" w:hAnsi="仿宋_GB2312" w:eastAsia="仿宋_GB2312" w:cs="仿宋_GB2312"/>
          <w:kern w:val="0"/>
          <w:sz w:val="32"/>
          <w:szCs w:val="32"/>
          <w:vertAlign w:val="subscript"/>
        </w:rPr>
        <w:t>10</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80μg/m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w:t>
      </w:r>
      <w:r>
        <w:rPr>
          <w:rFonts w:hint="eastAsia" w:ascii="仿宋_GB2312" w:hAnsi="仿宋_GB2312" w:eastAsia="仿宋_GB2312" w:cs="仿宋_GB2312"/>
          <w:kern w:val="0"/>
          <w:sz w:val="32"/>
          <w:szCs w:val="32"/>
        </w:rPr>
        <w:t>上升</w:t>
      </w:r>
      <w:r>
        <w:rPr>
          <w:rFonts w:hint="eastAsia" w:ascii="仿宋_GB2312" w:hAnsi="仿宋_GB2312" w:eastAsia="仿宋_GB2312" w:cs="仿宋_GB2312"/>
          <w:kern w:val="0"/>
          <w:sz w:val="32"/>
          <w:szCs w:val="32"/>
        </w:rPr>
        <w:t>2.6</w:t>
      </w:r>
      <w:r>
        <w:rPr>
          <w:rFonts w:hint="eastAsia" w:ascii="仿宋_GB2312" w:hAnsi="仿宋_GB2312" w:eastAsia="仿宋_GB2312" w:cs="仿宋_GB2312"/>
          <w:kern w:val="0"/>
          <w:sz w:val="32"/>
          <w:szCs w:val="32"/>
        </w:rPr>
        <w:t>%；SO</w:t>
      </w:r>
      <w:r>
        <w:rPr>
          <w:rFonts w:hint="eastAsia" w:ascii="仿宋_GB2312" w:hAnsi="仿宋_GB2312" w:eastAsia="仿宋_GB2312" w:cs="仿宋_GB2312"/>
          <w:kern w:val="0"/>
          <w:sz w:val="32"/>
          <w:szCs w:val="32"/>
          <w:vertAlign w:val="subscript"/>
        </w:rPr>
        <w:t>2</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，同比下降8.3%；PM</w:t>
      </w:r>
      <w:r>
        <w:rPr>
          <w:rFonts w:hint="eastAsia" w:ascii="仿宋_GB2312" w:hAnsi="仿宋_GB2312" w:eastAsia="仿宋_GB2312" w:cs="仿宋_GB2312"/>
          <w:kern w:val="0"/>
          <w:sz w:val="32"/>
          <w:szCs w:val="32"/>
          <w:vertAlign w:val="subscript"/>
        </w:rPr>
        <w:t>2.5</w:t>
      </w:r>
      <w:r>
        <w:rPr>
          <w:rFonts w:hint="eastAsia" w:ascii="仿宋_GB2312" w:hAnsi="仿宋_GB2312" w:eastAsia="仿宋_GB2312" w:cs="仿宋_GB2312"/>
          <w:kern w:val="0"/>
          <w:sz w:val="32"/>
          <w:szCs w:val="32"/>
        </w:rPr>
        <w:t>平均浓度为</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μg/m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，同比下降9.1%；CO平均浓度为0</w:t>
      </w:r>
      <w:r>
        <w:rPr>
          <w:rFonts w:hint="eastAsia" w:ascii="仿宋_GB2312" w:hAnsi="仿宋_GB2312" w:eastAsia="仿宋_GB2312" w:cs="仿宋_GB2312"/>
          <w:kern w:val="0"/>
          <w:sz w:val="32"/>
          <w:szCs w:val="32"/>
        </w:rPr>
        <w:t>.8mg/m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，同比下降1</w:t>
      </w: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%（见表</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sectPr>
          <w:pgSz w:w="11906" w:h="16838"/>
          <w:pgMar w:top="1134" w:right="1803" w:bottom="1134" w:left="1803" w:header="851" w:footer="992" w:gutter="0"/>
          <w:cols w:space="425" w:num="1"/>
          <w:docGrid w:type="lines" w:linePitch="312" w:charSpace="0"/>
        </w:sectPr>
      </w:pPr>
      <w:r>
        <w:rPr>
          <w:rFonts w:hint="eastAsia" w:ascii="仿宋_GB2312" w:hAnsi="仿宋_GB2312" w:eastAsia="仿宋_GB2312" w:cs="仿宋_GB2312"/>
          <w:kern w:val="0"/>
          <w:sz w:val="32"/>
          <w:szCs w:val="32"/>
        </w:rPr>
        <w:t>2019年10月</w:t>
      </w:r>
      <w:r>
        <w:rPr>
          <w:rFonts w:hint="eastAsia" w:ascii="仿宋_GB2312" w:hAnsi="仿宋_GB2312" w:eastAsia="仿宋_GB2312" w:cs="仿宋_GB2312"/>
          <w:kern w:val="0"/>
          <w:sz w:val="32"/>
          <w:szCs w:val="32"/>
        </w:rPr>
        <w:t>，自治区14城市共</w:t>
      </w:r>
      <w:r>
        <w:rPr>
          <w:rFonts w:hint="eastAsia" w:ascii="仿宋_GB2312" w:hAnsi="仿宋_GB2312" w:eastAsia="仿宋_GB2312" w:cs="仿宋_GB2312"/>
          <w:kern w:val="0"/>
          <w:sz w:val="32"/>
          <w:szCs w:val="32"/>
        </w:rPr>
        <w:t>出现</w:t>
      </w:r>
      <w:r>
        <w:rPr>
          <w:rFonts w:hint="eastAsia" w:ascii="仿宋_GB2312" w:hAnsi="仿宋_GB2312" w:eastAsia="仿宋_GB2312" w:cs="仿宋_GB2312"/>
          <w:kern w:val="0"/>
          <w:sz w:val="32"/>
          <w:szCs w:val="32"/>
        </w:rPr>
        <w:t>3次区域性沙尘天气，比</w:t>
      </w:r>
      <w:r>
        <w:rPr>
          <w:rFonts w:hint="eastAsia" w:ascii="仿宋_GB2312" w:hAnsi="仿宋_GB2312" w:eastAsia="仿宋_GB2312" w:cs="仿宋_GB2312"/>
          <w:kern w:val="0"/>
          <w:sz w:val="32"/>
          <w:szCs w:val="32"/>
        </w:rPr>
        <w:t>去年同期增加1次</w:t>
      </w:r>
      <w:r>
        <w:rPr>
          <w:rFonts w:hint="eastAsia" w:ascii="仿宋_GB2312" w:hAnsi="仿宋_GB2312" w:eastAsia="仿宋_GB2312" w:cs="仿宋_GB2312"/>
          <w:kern w:val="0"/>
          <w:sz w:val="32"/>
          <w:szCs w:val="32"/>
        </w:rPr>
        <w:t>；出现1次局地性沙尘天气，同比减少1次，沙尘天气持续时间、影响城市数量及影响强度均有所增加。</w:t>
      </w:r>
      <w:r>
        <w:rPr>
          <w:rFonts w:hint="eastAsia" w:ascii="仿宋_GB2312" w:hAnsi="仿宋_GB2312" w:eastAsia="仿宋_GB2312" w:cs="仿宋_GB2312"/>
          <w:kern w:val="0"/>
          <w:sz w:val="32"/>
          <w:szCs w:val="32"/>
        </w:rPr>
        <w:t>兵团2城市未出现沙尘天气，同比持平</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表1    自治区14城市及兵团2城市空气质量情况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sz w:val="32"/>
          <w:szCs w:val="32"/>
          <w:lang w:val="en-US"/>
        </w:rPr>
      </w:pPr>
      <w:r>
        <w:rPr>
          <w:rFonts w:hint="eastAsia" w:ascii="方正小标宋简体" w:hAnsi="方正小标宋简体" w:eastAsia="方正小标宋简体" w:cs="方正小标宋简体"/>
          <w:b/>
          <w:sz w:val="32"/>
          <w:szCs w:val="32"/>
          <w:lang w:val="en-US"/>
        </w:rPr>
        <w:t>(2019</w:t>
      </w:r>
      <w:r>
        <w:rPr>
          <w:rFonts w:hint="eastAsia" w:ascii="方正小标宋简体" w:hAnsi="方正小标宋简体" w:eastAsia="方正小标宋简体" w:cs="方正小标宋简体"/>
          <w:b/>
          <w:sz w:val="32"/>
          <w:szCs w:val="32"/>
          <w:lang w:val="en-US" w:eastAsia="zh-CN"/>
        </w:rPr>
        <w:t>年10月</w:t>
      </w:r>
      <w:r>
        <w:rPr>
          <w:rFonts w:hint="eastAsia" w:ascii="方正小标宋简体" w:hAnsi="方正小标宋简体" w:eastAsia="方正小标宋简体" w:cs="方正小标宋简体"/>
          <w:b/>
          <w:sz w:val="32"/>
          <w:szCs w:val="32"/>
          <w:lang w:val="en-US"/>
        </w:rPr>
        <w:t>)</w:t>
      </w:r>
    </w:p>
    <w:p>
      <w:pPr>
        <w:keepNext w:val="0"/>
        <w:keepLines w:val="0"/>
        <w:pageBreakBefore w:val="0"/>
        <w:kinsoku/>
        <w:wordWrap/>
        <w:overflowPunct/>
        <w:topLinePunct w:val="0"/>
        <w:autoSpaceDE/>
        <w:autoSpaceDN/>
        <w:bidi w:val="0"/>
        <w:spacing w:line="280" w:lineRule="exact"/>
        <w:textAlignment w:val="auto"/>
      </w:pPr>
    </w:p>
    <w:tbl>
      <w:tblPr>
        <w:tblStyle w:val="8"/>
        <w:tblW w:w="14881" w:type="dxa"/>
        <w:jc w:val="center"/>
        <w:tblLayout w:type="autofit"/>
        <w:tblCellMar>
          <w:top w:w="0" w:type="dxa"/>
          <w:left w:w="108" w:type="dxa"/>
          <w:bottom w:w="0" w:type="dxa"/>
          <w:right w:w="108" w:type="dxa"/>
        </w:tblCellMar>
      </w:tblPr>
      <w:tblGrid>
        <w:gridCol w:w="1264"/>
        <w:gridCol w:w="698"/>
        <w:gridCol w:w="698"/>
        <w:gridCol w:w="776"/>
        <w:gridCol w:w="536"/>
        <w:gridCol w:w="536"/>
        <w:gridCol w:w="756"/>
        <w:gridCol w:w="523"/>
        <w:gridCol w:w="536"/>
        <w:gridCol w:w="666"/>
        <w:gridCol w:w="523"/>
        <w:gridCol w:w="523"/>
        <w:gridCol w:w="756"/>
        <w:gridCol w:w="523"/>
        <w:gridCol w:w="523"/>
        <w:gridCol w:w="756"/>
        <w:gridCol w:w="694"/>
        <w:gridCol w:w="694"/>
        <w:gridCol w:w="756"/>
        <w:gridCol w:w="694"/>
        <w:gridCol w:w="694"/>
        <w:gridCol w:w="756"/>
      </w:tblGrid>
      <w:tr>
        <w:tblPrEx>
          <w:tblCellMar>
            <w:top w:w="0" w:type="dxa"/>
            <w:left w:w="108" w:type="dxa"/>
            <w:bottom w:w="0" w:type="dxa"/>
            <w:right w:w="108" w:type="dxa"/>
          </w:tblCellMar>
        </w:tblPrEx>
        <w:trPr>
          <w:trHeight w:val="203" w:hRule="atLeast"/>
          <w:tblHeader/>
          <w:jc w:val="center"/>
        </w:trPr>
        <w:tc>
          <w:tcPr>
            <w:tcW w:w="0" w:type="auto"/>
            <w:vMerge w:val="restart"/>
            <w:tcBorders>
              <w:top w:val="single" w:color="auto"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城市</w:t>
            </w:r>
          </w:p>
        </w:tc>
        <w:tc>
          <w:tcPr>
            <w:tcW w:w="2203" w:type="dxa"/>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优良天数比例(AQI)</w:t>
            </w:r>
          </w:p>
        </w:tc>
        <w:tc>
          <w:tcPr>
            <w:tcW w:w="0" w:type="auto"/>
            <w:gridSpan w:val="3"/>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PM</w:t>
            </w:r>
            <w:r>
              <w:rPr>
                <w:rFonts w:hint="eastAsia" w:asciiTheme="minorEastAsia" w:hAnsiTheme="minorEastAsia" w:eastAsiaTheme="minorEastAsia" w:cstheme="minorEastAsia"/>
                <w:kern w:val="0"/>
                <w:sz w:val="18"/>
                <w:szCs w:val="18"/>
                <w:vertAlign w:val="subscript"/>
              </w:rPr>
              <w:t>10</w:t>
            </w:r>
            <w:r>
              <w:rPr>
                <w:rFonts w:hint="eastAsia" w:asciiTheme="minorEastAsia" w:hAnsiTheme="minorEastAsia" w:eastAsiaTheme="minorEastAsia" w:cstheme="minorEastAsia"/>
                <w:kern w:val="0"/>
                <w:sz w:val="18"/>
                <w:szCs w:val="18"/>
              </w:rPr>
              <w:t>（μg/m</w:t>
            </w:r>
            <w:r>
              <w:rPr>
                <w:rFonts w:hint="eastAsia" w:asciiTheme="minorEastAsia" w:hAnsiTheme="minorEastAsia" w:eastAsiaTheme="minorEastAsia" w:cstheme="minorEastAsia"/>
                <w:kern w:val="0"/>
                <w:sz w:val="18"/>
                <w:szCs w:val="18"/>
                <w:vertAlign w:val="superscript"/>
              </w:rPr>
              <w:t>3</w:t>
            </w:r>
            <w:r>
              <w:rPr>
                <w:rFonts w:hint="eastAsia" w:asciiTheme="minorEastAsia" w:hAnsiTheme="minorEastAsia" w:eastAsiaTheme="minorEastAsia" w:cstheme="minorEastAsia"/>
                <w:kern w:val="0"/>
                <w:sz w:val="18"/>
                <w:szCs w:val="18"/>
              </w:rPr>
              <w:t>）</w:t>
            </w:r>
          </w:p>
        </w:tc>
        <w:tc>
          <w:tcPr>
            <w:tcW w:w="0" w:type="auto"/>
            <w:gridSpan w:val="3"/>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PM</w:t>
            </w:r>
            <w:r>
              <w:rPr>
                <w:rFonts w:hint="eastAsia" w:asciiTheme="minorEastAsia" w:hAnsiTheme="minorEastAsia" w:eastAsiaTheme="minorEastAsia" w:cstheme="minorEastAsia"/>
                <w:kern w:val="0"/>
                <w:sz w:val="18"/>
                <w:szCs w:val="18"/>
                <w:vertAlign w:val="subscript"/>
              </w:rPr>
              <w:t>2.5</w:t>
            </w:r>
            <w:r>
              <w:rPr>
                <w:rFonts w:hint="eastAsia" w:asciiTheme="minorEastAsia" w:hAnsiTheme="minorEastAsia" w:eastAsiaTheme="minorEastAsia" w:cstheme="minorEastAsia"/>
                <w:kern w:val="0"/>
                <w:sz w:val="18"/>
                <w:szCs w:val="18"/>
              </w:rPr>
              <w:t>（μg/m</w:t>
            </w:r>
            <w:r>
              <w:rPr>
                <w:rFonts w:hint="eastAsia" w:asciiTheme="minorEastAsia" w:hAnsiTheme="minorEastAsia" w:eastAsiaTheme="minorEastAsia" w:cstheme="minorEastAsia"/>
                <w:kern w:val="0"/>
                <w:sz w:val="18"/>
                <w:szCs w:val="18"/>
                <w:vertAlign w:val="superscript"/>
              </w:rPr>
              <w:t>3</w:t>
            </w:r>
            <w:r>
              <w:rPr>
                <w:rFonts w:hint="eastAsia" w:asciiTheme="minorEastAsia" w:hAnsiTheme="minorEastAsia" w:eastAsiaTheme="minorEastAsia" w:cstheme="minorEastAsia"/>
                <w:kern w:val="0"/>
                <w:sz w:val="18"/>
                <w:szCs w:val="18"/>
              </w:rPr>
              <w:t>）</w:t>
            </w:r>
          </w:p>
        </w:tc>
        <w:tc>
          <w:tcPr>
            <w:tcW w:w="0" w:type="auto"/>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SO</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（μg/m</w:t>
            </w:r>
            <w:r>
              <w:rPr>
                <w:rFonts w:hint="eastAsia" w:asciiTheme="minorEastAsia" w:hAnsiTheme="minorEastAsia" w:eastAsiaTheme="minorEastAsia" w:cstheme="minorEastAsia"/>
                <w:kern w:val="0"/>
                <w:sz w:val="18"/>
                <w:szCs w:val="18"/>
                <w:vertAlign w:val="superscript"/>
              </w:rPr>
              <w:t>3</w:t>
            </w:r>
            <w:r>
              <w:rPr>
                <w:rFonts w:hint="eastAsia" w:asciiTheme="minorEastAsia" w:hAnsiTheme="minorEastAsia" w:eastAsiaTheme="minorEastAsia" w:cstheme="minorEastAsia"/>
                <w:kern w:val="0"/>
                <w:sz w:val="18"/>
                <w:szCs w:val="18"/>
              </w:rPr>
              <w:t>）</w:t>
            </w:r>
          </w:p>
        </w:tc>
        <w:tc>
          <w:tcPr>
            <w:tcW w:w="0" w:type="auto"/>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NO</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（μg/m</w:t>
            </w:r>
            <w:r>
              <w:rPr>
                <w:rFonts w:hint="eastAsia" w:asciiTheme="minorEastAsia" w:hAnsiTheme="minorEastAsia" w:eastAsiaTheme="minorEastAsia" w:cstheme="minorEastAsia"/>
                <w:kern w:val="0"/>
                <w:sz w:val="18"/>
                <w:szCs w:val="18"/>
                <w:vertAlign w:val="superscript"/>
              </w:rPr>
              <w:t>3</w:t>
            </w:r>
            <w:r>
              <w:rPr>
                <w:rFonts w:hint="eastAsia" w:asciiTheme="minorEastAsia" w:hAnsiTheme="minorEastAsia" w:eastAsiaTheme="minorEastAsia" w:cstheme="minorEastAsia"/>
                <w:kern w:val="0"/>
                <w:sz w:val="18"/>
                <w:szCs w:val="18"/>
              </w:rPr>
              <w:t>）</w:t>
            </w:r>
          </w:p>
        </w:tc>
        <w:tc>
          <w:tcPr>
            <w:tcW w:w="0" w:type="auto"/>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CO（mg/m</w:t>
            </w:r>
            <w:r>
              <w:rPr>
                <w:rFonts w:hint="eastAsia" w:asciiTheme="minorEastAsia" w:hAnsiTheme="minorEastAsia" w:eastAsiaTheme="minorEastAsia" w:cstheme="minorEastAsia"/>
                <w:kern w:val="0"/>
                <w:sz w:val="18"/>
                <w:szCs w:val="18"/>
                <w:vertAlign w:val="superscript"/>
              </w:rPr>
              <w:t>3</w:t>
            </w:r>
            <w:r>
              <w:rPr>
                <w:rFonts w:hint="eastAsia" w:asciiTheme="minorEastAsia" w:hAnsiTheme="minorEastAsia" w:eastAsiaTheme="minorEastAsia" w:cstheme="minorEastAsia"/>
                <w:kern w:val="0"/>
                <w:sz w:val="18"/>
                <w:szCs w:val="18"/>
              </w:rPr>
              <w:t>）</w:t>
            </w:r>
          </w:p>
        </w:tc>
        <w:tc>
          <w:tcPr>
            <w:tcW w:w="0" w:type="auto"/>
            <w:gridSpan w:val="3"/>
            <w:tcBorders>
              <w:top w:val="single" w:color="auto" w:sz="12" w:space="0"/>
              <w:left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-8h（μg/m</w:t>
            </w:r>
            <w:r>
              <w:rPr>
                <w:rFonts w:hint="eastAsia" w:asciiTheme="minorEastAsia" w:hAnsiTheme="minorEastAsia" w:eastAsiaTheme="minorEastAsia" w:cstheme="minorEastAsia"/>
                <w:kern w:val="0"/>
                <w:sz w:val="18"/>
                <w:szCs w:val="18"/>
                <w:vertAlign w:val="superscript"/>
              </w:rPr>
              <w:t>3</w:t>
            </w:r>
            <w:r>
              <w:rPr>
                <w:rFonts w:hint="eastAsia" w:asciiTheme="minorEastAsia" w:hAnsiTheme="minorEastAsia" w:eastAsiaTheme="minorEastAsia" w:cstheme="minorEastAsia"/>
                <w:kern w:val="0"/>
                <w:sz w:val="18"/>
                <w:szCs w:val="18"/>
              </w:rPr>
              <w:t>）</w:t>
            </w:r>
          </w:p>
        </w:tc>
      </w:tr>
      <w:tr>
        <w:tblPrEx>
          <w:tblCellMar>
            <w:top w:w="0" w:type="dxa"/>
            <w:left w:w="108" w:type="dxa"/>
            <w:bottom w:w="0" w:type="dxa"/>
            <w:right w:w="108" w:type="dxa"/>
          </w:tblCellMar>
        </w:tblPrEx>
        <w:trPr>
          <w:trHeight w:val="214" w:hRule="atLeast"/>
          <w:tblHeader/>
          <w:jc w:val="center"/>
        </w:trPr>
        <w:tc>
          <w:tcPr>
            <w:tcW w:w="0" w:type="auto"/>
            <w:vMerge w:val="continue"/>
            <w:tcBorders>
              <w:bottom w:val="single" w:color="auto"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77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变化(百分点)</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w:t>
            </w:r>
          </w:p>
        </w:tc>
        <w:tc>
          <w:tcPr>
            <w:tcW w:w="0" w:type="auto"/>
            <w:tcBorders>
              <w:left w:val="single" w:color="auto" w:sz="4" w:space="0"/>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0" w:type="auto"/>
            <w:tcBorders>
              <w:bottom w:val="single" w:color="auto" w:sz="12"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w:t>
            </w:r>
          </w:p>
        </w:tc>
        <w:tc>
          <w:tcPr>
            <w:tcW w:w="0" w:type="auto"/>
            <w:tcBorders>
              <w:top w:val="single" w:color="auto" w:sz="4" w:space="0"/>
              <w:left w:val="nil"/>
              <w:bottom w:val="single" w:color="auto" w:sz="12"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top w:val="single" w:color="auto" w:sz="4" w:space="0"/>
              <w:left w:val="nil"/>
              <w:bottom w:val="single" w:color="auto" w:sz="12"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0" w:type="auto"/>
            <w:tcBorders>
              <w:top w:val="single" w:color="auto" w:sz="4" w:space="0"/>
              <w:left w:val="nil"/>
              <w:bottom w:val="single" w:color="auto" w:sz="12"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w:t>
            </w:r>
          </w:p>
        </w:tc>
        <w:tc>
          <w:tcPr>
            <w:tcW w:w="0" w:type="auto"/>
            <w:tcBorders>
              <w:top w:val="single" w:color="auto" w:sz="4" w:space="0"/>
              <w:left w:val="nil"/>
              <w:bottom w:val="single" w:color="auto" w:sz="12"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2018年</w:t>
            </w:r>
          </w:p>
        </w:tc>
        <w:tc>
          <w:tcPr>
            <w:tcW w:w="0" w:type="auto"/>
            <w:tcBorders>
              <w:top w:val="single" w:color="auto" w:sz="4" w:space="0"/>
              <w:left w:val="nil"/>
              <w:bottom w:val="single" w:color="auto" w:sz="12"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ind w:left="-107" w:leftChars="-51"/>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w:t>
            </w:r>
          </w:p>
        </w:tc>
        <w:tc>
          <w:tcPr>
            <w:tcW w:w="0" w:type="auto"/>
            <w:tcBorders>
              <w:top w:val="single" w:color="auto" w:sz="4" w:space="0"/>
              <w:left w:val="nil"/>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同比</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变化</w:t>
            </w:r>
          </w:p>
        </w:tc>
      </w:tr>
      <w:tr>
        <w:tblPrEx>
          <w:tblCellMar>
            <w:top w:w="0" w:type="dxa"/>
            <w:left w:w="108" w:type="dxa"/>
            <w:bottom w:w="0" w:type="dxa"/>
            <w:right w:w="108" w:type="dxa"/>
          </w:tblCellMar>
        </w:tblPrEx>
        <w:trPr>
          <w:trHeight w:val="213" w:hRule="atLeast"/>
          <w:tblHeader/>
          <w:jc w:val="center"/>
        </w:trPr>
        <w:tc>
          <w:tcPr>
            <w:tcW w:w="0" w:type="auto"/>
            <w:tcBorders>
              <w:top w:val="single" w:color="auto" w:sz="12" w:space="0"/>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乌鲁木齐市</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82 </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78 </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-4.9%</w:t>
            </w:r>
          </w:p>
        </w:tc>
        <w:tc>
          <w:tcPr>
            <w:tcW w:w="0" w:type="auto"/>
            <w:tcBorders>
              <w:top w:val="single" w:color="auto" w:sz="12"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29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28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-3.4%</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43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46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7.0%</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-11.1%</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56 </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60 </w:t>
            </w:r>
          </w:p>
        </w:tc>
        <w:tc>
          <w:tcPr>
            <w:tcW w:w="0" w:type="auto"/>
            <w:tcBorders>
              <w:top w:val="single" w:color="auto" w:sz="12" w:space="0"/>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7.1%</w:t>
            </w:r>
          </w:p>
        </w:tc>
      </w:tr>
      <w:tr>
        <w:tblPrEx>
          <w:tblCellMar>
            <w:top w:w="0" w:type="dxa"/>
            <w:left w:w="108" w:type="dxa"/>
            <w:bottom w:w="0" w:type="dxa"/>
            <w:right w:w="108" w:type="dxa"/>
          </w:tblCellMar>
        </w:tblPrEx>
        <w:trPr>
          <w:trHeight w:val="76"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阿勒泰市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19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19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14.3%</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-66.7%</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41.7%</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0.6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55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21.8%</w:t>
            </w:r>
          </w:p>
        </w:tc>
      </w:tr>
      <w:tr>
        <w:tblPrEx>
          <w:tblCellMar>
            <w:top w:w="0" w:type="dxa"/>
            <w:left w:w="108" w:type="dxa"/>
            <w:bottom w:w="0" w:type="dxa"/>
            <w:right w:w="108" w:type="dxa"/>
          </w:tblCellMar>
        </w:tblPrEx>
        <w:trPr>
          <w:trHeight w:val="217"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塔城市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38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48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26.3%</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13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13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12.5%</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102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-34.3%</w:t>
            </w:r>
          </w:p>
        </w:tc>
      </w:tr>
      <w:tr>
        <w:tblPrEx>
          <w:tblCellMar>
            <w:top w:w="0" w:type="dxa"/>
            <w:left w:w="108" w:type="dxa"/>
            <w:bottom w:w="0" w:type="dxa"/>
            <w:right w:w="108" w:type="dxa"/>
          </w:tblCellMar>
        </w:tblPrEx>
        <w:trPr>
          <w:trHeight w:val="220"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博乐市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61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64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4.9%</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21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-9.5%</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55.6%</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20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35.0%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0.5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0.5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58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15.5%</w:t>
            </w:r>
          </w:p>
        </w:tc>
      </w:tr>
      <w:tr>
        <w:tblPrEx>
          <w:tblCellMar>
            <w:top w:w="0" w:type="dxa"/>
            <w:left w:w="108" w:type="dxa"/>
            <w:bottom w:w="0" w:type="dxa"/>
            <w:right w:w="108" w:type="dxa"/>
          </w:tblCellMar>
        </w:tblPrEx>
        <w:trPr>
          <w:trHeight w:val="239"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克拉玛依市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56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58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3.6%</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14.3%</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-14.3%</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23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26.1%</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64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74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15.6%</w:t>
            </w:r>
          </w:p>
        </w:tc>
      </w:tr>
      <w:tr>
        <w:tblPrEx>
          <w:tblCellMar>
            <w:top w:w="0" w:type="dxa"/>
            <w:left w:w="108" w:type="dxa"/>
            <w:bottom w:w="0" w:type="dxa"/>
            <w:right w:w="108" w:type="dxa"/>
          </w:tblCellMar>
        </w:tblPrEx>
        <w:trPr>
          <w:trHeight w:val="184"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伊宁市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78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65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-16.7%</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31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-8.8%</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15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31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9.7%</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1.1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61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9.8%</w:t>
            </w:r>
          </w:p>
        </w:tc>
      </w:tr>
      <w:tr>
        <w:tblPrEx>
          <w:tblCellMar>
            <w:top w:w="0" w:type="dxa"/>
            <w:left w:w="108" w:type="dxa"/>
            <w:bottom w:w="0" w:type="dxa"/>
            <w:right w:w="108" w:type="dxa"/>
          </w:tblCellMar>
        </w:tblPrEx>
        <w:trPr>
          <w:trHeight w:val="144"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昌吉市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72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68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-5.6%</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7.4%</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13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8.3%</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-11.9%</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28.6%</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65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61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-6.2%</w:t>
            </w:r>
          </w:p>
        </w:tc>
      </w:tr>
      <w:tr>
        <w:tblPrEx>
          <w:tblCellMar>
            <w:top w:w="0" w:type="dxa"/>
            <w:left w:w="108" w:type="dxa"/>
            <w:bottom w:w="0" w:type="dxa"/>
            <w:right w:w="108" w:type="dxa"/>
          </w:tblCellMar>
        </w:tblPrEx>
        <w:trPr>
          <w:trHeight w:val="269"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吐鲁番市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86.7%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74.2%</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136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134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41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-4.9%</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35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77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14.9%</w:t>
            </w:r>
          </w:p>
        </w:tc>
      </w:tr>
      <w:tr>
        <w:tblPrEx>
          <w:tblCellMar>
            <w:top w:w="0" w:type="dxa"/>
            <w:left w:w="108" w:type="dxa"/>
            <w:bottom w:w="0" w:type="dxa"/>
            <w:right w:w="108" w:type="dxa"/>
          </w:tblCellMar>
        </w:tblPrEx>
        <w:trPr>
          <w:trHeight w:val="214"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哈密市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93.6%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96.8%</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72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88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22.2%</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25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5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-44.4%</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-15.8%</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-22.2%</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40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78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95.0%</w:t>
            </w:r>
          </w:p>
        </w:tc>
      </w:tr>
      <w:tr>
        <w:tblPrEx>
          <w:tblCellMar>
            <w:top w:w="0" w:type="dxa"/>
            <w:left w:w="108" w:type="dxa"/>
            <w:bottom w:w="0" w:type="dxa"/>
            <w:right w:w="108" w:type="dxa"/>
          </w:tblCellMar>
        </w:tblPrEx>
        <w:trPr>
          <w:trHeight w:val="188"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库尔勒市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58.1%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-35.4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103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146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41.7%</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39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34.5%</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-33.3%</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8.3%</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0.6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0.6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75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80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6.7%</w:t>
            </w:r>
          </w:p>
        </w:tc>
      </w:tr>
      <w:tr>
        <w:tblPrEx>
          <w:tblCellMar>
            <w:top w:w="0" w:type="dxa"/>
            <w:left w:w="108" w:type="dxa"/>
            <w:bottom w:w="0" w:type="dxa"/>
            <w:right w:w="108" w:type="dxa"/>
          </w:tblCellMar>
        </w:tblPrEx>
        <w:trPr>
          <w:trHeight w:val="148"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阿克苏市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70.9%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54.9%</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132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175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32.6%</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41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2.4%</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-11.1%</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81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81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r>
      <w:tr>
        <w:tblPrEx>
          <w:tblCellMar>
            <w:top w:w="0" w:type="dxa"/>
            <w:left w:w="108" w:type="dxa"/>
            <w:bottom w:w="0" w:type="dxa"/>
            <w:right w:w="108" w:type="dxa"/>
          </w:tblCellMar>
        </w:tblPrEx>
        <w:trPr>
          <w:trHeight w:val="259"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阿图什市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58.1%</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113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174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54.0%</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33.3%</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27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125%</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0.5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-28.6%</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91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80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-12.1%</w:t>
            </w:r>
          </w:p>
        </w:tc>
      </w:tr>
      <w:tr>
        <w:tblPrEx>
          <w:tblCellMar>
            <w:top w:w="0" w:type="dxa"/>
            <w:left w:w="108" w:type="dxa"/>
            <w:bottom w:w="0" w:type="dxa"/>
            <w:right w:w="108" w:type="dxa"/>
          </w:tblCellMar>
        </w:tblPrEx>
        <w:trPr>
          <w:trHeight w:val="218" w:hRule="atLeast"/>
          <w:tblHeader/>
          <w:jc w:val="center"/>
        </w:trPr>
        <w:tc>
          <w:tcPr>
            <w:tcW w:w="0" w:type="auto"/>
            <w:tcBorders>
              <w:top w:val="nil"/>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喀什市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29.0%</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195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249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27.7%</w:t>
            </w:r>
          </w:p>
        </w:tc>
        <w:tc>
          <w:tcPr>
            <w:tcW w:w="0" w:type="auto"/>
            <w:tcBorders>
              <w:top w:val="nil"/>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26.5%</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46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32 </w:t>
            </w:r>
          </w:p>
        </w:tc>
        <w:tc>
          <w:tcPr>
            <w:tcW w:w="0" w:type="auto"/>
            <w:tcBorders>
              <w:top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-30.4%</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-22.2%</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91 </w:t>
            </w:r>
          </w:p>
        </w:tc>
        <w:tc>
          <w:tcPr>
            <w:tcW w:w="0" w:type="auto"/>
            <w:tcBorders>
              <w:top w:val="nil"/>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84 </w:t>
            </w:r>
          </w:p>
        </w:tc>
        <w:tc>
          <w:tcPr>
            <w:tcW w:w="0" w:type="auto"/>
            <w:tcBorders>
              <w:top w:val="nil"/>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-7.7%</w:t>
            </w:r>
          </w:p>
        </w:tc>
      </w:tr>
      <w:tr>
        <w:tblPrEx>
          <w:tblCellMar>
            <w:top w:w="0" w:type="dxa"/>
            <w:left w:w="108" w:type="dxa"/>
            <w:bottom w:w="0" w:type="dxa"/>
            <w:right w:w="108" w:type="dxa"/>
          </w:tblCellMar>
        </w:tblPrEx>
        <w:trPr>
          <w:trHeight w:val="192" w:hRule="atLeast"/>
          <w:tblHeader/>
          <w:jc w:val="center"/>
        </w:trPr>
        <w:tc>
          <w:tcPr>
            <w:tcW w:w="0" w:type="auto"/>
            <w:tcBorders>
              <w:top w:val="nil"/>
              <w:bottom w:val="single" w:color="auto" w:sz="12"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和田市</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48.4%</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9.7%</w:t>
            </w:r>
          </w:p>
        </w:tc>
        <w:tc>
          <w:tcPr>
            <w:tcW w:w="77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-38.7</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166 </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329 </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98.2%</w:t>
            </w:r>
          </w:p>
        </w:tc>
        <w:tc>
          <w:tcPr>
            <w:tcW w:w="0" w:type="auto"/>
            <w:tcBorders>
              <w:top w:val="nil"/>
              <w:left w:val="single" w:color="auto" w:sz="4"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43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107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149%</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16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-25.0%</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34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33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-2.9%</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11.1%</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70 </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75 </w:t>
            </w:r>
          </w:p>
        </w:tc>
        <w:tc>
          <w:tcPr>
            <w:tcW w:w="0" w:type="auto"/>
            <w:tcBorders>
              <w:top w:val="nil"/>
              <w:left w:val="nil"/>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7.1%</w:t>
            </w:r>
          </w:p>
        </w:tc>
      </w:tr>
      <w:tr>
        <w:tblPrEx>
          <w:tblCellMar>
            <w:top w:w="0" w:type="dxa"/>
            <w:left w:w="108" w:type="dxa"/>
            <w:bottom w:w="0" w:type="dxa"/>
            <w:right w:w="108" w:type="dxa"/>
          </w:tblCellMar>
        </w:tblPrEx>
        <w:trPr>
          <w:trHeight w:val="241" w:hRule="atLeast"/>
          <w:tblHeader/>
          <w:jc w:val="center"/>
        </w:trPr>
        <w:tc>
          <w:tcPr>
            <w:tcW w:w="0" w:type="auto"/>
            <w:tcBorders>
              <w:top w:val="single" w:color="auto" w:sz="12" w:space="0"/>
              <w:bottom w:val="single" w:color="auto" w:sz="12"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80" w:lineRule="exact"/>
              <w:ind w:left="-122" w:leftChars="-58"/>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自治区14城市</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85.0%</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77.2%</w:t>
            </w:r>
          </w:p>
        </w:tc>
        <w:tc>
          <w:tcPr>
            <w:tcW w:w="77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-7.8</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95 </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121 </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27.4%</w:t>
            </w:r>
          </w:p>
        </w:tc>
        <w:tc>
          <w:tcPr>
            <w:tcW w:w="0" w:type="auto"/>
            <w:tcBorders>
              <w:top w:val="single" w:color="auto" w:sz="12" w:space="0"/>
              <w:left w:val="single" w:color="auto" w:sz="4"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30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37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23.3%</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29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30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3.4%</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70 </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73 </w:t>
            </w:r>
          </w:p>
        </w:tc>
        <w:tc>
          <w:tcPr>
            <w:tcW w:w="0" w:type="auto"/>
            <w:tcBorders>
              <w:top w:val="single" w:color="auto" w:sz="12" w:space="0"/>
              <w:left w:val="nil"/>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4.3%</w:t>
            </w:r>
          </w:p>
        </w:tc>
      </w:tr>
      <w:tr>
        <w:tblPrEx>
          <w:tblCellMar>
            <w:top w:w="0" w:type="dxa"/>
            <w:left w:w="108" w:type="dxa"/>
            <w:bottom w:w="0" w:type="dxa"/>
            <w:right w:w="108" w:type="dxa"/>
          </w:tblCellMar>
        </w:tblPrEx>
        <w:trPr>
          <w:trHeight w:val="192" w:hRule="atLeast"/>
          <w:tblHeader/>
          <w:jc w:val="center"/>
        </w:trPr>
        <w:tc>
          <w:tcPr>
            <w:tcW w:w="0" w:type="auto"/>
            <w:tcBorders>
              <w:top w:val="single" w:color="auto" w:sz="12" w:space="0"/>
              <w:bottom w:val="single" w:color="auto"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石河子市</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100%</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77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81 </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76 </w:t>
            </w:r>
          </w:p>
        </w:tc>
        <w:tc>
          <w:tcPr>
            <w:tcW w:w="0" w:type="auto"/>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-6.2%</w:t>
            </w:r>
          </w:p>
        </w:tc>
        <w:tc>
          <w:tcPr>
            <w:tcW w:w="0" w:type="auto"/>
            <w:tcBorders>
              <w:top w:val="single" w:color="auto" w:sz="12"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33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30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-9.1%</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-16.7%</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35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42 </w:t>
            </w:r>
          </w:p>
        </w:tc>
        <w:tc>
          <w:tcPr>
            <w:tcW w:w="0" w:type="auto"/>
            <w:tcBorders>
              <w:top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0.7 </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-12.5%</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68 </w:t>
            </w:r>
          </w:p>
        </w:tc>
        <w:tc>
          <w:tcPr>
            <w:tcW w:w="0" w:type="auto"/>
            <w:tcBorders>
              <w:top w:val="single" w:color="auto" w:sz="12" w:space="0"/>
              <w:left w:val="nil"/>
              <w:bottom w:val="single" w:color="auto" w:sz="8"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73 </w:t>
            </w:r>
          </w:p>
        </w:tc>
        <w:tc>
          <w:tcPr>
            <w:tcW w:w="0" w:type="auto"/>
            <w:tcBorders>
              <w:top w:val="single" w:color="auto" w:sz="12" w:space="0"/>
              <w:left w:val="nil"/>
              <w:bottom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7.4%</w:t>
            </w:r>
          </w:p>
        </w:tc>
      </w:tr>
      <w:tr>
        <w:tblPrEx>
          <w:tblCellMar>
            <w:top w:w="0" w:type="dxa"/>
            <w:left w:w="108" w:type="dxa"/>
            <w:bottom w:w="0" w:type="dxa"/>
            <w:right w:w="108" w:type="dxa"/>
          </w:tblCellMar>
        </w:tblPrEx>
        <w:trPr>
          <w:trHeight w:val="192" w:hRule="atLeast"/>
          <w:tblHeader/>
          <w:jc w:val="center"/>
        </w:trPr>
        <w:tc>
          <w:tcPr>
            <w:tcW w:w="0" w:type="auto"/>
            <w:tcBorders>
              <w:top w:val="nil"/>
              <w:bottom w:val="single" w:color="auto" w:sz="12"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五家渠市</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96.7%</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96.8%</w:t>
            </w:r>
          </w:p>
        </w:tc>
        <w:tc>
          <w:tcPr>
            <w:tcW w:w="77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0.1</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75 </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83 </w:t>
            </w:r>
          </w:p>
        </w:tc>
        <w:tc>
          <w:tcPr>
            <w:tcW w:w="0" w:type="auto"/>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10.7%</w:t>
            </w:r>
          </w:p>
        </w:tc>
        <w:tc>
          <w:tcPr>
            <w:tcW w:w="0" w:type="auto"/>
            <w:tcBorders>
              <w:top w:val="nil"/>
              <w:left w:val="single" w:color="auto" w:sz="4"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32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30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-6.3%</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33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37 </w:t>
            </w:r>
          </w:p>
        </w:tc>
        <w:tc>
          <w:tcPr>
            <w:tcW w:w="0" w:type="auto"/>
            <w:tcBorders>
              <w:top w:val="nil"/>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12.1%</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1.0 </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67 </w:t>
            </w:r>
          </w:p>
        </w:tc>
        <w:tc>
          <w:tcPr>
            <w:tcW w:w="0" w:type="auto"/>
            <w:tcBorders>
              <w:top w:val="nil"/>
              <w:left w:val="nil"/>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r>
      <w:tr>
        <w:tblPrEx>
          <w:tblCellMar>
            <w:top w:w="0" w:type="dxa"/>
            <w:left w:w="108" w:type="dxa"/>
            <w:bottom w:w="0" w:type="dxa"/>
            <w:right w:w="108" w:type="dxa"/>
          </w:tblCellMar>
        </w:tblPrEx>
        <w:trPr>
          <w:trHeight w:val="241" w:hRule="atLeast"/>
          <w:tblHeader/>
          <w:jc w:val="center"/>
        </w:trPr>
        <w:tc>
          <w:tcPr>
            <w:tcW w:w="0" w:type="auto"/>
            <w:tcBorders>
              <w:top w:val="single" w:color="auto" w:sz="12" w:space="0"/>
              <w:bottom w:val="single" w:color="auto" w:sz="12"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兵团2城市</w:t>
            </w:r>
          </w:p>
        </w:tc>
        <w:tc>
          <w:tcPr>
            <w:tcW w:w="0" w:type="auto"/>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98.4%</w:t>
            </w:r>
          </w:p>
        </w:tc>
        <w:tc>
          <w:tcPr>
            <w:tcW w:w="0" w:type="auto"/>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98.4%</w:t>
            </w:r>
          </w:p>
        </w:tc>
        <w:tc>
          <w:tcPr>
            <w:tcW w:w="775" w:type="dxa"/>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0" w:type="auto"/>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78 </w:t>
            </w:r>
          </w:p>
        </w:tc>
        <w:tc>
          <w:tcPr>
            <w:tcW w:w="0" w:type="auto"/>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80 </w:t>
            </w:r>
          </w:p>
        </w:tc>
        <w:tc>
          <w:tcPr>
            <w:tcW w:w="0" w:type="auto"/>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2.6%</w:t>
            </w:r>
          </w:p>
        </w:tc>
        <w:tc>
          <w:tcPr>
            <w:tcW w:w="0" w:type="auto"/>
            <w:tcBorders>
              <w:top w:val="single" w:color="auto" w:sz="12" w:space="0"/>
              <w:left w:val="single" w:color="auto" w:sz="4"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33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30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-9.1%</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12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11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-8.3%</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34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40 </w:t>
            </w:r>
          </w:p>
        </w:tc>
        <w:tc>
          <w:tcPr>
            <w:tcW w:w="0" w:type="auto"/>
            <w:tcBorders>
              <w:top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17.6%</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0.9 </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0.8 </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-11.1%</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68 </w:t>
            </w:r>
          </w:p>
        </w:tc>
        <w:tc>
          <w:tcPr>
            <w:tcW w:w="0" w:type="auto"/>
            <w:tcBorders>
              <w:top w:val="single" w:color="auto" w:sz="12" w:space="0"/>
              <w:left w:val="nil"/>
              <w:bottom w:val="single" w:color="auto" w:sz="12" w:space="0"/>
              <w:right w:val="single" w:color="auto" w:sz="8"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70 </w:t>
            </w:r>
          </w:p>
        </w:tc>
        <w:tc>
          <w:tcPr>
            <w:tcW w:w="0" w:type="auto"/>
            <w:tcBorders>
              <w:top w:val="single" w:color="auto" w:sz="12" w:space="0"/>
              <w:left w:val="nil"/>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2.9%</w:t>
            </w:r>
          </w:p>
        </w:tc>
      </w:tr>
    </w:tbl>
    <w:p>
      <w:pPr>
        <w:keepNext w:val="0"/>
        <w:keepLines w:val="0"/>
        <w:pageBreakBefore w:val="0"/>
        <w:widowControl/>
        <w:kinsoku/>
        <w:wordWrap/>
        <w:overflowPunct/>
        <w:topLinePunct w:val="0"/>
        <w:autoSpaceDE/>
        <w:autoSpaceDN/>
        <w:bidi w:val="0"/>
        <w:spacing w:line="300" w:lineRule="exact"/>
        <w:jc w:val="left"/>
        <w:textAlignment w:val="auto"/>
        <w:rPr>
          <w:rFonts w:hint="eastAsia" w:asciiTheme="minorEastAsia" w:hAnsiTheme="minorEastAsia" w:eastAsiaTheme="minorEastAsia" w:cstheme="minorEastAsia"/>
          <w:kern w:val="0"/>
          <w:sz w:val="18"/>
          <w:szCs w:val="18"/>
        </w:rPr>
        <w:sectPr>
          <w:pgSz w:w="16838" w:h="11906" w:orient="landscape"/>
          <w:pgMar w:top="1803" w:right="1134" w:bottom="1803" w:left="1134"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b/>
          <w:sz w:val="32"/>
          <w:szCs w:val="32"/>
        </w:rPr>
      </w:pPr>
      <w:r>
        <w:rPr>
          <w:rFonts w:hint="eastAsia" w:ascii="黑体" w:hAnsi="黑体" w:eastAsia="黑体" w:cs="黑体"/>
          <w:kern w:val="0"/>
          <w:sz w:val="32"/>
          <w:szCs w:val="32"/>
        </w:rPr>
        <w:t>二、排名情况</w:t>
      </w:r>
    </w:p>
    <w:p>
      <w:pPr>
        <w:widowControl/>
        <w:spacing w:line="560" w:lineRule="exact"/>
        <w:ind w:firstLine="640" w:firstLineChars="200"/>
        <w:jc w:val="left"/>
        <w:rPr>
          <w:rFonts w:ascii="仿宋" w:hAnsi="仿宋" w:eastAsia="仿宋"/>
          <w:kern w:val="0"/>
          <w:sz w:val="32"/>
          <w:szCs w:val="32"/>
        </w:rPr>
      </w:pPr>
      <w:r>
        <w:rPr>
          <w:rFonts w:hint="eastAsia" w:ascii="仿宋" w:hAnsi="仿宋" w:eastAsia="仿宋" w:cs="Times New Roman"/>
          <w:kern w:val="0"/>
          <w:sz w:val="32"/>
          <w:szCs w:val="32"/>
        </w:rPr>
        <w:t>2</w:t>
      </w:r>
      <w:r>
        <w:rPr>
          <w:rFonts w:ascii="仿宋" w:hAnsi="仿宋" w:eastAsia="仿宋" w:cs="Times New Roman"/>
          <w:kern w:val="0"/>
          <w:sz w:val="32"/>
          <w:szCs w:val="32"/>
        </w:rPr>
        <w:t>019年10月</w:t>
      </w:r>
      <w:r>
        <w:rPr>
          <w:rFonts w:hint="eastAsia" w:ascii="仿宋" w:hAnsi="仿宋" w:eastAsia="仿宋" w:cs="Times New Roman"/>
          <w:kern w:val="0"/>
          <w:sz w:val="32"/>
          <w:szCs w:val="32"/>
        </w:rPr>
        <w:t>，自治区14城市及兵团2城市</w:t>
      </w:r>
      <w:r>
        <w:rPr>
          <w:rFonts w:hint="eastAsia" w:ascii="仿宋" w:hAnsi="仿宋" w:eastAsia="仿宋"/>
          <w:kern w:val="0"/>
          <w:sz w:val="32"/>
          <w:szCs w:val="32"/>
        </w:rPr>
        <w:t>环境空气质量综合指数由低到高排名依次为阿勒泰市、塔城市、克拉玛依市、博乐市、哈密市、昌吉市、伊宁市、乌鲁木齐市、五家渠市、石河子市、库尔勒市、吐鲁番市、阿图什市、阿克苏市、喀什市、和田市。</w:t>
      </w:r>
    </w:p>
    <w:p>
      <w:pPr>
        <w:jc w:val="center"/>
        <w:rPr>
          <w:rFonts w:hint="eastAsia" w:ascii="方正小标宋简体" w:hAnsi="方正小标宋简体" w:eastAsia="方正小标宋简体" w:cs="方正小标宋简体"/>
          <w:b/>
          <w:sz w:val="32"/>
          <w:szCs w:val="32"/>
        </w:rPr>
      </w:pPr>
    </w:p>
    <w:p>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表2    2019年10月自治区14城市及兵团2城市空气</w:t>
      </w:r>
    </w:p>
    <w:p>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质量指数排名</w:t>
      </w:r>
    </w:p>
    <w:tbl>
      <w:tblPr>
        <w:tblStyle w:val="8"/>
        <w:tblpPr w:leftFromText="180" w:rightFromText="180" w:vertAnchor="text" w:horzAnchor="margin" w:tblpXSpec="center" w:tblpY="38"/>
        <w:tblW w:w="8298" w:type="dxa"/>
        <w:tblInd w:w="-125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1444"/>
        <w:gridCol w:w="45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24" w:type="dxa"/>
            <w:vMerge w:val="restart"/>
            <w:tcBorders>
              <w:top w:val="single" w:color="auto" w:sz="1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4"/>
                <w:szCs w:val="32"/>
              </w:rPr>
            </w:pPr>
            <w:r>
              <w:rPr>
                <w:rFonts w:hint="eastAsia" w:asciiTheme="minorEastAsia" w:hAnsiTheme="minorEastAsia" w:eastAsiaTheme="minorEastAsia" w:cstheme="minorEastAsia"/>
                <w:b/>
                <w:kern w:val="0"/>
                <w:sz w:val="24"/>
                <w:szCs w:val="32"/>
              </w:rPr>
              <w:t>排名</w:t>
            </w:r>
          </w:p>
        </w:tc>
        <w:tc>
          <w:tcPr>
            <w:tcW w:w="5974" w:type="dxa"/>
            <w:gridSpan w:val="2"/>
            <w:tcBorders>
              <w:top w:val="single" w:color="auto" w:sz="18"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4"/>
                <w:szCs w:val="32"/>
              </w:rPr>
            </w:pPr>
            <w:r>
              <w:rPr>
                <w:rFonts w:hint="eastAsia" w:asciiTheme="minorEastAsia" w:hAnsiTheme="minorEastAsia" w:eastAsiaTheme="minorEastAsia" w:cstheme="minorEastAsia"/>
                <w:b/>
                <w:kern w:val="0"/>
                <w:sz w:val="24"/>
                <w:szCs w:val="32"/>
              </w:rPr>
              <w:t>环境空气质量综合指数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24" w:type="dxa"/>
            <w:vMerge w:val="continue"/>
            <w:tcBorders>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4"/>
                <w:szCs w:val="32"/>
              </w:rPr>
            </w:pPr>
          </w:p>
        </w:tc>
        <w:tc>
          <w:tcPr>
            <w:tcW w:w="1444" w:type="dxa"/>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4"/>
                <w:szCs w:val="32"/>
              </w:rPr>
            </w:pPr>
            <w:r>
              <w:rPr>
                <w:rFonts w:hint="eastAsia" w:asciiTheme="minorEastAsia" w:hAnsiTheme="minorEastAsia" w:eastAsiaTheme="minorEastAsia" w:cstheme="minorEastAsia"/>
                <w:b/>
                <w:kern w:val="0"/>
                <w:sz w:val="24"/>
                <w:szCs w:val="32"/>
              </w:rPr>
              <w:t>城市</w:t>
            </w:r>
          </w:p>
        </w:tc>
        <w:tc>
          <w:tcPr>
            <w:tcW w:w="4530" w:type="dxa"/>
            <w:tcBorders>
              <w:top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4"/>
                <w:szCs w:val="32"/>
              </w:rPr>
            </w:pPr>
            <w:r>
              <w:rPr>
                <w:rFonts w:hint="eastAsia" w:asciiTheme="minorEastAsia" w:hAnsiTheme="minorEastAsia" w:eastAsiaTheme="minorEastAsia" w:cstheme="minorEastAsia"/>
                <w:b/>
                <w:kern w:val="0"/>
                <w:sz w:val="24"/>
                <w:szCs w:val="32"/>
              </w:rPr>
              <w:t>综合指数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tcBorders>
              <w:top w:val="single" w:color="auto" w:sz="1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444" w:type="dxa"/>
            <w:tcBorders>
              <w:top w:val="single" w:color="auto" w:sz="18" w:space="0"/>
            </w:tcBorders>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阿勒泰市</w:t>
            </w:r>
          </w:p>
        </w:tc>
        <w:tc>
          <w:tcPr>
            <w:tcW w:w="4530" w:type="dxa"/>
            <w:tcBorders>
              <w:top w:val="single" w:color="auto" w:sz="18" w:space="0"/>
            </w:tcBorders>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1.78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塔城市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2.11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克拉玛依市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2.93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博乐市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3.18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哈密市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3.64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昌吉市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3.77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伊宁市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3.91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乌鲁木齐市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4.02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五家渠市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4.07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石河子市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4.09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库尔勒市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4.75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吐鲁番市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4.87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阿图什市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5.36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阿克苏市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5.54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1444"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喀什市</w:t>
            </w:r>
          </w:p>
        </w:tc>
        <w:tc>
          <w:tcPr>
            <w:tcW w:w="4530" w:type="dxa"/>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7.92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24" w:type="dxa"/>
            <w:tcBorders>
              <w:bottom w:val="single" w:color="auto" w:sz="1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w:t>
            </w:r>
          </w:p>
        </w:tc>
        <w:tc>
          <w:tcPr>
            <w:tcW w:w="1444" w:type="dxa"/>
            <w:tcBorders>
              <w:bottom w:val="single" w:color="auto" w:sz="18" w:space="0"/>
            </w:tcBorders>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和田市</w:t>
            </w:r>
          </w:p>
        </w:tc>
        <w:tc>
          <w:tcPr>
            <w:tcW w:w="4530" w:type="dxa"/>
            <w:tcBorders>
              <w:bottom w:val="single" w:color="auto" w:sz="18" w:space="0"/>
            </w:tcBorders>
            <w:vAlign w:val="bottom"/>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 xml:space="preserve">9.72 </w:t>
            </w: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rPr>
      </w:pPr>
    </w:p>
    <w:p>
      <w:pPr>
        <w:spacing w:line="360" w:lineRule="exact"/>
        <w:jc w:val="left"/>
        <w:rPr>
          <w:rFonts w:ascii="仿宋" w:hAnsi="仿宋" w:eastAsia="仿宋"/>
          <w:sz w:val="24"/>
        </w:rPr>
      </w:pPr>
      <w:r>
        <w:rPr>
          <w:rFonts w:asciiTheme="minorEastAsia" w:hAnsiTheme="minorEastAsia"/>
        </w:rPr>
        <w:t>备注</w:t>
      </w:r>
      <w:r>
        <w:rPr>
          <w:rFonts w:hint="eastAsia" w:asciiTheme="minorEastAsia" w:hAnsiTheme="minorEastAsia"/>
        </w:rPr>
        <w:t>：</w:t>
      </w:r>
      <w:r>
        <w:rPr>
          <w:rFonts w:hint="eastAsia" w:ascii="仿宋" w:hAnsi="仿宋" w:eastAsia="仿宋"/>
          <w:sz w:val="24"/>
        </w:rPr>
        <w:t>1.环境空气质量综合指数越低，空气质量越好。</w:t>
      </w:r>
    </w:p>
    <w:p>
      <w:pPr>
        <w:spacing w:line="360" w:lineRule="exact"/>
        <w:ind w:firstLine="600" w:firstLineChars="250"/>
        <w:jc w:val="left"/>
        <w:rPr>
          <w:rFonts w:ascii="仿宋" w:hAnsi="仿宋" w:eastAsia="仿宋"/>
          <w:sz w:val="24"/>
        </w:rPr>
      </w:pPr>
      <w:r>
        <w:rPr>
          <w:rFonts w:hint="eastAsia" w:ascii="仿宋" w:hAnsi="仿宋" w:eastAsia="仿宋"/>
          <w:sz w:val="24"/>
        </w:rPr>
        <w:t>2.综合指数同比变化率是指环境空气质量综合指数与去年同期对比的变幅。</w:t>
      </w:r>
    </w:p>
    <w:p>
      <w:pPr>
        <w:spacing w:line="360" w:lineRule="exact"/>
        <w:ind w:firstLine="600" w:firstLineChars="250"/>
        <w:jc w:val="left"/>
        <w:rPr>
          <w:rFonts w:ascii="仿宋" w:hAnsi="仿宋" w:eastAsia="仿宋"/>
          <w:sz w:val="24"/>
        </w:rPr>
      </w:pPr>
      <w:r>
        <w:rPr>
          <w:rFonts w:hint="eastAsia" w:ascii="仿宋" w:hAnsi="仿宋" w:eastAsia="仿宋"/>
          <w:sz w:val="24"/>
        </w:rPr>
        <w:t>3.综合指数同比变化率＞0表示空气质量同比恶化</w:t>
      </w:r>
    </w:p>
    <w:p>
      <w:pPr>
        <w:spacing w:line="360" w:lineRule="exact"/>
        <w:ind w:firstLine="840" w:firstLineChars="350"/>
        <w:jc w:val="left"/>
        <w:rPr>
          <w:rFonts w:ascii="仿宋" w:hAnsi="仿宋" w:eastAsia="仿宋"/>
          <w:sz w:val="24"/>
        </w:rPr>
      </w:pPr>
      <w:r>
        <w:rPr>
          <w:rFonts w:hint="eastAsia" w:ascii="仿宋" w:hAnsi="仿宋" w:eastAsia="仿宋"/>
          <w:sz w:val="24"/>
        </w:rPr>
        <w:t>综合指数同比变化率＝0表示空气质量同比持平</w:t>
      </w:r>
    </w:p>
    <w:p>
      <w:pPr>
        <w:spacing w:line="360" w:lineRule="exact"/>
        <w:ind w:firstLine="840" w:firstLineChars="350"/>
        <w:jc w:val="left"/>
        <w:rPr>
          <w:rFonts w:ascii="仿宋" w:hAnsi="仿宋" w:eastAsia="仿宋"/>
          <w:sz w:val="24"/>
        </w:rPr>
      </w:pPr>
      <w:r>
        <w:rPr>
          <w:rFonts w:hint="eastAsia" w:ascii="仿宋" w:hAnsi="仿宋" w:eastAsia="仿宋"/>
          <w:sz w:val="24"/>
        </w:rPr>
        <w:t>综合指数同比变化率＜0表示空气质量同比改善。</w:t>
      </w:r>
    </w:p>
    <w:p>
      <w:pPr>
        <w:spacing w:before="312" w:beforeLines="100" w:line="540" w:lineRule="exact"/>
        <w:ind w:firstLine="640" w:firstLineChars="200"/>
        <w:rPr>
          <w:rFonts w:hint="eastAsia" w:ascii="黑体" w:hAnsi="黑体" w:eastAsia="黑体" w:cs="Times New Roman"/>
          <w:kern w:val="0"/>
          <w:sz w:val="32"/>
          <w:szCs w:val="32"/>
        </w:rPr>
      </w:pPr>
    </w:p>
    <w:sectPr>
      <w:pgSz w:w="11906" w:h="16838"/>
      <w:pgMar w:top="1134" w:right="1803" w:bottom="1134"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Raavi">
    <w:panose1 w:val="020B0502040204020203"/>
    <w:charset w:val="00"/>
    <w:family w:val="auto"/>
    <w:pitch w:val="default"/>
    <w:sig w:usb0="0002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5867"/>
    <w:rsid w:val="00000E8A"/>
    <w:rsid w:val="00004FE2"/>
    <w:rsid w:val="00005D74"/>
    <w:rsid w:val="00014AFF"/>
    <w:rsid w:val="000253C4"/>
    <w:rsid w:val="00042D53"/>
    <w:rsid w:val="00054706"/>
    <w:rsid w:val="00066014"/>
    <w:rsid w:val="00083EA5"/>
    <w:rsid w:val="00086321"/>
    <w:rsid w:val="000A0258"/>
    <w:rsid w:val="000A7D77"/>
    <w:rsid w:val="000B01A7"/>
    <w:rsid w:val="000C0930"/>
    <w:rsid w:val="000E5CF0"/>
    <w:rsid w:val="000F08DC"/>
    <w:rsid w:val="00102293"/>
    <w:rsid w:val="00103AD8"/>
    <w:rsid w:val="00107F1A"/>
    <w:rsid w:val="001104EF"/>
    <w:rsid w:val="00110D1C"/>
    <w:rsid w:val="00114C4F"/>
    <w:rsid w:val="00120A38"/>
    <w:rsid w:val="00124074"/>
    <w:rsid w:val="00136095"/>
    <w:rsid w:val="00136676"/>
    <w:rsid w:val="00140AF8"/>
    <w:rsid w:val="00141715"/>
    <w:rsid w:val="00141CC9"/>
    <w:rsid w:val="00143281"/>
    <w:rsid w:val="00143D64"/>
    <w:rsid w:val="001455EA"/>
    <w:rsid w:val="00150EBB"/>
    <w:rsid w:val="00152854"/>
    <w:rsid w:val="00152E76"/>
    <w:rsid w:val="0015589A"/>
    <w:rsid w:val="00155DA7"/>
    <w:rsid w:val="00170CDB"/>
    <w:rsid w:val="00173C30"/>
    <w:rsid w:val="00197D01"/>
    <w:rsid w:val="001A04C6"/>
    <w:rsid w:val="001B134C"/>
    <w:rsid w:val="001B1CE4"/>
    <w:rsid w:val="001B241E"/>
    <w:rsid w:val="001B7853"/>
    <w:rsid w:val="001C4D11"/>
    <w:rsid w:val="001C6A24"/>
    <w:rsid w:val="001D72C4"/>
    <w:rsid w:val="001E25D1"/>
    <w:rsid w:val="001E2B3B"/>
    <w:rsid w:val="001E3A44"/>
    <w:rsid w:val="001F0867"/>
    <w:rsid w:val="001F5B27"/>
    <w:rsid w:val="001F7857"/>
    <w:rsid w:val="002065B4"/>
    <w:rsid w:val="0021262A"/>
    <w:rsid w:val="00232F7E"/>
    <w:rsid w:val="00261EBA"/>
    <w:rsid w:val="002634DF"/>
    <w:rsid w:val="00267B11"/>
    <w:rsid w:val="00282107"/>
    <w:rsid w:val="002A09BF"/>
    <w:rsid w:val="002A13BE"/>
    <w:rsid w:val="002A14BC"/>
    <w:rsid w:val="002B1369"/>
    <w:rsid w:val="002B2DC1"/>
    <w:rsid w:val="002B707A"/>
    <w:rsid w:val="002B77DE"/>
    <w:rsid w:val="002C0F6A"/>
    <w:rsid w:val="002C16E7"/>
    <w:rsid w:val="002C2160"/>
    <w:rsid w:val="002C5B39"/>
    <w:rsid w:val="002D1268"/>
    <w:rsid w:val="002D3810"/>
    <w:rsid w:val="002D55BF"/>
    <w:rsid w:val="002D5D32"/>
    <w:rsid w:val="002E0BD7"/>
    <w:rsid w:val="002E27EB"/>
    <w:rsid w:val="002E3FEF"/>
    <w:rsid w:val="002E6546"/>
    <w:rsid w:val="0031239B"/>
    <w:rsid w:val="003125BC"/>
    <w:rsid w:val="00317843"/>
    <w:rsid w:val="00326D9C"/>
    <w:rsid w:val="00330505"/>
    <w:rsid w:val="00330B39"/>
    <w:rsid w:val="00335AE5"/>
    <w:rsid w:val="00336BFD"/>
    <w:rsid w:val="00340570"/>
    <w:rsid w:val="00344D71"/>
    <w:rsid w:val="00361D63"/>
    <w:rsid w:val="003652E7"/>
    <w:rsid w:val="003703C2"/>
    <w:rsid w:val="00373E27"/>
    <w:rsid w:val="003743EC"/>
    <w:rsid w:val="0038280A"/>
    <w:rsid w:val="003837C3"/>
    <w:rsid w:val="00383EE4"/>
    <w:rsid w:val="003851A9"/>
    <w:rsid w:val="0039013F"/>
    <w:rsid w:val="00393E6B"/>
    <w:rsid w:val="003A5604"/>
    <w:rsid w:val="003A5B70"/>
    <w:rsid w:val="003B21DB"/>
    <w:rsid w:val="003C5AAC"/>
    <w:rsid w:val="003D6AF1"/>
    <w:rsid w:val="003F20BE"/>
    <w:rsid w:val="003F7E48"/>
    <w:rsid w:val="00400B53"/>
    <w:rsid w:val="00406900"/>
    <w:rsid w:val="00411D05"/>
    <w:rsid w:val="0042112B"/>
    <w:rsid w:val="00424EE4"/>
    <w:rsid w:val="00435032"/>
    <w:rsid w:val="00436C11"/>
    <w:rsid w:val="00437576"/>
    <w:rsid w:val="0043776E"/>
    <w:rsid w:val="004404AB"/>
    <w:rsid w:val="0044617F"/>
    <w:rsid w:val="00454EDE"/>
    <w:rsid w:val="00456F41"/>
    <w:rsid w:val="00461862"/>
    <w:rsid w:val="00470D82"/>
    <w:rsid w:val="00477D16"/>
    <w:rsid w:val="00491FC1"/>
    <w:rsid w:val="0049266B"/>
    <w:rsid w:val="004A06A7"/>
    <w:rsid w:val="004A1720"/>
    <w:rsid w:val="004A46A4"/>
    <w:rsid w:val="004B4DB8"/>
    <w:rsid w:val="004B51DF"/>
    <w:rsid w:val="004B55CF"/>
    <w:rsid w:val="004B6A51"/>
    <w:rsid w:val="004C1F94"/>
    <w:rsid w:val="004C26F7"/>
    <w:rsid w:val="004E285B"/>
    <w:rsid w:val="004F09C9"/>
    <w:rsid w:val="004F1AAD"/>
    <w:rsid w:val="004F39B4"/>
    <w:rsid w:val="004F4EE5"/>
    <w:rsid w:val="004F52F4"/>
    <w:rsid w:val="004F7208"/>
    <w:rsid w:val="004F73C9"/>
    <w:rsid w:val="005036D3"/>
    <w:rsid w:val="005215BF"/>
    <w:rsid w:val="0052462B"/>
    <w:rsid w:val="00526827"/>
    <w:rsid w:val="0052738E"/>
    <w:rsid w:val="00541BBB"/>
    <w:rsid w:val="0054246D"/>
    <w:rsid w:val="00546DD9"/>
    <w:rsid w:val="00550EF0"/>
    <w:rsid w:val="005554A0"/>
    <w:rsid w:val="00555C99"/>
    <w:rsid w:val="00586156"/>
    <w:rsid w:val="00593470"/>
    <w:rsid w:val="005945DE"/>
    <w:rsid w:val="005958F0"/>
    <w:rsid w:val="005A51FF"/>
    <w:rsid w:val="005B3C6E"/>
    <w:rsid w:val="005C06E8"/>
    <w:rsid w:val="005C1DCA"/>
    <w:rsid w:val="005D2418"/>
    <w:rsid w:val="005D29DE"/>
    <w:rsid w:val="005D2AB6"/>
    <w:rsid w:val="005D3F70"/>
    <w:rsid w:val="005D4301"/>
    <w:rsid w:val="005E7B38"/>
    <w:rsid w:val="005F1A2E"/>
    <w:rsid w:val="005F44CB"/>
    <w:rsid w:val="005F4DB9"/>
    <w:rsid w:val="00601BFB"/>
    <w:rsid w:val="00606031"/>
    <w:rsid w:val="00620899"/>
    <w:rsid w:val="00623991"/>
    <w:rsid w:val="006241F5"/>
    <w:rsid w:val="00626339"/>
    <w:rsid w:val="0063797B"/>
    <w:rsid w:val="00641C5F"/>
    <w:rsid w:val="00641FAB"/>
    <w:rsid w:val="00644D81"/>
    <w:rsid w:val="00650B47"/>
    <w:rsid w:val="00662769"/>
    <w:rsid w:val="0066722C"/>
    <w:rsid w:val="006704DC"/>
    <w:rsid w:val="00671A9C"/>
    <w:rsid w:val="00672BF3"/>
    <w:rsid w:val="00687AC1"/>
    <w:rsid w:val="00691282"/>
    <w:rsid w:val="00692AEF"/>
    <w:rsid w:val="006A540D"/>
    <w:rsid w:val="006A6FA4"/>
    <w:rsid w:val="006B0DD9"/>
    <w:rsid w:val="006C1595"/>
    <w:rsid w:val="006C1EF6"/>
    <w:rsid w:val="006C7BD9"/>
    <w:rsid w:val="006D0819"/>
    <w:rsid w:val="006D4DB6"/>
    <w:rsid w:val="006E1197"/>
    <w:rsid w:val="006E1BF4"/>
    <w:rsid w:val="006E4A64"/>
    <w:rsid w:val="006E7DE3"/>
    <w:rsid w:val="006E7E87"/>
    <w:rsid w:val="006F296E"/>
    <w:rsid w:val="006F3496"/>
    <w:rsid w:val="00702EAA"/>
    <w:rsid w:val="00705292"/>
    <w:rsid w:val="00711FE4"/>
    <w:rsid w:val="007149DD"/>
    <w:rsid w:val="00721821"/>
    <w:rsid w:val="007259A8"/>
    <w:rsid w:val="00725A2A"/>
    <w:rsid w:val="00732875"/>
    <w:rsid w:val="00736D60"/>
    <w:rsid w:val="00744A95"/>
    <w:rsid w:val="007470CD"/>
    <w:rsid w:val="0074773B"/>
    <w:rsid w:val="00756F98"/>
    <w:rsid w:val="00757FEC"/>
    <w:rsid w:val="00764E83"/>
    <w:rsid w:val="00770171"/>
    <w:rsid w:val="00773380"/>
    <w:rsid w:val="00784C52"/>
    <w:rsid w:val="00784D8C"/>
    <w:rsid w:val="00786A32"/>
    <w:rsid w:val="0079750F"/>
    <w:rsid w:val="007A7DBE"/>
    <w:rsid w:val="007C0324"/>
    <w:rsid w:val="007C3453"/>
    <w:rsid w:val="007C43E7"/>
    <w:rsid w:val="007C505C"/>
    <w:rsid w:val="007C563E"/>
    <w:rsid w:val="007C6218"/>
    <w:rsid w:val="007D1BDF"/>
    <w:rsid w:val="007D325F"/>
    <w:rsid w:val="007D6AEA"/>
    <w:rsid w:val="007D76A1"/>
    <w:rsid w:val="007E5C3F"/>
    <w:rsid w:val="007F2D62"/>
    <w:rsid w:val="007F641A"/>
    <w:rsid w:val="008051BE"/>
    <w:rsid w:val="00806383"/>
    <w:rsid w:val="0082219F"/>
    <w:rsid w:val="008229D8"/>
    <w:rsid w:val="00836D23"/>
    <w:rsid w:val="00842C3F"/>
    <w:rsid w:val="0084407C"/>
    <w:rsid w:val="00844579"/>
    <w:rsid w:val="00853ED6"/>
    <w:rsid w:val="008574B2"/>
    <w:rsid w:val="00873445"/>
    <w:rsid w:val="008747D4"/>
    <w:rsid w:val="0088039E"/>
    <w:rsid w:val="008828A9"/>
    <w:rsid w:val="0088632A"/>
    <w:rsid w:val="00887D5F"/>
    <w:rsid w:val="008904DA"/>
    <w:rsid w:val="008A03A8"/>
    <w:rsid w:val="008A6F20"/>
    <w:rsid w:val="008A73A8"/>
    <w:rsid w:val="008B5A5E"/>
    <w:rsid w:val="008C0FD2"/>
    <w:rsid w:val="008C5199"/>
    <w:rsid w:val="008C7D7D"/>
    <w:rsid w:val="008D2129"/>
    <w:rsid w:val="008D3EC0"/>
    <w:rsid w:val="008E76F2"/>
    <w:rsid w:val="008F44FB"/>
    <w:rsid w:val="00902869"/>
    <w:rsid w:val="0090418C"/>
    <w:rsid w:val="0090484B"/>
    <w:rsid w:val="00905785"/>
    <w:rsid w:val="0090651B"/>
    <w:rsid w:val="0090749F"/>
    <w:rsid w:val="00916FCE"/>
    <w:rsid w:val="00933227"/>
    <w:rsid w:val="009353DF"/>
    <w:rsid w:val="0094335F"/>
    <w:rsid w:val="00944F97"/>
    <w:rsid w:val="00950D16"/>
    <w:rsid w:val="00954819"/>
    <w:rsid w:val="00962B5D"/>
    <w:rsid w:val="00967CD2"/>
    <w:rsid w:val="00974CE4"/>
    <w:rsid w:val="0097619D"/>
    <w:rsid w:val="00976D71"/>
    <w:rsid w:val="00977CAA"/>
    <w:rsid w:val="009816DC"/>
    <w:rsid w:val="00985F1F"/>
    <w:rsid w:val="00997B14"/>
    <w:rsid w:val="009A7024"/>
    <w:rsid w:val="009B0017"/>
    <w:rsid w:val="009C5B8C"/>
    <w:rsid w:val="009C5DBF"/>
    <w:rsid w:val="009C658F"/>
    <w:rsid w:val="009D1ECC"/>
    <w:rsid w:val="009D4C74"/>
    <w:rsid w:val="009D5A84"/>
    <w:rsid w:val="009D7522"/>
    <w:rsid w:val="009E0EBA"/>
    <w:rsid w:val="009E3F7E"/>
    <w:rsid w:val="009E4A79"/>
    <w:rsid w:val="009E5241"/>
    <w:rsid w:val="009F2E84"/>
    <w:rsid w:val="009F63F7"/>
    <w:rsid w:val="00A34A9D"/>
    <w:rsid w:val="00A40E58"/>
    <w:rsid w:val="00A42008"/>
    <w:rsid w:val="00A43E7B"/>
    <w:rsid w:val="00A4436A"/>
    <w:rsid w:val="00A46E22"/>
    <w:rsid w:val="00A52D21"/>
    <w:rsid w:val="00A61953"/>
    <w:rsid w:val="00A62726"/>
    <w:rsid w:val="00A70AC4"/>
    <w:rsid w:val="00A72EDF"/>
    <w:rsid w:val="00A75432"/>
    <w:rsid w:val="00A84721"/>
    <w:rsid w:val="00A90299"/>
    <w:rsid w:val="00A9064B"/>
    <w:rsid w:val="00A92276"/>
    <w:rsid w:val="00AA2541"/>
    <w:rsid w:val="00AA3B46"/>
    <w:rsid w:val="00AB0BF8"/>
    <w:rsid w:val="00AB392F"/>
    <w:rsid w:val="00AC3D3B"/>
    <w:rsid w:val="00AD6CC0"/>
    <w:rsid w:val="00AE4017"/>
    <w:rsid w:val="00AE53B8"/>
    <w:rsid w:val="00AE5E7D"/>
    <w:rsid w:val="00AE685C"/>
    <w:rsid w:val="00AF1E33"/>
    <w:rsid w:val="00AF3A1E"/>
    <w:rsid w:val="00AF48EB"/>
    <w:rsid w:val="00AF5B17"/>
    <w:rsid w:val="00AF7902"/>
    <w:rsid w:val="00B0194F"/>
    <w:rsid w:val="00B06A51"/>
    <w:rsid w:val="00B1520E"/>
    <w:rsid w:val="00B36373"/>
    <w:rsid w:val="00B44122"/>
    <w:rsid w:val="00B46241"/>
    <w:rsid w:val="00B56A93"/>
    <w:rsid w:val="00B56CA2"/>
    <w:rsid w:val="00B61318"/>
    <w:rsid w:val="00B621FA"/>
    <w:rsid w:val="00B65EE7"/>
    <w:rsid w:val="00B74AF6"/>
    <w:rsid w:val="00B7752D"/>
    <w:rsid w:val="00B85F02"/>
    <w:rsid w:val="00B87FF0"/>
    <w:rsid w:val="00B91D6E"/>
    <w:rsid w:val="00B9793D"/>
    <w:rsid w:val="00BA21A6"/>
    <w:rsid w:val="00BA46DD"/>
    <w:rsid w:val="00BA580A"/>
    <w:rsid w:val="00BB5139"/>
    <w:rsid w:val="00BB5729"/>
    <w:rsid w:val="00BB7CFD"/>
    <w:rsid w:val="00BC5C3E"/>
    <w:rsid w:val="00BD5F18"/>
    <w:rsid w:val="00BF103E"/>
    <w:rsid w:val="00BF1780"/>
    <w:rsid w:val="00BF1802"/>
    <w:rsid w:val="00BF1B35"/>
    <w:rsid w:val="00BF7443"/>
    <w:rsid w:val="00C014EC"/>
    <w:rsid w:val="00C10F1E"/>
    <w:rsid w:val="00C11335"/>
    <w:rsid w:val="00C12CD8"/>
    <w:rsid w:val="00C12D2F"/>
    <w:rsid w:val="00C16354"/>
    <w:rsid w:val="00C16EBA"/>
    <w:rsid w:val="00C3771A"/>
    <w:rsid w:val="00C51AF3"/>
    <w:rsid w:val="00C656D1"/>
    <w:rsid w:val="00C741DD"/>
    <w:rsid w:val="00C83E39"/>
    <w:rsid w:val="00C87A63"/>
    <w:rsid w:val="00C93EB9"/>
    <w:rsid w:val="00C948F5"/>
    <w:rsid w:val="00CA166A"/>
    <w:rsid w:val="00CA2183"/>
    <w:rsid w:val="00CA2C0F"/>
    <w:rsid w:val="00CB1A56"/>
    <w:rsid w:val="00CB7624"/>
    <w:rsid w:val="00CE08ED"/>
    <w:rsid w:val="00CE184D"/>
    <w:rsid w:val="00CE239C"/>
    <w:rsid w:val="00CF02A3"/>
    <w:rsid w:val="00D12A07"/>
    <w:rsid w:val="00D1452A"/>
    <w:rsid w:val="00D20897"/>
    <w:rsid w:val="00D31510"/>
    <w:rsid w:val="00D5795A"/>
    <w:rsid w:val="00D63081"/>
    <w:rsid w:val="00D63329"/>
    <w:rsid w:val="00D656E5"/>
    <w:rsid w:val="00D719F2"/>
    <w:rsid w:val="00D728D5"/>
    <w:rsid w:val="00D76EFF"/>
    <w:rsid w:val="00D773CB"/>
    <w:rsid w:val="00DA0FFC"/>
    <w:rsid w:val="00DB3FD5"/>
    <w:rsid w:val="00DB7F66"/>
    <w:rsid w:val="00DC14BB"/>
    <w:rsid w:val="00DC3C59"/>
    <w:rsid w:val="00DD76E3"/>
    <w:rsid w:val="00DE0EDD"/>
    <w:rsid w:val="00DE7D3C"/>
    <w:rsid w:val="00DF11EB"/>
    <w:rsid w:val="00DF4A8E"/>
    <w:rsid w:val="00E07B4A"/>
    <w:rsid w:val="00E205E4"/>
    <w:rsid w:val="00E33CF6"/>
    <w:rsid w:val="00E3443B"/>
    <w:rsid w:val="00E41D14"/>
    <w:rsid w:val="00E54221"/>
    <w:rsid w:val="00E60B70"/>
    <w:rsid w:val="00E60BDE"/>
    <w:rsid w:val="00E7678C"/>
    <w:rsid w:val="00E77B80"/>
    <w:rsid w:val="00E94D55"/>
    <w:rsid w:val="00E95F27"/>
    <w:rsid w:val="00EB22B7"/>
    <w:rsid w:val="00EB739C"/>
    <w:rsid w:val="00EC7153"/>
    <w:rsid w:val="00ED505F"/>
    <w:rsid w:val="00ED7751"/>
    <w:rsid w:val="00EF3014"/>
    <w:rsid w:val="00F014D9"/>
    <w:rsid w:val="00F03085"/>
    <w:rsid w:val="00F04FB3"/>
    <w:rsid w:val="00F13277"/>
    <w:rsid w:val="00F206F2"/>
    <w:rsid w:val="00F25796"/>
    <w:rsid w:val="00F35E11"/>
    <w:rsid w:val="00F45B0F"/>
    <w:rsid w:val="00F55273"/>
    <w:rsid w:val="00F611E5"/>
    <w:rsid w:val="00F65175"/>
    <w:rsid w:val="00F67946"/>
    <w:rsid w:val="00F771EC"/>
    <w:rsid w:val="00F81CBF"/>
    <w:rsid w:val="00F863B5"/>
    <w:rsid w:val="00F968DD"/>
    <w:rsid w:val="00FA049C"/>
    <w:rsid w:val="00FA3E9C"/>
    <w:rsid w:val="00FA4129"/>
    <w:rsid w:val="00FA5867"/>
    <w:rsid w:val="00FC3BD0"/>
    <w:rsid w:val="00FD6C96"/>
    <w:rsid w:val="00FD7DDD"/>
    <w:rsid w:val="00FE21B7"/>
    <w:rsid w:val="00FE6743"/>
    <w:rsid w:val="00FF7DD5"/>
    <w:rsid w:val="0B8D3B60"/>
    <w:rsid w:val="17FA0AF3"/>
    <w:rsid w:val="22925E4A"/>
    <w:rsid w:val="2C1834CC"/>
    <w:rsid w:val="41915DB2"/>
    <w:rsid w:val="468F0AA8"/>
    <w:rsid w:val="5D3C52B2"/>
    <w:rsid w:val="6042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rPr>
      <w:rFonts w:ascii="Calibri" w:hAnsi="Calibri" w:eastAsia="宋体" w:cs="Times New Roman"/>
    </w:rPr>
  </w:style>
  <w:style w:type="paragraph" w:styleId="4">
    <w:name w:val="Balloon Text"/>
    <w:basedOn w:val="1"/>
    <w:link w:val="17"/>
    <w:semiHidden/>
    <w:unhideWhenUsed/>
    <w:qFormat/>
    <w:uiPriority w:val="99"/>
    <w:rPr>
      <w:rFonts w:ascii="Calibri" w:hAnsi="Calibri" w:eastAsia="宋体" w:cs="Times New Roman"/>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9"/>
    <w:qFormat/>
    <w:uiPriority w:val="10"/>
    <w:pPr>
      <w:spacing w:before="240" w:after="60"/>
      <w:jc w:val="center"/>
      <w:outlineLvl w:val="0"/>
    </w:pPr>
    <w:rPr>
      <w:rFonts w:eastAsia="宋体" w:asciiTheme="majorHAnsi" w:hAnsiTheme="majorHAnsi" w:cstheme="majorBidi"/>
      <w:b/>
      <w:bCs/>
      <w:sz w:val="32"/>
      <w:szCs w:val="32"/>
    </w:rPr>
  </w:style>
  <w:style w:type="character" w:styleId="10">
    <w:name w:val="page number"/>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link w:val="3"/>
    <w:semiHidden/>
    <w:qFormat/>
    <w:uiPriority w:val="99"/>
    <w:rPr>
      <w:rFonts w:ascii="Calibri" w:hAnsi="Calibri" w:eastAsia="宋体" w:cs="Times New Roman"/>
    </w:rPr>
  </w:style>
  <w:style w:type="character" w:customStyle="1" w:styleId="14">
    <w:name w:val="日期 Char1"/>
    <w:basedOn w:val="9"/>
    <w:semiHidden/>
    <w:uiPriority w:val="99"/>
  </w:style>
  <w:style w:type="character" w:customStyle="1" w:styleId="15">
    <w:name w:val="样式 列出段落 + Times New Roman Char"/>
    <w:link w:val="16"/>
    <w:qFormat/>
    <w:uiPriority w:val="0"/>
    <w:rPr>
      <w:szCs w:val="24"/>
    </w:rPr>
  </w:style>
  <w:style w:type="paragraph" w:customStyle="1" w:styleId="16">
    <w:name w:val="样式 列出段落 + Times New Roman"/>
    <w:basedOn w:val="1"/>
    <w:link w:val="15"/>
    <w:qFormat/>
    <w:uiPriority w:val="0"/>
    <w:pPr>
      <w:adjustRightInd w:val="0"/>
      <w:snapToGrid w:val="0"/>
      <w:ind w:firstLine="200" w:firstLineChars="200"/>
    </w:pPr>
    <w:rPr>
      <w:szCs w:val="24"/>
    </w:rPr>
  </w:style>
  <w:style w:type="character" w:customStyle="1" w:styleId="17">
    <w:name w:val="批注框文本 Char"/>
    <w:link w:val="4"/>
    <w:semiHidden/>
    <w:qFormat/>
    <w:uiPriority w:val="99"/>
    <w:rPr>
      <w:rFonts w:ascii="Calibri" w:hAnsi="Calibri" w:eastAsia="宋体" w:cs="Times New Roman"/>
      <w:sz w:val="18"/>
      <w:szCs w:val="18"/>
    </w:rPr>
  </w:style>
  <w:style w:type="character" w:customStyle="1" w:styleId="18">
    <w:name w:val="批注框文本 Char1"/>
    <w:basedOn w:val="9"/>
    <w:semiHidden/>
    <w:qFormat/>
    <w:uiPriority w:val="99"/>
    <w:rPr>
      <w:sz w:val="18"/>
      <w:szCs w:val="18"/>
    </w:rPr>
  </w:style>
  <w:style w:type="character" w:customStyle="1" w:styleId="19">
    <w:name w:val="标题 Char"/>
    <w:basedOn w:val="9"/>
    <w:link w:val="7"/>
    <w:qFormat/>
    <w:uiPriority w:val="10"/>
    <w:rPr>
      <w:rFonts w:eastAsia="宋体" w:asciiTheme="majorHAnsi" w:hAnsiTheme="majorHAnsi" w:cstheme="majorBidi"/>
      <w:b/>
      <w:bCs/>
      <w:sz w:val="32"/>
      <w:szCs w:val="32"/>
    </w:rPr>
  </w:style>
  <w:style w:type="paragraph" w:customStyle="1" w:styleId="20">
    <w:name w:val="Char Char1 Char Char"/>
    <w:basedOn w:val="2"/>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21">
    <w:name w:val="标题 3 Char"/>
    <w:basedOn w:val="9"/>
    <w:link w:val="2"/>
    <w:semiHidden/>
    <w:uiPriority w:val="9"/>
    <w:rPr>
      <w:b/>
      <w:bCs/>
      <w:kern w:val="2"/>
      <w:sz w:val="32"/>
      <w:szCs w:val="32"/>
    </w:rPr>
  </w:style>
  <w:style w:type="paragraph" w:customStyle="1" w:styleId="22">
    <w:name w:val="Char Char1 Char Char2"/>
    <w:basedOn w:val="2"/>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paragraph" w:customStyle="1" w:styleId="23">
    <w:name w:val="Char Char1 Char Char1"/>
    <w:basedOn w:val="2"/>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1025</Words>
  <Characters>5846</Characters>
  <Lines>48</Lines>
  <Paragraphs>13</Paragraphs>
  <TotalTime>6</TotalTime>
  <ScaleCrop>false</ScaleCrop>
  <LinksUpToDate>false</LinksUpToDate>
  <CharactersWithSpaces>6858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2019-04-09T10:16:00Z</dcterms:created>
  <dc:creator>Windows 用户</dc:creator>
  <cp:lastModifiedBy>①覑涳白</cp:lastModifiedBy>
  <cp:lastPrinted>2019-09-05T09:43:00Z</cp:lastPrinted>
  <dcterms:modified xsi:type="dcterms:W3CDTF">2019-11-06T10:10:04Z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