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spacing w:before="217" w:beforeLines="50" w:after="217" w:afterLines="50" w:line="560" w:lineRule="exact"/>
        <w:ind w:firstLine="216" w:firstLineChars="49"/>
        <w:jc w:val="center"/>
        <w:textAlignment w:val="auto"/>
        <w:rPr>
          <w:rFonts w:hint="eastAsia" w:ascii="方正小标宋简体" w:hAnsi="方正小标宋简体" w:eastAsia="方正小标宋简体" w:cs="方正小标宋简体"/>
          <w:b/>
          <w:sz w:val="44"/>
          <w:szCs w:val="44"/>
        </w:rPr>
      </w:pP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方正小标宋简体" w:hAnsi="方正小标宋简体" w:eastAsia="方正小标宋简体" w:cs="方正小标宋简体"/>
          <w:b w:val="0"/>
          <w:bCs/>
          <w:sz w:val="44"/>
          <w:szCs w:val="44"/>
        </w:rPr>
      </w:pPr>
      <w:r>
        <w:rPr>
          <w:rFonts w:hint="eastAsia" w:ascii="方正小标宋简体" w:hAnsi="方正小标宋简体" w:eastAsia="方正小标宋简体" w:cs="方正小标宋简体"/>
          <w:b w:val="0"/>
          <w:bCs/>
          <w:sz w:val="44"/>
          <w:szCs w:val="44"/>
        </w:rPr>
        <w:t>2019年</w:t>
      </w:r>
      <w:r>
        <w:rPr>
          <w:rFonts w:hint="eastAsia" w:ascii="方正小标宋简体" w:hAnsi="方正小标宋简体" w:eastAsia="方正小标宋简体" w:cs="方正小标宋简体"/>
          <w:b w:val="0"/>
          <w:bCs/>
          <w:sz w:val="44"/>
          <w:szCs w:val="44"/>
          <w:lang w:val="en-US" w:eastAsia="zh-CN"/>
        </w:rPr>
        <w:t>10</w:t>
      </w:r>
      <w:r>
        <w:rPr>
          <w:rFonts w:hint="eastAsia" w:ascii="方正小标宋简体" w:hAnsi="方正小标宋简体" w:eastAsia="方正小标宋简体" w:cs="方正小标宋简体"/>
          <w:b w:val="0"/>
          <w:bCs/>
          <w:sz w:val="44"/>
          <w:szCs w:val="44"/>
        </w:rPr>
        <w:t>月“乌-昌-石”、“奎-独-乌”区域各县（市 区）环境空气质量状况及排名</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按照《关于印发&lt;自治区打赢蓝天保卫战三年行动计划（2018-2020年）&gt;的通知》（新政办发〔2018〕66号）的信息公开要求，现将2019年</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月“乌-昌-石”“奎-独-乌”区域各县（市、区）空气质量状况及排名情况公开如下：</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b/>
          <w:sz w:val="32"/>
          <w:szCs w:val="32"/>
        </w:rPr>
      </w:pPr>
      <w:r>
        <w:rPr>
          <w:rFonts w:hint="eastAsia" w:ascii="黑体" w:hAnsi="黑体" w:eastAsia="黑体" w:cs="黑体"/>
          <w:kern w:val="0"/>
          <w:sz w:val="32"/>
          <w:szCs w:val="32"/>
        </w:rPr>
        <w:t>一、空气质量状况及变化</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b w:val="0"/>
          <w:bCs w:val="0"/>
          <w:kern w:val="0"/>
          <w:sz w:val="32"/>
          <w:szCs w:val="32"/>
        </w:rPr>
      </w:pPr>
      <w:r>
        <w:rPr>
          <w:rFonts w:hint="eastAsia" w:ascii="楷体" w:hAnsi="楷体" w:eastAsia="楷体" w:cs="楷体"/>
          <w:b w:val="0"/>
          <w:bCs w:val="0"/>
          <w:kern w:val="0"/>
          <w:sz w:val="32"/>
          <w:szCs w:val="32"/>
        </w:rPr>
        <w:t>（1）“乌-昌-石”区域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乌-昌-石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rPr>
        <w:t>平均</w:t>
      </w:r>
      <w:r>
        <w:rPr>
          <w:rFonts w:hint="eastAsia" w:ascii="仿宋_GB2312" w:hAnsi="仿宋_GB2312" w:eastAsia="仿宋_GB2312" w:cs="仿宋_GB2312"/>
          <w:kern w:val="0"/>
          <w:sz w:val="32"/>
          <w:szCs w:val="32"/>
        </w:rPr>
        <w:t>优良天数比例为99.6%，轻度污染比例为0.4%，未出现中</w:t>
      </w:r>
      <w:r>
        <w:rPr>
          <w:rFonts w:hint="eastAsia" w:ascii="仿宋_GB2312" w:hAnsi="仿宋_GB2312" w:eastAsia="仿宋_GB2312" w:cs="仿宋_GB2312"/>
          <w:kern w:val="0"/>
          <w:sz w:val="32"/>
          <w:szCs w:val="32"/>
        </w:rPr>
        <w:t>度、</w:t>
      </w:r>
      <w:r>
        <w:rPr>
          <w:rFonts w:hint="eastAsia" w:ascii="仿宋_GB2312" w:hAnsi="仿宋_GB2312" w:eastAsia="仿宋_GB2312" w:cs="仿宋_GB2312"/>
          <w:kern w:val="0"/>
          <w:sz w:val="32"/>
          <w:szCs w:val="32"/>
        </w:rPr>
        <w:t>重度</w:t>
      </w:r>
      <w:r>
        <w:rPr>
          <w:rFonts w:hint="eastAsia" w:ascii="仿宋_GB2312" w:hAnsi="仿宋_GB2312" w:eastAsia="仿宋_GB2312" w:cs="仿宋_GB2312"/>
          <w:kern w:val="0"/>
          <w:sz w:val="32"/>
          <w:szCs w:val="32"/>
        </w:rPr>
        <w:t>及</w:t>
      </w:r>
      <w:r>
        <w:rPr>
          <w:rFonts w:hint="eastAsia" w:ascii="仿宋_GB2312" w:hAnsi="仿宋_GB2312" w:eastAsia="仿宋_GB2312" w:cs="仿宋_GB2312"/>
          <w:kern w:val="0"/>
          <w:sz w:val="32"/>
          <w:szCs w:val="32"/>
        </w:rPr>
        <w:t>严重污染，首要污染物</w:t>
      </w:r>
      <w:r>
        <w:rPr>
          <w:rFonts w:hint="eastAsia" w:ascii="仿宋_GB2312" w:hAnsi="仿宋_GB2312" w:eastAsia="仿宋_GB2312" w:cs="仿宋_GB2312"/>
          <w:kern w:val="0"/>
          <w:sz w:val="32"/>
          <w:szCs w:val="32"/>
        </w:rPr>
        <w:t>主要</w:t>
      </w:r>
      <w:r>
        <w:rPr>
          <w:rFonts w:hint="eastAsia" w:ascii="仿宋_GB2312" w:hAnsi="仿宋_GB2312" w:eastAsia="仿宋_GB2312" w:cs="仿宋_GB2312"/>
          <w:kern w:val="0"/>
          <w:sz w:val="32"/>
          <w:szCs w:val="32"/>
        </w:rPr>
        <w:t>为</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。与去年同期相比，平均</w:t>
      </w:r>
      <w:r>
        <w:rPr>
          <w:rFonts w:hint="eastAsia" w:ascii="仿宋_GB2312" w:hAnsi="仿宋_GB2312" w:eastAsia="仿宋_GB2312" w:cs="仿宋_GB2312"/>
          <w:kern w:val="0"/>
          <w:sz w:val="32"/>
          <w:szCs w:val="32"/>
        </w:rPr>
        <w:t>优良天数比例</w:t>
      </w:r>
      <w:r>
        <w:rPr>
          <w:rFonts w:hint="eastAsia" w:ascii="仿宋_GB2312" w:hAnsi="仿宋_GB2312" w:eastAsia="仿宋_GB2312" w:cs="仿宋_GB2312"/>
          <w:kern w:val="0"/>
          <w:sz w:val="32"/>
          <w:szCs w:val="32"/>
        </w:rPr>
        <w:t>及</w:t>
      </w:r>
      <w:r>
        <w:rPr>
          <w:rFonts w:hint="eastAsia" w:ascii="仿宋_GB2312" w:hAnsi="仿宋_GB2312" w:eastAsia="仿宋_GB2312" w:cs="仿宋_GB2312"/>
          <w:kern w:val="0"/>
          <w:sz w:val="32"/>
          <w:szCs w:val="32"/>
        </w:rPr>
        <w:t>轻度</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中</w:t>
      </w:r>
      <w:r>
        <w:rPr>
          <w:rFonts w:hint="eastAsia" w:ascii="仿宋_GB2312" w:hAnsi="仿宋_GB2312" w:eastAsia="仿宋_GB2312" w:cs="仿宋_GB2312"/>
          <w:kern w:val="0"/>
          <w:sz w:val="32"/>
          <w:szCs w:val="32"/>
        </w:rPr>
        <w:t>度、</w:t>
      </w:r>
      <w:r>
        <w:rPr>
          <w:rFonts w:hint="eastAsia" w:ascii="仿宋_GB2312" w:hAnsi="仿宋_GB2312" w:eastAsia="仿宋_GB2312" w:cs="仿宋_GB2312"/>
          <w:kern w:val="0"/>
          <w:sz w:val="32"/>
          <w:szCs w:val="32"/>
        </w:rPr>
        <w:t>重度</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严重污染比例</w:t>
      </w:r>
      <w:r>
        <w:rPr>
          <w:rFonts w:hint="eastAsia" w:ascii="仿宋_GB2312" w:hAnsi="仿宋_GB2312" w:eastAsia="仿宋_GB2312" w:cs="仿宋_GB2312"/>
          <w:kern w:val="0"/>
          <w:sz w:val="32"/>
          <w:szCs w:val="32"/>
        </w:rPr>
        <w:t>均持平，环境空气质量较去年同期保持稳定。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“乌-昌-石”区域5市3县中，乌鲁木齐市、昌吉市、石河子市、阜康市、呼图壁县、玛纳斯县、沙湾县等7县市优良天数比例均为100%，五家渠市优良天数比例为96.8%，出现1天轻度污染（超标污染物为PM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）。与去年同期相比，五家渠市优良天数比例增加0.1个百分点（2018年10月五家渠市有效监测天数为30天，1天轻度污染；2019年10月五家渠市有效监测天数为31天，1天轻度污染），其余</w:t>
      </w:r>
      <w:r>
        <w:rPr>
          <w:rFonts w:hint="eastAsia" w:ascii="仿宋_GB2312" w:hAnsi="仿宋_GB2312" w:eastAsia="仿宋_GB2312" w:cs="仿宋_GB2312"/>
          <w:kern w:val="0"/>
          <w:sz w:val="32"/>
          <w:szCs w:val="32"/>
        </w:rPr>
        <w:t>7</w:t>
      </w:r>
      <w:r>
        <w:rPr>
          <w:rFonts w:hint="eastAsia" w:ascii="仿宋_GB2312" w:hAnsi="仿宋_GB2312" w:eastAsia="仿宋_GB2312" w:cs="仿宋_GB2312"/>
          <w:kern w:val="0"/>
          <w:sz w:val="32"/>
          <w:szCs w:val="32"/>
        </w:rPr>
        <w:t>县市优良天数比例均持平（见表</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乌-昌-石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rPr>
        <w:t>5市3县均未出现重污染天数，与去年同期相同。</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乌-昌-石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区域PM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月均浓度分别为66μg/m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和26μg/m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，与去年同期相比，PM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和PM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月均浓度</w:t>
      </w:r>
      <w:r>
        <w:rPr>
          <w:rFonts w:hint="eastAsia" w:ascii="仿宋_GB2312" w:hAnsi="仿宋_GB2312" w:eastAsia="仿宋_GB2312" w:cs="仿宋_GB2312"/>
          <w:kern w:val="0"/>
          <w:sz w:val="32"/>
          <w:szCs w:val="32"/>
        </w:rPr>
        <w:t>分别下降</w:t>
      </w:r>
      <w:r>
        <w:rPr>
          <w:rFonts w:hint="eastAsia" w:ascii="仿宋_GB2312" w:hAnsi="仿宋_GB2312" w:eastAsia="仿宋_GB2312" w:cs="仿宋_GB2312"/>
          <w:kern w:val="0"/>
          <w:sz w:val="32"/>
          <w:szCs w:val="32"/>
        </w:rPr>
        <w:t>7.0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3.7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各城市</w:t>
      </w:r>
      <w:r>
        <w:rPr>
          <w:rFonts w:hint="eastAsia" w:ascii="仿宋_GB2312" w:hAnsi="仿宋_GB2312" w:eastAsia="仿宋_GB2312" w:cs="仿宋_GB2312"/>
          <w:kern w:val="0"/>
          <w:sz w:val="32"/>
          <w:szCs w:val="32"/>
        </w:rPr>
        <w:t>具体</w:t>
      </w:r>
      <w:r>
        <w:rPr>
          <w:rFonts w:hint="eastAsia" w:ascii="仿宋_GB2312" w:hAnsi="仿宋_GB2312" w:eastAsia="仿宋_GB2312" w:cs="仿宋_GB2312"/>
          <w:kern w:val="0"/>
          <w:sz w:val="32"/>
          <w:szCs w:val="32"/>
        </w:rPr>
        <w:t>变化</w:t>
      </w:r>
      <w:r>
        <w:rPr>
          <w:rFonts w:hint="eastAsia" w:ascii="仿宋_GB2312" w:hAnsi="仿宋_GB2312" w:eastAsia="仿宋_GB2312" w:cs="仿宋_GB2312"/>
          <w:kern w:val="0"/>
          <w:sz w:val="32"/>
          <w:szCs w:val="32"/>
        </w:rPr>
        <w:t>为：</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PM</w:t>
      </w:r>
      <w:r>
        <w:rPr>
          <w:rFonts w:hint="eastAsia" w:ascii="仿宋_GB2312" w:hAnsi="仿宋_GB2312" w:eastAsia="仿宋_GB2312" w:cs="仿宋_GB2312"/>
          <w:b/>
          <w:kern w:val="0"/>
          <w:sz w:val="32"/>
          <w:szCs w:val="32"/>
          <w:vertAlign w:val="subscript"/>
        </w:rPr>
        <w:t>10</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rPr>
        <w:t>8县市中，</w:t>
      </w: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县市浓度与去年同期相比下降，1县市浓度同比持平，</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县市浓度同比上升。具体为：乌鲁木齐</w:t>
      </w:r>
      <w:r>
        <w:rPr>
          <w:rFonts w:hint="eastAsia" w:ascii="仿宋_GB2312" w:hAnsi="仿宋_GB2312" w:eastAsia="仿宋_GB2312" w:cs="仿宋_GB2312"/>
          <w:kern w:val="0"/>
          <w:sz w:val="32"/>
          <w:szCs w:val="32"/>
        </w:rPr>
        <w:t>市月均浓度为78μg/m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同比下降4.9%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昌吉</w:t>
      </w:r>
      <w:r>
        <w:rPr>
          <w:rFonts w:hint="eastAsia" w:ascii="仿宋_GB2312" w:hAnsi="仿宋_GB2312" w:eastAsia="仿宋_GB2312" w:cs="仿宋_GB2312"/>
          <w:kern w:val="0"/>
          <w:sz w:val="32"/>
          <w:szCs w:val="32"/>
        </w:rPr>
        <w:t>市月均浓度为6</w:t>
      </w:r>
      <w:r>
        <w:rPr>
          <w:rFonts w:hint="eastAsia" w:ascii="仿宋_GB2312" w:hAnsi="仿宋_GB2312" w:eastAsia="仿宋_GB2312" w:cs="仿宋_GB2312"/>
          <w:kern w:val="0"/>
          <w:sz w:val="32"/>
          <w:szCs w:val="32"/>
        </w:rPr>
        <w:t>8</w:t>
      </w:r>
      <w:r>
        <w:rPr>
          <w:rFonts w:hint="eastAsia" w:ascii="仿宋_GB2312" w:hAnsi="仿宋_GB2312" w:eastAsia="仿宋_GB2312" w:cs="仿宋_GB2312"/>
          <w:kern w:val="0"/>
          <w:sz w:val="32"/>
          <w:szCs w:val="32"/>
        </w:rPr>
        <w:t>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同比下降5.6%</w:t>
      </w:r>
      <w:r>
        <w:rPr>
          <w:rFonts w:hint="eastAsia" w:ascii="仿宋_GB2312" w:hAnsi="仿宋_GB2312" w:eastAsia="仿宋_GB2312" w:cs="仿宋_GB2312"/>
          <w:kern w:val="0"/>
          <w:sz w:val="32"/>
          <w:szCs w:val="32"/>
        </w:rPr>
        <w:t>；石河子市月均浓度为76μg/m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同比下降6.2</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；阜康市</w:t>
      </w:r>
      <w:r>
        <w:rPr>
          <w:rFonts w:hint="eastAsia" w:ascii="仿宋_GB2312" w:hAnsi="仿宋_GB2312" w:eastAsia="仿宋_GB2312" w:cs="仿宋_GB2312"/>
          <w:kern w:val="0"/>
          <w:sz w:val="32"/>
          <w:szCs w:val="32"/>
        </w:rPr>
        <w:t>月均浓度为55μg/m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同比下降16.7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沙湾县月均浓度为63μg/m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同比下降17.1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呼图壁县</w:t>
      </w:r>
      <w:r>
        <w:rPr>
          <w:rFonts w:hint="eastAsia" w:ascii="仿宋_GB2312" w:hAnsi="仿宋_GB2312" w:eastAsia="仿宋_GB2312" w:cs="仿宋_GB2312"/>
          <w:kern w:val="0"/>
          <w:sz w:val="32"/>
          <w:szCs w:val="32"/>
        </w:rPr>
        <w:t>月均浓度为36μg/m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w:t>
      </w:r>
      <w:r>
        <w:rPr>
          <w:rFonts w:hint="eastAsia" w:ascii="仿宋_GB2312" w:hAnsi="仿宋_GB2312" w:eastAsia="仿宋_GB2312" w:cs="仿宋_GB2312"/>
          <w:kern w:val="0"/>
          <w:sz w:val="32"/>
          <w:szCs w:val="32"/>
        </w:rPr>
        <w:t>21.7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玛纳斯县月均浓度为66μg/m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同比持平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五家渠市</w:t>
      </w:r>
      <w:r>
        <w:rPr>
          <w:rFonts w:hint="eastAsia" w:ascii="仿宋_GB2312" w:hAnsi="仿宋_GB2312" w:eastAsia="仿宋_GB2312" w:cs="仿宋_GB2312"/>
          <w:kern w:val="0"/>
          <w:sz w:val="32"/>
          <w:szCs w:val="32"/>
        </w:rPr>
        <w:t>月均浓度为83μg/m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10.7</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PM</w:t>
      </w:r>
      <w:r>
        <w:rPr>
          <w:rFonts w:hint="eastAsia" w:ascii="仿宋_GB2312" w:hAnsi="仿宋_GB2312" w:eastAsia="仿宋_GB2312" w:cs="仿宋_GB2312"/>
          <w:b/>
          <w:kern w:val="0"/>
          <w:sz w:val="32"/>
          <w:szCs w:val="32"/>
          <w:vertAlign w:val="subscript"/>
        </w:rPr>
        <w:t>2.5</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rPr>
        <w:t>8县市中，</w:t>
      </w:r>
      <w:r>
        <w:rPr>
          <w:rFonts w:hint="eastAsia" w:ascii="仿宋_GB2312" w:hAnsi="仿宋_GB2312" w:eastAsia="仿宋_GB2312" w:cs="仿宋_GB2312"/>
          <w:kern w:val="0"/>
          <w:sz w:val="32"/>
          <w:szCs w:val="32"/>
        </w:rPr>
        <w:t>6</w:t>
      </w:r>
      <w:r>
        <w:rPr>
          <w:rFonts w:hint="eastAsia" w:ascii="仿宋_GB2312" w:hAnsi="仿宋_GB2312" w:eastAsia="仿宋_GB2312" w:cs="仿宋_GB2312"/>
          <w:kern w:val="0"/>
          <w:sz w:val="32"/>
          <w:szCs w:val="32"/>
        </w:rPr>
        <w:t>县市浓度与去年同期相比下降，</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县市浓度同比上升。具体为：乌鲁木齐市</w:t>
      </w:r>
      <w:r>
        <w:rPr>
          <w:rFonts w:hint="eastAsia" w:ascii="仿宋_GB2312" w:hAnsi="仿宋_GB2312" w:eastAsia="仿宋_GB2312" w:cs="仿宋_GB2312"/>
          <w:kern w:val="0"/>
          <w:sz w:val="32"/>
          <w:szCs w:val="32"/>
        </w:rPr>
        <w:t>月均浓度为</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8μg/m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同比下降3.4%</w:t>
      </w:r>
      <w:r>
        <w:rPr>
          <w:rFonts w:hint="eastAsia" w:ascii="仿宋_GB2312" w:hAnsi="仿宋_GB2312" w:eastAsia="仿宋_GB2312" w:cs="仿宋_GB2312"/>
          <w:kern w:val="0"/>
          <w:sz w:val="32"/>
          <w:szCs w:val="32"/>
        </w:rPr>
        <w:t>；五家渠市月均浓度为30μg/m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同比下降6.3%</w:t>
      </w:r>
      <w:r>
        <w:rPr>
          <w:rFonts w:hint="eastAsia" w:ascii="仿宋_GB2312" w:hAnsi="仿宋_GB2312" w:eastAsia="仿宋_GB2312" w:cs="仿宋_GB2312"/>
          <w:kern w:val="0"/>
          <w:sz w:val="32"/>
          <w:szCs w:val="32"/>
        </w:rPr>
        <w:t>；沙湾县月均浓度为21μg/m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同比下降8.7</w:t>
      </w:r>
      <w:r>
        <w:rPr>
          <w:rFonts w:hint="eastAsia" w:ascii="仿宋_GB2312" w:hAnsi="仿宋_GB2312" w:eastAsia="仿宋_GB2312" w:cs="仿宋_GB2312"/>
          <w:kern w:val="0"/>
          <w:sz w:val="32"/>
          <w:szCs w:val="32"/>
        </w:rPr>
        <w:t>%；石河子市月均浓度为30μg/m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同比下降9.1%；玛纳斯县</w:t>
      </w:r>
      <w:r>
        <w:rPr>
          <w:rFonts w:hint="eastAsia" w:ascii="仿宋_GB2312" w:hAnsi="仿宋_GB2312" w:eastAsia="仿宋_GB2312" w:cs="仿宋_GB2312"/>
          <w:kern w:val="0"/>
          <w:sz w:val="32"/>
          <w:szCs w:val="32"/>
        </w:rPr>
        <w:t>月均浓度为22μg/m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同比下降12.0%</w:t>
      </w:r>
      <w:r>
        <w:rPr>
          <w:rFonts w:hint="eastAsia" w:ascii="仿宋_GB2312" w:hAnsi="仿宋_GB2312" w:eastAsia="仿宋_GB2312" w:cs="仿宋_GB2312"/>
          <w:kern w:val="0"/>
          <w:sz w:val="32"/>
          <w:szCs w:val="32"/>
        </w:rPr>
        <w:t>；呼图壁</w:t>
      </w:r>
      <w:r>
        <w:rPr>
          <w:rFonts w:hint="eastAsia" w:ascii="仿宋_GB2312" w:hAnsi="仿宋_GB2312" w:eastAsia="仿宋_GB2312" w:cs="仿宋_GB2312"/>
          <w:kern w:val="0"/>
          <w:sz w:val="32"/>
          <w:szCs w:val="32"/>
        </w:rPr>
        <w:t>县</w:t>
      </w:r>
      <w:r>
        <w:rPr>
          <w:rFonts w:hint="eastAsia" w:ascii="仿宋_GB2312" w:hAnsi="仿宋_GB2312" w:eastAsia="仿宋_GB2312" w:cs="仿宋_GB2312"/>
          <w:kern w:val="0"/>
          <w:sz w:val="32"/>
          <w:szCs w:val="32"/>
        </w:rPr>
        <w:t>月均浓度为</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5μg/m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w:t>
      </w:r>
      <w:r>
        <w:rPr>
          <w:rFonts w:hint="eastAsia" w:ascii="仿宋_GB2312" w:hAnsi="仿宋_GB2312" w:eastAsia="仿宋_GB2312" w:cs="仿宋_GB2312"/>
          <w:kern w:val="0"/>
          <w:sz w:val="32"/>
          <w:szCs w:val="32"/>
        </w:rPr>
        <w:t>31.8</w:t>
      </w:r>
      <w:r>
        <w:rPr>
          <w:rFonts w:hint="eastAsia" w:ascii="仿宋_GB2312" w:hAnsi="仿宋_GB2312" w:eastAsia="仿宋_GB2312" w:cs="仿宋_GB2312"/>
          <w:kern w:val="0"/>
          <w:sz w:val="32"/>
          <w:szCs w:val="32"/>
        </w:rPr>
        <w:t>%。阜康市</w:t>
      </w:r>
      <w:r>
        <w:rPr>
          <w:rFonts w:hint="eastAsia" w:ascii="仿宋_GB2312" w:hAnsi="仿宋_GB2312" w:eastAsia="仿宋_GB2312" w:cs="仿宋_GB2312"/>
          <w:kern w:val="0"/>
          <w:sz w:val="32"/>
          <w:szCs w:val="32"/>
        </w:rPr>
        <w:t>月均浓度为31μg/m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24.0%，</w:t>
      </w:r>
      <w:r>
        <w:rPr>
          <w:rFonts w:hint="eastAsia" w:ascii="仿宋_GB2312" w:hAnsi="仿宋_GB2312" w:eastAsia="仿宋_GB2312" w:cs="仿宋_GB2312"/>
          <w:kern w:val="0"/>
          <w:sz w:val="32"/>
          <w:szCs w:val="32"/>
        </w:rPr>
        <w:t>昌吉</w:t>
      </w:r>
      <w:r>
        <w:rPr>
          <w:rFonts w:hint="eastAsia" w:ascii="仿宋_GB2312" w:hAnsi="仿宋_GB2312" w:eastAsia="仿宋_GB2312" w:cs="仿宋_GB2312"/>
          <w:kern w:val="0"/>
          <w:sz w:val="32"/>
          <w:szCs w:val="32"/>
        </w:rPr>
        <w:t>市月均浓度为</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9μg/m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7.4%</w:t>
      </w:r>
      <w:r>
        <w:rPr>
          <w:rFonts w:hint="eastAsia" w:ascii="仿宋_GB2312" w:hAnsi="仿宋_GB2312" w:eastAsia="仿宋_GB2312" w:cs="仿宋_GB2312"/>
          <w:kern w:val="0"/>
          <w:sz w:val="32"/>
          <w:szCs w:val="32"/>
        </w:rPr>
        <w:t>。（见表</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（2）“奎-独-乌”区域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，“奎-独-乌”区域平均</w:t>
      </w:r>
      <w:r>
        <w:rPr>
          <w:rFonts w:hint="eastAsia" w:ascii="仿宋_GB2312" w:hAnsi="仿宋_GB2312" w:eastAsia="仿宋_GB2312" w:cs="仿宋_GB2312"/>
          <w:kern w:val="0"/>
          <w:sz w:val="32"/>
          <w:szCs w:val="32"/>
        </w:rPr>
        <w:t>优良天数比例为100%，</w:t>
      </w:r>
      <w:r>
        <w:rPr>
          <w:rFonts w:hint="eastAsia" w:ascii="仿宋_GB2312" w:hAnsi="仿宋_GB2312" w:eastAsia="仿宋_GB2312" w:cs="仿宋_GB2312"/>
          <w:kern w:val="0"/>
          <w:sz w:val="32"/>
          <w:szCs w:val="32"/>
        </w:rPr>
        <w:t>未出现轻度、中度、重度以及严重污染。与去年同期相比，平均优良天数比例持平，环境空气质量较去年同期保持稳定。</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“奎-独-乌”区域2市1区优良天数比例均为100%，</w:t>
      </w:r>
      <w:r>
        <w:rPr>
          <w:rFonts w:hint="eastAsia" w:ascii="仿宋_GB2312" w:hAnsi="仿宋_GB2312" w:eastAsia="仿宋_GB2312" w:cs="仿宋_GB2312"/>
          <w:kern w:val="0"/>
          <w:sz w:val="32"/>
          <w:szCs w:val="32"/>
        </w:rPr>
        <w:t>与去年同期相比，</w:t>
      </w:r>
      <w:r>
        <w:rPr>
          <w:rFonts w:hint="eastAsia" w:ascii="仿宋_GB2312" w:hAnsi="仿宋_GB2312" w:eastAsia="仿宋_GB2312" w:cs="仿宋_GB2312"/>
          <w:kern w:val="0"/>
          <w:sz w:val="32"/>
          <w:szCs w:val="32"/>
        </w:rPr>
        <w:t>2市1区优良天数比例</w:t>
      </w:r>
      <w:r>
        <w:rPr>
          <w:rFonts w:hint="eastAsia" w:ascii="仿宋_GB2312" w:hAnsi="仿宋_GB2312" w:eastAsia="仿宋_GB2312" w:cs="仿宋_GB2312"/>
          <w:kern w:val="0"/>
          <w:sz w:val="32"/>
          <w:szCs w:val="32"/>
        </w:rPr>
        <w:t>均持平</w:t>
      </w:r>
      <w:r>
        <w:rPr>
          <w:rFonts w:hint="eastAsia" w:ascii="仿宋_GB2312" w:hAnsi="仿宋_GB2312" w:eastAsia="仿宋_GB2312" w:cs="仿宋_GB2312"/>
          <w:kern w:val="0"/>
          <w:sz w:val="32"/>
          <w:szCs w:val="32"/>
        </w:rPr>
        <w:t>（见表</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“奎-独-乌”区域2市1区均未出现重污染天气，</w:t>
      </w:r>
      <w:r>
        <w:rPr>
          <w:rFonts w:hint="eastAsia" w:ascii="仿宋_GB2312" w:hAnsi="仿宋_GB2312" w:eastAsia="仿宋_GB2312" w:cs="仿宋_GB2312"/>
          <w:kern w:val="0"/>
          <w:sz w:val="32"/>
          <w:szCs w:val="32"/>
        </w:rPr>
        <w:t>与去年同期相同</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“奎-独-乌”区域</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月均浓度分别为55μg/m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和21μg/m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与去年同期相比，</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10</w:t>
      </w:r>
      <w:r>
        <w:rPr>
          <w:rFonts w:hint="eastAsia" w:ascii="仿宋_GB2312" w:hAnsi="仿宋_GB2312" w:eastAsia="仿宋_GB2312" w:cs="仿宋_GB2312"/>
          <w:kern w:val="0"/>
          <w:sz w:val="32"/>
          <w:szCs w:val="32"/>
        </w:rPr>
        <w:t>月均浓度</w:t>
      </w:r>
      <w:r>
        <w:rPr>
          <w:rFonts w:hint="eastAsia" w:ascii="仿宋_GB2312" w:hAnsi="仿宋_GB2312" w:eastAsia="仿宋_GB2312" w:cs="仿宋_GB2312"/>
          <w:kern w:val="0"/>
          <w:sz w:val="32"/>
          <w:szCs w:val="32"/>
        </w:rPr>
        <w:t>下降14.1%，</w:t>
      </w:r>
      <w:r>
        <w:rPr>
          <w:rFonts w:hint="eastAsia" w:ascii="仿宋_GB2312" w:hAnsi="仿宋_GB2312" w:eastAsia="仿宋_GB2312" w:cs="仿宋_GB2312"/>
          <w:kern w:val="0"/>
          <w:sz w:val="32"/>
          <w:szCs w:val="32"/>
        </w:rPr>
        <w:t>PM</w:t>
      </w:r>
      <w:r>
        <w:rPr>
          <w:rFonts w:hint="eastAsia" w:ascii="仿宋_GB2312" w:hAnsi="仿宋_GB2312" w:eastAsia="仿宋_GB2312" w:cs="仿宋_GB2312"/>
          <w:kern w:val="0"/>
          <w:sz w:val="32"/>
          <w:szCs w:val="32"/>
          <w:vertAlign w:val="subscript"/>
        </w:rPr>
        <w:t>2.5</w:t>
      </w:r>
      <w:r>
        <w:rPr>
          <w:rFonts w:hint="eastAsia" w:ascii="仿宋_GB2312" w:hAnsi="仿宋_GB2312" w:eastAsia="仿宋_GB2312" w:cs="仿宋_GB2312"/>
          <w:kern w:val="0"/>
          <w:sz w:val="32"/>
          <w:szCs w:val="32"/>
        </w:rPr>
        <w:t>月均浓度</w:t>
      </w:r>
      <w:r>
        <w:rPr>
          <w:rFonts w:hint="eastAsia" w:ascii="仿宋_GB2312" w:hAnsi="仿宋_GB2312" w:eastAsia="仿宋_GB2312" w:cs="仿宋_GB2312"/>
          <w:kern w:val="0"/>
          <w:sz w:val="32"/>
          <w:szCs w:val="32"/>
        </w:rPr>
        <w:t>持平。各城市</w:t>
      </w:r>
      <w:r>
        <w:rPr>
          <w:rFonts w:hint="eastAsia" w:ascii="仿宋_GB2312" w:hAnsi="仿宋_GB2312" w:eastAsia="仿宋_GB2312" w:cs="仿宋_GB2312"/>
          <w:kern w:val="0"/>
          <w:sz w:val="32"/>
          <w:szCs w:val="32"/>
        </w:rPr>
        <w:t>具体</w:t>
      </w:r>
      <w:r>
        <w:rPr>
          <w:rFonts w:hint="eastAsia" w:ascii="仿宋_GB2312" w:hAnsi="仿宋_GB2312" w:eastAsia="仿宋_GB2312" w:cs="仿宋_GB2312"/>
          <w:kern w:val="0"/>
          <w:sz w:val="32"/>
          <w:szCs w:val="32"/>
        </w:rPr>
        <w:t>变化</w:t>
      </w:r>
      <w:r>
        <w:rPr>
          <w:rFonts w:hint="eastAsia" w:ascii="仿宋_GB2312" w:hAnsi="仿宋_GB2312" w:eastAsia="仿宋_GB2312" w:cs="仿宋_GB2312"/>
          <w:kern w:val="0"/>
          <w:sz w:val="32"/>
          <w:szCs w:val="32"/>
        </w:rPr>
        <w:t>为：</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PM</w:t>
      </w:r>
      <w:r>
        <w:rPr>
          <w:rFonts w:hint="eastAsia" w:ascii="仿宋_GB2312" w:hAnsi="仿宋_GB2312" w:eastAsia="仿宋_GB2312" w:cs="仿宋_GB2312"/>
          <w:b/>
          <w:kern w:val="0"/>
          <w:sz w:val="32"/>
          <w:szCs w:val="32"/>
          <w:vertAlign w:val="subscript"/>
        </w:rPr>
        <w:t>10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rPr>
        <w:t>3市区中，</w:t>
      </w:r>
      <w:r>
        <w:rPr>
          <w:rFonts w:hint="eastAsia" w:ascii="仿宋_GB2312" w:hAnsi="仿宋_GB2312" w:eastAsia="仿宋_GB2312" w:cs="仿宋_GB2312"/>
          <w:kern w:val="0"/>
          <w:sz w:val="32"/>
          <w:szCs w:val="32"/>
        </w:rPr>
        <w:t>2</w:t>
      </w:r>
      <w:r>
        <w:rPr>
          <w:rFonts w:hint="eastAsia" w:ascii="仿宋_GB2312" w:hAnsi="仿宋_GB2312" w:eastAsia="仿宋_GB2312" w:cs="仿宋_GB2312"/>
          <w:kern w:val="0"/>
          <w:sz w:val="32"/>
          <w:szCs w:val="32"/>
        </w:rPr>
        <w:t>市区浓度与去年同期相比下降，</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市区浓度同比上升。具体为：奎屯市</w:t>
      </w:r>
      <w:r>
        <w:rPr>
          <w:rFonts w:hint="eastAsia" w:ascii="仿宋_GB2312" w:hAnsi="仿宋_GB2312" w:eastAsia="仿宋_GB2312" w:cs="仿宋_GB2312"/>
          <w:kern w:val="0"/>
          <w:sz w:val="32"/>
          <w:szCs w:val="32"/>
        </w:rPr>
        <w:t>月均浓度为64μg/m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同比下降17.9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；乌苏市</w:t>
      </w:r>
      <w:r>
        <w:rPr>
          <w:rFonts w:hint="eastAsia" w:ascii="仿宋_GB2312" w:hAnsi="仿宋_GB2312" w:eastAsia="仿宋_GB2312" w:cs="仿宋_GB2312"/>
          <w:kern w:val="0"/>
          <w:sz w:val="32"/>
          <w:szCs w:val="32"/>
        </w:rPr>
        <w:t>月均浓度为49μg/m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w:t>
      </w:r>
      <w:r>
        <w:rPr>
          <w:rFonts w:hint="eastAsia" w:ascii="仿宋_GB2312" w:hAnsi="仿宋_GB2312" w:eastAsia="仿宋_GB2312" w:cs="仿宋_GB2312"/>
          <w:kern w:val="0"/>
          <w:sz w:val="32"/>
          <w:szCs w:val="32"/>
        </w:rPr>
        <w:t>下降26.9%</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独山子区月均浓度为52μg/m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8.3%</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ind w:firstLine="630" w:firstLineChars="196"/>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PM</w:t>
      </w:r>
      <w:r>
        <w:rPr>
          <w:rFonts w:hint="eastAsia" w:ascii="仿宋_GB2312" w:hAnsi="仿宋_GB2312" w:eastAsia="仿宋_GB2312" w:cs="仿宋_GB2312"/>
          <w:b/>
          <w:kern w:val="0"/>
          <w:sz w:val="32"/>
          <w:szCs w:val="32"/>
          <w:vertAlign w:val="subscript"/>
        </w:rPr>
        <w:t>2.5</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区域</w:t>
      </w:r>
      <w:r>
        <w:rPr>
          <w:rFonts w:hint="eastAsia" w:ascii="仿宋_GB2312" w:hAnsi="仿宋_GB2312" w:eastAsia="仿宋_GB2312" w:cs="仿宋_GB2312"/>
          <w:kern w:val="0"/>
          <w:sz w:val="32"/>
          <w:szCs w:val="32"/>
        </w:rPr>
        <w:t>3市区中，1市区浓度与去年同期相比下降，2市区浓度同比上升。具体为：乌苏市</w:t>
      </w:r>
      <w:r>
        <w:rPr>
          <w:rFonts w:hint="eastAsia" w:ascii="仿宋_GB2312" w:hAnsi="仿宋_GB2312" w:eastAsia="仿宋_GB2312" w:cs="仿宋_GB2312"/>
          <w:kern w:val="0"/>
          <w:sz w:val="32"/>
          <w:szCs w:val="32"/>
        </w:rPr>
        <w:t>月均浓度为</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6μg/m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w:t>
      </w:r>
      <w:r>
        <w:rPr>
          <w:rFonts w:hint="eastAsia" w:ascii="仿宋_GB2312" w:hAnsi="仿宋_GB2312" w:eastAsia="仿宋_GB2312" w:cs="仿宋_GB2312"/>
          <w:kern w:val="0"/>
          <w:sz w:val="32"/>
          <w:szCs w:val="32"/>
        </w:rPr>
        <w:t>下降20.0%</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独山子区月均浓度为20μg/m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33.3%；</w:t>
      </w:r>
      <w:r>
        <w:rPr>
          <w:rFonts w:hint="eastAsia" w:ascii="仿宋_GB2312" w:hAnsi="仿宋_GB2312" w:eastAsia="仿宋_GB2312" w:cs="仿宋_GB2312"/>
          <w:kern w:val="0"/>
          <w:sz w:val="32"/>
          <w:szCs w:val="32"/>
        </w:rPr>
        <w:t>奎屯市</w:t>
      </w:r>
      <w:r>
        <w:rPr>
          <w:rFonts w:hint="eastAsia" w:ascii="仿宋_GB2312" w:hAnsi="仿宋_GB2312" w:eastAsia="仿宋_GB2312" w:cs="仿宋_GB2312"/>
          <w:kern w:val="0"/>
          <w:sz w:val="32"/>
          <w:szCs w:val="32"/>
        </w:rPr>
        <w:t>月均浓度为28μg/m</w:t>
      </w:r>
      <w:r>
        <w:rPr>
          <w:rFonts w:hint="eastAsia" w:ascii="仿宋_GB2312" w:hAnsi="仿宋_GB2312" w:eastAsia="仿宋_GB2312" w:cs="仿宋_GB2312"/>
          <w:kern w:val="0"/>
          <w:sz w:val="32"/>
          <w:szCs w:val="32"/>
          <w:vertAlign w:val="superscript"/>
        </w:rPr>
        <w:t>3</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同比上升</w:t>
      </w:r>
      <w:r>
        <w:rPr>
          <w:rFonts w:hint="eastAsia" w:ascii="仿宋_GB2312" w:hAnsi="仿宋_GB2312" w:eastAsia="仿宋_GB2312" w:cs="仿宋_GB2312"/>
          <w:kern w:val="0"/>
          <w:sz w:val="32"/>
          <w:szCs w:val="32"/>
        </w:rPr>
        <w:t>3.7%</w:t>
      </w:r>
      <w:r>
        <w:rPr>
          <w:rFonts w:hint="eastAsia" w:ascii="仿宋_GB2312" w:hAnsi="仿宋_GB2312" w:eastAsia="仿宋_GB2312" w:cs="仿宋_GB2312"/>
          <w:kern w:val="0"/>
          <w:sz w:val="32"/>
          <w:szCs w:val="32"/>
        </w:rPr>
        <w:t>（见表</w:t>
      </w:r>
      <w:r>
        <w:rPr>
          <w:rFonts w:hint="eastAsia" w:ascii="仿宋_GB2312" w:hAnsi="仿宋_GB2312" w:eastAsia="仿宋_GB2312" w:cs="仿宋_GB2312"/>
          <w:kern w:val="0"/>
          <w:sz w:val="32"/>
          <w:szCs w:val="32"/>
        </w:rPr>
        <w:t>1</w:t>
      </w:r>
      <w:r>
        <w:rPr>
          <w:rFonts w:hint="eastAsia" w:ascii="仿宋_GB2312" w:hAnsi="仿宋_GB2312" w:eastAsia="仿宋_GB2312" w:cs="仿宋_GB2312"/>
          <w:kern w:val="0"/>
          <w:sz w:val="32"/>
          <w:szCs w:val="32"/>
        </w:rPr>
        <w:t>）。</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kern w:val="0"/>
          <w:sz w:val="32"/>
          <w:szCs w:val="32"/>
        </w:rPr>
        <w:sectPr>
          <w:pgSz w:w="11906" w:h="16838"/>
          <w:pgMar w:top="1985" w:right="1531" w:bottom="1985" w:left="1531" w:header="851" w:footer="992" w:gutter="0"/>
          <w:cols w:space="425" w:num="1"/>
          <w:docGrid w:type="lines" w:linePitch="435" w:charSpace="0"/>
        </w:sectPr>
      </w:pPr>
    </w:p>
    <w:p>
      <w:pPr>
        <w:keepNext w:val="0"/>
        <w:keepLines w:val="0"/>
        <w:pageBreakBefore w:val="0"/>
        <w:kinsoku/>
        <w:wordWrap/>
        <w:overflowPunct/>
        <w:topLinePunct w:val="0"/>
        <w:autoSpaceDE/>
        <w:autoSpaceDN/>
        <w:bidi w:val="0"/>
        <w:spacing w:line="360" w:lineRule="exact"/>
        <w:ind w:firstLine="4498" w:firstLineChars="1400"/>
        <w:jc w:val="both"/>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表1     2019年10月重点区域城市空气质量情况</w:t>
      </w:r>
    </w:p>
    <w:tbl>
      <w:tblPr>
        <w:tblStyle w:val="7"/>
        <w:tblpPr w:leftFromText="180" w:rightFromText="180" w:vertAnchor="text" w:horzAnchor="page" w:tblpX="776" w:tblpY="694"/>
        <w:tblOverlap w:val="never"/>
        <w:tblW w:w="0" w:type="auto"/>
        <w:tblInd w:w="0" w:type="dxa"/>
        <w:tblLayout w:type="autofit"/>
        <w:tblCellMar>
          <w:top w:w="0" w:type="dxa"/>
          <w:left w:w="108" w:type="dxa"/>
          <w:bottom w:w="0" w:type="dxa"/>
          <w:right w:w="108" w:type="dxa"/>
        </w:tblCellMar>
      </w:tblPr>
      <w:tblGrid>
        <w:gridCol w:w="1251"/>
        <w:gridCol w:w="803"/>
        <w:gridCol w:w="803"/>
        <w:gridCol w:w="687"/>
        <w:gridCol w:w="576"/>
        <w:gridCol w:w="576"/>
        <w:gridCol w:w="764"/>
        <w:gridCol w:w="576"/>
        <w:gridCol w:w="576"/>
        <w:gridCol w:w="764"/>
        <w:gridCol w:w="576"/>
        <w:gridCol w:w="576"/>
        <w:gridCol w:w="764"/>
        <w:gridCol w:w="602"/>
        <w:gridCol w:w="576"/>
        <w:gridCol w:w="803"/>
        <w:gridCol w:w="667"/>
        <w:gridCol w:w="577"/>
        <w:gridCol w:w="764"/>
        <w:gridCol w:w="700"/>
        <w:gridCol w:w="700"/>
        <w:gridCol w:w="764"/>
      </w:tblGrid>
      <w:tr>
        <w:tblPrEx>
          <w:tblCellMar>
            <w:top w:w="0" w:type="dxa"/>
            <w:left w:w="108" w:type="dxa"/>
            <w:bottom w:w="0" w:type="dxa"/>
            <w:right w:w="108" w:type="dxa"/>
          </w:tblCellMar>
        </w:tblPrEx>
        <w:trPr>
          <w:trHeight w:val="170" w:hRule="atLeast"/>
        </w:trPr>
        <w:tc>
          <w:tcPr>
            <w:tcW w:w="1251" w:type="dxa"/>
            <w:vMerge w:val="restart"/>
            <w:tcBorders>
              <w:top w:val="single" w:color="auto" w:sz="12" w:space="0"/>
              <w:bottom w:val="single" w:color="000000"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城市</w:t>
            </w:r>
          </w:p>
        </w:tc>
        <w:tc>
          <w:tcPr>
            <w:tcW w:w="2293"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优良天数比例(AQI)</w:t>
            </w:r>
          </w:p>
        </w:tc>
        <w:tc>
          <w:tcPr>
            <w:tcW w:w="1914"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PM</w:t>
            </w:r>
            <w:r>
              <w:rPr>
                <w:rFonts w:hint="eastAsia" w:asciiTheme="minorEastAsia" w:hAnsiTheme="minorEastAsia" w:eastAsiaTheme="minorEastAsia" w:cstheme="minorEastAsia"/>
                <w:kern w:val="0"/>
                <w:sz w:val="18"/>
                <w:szCs w:val="18"/>
                <w:vertAlign w:val="subscript"/>
              </w:rPr>
              <w:t>10</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color w:val="4B4B4B"/>
                <w:kern w:val="0"/>
                <w:sz w:val="18"/>
                <w:szCs w:val="18"/>
              </w:rPr>
              <w:t>μg/m</w:t>
            </w:r>
            <w:r>
              <w:rPr>
                <w:rFonts w:hint="eastAsia" w:asciiTheme="minorEastAsia" w:hAnsiTheme="minorEastAsia" w:eastAsiaTheme="minorEastAsia" w:cstheme="minorEastAsia"/>
                <w:color w:val="4B4B4B"/>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1914"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PM</w:t>
            </w:r>
            <w:r>
              <w:rPr>
                <w:rFonts w:hint="eastAsia" w:asciiTheme="minorEastAsia" w:hAnsiTheme="minorEastAsia" w:eastAsiaTheme="minorEastAsia" w:cstheme="minorEastAsia"/>
                <w:kern w:val="0"/>
                <w:sz w:val="18"/>
                <w:szCs w:val="18"/>
                <w:vertAlign w:val="subscript"/>
              </w:rPr>
              <w:t>2.5</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color w:val="4B4B4B"/>
                <w:kern w:val="0"/>
                <w:sz w:val="18"/>
                <w:szCs w:val="18"/>
              </w:rPr>
              <w:t>μg/m</w:t>
            </w:r>
            <w:r>
              <w:rPr>
                <w:rFonts w:hint="eastAsia" w:asciiTheme="minorEastAsia" w:hAnsiTheme="minorEastAsia" w:eastAsiaTheme="minorEastAsia" w:cstheme="minorEastAsia"/>
                <w:color w:val="4B4B4B"/>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1914"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SO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color w:val="4B4B4B"/>
                <w:kern w:val="0"/>
                <w:sz w:val="18"/>
                <w:szCs w:val="18"/>
              </w:rPr>
              <w:t>μg/m</w:t>
            </w:r>
            <w:r>
              <w:rPr>
                <w:rFonts w:hint="eastAsia" w:asciiTheme="minorEastAsia" w:hAnsiTheme="minorEastAsia" w:eastAsiaTheme="minorEastAsia" w:cstheme="minorEastAsia"/>
                <w:color w:val="4B4B4B"/>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1980"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NO</w:t>
            </w:r>
            <w:r>
              <w:rPr>
                <w:rFonts w:hint="eastAsia" w:asciiTheme="minorEastAsia" w:hAnsiTheme="minorEastAsia" w:eastAsiaTheme="minorEastAsia" w:cstheme="minorEastAsia"/>
                <w:kern w:val="0"/>
                <w:sz w:val="18"/>
                <w:szCs w:val="18"/>
                <w:vertAlign w:val="subscript"/>
              </w:rPr>
              <w:t>2</w:t>
            </w:r>
            <w:r>
              <w:rPr>
                <w:rFonts w:hint="eastAsia" w:asciiTheme="minorEastAsia" w:hAnsiTheme="minorEastAsia" w:eastAsiaTheme="minorEastAsia" w:cstheme="minorEastAsia"/>
                <w:kern w:val="0"/>
                <w:sz w:val="18"/>
                <w:szCs w:val="18"/>
              </w:rPr>
              <w:t>(</w:t>
            </w:r>
            <w:r>
              <w:rPr>
                <w:rFonts w:hint="eastAsia" w:asciiTheme="minorEastAsia" w:hAnsiTheme="minorEastAsia" w:eastAsiaTheme="minorEastAsia" w:cstheme="minorEastAsia"/>
                <w:color w:val="4B4B4B"/>
                <w:kern w:val="0"/>
                <w:sz w:val="18"/>
                <w:szCs w:val="18"/>
              </w:rPr>
              <w:t>μg/m</w:t>
            </w:r>
            <w:r>
              <w:rPr>
                <w:rFonts w:hint="eastAsia" w:asciiTheme="minorEastAsia" w:hAnsiTheme="minorEastAsia" w:eastAsiaTheme="minorEastAsia" w:cstheme="minorEastAsia"/>
                <w:color w:val="4B4B4B"/>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2008" w:type="dxa"/>
            <w:gridSpan w:val="3"/>
            <w:tcBorders>
              <w:top w:val="single" w:color="auto" w:sz="12" w:space="0"/>
              <w:left w:val="nil"/>
              <w:bottom w:val="single" w:color="auto" w:sz="4" w:space="0"/>
              <w:right w:val="single" w:color="000000"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CO(mg/m</w:t>
            </w:r>
            <w:r>
              <w:rPr>
                <w:rFonts w:hint="eastAsia" w:asciiTheme="minorEastAsia" w:hAnsiTheme="minorEastAsia" w:eastAsiaTheme="minorEastAsia" w:cstheme="minorEastAsia"/>
                <w:kern w:val="0"/>
                <w:sz w:val="18"/>
                <w:szCs w:val="18"/>
                <w:vertAlign w:val="superscript"/>
              </w:rPr>
              <w:t>3</w:t>
            </w:r>
            <w:r>
              <w:rPr>
                <w:rFonts w:hint="eastAsia" w:asciiTheme="minorEastAsia" w:hAnsiTheme="minorEastAsia" w:eastAsiaTheme="minorEastAsia" w:cstheme="minorEastAsia"/>
                <w:kern w:val="0"/>
                <w:sz w:val="18"/>
                <w:szCs w:val="18"/>
              </w:rPr>
              <w:t>)</w:t>
            </w:r>
          </w:p>
        </w:tc>
        <w:tc>
          <w:tcPr>
            <w:tcW w:w="2164" w:type="dxa"/>
            <w:gridSpan w:val="3"/>
            <w:tcBorders>
              <w:top w:val="single" w:color="auto" w:sz="12" w:space="0"/>
              <w:left w:val="nil"/>
              <w:bottom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O</w:t>
            </w:r>
            <w:r>
              <w:rPr>
                <w:rFonts w:hint="eastAsia" w:asciiTheme="minorEastAsia" w:hAnsiTheme="minorEastAsia" w:eastAsiaTheme="minorEastAsia" w:cstheme="minorEastAsia"/>
                <w:kern w:val="0"/>
                <w:sz w:val="18"/>
                <w:szCs w:val="18"/>
                <w:vertAlign w:val="subscript"/>
              </w:rPr>
              <w:t>3</w:t>
            </w:r>
            <w:r>
              <w:rPr>
                <w:rFonts w:hint="eastAsia" w:asciiTheme="minorEastAsia" w:hAnsiTheme="minorEastAsia" w:eastAsiaTheme="minorEastAsia" w:cstheme="minorEastAsia"/>
                <w:kern w:val="0"/>
                <w:sz w:val="18"/>
                <w:szCs w:val="18"/>
              </w:rPr>
              <w:t>-8h(</w:t>
            </w:r>
            <w:r>
              <w:rPr>
                <w:rFonts w:hint="eastAsia" w:asciiTheme="minorEastAsia" w:hAnsiTheme="minorEastAsia" w:eastAsiaTheme="minorEastAsia" w:cstheme="minorEastAsia"/>
                <w:color w:val="4B4B4B"/>
                <w:kern w:val="0"/>
                <w:sz w:val="18"/>
                <w:szCs w:val="18"/>
              </w:rPr>
              <w:t>μg/m</w:t>
            </w:r>
            <w:r>
              <w:rPr>
                <w:rFonts w:hint="eastAsia" w:asciiTheme="minorEastAsia" w:hAnsiTheme="minorEastAsia" w:eastAsiaTheme="minorEastAsia" w:cstheme="minorEastAsia"/>
                <w:color w:val="4B4B4B"/>
                <w:kern w:val="0"/>
                <w:sz w:val="18"/>
                <w:szCs w:val="18"/>
                <w:vertAlign w:val="superscript"/>
              </w:rPr>
              <w:t>3</w:t>
            </w:r>
            <w:r>
              <w:rPr>
                <w:rFonts w:hint="eastAsia" w:asciiTheme="minorEastAsia" w:hAnsiTheme="minorEastAsia" w:eastAsiaTheme="minorEastAsia" w:cstheme="minorEastAsia"/>
                <w:kern w:val="0"/>
                <w:sz w:val="18"/>
                <w:szCs w:val="18"/>
              </w:rPr>
              <w:t>)</w:t>
            </w:r>
          </w:p>
        </w:tc>
      </w:tr>
      <w:tr>
        <w:tblPrEx>
          <w:tblCellMar>
            <w:top w:w="0" w:type="dxa"/>
            <w:left w:w="108" w:type="dxa"/>
            <w:bottom w:w="0" w:type="dxa"/>
            <w:right w:w="108" w:type="dxa"/>
          </w:tblCellMar>
        </w:tblPrEx>
        <w:trPr>
          <w:trHeight w:val="668" w:hRule="atLeast"/>
        </w:trPr>
        <w:tc>
          <w:tcPr>
            <w:tcW w:w="1251" w:type="dxa"/>
            <w:vMerge w:val="continue"/>
            <w:tcBorders>
              <w:top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spacing w:line="360" w:lineRule="exact"/>
              <w:jc w:val="left"/>
              <w:textAlignment w:val="auto"/>
              <w:rPr>
                <w:rFonts w:hint="eastAsia" w:asciiTheme="minorEastAsia" w:hAnsiTheme="minorEastAsia" w:eastAsiaTheme="minorEastAsia" w:cstheme="minorEastAsia"/>
                <w:kern w:val="0"/>
                <w:sz w:val="18"/>
                <w:szCs w:val="18"/>
              </w:rPr>
            </w:pP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68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同比变化（百分点）</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w:t>
            </w:r>
          </w:p>
        </w:tc>
        <w:tc>
          <w:tcPr>
            <w:tcW w:w="602"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w:t>
            </w:r>
          </w:p>
        </w:tc>
        <w:tc>
          <w:tcPr>
            <w:tcW w:w="66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57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w:t>
            </w:r>
          </w:p>
        </w:tc>
        <w:tc>
          <w:tcPr>
            <w:tcW w:w="70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2018年</w:t>
            </w:r>
          </w:p>
        </w:tc>
        <w:tc>
          <w:tcPr>
            <w:tcW w:w="70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2019年</w:t>
            </w:r>
          </w:p>
        </w:tc>
        <w:tc>
          <w:tcPr>
            <w:tcW w:w="764" w:type="dxa"/>
            <w:tcBorders>
              <w:top w:val="nil"/>
              <w:left w:val="nil"/>
              <w:bottom w:val="single" w:color="auto" w:sz="12"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同比变化</w:t>
            </w:r>
          </w:p>
        </w:tc>
      </w:tr>
      <w:tr>
        <w:tblPrEx>
          <w:tblCellMar>
            <w:top w:w="0" w:type="dxa"/>
            <w:left w:w="108" w:type="dxa"/>
            <w:bottom w:w="0" w:type="dxa"/>
            <w:right w:w="108" w:type="dxa"/>
          </w:tblCellMar>
        </w:tblPrEx>
        <w:trPr>
          <w:trHeight w:val="285" w:hRule="atLeast"/>
        </w:trPr>
        <w:tc>
          <w:tcPr>
            <w:tcW w:w="1251" w:type="dxa"/>
            <w:tcBorders>
              <w:top w:val="single" w:color="auto" w:sz="12"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乌鲁木齐市</w:t>
            </w:r>
          </w:p>
        </w:tc>
        <w:tc>
          <w:tcPr>
            <w:tcW w:w="8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82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-4.9%</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 xml:space="preserve">10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602"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43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 </w:t>
            </w:r>
          </w:p>
        </w:tc>
        <w:tc>
          <w:tcPr>
            <w:tcW w:w="8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w:t>
            </w:r>
          </w:p>
        </w:tc>
        <w:tc>
          <w:tcPr>
            <w:tcW w:w="66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57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70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56 </w:t>
            </w:r>
          </w:p>
        </w:tc>
        <w:tc>
          <w:tcPr>
            <w:tcW w:w="70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60 </w:t>
            </w:r>
          </w:p>
        </w:tc>
        <w:tc>
          <w:tcPr>
            <w:tcW w:w="764" w:type="dxa"/>
            <w:tcBorders>
              <w:top w:val="single" w:color="auto" w:sz="12" w:space="0"/>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7.1%</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石河子市</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81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-6.2%</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-12.5%</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7.4%</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昌吉市</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-5.6%</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29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7.4%</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13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-11.9%</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28.6%</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-6.2%</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阜康市</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66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55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-16.7%</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31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24.0%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4.0%</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0.7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-22.2%</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66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1.5%</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五家渠市</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96.7%</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96.8%</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0.1</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75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83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10.7%</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-6.3%</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33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37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12.1%</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玛纳斯县</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66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25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22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-12.0%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-45.0%</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22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0.5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79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73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-7.6%</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呼图壁县</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46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-21.7%</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22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-31.8%</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9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-22.2%</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34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-5.9%</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-60.0%</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63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41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-34.9%</w:t>
            </w:r>
          </w:p>
        </w:tc>
      </w:tr>
      <w:tr>
        <w:tblPrEx>
          <w:tblCellMar>
            <w:top w:w="0" w:type="dxa"/>
            <w:left w:w="108" w:type="dxa"/>
            <w:bottom w:w="0" w:type="dxa"/>
            <w:right w:w="108" w:type="dxa"/>
          </w:tblCellMar>
        </w:tblPrEx>
        <w:trPr>
          <w:trHeight w:val="285" w:hRule="atLeast"/>
        </w:trPr>
        <w:tc>
          <w:tcPr>
            <w:tcW w:w="1251" w:type="dxa"/>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沙湾县</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76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63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-17.1%</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23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-8.7%</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60.0%</w:t>
            </w:r>
          </w:p>
        </w:tc>
        <w:tc>
          <w:tcPr>
            <w:tcW w:w="602"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14 </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133%</w:t>
            </w:r>
          </w:p>
        </w:tc>
        <w:tc>
          <w:tcPr>
            <w:tcW w:w="66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57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70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54 </w:t>
            </w:r>
          </w:p>
        </w:tc>
        <w:tc>
          <w:tcPr>
            <w:tcW w:w="70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764" w:type="dxa"/>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18.5%</w:t>
            </w:r>
          </w:p>
        </w:tc>
      </w:tr>
      <w:tr>
        <w:tblPrEx>
          <w:tblCellMar>
            <w:top w:w="0" w:type="dxa"/>
            <w:left w:w="108" w:type="dxa"/>
            <w:bottom w:w="0" w:type="dxa"/>
            <w:right w:w="108" w:type="dxa"/>
          </w:tblCellMar>
        </w:tblPrEx>
        <w:trPr>
          <w:trHeight w:val="544" w:hRule="atLeast"/>
        </w:trPr>
        <w:tc>
          <w:tcPr>
            <w:tcW w:w="1251" w:type="dxa"/>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“乌-昌-石”区域</w:t>
            </w:r>
          </w:p>
        </w:tc>
        <w:tc>
          <w:tcPr>
            <w:tcW w:w="803"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99.6%</w:t>
            </w:r>
          </w:p>
        </w:tc>
        <w:tc>
          <w:tcPr>
            <w:tcW w:w="803"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99.6%</w:t>
            </w:r>
          </w:p>
        </w:tc>
        <w:tc>
          <w:tcPr>
            <w:tcW w:w="68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71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66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-7.0%</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26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-9.1%</w:t>
            </w:r>
          </w:p>
        </w:tc>
        <w:tc>
          <w:tcPr>
            <w:tcW w:w="602"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32 </w:t>
            </w:r>
          </w:p>
        </w:tc>
        <w:tc>
          <w:tcPr>
            <w:tcW w:w="803"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6.7%</w:t>
            </w:r>
          </w:p>
        </w:tc>
        <w:tc>
          <w:tcPr>
            <w:tcW w:w="66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0.9 </w:t>
            </w:r>
          </w:p>
        </w:tc>
        <w:tc>
          <w:tcPr>
            <w:tcW w:w="57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-11.1%</w:t>
            </w:r>
          </w:p>
        </w:tc>
        <w:tc>
          <w:tcPr>
            <w:tcW w:w="70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65 </w:t>
            </w:r>
          </w:p>
        </w:tc>
        <w:tc>
          <w:tcPr>
            <w:tcW w:w="70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63 </w:t>
            </w:r>
          </w:p>
        </w:tc>
        <w:tc>
          <w:tcPr>
            <w:tcW w:w="764" w:type="dxa"/>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w:t>
            </w:r>
          </w:p>
        </w:tc>
      </w:tr>
      <w:tr>
        <w:tblPrEx>
          <w:tblCellMar>
            <w:top w:w="0" w:type="dxa"/>
            <w:left w:w="108" w:type="dxa"/>
            <w:bottom w:w="0" w:type="dxa"/>
            <w:right w:w="108" w:type="dxa"/>
          </w:tblCellMar>
        </w:tblPrEx>
        <w:trPr>
          <w:trHeight w:val="285" w:hRule="atLeast"/>
        </w:trPr>
        <w:tc>
          <w:tcPr>
            <w:tcW w:w="1251" w:type="dxa"/>
            <w:tcBorders>
              <w:top w:val="single" w:color="auto" w:sz="12" w:space="0"/>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奎屯市</w:t>
            </w:r>
          </w:p>
        </w:tc>
        <w:tc>
          <w:tcPr>
            <w:tcW w:w="8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78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-17.9%</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3.7%</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kern w:val="0"/>
                <w:sz w:val="18"/>
                <w:szCs w:val="18"/>
              </w:rPr>
            </w:pPr>
            <w:r>
              <w:rPr>
                <w:rFonts w:hint="eastAsia" w:asciiTheme="minorEastAsia" w:hAnsiTheme="minorEastAsia" w:eastAsiaTheme="minorEastAsia" w:cstheme="minorEastAsia"/>
                <w:color w:val="000000"/>
                <w:sz w:val="18"/>
                <w:szCs w:val="18"/>
              </w:rPr>
              <w:t xml:space="preserve">6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602"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27 </w:t>
            </w:r>
          </w:p>
        </w:tc>
        <w:tc>
          <w:tcPr>
            <w:tcW w:w="575"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35 </w:t>
            </w:r>
          </w:p>
        </w:tc>
        <w:tc>
          <w:tcPr>
            <w:tcW w:w="803"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29.6%</w:t>
            </w:r>
          </w:p>
        </w:tc>
        <w:tc>
          <w:tcPr>
            <w:tcW w:w="66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1.1 </w:t>
            </w:r>
          </w:p>
        </w:tc>
        <w:tc>
          <w:tcPr>
            <w:tcW w:w="577"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764"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-27.3%</w:t>
            </w:r>
          </w:p>
        </w:tc>
        <w:tc>
          <w:tcPr>
            <w:tcW w:w="70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61 </w:t>
            </w:r>
          </w:p>
        </w:tc>
        <w:tc>
          <w:tcPr>
            <w:tcW w:w="700" w:type="dxa"/>
            <w:tcBorders>
              <w:top w:val="single" w:color="auto" w:sz="12" w:space="0"/>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63 </w:t>
            </w:r>
          </w:p>
        </w:tc>
        <w:tc>
          <w:tcPr>
            <w:tcW w:w="764" w:type="dxa"/>
            <w:tcBorders>
              <w:top w:val="single" w:color="auto" w:sz="12" w:space="0"/>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w:t>
            </w:r>
          </w:p>
        </w:tc>
      </w:tr>
      <w:tr>
        <w:tblPrEx>
          <w:tblCellMar>
            <w:top w:w="0" w:type="dxa"/>
            <w:left w:w="108" w:type="dxa"/>
            <w:bottom w:w="0" w:type="dxa"/>
            <w:right w:w="108" w:type="dxa"/>
          </w:tblCellMar>
        </w:tblPrEx>
        <w:trPr>
          <w:trHeight w:val="285" w:hRule="atLeast"/>
        </w:trPr>
        <w:tc>
          <w:tcPr>
            <w:tcW w:w="1251" w:type="dxa"/>
            <w:tcBorders>
              <w:top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乌苏市</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67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49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-26.9%</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602"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19 </w:t>
            </w:r>
          </w:p>
        </w:tc>
        <w:tc>
          <w:tcPr>
            <w:tcW w:w="575"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803"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5.3%</w:t>
            </w:r>
          </w:p>
        </w:tc>
        <w:tc>
          <w:tcPr>
            <w:tcW w:w="66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577"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764"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700" w:type="dxa"/>
            <w:tcBorders>
              <w:top w:val="nil"/>
              <w:left w:val="nil"/>
              <w:bottom w:val="single" w:color="auto" w:sz="4"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62 </w:t>
            </w:r>
          </w:p>
        </w:tc>
        <w:tc>
          <w:tcPr>
            <w:tcW w:w="764" w:type="dxa"/>
            <w:tcBorders>
              <w:top w:val="nil"/>
              <w:left w:val="nil"/>
              <w:bottom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-3.1%</w:t>
            </w:r>
          </w:p>
        </w:tc>
      </w:tr>
      <w:tr>
        <w:tblPrEx>
          <w:tblCellMar>
            <w:top w:w="0" w:type="dxa"/>
            <w:left w:w="108" w:type="dxa"/>
            <w:bottom w:w="0" w:type="dxa"/>
            <w:right w:w="108" w:type="dxa"/>
          </w:tblCellMar>
        </w:tblPrEx>
        <w:trPr>
          <w:trHeight w:val="285" w:hRule="atLeast"/>
        </w:trPr>
        <w:tc>
          <w:tcPr>
            <w:tcW w:w="1251" w:type="dxa"/>
            <w:tcBorders>
              <w:top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adjustRightInd w:val="0"/>
              <w:snapToGrid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独山子区</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48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52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8.3%</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15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20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33.3%</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12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-41.7%</w:t>
            </w:r>
          </w:p>
        </w:tc>
        <w:tc>
          <w:tcPr>
            <w:tcW w:w="602"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17 </w:t>
            </w:r>
          </w:p>
        </w:tc>
        <w:tc>
          <w:tcPr>
            <w:tcW w:w="575"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30 </w:t>
            </w:r>
          </w:p>
        </w:tc>
        <w:tc>
          <w:tcPr>
            <w:tcW w:w="803"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76.5%</w:t>
            </w:r>
          </w:p>
        </w:tc>
        <w:tc>
          <w:tcPr>
            <w:tcW w:w="66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577"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0.5 </w:t>
            </w:r>
          </w:p>
        </w:tc>
        <w:tc>
          <w:tcPr>
            <w:tcW w:w="764"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-50.0%</w:t>
            </w:r>
          </w:p>
        </w:tc>
        <w:tc>
          <w:tcPr>
            <w:tcW w:w="70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81 </w:t>
            </w:r>
          </w:p>
        </w:tc>
        <w:tc>
          <w:tcPr>
            <w:tcW w:w="700" w:type="dxa"/>
            <w:tcBorders>
              <w:top w:val="nil"/>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79 </w:t>
            </w:r>
          </w:p>
        </w:tc>
        <w:tc>
          <w:tcPr>
            <w:tcW w:w="764" w:type="dxa"/>
            <w:tcBorders>
              <w:top w:val="nil"/>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w:t>
            </w:r>
          </w:p>
        </w:tc>
      </w:tr>
      <w:tr>
        <w:tblPrEx>
          <w:tblCellMar>
            <w:top w:w="0" w:type="dxa"/>
            <w:left w:w="108" w:type="dxa"/>
            <w:bottom w:w="0" w:type="dxa"/>
            <w:right w:w="108" w:type="dxa"/>
          </w:tblCellMar>
        </w:tblPrEx>
        <w:trPr>
          <w:trHeight w:val="485" w:hRule="atLeast"/>
        </w:trPr>
        <w:tc>
          <w:tcPr>
            <w:tcW w:w="1251" w:type="dxa"/>
            <w:tcBorders>
              <w:top w:val="single" w:color="auto" w:sz="12" w:space="0"/>
              <w:bottom w:val="single" w:color="auto" w:sz="12" w:space="0"/>
              <w:right w:val="single" w:color="auto" w:sz="4" w:space="0"/>
            </w:tcBorders>
            <w:shd w:val="clear" w:color="auto" w:fill="auto"/>
            <w:noWrap/>
            <w:vAlign w:val="center"/>
          </w:tcPr>
          <w:p>
            <w:pPr>
              <w:keepNext w:val="0"/>
              <w:keepLines w:val="0"/>
              <w:pageBreakBefore w:val="0"/>
              <w:widowControl/>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rPr>
              <w:t>“奎-独-乌”区域</w:t>
            </w:r>
          </w:p>
        </w:tc>
        <w:tc>
          <w:tcPr>
            <w:tcW w:w="803"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803"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100%</w:t>
            </w:r>
          </w:p>
        </w:tc>
        <w:tc>
          <w:tcPr>
            <w:tcW w:w="68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64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55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-14.1%</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0</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8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-25.0%</w:t>
            </w:r>
          </w:p>
        </w:tc>
        <w:tc>
          <w:tcPr>
            <w:tcW w:w="602"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21 </w:t>
            </w:r>
          </w:p>
        </w:tc>
        <w:tc>
          <w:tcPr>
            <w:tcW w:w="575"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28 </w:t>
            </w:r>
          </w:p>
        </w:tc>
        <w:tc>
          <w:tcPr>
            <w:tcW w:w="803"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33.3%</w:t>
            </w:r>
          </w:p>
        </w:tc>
        <w:tc>
          <w:tcPr>
            <w:tcW w:w="66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1.0 </w:t>
            </w:r>
          </w:p>
        </w:tc>
        <w:tc>
          <w:tcPr>
            <w:tcW w:w="577"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0.8 </w:t>
            </w:r>
          </w:p>
        </w:tc>
        <w:tc>
          <w:tcPr>
            <w:tcW w:w="764"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-20.0%</w:t>
            </w:r>
          </w:p>
        </w:tc>
        <w:tc>
          <w:tcPr>
            <w:tcW w:w="70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69 </w:t>
            </w:r>
          </w:p>
        </w:tc>
        <w:tc>
          <w:tcPr>
            <w:tcW w:w="700" w:type="dxa"/>
            <w:tcBorders>
              <w:top w:val="single" w:color="auto" w:sz="12" w:space="0"/>
              <w:left w:val="nil"/>
              <w:bottom w:val="single" w:color="auto" w:sz="12" w:space="0"/>
              <w:right w:val="single" w:color="auto" w:sz="4"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 xml:space="preserve">68 </w:t>
            </w:r>
          </w:p>
        </w:tc>
        <w:tc>
          <w:tcPr>
            <w:tcW w:w="764" w:type="dxa"/>
            <w:tcBorders>
              <w:top w:val="single" w:color="auto" w:sz="12" w:space="0"/>
              <w:left w:val="nil"/>
              <w:bottom w:val="single" w:color="auto" w:sz="12" w:space="0"/>
            </w:tcBorders>
            <w:shd w:val="clear" w:color="auto" w:fill="auto"/>
            <w:noWrap/>
            <w:vAlign w:val="center"/>
          </w:tcPr>
          <w:p>
            <w:pPr>
              <w:keepNext w:val="0"/>
              <w:keepLines w:val="0"/>
              <w:pageBreakBefore w:val="0"/>
              <w:kinsoku/>
              <w:wordWrap/>
              <w:overflowPunct/>
              <w:topLinePunct w:val="0"/>
              <w:autoSpaceDE/>
              <w:autoSpaceDN/>
              <w:bidi w:val="0"/>
              <w:spacing w:line="360" w:lineRule="exact"/>
              <w:jc w:val="center"/>
              <w:textAlignment w:val="auto"/>
              <w:rPr>
                <w:rFonts w:hint="eastAsia" w:asciiTheme="minorEastAsia" w:hAnsiTheme="minorEastAsia" w:eastAsiaTheme="minorEastAsia" w:cstheme="minorEastAsia"/>
                <w:color w:val="000000"/>
                <w:sz w:val="18"/>
                <w:szCs w:val="18"/>
              </w:rPr>
            </w:pPr>
            <w:r>
              <w:rPr>
                <w:rFonts w:hint="eastAsia" w:asciiTheme="minorEastAsia" w:hAnsiTheme="minorEastAsia" w:eastAsiaTheme="minorEastAsia" w:cstheme="minorEastAsia"/>
                <w:color w:val="000000"/>
                <w:sz w:val="18"/>
                <w:szCs w:val="18"/>
              </w:rPr>
              <w:t>-1.4%</w:t>
            </w:r>
          </w:p>
        </w:tc>
      </w:tr>
    </w:tbl>
    <w:p>
      <w:pPr>
        <w:keepNext w:val="0"/>
        <w:keepLines w:val="0"/>
        <w:pageBreakBefore w:val="0"/>
        <w:kinsoku/>
        <w:wordWrap/>
        <w:overflowPunct/>
        <w:topLinePunct w:val="0"/>
        <w:autoSpaceDE/>
        <w:autoSpaceDN/>
        <w:bidi w:val="0"/>
        <w:spacing w:line="300" w:lineRule="exact"/>
        <w:textAlignment w:val="auto"/>
        <w:rPr>
          <w:rFonts w:hint="eastAsia" w:asciiTheme="minorEastAsia" w:hAnsiTheme="minorEastAsia" w:eastAsiaTheme="minorEastAsia" w:cstheme="minorEastAsia"/>
          <w:kern w:val="0"/>
          <w:sz w:val="18"/>
          <w:szCs w:val="18"/>
        </w:rPr>
        <w:sectPr>
          <w:pgSz w:w="16838" w:h="11906" w:orient="landscape"/>
          <w:pgMar w:top="1134" w:right="680" w:bottom="1134" w:left="680" w:header="851" w:footer="992" w:gutter="0"/>
          <w:cols w:space="425" w:num="1"/>
          <w:docGrid w:type="lines" w:linePitch="435" w:charSpace="0"/>
        </w:sectPr>
      </w:pP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二、排名情况</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（1）“乌-昌-石”区域</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乌-昌-石</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区域城市环境空气质量综合指数由低到高排名依次为</w:t>
      </w:r>
      <w:r>
        <w:rPr>
          <w:rFonts w:hint="eastAsia" w:ascii="仿宋_GB2312" w:hAnsi="仿宋_GB2312" w:eastAsia="仿宋_GB2312" w:cs="仿宋_GB2312"/>
          <w:kern w:val="0"/>
          <w:sz w:val="32"/>
          <w:szCs w:val="32"/>
        </w:rPr>
        <w:t>呼图壁县、沙湾县、玛纳斯县、阜康市、昌吉市、乌鲁木齐市、五家渠市、石河子市。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具体空气质量排名结果见表2。</w:t>
      </w:r>
    </w:p>
    <w:p>
      <w:pPr>
        <w:keepNext w:val="0"/>
        <w:keepLines w:val="0"/>
        <w:pageBreakBefore w:val="0"/>
        <w:kinsoku/>
        <w:wordWrap/>
        <w:overflowPunct/>
        <w:topLinePunct w:val="0"/>
        <w:autoSpaceDE/>
        <w:autoSpaceDN/>
        <w:bidi w:val="0"/>
        <w:spacing w:line="560" w:lineRule="exact"/>
        <w:ind w:firstLine="640" w:firstLineChars="200"/>
        <w:textAlignment w:val="auto"/>
        <w:rPr>
          <w:rFonts w:hint="eastAsia" w:ascii="楷体" w:hAnsi="楷体" w:eastAsia="楷体" w:cs="楷体"/>
          <w:kern w:val="0"/>
          <w:sz w:val="32"/>
          <w:szCs w:val="32"/>
        </w:rPr>
      </w:pPr>
      <w:r>
        <w:rPr>
          <w:rFonts w:hint="eastAsia" w:ascii="楷体" w:hAnsi="楷体" w:eastAsia="楷体" w:cs="楷体"/>
          <w:kern w:val="0"/>
          <w:sz w:val="32"/>
          <w:szCs w:val="32"/>
        </w:rPr>
        <w:t>（2）“奎-独-乌”区域</w:t>
      </w: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2019年10月</w:t>
      </w:r>
      <w:r>
        <w:rPr>
          <w:rFonts w:hint="eastAsia" w:ascii="仿宋_GB2312" w:hAnsi="仿宋_GB2312" w:eastAsia="仿宋_GB2312" w:cs="仿宋_GB2312"/>
          <w:kern w:val="0"/>
          <w:sz w:val="32"/>
          <w:szCs w:val="32"/>
        </w:rPr>
        <w:t>，“奎-独-乌”区域</w:t>
      </w:r>
      <w:r>
        <w:rPr>
          <w:rFonts w:hint="eastAsia" w:ascii="仿宋_GB2312" w:hAnsi="仿宋_GB2312" w:eastAsia="仿宋_GB2312" w:cs="仿宋_GB2312"/>
          <w:kern w:val="0"/>
          <w:sz w:val="32"/>
          <w:szCs w:val="32"/>
        </w:rPr>
        <w:t>城市环境空气质量综合指数由低到高排名依次为乌苏市</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独山子区</w:t>
      </w: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rPr>
        <w:t>奎屯市</w:t>
      </w:r>
      <w:r>
        <w:rPr>
          <w:rFonts w:hint="eastAsia" w:ascii="仿宋_GB2312" w:hAnsi="仿宋_GB2312" w:eastAsia="仿宋_GB2312" w:cs="仿宋_GB2312"/>
          <w:kern w:val="0"/>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left"/>
        <w:textAlignment w:val="auto"/>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具体空气质量排名结果见表3。</w:t>
      </w: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textAlignment w:val="auto"/>
        <w:rPr>
          <w:rFonts w:hint="eastAsia" w:ascii="仿宋_GB2312" w:hAnsi="仿宋_GB2312" w:eastAsia="仿宋_GB2312" w:cs="仿宋_GB2312"/>
          <w:b/>
          <w:sz w:val="32"/>
          <w:szCs w:val="32"/>
        </w:rPr>
      </w:pPr>
      <w:r>
        <w:rPr>
          <w:rFonts w:hint="eastAsia" w:ascii="方正小标宋简体" w:hAnsi="方正小标宋简体" w:eastAsia="方正小标宋简体" w:cs="方正小标宋简体"/>
          <w:b/>
          <w:sz w:val="32"/>
          <w:szCs w:val="32"/>
        </w:rPr>
        <w:t>表2    2019年10月“乌-昌-石”区域5市3县空气质量排名</w:t>
      </w:r>
    </w:p>
    <w:tbl>
      <w:tblPr>
        <w:tblStyle w:val="7"/>
        <w:tblpPr w:leftFromText="180" w:rightFromText="180" w:vertAnchor="text" w:horzAnchor="page" w:tblpX="1942" w:tblpY="764"/>
        <w:tblOverlap w:val="never"/>
        <w:tblW w:w="8768" w:type="dxa"/>
        <w:tblInd w:w="0" w:type="dxa"/>
        <w:tblLayout w:type="fixed"/>
        <w:tblCellMar>
          <w:top w:w="0" w:type="dxa"/>
          <w:left w:w="108" w:type="dxa"/>
          <w:bottom w:w="0" w:type="dxa"/>
          <w:right w:w="108" w:type="dxa"/>
        </w:tblCellMar>
      </w:tblPr>
      <w:tblGrid>
        <w:gridCol w:w="567"/>
        <w:gridCol w:w="709"/>
        <w:gridCol w:w="3704"/>
        <w:gridCol w:w="3788"/>
      </w:tblGrid>
      <w:tr>
        <w:tblPrEx>
          <w:tblCellMar>
            <w:top w:w="0" w:type="dxa"/>
            <w:left w:w="108" w:type="dxa"/>
            <w:bottom w:w="0" w:type="dxa"/>
            <w:right w:w="108" w:type="dxa"/>
          </w:tblCellMar>
        </w:tblPrEx>
        <w:trPr>
          <w:trHeight w:val="315" w:hRule="atLeast"/>
        </w:trPr>
        <w:tc>
          <w:tcPr>
            <w:tcW w:w="567" w:type="dxa"/>
            <w:vMerge w:val="restart"/>
            <w:tcBorders>
              <w:top w:val="single" w:color="auto" w:sz="12" w:space="0"/>
              <w:left w:val="nil"/>
              <w:bottom w:val="single" w:color="000000" w:sz="12"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排名</w:t>
            </w:r>
          </w:p>
        </w:tc>
        <w:tc>
          <w:tcPr>
            <w:tcW w:w="8201" w:type="dxa"/>
            <w:gridSpan w:val="3"/>
            <w:tcBorders>
              <w:top w:val="single" w:color="auto" w:sz="12" w:space="0"/>
              <w:left w:val="nil"/>
              <w:bottom w:val="single" w:color="auto" w:sz="8"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环境空气质量综合指数</w:t>
            </w:r>
          </w:p>
        </w:tc>
      </w:tr>
      <w:tr>
        <w:tblPrEx>
          <w:tblCellMar>
            <w:top w:w="0" w:type="dxa"/>
            <w:left w:w="108" w:type="dxa"/>
            <w:bottom w:w="0" w:type="dxa"/>
            <w:right w:w="108" w:type="dxa"/>
          </w:tblCellMar>
        </w:tblPrEx>
        <w:trPr>
          <w:wAfter w:w="0" w:type="auto"/>
          <w:trHeight w:val="443" w:hRule="atLeast"/>
        </w:trPr>
        <w:tc>
          <w:tcPr>
            <w:tcW w:w="567" w:type="dxa"/>
            <w:vMerge w:val="continue"/>
            <w:tcBorders>
              <w:top w:val="single" w:color="auto" w:sz="12" w:space="0"/>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b/>
                <w:bCs/>
                <w:kern w:val="0"/>
                <w:sz w:val="21"/>
                <w:szCs w:val="21"/>
              </w:rPr>
            </w:pPr>
          </w:p>
        </w:tc>
        <w:tc>
          <w:tcPr>
            <w:tcW w:w="4413" w:type="dxa"/>
            <w:gridSpan w:val="2"/>
            <w:tcBorders>
              <w:top w:val="single" w:color="auto" w:sz="8" w:space="0"/>
              <w:left w:val="single" w:color="auto" w:sz="8" w:space="0"/>
              <w:bottom w:val="single" w:color="000000" w:sz="12" w:space="0"/>
              <w:right w:val="single" w:color="000000"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城市</w:t>
            </w:r>
          </w:p>
        </w:tc>
        <w:tc>
          <w:tcPr>
            <w:tcW w:w="3788" w:type="dxa"/>
            <w:tcBorders>
              <w:top w:val="nil"/>
              <w:left w:val="single" w:color="000000" w:sz="8" w:space="0"/>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bCs/>
                <w:kern w:val="0"/>
                <w:sz w:val="21"/>
                <w:szCs w:val="21"/>
              </w:rPr>
            </w:pPr>
            <w:r>
              <w:rPr>
                <w:rFonts w:hint="eastAsia" w:asciiTheme="minorEastAsia" w:hAnsiTheme="minorEastAsia" w:eastAsiaTheme="minorEastAsia" w:cstheme="minorEastAsia"/>
                <w:b/>
                <w:bCs/>
                <w:kern w:val="0"/>
                <w:sz w:val="21"/>
                <w:szCs w:val="21"/>
              </w:rPr>
              <w:t>综合指数</w:t>
            </w:r>
          </w:p>
        </w:tc>
      </w:tr>
      <w:tr>
        <w:tblPrEx>
          <w:tblCellMar>
            <w:top w:w="0" w:type="dxa"/>
            <w:left w:w="108" w:type="dxa"/>
            <w:bottom w:w="0" w:type="dxa"/>
            <w:right w:w="108" w:type="dxa"/>
          </w:tblCellMar>
        </w:tblPrEx>
        <w:trPr>
          <w:wAfter w:w="0" w:type="auto"/>
          <w:trHeight w:val="315" w:hRule="atLeast"/>
        </w:trPr>
        <w:tc>
          <w:tcPr>
            <w:tcW w:w="567"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1</w:t>
            </w:r>
          </w:p>
        </w:tc>
        <w:tc>
          <w:tcPr>
            <w:tcW w:w="4413" w:type="dxa"/>
            <w:gridSpan w:val="2"/>
            <w:tcBorders>
              <w:top w:val="single" w:color="000000" w:sz="12" w:space="0"/>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呼图壁县</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2.58</w:t>
            </w:r>
          </w:p>
        </w:tc>
      </w:tr>
      <w:tr>
        <w:tblPrEx>
          <w:tblCellMar>
            <w:top w:w="0" w:type="dxa"/>
            <w:left w:w="108" w:type="dxa"/>
            <w:bottom w:w="0" w:type="dxa"/>
            <w:right w:w="108" w:type="dxa"/>
          </w:tblCellMar>
        </w:tblPrEx>
        <w:trPr>
          <w:wAfter w:w="0" w:type="auto"/>
          <w:trHeight w:val="300" w:hRule="atLeast"/>
        </w:trPr>
        <w:tc>
          <w:tcPr>
            <w:tcW w:w="567"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2</w:t>
            </w:r>
          </w:p>
        </w:tc>
        <w:tc>
          <w:tcPr>
            <w:tcW w:w="4413" w:type="dxa"/>
            <w:gridSpan w:val="2"/>
            <w:tcBorders>
              <w:top w:val="single" w:color="auto" w:sz="8" w:space="0"/>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沙湾县</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2.80</w:t>
            </w:r>
          </w:p>
        </w:tc>
      </w:tr>
      <w:tr>
        <w:tblPrEx>
          <w:tblCellMar>
            <w:top w:w="0" w:type="dxa"/>
            <w:left w:w="108" w:type="dxa"/>
            <w:bottom w:w="0" w:type="dxa"/>
            <w:right w:w="108" w:type="dxa"/>
          </w:tblCellMar>
        </w:tblPrEx>
        <w:trPr>
          <w:wAfter w:w="0" w:type="auto"/>
          <w:trHeight w:val="300" w:hRule="atLeast"/>
        </w:trPr>
        <w:tc>
          <w:tcPr>
            <w:tcW w:w="567"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3</w:t>
            </w:r>
          </w:p>
        </w:tc>
        <w:tc>
          <w:tcPr>
            <w:tcW w:w="4413" w:type="dxa"/>
            <w:gridSpan w:val="2"/>
            <w:tcBorders>
              <w:top w:val="single" w:color="auto" w:sz="8" w:space="0"/>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玛纳斯县</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3.19</w:t>
            </w:r>
          </w:p>
        </w:tc>
      </w:tr>
      <w:tr>
        <w:tblPrEx>
          <w:tblCellMar>
            <w:top w:w="0" w:type="dxa"/>
            <w:left w:w="108" w:type="dxa"/>
            <w:bottom w:w="0" w:type="dxa"/>
            <w:right w:w="108" w:type="dxa"/>
          </w:tblCellMar>
        </w:tblPrEx>
        <w:trPr>
          <w:wAfter w:w="0" w:type="auto"/>
          <w:trHeight w:val="585" w:hRule="atLeast"/>
        </w:trPr>
        <w:tc>
          <w:tcPr>
            <w:tcW w:w="567"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4</w:t>
            </w:r>
          </w:p>
        </w:tc>
        <w:tc>
          <w:tcPr>
            <w:tcW w:w="4413" w:type="dxa"/>
            <w:gridSpan w:val="2"/>
            <w:tcBorders>
              <w:top w:val="single" w:color="auto" w:sz="8" w:space="0"/>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阜康市</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3.32</w:t>
            </w:r>
          </w:p>
        </w:tc>
      </w:tr>
      <w:tr>
        <w:tblPrEx>
          <w:tblCellMar>
            <w:top w:w="0" w:type="dxa"/>
            <w:left w:w="108" w:type="dxa"/>
            <w:bottom w:w="0" w:type="dxa"/>
            <w:right w:w="108" w:type="dxa"/>
          </w:tblCellMar>
        </w:tblPrEx>
        <w:trPr>
          <w:wAfter w:w="0" w:type="auto"/>
          <w:trHeight w:val="315" w:hRule="atLeast"/>
        </w:trPr>
        <w:tc>
          <w:tcPr>
            <w:tcW w:w="567" w:type="dxa"/>
            <w:vMerge w:val="restart"/>
            <w:tcBorders>
              <w:top w:val="nil"/>
              <w:left w:val="nil"/>
              <w:bottom w:val="single" w:color="000000"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5</w:t>
            </w:r>
          </w:p>
        </w:tc>
        <w:tc>
          <w:tcPr>
            <w:tcW w:w="4413" w:type="dxa"/>
            <w:gridSpan w:val="2"/>
            <w:tcBorders>
              <w:top w:val="nil"/>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昌吉市</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3.77</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restart"/>
            <w:tcBorders>
              <w:top w:val="nil"/>
              <w:left w:val="single" w:color="auto" w:sz="8" w:space="0"/>
              <w:bottom w:val="single" w:color="000000"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站点</w:t>
            </w: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新区政务中心</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3.36</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州监测站</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4.18</w:t>
            </w:r>
          </w:p>
        </w:tc>
      </w:tr>
      <w:tr>
        <w:tblPrEx>
          <w:tblCellMar>
            <w:top w:w="0" w:type="dxa"/>
            <w:left w:w="108" w:type="dxa"/>
            <w:bottom w:w="0" w:type="dxa"/>
            <w:right w:w="108" w:type="dxa"/>
          </w:tblCellMar>
        </w:tblPrEx>
        <w:trPr>
          <w:wAfter w:w="0" w:type="auto"/>
          <w:trHeight w:val="300" w:hRule="atLeast"/>
        </w:trPr>
        <w:tc>
          <w:tcPr>
            <w:tcW w:w="567" w:type="dxa"/>
            <w:vMerge w:val="restart"/>
            <w:tcBorders>
              <w:top w:val="nil"/>
              <w:left w:val="nil"/>
              <w:bottom w:val="single" w:color="000000"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6</w:t>
            </w:r>
          </w:p>
        </w:tc>
        <w:tc>
          <w:tcPr>
            <w:tcW w:w="4413" w:type="dxa"/>
            <w:gridSpan w:val="2"/>
            <w:tcBorders>
              <w:top w:val="single" w:color="auto" w:sz="8" w:space="0"/>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乌鲁木齐市</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4.02</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restart"/>
            <w:tcBorders>
              <w:top w:val="nil"/>
              <w:left w:val="single" w:color="auto" w:sz="8" w:space="0"/>
              <w:bottom w:val="single" w:color="000000"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站点</w:t>
            </w: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培训基地</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2.06</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三十一中学</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3.98</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监测站</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4.37</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米东区环保局</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4.54</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铁路局</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4.73</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收费所</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4.77</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8"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新疆农科院农场</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5.47</w:t>
            </w:r>
          </w:p>
        </w:tc>
      </w:tr>
      <w:tr>
        <w:tblPrEx>
          <w:tblCellMar>
            <w:top w:w="0" w:type="dxa"/>
            <w:left w:w="108" w:type="dxa"/>
            <w:bottom w:w="0" w:type="dxa"/>
            <w:right w:w="108" w:type="dxa"/>
          </w:tblCellMar>
        </w:tblPrEx>
        <w:trPr>
          <w:wAfter w:w="0" w:type="auto"/>
          <w:trHeight w:val="300" w:hRule="atLeast"/>
        </w:trPr>
        <w:tc>
          <w:tcPr>
            <w:tcW w:w="567"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7</w:t>
            </w:r>
          </w:p>
        </w:tc>
        <w:tc>
          <w:tcPr>
            <w:tcW w:w="4413" w:type="dxa"/>
            <w:gridSpan w:val="2"/>
            <w:tcBorders>
              <w:top w:val="single" w:color="auto" w:sz="8" w:space="0"/>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五家渠市</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4.07</w:t>
            </w:r>
          </w:p>
        </w:tc>
      </w:tr>
      <w:tr>
        <w:tblPrEx>
          <w:tblCellMar>
            <w:top w:w="0" w:type="dxa"/>
            <w:left w:w="108" w:type="dxa"/>
            <w:bottom w:w="0" w:type="dxa"/>
            <w:right w:w="108" w:type="dxa"/>
          </w:tblCellMar>
        </w:tblPrEx>
        <w:trPr>
          <w:wAfter w:w="0" w:type="auto"/>
          <w:trHeight w:val="347" w:hRule="atLeast"/>
        </w:trPr>
        <w:tc>
          <w:tcPr>
            <w:tcW w:w="567" w:type="dxa"/>
            <w:vMerge w:val="restart"/>
            <w:tcBorders>
              <w:top w:val="nil"/>
              <w:left w:val="nil"/>
              <w:bottom w:val="single" w:color="000000" w:sz="12"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8</w:t>
            </w:r>
          </w:p>
        </w:tc>
        <w:tc>
          <w:tcPr>
            <w:tcW w:w="4413" w:type="dxa"/>
            <w:gridSpan w:val="2"/>
            <w:tcBorders>
              <w:top w:val="nil"/>
              <w:left w:val="nil"/>
              <w:bottom w:val="single" w:color="auto" w:sz="8" w:space="0"/>
              <w:right w:val="single" w:color="000000"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石河子市</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4.09</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restart"/>
            <w:tcBorders>
              <w:top w:val="nil"/>
              <w:left w:val="single" w:color="auto" w:sz="8" w:space="0"/>
              <w:bottom w:val="single" w:color="000000" w:sz="12"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kern w:val="0"/>
                <w:sz w:val="21"/>
                <w:szCs w:val="21"/>
              </w:rPr>
            </w:pPr>
            <w:r>
              <w:rPr>
                <w:rFonts w:hint="eastAsia" w:asciiTheme="minorEastAsia" w:hAnsiTheme="minorEastAsia" w:eastAsiaTheme="minorEastAsia" w:cstheme="minorEastAsia"/>
                <w:color w:val="000000"/>
                <w:kern w:val="0"/>
                <w:sz w:val="21"/>
                <w:szCs w:val="21"/>
              </w:rPr>
              <w:t>站点</w:t>
            </w:r>
          </w:p>
        </w:tc>
        <w:tc>
          <w:tcPr>
            <w:tcW w:w="3704"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艾青诗歌馆</w:t>
            </w:r>
          </w:p>
        </w:tc>
        <w:tc>
          <w:tcPr>
            <w:tcW w:w="3788" w:type="dxa"/>
            <w:tcBorders>
              <w:top w:val="nil"/>
              <w:left w:val="nil"/>
              <w:bottom w:val="single" w:color="auto" w:sz="8"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4.01</w:t>
            </w:r>
          </w:p>
        </w:tc>
      </w:tr>
      <w:tr>
        <w:tblPrEx>
          <w:tblCellMar>
            <w:top w:w="0" w:type="dxa"/>
            <w:left w:w="108" w:type="dxa"/>
            <w:bottom w:w="0" w:type="dxa"/>
            <w:right w:w="108" w:type="dxa"/>
          </w:tblCellMar>
        </w:tblPrEx>
        <w:trPr>
          <w:wAfter w:w="0" w:type="auto"/>
          <w:trHeight w:val="300" w:hRule="atLeast"/>
        </w:trPr>
        <w:tc>
          <w:tcPr>
            <w:tcW w:w="567" w:type="dxa"/>
            <w:vMerge w:val="continue"/>
            <w:tcBorders>
              <w:top w:val="nil"/>
              <w:left w:val="nil"/>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709" w:type="dxa"/>
            <w:vMerge w:val="continue"/>
            <w:tcBorders>
              <w:top w:val="nil"/>
              <w:left w:val="single" w:color="auto" w:sz="8" w:space="0"/>
              <w:bottom w:val="single" w:color="000000" w:sz="12" w:space="0"/>
              <w:right w:val="single" w:color="auto" w:sz="8"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color w:val="000000"/>
                <w:kern w:val="0"/>
                <w:sz w:val="21"/>
                <w:szCs w:val="21"/>
              </w:rPr>
            </w:pPr>
          </w:p>
        </w:tc>
        <w:tc>
          <w:tcPr>
            <w:tcW w:w="3704" w:type="dxa"/>
            <w:tcBorders>
              <w:top w:val="nil"/>
              <w:left w:val="nil"/>
              <w:bottom w:val="single" w:color="auto" w:sz="12"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阳光学校</w:t>
            </w:r>
          </w:p>
        </w:tc>
        <w:tc>
          <w:tcPr>
            <w:tcW w:w="3788" w:type="dxa"/>
            <w:tcBorders>
              <w:top w:val="nil"/>
              <w:left w:val="nil"/>
              <w:bottom w:val="single" w:color="auto" w:sz="12" w:space="0"/>
              <w:right w:val="single" w:color="auto" w:sz="8"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kern w:val="0"/>
                <w:sz w:val="21"/>
                <w:szCs w:val="21"/>
              </w:rPr>
            </w:pPr>
            <w:r>
              <w:rPr>
                <w:rFonts w:hint="eastAsia" w:asciiTheme="minorEastAsia" w:hAnsiTheme="minorEastAsia" w:eastAsiaTheme="minorEastAsia" w:cstheme="minorEastAsia"/>
                <w:kern w:val="0"/>
                <w:sz w:val="21"/>
                <w:szCs w:val="21"/>
              </w:rPr>
              <w:t>4.25</w:t>
            </w:r>
          </w:p>
        </w:tc>
      </w:tr>
    </w:tbl>
    <w:p>
      <w:pPr>
        <w:keepNext w:val="0"/>
        <w:keepLines w:val="0"/>
        <w:pageBreakBefore w:val="0"/>
        <w:kinsoku/>
        <w:wordWrap/>
        <w:overflowPunct/>
        <w:topLinePunct w:val="0"/>
        <w:autoSpaceDE/>
        <w:autoSpaceDN/>
        <w:bidi w:val="0"/>
        <w:spacing w:line="560" w:lineRule="exact"/>
        <w:jc w:val="center"/>
        <w:textAlignment w:val="auto"/>
        <w:rPr>
          <w:rFonts w:hint="eastAsia" w:ascii="仿宋_GB2312" w:hAnsi="仿宋_GB2312" w:eastAsia="仿宋_GB2312" w:cs="仿宋_GB2312"/>
          <w:b/>
          <w:sz w:val="32"/>
          <w:szCs w:val="32"/>
        </w:rPr>
      </w:pPr>
    </w:p>
    <w:p>
      <w:pPr>
        <w:keepNext w:val="0"/>
        <w:keepLines w:val="0"/>
        <w:pageBreakBefore w:val="0"/>
        <w:kinsoku/>
        <w:wordWrap/>
        <w:overflowPunct/>
        <w:topLinePunct w:val="0"/>
        <w:autoSpaceDE/>
        <w:autoSpaceDN/>
        <w:bidi w:val="0"/>
        <w:spacing w:line="560" w:lineRule="exact"/>
        <w:jc w:val="center"/>
        <w:textAlignment w:val="auto"/>
        <w:rPr>
          <w:rFonts w:hint="eastAsia" w:ascii="方正小标宋简体" w:hAnsi="方正小标宋简体" w:eastAsia="方正小标宋简体" w:cs="方正小标宋简体"/>
          <w:b/>
          <w:sz w:val="32"/>
          <w:szCs w:val="32"/>
        </w:rPr>
      </w:pPr>
      <w:r>
        <w:rPr>
          <w:rFonts w:hint="eastAsia" w:ascii="方正小标宋简体" w:hAnsi="方正小标宋简体" w:eastAsia="方正小标宋简体" w:cs="方正小标宋简体"/>
          <w:b/>
          <w:sz w:val="32"/>
          <w:szCs w:val="32"/>
        </w:rPr>
        <w:t>表3  2019年10月“奎-独-乌”区域城市空气质量排名</w:t>
      </w:r>
    </w:p>
    <w:tbl>
      <w:tblPr>
        <w:tblStyle w:val="7"/>
        <w:tblpPr w:leftFromText="180" w:rightFromText="180" w:vertAnchor="text" w:horzAnchor="page" w:tblpX="1892" w:tblpY="829"/>
        <w:tblW w:w="4856" w:type="pct"/>
        <w:tblInd w:w="0" w:type="dxa"/>
        <w:tblBorders>
          <w:top w:val="single" w:color="auto" w:sz="4" w:space="0"/>
          <w:left w:val="none" w:color="auto" w:sz="0" w:space="0"/>
          <w:bottom w:val="single" w:color="auto" w:sz="4" w:space="0"/>
          <w:right w:val="none" w:color="auto" w:sz="0" w:space="0"/>
          <w:insideH w:val="single" w:color="auto" w:sz="4" w:space="0"/>
          <w:insideV w:val="single" w:color="auto" w:sz="4" w:space="0"/>
        </w:tblBorders>
        <w:tblLayout w:type="autofit"/>
        <w:tblCellMar>
          <w:top w:w="0" w:type="dxa"/>
          <w:left w:w="108" w:type="dxa"/>
          <w:bottom w:w="0" w:type="dxa"/>
          <w:right w:w="108" w:type="dxa"/>
        </w:tblCellMar>
      </w:tblPr>
      <w:tblGrid>
        <w:gridCol w:w="1009"/>
        <w:gridCol w:w="4263"/>
        <w:gridCol w:w="3527"/>
      </w:tblGrid>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04" w:hRule="atLeast"/>
        </w:trPr>
        <w:tc>
          <w:tcPr>
            <w:tcW w:w="573" w:type="pct"/>
            <w:vMerge w:val="restart"/>
            <w:tcBorders>
              <w:top w:val="single" w:color="auto" w:sz="12" w:space="0"/>
              <w:left w:val="nil"/>
              <w:bottom w:val="single" w:color="auto" w:sz="12" w:space="0"/>
              <w:right w:val="single" w:color="auto" w:sz="4" w:space="0"/>
            </w:tcBorders>
            <w:noWrap/>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排名</w:t>
            </w:r>
          </w:p>
        </w:tc>
        <w:tc>
          <w:tcPr>
            <w:tcW w:w="4426" w:type="pct"/>
            <w:gridSpan w:val="2"/>
            <w:tcBorders>
              <w:top w:val="single" w:color="auto" w:sz="12"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环境空气质量综合指数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224" w:hRule="atLeast"/>
        </w:trPr>
        <w:tc>
          <w:tcPr>
            <w:tcW w:w="573" w:type="pct"/>
            <w:vMerge w:val="continue"/>
            <w:tcBorders>
              <w:top w:val="single" w:color="auto" w:sz="12" w:space="0"/>
              <w:left w:val="nil"/>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left"/>
              <w:textAlignment w:val="auto"/>
              <w:rPr>
                <w:rFonts w:hint="eastAsia" w:asciiTheme="minorEastAsia" w:hAnsiTheme="minorEastAsia" w:eastAsiaTheme="minorEastAsia" w:cstheme="minorEastAsia"/>
                <w:b/>
                <w:kern w:val="0"/>
                <w:sz w:val="21"/>
                <w:szCs w:val="21"/>
              </w:rPr>
            </w:pPr>
          </w:p>
        </w:tc>
        <w:tc>
          <w:tcPr>
            <w:tcW w:w="2422"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城市</w:t>
            </w:r>
          </w:p>
        </w:tc>
        <w:tc>
          <w:tcPr>
            <w:tcW w:w="2003" w:type="pct"/>
            <w:tcBorders>
              <w:top w:val="single" w:color="auto" w:sz="4" w:space="0"/>
              <w:left w:val="single" w:color="auto" w:sz="4" w:space="0"/>
              <w:bottom w:val="single" w:color="auto" w:sz="12"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b/>
                <w:kern w:val="0"/>
                <w:sz w:val="21"/>
                <w:szCs w:val="21"/>
              </w:rPr>
            </w:pPr>
            <w:r>
              <w:rPr>
                <w:rFonts w:hint="eastAsia" w:asciiTheme="minorEastAsia" w:hAnsiTheme="minorEastAsia" w:eastAsiaTheme="minorEastAsia" w:cstheme="minorEastAsia"/>
                <w:b/>
                <w:kern w:val="0"/>
                <w:sz w:val="21"/>
                <w:szCs w:val="21"/>
              </w:rPr>
              <w:t>综合指数</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73" w:type="pct"/>
            <w:tcBorders>
              <w:top w:val="single" w:color="auto" w:sz="12"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1</w:t>
            </w:r>
          </w:p>
        </w:tc>
        <w:tc>
          <w:tcPr>
            <w:tcW w:w="2422" w:type="pct"/>
            <w:tcBorders>
              <w:top w:val="single" w:color="auto" w:sz="12"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乌苏市</w:t>
            </w:r>
          </w:p>
        </w:tc>
        <w:tc>
          <w:tcPr>
            <w:tcW w:w="2003" w:type="pct"/>
            <w:tcBorders>
              <w:top w:val="single" w:color="auto" w:sz="12"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2.68</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73" w:type="pct"/>
            <w:tcBorders>
              <w:top w:val="single" w:color="auto" w:sz="4" w:space="0"/>
              <w:left w:val="nil"/>
              <w:bottom w:val="single" w:color="auto" w:sz="4"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2</w:t>
            </w:r>
          </w:p>
        </w:tc>
        <w:tc>
          <w:tcPr>
            <w:tcW w:w="2422" w:type="pct"/>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独山子区</w:t>
            </w:r>
          </w:p>
        </w:tc>
        <w:tc>
          <w:tcPr>
            <w:tcW w:w="2003" w:type="pct"/>
            <w:tcBorders>
              <w:top w:val="single" w:color="auto" w:sz="4" w:space="0"/>
              <w:left w:val="single" w:color="auto" w:sz="4" w:space="0"/>
              <w:bottom w:val="single" w:color="auto" w:sz="4" w:space="0"/>
              <w:right w:val="single" w:color="auto" w:sz="4"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3.04</w:t>
            </w:r>
          </w:p>
        </w:tc>
      </w:tr>
      <w:tr>
        <w:tblPrEx>
          <w:tblBorders>
            <w:top w:val="single" w:color="auto" w:sz="4"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8" w:hRule="atLeast"/>
        </w:trPr>
        <w:tc>
          <w:tcPr>
            <w:tcW w:w="573" w:type="pct"/>
            <w:tcBorders>
              <w:top w:val="single" w:color="auto" w:sz="4" w:space="0"/>
              <w:left w:val="nil"/>
              <w:bottom w:val="single" w:color="auto" w:sz="12" w:space="0"/>
              <w:right w:val="single" w:color="auto" w:sz="4" w:space="0"/>
            </w:tcBorders>
            <w:noWrap/>
            <w:vAlign w:val="center"/>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w:t>
            </w:r>
          </w:p>
        </w:tc>
        <w:tc>
          <w:tcPr>
            <w:tcW w:w="2422" w:type="pct"/>
            <w:tcBorders>
              <w:top w:val="single" w:color="auto" w:sz="4" w:space="0"/>
              <w:left w:val="single" w:color="auto" w:sz="4" w:space="0"/>
              <w:bottom w:val="single" w:color="auto" w:sz="12" w:space="0"/>
              <w:right w:val="single" w:color="auto" w:sz="4"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奎屯市</w:t>
            </w:r>
          </w:p>
        </w:tc>
        <w:tc>
          <w:tcPr>
            <w:tcW w:w="2003" w:type="pct"/>
            <w:tcBorders>
              <w:top w:val="single" w:color="auto" w:sz="4" w:space="0"/>
              <w:left w:val="single" w:color="auto" w:sz="4" w:space="0"/>
              <w:bottom w:val="single" w:color="auto" w:sz="12" w:space="0"/>
              <w:right w:val="single" w:color="auto" w:sz="4" w:space="0"/>
            </w:tcBorders>
            <w:vAlign w:val="bottom"/>
          </w:tcPr>
          <w:p>
            <w:pPr>
              <w:keepNext w:val="0"/>
              <w:keepLines w:val="0"/>
              <w:pageBreakBefore w:val="0"/>
              <w:kinsoku/>
              <w:wordWrap/>
              <w:overflowPunct/>
              <w:topLinePunct w:val="0"/>
              <w:autoSpaceDE/>
              <w:autoSpaceDN/>
              <w:bidi w:val="0"/>
              <w:adjustRightInd/>
              <w:snapToGrid/>
              <w:spacing w:line="320" w:lineRule="exact"/>
              <w:jc w:val="center"/>
              <w:textAlignment w:val="auto"/>
              <w:rPr>
                <w:rFonts w:hint="eastAsia" w:asciiTheme="minorEastAsia" w:hAnsiTheme="minorEastAsia" w:eastAsiaTheme="minorEastAsia" w:cstheme="minorEastAsia"/>
                <w:color w:val="000000"/>
                <w:sz w:val="21"/>
                <w:szCs w:val="21"/>
              </w:rPr>
            </w:pPr>
            <w:r>
              <w:rPr>
                <w:rFonts w:hint="eastAsia" w:asciiTheme="minorEastAsia" w:hAnsiTheme="minorEastAsia" w:eastAsiaTheme="minorEastAsia" w:cstheme="minorEastAsia"/>
                <w:color w:val="000000"/>
                <w:sz w:val="21"/>
                <w:szCs w:val="21"/>
              </w:rPr>
              <w:t>3.55</w:t>
            </w:r>
          </w:p>
        </w:tc>
      </w:tr>
    </w:tbl>
    <w:p>
      <w:pPr>
        <w:keepNext w:val="0"/>
        <w:keepLines w:val="0"/>
        <w:pageBreakBefore w:val="0"/>
        <w:kinsoku/>
        <w:wordWrap/>
        <w:overflowPunct/>
        <w:topLinePunct w:val="0"/>
        <w:autoSpaceDE/>
        <w:autoSpaceDN/>
        <w:bidi w:val="0"/>
        <w:spacing w:line="560" w:lineRule="exact"/>
        <w:jc w:val="left"/>
        <w:textAlignment w:val="auto"/>
        <w:rPr>
          <w:rFonts w:hint="eastAsia" w:ascii="仿宋_GB2312" w:hAnsi="仿宋_GB2312" w:eastAsia="仿宋_GB2312" w:cs="仿宋_GB2312"/>
          <w:sz w:val="32"/>
          <w:szCs w:val="32"/>
        </w:rPr>
      </w:pPr>
    </w:p>
    <w:p>
      <w:pPr>
        <w:keepNext w:val="0"/>
        <w:keepLines w:val="0"/>
        <w:pageBreakBefore w:val="0"/>
        <w:kinsoku/>
        <w:wordWrap/>
        <w:overflowPunct/>
        <w:topLinePunct w:val="0"/>
        <w:autoSpaceDE/>
        <w:autoSpaceDN/>
        <w:bidi w:val="0"/>
        <w:spacing w:line="560" w:lineRule="exact"/>
        <w:ind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备注：</w:t>
      </w:r>
      <w:r>
        <w:rPr>
          <w:rFonts w:hint="eastAsia" w:ascii="仿宋_GB2312" w:hAnsi="仿宋_GB2312" w:eastAsia="仿宋_GB2312" w:cs="仿宋_GB2312"/>
          <w:sz w:val="32"/>
          <w:szCs w:val="32"/>
        </w:rPr>
        <w:t>1.环境空气质量综合指数越低，空气质量越好。</w:t>
      </w:r>
    </w:p>
    <w:p>
      <w:pPr>
        <w:keepNext w:val="0"/>
        <w:keepLines w:val="0"/>
        <w:pageBreakBefore w:val="0"/>
        <w:kinsoku/>
        <w:wordWrap/>
        <w:overflowPunct/>
        <w:topLinePunct w:val="0"/>
        <w:autoSpaceDE/>
        <w:autoSpaceDN/>
        <w:bidi w:val="0"/>
        <w:spacing w:line="560" w:lineRule="exact"/>
        <w:ind w:left="1596" w:leftChars="76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2.综合指数同比变化率是指环境空气质量综合指数与去年同期对比的变幅。</w:t>
      </w:r>
    </w:p>
    <w:p>
      <w:pPr>
        <w:keepNext w:val="0"/>
        <w:keepLines w:val="0"/>
        <w:pageBreakBefore w:val="0"/>
        <w:kinsoku/>
        <w:wordWrap/>
        <w:overflowPunct/>
        <w:topLinePunct w:val="0"/>
        <w:autoSpaceDE/>
        <w:autoSpaceDN/>
        <w:bidi w:val="0"/>
        <w:spacing w:line="560" w:lineRule="exact"/>
        <w:ind w:firstLine="1600" w:firstLineChars="5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3.综合指数同比变化率＞0表示空气质量同比恶化</w:t>
      </w:r>
    </w:p>
    <w:p>
      <w:pPr>
        <w:keepNext w:val="0"/>
        <w:keepLines w:val="0"/>
        <w:pageBreakBefore w:val="0"/>
        <w:kinsoku/>
        <w:wordWrap/>
        <w:overflowPunct/>
        <w:topLinePunct w:val="0"/>
        <w:autoSpaceDE/>
        <w:autoSpaceDN/>
        <w:bidi w:val="0"/>
        <w:spacing w:line="560" w:lineRule="exact"/>
        <w:ind w:firstLine="1920" w:firstLineChars="6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综合指数同比变化率＝0表示空气质量同比持平</w:t>
      </w:r>
    </w:p>
    <w:p>
      <w:pPr>
        <w:keepNext w:val="0"/>
        <w:keepLines w:val="0"/>
        <w:pageBreakBefore w:val="0"/>
        <w:kinsoku/>
        <w:wordWrap/>
        <w:overflowPunct/>
        <w:topLinePunct w:val="0"/>
        <w:autoSpaceDE/>
        <w:autoSpaceDN/>
        <w:bidi w:val="0"/>
        <w:spacing w:line="560" w:lineRule="exact"/>
        <w:ind w:firstLine="1920" w:firstLineChars="600"/>
        <w:jc w:val="left"/>
        <w:textAlignment w:val="auto"/>
        <w:rPr>
          <w:rFonts w:hint="eastAsia" w:ascii="仿宋_GB2312" w:hAnsi="仿宋_GB2312" w:eastAsia="仿宋_GB2312" w:cs="仿宋_GB2312"/>
          <w:sz w:val="32"/>
          <w:szCs w:val="32"/>
        </w:rPr>
      </w:pPr>
      <w:bookmarkStart w:id="0" w:name="_GoBack"/>
      <w:bookmarkEnd w:id="0"/>
      <w:r>
        <w:rPr>
          <w:rFonts w:hint="eastAsia" w:ascii="仿宋_GB2312" w:hAnsi="仿宋_GB2312" w:eastAsia="仿宋_GB2312" w:cs="仿宋_GB2312"/>
          <w:sz w:val="32"/>
          <w:szCs w:val="32"/>
        </w:rPr>
        <w:t>综合指数同比变化率＜0表示空气质量同比改善。</w:t>
      </w:r>
    </w:p>
    <w:p>
      <w:pPr>
        <w:spacing w:line="540" w:lineRule="exact"/>
        <w:ind w:firstLine="640" w:firstLineChars="200"/>
        <w:rPr>
          <w:rFonts w:ascii="仿宋" w:hAnsi="仿宋" w:eastAsia="仿宋" w:cs="Times New Roman"/>
          <w:kern w:val="0"/>
          <w:sz w:val="32"/>
          <w:szCs w:val="32"/>
        </w:rPr>
      </w:pPr>
    </w:p>
    <w:sectPr>
      <w:pgSz w:w="11906" w:h="16838"/>
      <w:pgMar w:top="1985" w:right="1531" w:bottom="1985" w:left="1531" w:header="851" w:footer="992" w:gutter="0"/>
      <w:cols w:space="425"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HorizontalSpacing w:val="105"/>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80D48"/>
    <w:rsid w:val="000028E8"/>
    <w:rsid w:val="00017A4A"/>
    <w:rsid w:val="00027DC7"/>
    <w:rsid w:val="00030224"/>
    <w:rsid w:val="000377CC"/>
    <w:rsid w:val="00041283"/>
    <w:rsid w:val="00047D45"/>
    <w:rsid w:val="00050678"/>
    <w:rsid w:val="000523CC"/>
    <w:rsid w:val="00056244"/>
    <w:rsid w:val="00066C6B"/>
    <w:rsid w:val="00070956"/>
    <w:rsid w:val="000748AE"/>
    <w:rsid w:val="00082E05"/>
    <w:rsid w:val="0009095C"/>
    <w:rsid w:val="00092E7C"/>
    <w:rsid w:val="00093F71"/>
    <w:rsid w:val="00094ADE"/>
    <w:rsid w:val="000959C9"/>
    <w:rsid w:val="00097534"/>
    <w:rsid w:val="000A41FC"/>
    <w:rsid w:val="000A5ABB"/>
    <w:rsid w:val="000B624E"/>
    <w:rsid w:val="000B6611"/>
    <w:rsid w:val="000C70B3"/>
    <w:rsid w:val="000D6F8C"/>
    <w:rsid w:val="000E4477"/>
    <w:rsid w:val="000E605B"/>
    <w:rsid w:val="000E7AC8"/>
    <w:rsid w:val="000F783E"/>
    <w:rsid w:val="000F7D14"/>
    <w:rsid w:val="001021A5"/>
    <w:rsid w:val="0010734C"/>
    <w:rsid w:val="00112FBB"/>
    <w:rsid w:val="0012770A"/>
    <w:rsid w:val="001376BF"/>
    <w:rsid w:val="00140A3B"/>
    <w:rsid w:val="00153739"/>
    <w:rsid w:val="00153D27"/>
    <w:rsid w:val="00160504"/>
    <w:rsid w:val="00160669"/>
    <w:rsid w:val="00163E51"/>
    <w:rsid w:val="0016417F"/>
    <w:rsid w:val="001664A3"/>
    <w:rsid w:val="00171DBC"/>
    <w:rsid w:val="00172808"/>
    <w:rsid w:val="00183D55"/>
    <w:rsid w:val="001852E5"/>
    <w:rsid w:val="00197826"/>
    <w:rsid w:val="001A019E"/>
    <w:rsid w:val="001A50E1"/>
    <w:rsid w:val="001B2FF0"/>
    <w:rsid w:val="001B4265"/>
    <w:rsid w:val="001B6539"/>
    <w:rsid w:val="001D08A8"/>
    <w:rsid w:val="001F10D5"/>
    <w:rsid w:val="001F1D5A"/>
    <w:rsid w:val="001F205A"/>
    <w:rsid w:val="001F6D0F"/>
    <w:rsid w:val="001F6E6C"/>
    <w:rsid w:val="001F6EE8"/>
    <w:rsid w:val="00200196"/>
    <w:rsid w:val="0020698D"/>
    <w:rsid w:val="00222AC3"/>
    <w:rsid w:val="00225946"/>
    <w:rsid w:val="00231072"/>
    <w:rsid w:val="00243030"/>
    <w:rsid w:val="00251597"/>
    <w:rsid w:val="002538C6"/>
    <w:rsid w:val="00260790"/>
    <w:rsid w:val="00261F11"/>
    <w:rsid w:val="00287193"/>
    <w:rsid w:val="0028799C"/>
    <w:rsid w:val="002A39C3"/>
    <w:rsid w:val="002A3BBD"/>
    <w:rsid w:val="002A571C"/>
    <w:rsid w:val="002B28C3"/>
    <w:rsid w:val="002B6EBE"/>
    <w:rsid w:val="002C0169"/>
    <w:rsid w:val="002C3019"/>
    <w:rsid w:val="002C5DE9"/>
    <w:rsid w:val="002C7604"/>
    <w:rsid w:val="002D0AA9"/>
    <w:rsid w:val="002D5852"/>
    <w:rsid w:val="0030014E"/>
    <w:rsid w:val="003067A2"/>
    <w:rsid w:val="00307415"/>
    <w:rsid w:val="00312E22"/>
    <w:rsid w:val="003363C3"/>
    <w:rsid w:val="00346C82"/>
    <w:rsid w:val="00355C34"/>
    <w:rsid w:val="00356774"/>
    <w:rsid w:val="003632DD"/>
    <w:rsid w:val="0036706C"/>
    <w:rsid w:val="00377AB1"/>
    <w:rsid w:val="00381587"/>
    <w:rsid w:val="003A0BF7"/>
    <w:rsid w:val="003B491B"/>
    <w:rsid w:val="003C05CF"/>
    <w:rsid w:val="003D2033"/>
    <w:rsid w:val="003D3732"/>
    <w:rsid w:val="003D48BF"/>
    <w:rsid w:val="003D583A"/>
    <w:rsid w:val="003D6D27"/>
    <w:rsid w:val="003E6AD8"/>
    <w:rsid w:val="003E700B"/>
    <w:rsid w:val="003F5B80"/>
    <w:rsid w:val="00400507"/>
    <w:rsid w:val="004141D0"/>
    <w:rsid w:val="004164ED"/>
    <w:rsid w:val="004377EB"/>
    <w:rsid w:val="00437F52"/>
    <w:rsid w:val="00444535"/>
    <w:rsid w:val="004507C2"/>
    <w:rsid w:val="00456367"/>
    <w:rsid w:val="00460684"/>
    <w:rsid w:val="0046424D"/>
    <w:rsid w:val="004731B0"/>
    <w:rsid w:val="00474639"/>
    <w:rsid w:val="00474D20"/>
    <w:rsid w:val="004756EF"/>
    <w:rsid w:val="004773CF"/>
    <w:rsid w:val="0048221C"/>
    <w:rsid w:val="00494020"/>
    <w:rsid w:val="004955D7"/>
    <w:rsid w:val="004A35FA"/>
    <w:rsid w:val="004A43C3"/>
    <w:rsid w:val="004A58B1"/>
    <w:rsid w:val="004B0694"/>
    <w:rsid w:val="004B3AE0"/>
    <w:rsid w:val="004B49A2"/>
    <w:rsid w:val="004C1F28"/>
    <w:rsid w:val="004C5737"/>
    <w:rsid w:val="004D0933"/>
    <w:rsid w:val="004D21B0"/>
    <w:rsid w:val="004E0292"/>
    <w:rsid w:val="004E214D"/>
    <w:rsid w:val="004E2448"/>
    <w:rsid w:val="004E5AD6"/>
    <w:rsid w:val="004F3E68"/>
    <w:rsid w:val="004F7F9A"/>
    <w:rsid w:val="005016E1"/>
    <w:rsid w:val="00505DEB"/>
    <w:rsid w:val="00512FF5"/>
    <w:rsid w:val="00527A6C"/>
    <w:rsid w:val="005306D9"/>
    <w:rsid w:val="00540D45"/>
    <w:rsid w:val="00540E90"/>
    <w:rsid w:val="00546731"/>
    <w:rsid w:val="00554141"/>
    <w:rsid w:val="005620DC"/>
    <w:rsid w:val="00580D48"/>
    <w:rsid w:val="0058234A"/>
    <w:rsid w:val="005876C5"/>
    <w:rsid w:val="0059194E"/>
    <w:rsid w:val="00593D0B"/>
    <w:rsid w:val="00597213"/>
    <w:rsid w:val="005A5721"/>
    <w:rsid w:val="005A71DE"/>
    <w:rsid w:val="005B0AC1"/>
    <w:rsid w:val="005B6882"/>
    <w:rsid w:val="005B7172"/>
    <w:rsid w:val="005B786C"/>
    <w:rsid w:val="005C5083"/>
    <w:rsid w:val="005C6674"/>
    <w:rsid w:val="005E0E1C"/>
    <w:rsid w:val="005F07F2"/>
    <w:rsid w:val="006066CC"/>
    <w:rsid w:val="00606D2C"/>
    <w:rsid w:val="0061023A"/>
    <w:rsid w:val="0062263D"/>
    <w:rsid w:val="006304FE"/>
    <w:rsid w:val="00634340"/>
    <w:rsid w:val="0063798B"/>
    <w:rsid w:val="0066081B"/>
    <w:rsid w:val="0067004C"/>
    <w:rsid w:val="00671E20"/>
    <w:rsid w:val="006804DF"/>
    <w:rsid w:val="00681CE5"/>
    <w:rsid w:val="00687519"/>
    <w:rsid w:val="00694D93"/>
    <w:rsid w:val="006A418A"/>
    <w:rsid w:val="006C3F33"/>
    <w:rsid w:val="006C4E63"/>
    <w:rsid w:val="006D015E"/>
    <w:rsid w:val="006D09F6"/>
    <w:rsid w:val="006D7739"/>
    <w:rsid w:val="006E4E64"/>
    <w:rsid w:val="006E51DE"/>
    <w:rsid w:val="006E61A6"/>
    <w:rsid w:val="006E75DB"/>
    <w:rsid w:val="006F5B89"/>
    <w:rsid w:val="006F60A6"/>
    <w:rsid w:val="00712D43"/>
    <w:rsid w:val="00713188"/>
    <w:rsid w:val="00724B8C"/>
    <w:rsid w:val="00730473"/>
    <w:rsid w:val="00730B9D"/>
    <w:rsid w:val="00742454"/>
    <w:rsid w:val="00746DC2"/>
    <w:rsid w:val="007532BB"/>
    <w:rsid w:val="0075467D"/>
    <w:rsid w:val="007562E2"/>
    <w:rsid w:val="0076272D"/>
    <w:rsid w:val="00767912"/>
    <w:rsid w:val="00775720"/>
    <w:rsid w:val="0077773C"/>
    <w:rsid w:val="00781D9E"/>
    <w:rsid w:val="007A61CD"/>
    <w:rsid w:val="007A7187"/>
    <w:rsid w:val="007B6B59"/>
    <w:rsid w:val="007C28FD"/>
    <w:rsid w:val="007C294F"/>
    <w:rsid w:val="007D2B58"/>
    <w:rsid w:val="007E358C"/>
    <w:rsid w:val="007E6E4E"/>
    <w:rsid w:val="007F3A8C"/>
    <w:rsid w:val="0080520C"/>
    <w:rsid w:val="008071E1"/>
    <w:rsid w:val="00814B8F"/>
    <w:rsid w:val="00823256"/>
    <w:rsid w:val="008311F2"/>
    <w:rsid w:val="0084463C"/>
    <w:rsid w:val="00847190"/>
    <w:rsid w:val="0085235D"/>
    <w:rsid w:val="00852D55"/>
    <w:rsid w:val="00852F28"/>
    <w:rsid w:val="00855D10"/>
    <w:rsid w:val="00867547"/>
    <w:rsid w:val="00872E5B"/>
    <w:rsid w:val="00873522"/>
    <w:rsid w:val="0087640B"/>
    <w:rsid w:val="00884AAD"/>
    <w:rsid w:val="00885BF0"/>
    <w:rsid w:val="00891AB6"/>
    <w:rsid w:val="008958DE"/>
    <w:rsid w:val="008A7113"/>
    <w:rsid w:val="008B07A1"/>
    <w:rsid w:val="008B4203"/>
    <w:rsid w:val="008C3D0E"/>
    <w:rsid w:val="008D54CF"/>
    <w:rsid w:val="008D62CD"/>
    <w:rsid w:val="008D682D"/>
    <w:rsid w:val="008D71A8"/>
    <w:rsid w:val="008E7292"/>
    <w:rsid w:val="008F3225"/>
    <w:rsid w:val="008F32E7"/>
    <w:rsid w:val="009019B5"/>
    <w:rsid w:val="00901FFD"/>
    <w:rsid w:val="00916A1E"/>
    <w:rsid w:val="00933B70"/>
    <w:rsid w:val="00936836"/>
    <w:rsid w:val="0093688E"/>
    <w:rsid w:val="0094427A"/>
    <w:rsid w:val="009515D9"/>
    <w:rsid w:val="0096076B"/>
    <w:rsid w:val="00960D13"/>
    <w:rsid w:val="00976A46"/>
    <w:rsid w:val="00981320"/>
    <w:rsid w:val="009870AF"/>
    <w:rsid w:val="00992BEA"/>
    <w:rsid w:val="009A68F1"/>
    <w:rsid w:val="009B52C9"/>
    <w:rsid w:val="009B6FC0"/>
    <w:rsid w:val="009B7603"/>
    <w:rsid w:val="009C3D14"/>
    <w:rsid w:val="009C620B"/>
    <w:rsid w:val="009D5FFF"/>
    <w:rsid w:val="009E0988"/>
    <w:rsid w:val="009E2439"/>
    <w:rsid w:val="00A00ADF"/>
    <w:rsid w:val="00A02BFB"/>
    <w:rsid w:val="00A07342"/>
    <w:rsid w:val="00A15E03"/>
    <w:rsid w:val="00A25131"/>
    <w:rsid w:val="00A2767E"/>
    <w:rsid w:val="00A30233"/>
    <w:rsid w:val="00A30480"/>
    <w:rsid w:val="00A329EB"/>
    <w:rsid w:val="00A32E62"/>
    <w:rsid w:val="00A45C5A"/>
    <w:rsid w:val="00A5134E"/>
    <w:rsid w:val="00A64854"/>
    <w:rsid w:val="00A65A23"/>
    <w:rsid w:val="00A72E20"/>
    <w:rsid w:val="00A72FD4"/>
    <w:rsid w:val="00A74997"/>
    <w:rsid w:val="00A808D3"/>
    <w:rsid w:val="00A85572"/>
    <w:rsid w:val="00A93143"/>
    <w:rsid w:val="00A95B98"/>
    <w:rsid w:val="00AA7102"/>
    <w:rsid w:val="00AB189C"/>
    <w:rsid w:val="00AB56D3"/>
    <w:rsid w:val="00AC0F3C"/>
    <w:rsid w:val="00AC1483"/>
    <w:rsid w:val="00AC2225"/>
    <w:rsid w:val="00AC28F3"/>
    <w:rsid w:val="00AC3170"/>
    <w:rsid w:val="00AD050A"/>
    <w:rsid w:val="00AD61FD"/>
    <w:rsid w:val="00AE3E8A"/>
    <w:rsid w:val="00AE4F13"/>
    <w:rsid w:val="00AE6130"/>
    <w:rsid w:val="00AF0978"/>
    <w:rsid w:val="00AF5CEC"/>
    <w:rsid w:val="00AF636F"/>
    <w:rsid w:val="00B260E0"/>
    <w:rsid w:val="00B30A5A"/>
    <w:rsid w:val="00B35B44"/>
    <w:rsid w:val="00B36DFE"/>
    <w:rsid w:val="00B47291"/>
    <w:rsid w:val="00B4741F"/>
    <w:rsid w:val="00B47AAD"/>
    <w:rsid w:val="00B54215"/>
    <w:rsid w:val="00B6166E"/>
    <w:rsid w:val="00B66098"/>
    <w:rsid w:val="00B710F3"/>
    <w:rsid w:val="00B725D1"/>
    <w:rsid w:val="00B81B0E"/>
    <w:rsid w:val="00B81EE4"/>
    <w:rsid w:val="00B85D1C"/>
    <w:rsid w:val="00B8740E"/>
    <w:rsid w:val="00B94040"/>
    <w:rsid w:val="00BA7679"/>
    <w:rsid w:val="00BB528F"/>
    <w:rsid w:val="00BC5553"/>
    <w:rsid w:val="00BC590A"/>
    <w:rsid w:val="00BC7A20"/>
    <w:rsid w:val="00BD4465"/>
    <w:rsid w:val="00BD55C1"/>
    <w:rsid w:val="00BE17BD"/>
    <w:rsid w:val="00BE7780"/>
    <w:rsid w:val="00BF0C89"/>
    <w:rsid w:val="00BF2C8F"/>
    <w:rsid w:val="00BF439F"/>
    <w:rsid w:val="00C02FBE"/>
    <w:rsid w:val="00C05574"/>
    <w:rsid w:val="00C20779"/>
    <w:rsid w:val="00C25A0A"/>
    <w:rsid w:val="00C33D06"/>
    <w:rsid w:val="00C340D1"/>
    <w:rsid w:val="00C3659E"/>
    <w:rsid w:val="00C41B75"/>
    <w:rsid w:val="00C41BC2"/>
    <w:rsid w:val="00C43874"/>
    <w:rsid w:val="00C56D9C"/>
    <w:rsid w:val="00C82224"/>
    <w:rsid w:val="00C84D94"/>
    <w:rsid w:val="00C862ED"/>
    <w:rsid w:val="00C86365"/>
    <w:rsid w:val="00C9244B"/>
    <w:rsid w:val="00C96C1E"/>
    <w:rsid w:val="00C97E2A"/>
    <w:rsid w:val="00CA0691"/>
    <w:rsid w:val="00CB222E"/>
    <w:rsid w:val="00CB41D7"/>
    <w:rsid w:val="00CB443F"/>
    <w:rsid w:val="00CC2C6D"/>
    <w:rsid w:val="00CC469D"/>
    <w:rsid w:val="00CE2279"/>
    <w:rsid w:val="00CE360B"/>
    <w:rsid w:val="00D00145"/>
    <w:rsid w:val="00D06D52"/>
    <w:rsid w:val="00D15642"/>
    <w:rsid w:val="00D1660C"/>
    <w:rsid w:val="00D2490E"/>
    <w:rsid w:val="00D27D71"/>
    <w:rsid w:val="00D33B68"/>
    <w:rsid w:val="00D51653"/>
    <w:rsid w:val="00D51EE7"/>
    <w:rsid w:val="00D61EDE"/>
    <w:rsid w:val="00D6791B"/>
    <w:rsid w:val="00D71983"/>
    <w:rsid w:val="00D85796"/>
    <w:rsid w:val="00D92584"/>
    <w:rsid w:val="00D94669"/>
    <w:rsid w:val="00DA75C1"/>
    <w:rsid w:val="00DA7753"/>
    <w:rsid w:val="00DB067E"/>
    <w:rsid w:val="00DB3EB3"/>
    <w:rsid w:val="00DB4E54"/>
    <w:rsid w:val="00DB5F00"/>
    <w:rsid w:val="00DC4295"/>
    <w:rsid w:val="00DC4961"/>
    <w:rsid w:val="00DE1B8C"/>
    <w:rsid w:val="00DE34BB"/>
    <w:rsid w:val="00DF68A8"/>
    <w:rsid w:val="00E118CD"/>
    <w:rsid w:val="00E13F63"/>
    <w:rsid w:val="00E2799A"/>
    <w:rsid w:val="00E3062F"/>
    <w:rsid w:val="00E32C21"/>
    <w:rsid w:val="00E3790B"/>
    <w:rsid w:val="00E418E7"/>
    <w:rsid w:val="00E45E99"/>
    <w:rsid w:val="00E532B8"/>
    <w:rsid w:val="00E5511E"/>
    <w:rsid w:val="00E55E55"/>
    <w:rsid w:val="00E72568"/>
    <w:rsid w:val="00E8010C"/>
    <w:rsid w:val="00E842FA"/>
    <w:rsid w:val="00E93CE8"/>
    <w:rsid w:val="00E9649E"/>
    <w:rsid w:val="00EB044A"/>
    <w:rsid w:val="00EB5F17"/>
    <w:rsid w:val="00EB7816"/>
    <w:rsid w:val="00EC37F9"/>
    <w:rsid w:val="00EC5C6C"/>
    <w:rsid w:val="00EC5FDC"/>
    <w:rsid w:val="00ED072D"/>
    <w:rsid w:val="00ED0CEA"/>
    <w:rsid w:val="00EF08F3"/>
    <w:rsid w:val="00EF28E3"/>
    <w:rsid w:val="00F03C69"/>
    <w:rsid w:val="00F36F1E"/>
    <w:rsid w:val="00F47947"/>
    <w:rsid w:val="00F53802"/>
    <w:rsid w:val="00F64C72"/>
    <w:rsid w:val="00F65D5E"/>
    <w:rsid w:val="00F66D78"/>
    <w:rsid w:val="00F738C5"/>
    <w:rsid w:val="00F8238B"/>
    <w:rsid w:val="00F83581"/>
    <w:rsid w:val="00F867A7"/>
    <w:rsid w:val="00F905A7"/>
    <w:rsid w:val="00F91DC8"/>
    <w:rsid w:val="00FA0DFF"/>
    <w:rsid w:val="00FB19EA"/>
    <w:rsid w:val="00FC13C4"/>
    <w:rsid w:val="00FC620A"/>
    <w:rsid w:val="00FC6260"/>
    <w:rsid w:val="00FC6CA0"/>
    <w:rsid w:val="00FC787B"/>
    <w:rsid w:val="00FD0C61"/>
    <w:rsid w:val="00FD4D90"/>
    <w:rsid w:val="00FD7274"/>
    <w:rsid w:val="00FE2393"/>
    <w:rsid w:val="00FE350B"/>
    <w:rsid w:val="00FE7D30"/>
    <w:rsid w:val="00FF29D8"/>
    <w:rsid w:val="0AD8445D"/>
    <w:rsid w:val="1226132F"/>
    <w:rsid w:val="2A422ED2"/>
    <w:rsid w:val="4A4C4F65"/>
    <w:rsid w:val="61875C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15"/>
    <w:semiHidden/>
    <w:unhideWhenUsed/>
    <w:qFormat/>
    <w:uiPriority w:val="9"/>
    <w:pPr>
      <w:keepNext/>
      <w:keepLines/>
      <w:spacing w:before="260" w:after="260" w:line="416" w:lineRule="auto"/>
      <w:outlineLvl w:val="2"/>
    </w:pPr>
    <w:rPr>
      <w:b/>
      <w:bCs/>
      <w:sz w:val="32"/>
      <w:szCs w:val="32"/>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1"/>
    <w:semiHidden/>
    <w:unhideWhenUsed/>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Title"/>
    <w:basedOn w:val="1"/>
    <w:next w:val="1"/>
    <w:link w:val="13"/>
    <w:qFormat/>
    <w:uiPriority w:val="10"/>
    <w:pPr>
      <w:spacing w:before="240" w:after="60"/>
      <w:jc w:val="center"/>
      <w:outlineLvl w:val="0"/>
    </w:pPr>
    <w:rPr>
      <w:rFonts w:eastAsia="宋体" w:asciiTheme="majorHAnsi" w:hAnsiTheme="majorHAnsi" w:cstheme="majorBidi"/>
      <w:b/>
      <w:bCs/>
      <w:sz w:val="32"/>
      <w:szCs w:val="32"/>
    </w:rPr>
  </w:style>
  <w:style w:type="character" w:customStyle="1" w:styleId="9">
    <w:name w:val="页眉 Char"/>
    <w:basedOn w:val="8"/>
    <w:link w:val="5"/>
    <w:uiPriority w:val="99"/>
    <w:rPr>
      <w:sz w:val="18"/>
      <w:szCs w:val="18"/>
    </w:rPr>
  </w:style>
  <w:style w:type="character" w:customStyle="1" w:styleId="10">
    <w:name w:val="页脚 Char"/>
    <w:basedOn w:val="8"/>
    <w:link w:val="4"/>
    <w:uiPriority w:val="99"/>
    <w:rPr>
      <w:sz w:val="18"/>
      <w:szCs w:val="18"/>
    </w:rPr>
  </w:style>
  <w:style w:type="character" w:customStyle="1" w:styleId="11">
    <w:name w:val="批注框文本 Char"/>
    <w:basedOn w:val="8"/>
    <w:link w:val="3"/>
    <w:semiHidden/>
    <w:uiPriority w:val="99"/>
    <w:rPr>
      <w:sz w:val="18"/>
      <w:szCs w:val="18"/>
    </w:rPr>
  </w:style>
  <w:style w:type="paragraph" w:styleId="12">
    <w:name w:val="List Paragraph"/>
    <w:basedOn w:val="1"/>
    <w:qFormat/>
    <w:uiPriority w:val="34"/>
    <w:pPr>
      <w:ind w:firstLine="420" w:firstLineChars="200"/>
    </w:pPr>
  </w:style>
  <w:style w:type="character" w:customStyle="1" w:styleId="13">
    <w:name w:val="标题 Char"/>
    <w:basedOn w:val="8"/>
    <w:link w:val="6"/>
    <w:qFormat/>
    <w:uiPriority w:val="10"/>
    <w:rPr>
      <w:rFonts w:eastAsia="宋体" w:asciiTheme="majorHAnsi" w:hAnsiTheme="majorHAnsi" w:cstheme="majorBidi"/>
      <w:b/>
      <w:bCs/>
      <w:sz w:val="32"/>
      <w:szCs w:val="32"/>
    </w:rPr>
  </w:style>
  <w:style w:type="paragraph" w:customStyle="1" w:styleId="14">
    <w:name w:val="Char Char1 Char Char"/>
    <w:basedOn w:val="2"/>
    <w:qFormat/>
    <w:uiPriority w:val="0"/>
    <w:pPr>
      <w:tabs>
        <w:tab w:val="left" w:pos="360"/>
        <w:tab w:val="left" w:pos="900"/>
      </w:tabs>
      <w:snapToGrid w:val="0"/>
      <w:spacing w:before="120" w:after="120" w:line="360" w:lineRule="auto"/>
      <w:ind w:left="542" w:leftChars="-12" w:firstLine="200" w:firstLineChars="200"/>
      <w:jc w:val="left"/>
    </w:pPr>
    <w:rPr>
      <w:rFonts w:ascii="Times New Roman" w:hAnsi="Times New Roman" w:eastAsia="黑体" w:cs="Times New Roman"/>
      <w:b w:val="0"/>
      <w:bCs w:val="0"/>
      <w:snapToGrid w:val="0"/>
      <w:sz w:val="24"/>
      <w:szCs w:val="24"/>
    </w:rPr>
  </w:style>
  <w:style w:type="character" w:customStyle="1" w:styleId="15">
    <w:name w:val="标题 3 Char"/>
    <w:basedOn w:val="8"/>
    <w:link w:val="2"/>
    <w:semiHidden/>
    <w:qFormat/>
    <w:uiPriority w:val="9"/>
    <w:rPr>
      <w:b/>
      <w:bCs/>
      <w:kern w:val="2"/>
      <w:sz w:val="32"/>
      <w:szCs w:val="3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DBE1088-43A1-4995-84D0-667EAA428E57}">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9</Pages>
  <Words>725</Words>
  <Characters>4136</Characters>
  <Lines>34</Lines>
  <Paragraphs>9</Paragraphs>
  <TotalTime>2</TotalTime>
  <ScaleCrop>false</ScaleCrop>
  <LinksUpToDate>false</LinksUpToDate>
  <CharactersWithSpaces>4852</CharactersWithSpaces>
  <Application>WPS Office_11.1.0.9145_F1E327BC-269C-435d-A152-05C5408002CA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2019-04-10T02:19:00Z</dcterms:created>
  <dc:creator>张红丽(起草发文)</dc:creator>
  <cp:lastModifiedBy>①覑涳白</cp:lastModifiedBy>
  <cp:lastPrinted>2019-09-06T07:33:00Z</cp:lastPrinted>
  <dcterms:modified xsi:type="dcterms:W3CDTF">2019-11-06T09:49:55Z</dcterms:modified>
  <cp:revision>117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2052-11.1.0.9145</vt:lpwstr>
  </property>
</Properties>
</file>